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03B09"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03B09" w:rsidRDefault="000A03B2" w:rsidP="00DE264A">
            <w:pPr>
              <w:tabs>
                <w:tab w:val="left" w:pos="-108"/>
              </w:tabs>
              <w:ind w:left="-108"/>
              <w:jc w:val="left"/>
              <w:rPr>
                <w:rFonts w:cs="Arial"/>
                <w:b/>
                <w:bCs/>
                <w:i/>
                <w:iCs/>
                <w:color w:val="000066"/>
                <w:sz w:val="12"/>
                <w:szCs w:val="12"/>
                <w:lang w:eastAsia="it-IT"/>
              </w:rPr>
            </w:pPr>
            <w:bookmarkStart w:id="0" w:name="_Hlk145068772"/>
            <w:r w:rsidRPr="00B03B0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03B09">
              <w:rPr>
                <w:rFonts w:ascii="AdvP6960" w:hAnsi="AdvP6960" w:cs="AdvP6960"/>
                <w:color w:val="241F20"/>
                <w:szCs w:val="18"/>
                <w:lang w:eastAsia="it-IT"/>
              </w:rPr>
              <w:t xml:space="preserve"> </w:t>
            </w:r>
            <w:r w:rsidRPr="00B03B09">
              <w:rPr>
                <w:rFonts w:cs="Arial"/>
                <w:b/>
                <w:bCs/>
                <w:i/>
                <w:iCs/>
                <w:color w:val="000066"/>
                <w:sz w:val="24"/>
                <w:szCs w:val="24"/>
                <w:lang w:eastAsia="it-IT"/>
              </w:rPr>
              <w:t>CHEMICAL ENGINEERING</w:t>
            </w:r>
            <w:r w:rsidRPr="00B03B09">
              <w:rPr>
                <w:rFonts w:cs="Arial"/>
                <w:b/>
                <w:bCs/>
                <w:i/>
                <w:iCs/>
                <w:color w:val="0033FF"/>
                <w:sz w:val="24"/>
                <w:szCs w:val="24"/>
                <w:lang w:eastAsia="it-IT"/>
              </w:rPr>
              <w:t xml:space="preserve"> </w:t>
            </w:r>
            <w:r w:rsidRPr="00B03B09">
              <w:rPr>
                <w:rFonts w:cs="Arial"/>
                <w:b/>
                <w:bCs/>
                <w:i/>
                <w:iCs/>
                <w:color w:val="666666"/>
                <w:sz w:val="24"/>
                <w:szCs w:val="24"/>
                <w:lang w:eastAsia="it-IT"/>
              </w:rPr>
              <w:t>TRANSACTIONS</w:t>
            </w:r>
            <w:r w:rsidRPr="00B03B09">
              <w:rPr>
                <w:color w:val="333333"/>
                <w:sz w:val="24"/>
                <w:szCs w:val="24"/>
                <w:lang w:eastAsia="it-IT"/>
              </w:rPr>
              <w:t xml:space="preserve"> </w:t>
            </w:r>
            <w:r w:rsidRPr="00B03B09">
              <w:rPr>
                <w:rFonts w:cs="Arial"/>
                <w:b/>
                <w:bCs/>
                <w:i/>
                <w:iCs/>
                <w:color w:val="000066"/>
                <w:sz w:val="27"/>
                <w:szCs w:val="27"/>
                <w:lang w:eastAsia="it-IT"/>
              </w:rPr>
              <w:br/>
            </w:r>
          </w:p>
          <w:p w14:paraId="4B780582" w14:textId="47EF826C" w:rsidR="000A03B2" w:rsidRPr="00B03B09" w:rsidRDefault="00A76EFC" w:rsidP="001D21AF">
            <w:pPr>
              <w:tabs>
                <w:tab w:val="left" w:pos="-108"/>
              </w:tabs>
              <w:ind w:left="-108"/>
              <w:rPr>
                <w:rFonts w:cs="Arial"/>
                <w:b/>
                <w:bCs/>
                <w:i/>
                <w:iCs/>
                <w:color w:val="000066"/>
                <w:sz w:val="22"/>
                <w:szCs w:val="22"/>
                <w:lang w:eastAsia="it-IT"/>
              </w:rPr>
            </w:pPr>
            <w:r w:rsidRPr="00B03B09">
              <w:rPr>
                <w:rFonts w:cs="Arial"/>
                <w:b/>
                <w:bCs/>
                <w:i/>
                <w:iCs/>
                <w:color w:val="000066"/>
                <w:sz w:val="22"/>
                <w:szCs w:val="22"/>
                <w:lang w:eastAsia="it-IT"/>
              </w:rPr>
              <w:t>VOL.</w:t>
            </w:r>
            <w:r w:rsidR="00785BF9" w:rsidRPr="00B03B09">
              <w:rPr>
                <w:rFonts w:cs="Arial"/>
                <w:b/>
                <w:bCs/>
                <w:i/>
                <w:iCs/>
                <w:color w:val="000066"/>
                <w:sz w:val="22"/>
                <w:szCs w:val="22"/>
                <w:lang w:eastAsia="it-IT"/>
              </w:rPr>
              <w:t xml:space="preserve"> </w:t>
            </w:r>
            <w:r w:rsidR="00994C6A" w:rsidRPr="00B03B09">
              <w:rPr>
                <w:rFonts w:cs="Arial"/>
                <w:b/>
                <w:bCs/>
                <w:i/>
                <w:iCs/>
                <w:color w:val="000066"/>
                <w:sz w:val="22"/>
                <w:szCs w:val="22"/>
                <w:lang w:eastAsia="it-IT"/>
              </w:rPr>
              <w:t>xxx</w:t>
            </w:r>
            <w:r w:rsidR="007B48F9" w:rsidRPr="00B03B09">
              <w:rPr>
                <w:rFonts w:cs="Arial"/>
                <w:b/>
                <w:bCs/>
                <w:i/>
                <w:iCs/>
                <w:color w:val="000066"/>
                <w:sz w:val="22"/>
                <w:szCs w:val="22"/>
                <w:lang w:eastAsia="it-IT"/>
              </w:rPr>
              <w:t>,</w:t>
            </w:r>
            <w:r w:rsidR="00FA5F5F" w:rsidRPr="00B03B09">
              <w:rPr>
                <w:rFonts w:cs="Arial"/>
                <w:b/>
                <w:bCs/>
                <w:i/>
                <w:iCs/>
                <w:color w:val="000066"/>
                <w:sz w:val="22"/>
                <w:szCs w:val="22"/>
                <w:lang w:eastAsia="it-IT"/>
              </w:rPr>
              <w:t xml:space="preserve"> </w:t>
            </w:r>
            <w:r w:rsidR="0030152C" w:rsidRPr="00B03B09">
              <w:rPr>
                <w:rFonts w:cs="Arial"/>
                <w:b/>
                <w:bCs/>
                <w:i/>
                <w:iCs/>
                <w:color w:val="000066"/>
                <w:sz w:val="22"/>
                <w:szCs w:val="22"/>
                <w:lang w:eastAsia="it-IT"/>
              </w:rPr>
              <w:t>202</w:t>
            </w:r>
            <w:r w:rsidR="00994C6A" w:rsidRPr="00B03B09">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03B09" w:rsidRDefault="000A03B2" w:rsidP="00CD5FE2">
            <w:pPr>
              <w:spacing w:line="140" w:lineRule="atLeast"/>
              <w:jc w:val="right"/>
              <w:rPr>
                <w:rFonts w:cs="Arial"/>
                <w:sz w:val="14"/>
                <w:szCs w:val="14"/>
              </w:rPr>
            </w:pPr>
            <w:r w:rsidRPr="00B03B09">
              <w:rPr>
                <w:rFonts w:cs="Arial"/>
                <w:sz w:val="14"/>
                <w:szCs w:val="14"/>
              </w:rPr>
              <w:t>A publication of</w:t>
            </w:r>
          </w:p>
          <w:p w14:paraId="599E5441" w14:textId="77777777" w:rsidR="000A03B2" w:rsidRPr="00B03B09" w:rsidRDefault="000A03B2" w:rsidP="00CD5FE2">
            <w:pPr>
              <w:jc w:val="right"/>
            </w:pPr>
            <w:r w:rsidRPr="00B03B09">
              <w:rPr>
                <w:noProof/>
                <w:lang w:eastAsia="it-IT"/>
              </w:rPr>
              <w:drawing>
                <wp:inline distT="0" distB="0" distL="0" distR="0" wp14:anchorId="59C75AF4" wp14:editId="4FF92432">
                  <wp:extent cx="670560" cy="358140"/>
                  <wp:effectExtent l="0" t="0" r="0" b="3810"/>
                  <wp:docPr id="6"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03B09" w14:paraId="380FA3CD" w14:textId="77777777" w:rsidTr="00DE264A">
        <w:trPr>
          <w:trHeight w:val="567"/>
          <w:jc w:val="center"/>
        </w:trPr>
        <w:tc>
          <w:tcPr>
            <w:tcW w:w="6946" w:type="dxa"/>
            <w:vMerge/>
            <w:tcBorders>
              <w:right w:val="single" w:sz="4" w:space="0" w:color="auto"/>
            </w:tcBorders>
          </w:tcPr>
          <w:p w14:paraId="39E5E4C1" w14:textId="77777777" w:rsidR="000A03B2" w:rsidRPr="00B03B09"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03B09" w:rsidRDefault="000A03B2" w:rsidP="00CD5FE2">
            <w:pPr>
              <w:spacing w:line="140" w:lineRule="atLeast"/>
              <w:jc w:val="right"/>
              <w:rPr>
                <w:rFonts w:cs="Arial"/>
                <w:sz w:val="14"/>
                <w:szCs w:val="14"/>
              </w:rPr>
            </w:pPr>
            <w:r w:rsidRPr="00B03B09">
              <w:rPr>
                <w:rFonts w:cs="Arial"/>
                <w:sz w:val="14"/>
                <w:szCs w:val="14"/>
              </w:rPr>
              <w:t>The Italian Association</w:t>
            </w:r>
          </w:p>
          <w:p w14:paraId="7522B1D2" w14:textId="77777777" w:rsidR="000A03B2" w:rsidRPr="00B03B09" w:rsidRDefault="000A03B2" w:rsidP="00CD5FE2">
            <w:pPr>
              <w:spacing w:line="140" w:lineRule="atLeast"/>
              <w:jc w:val="right"/>
              <w:rPr>
                <w:rFonts w:cs="Arial"/>
                <w:sz w:val="14"/>
                <w:szCs w:val="14"/>
              </w:rPr>
            </w:pPr>
            <w:r w:rsidRPr="00B03B09">
              <w:rPr>
                <w:rFonts w:cs="Arial"/>
                <w:sz w:val="14"/>
                <w:szCs w:val="14"/>
              </w:rPr>
              <w:t>of Chemical Engineering</w:t>
            </w:r>
          </w:p>
          <w:p w14:paraId="4F0CC5DE" w14:textId="47FDB2FC" w:rsidR="000A03B2" w:rsidRPr="00B03B09" w:rsidRDefault="000D0268" w:rsidP="00CD5FE2">
            <w:pPr>
              <w:spacing w:line="140" w:lineRule="atLeast"/>
              <w:jc w:val="right"/>
              <w:rPr>
                <w:rFonts w:cs="Arial"/>
                <w:sz w:val="13"/>
                <w:szCs w:val="13"/>
              </w:rPr>
            </w:pPr>
            <w:r w:rsidRPr="00B03B09">
              <w:rPr>
                <w:rFonts w:cs="Arial"/>
                <w:sz w:val="13"/>
                <w:szCs w:val="13"/>
              </w:rPr>
              <w:t>Online at www.cetjournal.it</w:t>
            </w:r>
          </w:p>
        </w:tc>
      </w:tr>
      <w:tr w:rsidR="000A03B2" w:rsidRPr="00B03B09" w14:paraId="2D1B7169" w14:textId="77777777" w:rsidTr="00DE264A">
        <w:trPr>
          <w:trHeight w:val="68"/>
          <w:jc w:val="center"/>
        </w:trPr>
        <w:tc>
          <w:tcPr>
            <w:tcW w:w="8789" w:type="dxa"/>
            <w:gridSpan w:val="2"/>
          </w:tcPr>
          <w:p w14:paraId="30F07041" w14:textId="11182ABA" w:rsidR="00F27EE4" w:rsidRPr="00F84FAF" w:rsidRDefault="00AA7D26" w:rsidP="00F27EE4">
            <w:pPr>
              <w:ind w:left="-107"/>
              <w:rPr>
                <w:rFonts w:ascii="Tahoma" w:hAnsi="Tahoma" w:cs="Tahoma"/>
                <w:b/>
                <w:bCs/>
                <w:color w:val="000000"/>
                <w:sz w:val="14"/>
                <w:szCs w:val="14"/>
                <w:shd w:val="clear" w:color="auto" w:fill="FFFFFF"/>
                <w:lang w:val="it-IT"/>
              </w:rPr>
            </w:pPr>
            <w:r w:rsidRPr="00F84FAF">
              <w:rPr>
                <w:rFonts w:ascii="Tahoma" w:hAnsi="Tahoma" w:cs="Tahoma"/>
                <w:iCs/>
                <w:color w:val="333333"/>
                <w:sz w:val="14"/>
                <w:szCs w:val="14"/>
                <w:lang w:val="it-IT" w:eastAsia="it-IT"/>
              </w:rPr>
              <w:t>Guest Editors:</w:t>
            </w:r>
            <w:r w:rsidR="007D610D" w:rsidRPr="00F84FAF">
              <w:rPr>
                <w:rFonts w:ascii="Aptos" w:eastAsiaTheme="minorHAnsi" w:hAnsi="Aptos" w:cs="Aptos"/>
                <w:sz w:val="22"/>
                <w:szCs w:val="22"/>
                <w:lang w:val="it-IT"/>
                <w14:ligatures w14:val="standardContextual"/>
              </w:rPr>
              <w:t xml:space="preserve"> </w:t>
            </w:r>
            <w:r w:rsidR="00F27EE4" w:rsidRPr="00F84FAF">
              <w:rPr>
                <w:rFonts w:ascii="Tahoma" w:hAnsi="Tahoma" w:cs="Tahoma"/>
                <w:color w:val="000000"/>
                <w:sz w:val="14"/>
                <w:szCs w:val="14"/>
                <w:shd w:val="clear" w:color="auto" w:fill="FFFFFF"/>
                <w:lang w:val="it-IT"/>
              </w:rPr>
              <w:t xml:space="preserve">Bruno Fabiano, Valerio </w:t>
            </w:r>
            <w:proofErr w:type="spellStart"/>
            <w:r w:rsidR="00F27EE4" w:rsidRPr="00F84FAF">
              <w:rPr>
                <w:rFonts w:ascii="Tahoma" w:hAnsi="Tahoma" w:cs="Tahoma"/>
                <w:color w:val="000000"/>
                <w:sz w:val="14"/>
                <w:szCs w:val="14"/>
                <w:shd w:val="clear" w:color="auto" w:fill="FFFFFF"/>
                <w:lang w:val="it-IT"/>
              </w:rPr>
              <w:t>Cozzani</w:t>
            </w:r>
            <w:proofErr w:type="spellEnd"/>
          </w:p>
          <w:p w14:paraId="1B0F1814" w14:textId="2DB8A072" w:rsidR="000A03B2" w:rsidRPr="00B03B09" w:rsidRDefault="00AA7D26" w:rsidP="00AA7D26">
            <w:pPr>
              <w:tabs>
                <w:tab w:val="left" w:pos="-108"/>
              </w:tabs>
              <w:spacing w:line="140" w:lineRule="atLeast"/>
              <w:ind w:left="-107"/>
              <w:jc w:val="left"/>
            </w:pPr>
            <w:r w:rsidRPr="00B03B09">
              <w:rPr>
                <w:rFonts w:ascii="Tahoma" w:hAnsi="Tahoma" w:cs="Tahoma"/>
                <w:iCs/>
                <w:color w:val="333333"/>
                <w:sz w:val="14"/>
                <w:szCs w:val="14"/>
                <w:lang w:eastAsia="it-IT"/>
              </w:rPr>
              <w:t>Copyright © 202</w:t>
            </w:r>
            <w:r w:rsidR="00994C6A" w:rsidRPr="00B03B09">
              <w:rPr>
                <w:rFonts w:ascii="Tahoma" w:hAnsi="Tahoma" w:cs="Tahoma"/>
                <w:iCs/>
                <w:color w:val="333333"/>
                <w:sz w:val="14"/>
                <w:szCs w:val="14"/>
                <w:lang w:eastAsia="it-IT"/>
              </w:rPr>
              <w:t>5</w:t>
            </w:r>
            <w:r w:rsidRPr="00B03B09">
              <w:rPr>
                <w:rFonts w:ascii="Tahoma" w:hAnsi="Tahoma" w:cs="Tahoma"/>
                <w:iCs/>
                <w:color w:val="333333"/>
                <w:sz w:val="14"/>
                <w:szCs w:val="14"/>
                <w:lang w:eastAsia="it-IT"/>
              </w:rPr>
              <w:t xml:space="preserve">, AIDIC </w:t>
            </w:r>
            <w:proofErr w:type="spellStart"/>
            <w:r w:rsidRPr="00B03B09">
              <w:rPr>
                <w:rFonts w:ascii="Tahoma" w:hAnsi="Tahoma" w:cs="Tahoma"/>
                <w:iCs/>
                <w:color w:val="333333"/>
                <w:sz w:val="14"/>
                <w:szCs w:val="14"/>
                <w:lang w:eastAsia="it-IT"/>
              </w:rPr>
              <w:t>Servizi</w:t>
            </w:r>
            <w:proofErr w:type="spellEnd"/>
            <w:r w:rsidRPr="00B03B09">
              <w:rPr>
                <w:rFonts w:ascii="Tahoma" w:hAnsi="Tahoma" w:cs="Tahoma"/>
                <w:iCs/>
                <w:color w:val="333333"/>
                <w:sz w:val="14"/>
                <w:szCs w:val="14"/>
                <w:lang w:eastAsia="it-IT"/>
              </w:rPr>
              <w:t xml:space="preserve"> </w:t>
            </w:r>
            <w:proofErr w:type="spellStart"/>
            <w:r w:rsidRPr="00B03B09">
              <w:rPr>
                <w:rFonts w:ascii="Tahoma" w:hAnsi="Tahoma" w:cs="Tahoma"/>
                <w:iCs/>
                <w:color w:val="333333"/>
                <w:sz w:val="14"/>
                <w:szCs w:val="14"/>
                <w:lang w:eastAsia="it-IT"/>
              </w:rPr>
              <w:t>S.r.l</w:t>
            </w:r>
            <w:proofErr w:type="spellEnd"/>
            <w:r w:rsidRPr="00B03B09">
              <w:rPr>
                <w:rFonts w:ascii="Tahoma" w:hAnsi="Tahoma" w:cs="Tahoma"/>
                <w:iCs/>
                <w:color w:val="333333"/>
                <w:sz w:val="14"/>
                <w:szCs w:val="14"/>
                <w:lang w:eastAsia="it-IT"/>
              </w:rPr>
              <w:t>.</w:t>
            </w:r>
            <w:r w:rsidRPr="00B03B09">
              <w:rPr>
                <w:rFonts w:ascii="Tahoma" w:hAnsi="Tahoma" w:cs="Tahoma"/>
                <w:iCs/>
                <w:color w:val="333333"/>
                <w:sz w:val="14"/>
                <w:szCs w:val="14"/>
                <w:lang w:eastAsia="it-IT"/>
              </w:rPr>
              <w:br/>
            </w:r>
            <w:r w:rsidRPr="00B03B09">
              <w:rPr>
                <w:rFonts w:ascii="Tahoma" w:hAnsi="Tahoma" w:cs="Tahoma"/>
                <w:b/>
                <w:iCs/>
                <w:color w:val="000000"/>
                <w:sz w:val="14"/>
                <w:szCs w:val="14"/>
                <w:lang w:eastAsia="it-IT"/>
              </w:rPr>
              <w:t>ISBN</w:t>
            </w:r>
            <w:r w:rsidRPr="00B03B09">
              <w:rPr>
                <w:rFonts w:ascii="Tahoma" w:hAnsi="Tahoma" w:cs="Tahoma"/>
                <w:iCs/>
                <w:color w:val="000000"/>
                <w:sz w:val="14"/>
                <w:szCs w:val="14"/>
                <w:lang w:eastAsia="it-IT"/>
              </w:rPr>
              <w:t xml:space="preserve"> </w:t>
            </w:r>
            <w:r w:rsidR="003B49CD" w:rsidRPr="00B03B09">
              <w:rPr>
                <w:rFonts w:ascii="Tahoma" w:hAnsi="Tahoma" w:cs="Tahoma"/>
                <w:sz w:val="14"/>
                <w:szCs w:val="14"/>
              </w:rPr>
              <w:t>979-12-81206-</w:t>
            </w:r>
            <w:r w:rsidR="00F27EE4" w:rsidRPr="00B03B09">
              <w:rPr>
                <w:rFonts w:ascii="Tahoma" w:hAnsi="Tahoma" w:cs="Tahoma"/>
                <w:sz w:val="14"/>
                <w:szCs w:val="14"/>
              </w:rPr>
              <w:t>xx-y</w:t>
            </w:r>
            <w:r w:rsidRPr="00B03B09">
              <w:rPr>
                <w:rFonts w:ascii="Tahoma" w:hAnsi="Tahoma" w:cs="Tahoma"/>
                <w:iCs/>
                <w:color w:val="333333"/>
                <w:sz w:val="14"/>
                <w:szCs w:val="14"/>
                <w:lang w:eastAsia="it-IT"/>
              </w:rPr>
              <w:t xml:space="preserve">; </w:t>
            </w:r>
            <w:r w:rsidRPr="00B03B09">
              <w:rPr>
                <w:rFonts w:ascii="Tahoma" w:hAnsi="Tahoma" w:cs="Tahoma"/>
                <w:b/>
                <w:iCs/>
                <w:color w:val="333333"/>
                <w:sz w:val="14"/>
                <w:szCs w:val="14"/>
                <w:lang w:eastAsia="it-IT"/>
              </w:rPr>
              <w:t>ISSN</w:t>
            </w:r>
            <w:r w:rsidRPr="00B03B09">
              <w:rPr>
                <w:rFonts w:ascii="Tahoma" w:hAnsi="Tahoma" w:cs="Tahoma"/>
                <w:iCs/>
                <w:color w:val="333333"/>
                <w:sz w:val="14"/>
                <w:szCs w:val="14"/>
                <w:lang w:eastAsia="it-IT"/>
              </w:rPr>
              <w:t xml:space="preserve"> 2283-9216</w:t>
            </w:r>
          </w:p>
        </w:tc>
      </w:tr>
    </w:tbl>
    <w:bookmarkEnd w:id="0"/>
    <w:p w14:paraId="2E667253" w14:textId="2E237378" w:rsidR="00E978D0" w:rsidRPr="00B03B09" w:rsidRDefault="00ED362A" w:rsidP="00E978D0">
      <w:pPr>
        <w:pStyle w:val="CETTitle"/>
        <w:rPr>
          <w:lang w:val="en-US"/>
        </w:rPr>
      </w:pPr>
      <w:r w:rsidRPr="00B03B09">
        <w:rPr>
          <w:lang w:val="en-US"/>
        </w:rPr>
        <w:t>Explosion Characterization of Solid Lactic Acid</w:t>
      </w:r>
    </w:p>
    <w:p w14:paraId="0C9BB6F7" w14:textId="0AFF8059" w:rsidR="002203D5" w:rsidRPr="00F84FAF" w:rsidRDefault="002203D5" w:rsidP="002203D5">
      <w:pPr>
        <w:pStyle w:val="CETAuthors"/>
        <w:rPr>
          <w:noProof w:val="0"/>
          <w:lang w:val="it-IT"/>
        </w:rPr>
      </w:pPr>
      <w:r w:rsidRPr="00F84FAF">
        <w:rPr>
          <w:noProof w:val="0"/>
          <w:lang w:val="it-IT"/>
        </w:rPr>
        <w:t xml:space="preserve">Martina S. </w:t>
      </w:r>
      <w:proofErr w:type="spellStart"/>
      <w:r w:rsidRPr="00F84FAF">
        <w:rPr>
          <w:noProof w:val="0"/>
          <w:lang w:val="it-IT"/>
        </w:rPr>
        <w:t>Scotton</w:t>
      </w:r>
      <w:r w:rsidRPr="00F84FAF">
        <w:rPr>
          <w:noProof w:val="0"/>
          <w:vertAlign w:val="superscript"/>
          <w:lang w:val="it-IT"/>
        </w:rPr>
        <w:t>a</w:t>
      </w:r>
      <w:proofErr w:type="spellEnd"/>
      <w:r w:rsidRPr="00F84FAF">
        <w:rPr>
          <w:noProof w:val="0"/>
          <w:lang w:val="it-IT"/>
        </w:rPr>
        <w:t xml:space="preserve">, Sabrina </w:t>
      </w:r>
      <w:proofErr w:type="spellStart"/>
      <w:r w:rsidRPr="00F84FAF">
        <w:rPr>
          <w:noProof w:val="0"/>
          <w:lang w:val="it-IT"/>
        </w:rPr>
        <w:t>Copelli</w:t>
      </w:r>
      <w:r w:rsidRPr="00F84FAF">
        <w:rPr>
          <w:noProof w:val="0"/>
          <w:vertAlign w:val="superscript"/>
          <w:lang w:val="it-IT"/>
        </w:rPr>
        <w:t>b</w:t>
      </w:r>
      <w:proofErr w:type="spellEnd"/>
      <w:r w:rsidRPr="00F84FAF">
        <w:rPr>
          <w:noProof w:val="0"/>
          <w:lang w:val="it-IT"/>
        </w:rPr>
        <w:t xml:space="preserve">, </w:t>
      </w:r>
      <w:r w:rsidR="00F84FAF" w:rsidRPr="00F84FAF">
        <w:rPr>
          <w:noProof w:val="0"/>
          <w:lang w:val="it-IT"/>
        </w:rPr>
        <w:t xml:space="preserve">Marco </w:t>
      </w:r>
      <w:proofErr w:type="spellStart"/>
      <w:r w:rsidR="00F84FAF" w:rsidRPr="00F84FAF">
        <w:rPr>
          <w:noProof w:val="0"/>
          <w:lang w:val="it-IT"/>
        </w:rPr>
        <w:t>Barozzi</w:t>
      </w:r>
      <w:r w:rsidR="00F84FAF" w:rsidRPr="00F84FAF">
        <w:rPr>
          <w:noProof w:val="0"/>
          <w:vertAlign w:val="superscript"/>
          <w:lang w:val="it-IT"/>
        </w:rPr>
        <w:t>b</w:t>
      </w:r>
      <w:proofErr w:type="spellEnd"/>
      <w:r w:rsidR="00F84FAF">
        <w:rPr>
          <w:noProof w:val="0"/>
          <w:lang w:val="it-IT"/>
        </w:rPr>
        <w:t>,</w:t>
      </w:r>
      <w:r w:rsidR="00F84FAF" w:rsidRPr="00F84FAF">
        <w:rPr>
          <w:noProof w:val="0"/>
          <w:lang w:val="it-IT"/>
        </w:rPr>
        <w:t xml:space="preserve"> </w:t>
      </w:r>
      <w:r w:rsidRPr="00F84FAF">
        <w:rPr>
          <w:noProof w:val="0"/>
          <w:lang w:val="it-IT"/>
        </w:rPr>
        <w:t xml:space="preserve">Benedetta A. De </w:t>
      </w:r>
      <w:proofErr w:type="spellStart"/>
      <w:r w:rsidRPr="00F84FAF">
        <w:rPr>
          <w:noProof w:val="0"/>
          <w:lang w:val="it-IT"/>
        </w:rPr>
        <w:t>Liso</w:t>
      </w:r>
      <w:r w:rsidRPr="00F84FAF">
        <w:rPr>
          <w:noProof w:val="0"/>
          <w:vertAlign w:val="superscript"/>
          <w:lang w:val="it-IT"/>
        </w:rPr>
        <w:t>c</w:t>
      </w:r>
      <w:proofErr w:type="spellEnd"/>
      <w:r w:rsidRPr="00F84FAF">
        <w:rPr>
          <w:noProof w:val="0"/>
          <w:lang w:val="it-IT"/>
        </w:rPr>
        <w:t>, Ernesto Salzano*</w:t>
      </w:r>
      <w:r w:rsidRPr="00F84FAF">
        <w:rPr>
          <w:noProof w:val="0"/>
          <w:vertAlign w:val="superscript"/>
          <w:lang w:val="it-IT"/>
        </w:rPr>
        <w:t>c</w:t>
      </w:r>
    </w:p>
    <w:p w14:paraId="34FE21E1" w14:textId="77777777" w:rsidR="005320AB" w:rsidRPr="00F84FAF" w:rsidRDefault="005320AB" w:rsidP="005320AB">
      <w:pPr>
        <w:pStyle w:val="CETAddress"/>
        <w:rPr>
          <w:noProof w:val="0"/>
          <w:lang w:val="it-IT"/>
        </w:rPr>
      </w:pPr>
      <w:proofErr w:type="spellStart"/>
      <w:r w:rsidRPr="00F84FAF">
        <w:rPr>
          <w:noProof w:val="0"/>
          <w:vertAlign w:val="superscript"/>
          <w:lang w:val="it-IT"/>
        </w:rPr>
        <w:t>a</w:t>
      </w:r>
      <w:r w:rsidRPr="00F84FAF">
        <w:rPr>
          <w:noProof w:val="0"/>
          <w:lang w:val="it-IT"/>
        </w:rPr>
        <w:t>FireEx</w:t>
      </w:r>
      <w:proofErr w:type="spellEnd"/>
      <w:r w:rsidRPr="00F84FAF">
        <w:rPr>
          <w:noProof w:val="0"/>
          <w:lang w:val="it-IT"/>
        </w:rPr>
        <w:t xml:space="preserve"> Consultant GmbH, Gais, </w:t>
      </w:r>
      <w:proofErr w:type="spellStart"/>
      <w:r w:rsidRPr="00F84FAF">
        <w:rPr>
          <w:noProof w:val="0"/>
          <w:lang w:val="it-IT"/>
        </w:rPr>
        <w:t>Switzerland</w:t>
      </w:r>
      <w:proofErr w:type="spellEnd"/>
    </w:p>
    <w:p w14:paraId="146689B6" w14:textId="77777777" w:rsidR="005320AB" w:rsidRPr="00F84FAF" w:rsidRDefault="005320AB" w:rsidP="005320AB">
      <w:pPr>
        <w:pStyle w:val="CETAddress"/>
        <w:rPr>
          <w:noProof w:val="0"/>
          <w:lang w:val="it-IT"/>
        </w:rPr>
      </w:pPr>
      <w:proofErr w:type="spellStart"/>
      <w:r w:rsidRPr="00F84FAF">
        <w:rPr>
          <w:noProof w:val="0"/>
          <w:vertAlign w:val="superscript"/>
          <w:lang w:val="it-IT"/>
        </w:rPr>
        <w:t>b</w:t>
      </w:r>
      <w:r w:rsidRPr="00F84FAF">
        <w:rPr>
          <w:noProof w:val="0"/>
          <w:lang w:val="it-IT"/>
        </w:rPr>
        <w:t>Università</w:t>
      </w:r>
      <w:proofErr w:type="spellEnd"/>
      <w:r w:rsidRPr="00F84FAF">
        <w:rPr>
          <w:noProof w:val="0"/>
          <w:lang w:val="it-IT"/>
        </w:rPr>
        <w:t xml:space="preserve"> degli Studi dell’Insubria, Como, </w:t>
      </w:r>
      <w:proofErr w:type="spellStart"/>
      <w:r w:rsidRPr="00F84FAF">
        <w:rPr>
          <w:noProof w:val="0"/>
          <w:lang w:val="it-IT"/>
        </w:rPr>
        <w:t>Italy</w:t>
      </w:r>
      <w:proofErr w:type="spellEnd"/>
    </w:p>
    <w:p w14:paraId="3CBDBDD8" w14:textId="77777777" w:rsidR="005320AB" w:rsidRPr="00F84FAF" w:rsidRDefault="005320AB" w:rsidP="005320AB">
      <w:pPr>
        <w:pStyle w:val="CETAddress"/>
        <w:rPr>
          <w:noProof w:val="0"/>
          <w:lang w:val="it-IT"/>
        </w:rPr>
      </w:pPr>
      <w:proofErr w:type="spellStart"/>
      <w:r w:rsidRPr="00F84FAF">
        <w:rPr>
          <w:noProof w:val="0"/>
          <w:vertAlign w:val="superscript"/>
          <w:lang w:val="it-IT"/>
        </w:rPr>
        <w:t>c</w:t>
      </w:r>
      <w:r w:rsidRPr="00F84FAF">
        <w:rPr>
          <w:noProof w:val="0"/>
          <w:lang w:val="it-IT"/>
        </w:rPr>
        <w:t>Alma</w:t>
      </w:r>
      <w:proofErr w:type="spellEnd"/>
      <w:r w:rsidRPr="00F84FAF">
        <w:rPr>
          <w:noProof w:val="0"/>
          <w:lang w:val="it-IT"/>
        </w:rPr>
        <w:t xml:space="preserve"> Mater </w:t>
      </w:r>
      <w:proofErr w:type="spellStart"/>
      <w:r w:rsidRPr="00F84FAF">
        <w:rPr>
          <w:noProof w:val="0"/>
          <w:lang w:val="it-IT"/>
        </w:rPr>
        <w:t>Studiorum</w:t>
      </w:r>
      <w:proofErr w:type="spellEnd"/>
      <w:r w:rsidRPr="00F84FAF">
        <w:rPr>
          <w:noProof w:val="0"/>
          <w:lang w:val="it-IT"/>
        </w:rPr>
        <w:t xml:space="preserve"> Università di Bologna, Bologna, </w:t>
      </w:r>
      <w:proofErr w:type="spellStart"/>
      <w:r w:rsidRPr="00F84FAF">
        <w:rPr>
          <w:noProof w:val="0"/>
          <w:lang w:val="it-IT"/>
        </w:rPr>
        <w:t>Italy</w:t>
      </w:r>
      <w:proofErr w:type="spellEnd"/>
    </w:p>
    <w:p w14:paraId="5628E02F" w14:textId="77777777" w:rsidR="005320AB" w:rsidRPr="00F84FAF" w:rsidRDefault="005320AB" w:rsidP="005320AB">
      <w:pPr>
        <w:shd w:val="clear" w:color="auto" w:fill="FFFFFF"/>
        <w:spacing w:line="240" w:lineRule="auto"/>
        <w:jc w:val="left"/>
        <w:rPr>
          <w:lang w:val="it-IT"/>
        </w:rPr>
      </w:pPr>
    </w:p>
    <w:p w14:paraId="48A2D303" w14:textId="77777777" w:rsidR="005320AB" w:rsidRPr="00B03B09" w:rsidRDefault="005320AB" w:rsidP="005320AB">
      <w:pPr>
        <w:pStyle w:val="CETBodytext"/>
      </w:pPr>
      <w:r w:rsidRPr="00B03B09">
        <w:t>*</w:t>
      </w:r>
      <w:r w:rsidRPr="00B03B09">
        <w:rPr>
          <w:i/>
          <w:iCs/>
        </w:rPr>
        <w:t>ernesto.salzano@unibo.it</w:t>
      </w:r>
      <w:r w:rsidRPr="00B03B09">
        <w:t xml:space="preserve"> </w:t>
      </w:r>
    </w:p>
    <w:p w14:paraId="1347BEFF" w14:textId="77777777" w:rsidR="005320AB" w:rsidRPr="00B03B09" w:rsidRDefault="005320AB" w:rsidP="005320AB">
      <w:pPr>
        <w:pStyle w:val="CETBodytext"/>
      </w:pPr>
    </w:p>
    <w:p w14:paraId="76FB4400" w14:textId="5F7A202F" w:rsidR="00001C65" w:rsidRPr="00B03B09" w:rsidRDefault="0033383F" w:rsidP="00001C65">
      <w:pPr>
        <w:pStyle w:val="CETBodytext"/>
      </w:pPr>
      <w:bookmarkStart w:id="1" w:name="_Hlk495475023"/>
      <w:r>
        <w:t>L</w:t>
      </w:r>
      <w:r w:rsidR="00001C65" w:rsidRPr="00B03B09">
        <w:t xml:space="preserve">actic acid </w:t>
      </w:r>
      <w:r w:rsidR="007F64C0">
        <w:t xml:space="preserve">(LA) </w:t>
      </w:r>
      <w:r w:rsidR="00001C65" w:rsidRPr="00B03B09">
        <w:t xml:space="preserve">is a molecule of significant industrial interest, utilized in various sectors. In the food industry, it is used as a preservative and pH regulator in baked goods, dairy products, and beverages. Additionally, it finds applications in the pharmaceutical industry, where it is used in skincare creams, chemical peels, and as a moisturizing agent. Furthermore, </w:t>
      </w:r>
      <w:r w:rsidR="004432CD">
        <w:t>l</w:t>
      </w:r>
      <w:r w:rsidR="00001C65" w:rsidRPr="00B03B09">
        <w:t xml:space="preserve">actic acid is employed in the chemical and textile industries. </w:t>
      </w:r>
      <w:r w:rsidR="004432CD">
        <w:t>Conversely</w:t>
      </w:r>
      <w:r w:rsidR="007E19FF">
        <w:t>,</w:t>
      </w:r>
      <w:r w:rsidR="004432CD">
        <w:t xml:space="preserve"> to poly-lactic acid (PLA)</w:t>
      </w:r>
      <w:r w:rsidR="00001C65" w:rsidRPr="00B03B09">
        <w:t xml:space="preserve">, its explosiveness and thermodynamic properties are not well-documented in the </w:t>
      </w:r>
      <w:r w:rsidR="004432CD">
        <w:t xml:space="preserve">scientific </w:t>
      </w:r>
      <w:r w:rsidR="00001C65" w:rsidRPr="00B03B09">
        <w:t xml:space="preserve">literature. </w:t>
      </w:r>
      <w:r w:rsidR="007E19FF">
        <w:t>Indeed, only</w:t>
      </w:r>
      <w:r w:rsidR="004432CD">
        <w:t xml:space="preserve"> </w:t>
      </w:r>
      <w:r w:rsidR="003B1D83">
        <w:t>a few</w:t>
      </w:r>
      <w:r w:rsidR="00001C65" w:rsidRPr="00B03B09">
        <w:t xml:space="preserve"> relevant works provide a comprehensive overview of lactic acid properties, applications, and production. However, </w:t>
      </w:r>
      <w:r w:rsidR="009C16B1">
        <w:t>such reviews</w:t>
      </w:r>
      <w:r w:rsidR="00001C65" w:rsidRPr="00B03B09">
        <w:t xml:space="preserve"> </w:t>
      </w:r>
      <w:r w:rsidR="00033ECA">
        <w:t xml:space="preserve">neither </w:t>
      </w:r>
      <w:r w:rsidR="00001C65" w:rsidRPr="00B03B09">
        <w:t xml:space="preserve">specifically address the explosiveness of </w:t>
      </w:r>
      <w:r w:rsidR="009C16B1">
        <w:t>l</w:t>
      </w:r>
      <w:r w:rsidR="00001C65" w:rsidRPr="00B03B09">
        <w:t xml:space="preserve">actic acid </w:t>
      </w:r>
      <w:r w:rsidR="00033ECA">
        <w:t>nor</w:t>
      </w:r>
      <w:r w:rsidR="00001C65" w:rsidRPr="00B03B09">
        <w:t xml:space="preserve"> study its thermodynamic properties, providing valuable data on </w:t>
      </w:r>
      <w:r w:rsidR="007D46DF">
        <w:t xml:space="preserve">either its thermal </w:t>
      </w:r>
      <w:r w:rsidR="00001C65" w:rsidRPr="00B03B09">
        <w:t xml:space="preserve">stability </w:t>
      </w:r>
      <w:r w:rsidR="007D46DF">
        <w:t>or</w:t>
      </w:r>
      <w:r w:rsidR="00001C65" w:rsidRPr="00B03B09">
        <w:t xml:space="preserve"> behavior at different temperatures and pressures.</w:t>
      </w:r>
      <w:r w:rsidR="00E35CDD" w:rsidRPr="00B03B09">
        <w:t xml:space="preserve"> This </w:t>
      </w:r>
      <w:r w:rsidR="007D46DF">
        <w:t>work</w:t>
      </w:r>
      <w:r w:rsidR="00E35CDD" w:rsidRPr="00B03B09">
        <w:t xml:space="preserve"> aim</w:t>
      </w:r>
      <w:r w:rsidR="009D042F">
        <w:t>s</w:t>
      </w:r>
      <w:r w:rsidR="00E35CDD" w:rsidRPr="00B03B09">
        <w:t xml:space="preserve"> </w:t>
      </w:r>
      <w:r w:rsidR="007D46DF">
        <w:t>at</w:t>
      </w:r>
      <w:r w:rsidR="00E35CDD" w:rsidRPr="00B03B09">
        <w:t xml:space="preserve"> bridg</w:t>
      </w:r>
      <w:r w:rsidR="007D46DF">
        <w:t>ing</w:t>
      </w:r>
      <w:r w:rsidR="00E35CDD" w:rsidRPr="00B03B09">
        <w:t xml:space="preserve"> these </w:t>
      </w:r>
      <w:r w:rsidR="007D46DF">
        <w:t>lacks</w:t>
      </w:r>
      <w:r w:rsidR="00E35CDD" w:rsidRPr="00B03B09">
        <w:t xml:space="preserve"> by exploring </w:t>
      </w:r>
      <w:r w:rsidR="00CF37A0">
        <w:t>LA</w:t>
      </w:r>
      <w:r w:rsidR="00E35CDD" w:rsidRPr="00B03B09">
        <w:t xml:space="preserve"> </w:t>
      </w:r>
      <w:r w:rsidR="004A799D">
        <w:t xml:space="preserve">(here considered as a racemic mixture of either L or D-lactic acid) </w:t>
      </w:r>
      <w:r w:rsidR="00E35CDD" w:rsidRPr="00B03B09">
        <w:t>thermo</w:t>
      </w:r>
      <w:r w:rsidR="00133FC9">
        <w:t>chemical</w:t>
      </w:r>
      <w:r w:rsidR="00E35CDD" w:rsidRPr="00B03B09">
        <w:t xml:space="preserve"> </w:t>
      </w:r>
      <w:r w:rsidR="003437BC" w:rsidRPr="00B03B09">
        <w:t>behavior</w:t>
      </w:r>
      <w:r w:rsidR="0053113F">
        <w:t xml:space="preserve"> (through thermogravimetric studies and modelling)</w:t>
      </w:r>
      <w:r w:rsidR="00FF6B19">
        <w:t>,</w:t>
      </w:r>
      <w:r w:rsidR="005C45BE">
        <w:t xml:space="preserve"> </w:t>
      </w:r>
      <w:r w:rsidR="00E35CDD" w:rsidRPr="00B03B09">
        <w:t>explosive potential</w:t>
      </w:r>
      <w:r w:rsidR="0053113F">
        <w:t xml:space="preserve"> (calculating either </w:t>
      </w:r>
      <w:r w:rsidR="00FB5FBE">
        <w:t>Minimum Ignition Energy</w:t>
      </w:r>
      <w:r w:rsidR="00A47522">
        <w:t>, MIE,</w:t>
      </w:r>
      <w:r w:rsidR="00FB5FBE">
        <w:t xml:space="preserve"> </w:t>
      </w:r>
      <w:r w:rsidR="00A47522">
        <w:t>or</w:t>
      </w:r>
      <w:r w:rsidR="00FB5FBE">
        <w:t xml:space="preserve"> Deflagration Index</w:t>
      </w:r>
      <w:r w:rsidR="00A47522">
        <w:t xml:space="preserve">, </w:t>
      </w:r>
      <w:proofErr w:type="spellStart"/>
      <w:r w:rsidR="00A47522">
        <w:t>K</w:t>
      </w:r>
      <w:r w:rsidR="00A47522" w:rsidRPr="00A47522">
        <w:rPr>
          <w:vertAlign w:val="subscript"/>
        </w:rPr>
        <w:t>st</w:t>
      </w:r>
      <w:proofErr w:type="spellEnd"/>
      <w:r w:rsidR="00FB5FBE">
        <w:t>)</w:t>
      </w:r>
      <w:r w:rsidR="00E35CDD" w:rsidRPr="00B03B09">
        <w:t>, and associated safety challenges</w:t>
      </w:r>
      <w:r w:rsidR="009D042F">
        <w:t>.</w:t>
      </w:r>
      <w:r w:rsidR="00E35CDD" w:rsidRPr="00B03B09">
        <w:t xml:space="preserve"> Through this work, </w:t>
      </w:r>
      <w:r w:rsidR="009D042F">
        <w:t>the authors</w:t>
      </w:r>
      <w:r w:rsidR="00E35CDD" w:rsidRPr="00B03B09">
        <w:t xml:space="preserve"> </w:t>
      </w:r>
      <w:r w:rsidR="00A47522">
        <w:t xml:space="preserve">also </w:t>
      </w:r>
      <w:r w:rsidR="00FB5FBE">
        <w:t xml:space="preserve">wish </w:t>
      </w:r>
      <w:r w:rsidR="00E35CDD" w:rsidRPr="00B03B09">
        <w:t>to provide a foundation for both enhancing industrial safety and unlocking new applications for this versatile compound.</w:t>
      </w:r>
    </w:p>
    <w:bookmarkEnd w:id="1"/>
    <w:p w14:paraId="476B2F2E" w14:textId="33FF73DA" w:rsidR="00600535" w:rsidRPr="00B03B09" w:rsidRDefault="002B5944" w:rsidP="00600535">
      <w:pPr>
        <w:pStyle w:val="CETHeading1"/>
      </w:pPr>
      <w:r>
        <w:t xml:space="preserve"> </w:t>
      </w:r>
      <w:r w:rsidR="00600535" w:rsidRPr="00B03B09">
        <w:t>Introduction</w:t>
      </w:r>
    </w:p>
    <w:p w14:paraId="7F0996BF" w14:textId="0A104883" w:rsidR="005C33FB" w:rsidRDefault="0031375E" w:rsidP="00600535">
      <w:pPr>
        <w:pStyle w:val="CETBodytext"/>
      </w:pPr>
      <w:r>
        <w:t>L</w:t>
      </w:r>
      <w:r w:rsidR="005C33FB" w:rsidRPr="00B03B09">
        <w:t xml:space="preserve">actic acid (LA) is a multifunctional compound with </w:t>
      </w:r>
      <w:r w:rsidR="005C33FB">
        <w:t>wide</w:t>
      </w:r>
      <w:r w:rsidR="005C33FB" w:rsidRPr="00B03B09">
        <w:t xml:space="preserve"> industrial applications due to its </w:t>
      </w:r>
      <w:r w:rsidR="00220D5D">
        <w:t xml:space="preserve">relevant </w:t>
      </w:r>
      <w:r w:rsidR="005C33FB" w:rsidRPr="00B03B09">
        <w:t>physicochemical properties, such as mild acid</w:t>
      </w:r>
      <w:r w:rsidR="007D563E">
        <w:t>ity</w:t>
      </w:r>
      <w:r w:rsidR="005C33FB" w:rsidRPr="00B03B09">
        <w:t xml:space="preserve">, hydrophilic nature, and compatibility with a wide range of substances. This versatility has made it indispensable </w:t>
      </w:r>
      <w:r w:rsidR="00D00D48">
        <w:t xml:space="preserve">for </w:t>
      </w:r>
      <w:r w:rsidR="00FC6A2F">
        <w:t>several</w:t>
      </w:r>
      <w:r w:rsidR="00D00D48" w:rsidRPr="00E05F0A">
        <w:t xml:space="preserve"> industrial applications, ranging from food preservation to pharmaceutical formulations and biodegradable polymers</w:t>
      </w:r>
      <w:r w:rsidR="000D0B4F">
        <w:t xml:space="preserve"> (Castillo </w:t>
      </w:r>
      <w:r w:rsidR="009406F2">
        <w:t xml:space="preserve">Martinez </w:t>
      </w:r>
      <w:r w:rsidR="000D0B4F">
        <w:t>at al., 2013)</w:t>
      </w:r>
      <w:r w:rsidR="00D00D48" w:rsidRPr="00E05F0A">
        <w:t xml:space="preserve">. </w:t>
      </w:r>
      <w:r w:rsidR="009A0D5B">
        <w:t>P</w:t>
      </w:r>
      <w:r w:rsidR="00D00D48" w:rsidRPr="00E05F0A">
        <w:t>articular</w:t>
      </w:r>
      <w:r w:rsidR="009A0D5B">
        <w:t>ly</w:t>
      </w:r>
      <w:r w:rsidR="00D00D48" w:rsidRPr="00E05F0A">
        <w:t xml:space="preserve">, </w:t>
      </w:r>
      <w:r w:rsidR="00FC6A2F">
        <w:t xml:space="preserve">it </w:t>
      </w:r>
      <w:r w:rsidR="00D00D48" w:rsidRPr="00E05F0A">
        <w:t>is used as a pH regulator and stabilizing agent in baked goods, dairy products, and beverages</w:t>
      </w:r>
      <w:r w:rsidR="00F426E2">
        <w:t>;</w:t>
      </w:r>
      <w:r w:rsidR="00292515">
        <w:t xml:space="preserve"> </w:t>
      </w:r>
      <w:r w:rsidR="00F426E2">
        <w:t>i</w:t>
      </w:r>
      <w:r w:rsidR="00292515">
        <w:t xml:space="preserve">n fact, </w:t>
      </w:r>
      <w:r w:rsidR="00F426E2">
        <w:t>i</w:t>
      </w:r>
      <w:r w:rsidR="00292515" w:rsidRPr="00B03B09">
        <w:t>ts ability to inhibit microbial growth ensures extended shelf life for various products</w:t>
      </w:r>
      <w:r w:rsidR="00096C59">
        <w:t xml:space="preserve"> (</w:t>
      </w:r>
      <w:proofErr w:type="spellStart"/>
      <w:r w:rsidR="00F04880" w:rsidRPr="00F04880">
        <w:t>Eş</w:t>
      </w:r>
      <w:proofErr w:type="spellEnd"/>
      <w:r w:rsidR="00F04880">
        <w:t xml:space="preserve"> et al., 2018</w:t>
      </w:r>
      <w:r w:rsidR="00096C59">
        <w:t>)</w:t>
      </w:r>
      <w:r w:rsidR="00292515" w:rsidRPr="00B03B09">
        <w:t>.</w:t>
      </w:r>
      <w:r w:rsidR="00F426E2">
        <w:t xml:space="preserve"> </w:t>
      </w:r>
      <w:r w:rsidR="00096C59">
        <w:t xml:space="preserve">Moreover, </w:t>
      </w:r>
      <w:r w:rsidR="00096C59" w:rsidRPr="00B03B09">
        <w:t>LA finds a prominent role in the pharmaceutical and cosmetic sectors due to its biocompatibility and moisturizing properties</w:t>
      </w:r>
      <w:r w:rsidR="00096C59">
        <w:t xml:space="preserve"> (</w:t>
      </w:r>
      <w:r w:rsidR="00EE39FF">
        <w:t>Wang et al., 2016</w:t>
      </w:r>
      <w:r w:rsidR="00096C59">
        <w:t xml:space="preserve">). </w:t>
      </w:r>
      <w:r w:rsidR="005261D4">
        <w:t xml:space="preserve">In </w:t>
      </w:r>
      <w:r w:rsidR="008C27A9">
        <w:t xml:space="preserve">the </w:t>
      </w:r>
      <w:r w:rsidR="005261D4">
        <w:t>c</w:t>
      </w:r>
      <w:r w:rsidR="007A6695" w:rsidRPr="00B03B09">
        <w:t>hemical industry</w:t>
      </w:r>
      <w:r w:rsidR="005261D4">
        <w:t xml:space="preserve">, </w:t>
      </w:r>
      <w:r w:rsidR="007A6695" w:rsidRPr="00B03B09">
        <w:t xml:space="preserve">LA </w:t>
      </w:r>
      <w:r w:rsidR="005261D4">
        <w:t xml:space="preserve">is used </w:t>
      </w:r>
      <w:r w:rsidR="009D42D3">
        <w:t xml:space="preserve">either </w:t>
      </w:r>
      <w:r w:rsidR="007A6695" w:rsidRPr="00B03B09">
        <w:t xml:space="preserve">as a precursor in synthesizing biodegradable polymers </w:t>
      </w:r>
      <w:r w:rsidR="009D42D3">
        <w:t>or</w:t>
      </w:r>
      <w:r w:rsidR="007A6695" w:rsidRPr="00B03B09">
        <w:t xml:space="preserve"> as a</w:t>
      </w:r>
      <w:r w:rsidR="009D42D3">
        <w:t xml:space="preserve"> valuable</w:t>
      </w:r>
      <w:r w:rsidR="007A6695" w:rsidRPr="00B03B09">
        <w:t xml:space="preserve"> intermediate in chemical reactions</w:t>
      </w:r>
      <w:r w:rsidR="005261D4">
        <w:t xml:space="preserve"> (</w:t>
      </w:r>
      <w:r w:rsidR="005856E9">
        <w:t>Yu et al., 2023</w:t>
      </w:r>
      <w:r w:rsidR="005261D4">
        <w:t xml:space="preserve">). </w:t>
      </w:r>
      <w:r w:rsidR="005261D4" w:rsidRPr="00B03B09">
        <w:t xml:space="preserve">In textiles, LA </w:t>
      </w:r>
      <w:r w:rsidR="00AB7D0B">
        <w:t>finds</w:t>
      </w:r>
      <w:r w:rsidR="00E47C22">
        <w:t xml:space="preserve"> applications </w:t>
      </w:r>
      <w:r w:rsidR="005261D4" w:rsidRPr="00B03B09">
        <w:t>as a finishing agent in dyeing processes</w:t>
      </w:r>
      <w:r w:rsidR="00B470E9">
        <w:t xml:space="preserve"> </w:t>
      </w:r>
      <w:r w:rsidR="00E348AF">
        <w:t>because</w:t>
      </w:r>
      <w:r w:rsidR="005261D4" w:rsidRPr="00B03B09">
        <w:t xml:space="preserve"> </w:t>
      </w:r>
      <w:r w:rsidR="00E348AF">
        <w:t>i</w:t>
      </w:r>
      <w:r w:rsidR="005261D4" w:rsidRPr="00B03B09">
        <w:t xml:space="preserve">ts role as a pH regulator ensures </w:t>
      </w:r>
      <w:r w:rsidR="00E348AF">
        <w:t xml:space="preserve">both </w:t>
      </w:r>
      <w:r w:rsidR="005261D4" w:rsidRPr="00B03B09">
        <w:t>dye stability and better binding to fabrics. Additionally, its biodegradability aligns with the growing demand for eco-friendly practices in the textile sector.</w:t>
      </w:r>
    </w:p>
    <w:p w14:paraId="0AE80B07" w14:textId="14B6B671" w:rsidR="00D2666A" w:rsidRDefault="00E348AF" w:rsidP="00D2666A">
      <w:pPr>
        <w:pStyle w:val="CETBodytext"/>
      </w:pPr>
      <w:r>
        <w:t>R</w:t>
      </w:r>
      <w:r w:rsidR="00D2666A">
        <w:t>ecent advancements have explored the potential of LA in innovative fields, such as</w:t>
      </w:r>
      <w:r w:rsidR="00AB4E4D">
        <w:t xml:space="preserve"> </w:t>
      </w:r>
      <w:r w:rsidR="00AB7D0B">
        <w:t>b</w:t>
      </w:r>
      <w:r w:rsidR="00D2666A">
        <w:t xml:space="preserve">iomedical </w:t>
      </w:r>
      <w:r w:rsidR="00AB7D0B">
        <w:t>e</w:t>
      </w:r>
      <w:r w:rsidR="00D2666A">
        <w:t xml:space="preserve">ngineering </w:t>
      </w:r>
      <w:r w:rsidR="00AB4E4D">
        <w:t>(</w:t>
      </w:r>
      <w:r w:rsidR="00D2666A">
        <w:t xml:space="preserve">LA-based polymers are investigated for </w:t>
      </w:r>
      <w:r w:rsidR="002252C7">
        <w:t xml:space="preserve">both </w:t>
      </w:r>
      <w:r w:rsidR="00D2666A">
        <w:t xml:space="preserve">tissue engineering and bioresorbable medical </w:t>
      </w:r>
      <w:r w:rsidR="00AB7D0B">
        <w:t>devices</w:t>
      </w:r>
      <w:r w:rsidR="00AB4E4D">
        <w:t>)</w:t>
      </w:r>
      <w:r w:rsidR="00FD5B3E">
        <w:t xml:space="preserve">, </w:t>
      </w:r>
      <w:r w:rsidR="00D2666A">
        <w:tab/>
      </w:r>
      <w:r w:rsidR="00AB7D0B">
        <w:t>g</w:t>
      </w:r>
      <w:r w:rsidR="00D2666A">
        <w:t xml:space="preserve">reen </w:t>
      </w:r>
      <w:r w:rsidR="00AB7D0B">
        <w:t>c</w:t>
      </w:r>
      <w:r w:rsidR="00D2666A">
        <w:t xml:space="preserve">hemistry </w:t>
      </w:r>
      <w:r w:rsidR="00FD5B3E">
        <w:t>(t</w:t>
      </w:r>
      <w:r w:rsidR="00D2666A">
        <w:t>he use of LA as a feedstock for synthesizing other biodegradable and bio-based chemicals, such as lactate esters, highlights its role in sustainable chemical manufacturing</w:t>
      </w:r>
      <w:r w:rsidR="00FD5B3E">
        <w:t xml:space="preserve">) and </w:t>
      </w:r>
      <w:r w:rsidR="00AB7D0B">
        <w:t>a</w:t>
      </w:r>
      <w:r w:rsidR="00D2666A">
        <w:t>griculture</w:t>
      </w:r>
      <w:r w:rsidR="00FD5B3E">
        <w:t xml:space="preserve"> (</w:t>
      </w:r>
      <w:r w:rsidR="00D2666A">
        <w:t>LA serves as a component in eco-friendly fertilizers and pesticides, emphasizing its utility in sustainable farming practices</w:t>
      </w:r>
      <w:r w:rsidR="00FD5B3E">
        <w:t>)</w:t>
      </w:r>
      <w:r w:rsidR="00D2666A">
        <w:t>.</w:t>
      </w:r>
    </w:p>
    <w:p w14:paraId="281CB8C3" w14:textId="6E0E0A44" w:rsidR="00FD5B3E" w:rsidRDefault="008302A4" w:rsidP="00D2666A">
      <w:pPr>
        <w:pStyle w:val="CETBodytext"/>
      </w:pPr>
      <w:r>
        <w:t>Finally, it is possible to state that t</w:t>
      </w:r>
      <w:r w:rsidR="00FD5B3E" w:rsidRPr="00B03B09">
        <w:t xml:space="preserve">he global lactic acid market is expanding rapidly, driven by the increasing demand for biodegradable materials and eco-friendly solutions. </w:t>
      </w:r>
      <w:r w:rsidR="0031375E">
        <w:t>L</w:t>
      </w:r>
      <w:r w:rsidR="00FD5B3E" w:rsidRPr="00B03B09">
        <w:t>actic acid, with its non-toxic and biodegradable properties, is at the forefront of this growth. Its adoption aligns with international environmental goals, such as reducing reliance on petrochemicals and enhancing industrial sustainability</w:t>
      </w:r>
      <w:r>
        <w:t xml:space="preserve"> (</w:t>
      </w:r>
      <w:r w:rsidR="00F13A09">
        <w:t>Nazer et al., 2021</w:t>
      </w:r>
      <w:r>
        <w:t>)</w:t>
      </w:r>
      <w:r w:rsidR="00FD5B3E" w:rsidRPr="00B03B09">
        <w:t>.</w:t>
      </w:r>
      <w:r w:rsidR="007F36B1">
        <w:t xml:space="preserve"> </w:t>
      </w:r>
    </w:p>
    <w:p w14:paraId="6E422F3A" w14:textId="31BB367E" w:rsidR="00212438" w:rsidRDefault="006F4520" w:rsidP="00600535">
      <w:pPr>
        <w:pStyle w:val="CETBodytext"/>
      </w:pPr>
      <w:r>
        <w:lastRenderedPageBreak/>
        <w:t>Concluding this introductive overview, w</w:t>
      </w:r>
      <w:r w:rsidR="00E05F0A" w:rsidRPr="00B03B09">
        <w:t xml:space="preserve">hile </w:t>
      </w:r>
      <w:r w:rsidR="007F36B1">
        <w:t>the</w:t>
      </w:r>
      <w:r w:rsidR="00E05F0A" w:rsidRPr="00B03B09">
        <w:t xml:space="preserve"> applications </w:t>
      </w:r>
      <w:r w:rsidR="007F36B1">
        <w:t xml:space="preserve">of </w:t>
      </w:r>
      <w:r w:rsidR="008570EF">
        <w:t xml:space="preserve">LA </w:t>
      </w:r>
      <w:r w:rsidR="00E05F0A" w:rsidRPr="00B03B09">
        <w:t>are well-documented, the understanding of its explosiveness and thermo</w:t>
      </w:r>
      <w:r w:rsidR="00045CF0">
        <w:t>chemical</w:t>
      </w:r>
      <w:r w:rsidR="00E05F0A" w:rsidRPr="00B03B09">
        <w:t xml:space="preserve"> behavior remains fragmented. </w:t>
      </w:r>
      <w:r w:rsidR="004E3246" w:rsidRPr="00B03B09">
        <w:t xml:space="preserve">Studies by </w:t>
      </w:r>
      <w:proofErr w:type="spellStart"/>
      <w:r w:rsidR="004E3246" w:rsidRPr="00B03B09">
        <w:t>Emel’yanenko</w:t>
      </w:r>
      <w:proofErr w:type="spellEnd"/>
      <w:r w:rsidR="004E3246" w:rsidRPr="00B03B09">
        <w:t xml:space="preserve"> et al. (2010) </w:t>
      </w:r>
      <w:r w:rsidR="00125C2C">
        <w:t xml:space="preserve">on </w:t>
      </w:r>
      <w:r w:rsidR="00E467F1">
        <w:t>L</w:t>
      </w:r>
      <w:r w:rsidR="00125C2C">
        <w:t xml:space="preserve">-LA </w:t>
      </w:r>
      <w:r w:rsidR="00B473D5">
        <w:t xml:space="preserve">have </w:t>
      </w:r>
      <w:r w:rsidR="004E3246" w:rsidRPr="00B03B09">
        <w:t>provide</w:t>
      </w:r>
      <w:r w:rsidR="00B473D5">
        <w:t>d</w:t>
      </w:r>
      <w:r w:rsidR="004E3246" w:rsidRPr="00B03B09">
        <w:t xml:space="preserve"> foundational data</w:t>
      </w:r>
      <w:r w:rsidR="00FC06E9">
        <w:t xml:space="preserve">. </w:t>
      </w:r>
      <w:r w:rsidR="00125C2C">
        <w:t>From</w:t>
      </w:r>
      <w:r w:rsidR="00FC5B48" w:rsidRPr="00FC5B48">
        <w:t xml:space="preserve"> a thermochemical point of view, </w:t>
      </w:r>
      <w:r w:rsidR="00B473D5">
        <w:t>they</w:t>
      </w:r>
      <w:r w:rsidR="00FC5B48" w:rsidRPr="00FC5B48">
        <w:t xml:space="preserve"> </w:t>
      </w:r>
      <w:r w:rsidR="00B473D5">
        <w:t xml:space="preserve">have </w:t>
      </w:r>
      <w:r w:rsidR="00FC5B48" w:rsidRPr="00FC5B48">
        <w:t>indicat</w:t>
      </w:r>
      <w:r w:rsidR="00B473D5">
        <w:t>ed</w:t>
      </w:r>
      <w:r w:rsidR="00FC5B48" w:rsidRPr="00FC5B48">
        <w:t xml:space="preserve"> </w:t>
      </w:r>
      <w:r w:rsidR="00B473D5">
        <w:t>an</w:t>
      </w:r>
      <w:r w:rsidR="00FC5B48" w:rsidRPr="00FC5B48">
        <w:t xml:space="preserve"> enthalpy of combustion </w:t>
      </w:r>
      <w:r w:rsidR="00B473D5">
        <w:t>of</w:t>
      </w:r>
      <w:r w:rsidR="00FC5B48" w:rsidRPr="00FC5B48">
        <w:t xml:space="preserve"> –1337.9 ±</w:t>
      </w:r>
      <w:r w:rsidR="001368D2">
        <w:t xml:space="preserve"> </w:t>
      </w:r>
      <w:r w:rsidR="00FC5B48" w:rsidRPr="00FC5B48">
        <w:t>0.8 kJ</w:t>
      </w:r>
      <w:r w:rsidR="001548EB">
        <w:t>/mol</w:t>
      </w:r>
      <w:r w:rsidR="00FC5B48" w:rsidRPr="00FC5B48">
        <w:t xml:space="preserve"> and </w:t>
      </w:r>
      <w:r w:rsidR="001548EB">
        <w:t xml:space="preserve">a </w:t>
      </w:r>
      <w:r w:rsidR="00FC5B48" w:rsidRPr="00FC5B48">
        <w:t>standard heat of formation of 700</w:t>
      </w:r>
      <w:r w:rsidR="001368D2">
        <w:t xml:space="preserve"> </w:t>
      </w:r>
      <w:r w:rsidR="00FC5B48" w:rsidRPr="00FC5B48">
        <w:t>±</w:t>
      </w:r>
      <w:r w:rsidR="001368D2">
        <w:t xml:space="preserve"> </w:t>
      </w:r>
      <w:r w:rsidR="00FC5B48" w:rsidRPr="00FC5B48">
        <w:t>0.9</w:t>
      </w:r>
      <w:r w:rsidR="001368D2">
        <w:t xml:space="preserve"> </w:t>
      </w:r>
      <w:r w:rsidR="00FC5B48" w:rsidRPr="00FC5B48">
        <w:t>kJ</w:t>
      </w:r>
      <w:r w:rsidR="001548EB">
        <w:t>/mol</w:t>
      </w:r>
      <w:r w:rsidR="00FC5B48" w:rsidRPr="00FC5B48">
        <w:t xml:space="preserve">. The enthalpy of </w:t>
      </w:r>
      <w:r w:rsidR="001548EB" w:rsidRPr="00FC5B48">
        <w:t>vaporization</w:t>
      </w:r>
      <w:r w:rsidR="00FC5B48" w:rsidRPr="00FC5B48">
        <w:t xml:space="preserve"> </w:t>
      </w:r>
      <w:r w:rsidR="001548EB">
        <w:t>has been</w:t>
      </w:r>
      <w:r w:rsidR="00FC5B48" w:rsidRPr="00FC5B48">
        <w:t xml:space="preserve"> reported </w:t>
      </w:r>
      <w:r w:rsidR="001548EB">
        <w:t xml:space="preserve">equal to </w:t>
      </w:r>
      <w:r w:rsidR="00FC5B48" w:rsidRPr="00FC5B48">
        <w:t>69.1</w:t>
      </w:r>
      <w:r w:rsidR="001368D2">
        <w:t xml:space="preserve"> </w:t>
      </w:r>
      <w:r w:rsidR="00FC5B48" w:rsidRPr="00FC5B48">
        <w:t>±</w:t>
      </w:r>
      <w:r w:rsidR="001368D2">
        <w:t xml:space="preserve"> </w:t>
      </w:r>
      <w:r w:rsidR="00FC5B48" w:rsidRPr="00FC5B48">
        <w:t xml:space="preserve">1.0 </w:t>
      </w:r>
      <w:r w:rsidR="00E97813" w:rsidRPr="00E97813">
        <w:t>kJ/mol</w:t>
      </w:r>
      <w:r w:rsidR="00FC5B48" w:rsidRPr="00FC5B48">
        <w:t xml:space="preserve">, whereas the melting temperature </w:t>
      </w:r>
      <w:r w:rsidR="00E97813">
        <w:t>has been found equal to</w:t>
      </w:r>
      <w:r w:rsidR="00FC5B48" w:rsidRPr="00FC5B48">
        <w:t xml:space="preserve"> 57.25 °C.</w:t>
      </w:r>
      <w:r w:rsidR="0067646F">
        <w:t xml:space="preserve"> </w:t>
      </w:r>
      <w:r w:rsidR="007A4049">
        <w:t>On the contrary, a</w:t>
      </w:r>
      <w:r w:rsidR="00CB3389" w:rsidRPr="00CB3389">
        <w:t xml:space="preserve"> dearth of data can be observed for </w:t>
      </w:r>
      <w:r w:rsidR="00E467F1">
        <w:t>D</w:t>
      </w:r>
      <w:r w:rsidR="00CB3389" w:rsidRPr="00CB3389">
        <w:t>-LA</w:t>
      </w:r>
      <w:r w:rsidR="002B412A">
        <w:t xml:space="preserve">, which is quite difficult (also because of the associated costs) to </w:t>
      </w:r>
      <w:r w:rsidR="001368D2">
        <w:t>separate</w:t>
      </w:r>
      <w:r w:rsidR="002B412A">
        <w:t xml:space="preserve"> from its </w:t>
      </w:r>
      <w:r w:rsidR="004B1832">
        <w:t>enantiomer.</w:t>
      </w:r>
      <w:r w:rsidR="00CB3389" w:rsidRPr="00CB3389">
        <w:t xml:space="preserve"> </w:t>
      </w:r>
      <w:r w:rsidR="004B1832">
        <w:t xml:space="preserve">Generally, the most diffused form of </w:t>
      </w:r>
      <w:r w:rsidR="001368D2">
        <w:t>commercial</w:t>
      </w:r>
      <w:r w:rsidR="004B1832">
        <w:t xml:space="preserve"> LA is</w:t>
      </w:r>
      <w:r w:rsidR="00CB3389" w:rsidRPr="00CB3389">
        <w:t xml:space="preserve"> a </w:t>
      </w:r>
      <w:r w:rsidR="00775B00" w:rsidRPr="00CB3389">
        <w:t>1:1</w:t>
      </w:r>
      <w:r w:rsidR="00775B00">
        <w:t xml:space="preserve"> (</w:t>
      </w:r>
      <w:proofErr w:type="spellStart"/>
      <w:r w:rsidR="00775B00">
        <w:t>w:w</w:t>
      </w:r>
      <w:proofErr w:type="spellEnd"/>
      <w:r w:rsidR="00775B00">
        <w:t xml:space="preserve">) </w:t>
      </w:r>
      <w:r w:rsidR="00CB3389" w:rsidRPr="00CB3389">
        <w:t>mixture of the two isomers</w:t>
      </w:r>
      <w:r w:rsidR="004B1832">
        <w:t>,</w:t>
      </w:r>
      <w:r w:rsidR="00CB3389" w:rsidRPr="00CB3389">
        <w:t xml:space="preserve"> </w:t>
      </w:r>
      <w:r w:rsidR="005F7E77">
        <w:t>known</w:t>
      </w:r>
      <w:r w:rsidR="00CB3389" w:rsidRPr="00CB3389">
        <w:t xml:space="preserve"> as DL-lactic acid or racemic lactic acid (DL-LA, CAS 50-21-5). The DL mixture is reported to melt at a lower temperature</w:t>
      </w:r>
      <w:r w:rsidR="005F7E77">
        <w:t xml:space="preserve"> with respect to the pure isomers</w:t>
      </w:r>
      <w:r w:rsidR="00CB3389" w:rsidRPr="00CB3389">
        <w:t xml:space="preserve">, </w:t>
      </w:r>
      <w:r w:rsidR="0013161F">
        <w:t xml:space="preserve">which is </w:t>
      </w:r>
      <w:r w:rsidR="00CB3389" w:rsidRPr="00CB3389">
        <w:t xml:space="preserve">about 16.8 °C. </w:t>
      </w:r>
      <w:r w:rsidR="0013161F">
        <w:t>Unfortunately, t</w:t>
      </w:r>
      <w:r w:rsidR="00CB3389" w:rsidRPr="00CB3389">
        <w:t xml:space="preserve">his temperature is often addressed as the melting point of any isomer of lactic acid, </w:t>
      </w:r>
      <w:r w:rsidR="00FA4E9F">
        <w:t>making</w:t>
      </w:r>
      <w:r w:rsidR="00CB3389" w:rsidRPr="00CB3389">
        <w:t xml:space="preserve"> </w:t>
      </w:r>
      <w:r w:rsidR="00F00C8C">
        <w:t xml:space="preserve">some </w:t>
      </w:r>
      <w:r w:rsidR="00CB3389" w:rsidRPr="00CB3389">
        <w:t>confus</w:t>
      </w:r>
      <w:r w:rsidR="00FA4E9F">
        <w:t>ing</w:t>
      </w:r>
      <w:r w:rsidR="0013161F">
        <w:t xml:space="preserve"> </w:t>
      </w:r>
      <w:r w:rsidR="00FA4E9F">
        <w:t>data</w:t>
      </w:r>
      <w:r w:rsidR="00CB3389" w:rsidRPr="00CB3389">
        <w:t xml:space="preserve">. </w:t>
      </w:r>
    </w:p>
    <w:p w14:paraId="7C1F9793" w14:textId="77777777" w:rsidR="00FF1A28" w:rsidRDefault="00CB3389" w:rsidP="00600535">
      <w:pPr>
        <w:pStyle w:val="CETBodytext"/>
      </w:pPr>
      <w:r w:rsidRPr="00CB3389">
        <w:t xml:space="preserve">For the DL-lactic acid, </w:t>
      </w:r>
      <w:proofErr w:type="spellStart"/>
      <w:r w:rsidRPr="00CB3389">
        <w:t>Komesu</w:t>
      </w:r>
      <w:proofErr w:type="spellEnd"/>
      <w:r w:rsidRPr="00CB3389">
        <w:t xml:space="preserve"> et al. (2017) have shown that the enthalpy of vaporization is </w:t>
      </w:r>
      <w:r w:rsidR="00212438">
        <w:t xml:space="preserve">around </w:t>
      </w:r>
      <w:r w:rsidRPr="00CB3389">
        <w:t>-56.90 kJ</w:t>
      </w:r>
      <w:r w:rsidR="004E63F9">
        <w:t>/mol</w:t>
      </w:r>
      <w:r w:rsidRPr="00CB3389">
        <w:t xml:space="preserve">. </w:t>
      </w:r>
      <w:r w:rsidR="0072139C">
        <w:t>Their t</w:t>
      </w:r>
      <w:r w:rsidRPr="00CB3389">
        <w:t xml:space="preserve">hermal analysis by DSC </w:t>
      </w:r>
      <w:r w:rsidR="00F00C8C">
        <w:t>has</w:t>
      </w:r>
      <w:r w:rsidR="0072139C">
        <w:t xml:space="preserve"> </w:t>
      </w:r>
      <w:r w:rsidRPr="00CB3389">
        <w:t>show</w:t>
      </w:r>
      <w:r w:rsidR="00C405FD">
        <w:t>n</w:t>
      </w:r>
      <w:r w:rsidRPr="00CB3389">
        <w:t xml:space="preserve"> an intense endothermal peak starting at 174.2 °C, with negligible differences between S-LA and D-LA</w:t>
      </w:r>
      <w:r w:rsidR="002A1725">
        <w:t>,</w:t>
      </w:r>
      <w:r w:rsidRPr="00CB3389">
        <w:t xml:space="preserve"> and a second peak </w:t>
      </w:r>
      <w:r w:rsidR="00C83F89">
        <w:t>(</w:t>
      </w:r>
      <w:r w:rsidR="00C83F89" w:rsidRPr="00CB3389">
        <w:t>at 352 °C</w:t>
      </w:r>
      <w:r w:rsidR="00C83F89">
        <w:t xml:space="preserve">) </w:t>
      </w:r>
      <w:r w:rsidRPr="00CB3389">
        <w:t xml:space="preserve">which </w:t>
      </w:r>
      <w:r w:rsidR="002A1725">
        <w:t>could be</w:t>
      </w:r>
      <w:r w:rsidRPr="00CB3389">
        <w:t xml:space="preserve"> attributed to lactide, which is </w:t>
      </w:r>
      <w:r w:rsidR="002A1725">
        <w:t xml:space="preserve">a compound </w:t>
      </w:r>
      <w:r w:rsidRPr="00CB3389">
        <w:t xml:space="preserve">formed by the dimerization of lactic acid. Besides, the DTG </w:t>
      </w:r>
      <w:r w:rsidR="00FA4E9F">
        <w:t>graph</w:t>
      </w:r>
      <w:r w:rsidR="00C405FD">
        <w:t xml:space="preserve"> has </w:t>
      </w:r>
      <w:r w:rsidRPr="00CB3389">
        <w:t>show</w:t>
      </w:r>
      <w:r w:rsidR="00C405FD">
        <w:t>n</w:t>
      </w:r>
      <w:r w:rsidRPr="00CB3389">
        <w:t xml:space="preserve"> a first peak due to the evaporation of impurities typically present in lactic acid, mainly methanol,</w:t>
      </w:r>
      <w:r w:rsidR="00A364B1">
        <w:t xml:space="preserve"> </w:t>
      </w:r>
      <w:r w:rsidRPr="00CB3389">
        <w:t xml:space="preserve">a second peak </w:t>
      </w:r>
      <w:r w:rsidR="00240C0B">
        <w:t>(</w:t>
      </w:r>
      <w:r w:rsidRPr="00CB3389">
        <w:t>at 185.9 °C</w:t>
      </w:r>
      <w:r w:rsidR="00240C0B">
        <w:t xml:space="preserve">) of </w:t>
      </w:r>
      <w:r w:rsidR="00242520">
        <w:t>dubious entity</w:t>
      </w:r>
      <w:r w:rsidR="00FA4E9F">
        <w:t>,</w:t>
      </w:r>
      <w:r w:rsidRPr="00CB3389">
        <w:t xml:space="preserve"> and a final peak related to </w:t>
      </w:r>
      <w:r w:rsidR="00242520">
        <w:t xml:space="preserve">the </w:t>
      </w:r>
      <w:r w:rsidRPr="00CB3389">
        <w:t>lactide</w:t>
      </w:r>
      <w:r w:rsidR="00242520">
        <w:t xml:space="preserve"> formation</w:t>
      </w:r>
      <w:r w:rsidRPr="00CB3389">
        <w:t>.</w:t>
      </w:r>
      <w:r w:rsidR="00A364B1">
        <w:t xml:space="preserve"> </w:t>
      </w:r>
      <w:r w:rsidR="00CE1BA1" w:rsidRPr="00CE1BA1">
        <w:t xml:space="preserve">In this regard, TG-MS curve profiles </w:t>
      </w:r>
      <w:r w:rsidR="00E304E5">
        <w:t xml:space="preserve">have </w:t>
      </w:r>
      <w:r w:rsidR="00CE1BA1" w:rsidRPr="00CE1BA1">
        <w:t>show</w:t>
      </w:r>
      <w:r w:rsidR="00E304E5">
        <w:t>n</w:t>
      </w:r>
      <w:r w:rsidR="00CE1BA1" w:rsidRPr="00CE1BA1">
        <w:t xml:space="preserve"> many decomposition products when lactic acid is heated. At 300 °C, the dehydration to acrylic acid and the decomposition reaction to propionic acid and oxygen </w:t>
      </w:r>
      <w:r w:rsidR="004B0ED0">
        <w:t>have been</w:t>
      </w:r>
      <w:r w:rsidR="00CE1BA1" w:rsidRPr="00CE1BA1">
        <w:t xml:space="preserve"> observed. Since the start of heating, however, the decarboxylation of lactic acid, with the formation of acetaldehyde and carbon dioxide (and hydrogen) </w:t>
      </w:r>
      <w:r w:rsidR="004B0ED0">
        <w:t>has been also</w:t>
      </w:r>
      <w:r w:rsidR="00CE1BA1" w:rsidRPr="00CE1BA1">
        <w:t xml:space="preserve"> observed. Finally, </w:t>
      </w:r>
      <w:proofErr w:type="spellStart"/>
      <w:r w:rsidR="00CE1BA1" w:rsidRPr="00CE1BA1">
        <w:t>Emel’yanenko</w:t>
      </w:r>
      <w:proofErr w:type="spellEnd"/>
      <w:r w:rsidR="00CE1BA1" w:rsidRPr="00CE1BA1">
        <w:t xml:space="preserve"> et al. (2010) report a dimerization towards optically active lactide (lactone cyclic ester) only above 180 °С. Indeed, the lactic acid self-reacts to lactides on heating. Lactides are readily decomposed into fragments (carbon monoxide, acetaldehyde, and water) thus competing with the dehydration process to acrylic acid.</w:t>
      </w:r>
      <w:r w:rsidR="00A364B1">
        <w:t xml:space="preserve"> </w:t>
      </w:r>
    </w:p>
    <w:p w14:paraId="5204751E" w14:textId="7823DF18" w:rsidR="005D1134" w:rsidRDefault="0039415C" w:rsidP="00600535">
      <w:pPr>
        <w:pStyle w:val="CETBodytext"/>
      </w:pPr>
      <w:r>
        <w:t>Eventually</w:t>
      </w:r>
      <w:r w:rsidR="00074A7F">
        <w:t xml:space="preserve">, </w:t>
      </w:r>
      <w:r>
        <w:t xml:space="preserve">it is worth saying that, </w:t>
      </w:r>
      <w:r w:rsidR="00FA4E9F">
        <w:t>besides</w:t>
      </w:r>
      <w:r w:rsidR="000C0F0D">
        <w:t xml:space="preserve"> these studies</w:t>
      </w:r>
      <w:r>
        <w:t>,</w:t>
      </w:r>
      <w:r w:rsidR="000C0F0D">
        <w:t xml:space="preserve"> no data related to either flammability </w:t>
      </w:r>
      <w:r w:rsidR="00C40B6A">
        <w:t>(e.g. Flash Point</w:t>
      </w:r>
      <w:r w:rsidR="001E1790">
        <w:t>, Lower and Upper Flammability Limits, etc.</w:t>
      </w:r>
      <w:r w:rsidR="00C40B6A">
        <w:t xml:space="preserve">) </w:t>
      </w:r>
      <w:r w:rsidR="000C0F0D">
        <w:t xml:space="preserve">or explosibility </w:t>
      </w:r>
      <w:r w:rsidR="00C40B6A">
        <w:t xml:space="preserve">(e.g. Minimum Ignition Energy, Deflagration Index, etc.) </w:t>
      </w:r>
      <w:r w:rsidR="000C0F0D">
        <w:t xml:space="preserve">of lactic acid are </w:t>
      </w:r>
      <w:r w:rsidR="00FA4E9F">
        <w:t>currently</w:t>
      </w:r>
      <w:r w:rsidR="001E1790">
        <w:t xml:space="preserve"> </w:t>
      </w:r>
      <w:r w:rsidR="000C0F0D">
        <w:t xml:space="preserve">available in the </w:t>
      </w:r>
      <w:r w:rsidR="00CD1647">
        <w:t xml:space="preserve">scientific </w:t>
      </w:r>
      <w:r w:rsidR="000C0F0D">
        <w:t>literature</w:t>
      </w:r>
      <w:r w:rsidR="005D1134">
        <w:t xml:space="preserve">. This work aims at proposing a theoretical approach which, </w:t>
      </w:r>
      <w:r w:rsidR="00FF1A28">
        <w:t>based</w:t>
      </w:r>
      <w:r w:rsidR="005D1134">
        <w:t xml:space="preserve"> on already available thermochemical data, </w:t>
      </w:r>
      <w:r w:rsidR="003E7C52">
        <w:t>can provide</w:t>
      </w:r>
      <w:r w:rsidR="001E1790">
        <w:t xml:space="preserve"> </w:t>
      </w:r>
      <w:r w:rsidR="003E7C52">
        <w:t xml:space="preserve">some of </w:t>
      </w:r>
      <w:r w:rsidR="00FF1A28">
        <w:t>this</w:t>
      </w:r>
      <w:r w:rsidR="003E7C52">
        <w:t xml:space="preserve"> missing information</w:t>
      </w:r>
      <w:r w:rsidR="00A20970">
        <w:t xml:space="preserve"> with a quite high degree of </w:t>
      </w:r>
      <w:r w:rsidR="009F207D">
        <w:t>accuracy</w:t>
      </w:r>
      <w:r w:rsidR="003E7C52">
        <w:t>.</w:t>
      </w:r>
    </w:p>
    <w:p w14:paraId="5741900F" w14:textId="6A0C44FD" w:rsidR="00453E24" w:rsidRDefault="002B5944" w:rsidP="00453E24">
      <w:pPr>
        <w:pStyle w:val="CETHeading1"/>
      </w:pPr>
      <w:r>
        <w:t xml:space="preserve"> </w:t>
      </w:r>
      <w:r w:rsidR="00747832">
        <w:t>Theoretical Model</w:t>
      </w:r>
      <w:r w:rsidR="00792DD0">
        <w:t>s</w:t>
      </w:r>
    </w:p>
    <w:p w14:paraId="546BE95B" w14:textId="098F59D0" w:rsidR="000A5155" w:rsidRPr="00B03B09" w:rsidRDefault="009261FC" w:rsidP="007B7F09">
      <w:pPr>
        <w:pStyle w:val="CETBodytext"/>
      </w:pPr>
      <w:r>
        <w:t xml:space="preserve">In the following, the </w:t>
      </w:r>
      <w:r w:rsidR="00BE4426">
        <w:t>mathematical</w:t>
      </w:r>
      <w:r>
        <w:t xml:space="preserve"> models used to estimate</w:t>
      </w:r>
      <w:r w:rsidR="000C54D7">
        <w:t xml:space="preserve"> Minimum Ignition Energy (MIE), Flash Point (FP) and Deflagration Index (</w:t>
      </w:r>
      <w:proofErr w:type="spellStart"/>
      <w:r w:rsidR="000C54D7">
        <w:t>K</w:t>
      </w:r>
      <w:r w:rsidR="000C54D7" w:rsidRPr="000C54D7">
        <w:rPr>
          <w:vertAlign w:val="subscript"/>
        </w:rPr>
        <w:t>st</w:t>
      </w:r>
      <w:proofErr w:type="spellEnd"/>
      <w:r w:rsidR="000C54D7">
        <w:t>) will be</w:t>
      </w:r>
      <w:r w:rsidR="008F7A67">
        <w:t xml:space="preserve"> </w:t>
      </w:r>
      <w:r w:rsidR="005346AE">
        <w:t>presented</w:t>
      </w:r>
      <w:r w:rsidR="000C54D7">
        <w:t>.</w:t>
      </w:r>
      <w:r w:rsidR="000A5155">
        <w:t xml:space="preserve"> It is worth noting that </w:t>
      </w:r>
      <w:r w:rsidR="00BE4426">
        <w:t xml:space="preserve">the </w:t>
      </w:r>
      <w:r w:rsidR="008F7A67">
        <w:t xml:space="preserve">complete </w:t>
      </w:r>
      <w:r w:rsidR="00BE4426">
        <w:t xml:space="preserve">theoretical background of all these models </w:t>
      </w:r>
      <w:r w:rsidR="00FF1A28">
        <w:t>has</w:t>
      </w:r>
      <w:r w:rsidR="007C4681">
        <w:t xml:space="preserve"> been already detailed in previous literature works</w:t>
      </w:r>
      <w:r w:rsidR="00342999">
        <w:t>;</w:t>
      </w:r>
      <w:r w:rsidR="008F7A67">
        <w:t xml:space="preserve"> therefore</w:t>
      </w:r>
      <w:r w:rsidR="00342999">
        <w:t>,</w:t>
      </w:r>
      <w:r w:rsidR="008F7A67">
        <w:t xml:space="preserve"> </w:t>
      </w:r>
      <w:r w:rsidR="00342999">
        <w:t>within this paper,</w:t>
      </w:r>
      <w:r w:rsidR="008F7A67">
        <w:t xml:space="preserve"> they </w:t>
      </w:r>
      <w:r w:rsidR="005346AE">
        <w:t>will be only briefly summarized</w:t>
      </w:r>
      <w:r w:rsidR="00342999">
        <w:t xml:space="preserve"> (highlighting the main hypotheses on which they are based).</w:t>
      </w:r>
    </w:p>
    <w:p w14:paraId="28901B89" w14:textId="6B3E79A9" w:rsidR="005F65DF" w:rsidRDefault="00C92280" w:rsidP="005F65DF">
      <w:pPr>
        <w:pStyle w:val="CETheadingx"/>
      </w:pPr>
      <w:r>
        <w:t xml:space="preserve">The estimation of </w:t>
      </w:r>
      <w:r w:rsidR="00792DD0">
        <w:t xml:space="preserve">Minimum Ignition Energy and Flash Point </w:t>
      </w:r>
    </w:p>
    <w:p w14:paraId="14631189" w14:textId="2B1B4EDB" w:rsidR="000C54D7" w:rsidRDefault="0093519F" w:rsidP="000C54D7">
      <w:pPr>
        <w:pStyle w:val="CETBodytext"/>
      </w:pPr>
      <w:r>
        <w:t xml:space="preserve">The </w:t>
      </w:r>
      <w:r w:rsidR="00342999">
        <w:t>Minimum Ignition Energy</w:t>
      </w:r>
      <w:r w:rsidR="009D64DF">
        <w:t xml:space="preserve"> (MIE)</w:t>
      </w:r>
      <w:r w:rsidR="00AA2886" w:rsidRPr="00AA2886">
        <w:t xml:space="preserve"> is </w:t>
      </w:r>
      <w:r w:rsidR="00344881">
        <w:t xml:space="preserve">either a flammability or explosibility parameter </w:t>
      </w:r>
      <w:r w:rsidR="004C048A">
        <w:t xml:space="preserve">used to characterize gases, </w:t>
      </w:r>
      <w:r w:rsidR="00C92280">
        <w:t>liquids</w:t>
      </w:r>
      <w:r w:rsidR="004C048A">
        <w:t xml:space="preserve"> and solids (in </w:t>
      </w:r>
      <w:r w:rsidR="00C92280">
        <w:t xml:space="preserve">the </w:t>
      </w:r>
      <w:r w:rsidR="004C048A">
        <w:t>form of dus</w:t>
      </w:r>
      <w:r w:rsidR="009C5528">
        <w:t>t</w:t>
      </w:r>
      <w:r w:rsidR="00C92280">
        <w:t xml:space="preserve"> suspension</w:t>
      </w:r>
      <w:r w:rsidR="004C048A">
        <w:t xml:space="preserve">). </w:t>
      </w:r>
      <w:r w:rsidR="005C5913">
        <w:t>When referred to dust, i</w:t>
      </w:r>
      <w:r w:rsidR="004C048A">
        <w:t xml:space="preserve">t is </w:t>
      </w:r>
      <w:r w:rsidR="00AA2886" w:rsidRPr="00AA2886">
        <w:t>usually</w:t>
      </w:r>
      <w:r w:rsidR="00AA2886">
        <w:t xml:space="preserve"> </w:t>
      </w:r>
      <w:r w:rsidR="005C5913">
        <w:t>evaluated</w:t>
      </w:r>
      <w:r w:rsidR="00AA2886" w:rsidRPr="00AA2886">
        <w:t xml:space="preserve"> using </w:t>
      </w:r>
      <w:r w:rsidR="00C92280">
        <w:t xml:space="preserve">the </w:t>
      </w:r>
      <w:r w:rsidR="00AA2886">
        <w:t>MIKE3</w:t>
      </w:r>
      <w:r w:rsidR="00AA2886" w:rsidRPr="00AA2886">
        <w:t xml:space="preserve"> equipment</w:t>
      </w:r>
      <w:r w:rsidR="00CB37EC">
        <w:t xml:space="preserve"> (see Hartmann tube design)</w:t>
      </w:r>
      <w:r w:rsidR="00AA2886" w:rsidRPr="00AA2886">
        <w:t>, according to</w:t>
      </w:r>
      <w:r w:rsidR="00AA2886">
        <w:t xml:space="preserve"> </w:t>
      </w:r>
      <w:r w:rsidR="00AA2886" w:rsidRPr="00AA2886">
        <w:t>diﬀerent standard procedures; in particular, in this work</w:t>
      </w:r>
      <w:r w:rsidR="00C92280">
        <w:t>,</w:t>
      </w:r>
      <w:r w:rsidR="00AA2886" w:rsidRPr="00AA2886">
        <w:t xml:space="preserve"> the standard procedure EN ISO/IEC 80079-20-2:2016</w:t>
      </w:r>
      <w:r w:rsidR="00AA2886">
        <w:t xml:space="preserve"> was referred to</w:t>
      </w:r>
      <w:r w:rsidR="00AA2886" w:rsidRPr="00AA2886">
        <w:t>.</w:t>
      </w:r>
      <w:r w:rsidR="00AA2886">
        <w:t xml:space="preserve"> </w:t>
      </w:r>
      <w:r w:rsidR="00F71C5E">
        <w:t>Otherwise,</w:t>
      </w:r>
      <w:r w:rsidR="00EC174D">
        <w:t xml:space="preserve"> </w:t>
      </w:r>
      <w:r w:rsidR="009D64DF">
        <w:t xml:space="preserve">the </w:t>
      </w:r>
      <w:r w:rsidR="002323BD">
        <w:t>Flash Point</w:t>
      </w:r>
      <w:r w:rsidR="009D64DF">
        <w:t xml:space="preserve"> (FP)</w:t>
      </w:r>
      <w:r w:rsidR="00EC174D">
        <w:t xml:space="preserve"> is </w:t>
      </w:r>
      <w:r w:rsidR="002323BD">
        <w:t xml:space="preserve">a flammability parameter used to characterize mainly </w:t>
      </w:r>
      <w:r w:rsidR="007F7D00">
        <w:t xml:space="preserve">liquids rather than solids; it is </w:t>
      </w:r>
      <w:r w:rsidR="00A20970">
        <w:t xml:space="preserve">usually </w:t>
      </w:r>
      <w:r w:rsidR="00EC174D">
        <w:t xml:space="preserve">measured in a </w:t>
      </w:r>
      <w:r w:rsidR="00B7015A">
        <w:t>Pensky</w:t>
      </w:r>
      <w:r w:rsidR="00F71C5E">
        <w:t>-</w:t>
      </w:r>
      <w:r w:rsidR="00B7015A">
        <w:t>Martens</w:t>
      </w:r>
      <w:r w:rsidR="000C7FB7">
        <w:t>’</w:t>
      </w:r>
      <w:r w:rsidR="00B7015A">
        <w:t xml:space="preserve"> apparatus </w:t>
      </w:r>
      <w:r w:rsidR="00A97983">
        <w:t>(</w:t>
      </w:r>
      <w:r w:rsidR="00F71C5E">
        <w:t xml:space="preserve">using a </w:t>
      </w:r>
      <w:r w:rsidR="00A97983">
        <w:t>closed cup</w:t>
      </w:r>
      <w:r w:rsidR="00A20970">
        <w:t xml:space="preserve"> test</w:t>
      </w:r>
      <w:r w:rsidR="00A97983">
        <w:t xml:space="preserve">) referring to the </w:t>
      </w:r>
      <w:r w:rsidR="00824DF4" w:rsidRPr="00824DF4">
        <w:t>UNI EN ISO 2719:2021</w:t>
      </w:r>
      <w:r w:rsidR="00824DF4">
        <w:t xml:space="preserve"> </w:t>
      </w:r>
      <w:r w:rsidR="008B28EF">
        <w:t xml:space="preserve">standard. </w:t>
      </w:r>
    </w:p>
    <w:p w14:paraId="7332D744" w14:textId="501DF3A0" w:rsidR="008B28EF" w:rsidRDefault="008B28EF" w:rsidP="000C54D7">
      <w:pPr>
        <w:pStyle w:val="CETBodytext"/>
      </w:pPr>
      <w:r>
        <w:t xml:space="preserve">To estimate the value of either MIE </w:t>
      </w:r>
      <w:r w:rsidR="000977B9">
        <w:t>or</w:t>
      </w:r>
      <w:r>
        <w:t xml:space="preserve"> FP for </w:t>
      </w:r>
      <w:r w:rsidR="00E1043C">
        <w:t>DL-</w:t>
      </w:r>
      <w:r w:rsidR="000977B9">
        <w:t>LA, the mathematical model reported in the work of Copelli et al. (2021)</w:t>
      </w:r>
      <w:r w:rsidR="00D22D6C">
        <w:t xml:space="preserve"> was </w:t>
      </w:r>
      <w:r w:rsidR="00B00A0C">
        <w:t>used</w:t>
      </w:r>
      <w:r w:rsidR="001A15F1">
        <w:t xml:space="preserve">. </w:t>
      </w:r>
      <w:r w:rsidR="009217D5">
        <w:t>Particularly</w:t>
      </w:r>
      <w:r w:rsidR="00554163">
        <w:t xml:space="preserve">, </w:t>
      </w:r>
      <w:r w:rsidR="00FC6A44">
        <w:t xml:space="preserve">the following </w:t>
      </w:r>
      <w:r w:rsidR="001A0DAA">
        <w:t>hypotheses</w:t>
      </w:r>
      <w:r w:rsidR="00D83A23">
        <w:t xml:space="preserve"> were applied: </w:t>
      </w:r>
    </w:p>
    <w:p w14:paraId="6F691B10" w14:textId="3712BCCB" w:rsidR="00D83A23" w:rsidRDefault="00302435" w:rsidP="00D83A23">
      <w:pPr>
        <w:pStyle w:val="CETBodytext"/>
        <w:numPr>
          <w:ilvl w:val="0"/>
          <w:numId w:val="38"/>
        </w:numPr>
      </w:pPr>
      <w:r>
        <w:t xml:space="preserve">LA </w:t>
      </w:r>
      <w:r w:rsidR="00B00A0C">
        <w:t>was</w:t>
      </w:r>
      <w:r>
        <w:t xml:space="preserve"> considered as either solid </w:t>
      </w:r>
      <w:r w:rsidR="00B00A0C">
        <w:t xml:space="preserve">(for MIE determination) </w:t>
      </w:r>
      <w:r>
        <w:t xml:space="preserve">or liquid </w:t>
      </w:r>
      <w:r w:rsidR="00B00A0C">
        <w:t xml:space="preserve">(for FP estimation) </w:t>
      </w:r>
      <w:r>
        <w:t>particles of spherical shape</w:t>
      </w:r>
      <w:r w:rsidR="006F0547">
        <w:t xml:space="preserve"> (</w:t>
      </w:r>
      <w:r w:rsidR="002D7765">
        <w:t xml:space="preserve">different </w:t>
      </w:r>
      <w:r w:rsidR="006F0547">
        <w:t>mean diameter</w:t>
      </w:r>
      <w:r w:rsidR="002D7765">
        <w:t>s</w:t>
      </w:r>
      <w:r w:rsidR="006F0547">
        <w:t xml:space="preserve"> </w:t>
      </w:r>
      <w:r w:rsidR="002D7765">
        <w:t xml:space="preserve">- </w:t>
      </w:r>
      <w:r w:rsidR="006F0547">
        <w:t>50</w:t>
      </w:r>
      <w:r w:rsidR="004D5FB3">
        <w:t>, 100 and 150</w:t>
      </w:r>
      <w:r w:rsidR="006F0547">
        <w:t xml:space="preserve"> </w:t>
      </w:r>
      <w:r w:rsidR="00965EA4">
        <w:rPr>
          <w:rFonts w:cs="Arial"/>
        </w:rPr>
        <w:t>µ</w:t>
      </w:r>
      <w:r w:rsidR="00965EA4">
        <w:t>m</w:t>
      </w:r>
      <w:r w:rsidR="002D7765">
        <w:t xml:space="preserve"> – were investigated</w:t>
      </w:r>
      <w:r w:rsidR="00965EA4">
        <w:t>)</w:t>
      </w:r>
      <w:r w:rsidR="00C259F5">
        <w:t>;</w:t>
      </w:r>
    </w:p>
    <w:p w14:paraId="3E2B3416" w14:textId="1867150B" w:rsidR="00D83A23" w:rsidRDefault="00D83A23" w:rsidP="00D83A23">
      <w:pPr>
        <w:pStyle w:val="CETBodytext"/>
        <w:numPr>
          <w:ilvl w:val="0"/>
          <w:numId w:val="38"/>
        </w:numPr>
      </w:pPr>
      <w:r>
        <w:t>the devolatilization kinetics of the solid/liquid particles</w:t>
      </w:r>
      <w:r w:rsidR="00C259F5">
        <w:t xml:space="preserve"> </w:t>
      </w:r>
      <w:r w:rsidR="00DA370A">
        <w:t xml:space="preserve">was fitted using </w:t>
      </w:r>
      <w:r w:rsidR="002D7765">
        <w:t>thermogravimetric</w:t>
      </w:r>
      <w:r w:rsidR="00DA370A">
        <w:t xml:space="preserve"> </w:t>
      </w:r>
      <w:r w:rsidR="002D7765">
        <w:t xml:space="preserve">(TG) </w:t>
      </w:r>
      <w:r w:rsidR="00DA370A">
        <w:t xml:space="preserve">data reported in </w:t>
      </w:r>
      <w:r w:rsidR="003F00D7">
        <w:t xml:space="preserve">the work of </w:t>
      </w:r>
      <w:proofErr w:type="spellStart"/>
      <w:r w:rsidR="00DA370A" w:rsidRPr="00CB3389">
        <w:t>Komesu</w:t>
      </w:r>
      <w:proofErr w:type="spellEnd"/>
      <w:r w:rsidR="00DA370A" w:rsidRPr="00CB3389">
        <w:t xml:space="preserve"> et al. (2017)</w:t>
      </w:r>
      <w:r w:rsidR="00CE1845">
        <w:t>, with particular reference to a heating rate of 5 K/min</w:t>
      </w:r>
      <w:r w:rsidR="003F00D7">
        <w:t xml:space="preserve"> (the lowest available)</w:t>
      </w:r>
      <w:r w:rsidR="00CE1845">
        <w:t>;</w:t>
      </w:r>
    </w:p>
    <w:p w14:paraId="34FD6283" w14:textId="1597CF3F" w:rsidR="00CE1845" w:rsidRDefault="008A2310" w:rsidP="00D83A23">
      <w:pPr>
        <w:pStyle w:val="CETBodytext"/>
        <w:numPr>
          <w:ilvl w:val="0"/>
          <w:numId w:val="38"/>
        </w:numPr>
      </w:pPr>
      <w:r>
        <w:t xml:space="preserve">the Lower and Upper Flammability </w:t>
      </w:r>
      <w:r w:rsidR="00BC198C">
        <w:t>Limits for LA volatile compounds were assumed to be equal to those of methanol</w:t>
      </w:r>
      <w:r w:rsidR="0003066B">
        <w:t xml:space="preserve"> </w:t>
      </w:r>
      <w:r w:rsidR="00013F90">
        <w:t>(</w:t>
      </w:r>
      <w:r w:rsidR="00C92ADB">
        <w:t xml:space="preserve">that is, 6.7 – 36 % v/v), </w:t>
      </w:r>
      <w:r w:rsidR="00013F90">
        <w:t xml:space="preserve">as it was indicated as one of the major </w:t>
      </w:r>
      <w:r w:rsidR="003122C6">
        <w:t>contaminants in the analyzed sample of LA</w:t>
      </w:r>
      <w:r w:rsidR="00DD308C">
        <w:t xml:space="preserve"> (or, at least, the first compound emitted in the gaseous phase</w:t>
      </w:r>
      <w:r w:rsidR="00E1043C">
        <w:t xml:space="preserve"> during </w:t>
      </w:r>
      <w:r w:rsidR="00A73013">
        <w:t>the devolatilization phenomenon</w:t>
      </w:r>
      <w:r w:rsidR="00DD308C">
        <w:t>)</w:t>
      </w:r>
      <w:r w:rsidR="001930F8">
        <w:t>;</w:t>
      </w:r>
    </w:p>
    <w:p w14:paraId="2CF4C7FC" w14:textId="4A1FB96D" w:rsidR="00DD308C" w:rsidRDefault="00680AC3" w:rsidP="00D83A23">
      <w:pPr>
        <w:pStyle w:val="CETBodytext"/>
        <w:numPr>
          <w:ilvl w:val="0"/>
          <w:numId w:val="38"/>
        </w:numPr>
      </w:pPr>
      <w:r>
        <w:t>the vaporization enthalpy of LA was assumed equal to 69.1 kJ/mol</w:t>
      </w:r>
      <w:r w:rsidR="00707937">
        <w:t xml:space="preserve">, as reported by </w:t>
      </w:r>
      <w:proofErr w:type="spellStart"/>
      <w:r w:rsidR="00707937" w:rsidRPr="00CE1BA1">
        <w:t>Emel’yanenko</w:t>
      </w:r>
      <w:proofErr w:type="spellEnd"/>
      <w:r w:rsidR="00707937" w:rsidRPr="00CE1BA1">
        <w:t xml:space="preserve"> et al. (2010)</w:t>
      </w:r>
      <w:r w:rsidR="004F1370">
        <w:t>;</w:t>
      </w:r>
    </w:p>
    <w:p w14:paraId="156A4238" w14:textId="24A78572" w:rsidR="003D4BB2" w:rsidRDefault="003D4BB2" w:rsidP="00D83A23">
      <w:pPr>
        <w:pStyle w:val="CETBodytext"/>
        <w:numPr>
          <w:ilvl w:val="0"/>
          <w:numId w:val="38"/>
        </w:numPr>
      </w:pPr>
      <w:r>
        <w:t xml:space="preserve">the geometry of the </w:t>
      </w:r>
      <w:r w:rsidR="00CB7E46">
        <w:t>simulated system was referred to as a MIKE3 apparatus</w:t>
      </w:r>
      <w:r w:rsidR="009E43CB">
        <w:t xml:space="preserve"> (1.2 L of overall volume)</w:t>
      </w:r>
      <w:r w:rsidR="00CB7E46">
        <w:t>;</w:t>
      </w:r>
    </w:p>
    <w:p w14:paraId="632DF2BD" w14:textId="49B73071" w:rsidR="00E65ADF" w:rsidRDefault="00E65ADF" w:rsidP="00D83A23">
      <w:pPr>
        <w:pStyle w:val="CETBodytext"/>
        <w:numPr>
          <w:ilvl w:val="0"/>
          <w:numId w:val="38"/>
        </w:numPr>
      </w:pPr>
      <w:r>
        <w:lastRenderedPageBreak/>
        <w:t>the following correlation for MIE calculation was used (basing on 5 tes</w:t>
      </w:r>
      <w:r w:rsidR="004F1370">
        <w:t xml:space="preserve">ts per level of energy virtually tested, that is one per </w:t>
      </w:r>
      <w:r w:rsidR="003D4BB2">
        <w:t xml:space="preserve">solid mass loaded into the </w:t>
      </w:r>
      <w:r w:rsidR="00CB7E46">
        <w:t xml:space="preserve">simulated </w:t>
      </w:r>
      <w:r w:rsidR="003D4BB2">
        <w:t>MIKE3 apparatus</w:t>
      </w:r>
      <w:r w:rsidR="00F71B8C">
        <w:t>: 300, 600, 900, 1200 and 1500 mg, respectively):</w:t>
      </w:r>
    </w:p>
    <w:tbl>
      <w:tblPr>
        <w:tblW w:w="5000" w:type="pct"/>
        <w:tblLook w:val="04A0" w:firstRow="1" w:lastRow="0" w:firstColumn="1" w:lastColumn="0" w:noHBand="0" w:noVBand="1"/>
      </w:tblPr>
      <w:tblGrid>
        <w:gridCol w:w="7982"/>
        <w:gridCol w:w="805"/>
      </w:tblGrid>
      <w:tr w:rsidR="0052697A" w:rsidRPr="0016496C" w14:paraId="4A2C3FAF" w14:textId="77777777" w:rsidTr="00E73D14">
        <w:tc>
          <w:tcPr>
            <w:tcW w:w="7982" w:type="dxa"/>
            <w:shd w:val="clear" w:color="auto" w:fill="auto"/>
            <w:vAlign w:val="center"/>
          </w:tcPr>
          <w:p w14:paraId="5C33DE75" w14:textId="10AB6E0C" w:rsidR="0052697A" w:rsidRPr="003F771E" w:rsidRDefault="0052697A" w:rsidP="00E73D14">
            <w:pPr>
              <w:pStyle w:val="CETEquation"/>
              <w:rPr>
                <w:lang w:val="en-US"/>
              </w:rPr>
            </w:pPr>
            <m:oMathPara>
              <m:oMathParaPr>
                <m:jc m:val="left"/>
              </m:oMathParaPr>
              <m:oMath>
                <m:r>
                  <w:rPr>
                    <w:rFonts w:ascii="Cambria Math" w:hAnsi="Cambria Math"/>
                    <w:lang w:val="en-US"/>
                  </w:rPr>
                  <m:t>MIE=</m:t>
                </m:r>
                <m:sSup>
                  <m:sSupPr>
                    <m:ctrlPr>
                      <w:rPr>
                        <w:rFonts w:ascii="Cambria Math" w:hAnsi="Cambria Math"/>
                        <w:i/>
                        <w:lang w:val="en-US"/>
                      </w:rPr>
                    </m:ctrlPr>
                  </m:sSupPr>
                  <m:e>
                    <m:r>
                      <w:rPr>
                        <w:rFonts w:ascii="Cambria Math" w:hAnsi="Cambria Math"/>
                        <w:lang w:val="en-US"/>
                      </w:rPr>
                      <m:t>10</m:t>
                    </m:r>
                  </m:e>
                  <m:sup>
                    <m:d>
                      <m:dPr>
                        <m:ctrlPr>
                          <w:rPr>
                            <w:rFonts w:ascii="Cambria Math" w:hAnsi="Cambria Math"/>
                            <w:i/>
                            <w:lang w:val="en-US"/>
                          </w:rPr>
                        </m:ctrlPr>
                      </m:dPr>
                      <m:e>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ctrlPr>
                                  <w:rPr>
                                    <w:rFonts w:ascii="Cambria Math" w:hAnsi="Cambria Math"/>
                                    <w:lang w:val="en-US"/>
                                  </w:rPr>
                                </m:ctrlPr>
                              </m:e>
                              <m:sub>
                                <m:r>
                                  <w:rPr>
                                    <w:rFonts w:ascii="Cambria Math" w:hAnsi="Cambria Math"/>
                                    <w:lang w:val="en-US"/>
                                  </w:rPr>
                                  <m:t>10</m:t>
                                </m:r>
                                <m:ctrlPr>
                                  <w:rPr>
                                    <w:rFonts w:ascii="Cambria Math" w:hAnsi="Cambria Math"/>
                                    <w:lang w:val="en-US"/>
                                  </w:rPr>
                                </m:ctrlPr>
                              </m:sub>
                            </m:sSub>
                          </m:fName>
                          <m:e>
                            <m:d>
                              <m:dPr>
                                <m:ctrlPr>
                                  <w:rPr>
                                    <w:rFonts w:ascii="Cambria Math" w:hAnsi="Cambria Math"/>
                                    <w:i/>
                                    <w:lang w:val="en-US"/>
                                  </w:rPr>
                                </m:ctrlPr>
                              </m:dPr>
                              <m:e>
                                <m:r>
                                  <w:rPr>
                                    <w:rFonts w:ascii="Cambria Math" w:hAnsi="Cambria Math"/>
                                    <w:lang w:val="en-US"/>
                                  </w:rPr>
                                  <m:t>E2</m:t>
                                </m:r>
                              </m:e>
                            </m:d>
                          </m:e>
                        </m:func>
                        <m:r>
                          <w:rPr>
                            <w:rFonts w:ascii="Cambria Math" w:hAnsi="Cambria Math"/>
                            <w:lang w:val="en-US"/>
                          </w:rPr>
                          <m:t>-</m:t>
                        </m:r>
                        <m:d>
                          <m:dPr>
                            <m:ctrlPr>
                              <w:rPr>
                                <w:rFonts w:ascii="Cambria Math" w:hAnsi="Cambria Math"/>
                                <w:i/>
                                <w:lang w:val="en-US"/>
                              </w:rPr>
                            </m:ctrlPr>
                          </m:dPr>
                          <m:e>
                            <m:r>
                              <w:rPr>
                                <w:rFonts w:ascii="Cambria Math" w:hAnsi="Cambria Math"/>
                                <w:lang w:val="en-US"/>
                              </w:rPr>
                              <m:t>I</m:t>
                            </m:r>
                            <m:d>
                              <m:dPr>
                                <m:begChr m:val="["/>
                                <m:endChr m:val="]"/>
                                <m:ctrlPr>
                                  <w:rPr>
                                    <w:rFonts w:ascii="Cambria Math" w:hAnsi="Cambria Math"/>
                                    <w:i/>
                                    <w:lang w:val="en-US"/>
                                  </w:rPr>
                                </m:ctrlPr>
                              </m:dPr>
                              <m:e>
                                <m:r>
                                  <w:rPr>
                                    <w:rFonts w:ascii="Cambria Math" w:hAnsi="Cambria Math"/>
                                    <w:lang w:val="en-US"/>
                                  </w:rPr>
                                  <m:t>E2</m:t>
                                </m:r>
                              </m:e>
                            </m:d>
                            <m:r>
                              <w:rPr>
                                <w:rFonts w:ascii="Cambria Math" w:hAnsi="Cambria Math"/>
                                <w:lang w:val="en-US"/>
                              </w:rPr>
                              <m:t>∙</m:t>
                            </m:r>
                            <m:f>
                              <m:fPr>
                                <m:ctrlPr>
                                  <w:rPr>
                                    <w:rFonts w:ascii="Cambria Math" w:hAnsi="Cambria Math"/>
                                    <w:i/>
                                    <w:lang w:val="en-US"/>
                                  </w:rPr>
                                </m:ctrlPr>
                              </m:fPr>
                              <m:num>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ctrlPr>
                                          <w:rPr>
                                            <w:rFonts w:ascii="Cambria Math" w:hAnsi="Cambria Math"/>
                                            <w:lang w:val="en-US"/>
                                          </w:rPr>
                                        </m:ctrlPr>
                                      </m:sub>
                                    </m:sSub>
                                  </m:fName>
                                  <m:e>
                                    <m:d>
                                      <m:dPr>
                                        <m:ctrlPr>
                                          <w:rPr>
                                            <w:rFonts w:ascii="Cambria Math" w:hAnsi="Cambria Math"/>
                                            <w:i/>
                                            <w:lang w:val="en-US"/>
                                          </w:rPr>
                                        </m:ctrlPr>
                                      </m:dPr>
                                      <m:e>
                                        <m:r>
                                          <w:rPr>
                                            <w:rFonts w:ascii="Cambria Math" w:hAnsi="Cambria Math"/>
                                            <w:lang w:val="en-US"/>
                                          </w:rPr>
                                          <m:t>E2</m:t>
                                        </m:r>
                                      </m:e>
                                    </m:d>
                                  </m:e>
                                </m:func>
                                <m:r>
                                  <w:rPr>
                                    <w:rFonts w:ascii="Cambria Math" w:hAnsi="Cambria Math"/>
                                    <w:lang w:val="en-US"/>
                                  </w:rPr>
                                  <m:t>-</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ctrlPr>
                                          <w:rPr>
                                            <w:rFonts w:ascii="Cambria Math" w:hAnsi="Cambria Math"/>
                                            <w:lang w:val="en-US"/>
                                          </w:rPr>
                                        </m:ctrlPr>
                                      </m:sub>
                                    </m:sSub>
                                  </m:fName>
                                  <m:e>
                                    <m:d>
                                      <m:dPr>
                                        <m:ctrlPr>
                                          <w:rPr>
                                            <w:rFonts w:ascii="Cambria Math" w:hAnsi="Cambria Math"/>
                                            <w:i/>
                                            <w:lang w:val="en-US"/>
                                          </w:rPr>
                                        </m:ctrlPr>
                                      </m:dPr>
                                      <m:e>
                                        <m:r>
                                          <w:rPr>
                                            <w:rFonts w:ascii="Cambria Math" w:hAnsi="Cambria Math"/>
                                            <w:lang w:val="en-US"/>
                                          </w:rPr>
                                          <m:t>E1</m:t>
                                        </m:r>
                                      </m:e>
                                    </m:d>
                                  </m:e>
                                </m:func>
                              </m:num>
                              <m:den>
                                <m:d>
                                  <m:dPr>
                                    <m:ctrlPr>
                                      <w:rPr>
                                        <w:rFonts w:ascii="Cambria Math" w:hAnsi="Cambria Math"/>
                                        <w:i/>
                                        <w:lang w:val="en-US"/>
                                      </w:rPr>
                                    </m:ctrlPr>
                                  </m:dPr>
                                  <m:e>
                                    <m:r>
                                      <w:rPr>
                                        <w:rFonts w:ascii="Cambria Math" w:hAnsi="Cambria Math"/>
                                        <w:lang w:val="en-US"/>
                                      </w:rPr>
                                      <m:t>NI+I</m:t>
                                    </m:r>
                                  </m:e>
                                </m:d>
                                <m:d>
                                  <m:dPr>
                                    <m:begChr m:val="["/>
                                    <m:endChr m:val="]"/>
                                    <m:ctrlPr>
                                      <w:rPr>
                                        <w:rFonts w:ascii="Cambria Math" w:hAnsi="Cambria Math"/>
                                        <w:i/>
                                        <w:lang w:val="en-US"/>
                                      </w:rPr>
                                    </m:ctrlPr>
                                  </m:dPr>
                                  <m:e>
                                    <m:r>
                                      <w:rPr>
                                        <w:rFonts w:ascii="Cambria Math" w:hAnsi="Cambria Math"/>
                                        <w:lang w:val="en-US"/>
                                      </w:rPr>
                                      <m:t>E2</m:t>
                                    </m:r>
                                  </m:e>
                                </m:d>
                                <m:r>
                                  <w:rPr>
                                    <w:rFonts w:ascii="Cambria Math" w:hAnsi="Cambria Math"/>
                                    <w:lang w:val="en-US"/>
                                  </w:rPr>
                                  <m:t>+1</m:t>
                                </m:r>
                              </m:den>
                            </m:f>
                          </m:e>
                        </m:d>
                      </m:e>
                    </m:d>
                  </m:sup>
                </m:sSup>
              </m:oMath>
            </m:oMathPara>
          </w:p>
        </w:tc>
        <w:tc>
          <w:tcPr>
            <w:tcW w:w="805" w:type="dxa"/>
            <w:shd w:val="clear" w:color="auto" w:fill="auto"/>
            <w:vAlign w:val="center"/>
          </w:tcPr>
          <w:p w14:paraId="4CEA0E1D" w14:textId="77777777" w:rsidR="0052697A" w:rsidRPr="0016496C" w:rsidRDefault="0052697A" w:rsidP="00E73D14">
            <w:pPr>
              <w:pStyle w:val="CETEquation"/>
              <w:jc w:val="right"/>
              <w:rPr>
                <w:lang w:val="en-US"/>
              </w:rPr>
            </w:pPr>
            <w:r w:rsidRPr="0016496C">
              <w:rPr>
                <w:lang w:val="en-US"/>
              </w:rPr>
              <w:t>(1)</w:t>
            </w:r>
          </w:p>
        </w:tc>
      </w:tr>
    </w:tbl>
    <w:p w14:paraId="08DF0CAA" w14:textId="42E82FC7" w:rsidR="0052697A" w:rsidRDefault="0052697A" w:rsidP="0052697A">
      <w:pPr>
        <w:pStyle w:val="CETBodytext"/>
        <w:ind w:left="720"/>
      </w:pPr>
      <w:r>
        <w:t xml:space="preserve">where: </w:t>
      </w:r>
      <m:oMath>
        <m:r>
          <w:rPr>
            <w:rFonts w:ascii="Cambria Math" w:hAnsi="Cambria Math"/>
          </w:rPr>
          <m:t>E2</m:t>
        </m:r>
      </m:oMath>
      <w:r w:rsidR="00CA18EB">
        <w:t xml:space="preserve"> is the minimum ignition energy at which the ignition occurs</w:t>
      </w:r>
      <w:r w:rsidR="00B4596E">
        <w:t xml:space="preserve"> [</w:t>
      </w:r>
      <w:proofErr w:type="spellStart"/>
      <w:r w:rsidR="00B4596E">
        <w:t>mJ</w:t>
      </w:r>
      <w:proofErr w:type="spellEnd"/>
      <w:r w:rsidR="00B4596E">
        <w:t>]</w:t>
      </w:r>
      <w:r w:rsidR="00CA18EB">
        <w:t xml:space="preserve">, </w:t>
      </w:r>
      <m:oMath>
        <m:r>
          <w:rPr>
            <w:rFonts w:ascii="Cambria Math" w:hAnsi="Cambria Math"/>
          </w:rPr>
          <m:t>E1</m:t>
        </m:r>
      </m:oMath>
      <w:r w:rsidR="00CA18EB">
        <w:t xml:space="preserve"> is the maximum </w:t>
      </w:r>
      <w:r w:rsidR="00FE5A38">
        <w:t xml:space="preserve">ignition energy at which the ignition </w:t>
      </w:r>
      <w:r w:rsidR="001412A7">
        <w:t xml:space="preserve">always </w:t>
      </w:r>
      <w:r w:rsidR="00FE5A38">
        <w:t>fails</w:t>
      </w:r>
      <w:r w:rsidR="00B4596E">
        <w:t xml:space="preserve"> [</w:t>
      </w:r>
      <w:proofErr w:type="spellStart"/>
      <w:r w:rsidR="00B4596E">
        <w:t>mJ</w:t>
      </w:r>
      <w:proofErr w:type="spellEnd"/>
      <w:r w:rsidR="00B4596E">
        <w:t>]</w:t>
      </w:r>
      <w:r w:rsidR="00FE5A38">
        <w:t xml:space="preserve">, </w:t>
      </w:r>
      <m:oMath>
        <m:r>
          <w:rPr>
            <w:rFonts w:ascii="Cambria Math" w:hAnsi="Cambria Math"/>
          </w:rPr>
          <m:t>I</m:t>
        </m:r>
        <m:d>
          <m:dPr>
            <m:begChr m:val="["/>
            <m:endChr m:val="]"/>
            <m:ctrlPr>
              <w:rPr>
                <w:rFonts w:ascii="Cambria Math" w:hAnsi="Cambria Math"/>
                <w:i/>
              </w:rPr>
            </m:ctrlPr>
          </m:dPr>
          <m:e>
            <m:r>
              <w:rPr>
                <w:rFonts w:ascii="Cambria Math" w:hAnsi="Cambria Math"/>
              </w:rPr>
              <m:t>E2</m:t>
            </m:r>
          </m:e>
        </m:d>
      </m:oMath>
      <w:r w:rsidR="00FE5A38">
        <w:t xml:space="preserve"> is the number of tests at </w:t>
      </w:r>
      <m:oMath>
        <m:r>
          <w:rPr>
            <w:rFonts w:ascii="Cambria Math" w:hAnsi="Cambria Math"/>
          </w:rPr>
          <m:t>E2</m:t>
        </m:r>
      </m:oMath>
      <w:r w:rsidR="007D63F2">
        <w:t xml:space="preserve"> </w:t>
      </w:r>
      <w:r w:rsidR="005C14DC">
        <w:t>in correspondence of</w:t>
      </w:r>
      <w:r w:rsidR="007D63F2">
        <w:t xml:space="preserve"> which the ignition occurs</w:t>
      </w:r>
      <w:r w:rsidR="00B4596E">
        <w:t xml:space="preserve"> [-]</w:t>
      </w:r>
      <w:r w:rsidR="00D11594">
        <w:t xml:space="preserve"> and, </w:t>
      </w:r>
      <m:oMath>
        <m:d>
          <m:dPr>
            <m:ctrlPr>
              <w:rPr>
                <w:rFonts w:ascii="Cambria Math" w:hAnsi="Cambria Math"/>
                <w:i/>
              </w:rPr>
            </m:ctrlPr>
          </m:dPr>
          <m:e>
            <m:r>
              <w:rPr>
                <w:rFonts w:ascii="Cambria Math" w:hAnsi="Cambria Math"/>
              </w:rPr>
              <m:t>NI+I</m:t>
            </m:r>
          </m:e>
        </m:d>
        <m:d>
          <m:dPr>
            <m:begChr m:val="["/>
            <m:endChr m:val="]"/>
            <m:ctrlPr>
              <w:rPr>
                <w:rFonts w:ascii="Cambria Math" w:hAnsi="Cambria Math"/>
                <w:i/>
              </w:rPr>
            </m:ctrlPr>
          </m:dPr>
          <m:e>
            <m:r>
              <w:rPr>
                <w:rFonts w:ascii="Cambria Math" w:hAnsi="Cambria Math"/>
              </w:rPr>
              <m:t>E2</m:t>
            </m:r>
          </m:e>
        </m:d>
      </m:oMath>
      <w:r w:rsidR="00D11594">
        <w:t xml:space="preserve"> is the total number of tests done at </w:t>
      </w:r>
      <w:r w:rsidR="005C14DC">
        <w:t xml:space="preserve">the energy level </w:t>
      </w:r>
      <m:oMath>
        <m:r>
          <w:rPr>
            <w:rFonts w:ascii="Cambria Math" w:hAnsi="Cambria Math"/>
          </w:rPr>
          <m:t>E2</m:t>
        </m:r>
      </m:oMath>
      <w:r w:rsidR="00B4596E">
        <w:t xml:space="preserve"> [-]</w:t>
      </w:r>
      <w:r w:rsidR="00D11594">
        <w:t>.</w:t>
      </w:r>
    </w:p>
    <w:p w14:paraId="29D6A231" w14:textId="0E4701C8" w:rsidR="00707937" w:rsidRPr="000C54D7" w:rsidRDefault="00707937" w:rsidP="00D83A23">
      <w:pPr>
        <w:pStyle w:val="CETBodytext"/>
        <w:numPr>
          <w:ilvl w:val="0"/>
          <w:numId w:val="38"/>
        </w:numPr>
      </w:pPr>
      <w:r>
        <w:t xml:space="preserve">the </w:t>
      </w:r>
      <w:r w:rsidR="0076578B">
        <w:t xml:space="preserve">temperature in the </w:t>
      </w:r>
      <w:r>
        <w:t>hot core zone</w:t>
      </w:r>
      <w:r w:rsidR="0076578B">
        <w:t xml:space="preserve"> in correspondence of the calculated MIE value </w:t>
      </w:r>
      <w:r w:rsidR="00E37AF8">
        <w:t xml:space="preserve">(Eq. (1)) </w:t>
      </w:r>
      <w:r w:rsidR="00E1300C">
        <w:t xml:space="preserve">for LA particles </w:t>
      </w:r>
      <w:r w:rsidR="00BB6EF2">
        <w:t>of</w:t>
      </w:r>
      <w:r w:rsidR="00E1300C">
        <w:t xml:space="preserve"> </w:t>
      </w:r>
      <w:r w:rsidR="00BB6EF2">
        <w:t xml:space="preserve">diameter equal to </w:t>
      </w:r>
      <w:r w:rsidR="00E1300C">
        <w:t xml:space="preserve">50 </w:t>
      </w:r>
      <w:r w:rsidR="00BB6EF2">
        <w:rPr>
          <w:rFonts w:cs="Arial"/>
        </w:rPr>
        <w:t>µ</w:t>
      </w:r>
      <w:r w:rsidR="00BB6EF2">
        <w:t xml:space="preserve">m </w:t>
      </w:r>
      <w:r w:rsidR="00C616CB">
        <w:t>(750 mg loaded</w:t>
      </w:r>
      <w:r w:rsidR="00E07CA0">
        <w:t xml:space="preserve"> – to be as closest as possible to the Pensky-Martens conditions for FP test</w:t>
      </w:r>
      <w:r w:rsidR="00C616CB">
        <w:t xml:space="preserve">) </w:t>
      </w:r>
      <w:r w:rsidR="0076578B">
        <w:t xml:space="preserve">was assumed as </w:t>
      </w:r>
      <w:r w:rsidR="00FA5672">
        <w:t>a g</w:t>
      </w:r>
      <w:r w:rsidR="00F83285">
        <w:t>ood estimation of</w:t>
      </w:r>
      <w:r w:rsidR="00E37AF8">
        <w:t xml:space="preserve"> </w:t>
      </w:r>
      <w:r w:rsidR="0076578B">
        <w:t xml:space="preserve">the </w:t>
      </w:r>
      <w:r w:rsidR="00F83285">
        <w:t xml:space="preserve">LA </w:t>
      </w:r>
      <w:r w:rsidR="00CE35FC">
        <w:t>Flash Point</w:t>
      </w:r>
      <w:r w:rsidR="0076578B">
        <w:t xml:space="preserve"> </w:t>
      </w:r>
      <w:r w:rsidR="00E37AF8">
        <w:t>(to be compared with a literature value to validate the proposed approach).</w:t>
      </w:r>
    </w:p>
    <w:p w14:paraId="2EC0A6D4" w14:textId="384B1F20" w:rsidR="00123307" w:rsidRDefault="007E3ABA" w:rsidP="00123307">
      <w:pPr>
        <w:pStyle w:val="CETheadingx"/>
      </w:pPr>
      <w:r>
        <w:t xml:space="preserve">Estimation of the </w:t>
      </w:r>
      <w:r w:rsidR="00792DD0">
        <w:t xml:space="preserve">Deflagration Index </w:t>
      </w:r>
    </w:p>
    <w:p w14:paraId="4855944C" w14:textId="78B808CB" w:rsidR="0031354B" w:rsidRDefault="00A03D8E" w:rsidP="0031354B">
      <w:pPr>
        <w:pStyle w:val="CETBodytext"/>
      </w:pPr>
      <w:r>
        <w:t>Deflagration Index (</w:t>
      </w:r>
      <w:proofErr w:type="spellStart"/>
      <w:r>
        <w:t>K</w:t>
      </w:r>
      <w:r w:rsidRPr="005F31AD">
        <w:rPr>
          <w:vertAlign w:val="subscript"/>
        </w:rPr>
        <w:t>st</w:t>
      </w:r>
      <w:proofErr w:type="spellEnd"/>
      <w:r>
        <w:t xml:space="preserve">) is </w:t>
      </w:r>
      <w:r w:rsidR="000519F0">
        <w:t xml:space="preserve">an explosibility parameter </w:t>
      </w:r>
      <w:r>
        <w:t>usually determined using a 20 L sphere apparatus referring</w:t>
      </w:r>
      <w:r w:rsidR="0024073A">
        <w:t>, as the sake of example,</w:t>
      </w:r>
      <w:r>
        <w:t xml:space="preserve"> to the </w:t>
      </w:r>
      <w:r w:rsidR="0024073A">
        <w:t xml:space="preserve">ISO 6184/1 standard. </w:t>
      </w:r>
    </w:p>
    <w:p w14:paraId="070E90EC" w14:textId="1C4F1A1A" w:rsidR="005F31AD" w:rsidRDefault="005F31AD" w:rsidP="0031354B">
      <w:pPr>
        <w:pStyle w:val="CETBodytext"/>
      </w:pPr>
      <w:r>
        <w:t xml:space="preserve">To estimate the value of the </w:t>
      </w:r>
      <w:proofErr w:type="spellStart"/>
      <w:r>
        <w:t>K</w:t>
      </w:r>
      <w:r w:rsidRPr="005F31AD">
        <w:rPr>
          <w:vertAlign w:val="subscript"/>
        </w:rPr>
        <w:t>st</w:t>
      </w:r>
      <w:proofErr w:type="spellEnd"/>
      <w:r>
        <w:t xml:space="preserve"> for LA, the mathematical model reported in the work of Copelli et al. (2019)</w:t>
      </w:r>
      <w:r w:rsidR="00341F86">
        <w:t xml:space="preserve"> was used</w:t>
      </w:r>
      <w:r>
        <w:t xml:space="preserve">. </w:t>
      </w:r>
      <w:r w:rsidR="00862FD3">
        <w:t xml:space="preserve">The first four </w:t>
      </w:r>
      <w:r>
        <w:t xml:space="preserve">hypotheses applied </w:t>
      </w:r>
      <w:r w:rsidR="00ED791D">
        <w:t xml:space="preserve">were the same as </w:t>
      </w:r>
      <w:r w:rsidR="005631CC">
        <w:t xml:space="preserve">those ones </w:t>
      </w:r>
      <w:r w:rsidR="00ED791D">
        <w:t>previously reported in paragraph 2.1 for MIE estimation</w:t>
      </w:r>
      <w:r w:rsidR="005631CC">
        <w:t xml:space="preserve">; </w:t>
      </w:r>
      <w:r w:rsidR="00341F86">
        <w:t xml:space="preserve">but </w:t>
      </w:r>
      <w:r w:rsidR="005631CC">
        <w:t xml:space="preserve">the following </w:t>
      </w:r>
      <w:r w:rsidR="00341F86">
        <w:t xml:space="preserve">needed to be </w:t>
      </w:r>
      <w:r w:rsidR="005631CC">
        <w:t>added</w:t>
      </w:r>
      <w:r w:rsidR="00020142">
        <w:t xml:space="preserve"> to</w:t>
      </w:r>
      <w:r w:rsidR="00C708A3">
        <w:t>:</w:t>
      </w:r>
    </w:p>
    <w:p w14:paraId="075FC477" w14:textId="66EACD59" w:rsidR="00C708A3" w:rsidRDefault="00C708A3" w:rsidP="00C708A3">
      <w:pPr>
        <w:pStyle w:val="CETBodytext"/>
        <w:numPr>
          <w:ilvl w:val="0"/>
          <w:numId w:val="39"/>
        </w:numPr>
      </w:pPr>
      <w:r>
        <w:t>the geometry of the simulated system was referred to as a 20 L sphere apparatus</w:t>
      </w:r>
      <w:r w:rsidR="00244FDB">
        <w:t xml:space="preserve"> (Siwek chamber)</w:t>
      </w:r>
      <w:r>
        <w:t>;</w:t>
      </w:r>
    </w:p>
    <w:p w14:paraId="144E1B03" w14:textId="24790ECF" w:rsidR="00C708A3" w:rsidRDefault="000D7C3E" w:rsidP="00C708A3">
      <w:pPr>
        <w:pStyle w:val="CETBodytext"/>
        <w:numPr>
          <w:ilvl w:val="0"/>
          <w:numId w:val="39"/>
        </w:numPr>
      </w:pPr>
      <w:r>
        <w:t>the deflagration index was calculated using its definition, that is:</w:t>
      </w:r>
    </w:p>
    <w:tbl>
      <w:tblPr>
        <w:tblW w:w="5000" w:type="pct"/>
        <w:tblLook w:val="04A0" w:firstRow="1" w:lastRow="0" w:firstColumn="1" w:lastColumn="0" w:noHBand="0" w:noVBand="1"/>
      </w:tblPr>
      <w:tblGrid>
        <w:gridCol w:w="7982"/>
        <w:gridCol w:w="805"/>
      </w:tblGrid>
      <w:tr w:rsidR="000D7C3E" w:rsidRPr="0016496C" w14:paraId="0524CE4D" w14:textId="77777777" w:rsidTr="00E73D14">
        <w:tc>
          <w:tcPr>
            <w:tcW w:w="7982" w:type="dxa"/>
            <w:shd w:val="clear" w:color="auto" w:fill="auto"/>
            <w:vAlign w:val="center"/>
          </w:tcPr>
          <w:p w14:paraId="756137A5" w14:textId="211053CE" w:rsidR="000D7C3E" w:rsidRPr="000C7FB7" w:rsidRDefault="00000000" w:rsidP="00E73D14">
            <w:pPr>
              <w:pStyle w:val="CETEquation"/>
              <w:rPr>
                <w:lang w:val="en-US"/>
              </w:rPr>
            </w:pPr>
            <m:oMathPara>
              <m:oMathParaPr>
                <m:jc m:val="left"/>
              </m:oMathPara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st</m:t>
                    </m:r>
                  </m:sub>
                </m:sSub>
                <m:r>
                  <w:rPr>
                    <w:rFonts w:ascii="Cambria Math" w:hAnsi="Cambria Math"/>
                    <w:lang w:val="en-US"/>
                  </w:rPr>
                  <m:t>=</m:t>
                </m:r>
                <m:sSub>
                  <m:sSubPr>
                    <m:ctrlPr>
                      <w:rPr>
                        <w:rFonts w:ascii="Cambria Math" w:hAnsi="Cambria Math"/>
                        <w:i/>
                        <w:lang w:val="en-US"/>
                      </w:rPr>
                    </m:ctrlPr>
                  </m:sSub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dt</m:t>
                            </m:r>
                          </m:den>
                        </m:f>
                      </m:e>
                    </m:d>
                  </m:e>
                  <m:sub>
                    <m:r>
                      <w:rPr>
                        <w:rFonts w:ascii="Cambria Math" w:hAnsi="Cambria Math"/>
                        <w:lang w:val="en-US"/>
                      </w:rPr>
                      <m:t>max</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V</m:t>
                    </m:r>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3</m:t>
                        </m:r>
                      </m:den>
                    </m:f>
                  </m:sup>
                </m:sSup>
              </m:oMath>
            </m:oMathPara>
          </w:p>
        </w:tc>
        <w:tc>
          <w:tcPr>
            <w:tcW w:w="805" w:type="dxa"/>
            <w:shd w:val="clear" w:color="auto" w:fill="auto"/>
            <w:vAlign w:val="center"/>
          </w:tcPr>
          <w:p w14:paraId="2DA09946" w14:textId="59CA961A" w:rsidR="000D7C3E" w:rsidRPr="0016496C" w:rsidRDefault="000D7C3E" w:rsidP="00E73D14">
            <w:pPr>
              <w:pStyle w:val="CETEquation"/>
              <w:jc w:val="right"/>
              <w:rPr>
                <w:lang w:val="en-US"/>
              </w:rPr>
            </w:pPr>
            <w:r w:rsidRPr="0016496C">
              <w:rPr>
                <w:lang w:val="en-US"/>
              </w:rPr>
              <w:t>(</w:t>
            </w:r>
            <w:r w:rsidR="001177E8">
              <w:rPr>
                <w:lang w:val="en-US"/>
              </w:rPr>
              <w:t>2</w:t>
            </w:r>
            <w:r w:rsidRPr="0016496C">
              <w:rPr>
                <w:lang w:val="en-US"/>
              </w:rPr>
              <w:t>)</w:t>
            </w:r>
          </w:p>
        </w:tc>
      </w:tr>
    </w:tbl>
    <w:p w14:paraId="3CF1FA7A" w14:textId="7805DE80" w:rsidR="00B767B7" w:rsidRDefault="00145A1F" w:rsidP="00B767B7">
      <w:pPr>
        <w:pStyle w:val="CETBodytext"/>
        <w:ind w:left="720"/>
      </w:pPr>
      <w:r>
        <w:t xml:space="preserve">where: </w:t>
      </w:r>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dP</m:t>
                    </m:r>
                  </m:num>
                  <m:den>
                    <m:r>
                      <w:rPr>
                        <w:rFonts w:ascii="Cambria Math" w:hAnsi="Cambria Math"/>
                      </w:rPr>
                      <m:t>dt</m:t>
                    </m:r>
                  </m:den>
                </m:f>
              </m:e>
            </m:d>
          </m:e>
          <m:sub>
            <m:r>
              <w:rPr>
                <w:rFonts w:ascii="Cambria Math" w:hAnsi="Cambria Math"/>
              </w:rPr>
              <m:t>max</m:t>
            </m:r>
          </m:sub>
        </m:sSub>
        <m:r>
          <w:rPr>
            <w:rFonts w:ascii="Cambria Math" w:hAnsi="Cambria Math"/>
          </w:rPr>
          <m:t xml:space="preserve"> </m:t>
        </m:r>
      </m:oMath>
      <w:r>
        <w:t xml:space="preserve"> is the maximum rate of pressure rise</w:t>
      </w:r>
      <w:r w:rsidR="00ED2C5D">
        <w:t xml:space="preserve"> in the 20 L sphere [bar/s] and </w:t>
      </w:r>
      <m:oMath>
        <m:r>
          <w:rPr>
            <w:rFonts w:ascii="Cambria Math" w:hAnsi="Cambria Math"/>
          </w:rPr>
          <m:t>V</m:t>
        </m:r>
      </m:oMath>
      <w:r w:rsidR="00ED2C5D">
        <w:t xml:space="preserve"> is the volume of the sphere used for the test </w:t>
      </w:r>
      <w:r w:rsidR="004C041D">
        <w:t>[m</w:t>
      </w:r>
      <w:r w:rsidR="004C041D" w:rsidRPr="004C041D">
        <w:rPr>
          <w:vertAlign w:val="superscript"/>
        </w:rPr>
        <w:t>3</w:t>
      </w:r>
      <w:r w:rsidR="004C041D">
        <w:t>]</w:t>
      </w:r>
      <w:r w:rsidR="00B767B7">
        <w:t>;</w:t>
      </w:r>
    </w:p>
    <w:p w14:paraId="6E36C5B1" w14:textId="0990AC89" w:rsidR="00B767B7" w:rsidRDefault="00B767B7" w:rsidP="00B767B7">
      <w:pPr>
        <w:pStyle w:val="CETBodytext"/>
        <w:numPr>
          <w:ilvl w:val="0"/>
          <w:numId w:val="39"/>
        </w:numPr>
      </w:pPr>
      <w:r>
        <w:t xml:space="preserve">the derivative of pressure with respect to time </w:t>
      </w:r>
      <w:r w:rsidR="00A02E3F">
        <w:t>was</w:t>
      </w:r>
      <w:r>
        <w:t xml:space="preserve"> directly calculated by the temperature derivative </w:t>
      </w:r>
      <w:r w:rsidR="0001637D">
        <w:t xml:space="preserve">provided by the model </w:t>
      </w:r>
      <w:r w:rsidR="00A02E3F">
        <w:t xml:space="preserve">using the ideal gas law (which </w:t>
      </w:r>
      <w:r w:rsidR="005D0258">
        <w:t>was assumed to be valid for describing the gas phase behavior inside the sphere</w:t>
      </w:r>
      <w:r w:rsidR="0001637D">
        <w:t>)</w:t>
      </w:r>
      <w:r w:rsidR="005D0258">
        <w:t>.</w:t>
      </w:r>
    </w:p>
    <w:p w14:paraId="677EBFF0" w14:textId="343A19E0" w:rsidR="00600535" w:rsidRDefault="00792DD0" w:rsidP="00600535">
      <w:pPr>
        <w:pStyle w:val="CETHeading1"/>
        <w:tabs>
          <w:tab w:val="right" w:pos="7100"/>
        </w:tabs>
        <w:jc w:val="both"/>
      </w:pPr>
      <w:r>
        <w:t>Results and Discussion</w:t>
      </w:r>
    </w:p>
    <w:p w14:paraId="152A0A9A" w14:textId="64FDB3E1" w:rsidR="005C35FB" w:rsidRPr="005C35FB" w:rsidRDefault="001F0818" w:rsidP="005C35FB">
      <w:pPr>
        <w:pStyle w:val="CETBodytext"/>
      </w:pPr>
      <w:r>
        <w:t xml:space="preserve">In the following the results </w:t>
      </w:r>
      <w:r w:rsidR="00737D7D">
        <w:t xml:space="preserve">obtained by the theoretical simulations for the determination of Minimum Ignition Energy, Flash Point and </w:t>
      </w:r>
      <w:r w:rsidR="00233D54">
        <w:t xml:space="preserve">Deflagration Index </w:t>
      </w:r>
      <w:r w:rsidR="00771E4D">
        <w:t>of lactic acid</w:t>
      </w:r>
      <w:r w:rsidR="006821F5">
        <w:t xml:space="preserve"> will be presented and discussed</w:t>
      </w:r>
      <w:r w:rsidR="00771E4D">
        <w:t>.</w:t>
      </w:r>
    </w:p>
    <w:p w14:paraId="5B080393" w14:textId="1D210926" w:rsidR="009F4D5E" w:rsidRDefault="009F4D5E" w:rsidP="00FA5F5F">
      <w:pPr>
        <w:pStyle w:val="CETheadingx"/>
      </w:pPr>
      <w:r>
        <w:t xml:space="preserve">Fitting of the </w:t>
      </w:r>
      <w:r w:rsidR="001A15F1">
        <w:t>TGA curve</w:t>
      </w:r>
    </w:p>
    <w:p w14:paraId="2FBD6FC8" w14:textId="40D8144C" w:rsidR="00617E17" w:rsidRDefault="00771E4D" w:rsidP="00617E17">
      <w:pPr>
        <w:pStyle w:val="CETBodytext"/>
      </w:pPr>
      <w:r>
        <w:t xml:space="preserve">As described in </w:t>
      </w:r>
      <w:r w:rsidR="006821F5">
        <w:t xml:space="preserve">the work of </w:t>
      </w:r>
      <w:r>
        <w:t xml:space="preserve">Copelli et al. (2021), </w:t>
      </w:r>
      <w:r w:rsidR="00F44936">
        <w:t xml:space="preserve">the </w:t>
      </w:r>
      <w:r w:rsidR="0055121C">
        <w:t xml:space="preserve">devolatilization </w:t>
      </w:r>
      <w:r w:rsidR="00F44936">
        <w:t xml:space="preserve">kinetics of </w:t>
      </w:r>
      <w:r w:rsidR="00561ED0">
        <w:t xml:space="preserve">any </w:t>
      </w:r>
      <w:r w:rsidR="0055121C">
        <w:t>organic compound</w:t>
      </w:r>
      <w:r w:rsidR="00F44936">
        <w:t xml:space="preserve"> can be determined by a suitable fitting of thermogravimetric </w:t>
      </w:r>
      <w:r w:rsidR="00AC4578">
        <w:t xml:space="preserve">(TG) </w:t>
      </w:r>
      <w:r w:rsidR="00700007">
        <w:t>data (</w:t>
      </w:r>
      <w:r w:rsidR="00171A83">
        <w:t xml:space="preserve">provided in the format of </w:t>
      </w:r>
      <w:r w:rsidR="00700007">
        <w:t>mass loss – or conversion – vs. temperature)</w:t>
      </w:r>
      <w:r w:rsidR="00C55F89">
        <w:t xml:space="preserve">, </w:t>
      </w:r>
      <w:r w:rsidR="009F0112">
        <w:t xml:space="preserve">considering </w:t>
      </w:r>
      <w:r w:rsidR="00C55F89">
        <w:t>four different parameters</w:t>
      </w:r>
      <w:r w:rsidR="00213F56">
        <w:t>:</w:t>
      </w:r>
      <w:r w:rsidR="00B03BB2">
        <w:t xml:space="preserve"> </w:t>
      </w:r>
      <m:oMath>
        <m:r>
          <w:rPr>
            <w:rFonts w:ascii="Cambria Math" w:hAnsi="Cambria Math"/>
          </w:rPr>
          <m:t>A</m:t>
        </m:r>
      </m:oMath>
      <w:r w:rsidR="00B03BB2">
        <w:t xml:space="preserve"> (which </w:t>
      </w:r>
      <w:r w:rsidR="006239CB">
        <w:t>is</w:t>
      </w:r>
      <w:r w:rsidR="00B03BB2">
        <w:t xml:space="preserve"> the classical pre-exponential factor of </w:t>
      </w:r>
      <w:r w:rsidR="00943E9C">
        <w:t>an Arrhenius kinetic constant),</w:t>
      </w:r>
      <w:r w:rsidR="00213F56">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att</m:t>
            </m:r>
          </m:sub>
        </m:sSub>
      </m:oMath>
      <w:r w:rsidR="00943E9C">
        <w:t xml:space="preserve"> (which </w:t>
      </w:r>
      <w:r w:rsidR="006239CB">
        <w:t>i</w:t>
      </w:r>
      <w:r w:rsidR="00943E9C">
        <w:t>s the activation energy)</w:t>
      </w:r>
      <w:r w:rsidR="00E13373">
        <w:t xml:space="preserve">, </w:t>
      </w:r>
      <m:oMath>
        <m:r>
          <w:rPr>
            <w:rFonts w:ascii="Cambria Math" w:hAnsi="Cambria Math"/>
          </w:rPr>
          <m:t>k</m:t>
        </m:r>
      </m:oMath>
      <w:r w:rsidR="00E13373">
        <w:t xml:space="preserve"> (which </w:t>
      </w:r>
      <w:r w:rsidR="006239CB">
        <w:t>i</w:t>
      </w:r>
      <w:r w:rsidR="00E13373">
        <w:t>s a corrective factor for activation energy</w:t>
      </w:r>
      <w:r w:rsidR="009F0112">
        <w:t>, taking into account the modification of the decomposing mixture</w:t>
      </w:r>
      <w:r w:rsidR="00B51180">
        <w:t xml:space="preserve"> composition during the devolatilization process</w:t>
      </w:r>
      <w:r w:rsidR="00E13373">
        <w:t>)</w:t>
      </w:r>
      <w:r w:rsidR="00B51180">
        <w:t xml:space="preserve"> and, </w:t>
      </w:r>
      <m:oMath>
        <m:r>
          <w:rPr>
            <w:rFonts w:ascii="Cambria Math" w:hAnsi="Cambria Math"/>
          </w:rPr>
          <m:t>n</m:t>
        </m:r>
      </m:oMath>
      <w:r w:rsidR="00B51180">
        <w:t xml:space="preserve"> (which </w:t>
      </w:r>
      <w:r w:rsidR="006239CB">
        <w:t>i</w:t>
      </w:r>
      <w:r w:rsidR="00B51180">
        <w:t>s the apparent reaction order)</w:t>
      </w:r>
      <w:r w:rsidR="00F44936">
        <w:t>.</w:t>
      </w:r>
      <w:r w:rsidR="009F0890">
        <w:t xml:space="preserve"> </w:t>
      </w:r>
      <w:r w:rsidR="009872D0">
        <w:t xml:space="preserve">According to hypothesis 2) of paragraph </w:t>
      </w:r>
      <w:r w:rsidR="00AC4578">
        <w:t xml:space="preserve">2.1, TG </w:t>
      </w:r>
      <w:r w:rsidR="009F0890">
        <w:t>data</w:t>
      </w:r>
      <w:r w:rsidR="00AC4578">
        <w:t xml:space="preserve"> w</w:t>
      </w:r>
      <w:r w:rsidR="009F0890">
        <w:t>ere</w:t>
      </w:r>
      <w:r w:rsidR="00AC4578">
        <w:t xml:space="preserve"> taken by </w:t>
      </w:r>
      <w:r w:rsidR="00213F56">
        <w:t xml:space="preserve">the work of </w:t>
      </w:r>
      <w:proofErr w:type="spellStart"/>
      <w:r w:rsidR="00A60F62" w:rsidRPr="00CB3389">
        <w:t>Komesu</w:t>
      </w:r>
      <w:proofErr w:type="spellEnd"/>
      <w:r w:rsidR="00A60F62" w:rsidRPr="00CB3389">
        <w:t xml:space="preserve"> et al. (2017)</w:t>
      </w:r>
      <w:r w:rsidR="00A60F62">
        <w:t xml:space="preserve">. </w:t>
      </w:r>
    </w:p>
    <w:p w14:paraId="5FADD746" w14:textId="36AC9F7D" w:rsidR="00110242" w:rsidRDefault="00110242" w:rsidP="00617E17">
      <w:pPr>
        <w:pStyle w:val="CETBodytext"/>
      </w:pPr>
      <w:r>
        <w:t xml:space="preserve">Figure 1 reports </w:t>
      </w:r>
      <w:r w:rsidR="00EC44AF">
        <w:t>both</w:t>
      </w:r>
      <w:r>
        <w:t xml:space="preserve"> the experimental data </w:t>
      </w:r>
      <w:r w:rsidR="00EC44AF">
        <w:t>and</w:t>
      </w:r>
      <w:r>
        <w:t xml:space="preserve"> the best fit </w:t>
      </w:r>
      <w:r w:rsidR="00213F56">
        <w:t>(</w:t>
      </w:r>
      <w:r>
        <w:t>for the first part of the curve</w:t>
      </w:r>
      <w:r w:rsidR="00213F56">
        <w:t>)</w:t>
      </w:r>
      <w:r w:rsidR="00F03867">
        <w:t xml:space="preserve">. As it is possible to observe, the overlapping of the two </w:t>
      </w:r>
      <w:r w:rsidR="00DB2928">
        <w:t>conversion</w:t>
      </w:r>
      <w:r w:rsidR="00FB4EC2">
        <w:t>s</w:t>
      </w:r>
      <w:r w:rsidR="00DB2928">
        <w:t xml:space="preserve"> </w:t>
      </w:r>
      <w:r w:rsidR="00FB4EC2">
        <w:t xml:space="preserve">vs. temperature </w:t>
      </w:r>
      <w:r w:rsidR="00F03867">
        <w:t xml:space="preserve">curves is very good in the first </w:t>
      </w:r>
      <w:r w:rsidR="00E756E0">
        <w:t>temperature range</w:t>
      </w:r>
      <w:r w:rsidR="00DB2928">
        <w:t xml:space="preserve"> (before 100 °C)</w:t>
      </w:r>
      <w:r w:rsidR="00F03867">
        <w:t xml:space="preserve">, becoming less accurate </w:t>
      </w:r>
      <w:r w:rsidR="00144D2B">
        <w:t>as the temperature increase</w:t>
      </w:r>
      <w:r w:rsidR="00E756E0">
        <w:t>s</w:t>
      </w:r>
      <w:r w:rsidR="000077BB">
        <w:t xml:space="preserve">. This </w:t>
      </w:r>
      <w:r w:rsidR="00E756E0">
        <w:t>is</w:t>
      </w:r>
      <w:r w:rsidR="000077BB">
        <w:t xml:space="preserve"> in line with the procedure detailed in Copelli et al. (2021), </w:t>
      </w:r>
      <w:r w:rsidR="00707F87">
        <w:t>where</w:t>
      </w:r>
      <w:r w:rsidR="000077BB">
        <w:t xml:space="preserve"> the first part of the curve, describing the </w:t>
      </w:r>
      <w:r w:rsidR="00707F87">
        <w:t>earliest</w:t>
      </w:r>
      <w:r w:rsidR="000077BB">
        <w:t xml:space="preserve"> volatiles produced by </w:t>
      </w:r>
      <w:r w:rsidR="00D432B9">
        <w:t>either pyrolysis or devolatilization of the condensed substance to be tested</w:t>
      </w:r>
      <w:r w:rsidR="004F111A">
        <w:t xml:space="preserve">, </w:t>
      </w:r>
      <w:r w:rsidR="00707F87">
        <w:t>w</w:t>
      </w:r>
      <w:r w:rsidR="00F6494A">
        <w:t>ere</w:t>
      </w:r>
      <w:r w:rsidR="004F111A">
        <w:t xml:space="preserve"> the most important to calculate the value of either the MIE or the </w:t>
      </w:r>
      <w:proofErr w:type="spellStart"/>
      <w:r w:rsidR="004F111A">
        <w:t>K</w:t>
      </w:r>
      <w:r w:rsidR="004F111A" w:rsidRPr="004F111A">
        <w:rPr>
          <w:vertAlign w:val="subscript"/>
        </w:rPr>
        <w:t>st</w:t>
      </w:r>
      <w:proofErr w:type="spellEnd"/>
      <w:r w:rsidR="004F111A">
        <w:t>.</w:t>
      </w:r>
    </w:p>
    <w:p w14:paraId="65D4E691" w14:textId="77777777" w:rsidR="002B5944" w:rsidRDefault="002B5944" w:rsidP="002B5944">
      <w:pPr>
        <w:pStyle w:val="CETBodytext"/>
      </w:pPr>
      <w:r>
        <w:t xml:space="preserve">The results of the fitting procedure (that is, all the four kinetic parameters) are reported in Table 1. </w:t>
      </w:r>
    </w:p>
    <w:p w14:paraId="5D532E6C" w14:textId="77777777" w:rsidR="002B5944" w:rsidRPr="00B03B09" w:rsidRDefault="002B5944" w:rsidP="002B5944">
      <w:pPr>
        <w:pStyle w:val="CETheadingx"/>
      </w:pPr>
      <w:r>
        <w:t>Minimum Ignition Energy and Flash Point</w:t>
      </w:r>
    </w:p>
    <w:p w14:paraId="5B28C8D0" w14:textId="77777777" w:rsidR="002B5944" w:rsidRDefault="002B5944" w:rsidP="002B5944">
      <w:pPr>
        <w:pStyle w:val="CETBodytext"/>
      </w:pPr>
      <w:r>
        <w:t xml:space="preserve">In order to consider LA in the solid state (that is, as a dust), it was necessary to start the virtual MIKE3 test at the initial dust temperature of 0 °C (as the reported literature melting point of the racemic mixture was 16.8 °C). </w:t>
      </w:r>
    </w:p>
    <w:p w14:paraId="46ACBCC3" w14:textId="77777777" w:rsidR="002B5944" w:rsidRDefault="002B5944" w:rsidP="002B5944">
      <w:pPr>
        <w:pStyle w:val="CETBodytext"/>
      </w:pPr>
      <w:r>
        <w:lastRenderedPageBreak/>
        <w:t xml:space="preserve">Table 2 reports MIE results using three different mean diameters for the solid lactic acid particles, that were: 50, 100 and, 150 </w:t>
      </w:r>
      <w:r>
        <w:rPr>
          <w:rFonts w:cs="Arial"/>
        </w:rPr>
        <w:t>µ</w:t>
      </w:r>
      <w:r>
        <w:t>m. These values were found to be the most likely for LA dust, but further experimental validation should be provided basing on real samples of crystalline lactic acid.</w:t>
      </w:r>
    </w:p>
    <w:p w14:paraId="54324C41" w14:textId="0387A76B" w:rsidR="00310A37" w:rsidRDefault="005B1B71" w:rsidP="00617E17">
      <w:pPr>
        <w:pStyle w:val="CETBodytext"/>
      </w:pPr>
      <w:r>
        <w:rPr>
          <w:noProof/>
        </w:rPr>
        <w:drawing>
          <wp:inline distT="0" distB="0" distL="0" distR="0" wp14:anchorId="062E72F7" wp14:editId="19BA23A6">
            <wp:extent cx="2878277" cy="2158626"/>
            <wp:effectExtent l="0" t="0" r="0" b="0"/>
            <wp:docPr id="117937948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79483" name="Immagine 1179379483"/>
                    <pic:cNvPicPr/>
                  </pic:nvPicPr>
                  <pic:blipFill>
                    <a:blip r:embed="rId13"/>
                    <a:stretch>
                      <a:fillRect/>
                    </a:stretch>
                  </pic:blipFill>
                  <pic:spPr>
                    <a:xfrm>
                      <a:off x="0" y="0"/>
                      <a:ext cx="2890588" cy="2167859"/>
                    </a:xfrm>
                    <a:prstGeom prst="rect">
                      <a:avLst/>
                    </a:prstGeom>
                  </pic:spPr>
                </pic:pic>
              </a:graphicData>
            </a:graphic>
          </wp:inline>
        </w:drawing>
      </w:r>
    </w:p>
    <w:p w14:paraId="3DC5E4BB" w14:textId="60C05811" w:rsidR="00310A37" w:rsidRPr="0016496C" w:rsidRDefault="00310A37" w:rsidP="00310A37">
      <w:pPr>
        <w:pStyle w:val="CETCaption"/>
        <w:rPr>
          <w:rStyle w:val="CETCaptionCarattere"/>
          <w:lang w:val="en-US"/>
        </w:rPr>
      </w:pPr>
      <w:r w:rsidRPr="0016496C">
        <w:rPr>
          <w:rStyle w:val="CETCaptionCarattere"/>
          <w:i/>
          <w:lang w:val="en-US"/>
        </w:rPr>
        <w:t xml:space="preserve">Figure 1: </w:t>
      </w:r>
      <w:r w:rsidR="005B1B71">
        <w:rPr>
          <w:rStyle w:val="CETCaptionCarattere"/>
          <w:i/>
          <w:lang w:val="en-US"/>
        </w:rPr>
        <w:t xml:space="preserve">Conversion vs. </w:t>
      </w:r>
      <w:r w:rsidR="005749C0">
        <w:rPr>
          <w:rStyle w:val="CETCaptionCarattere"/>
          <w:i/>
          <w:lang w:val="en-US"/>
        </w:rPr>
        <w:t>T</w:t>
      </w:r>
      <w:r w:rsidR="005B1B71">
        <w:rPr>
          <w:rStyle w:val="CETCaptionCarattere"/>
          <w:i/>
          <w:lang w:val="en-US"/>
        </w:rPr>
        <w:t xml:space="preserve">emperature </w:t>
      </w:r>
      <w:r w:rsidR="005749C0">
        <w:rPr>
          <w:rStyle w:val="CETCaptionCarattere"/>
          <w:i/>
          <w:lang w:val="en-US"/>
        </w:rPr>
        <w:t xml:space="preserve">curve for </w:t>
      </w:r>
      <w:r w:rsidR="0064522B">
        <w:rPr>
          <w:rStyle w:val="CETCaptionCarattere"/>
          <w:i/>
          <w:lang w:val="en-US"/>
        </w:rPr>
        <w:t>both</w:t>
      </w:r>
      <w:r w:rsidR="005012DC">
        <w:rPr>
          <w:rStyle w:val="CETCaptionCarattere"/>
          <w:i/>
          <w:lang w:val="en-US"/>
        </w:rPr>
        <w:t xml:space="preserve"> </w:t>
      </w:r>
      <w:r w:rsidR="005749C0">
        <w:rPr>
          <w:rStyle w:val="CETCaptionCarattere"/>
          <w:i/>
          <w:lang w:val="en-US"/>
        </w:rPr>
        <w:t>the TG test at 5 K/min reported in</w:t>
      </w:r>
      <w:r w:rsidR="005749C0" w:rsidRPr="005749C0">
        <w:rPr>
          <w:rStyle w:val="CETCaptionCarattere"/>
          <w:i/>
          <w:iCs/>
          <w:lang w:val="en-US"/>
        </w:rPr>
        <w:t xml:space="preserve"> </w:t>
      </w:r>
      <w:proofErr w:type="spellStart"/>
      <w:r w:rsidR="005749C0" w:rsidRPr="005749C0">
        <w:rPr>
          <w:rStyle w:val="CETCaptionCarattere"/>
          <w:i/>
          <w:iCs/>
          <w:lang w:val="en-US"/>
        </w:rPr>
        <w:t>Komesu</w:t>
      </w:r>
      <w:proofErr w:type="spellEnd"/>
      <w:r w:rsidR="005749C0" w:rsidRPr="005749C0">
        <w:rPr>
          <w:rStyle w:val="CETCaptionCarattere"/>
          <w:i/>
          <w:iCs/>
          <w:lang w:val="en-US"/>
        </w:rPr>
        <w:t xml:space="preserve"> et al. (2017)</w:t>
      </w:r>
      <w:r w:rsidR="005749C0">
        <w:rPr>
          <w:rStyle w:val="CETCaptionCarattere"/>
          <w:i/>
          <w:iCs/>
          <w:lang w:val="en-US"/>
        </w:rPr>
        <w:t xml:space="preserve"> (</w:t>
      </w:r>
      <w:r w:rsidR="005012DC">
        <w:rPr>
          <w:rStyle w:val="CETCaptionCarattere"/>
          <w:i/>
          <w:iCs/>
          <w:lang w:val="en-US"/>
        </w:rPr>
        <w:t xml:space="preserve">red dotted line) </w:t>
      </w:r>
      <w:r w:rsidR="0064522B">
        <w:rPr>
          <w:rStyle w:val="CETCaptionCarattere"/>
          <w:i/>
          <w:iCs/>
          <w:lang w:val="en-US"/>
        </w:rPr>
        <w:t>and</w:t>
      </w:r>
      <w:r w:rsidR="005012DC">
        <w:rPr>
          <w:rStyle w:val="CETCaptionCarattere"/>
          <w:i/>
          <w:iCs/>
          <w:lang w:val="en-US"/>
        </w:rPr>
        <w:t xml:space="preserve"> the simulated </w:t>
      </w:r>
      <w:r w:rsidR="008714D3">
        <w:rPr>
          <w:rStyle w:val="CETCaptionCarattere"/>
          <w:i/>
          <w:iCs/>
          <w:lang w:val="en-US"/>
        </w:rPr>
        <w:t xml:space="preserve">one (black continuous line) using </w:t>
      </w:r>
      <w:r w:rsidR="00C55F89">
        <w:rPr>
          <w:rStyle w:val="CETCaptionCarattere"/>
          <w:i/>
          <w:iCs/>
          <w:lang w:val="en-US"/>
        </w:rPr>
        <w:t>the kinetics reported in Table 1</w:t>
      </w:r>
      <w:r w:rsidRPr="0016496C">
        <w:rPr>
          <w:rStyle w:val="CETCaptionCarattere"/>
          <w:lang w:val="en-US"/>
        </w:rPr>
        <w:t>.</w:t>
      </w:r>
      <w:r w:rsidR="005749C0">
        <w:rPr>
          <w:rStyle w:val="CETCaptionCarattere"/>
          <w:lang w:val="en-US"/>
        </w:rPr>
        <w:t xml:space="preserve"> </w:t>
      </w:r>
    </w:p>
    <w:p w14:paraId="133AAA30" w14:textId="1C3C99FE" w:rsidR="002A2BAE" w:rsidRPr="0016496C" w:rsidRDefault="002A2BAE" w:rsidP="002A2BAE">
      <w:pPr>
        <w:pStyle w:val="CETTabletitle"/>
        <w:rPr>
          <w:lang w:val="en-US"/>
        </w:rPr>
      </w:pPr>
      <w:r w:rsidRPr="0016496C">
        <w:rPr>
          <w:lang w:val="en-US"/>
        </w:rPr>
        <w:t xml:space="preserve">Table 1: </w:t>
      </w:r>
      <w:r>
        <w:rPr>
          <w:lang w:val="en-US"/>
        </w:rPr>
        <w:t>Kinetic p</w:t>
      </w:r>
      <w:r w:rsidRPr="0016496C">
        <w:rPr>
          <w:lang w:val="en-US"/>
        </w:rPr>
        <w:t xml:space="preserve">arameters for </w:t>
      </w:r>
      <w:r>
        <w:rPr>
          <w:lang w:val="en-US"/>
        </w:rPr>
        <w:t>the devolatilization kinetics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6"/>
        <w:gridCol w:w="1276"/>
        <w:gridCol w:w="5385"/>
      </w:tblGrid>
      <w:tr w:rsidR="002A2BAE" w:rsidRPr="0016496C" w14:paraId="337B10CE" w14:textId="77777777" w:rsidTr="002B5944">
        <w:tc>
          <w:tcPr>
            <w:tcW w:w="1210" w:type="pct"/>
            <w:tcBorders>
              <w:top w:val="single" w:sz="12" w:space="0" w:color="008000"/>
              <w:bottom w:val="single" w:sz="6" w:space="0" w:color="008000"/>
            </w:tcBorders>
            <w:shd w:val="clear" w:color="auto" w:fill="FFFFFF"/>
          </w:tcPr>
          <w:p w14:paraId="4C9FA138" w14:textId="77777777" w:rsidR="002A2BAE" w:rsidRPr="0016496C" w:rsidRDefault="002A2BAE" w:rsidP="00E73D14">
            <w:pPr>
              <w:pStyle w:val="CETBodytext"/>
            </w:pPr>
            <w:r w:rsidRPr="0016496C">
              <w:t>Parameter</w:t>
            </w:r>
          </w:p>
        </w:tc>
        <w:tc>
          <w:tcPr>
            <w:tcW w:w="726" w:type="pct"/>
            <w:tcBorders>
              <w:top w:val="single" w:sz="12" w:space="0" w:color="008000"/>
              <w:bottom w:val="single" w:sz="6" w:space="0" w:color="008000"/>
            </w:tcBorders>
            <w:shd w:val="clear" w:color="auto" w:fill="FFFFFF"/>
          </w:tcPr>
          <w:p w14:paraId="22F8BA83" w14:textId="3D10DC9E" w:rsidR="002A2BAE" w:rsidRPr="0016496C" w:rsidRDefault="002A2BAE" w:rsidP="00E73D14">
            <w:pPr>
              <w:pStyle w:val="CETBodytext"/>
            </w:pPr>
            <w:r w:rsidRPr="0016496C">
              <w:t>Value</w:t>
            </w:r>
          </w:p>
        </w:tc>
        <w:tc>
          <w:tcPr>
            <w:tcW w:w="3064" w:type="pct"/>
            <w:tcBorders>
              <w:top w:val="single" w:sz="12" w:space="0" w:color="008000"/>
              <w:bottom w:val="single" w:sz="6" w:space="0" w:color="008000"/>
            </w:tcBorders>
            <w:shd w:val="clear" w:color="auto" w:fill="FFFFFF"/>
          </w:tcPr>
          <w:p w14:paraId="3B17ECE9" w14:textId="77777777" w:rsidR="002A2BAE" w:rsidRPr="0016496C" w:rsidRDefault="002A2BAE" w:rsidP="00E73D14">
            <w:pPr>
              <w:pStyle w:val="CETBodytext"/>
              <w:ind w:right="-1"/>
              <w:jc w:val="center"/>
              <w:rPr>
                <w:rFonts w:cs="Arial"/>
                <w:szCs w:val="18"/>
              </w:rPr>
            </w:pPr>
            <w:r w:rsidRPr="0016496C">
              <w:rPr>
                <w:rFonts w:cs="Arial"/>
                <w:szCs w:val="18"/>
              </w:rPr>
              <w:t>Unit</w:t>
            </w:r>
          </w:p>
        </w:tc>
      </w:tr>
      <w:tr w:rsidR="002A2BAE" w:rsidRPr="0016496C" w14:paraId="19C8D55C" w14:textId="77777777" w:rsidTr="002B5944">
        <w:tc>
          <w:tcPr>
            <w:tcW w:w="1210" w:type="pct"/>
            <w:shd w:val="clear" w:color="auto" w:fill="FFFFFF"/>
          </w:tcPr>
          <w:p w14:paraId="13407280" w14:textId="0F90D808" w:rsidR="002A2BAE" w:rsidRPr="0016496C" w:rsidRDefault="002B5944" w:rsidP="00E73D14">
            <w:pPr>
              <w:pStyle w:val="CETBodytext"/>
            </w:pPr>
            <w:r>
              <w:t xml:space="preserve"> </w:t>
            </w:r>
            <m:oMath>
              <m:r>
                <w:rPr>
                  <w:rFonts w:ascii="Cambria Math" w:hAnsi="Cambria Math"/>
                </w:rPr>
                <m:t>A</m:t>
              </m:r>
            </m:oMath>
          </w:p>
        </w:tc>
        <w:tc>
          <w:tcPr>
            <w:tcW w:w="726" w:type="pct"/>
            <w:shd w:val="clear" w:color="auto" w:fill="FFFFFF"/>
          </w:tcPr>
          <w:p w14:paraId="2A754CCD" w14:textId="47E9332F" w:rsidR="002A2BAE" w:rsidRPr="0016496C" w:rsidRDefault="002B5944" w:rsidP="00E73D14">
            <w:pPr>
              <w:pStyle w:val="CETBodytext"/>
            </w:pPr>
            <m:oMathPara>
              <m:oMath>
                <m:r>
                  <w:rPr>
                    <w:rFonts w:ascii="Cambria Math" w:hAnsi="Cambria Math"/>
                  </w:rPr>
                  <m:t>8.590×</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c>
          <w:tcPr>
            <w:tcW w:w="3064" w:type="pct"/>
            <w:shd w:val="clear" w:color="auto" w:fill="FFFFFF"/>
          </w:tcPr>
          <w:p w14:paraId="71102611" w14:textId="432A2909" w:rsidR="002A2BAE" w:rsidRPr="004A4C45" w:rsidRDefault="002B5944" w:rsidP="00CB6D06">
            <w:pPr>
              <w:pStyle w:val="CETBodytext"/>
              <w:jc w:val="center"/>
              <w:rPr>
                <w:rFonts w:cs="Arial"/>
                <w:iCs/>
              </w:rPr>
            </w:pPr>
            <m:oMathPara>
              <m:oMath>
                <m:r>
                  <w:rPr>
                    <w:rFonts w:ascii="Cambria Math" w:hAnsi="Cambria Math" w:cs="Arial"/>
                  </w:rPr>
                  <m:t xml:space="preserve">1/s </m:t>
                </m:r>
                <m:sSup>
                  <m:sSupPr>
                    <m:ctrlPr>
                      <w:rPr>
                        <w:rFonts w:ascii="Cambria Math" w:hAnsi="Cambria Math" w:cs="Arial"/>
                        <w:i/>
                        <w:iCs/>
                      </w:rPr>
                    </m:ctrlPr>
                  </m:sSupPr>
                  <m:e>
                    <m:r>
                      <w:rPr>
                        <w:rFonts w:ascii="Cambria Math" w:hAnsi="Cambria Math" w:cs="Arial"/>
                      </w:rPr>
                      <m:t>(kmol/</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cs="Arial"/>
                      </w:rPr>
                      <m:t>)</m:t>
                    </m:r>
                  </m:e>
                  <m:sup>
                    <m:r>
                      <w:rPr>
                        <w:rFonts w:ascii="Cambria Math" w:hAnsi="Cambria Math" w:cs="Arial"/>
                      </w:rPr>
                      <m:t>1-n</m:t>
                    </m:r>
                  </m:sup>
                </m:sSup>
              </m:oMath>
            </m:oMathPara>
          </w:p>
        </w:tc>
      </w:tr>
      <w:tr w:rsidR="002A2BAE" w:rsidRPr="0016496C" w14:paraId="789A3796" w14:textId="77777777" w:rsidTr="002B5944">
        <w:tc>
          <w:tcPr>
            <w:tcW w:w="1210" w:type="pct"/>
            <w:shd w:val="clear" w:color="auto" w:fill="FFFFFF"/>
          </w:tcPr>
          <w:p w14:paraId="48ADFD11" w14:textId="4F4FA958" w:rsidR="002A2BAE" w:rsidRPr="0016496C" w:rsidRDefault="002B5944" w:rsidP="00E73D14">
            <w:pPr>
              <w:pStyle w:val="CETBodytext"/>
              <w:ind w:right="-1"/>
              <w:rPr>
                <w:rFonts w:cs="Arial"/>
                <w:szCs w:val="18"/>
              </w:rPr>
            </w:pP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att</m:t>
                  </m:r>
                </m:sub>
              </m:sSub>
            </m:oMath>
          </w:p>
        </w:tc>
        <w:tc>
          <w:tcPr>
            <w:tcW w:w="726" w:type="pct"/>
            <w:shd w:val="clear" w:color="auto" w:fill="FFFFFF"/>
          </w:tcPr>
          <w:p w14:paraId="55D25C6D" w14:textId="57C4B633" w:rsidR="002A2BAE" w:rsidRPr="0016496C" w:rsidRDefault="002B5944" w:rsidP="00E73D14">
            <w:pPr>
              <w:pStyle w:val="CETBodytext"/>
              <w:ind w:right="-1"/>
              <w:rPr>
                <w:rFonts w:cs="Arial"/>
                <w:szCs w:val="18"/>
              </w:rPr>
            </w:pPr>
            <m:oMathPara>
              <m:oMath>
                <m:r>
                  <w:rPr>
                    <w:rFonts w:ascii="Cambria Math" w:hAnsi="Cambria Math" w:cs="Arial"/>
                    <w:szCs w:val="18"/>
                  </w:rPr>
                  <m:t>5.108</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c>
          <w:tcPr>
            <w:tcW w:w="3064" w:type="pct"/>
            <w:shd w:val="clear" w:color="auto" w:fill="FFFFFF"/>
          </w:tcPr>
          <w:p w14:paraId="0230A6FB" w14:textId="6E9A66CD" w:rsidR="002A2BAE" w:rsidRPr="0016496C" w:rsidRDefault="002B5944" w:rsidP="00CB6D06">
            <w:pPr>
              <w:pStyle w:val="CETBodytext"/>
              <w:ind w:right="-1"/>
              <w:jc w:val="center"/>
              <w:rPr>
                <w:rFonts w:cs="Arial"/>
              </w:rPr>
            </w:pPr>
            <m:oMathPara>
              <m:oMath>
                <m:r>
                  <w:rPr>
                    <w:rFonts w:ascii="Cambria Math" w:hAnsi="Cambria Math" w:cs="Arial"/>
                  </w:rPr>
                  <m:t>J/mol</m:t>
                </m:r>
              </m:oMath>
            </m:oMathPara>
          </w:p>
        </w:tc>
      </w:tr>
      <w:tr w:rsidR="002A2BAE" w:rsidRPr="0016496C" w14:paraId="79BF536E" w14:textId="77777777" w:rsidTr="002B5944">
        <w:tc>
          <w:tcPr>
            <w:tcW w:w="1210" w:type="pct"/>
            <w:shd w:val="clear" w:color="auto" w:fill="FFFFFF"/>
          </w:tcPr>
          <w:p w14:paraId="4F53661C" w14:textId="3E206392" w:rsidR="002A2BAE" w:rsidRPr="0016496C" w:rsidRDefault="002B5944" w:rsidP="00E73D14">
            <w:pPr>
              <w:pStyle w:val="CETBodytext"/>
              <w:ind w:right="-1"/>
              <w:rPr>
                <w:rFonts w:cs="Arial"/>
                <w:szCs w:val="18"/>
              </w:rPr>
            </w:pPr>
            <w:r>
              <w:t xml:space="preserve"> </w:t>
            </w:r>
            <m:oMath>
              <m:r>
                <w:rPr>
                  <w:rFonts w:ascii="Cambria Math" w:hAnsi="Cambria Math"/>
                </w:rPr>
                <m:t>k</m:t>
              </m:r>
            </m:oMath>
          </w:p>
        </w:tc>
        <w:tc>
          <w:tcPr>
            <w:tcW w:w="726" w:type="pct"/>
            <w:shd w:val="clear" w:color="auto" w:fill="FFFFFF"/>
          </w:tcPr>
          <w:p w14:paraId="4D811A4F" w14:textId="6D7E4C60" w:rsidR="002A2BAE" w:rsidRPr="0016496C" w:rsidRDefault="002B5944" w:rsidP="00E73D14">
            <w:pPr>
              <w:pStyle w:val="CETBodytext"/>
              <w:ind w:right="-1"/>
              <w:rPr>
                <w:rFonts w:cs="Arial"/>
                <w:szCs w:val="18"/>
              </w:rPr>
            </w:pPr>
            <m:oMathPara>
              <m:oMath>
                <m:r>
                  <w:rPr>
                    <w:rFonts w:ascii="Cambria Math" w:hAnsi="Cambria Math" w:cs="Arial"/>
                    <w:szCs w:val="18"/>
                  </w:rPr>
                  <m:t>-0.152</m:t>
                </m:r>
              </m:oMath>
            </m:oMathPara>
          </w:p>
        </w:tc>
        <w:tc>
          <w:tcPr>
            <w:tcW w:w="3064" w:type="pct"/>
            <w:shd w:val="clear" w:color="auto" w:fill="FFFFFF"/>
          </w:tcPr>
          <w:p w14:paraId="6CDB363E" w14:textId="167033B1" w:rsidR="002A2BAE" w:rsidRPr="0016496C" w:rsidRDefault="00FB0C51" w:rsidP="00CB6D06">
            <w:pPr>
              <w:pStyle w:val="CETBodytext"/>
              <w:ind w:right="-1"/>
              <w:jc w:val="center"/>
              <w:rPr>
                <w:rFonts w:cs="Arial"/>
              </w:rPr>
            </w:pPr>
            <w:r>
              <w:rPr>
                <w:rFonts w:cs="Arial"/>
              </w:rPr>
              <w:t>-</w:t>
            </w:r>
          </w:p>
        </w:tc>
      </w:tr>
      <w:tr w:rsidR="00FB0C51" w:rsidRPr="0016496C" w14:paraId="05FC2364" w14:textId="77777777" w:rsidTr="002B5944">
        <w:tc>
          <w:tcPr>
            <w:tcW w:w="1210" w:type="pct"/>
            <w:shd w:val="clear" w:color="auto" w:fill="FFFFFF"/>
          </w:tcPr>
          <w:p w14:paraId="4E29BC3D" w14:textId="7B98A044" w:rsidR="00FB0C51" w:rsidRDefault="002B5944" w:rsidP="00FB0C51">
            <w:pPr>
              <w:pStyle w:val="CETBodytext"/>
              <w:ind w:right="-1"/>
            </w:pPr>
            <w:r>
              <w:t xml:space="preserve"> </w:t>
            </w:r>
            <m:oMath>
              <m:r>
                <w:rPr>
                  <w:rFonts w:ascii="Cambria Math" w:hAnsi="Cambria Math"/>
                </w:rPr>
                <m:t>n</m:t>
              </m:r>
            </m:oMath>
          </w:p>
        </w:tc>
        <w:tc>
          <w:tcPr>
            <w:tcW w:w="726" w:type="pct"/>
            <w:shd w:val="clear" w:color="auto" w:fill="FFFFFF"/>
          </w:tcPr>
          <w:p w14:paraId="32274847" w14:textId="6A85476D" w:rsidR="00FB0C51" w:rsidRPr="0016496C" w:rsidRDefault="002B5944" w:rsidP="00FB0C51">
            <w:pPr>
              <w:pStyle w:val="CETBodytext"/>
              <w:ind w:right="-1"/>
              <w:rPr>
                <w:rFonts w:cs="Arial"/>
                <w:szCs w:val="18"/>
              </w:rPr>
            </w:pPr>
            <m:oMathPara>
              <m:oMath>
                <m:r>
                  <w:rPr>
                    <w:rFonts w:ascii="Cambria Math" w:hAnsi="Cambria Math" w:cs="Arial"/>
                    <w:szCs w:val="18"/>
                  </w:rPr>
                  <m:t>2</m:t>
                </m:r>
              </m:oMath>
            </m:oMathPara>
          </w:p>
        </w:tc>
        <w:tc>
          <w:tcPr>
            <w:tcW w:w="3064" w:type="pct"/>
            <w:shd w:val="clear" w:color="auto" w:fill="FFFFFF"/>
          </w:tcPr>
          <w:p w14:paraId="280C96A6" w14:textId="2858F53C" w:rsidR="00FB0C51" w:rsidRPr="0016496C" w:rsidRDefault="00FB0C51" w:rsidP="00FB0C51">
            <w:pPr>
              <w:pStyle w:val="CETBodytext"/>
              <w:ind w:right="-1"/>
              <w:jc w:val="center"/>
              <w:rPr>
                <w:rFonts w:cs="Arial"/>
              </w:rPr>
            </w:pPr>
            <w:r>
              <w:rPr>
                <w:rFonts w:cs="Arial"/>
              </w:rPr>
              <w:t>-</w:t>
            </w:r>
          </w:p>
        </w:tc>
      </w:tr>
    </w:tbl>
    <w:p w14:paraId="00114033" w14:textId="79D33480" w:rsidR="00BA6568" w:rsidRPr="0016496C" w:rsidRDefault="00BA6568" w:rsidP="00BA6568">
      <w:pPr>
        <w:pStyle w:val="CETTabletitle"/>
        <w:rPr>
          <w:lang w:val="en-US"/>
        </w:rPr>
      </w:pPr>
      <w:r w:rsidRPr="0016496C">
        <w:rPr>
          <w:lang w:val="en-US"/>
        </w:rPr>
        <w:t xml:space="preserve">Table </w:t>
      </w:r>
      <w:r>
        <w:rPr>
          <w:lang w:val="en-US"/>
        </w:rPr>
        <w:t>2</w:t>
      </w:r>
      <w:r w:rsidRPr="0016496C">
        <w:rPr>
          <w:lang w:val="en-US"/>
        </w:rPr>
        <w:t xml:space="preserve">: </w:t>
      </w:r>
      <w:r>
        <w:rPr>
          <w:lang w:val="en-US"/>
        </w:rPr>
        <w:t>Theoretical MIE value</w:t>
      </w:r>
      <w:r w:rsidR="00ED3CD8">
        <w:rPr>
          <w:lang w:val="en-US"/>
        </w:rPr>
        <w:t>s</w:t>
      </w:r>
      <w:r>
        <w:rPr>
          <w:lang w:val="en-US"/>
        </w:rPr>
        <w:t xml:space="preserve"> for different mean diameters of solid LA</w:t>
      </w:r>
      <w:r w:rsidR="00ED3CD8">
        <w:rPr>
          <w:lang w:val="en-US"/>
        </w:rPr>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43"/>
        <w:gridCol w:w="6444"/>
      </w:tblGrid>
      <w:tr w:rsidR="009957BC" w:rsidRPr="0016496C" w14:paraId="73AA1585" w14:textId="77777777" w:rsidTr="002B5944">
        <w:tc>
          <w:tcPr>
            <w:tcW w:w="1333" w:type="pct"/>
            <w:tcBorders>
              <w:top w:val="single" w:sz="12" w:space="0" w:color="008000"/>
              <w:bottom w:val="single" w:sz="6" w:space="0" w:color="008000"/>
            </w:tcBorders>
            <w:shd w:val="clear" w:color="auto" w:fill="FFFFFF"/>
          </w:tcPr>
          <w:p w14:paraId="5BA7097B" w14:textId="77777777" w:rsidR="009957BC" w:rsidRDefault="009957BC" w:rsidP="00E73D14">
            <w:pPr>
              <w:pStyle w:val="CETBodytext"/>
            </w:pPr>
            <w:r>
              <w:t>Diameter</w:t>
            </w:r>
          </w:p>
          <w:p w14:paraId="30D89E73" w14:textId="1E03C107" w:rsidR="009957BC" w:rsidRPr="0016496C" w:rsidRDefault="009957BC" w:rsidP="00E73D14">
            <w:pPr>
              <w:pStyle w:val="CETBodytext"/>
            </w:pPr>
            <w:r>
              <w:t>[</w:t>
            </w:r>
            <w:r>
              <w:rPr>
                <w:rFonts w:cs="Arial"/>
              </w:rPr>
              <w:t>µ</w:t>
            </w:r>
            <w:r>
              <w:t>m]</w:t>
            </w:r>
          </w:p>
        </w:tc>
        <w:tc>
          <w:tcPr>
            <w:tcW w:w="3667" w:type="pct"/>
            <w:tcBorders>
              <w:top w:val="single" w:sz="12" w:space="0" w:color="008000"/>
              <w:bottom w:val="single" w:sz="6" w:space="0" w:color="008000"/>
            </w:tcBorders>
            <w:shd w:val="clear" w:color="auto" w:fill="FFFFFF"/>
          </w:tcPr>
          <w:p w14:paraId="5D518031" w14:textId="77777777" w:rsidR="009957BC" w:rsidRDefault="009957BC" w:rsidP="00E73D14">
            <w:pPr>
              <w:pStyle w:val="CETBodytext"/>
              <w:ind w:right="-1"/>
              <w:jc w:val="center"/>
              <w:rPr>
                <w:rFonts w:cs="Arial"/>
                <w:szCs w:val="18"/>
              </w:rPr>
            </w:pPr>
            <w:r>
              <w:rPr>
                <w:rFonts w:cs="Arial"/>
                <w:szCs w:val="18"/>
              </w:rPr>
              <w:t>MIE</w:t>
            </w:r>
          </w:p>
          <w:p w14:paraId="118342E5" w14:textId="3FC8AC1E" w:rsidR="009957BC" w:rsidRPr="0016496C" w:rsidRDefault="009957BC" w:rsidP="00E73D14">
            <w:pPr>
              <w:pStyle w:val="CETBodytext"/>
              <w:ind w:right="-1"/>
              <w:jc w:val="center"/>
              <w:rPr>
                <w:rFonts w:cs="Arial"/>
                <w:szCs w:val="18"/>
              </w:rPr>
            </w:pPr>
            <w:r>
              <w:rPr>
                <w:rFonts w:cs="Arial"/>
                <w:szCs w:val="18"/>
              </w:rPr>
              <w:t>[</w:t>
            </w:r>
            <w:proofErr w:type="spellStart"/>
            <w:r>
              <w:rPr>
                <w:rFonts w:cs="Arial"/>
                <w:szCs w:val="18"/>
              </w:rPr>
              <w:t>mJ</w:t>
            </w:r>
            <w:proofErr w:type="spellEnd"/>
            <w:r>
              <w:rPr>
                <w:rFonts w:cs="Arial"/>
                <w:szCs w:val="18"/>
              </w:rPr>
              <w:t>]</w:t>
            </w:r>
          </w:p>
        </w:tc>
      </w:tr>
      <w:tr w:rsidR="009957BC" w:rsidRPr="0016496C" w14:paraId="6BC052CE" w14:textId="77777777" w:rsidTr="002B5944">
        <w:tc>
          <w:tcPr>
            <w:tcW w:w="1333" w:type="pct"/>
            <w:shd w:val="clear" w:color="auto" w:fill="FFFFFF"/>
          </w:tcPr>
          <w:p w14:paraId="5F087BD9" w14:textId="0D895096" w:rsidR="009957BC" w:rsidRPr="0016496C" w:rsidRDefault="002B5944" w:rsidP="00E73D14">
            <w:pPr>
              <w:pStyle w:val="CETBodytext"/>
            </w:pPr>
            <w:r>
              <w:t xml:space="preserve"> </w:t>
            </w:r>
            <m:oMath>
              <m:r>
                <w:rPr>
                  <w:rFonts w:ascii="Cambria Math" w:hAnsi="Cambria Math"/>
                </w:rPr>
                <m:t>50</m:t>
              </m:r>
            </m:oMath>
          </w:p>
        </w:tc>
        <w:tc>
          <w:tcPr>
            <w:tcW w:w="3667" w:type="pct"/>
            <w:shd w:val="clear" w:color="auto" w:fill="FFFFFF"/>
          </w:tcPr>
          <w:p w14:paraId="5F8E28CE" w14:textId="3444FD01" w:rsidR="009957BC" w:rsidRPr="004A4C45" w:rsidRDefault="002B5944" w:rsidP="00E73D14">
            <w:pPr>
              <w:pStyle w:val="CETBodytext"/>
              <w:jc w:val="center"/>
              <w:rPr>
                <w:rFonts w:cs="Arial"/>
                <w:iCs/>
              </w:rPr>
            </w:pPr>
            <m:oMathPara>
              <m:oMath>
                <m:r>
                  <w:rPr>
                    <w:rFonts w:ascii="Cambria Math" w:hAnsi="Cambria Math" w:cs="Arial"/>
                  </w:rPr>
                  <m:t>0.81</m:t>
                </m:r>
              </m:oMath>
            </m:oMathPara>
          </w:p>
        </w:tc>
      </w:tr>
      <w:tr w:rsidR="009957BC" w:rsidRPr="0016496C" w14:paraId="5A7A4E3B" w14:textId="77777777" w:rsidTr="002B5944">
        <w:tc>
          <w:tcPr>
            <w:tcW w:w="1333" w:type="pct"/>
            <w:shd w:val="clear" w:color="auto" w:fill="FFFFFF"/>
          </w:tcPr>
          <w:p w14:paraId="4C359F39" w14:textId="18990360" w:rsidR="009957BC" w:rsidRPr="0016496C" w:rsidRDefault="002B5944" w:rsidP="00E73D14">
            <w:pPr>
              <w:pStyle w:val="CETBodytext"/>
              <w:ind w:right="-1"/>
              <w:rPr>
                <w:rFonts w:cs="Arial"/>
                <w:szCs w:val="18"/>
              </w:rPr>
            </w:pPr>
            <w:r>
              <w:rPr>
                <w:szCs w:val="18"/>
              </w:rPr>
              <w:t xml:space="preserve"> </w:t>
            </w:r>
            <m:oMath>
              <m:r>
                <w:rPr>
                  <w:rFonts w:ascii="Cambria Math" w:hAnsi="Cambria Math" w:cs="Arial"/>
                  <w:szCs w:val="18"/>
                </w:rPr>
                <m:t>100</m:t>
              </m:r>
            </m:oMath>
          </w:p>
        </w:tc>
        <w:tc>
          <w:tcPr>
            <w:tcW w:w="3667" w:type="pct"/>
            <w:shd w:val="clear" w:color="auto" w:fill="FFFFFF"/>
          </w:tcPr>
          <w:p w14:paraId="2C30780D" w14:textId="006406C8" w:rsidR="009957BC" w:rsidRPr="0016496C" w:rsidRDefault="002B5944" w:rsidP="00E73D14">
            <w:pPr>
              <w:pStyle w:val="CETBodytext"/>
              <w:ind w:right="-1"/>
              <w:jc w:val="center"/>
              <w:rPr>
                <w:rFonts w:cs="Arial"/>
              </w:rPr>
            </w:pPr>
            <m:oMathPara>
              <m:oMath>
                <m:r>
                  <w:rPr>
                    <w:rFonts w:ascii="Cambria Math" w:hAnsi="Cambria Math" w:cs="Arial"/>
                  </w:rPr>
                  <m:t>8.52</m:t>
                </m:r>
              </m:oMath>
            </m:oMathPara>
          </w:p>
        </w:tc>
      </w:tr>
      <w:tr w:rsidR="009957BC" w:rsidRPr="0016496C" w14:paraId="5F7BA44C" w14:textId="77777777" w:rsidTr="002B5944">
        <w:tc>
          <w:tcPr>
            <w:tcW w:w="1333" w:type="pct"/>
            <w:shd w:val="clear" w:color="auto" w:fill="FFFFFF"/>
          </w:tcPr>
          <w:p w14:paraId="21182087" w14:textId="6F986174" w:rsidR="009957BC" w:rsidRPr="0016496C" w:rsidRDefault="002B5944" w:rsidP="00E73D14">
            <w:pPr>
              <w:pStyle w:val="CETBodytext"/>
              <w:ind w:right="-1"/>
              <w:rPr>
                <w:rFonts w:cs="Arial"/>
                <w:szCs w:val="18"/>
              </w:rPr>
            </w:pPr>
            <w:r>
              <w:rPr>
                <w:szCs w:val="18"/>
              </w:rPr>
              <w:t xml:space="preserve"> </w:t>
            </w:r>
            <m:oMath>
              <m:r>
                <w:rPr>
                  <w:rFonts w:ascii="Cambria Math" w:hAnsi="Cambria Math" w:cs="Arial"/>
                  <w:szCs w:val="18"/>
                </w:rPr>
                <m:t>150</m:t>
              </m:r>
            </m:oMath>
          </w:p>
        </w:tc>
        <w:tc>
          <w:tcPr>
            <w:tcW w:w="3667" w:type="pct"/>
            <w:shd w:val="clear" w:color="auto" w:fill="FFFFFF"/>
          </w:tcPr>
          <w:p w14:paraId="04FC55FE" w14:textId="44C1D882" w:rsidR="009957BC" w:rsidRPr="0016496C" w:rsidRDefault="002B5944" w:rsidP="00E73D14">
            <w:pPr>
              <w:pStyle w:val="CETBodytext"/>
              <w:ind w:right="-1"/>
              <w:jc w:val="center"/>
              <w:rPr>
                <w:rFonts w:cs="Arial"/>
              </w:rPr>
            </w:pPr>
            <m:oMathPara>
              <m:oMath>
                <m:r>
                  <w:rPr>
                    <w:rFonts w:ascii="Cambria Math" w:hAnsi="Cambria Math" w:cs="Arial"/>
                  </w:rPr>
                  <m:t>430.68</m:t>
                </m:r>
              </m:oMath>
            </m:oMathPara>
          </w:p>
        </w:tc>
      </w:tr>
    </w:tbl>
    <w:p w14:paraId="7744CF1A" w14:textId="7FF28E26" w:rsidR="004500C3" w:rsidRDefault="00BC269E" w:rsidP="008D5F56">
      <w:pPr>
        <w:pStyle w:val="CETBodytext"/>
        <w:spacing w:before="240"/>
      </w:pPr>
      <w:r>
        <w:t xml:space="preserve">All MIE values </w:t>
      </w:r>
      <w:r w:rsidR="00DE0A8F">
        <w:t>were calculated using Eq. (1)</w:t>
      </w:r>
      <w:r w:rsidR="00CC123D">
        <w:t xml:space="preserve">, according to the results </w:t>
      </w:r>
      <w:r w:rsidR="003419CB">
        <w:t>(</w:t>
      </w:r>
      <w:r w:rsidR="005F7058">
        <w:t>for energy levels E1 and E2</w:t>
      </w:r>
      <w:r w:rsidR="003419CB">
        <w:t>)</w:t>
      </w:r>
      <w:r w:rsidR="005F7058">
        <w:t xml:space="preserve"> </w:t>
      </w:r>
      <w:r w:rsidR="00CC123D">
        <w:t xml:space="preserve">of the simulations </w:t>
      </w:r>
      <w:r w:rsidR="00F05F7B">
        <w:t xml:space="preserve">synthetically </w:t>
      </w:r>
      <w:r w:rsidR="00CC123D">
        <w:t>reported in Table</w:t>
      </w:r>
      <w:r w:rsidR="001C21C1">
        <w:t xml:space="preserve"> 3</w:t>
      </w:r>
      <w:r w:rsidR="00B17FD4">
        <w:t xml:space="preserve"> (as a function of </w:t>
      </w:r>
      <w:r w:rsidR="00F10836">
        <w:t xml:space="preserve">the different </w:t>
      </w:r>
      <w:r w:rsidR="00B17FD4">
        <w:t xml:space="preserve">solid LA </w:t>
      </w:r>
      <w:r w:rsidR="00F10836">
        <w:t xml:space="preserve">masses virtually tested </w:t>
      </w:r>
      <w:r w:rsidR="00ED3CD8">
        <w:t>per each mean diameter of the dust)</w:t>
      </w:r>
      <w:r w:rsidR="00CC123D">
        <w:t xml:space="preserve">. </w:t>
      </w:r>
      <w:r w:rsidR="004500C3">
        <w:t xml:space="preserve">As it is possible to </w:t>
      </w:r>
      <w:r w:rsidR="001661E3">
        <w:t>observe</w:t>
      </w:r>
      <w:r w:rsidR="00BE70C0">
        <w:t xml:space="preserve"> from the MIE values</w:t>
      </w:r>
      <w:r w:rsidR="004500C3">
        <w:t xml:space="preserve">, when the dust mean diameter is little (ref. 50 </w:t>
      </w:r>
      <w:r w:rsidR="004500C3">
        <w:rPr>
          <w:rFonts w:cs="Arial"/>
        </w:rPr>
        <w:t>µ</w:t>
      </w:r>
      <w:r w:rsidR="004500C3">
        <w:t>m), solid LA volatilized very easily</w:t>
      </w:r>
      <w:r w:rsidR="00E303EB">
        <w:t>,</w:t>
      </w:r>
      <w:r w:rsidR="004500C3">
        <w:t xml:space="preserve"> behaving more as a flammable liquid or gas rather than a powder. This could be ascribed to the fast evaporation of flammable contaminants (</w:t>
      </w:r>
      <w:r w:rsidR="00E546C0">
        <w:t xml:space="preserve">such </w:t>
      </w:r>
      <w:r w:rsidR="004500C3">
        <w:t xml:space="preserve">as methanol) followed by a rapid devolatilization of the remaining matrix in either the liquid or the solid form. Therefore, the MIE value is very low in comparison with other dusts of the same particle </w:t>
      </w:r>
      <w:r w:rsidR="00E546C0">
        <w:t>s</w:t>
      </w:r>
      <w:r w:rsidR="004500C3">
        <w:t xml:space="preserve">ize (e.g. sugar). As the mean particle dimension increases, LA seems to become lesser flammable (e.g., when the diameter is above 150 </w:t>
      </w:r>
      <w:r w:rsidR="004500C3">
        <w:rPr>
          <w:rFonts w:cs="Arial"/>
        </w:rPr>
        <w:t>µ</w:t>
      </w:r>
      <w:r w:rsidR="004500C3">
        <w:t>m</w:t>
      </w:r>
      <w:r w:rsidR="00E303EB">
        <w:t xml:space="preserve">, </w:t>
      </w:r>
      <w:r w:rsidR="004500C3">
        <w:t>the expected MIE value is quite high).</w:t>
      </w:r>
    </w:p>
    <w:p w14:paraId="7A72F2A0" w14:textId="77777777" w:rsidR="00E546C0" w:rsidRDefault="00E546C0" w:rsidP="00E546C0">
      <w:pPr>
        <w:pStyle w:val="CETBodytext"/>
        <w:spacing w:before="240"/>
      </w:pPr>
      <w:r>
        <w:t xml:space="preserve">Concerning the estimation of the Flash Point, it is possible to refer to the temperature of the “hot zone” inside a MIKE3 apparatus, as described in Copelli et al. (2021). The temperature reached by the gas in the space between the electrodes depends on the energy released by the electrodes themselves and it can be used to model both the heating of the LA droplets and their vaporization rate. An ignition (that is, a flame) can result only when the concentration of volatile flammable compounds in the “hot zone” is inside the flammability limits (which must be known, at least for one of the expected emitted compounds). This means that the “hot core” temperature is somewhat linked to the flash point. Of course, quite small liquid droplets must be used for the virtual FP simulation because LA must vaporize rapidly when heated. </w:t>
      </w:r>
    </w:p>
    <w:p w14:paraId="3A89EB53" w14:textId="6DA3F1B4" w:rsidR="00E546C0" w:rsidRDefault="00E546C0" w:rsidP="00E546C0">
      <w:pPr>
        <w:pStyle w:val="CETBodytext"/>
      </w:pPr>
      <w:r>
        <w:t xml:space="preserve">Moreover, the initial droplet temperature should be higher than 16.8 °C, which is the melting point of DL-LA (for which the devolatilization kinetics was calculated); in this work, an initial droplet temperature of 20 °C was </w:t>
      </w:r>
      <w:r>
        <w:lastRenderedPageBreak/>
        <w:t xml:space="preserve">assumed. Finally, a surface/volume ratio similar to that one available in a standard Pensky-Martens apparatus should be used to ensure a good degree of reliability in the FP estimation. </w:t>
      </w:r>
    </w:p>
    <w:p w14:paraId="32CD37FD" w14:textId="6A21981E" w:rsidR="00E546C0" w:rsidRDefault="00E546C0" w:rsidP="00E546C0">
      <w:pPr>
        <w:pStyle w:val="CETBodytext"/>
        <w:spacing w:before="240"/>
      </w:pPr>
      <w:r>
        <w:t>Taking into account all of these constraints, the calculated FP was 105.5 °C. For DL-LA, Sigma-Aldrich's safety datasheet reports a value equal to 113 °C (closed cup test). This good agreement with the experimental result can be considered as a preliminary validation even of the LA data coming from the MIE model (which, of course, it has been already validated with other organic dusts such as sugar, niacin, aspirin, etc..) and a good premise for the use of the deflagration index model (which is based on the same devolatilization kinetics of the MIE model).</w:t>
      </w:r>
      <w:r w:rsidR="000A236F">
        <w:t xml:space="preserve"> Of course, a certain degree of uncertainty is unavoidable. Typically, it is possible to assume a </w:t>
      </w:r>
      <w:r w:rsidR="006466FC">
        <w:t>2</w:t>
      </w:r>
      <w:r w:rsidR="000A236F">
        <w:t xml:space="preserve">0% degree of uncertainty on the predicted </w:t>
      </w:r>
      <w:r w:rsidR="00664C85">
        <w:t xml:space="preserve">MIE </w:t>
      </w:r>
      <w:r w:rsidR="006466FC">
        <w:t>results.</w:t>
      </w:r>
    </w:p>
    <w:p w14:paraId="3146DEB7" w14:textId="45A55E7E" w:rsidR="005263C0" w:rsidRPr="0016496C" w:rsidRDefault="005263C0" w:rsidP="005263C0">
      <w:pPr>
        <w:pStyle w:val="CETTabletitle"/>
        <w:rPr>
          <w:lang w:val="en-US"/>
        </w:rPr>
      </w:pPr>
      <w:r w:rsidRPr="0016496C">
        <w:rPr>
          <w:lang w:val="en-US"/>
        </w:rPr>
        <w:t xml:space="preserve">Table </w:t>
      </w:r>
      <w:r>
        <w:rPr>
          <w:lang w:val="en-US"/>
        </w:rPr>
        <w:t>3</w:t>
      </w:r>
      <w:r w:rsidRPr="0016496C">
        <w:rPr>
          <w:lang w:val="en-US"/>
        </w:rPr>
        <w:t xml:space="preserve">: </w:t>
      </w:r>
      <w:r>
        <w:rPr>
          <w:lang w:val="en-US"/>
        </w:rPr>
        <w:t xml:space="preserve">Results of </w:t>
      </w:r>
      <w:r w:rsidR="00E47A42">
        <w:rPr>
          <w:lang w:val="en-US"/>
        </w:rPr>
        <w:t xml:space="preserve">E2 </w:t>
      </w:r>
      <w:r w:rsidR="00A37D79">
        <w:rPr>
          <w:lang w:val="en-US"/>
        </w:rPr>
        <w:t xml:space="preserve">and E1 </w:t>
      </w:r>
      <w:r w:rsidR="00E47A42">
        <w:rPr>
          <w:lang w:val="en-US"/>
        </w:rPr>
        <w:t>as a function of</w:t>
      </w:r>
      <w:r w:rsidR="00B17FD4">
        <w:rPr>
          <w:lang w:val="en-US"/>
        </w:rPr>
        <w:t xml:space="preserve"> solid</w:t>
      </w:r>
      <w:r w:rsidR="00E47A42">
        <w:rPr>
          <w:lang w:val="en-US"/>
        </w:rPr>
        <w:t xml:space="preserve"> LA mass</w:t>
      </w:r>
      <w:r w:rsidR="00111467">
        <w:rPr>
          <w:lang w:val="en-US"/>
        </w:rPr>
        <w:t xml:space="preserve"> (mean diameter</w:t>
      </w:r>
      <w:r w:rsidR="00A37D79">
        <w:rPr>
          <w:lang w:val="en-US"/>
        </w:rPr>
        <w:t>s</w:t>
      </w:r>
      <w:r w:rsidR="00111467">
        <w:rPr>
          <w:lang w:val="en-US"/>
        </w:rPr>
        <w:t xml:space="preserve"> 50</w:t>
      </w:r>
      <w:r w:rsidR="00A37D79">
        <w:rPr>
          <w:lang w:val="en-US"/>
        </w:rPr>
        <w:t>, 100 and 150</w:t>
      </w:r>
      <w:r w:rsidR="00111467">
        <w:rPr>
          <w:lang w:val="en-US"/>
        </w:rPr>
        <w:t xml:space="preserve"> </w:t>
      </w:r>
      <w:r w:rsidR="00111467">
        <w:rPr>
          <w:rFonts w:cs="Arial"/>
        </w:rPr>
        <w:t>µ</w:t>
      </w:r>
      <w:r w:rsidR="00111467">
        <w:t>m</w:t>
      </w:r>
      <w:r w:rsidR="00111467">
        <w:rPr>
          <w:lang w:val="en-US"/>
        </w:rPr>
        <w:t>)</w:t>
      </w:r>
      <w:r w:rsidR="00E47A42">
        <w:rPr>
          <w:lang w:val="en-US"/>
        </w:rPr>
        <w:t xml:space="preserve"> loaded in the MIKE3 apparatus</w:t>
      </w:r>
      <w:r w:rsidR="00111467">
        <w:rPr>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3"/>
        <w:gridCol w:w="1254"/>
        <w:gridCol w:w="1256"/>
        <w:gridCol w:w="1256"/>
        <w:gridCol w:w="1256"/>
        <w:gridCol w:w="1256"/>
        <w:gridCol w:w="1256"/>
      </w:tblGrid>
      <w:tr w:rsidR="00590668" w:rsidRPr="0016496C" w14:paraId="0E19F88E" w14:textId="6A8928BA" w:rsidTr="002A7887">
        <w:trPr>
          <w:trHeight w:val="228"/>
        </w:trPr>
        <w:tc>
          <w:tcPr>
            <w:tcW w:w="1253" w:type="dxa"/>
            <w:tcBorders>
              <w:top w:val="single" w:sz="12" w:space="0" w:color="008000"/>
              <w:bottom w:val="single" w:sz="6" w:space="0" w:color="008000"/>
            </w:tcBorders>
            <w:shd w:val="clear" w:color="auto" w:fill="FFFFFF"/>
          </w:tcPr>
          <w:p w14:paraId="7080B04B" w14:textId="723CE3CE" w:rsidR="00590668" w:rsidRDefault="00372ECD" w:rsidP="005421E8">
            <w:pPr>
              <w:pStyle w:val="CETBodytext"/>
            </w:pPr>
            <w:r>
              <w:t>I = Ignited</w:t>
            </w:r>
          </w:p>
          <w:p w14:paraId="06BB6DF5" w14:textId="18841200" w:rsidR="00372ECD" w:rsidRPr="0016496C" w:rsidRDefault="00372ECD" w:rsidP="005421E8">
            <w:pPr>
              <w:pStyle w:val="CETBodytext"/>
            </w:pPr>
            <w:r>
              <w:t>NI = Not Ignited</w:t>
            </w:r>
          </w:p>
        </w:tc>
        <w:tc>
          <w:tcPr>
            <w:tcW w:w="7534" w:type="dxa"/>
            <w:gridSpan w:val="6"/>
            <w:tcBorders>
              <w:top w:val="single" w:sz="12" w:space="0" w:color="008000"/>
              <w:bottom w:val="single" w:sz="6" w:space="0" w:color="008000"/>
            </w:tcBorders>
            <w:shd w:val="clear" w:color="auto" w:fill="FFFFFF"/>
          </w:tcPr>
          <w:p w14:paraId="2EFFE825" w14:textId="23E3CD29" w:rsidR="001F3AEE" w:rsidRDefault="00590668" w:rsidP="005421E8">
            <w:pPr>
              <w:pStyle w:val="CETBodytext"/>
              <w:ind w:right="-1"/>
              <w:jc w:val="center"/>
            </w:pPr>
            <w:r w:rsidRPr="008D0A76">
              <w:t>Dust Loading</w:t>
            </w:r>
          </w:p>
          <w:p w14:paraId="2AEC598A" w14:textId="5CC28F4A" w:rsidR="00590668" w:rsidRPr="0016496C" w:rsidRDefault="00590668" w:rsidP="005421E8">
            <w:pPr>
              <w:pStyle w:val="CETBodytext"/>
              <w:ind w:right="-1"/>
              <w:jc w:val="center"/>
              <w:rPr>
                <w:rFonts w:cs="Arial"/>
                <w:szCs w:val="18"/>
              </w:rPr>
            </w:pPr>
            <w:r w:rsidRPr="008D0A76">
              <w:t>1,2 L chamber</w:t>
            </w:r>
            <w:r w:rsidRPr="008D0A76">
              <w:br/>
              <w:t>[mg]</w:t>
            </w:r>
          </w:p>
        </w:tc>
      </w:tr>
      <w:tr w:rsidR="005421E8" w:rsidRPr="0016496C" w14:paraId="7C9CC227" w14:textId="77777777" w:rsidTr="0068001F">
        <w:trPr>
          <w:trHeight w:val="228"/>
        </w:trPr>
        <w:tc>
          <w:tcPr>
            <w:tcW w:w="1253" w:type="dxa"/>
            <w:tcBorders>
              <w:top w:val="single" w:sz="12" w:space="0" w:color="008000"/>
              <w:bottom w:val="single" w:sz="6" w:space="0" w:color="008000"/>
            </w:tcBorders>
            <w:shd w:val="clear" w:color="auto" w:fill="FFFFFF"/>
          </w:tcPr>
          <w:p w14:paraId="4D4EB7A8" w14:textId="77777777" w:rsidR="005421E8" w:rsidRPr="0016496C" w:rsidRDefault="005421E8" w:rsidP="005421E8">
            <w:pPr>
              <w:pStyle w:val="CETBodytext"/>
            </w:pPr>
          </w:p>
        </w:tc>
        <w:tc>
          <w:tcPr>
            <w:tcW w:w="1254" w:type="dxa"/>
            <w:tcBorders>
              <w:top w:val="single" w:sz="12" w:space="0" w:color="008000"/>
              <w:bottom w:val="single" w:sz="6" w:space="0" w:color="008000"/>
            </w:tcBorders>
            <w:shd w:val="clear" w:color="auto" w:fill="FFFFFF"/>
          </w:tcPr>
          <w:p w14:paraId="5FE88A09" w14:textId="05F02F39" w:rsidR="005421E8" w:rsidRPr="0016496C" w:rsidRDefault="005421E8" w:rsidP="005421E8">
            <w:pPr>
              <w:pStyle w:val="CETBodytext"/>
            </w:pPr>
            <w:r w:rsidRPr="008D0A76">
              <w:t>Ignition Energy</w:t>
            </w:r>
            <w:r w:rsidRPr="008D0A76">
              <w:br/>
              <w:t>[</w:t>
            </w:r>
            <w:proofErr w:type="spellStart"/>
            <w:r w:rsidRPr="008D0A76">
              <w:t>mJ</w:t>
            </w:r>
            <w:proofErr w:type="spellEnd"/>
            <w:r w:rsidRPr="008D0A76">
              <w:t>]</w:t>
            </w:r>
          </w:p>
        </w:tc>
        <w:tc>
          <w:tcPr>
            <w:tcW w:w="1256" w:type="dxa"/>
            <w:tcBorders>
              <w:top w:val="single" w:sz="12" w:space="0" w:color="008000"/>
              <w:bottom w:val="single" w:sz="6" w:space="0" w:color="008000"/>
            </w:tcBorders>
            <w:shd w:val="clear" w:color="auto" w:fill="FFFFFF"/>
          </w:tcPr>
          <w:p w14:paraId="77046B96" w14:textId="7471D18E" w:rsidR="005421E8" w:rsidRPr="0016496C" w:rsidRDefault="005421E8" w:rsidP="005421E8">
            <w:pPr>
              <w:pStyle w:val="CETBodytext"/>
              <w:jc w:val="center"/>
            </w:pPr>
            <w:r>
              <w:t>300</w:t>
            </w:r>
          </w:p>
        </w:tc>
        <w:tc>
          <w:tcPr>
            <w:tcW w:w="1256" w:type="dxa"/>
            <w:tcBorders>
              <w:top w:val="single" w:sz="12" w:space="0" w:color="008000"/>
              <w:bottom w:val="single" w:sz="6" w:space="0" w:color="008000"/>
            </w:tcBorders>
            <w:shd w:val="clear" w:color="auto" w:fill="FFFFFF"/>
          </w:tcPr>
          <w:p w14:paraId="7FA03E0B" w14:textId="7319E711" w:rsidR="005421E8" w:rsidRPr="0016496C" w:rsidRDefault="005421E8" w:rsidP="005421E8">
            <w:pPr>
              <w:pStyle w:val="CETBodytext"/>
              <w:jc w:val="center"/>
            </w:pPr>
            <w:r>
              <w:t>600</w:t>
            </w:r>
          </w:p>
        </w:tc>
        <w:tc>
          <w:tcPr>
            <w:tcW w:w="1256" w:type="dxa"/>
            <w:tcBorders>
              <w:top w:val="single" w:sz="12" w:space="0" w:color="008000"/>
              <w:bottom w:val="single" w:sz="6" w:space="0" w:color="008000"/>
            </w:tcBorders>
            <w:shd w:val="clear" w:color="auto" w:fill="FFFFFF"/>
          </w:tcPr>
          <w:p w14:paraId="41792335" w14:textId="13EFA8F9" w:rsidR="005421E8" w:rsidRPr="0016496C" w:rsidRDefault="005421E8" w:rsidP="005421E8">
            <w:pPr>
              <w:pStyle w:val="CETBodytext"/>
              <w:jc w:val="center"/>
            </w:pPr>
            <w:r>
              <w:t>900</w:t>
            </w:r>
          </w:p>
        </w:tc>
        <w:tc>
          <w:tcPr>
            <w:tcW w:w="1256" w:type="dxa"/>
            <w:tcBorders>
              <w:top w:val="single" w:sz="12" w:space="0" w:color="008000"/>
              <w:bottom w:val="single" w:sz="6" w:space="0" w:color="008000"/>
            </w:tcBorders>
            <w:shd w:val="clear" w:color="auto" w:fill="FFFFFF"/>
          </w:tcPr>
          <w:p w14:paraId="5F4881CB" w14:textId="3385C930" w:rsidR="005421E8" w:rsidRPr="0016496C" w:rsidRDefault="005421E8" w:rsidP="005421E8">
            <w:pPr>
              <w:pStyle w:val="CETBodytext"/>
              <w:ind w:right="-1"/>
              <w:jc w:val="center"/>
              <w:rPr>
                <w:rFonts w:cs="Arial"/>
                <w:szCs w:val="18"/>
              </w:rPr>
            </w:pPr>
            <w:r>
              <w:rPr>
                <w:rFonts w:cs="Arial"/>
                <w:szCs w:val="18"/>
              </w:rPr>
              <w:t>1200</w:t>
            </w:r>
          </w:p>
        </w:tc>
        <w:tc>
          <w:tcPr>
            <w:tcW w:w="1256" w:type="dxa"/>
            <w:tcBorders>
              <w:top w:val="single" w:sz="12" w:space="0" w:color="008000"/>
              <w:bottom w:val="single" w:sz="6" w:space="0" w:color="008000"/>
            </w:tcBorders>
            <w:shd w:val="clear" w:color="auto" w:fill="FFFFFF"/>
          </w:tcPr>
          <w:p w14:paraId="7BA824E8" w14:textId="1E63A552" w:rsidR="005421E8" w:rsidRPr="0016496C" w:rsidRDefault="005421E8" w:rsidP="005421E8">
            <w:pPr>
              <w:pStyle w:val="CETBodytext"/>
              <w:ind w:right="-1"/>
              <w:jc w:val="center"/>
              <w:rPr>
                <w:rFonts w:cs="Arial"/>
                <w:szCs w:val="18"/>
              </w:rPr>
            </w:pPr>
            <w:r>
              <w:rPr>
                <w:rFonts w:cs="Arial"/>
                <w:szCs w:val="18"/>
              </w:rPr>
              <w:t>1500</w:t>
            </w:r>
          </w:p>
        </w:tc>
      </w:tr>
      <w:tr w:rsidR="00191365" w:rsidRPr="0016496C" w14:paraId="1015E13D" w14:textId="3B6C6BF1" w:rsidTr="0068001F">
        <w:trPr>
          <w:trHeight w:val="228"/>
        </w:trPr>
        <w:tc>
          <w:tcPr>
            <w:tcW w:w="1253" w:type="dxa"/>
            <w:vMerge w:val="restart"/>
            <w:shd w:val="clear" w:color="auto" w:fill="FFFFFF"/>
          </w:tcPr>
          <w:p w14:paraId="66FB0D8B" w14:textId="4E14F693" w:rsidR="00191365" w:rsidRPr="0016496C" w:rsidRDefault="00191365" w:rsidP="005421E8">
            <w:pPr>
              <w:pStyle w:val="CETBodytext"/>
            </w:pPr>
            <w:r>
              <w:t xml:space="preserve">D=50 </w:t>
            </w:r>
            <w:r>
              <w:rPr>
                <w:rFonts w:cs="Arial"/>
              </w:rPr>
              <w:t>µ</w:t>
            </w:r>
            <w:r>
              <w:t>m</w:t>
            </w:r>
          </w:p>
        </w:tc>
        <w:tc>
          <w:tcPr>
            <w:tcW w:w="1254" w:type="dxa"/>
            <w:shd w:val="clear" w:color="auto" w:fill="FFFFFF"/>
          </w:tcPr>
          <w:p w14:paraId="48438442" w14:textId="0BAA4107" w:rsidR="00191365" w:rsidRPr="0016496C" w:rsidRDefault="00191365" w:rsidP="005421E8">
            <w:pPr>
              <w:pStyle w:val="CETBodytext"/>
            </w:pPr>
          </w:p>
        </w:tc>
        <w:tc>
          <w:tcPr>
            <w:tcW w:w="1256" w:type="dxa"/>
            <w:shd w:val="clear" w:color="auto" w:fill="FFFFFF"/>
          </w:tcPr>
          <w:p w14:paraId="76F0AF7D" w14:textId="77777777" w:rsidR="00191365" w:rsidRPr="0016496C" w:rsidRDefault="00191365" w:rsidP="005421E8">
            <w:pPr>
              <w:pStyle w:val="CETBodytext"/>
              <w:jc w:val="center"/>
            </w:pPr>
          </w:p>
        </w:tc>
        <w:tc>
          <w:tcPr>
            <w:tcW w:w="1256" w:type="dxa"/>
            <w:shd w:val="clear" w:color="auto" w:fill="FFFFFF"/>
          </w:tcPr>
          <w:p w14:paraId="0A89555C" w14:textId="77777777" w:rsidR="00191365" w:rsidRPr="0016496C" w:rsidRDefault="00191365" w:rsidP="005421E8">
            <w:pPr>
              <w:pStyle w:val="CETBodytext"/>
              <w:jc w:val="center"/>
            </w:pPr>
          </w:p>
        </w:tc>
        <w:tc>
          <w:tcPr>
            <w:tcW w:w="1256" w:type="dxa"/>
            <w:shd w:val="clear" w:color="auto" w:fill="FFFFFF"/>
          </w:tcPr>
          <w:p w14:paraId="156113E4" w14:textId="62DDED97" w:rsidR="00191365" w:rsidRPr="0016496C" w:rsidRDefault="00191365" w:rsidP="005421E8">
            <w:pPr>
              <w:pStyle w:val="CETBodytext"/>
              <w:jc w:val="center"/>
            </w:pPr>
          </w:p>
        </w:tc>
        <w:tc>
          <w:tcPr>
            <w:tcW w:w="1256" w:type="dxa"/>
            <w:shd w:val="clear" w:color="auto" w:fill="FFFFFF"/>
          </w:tcPr>
          <w:p w14:paraId="4844BD10" w14:textId="4E24BFE4" w:rsidR="00191365" w:rsidRPr="004A4C45" w:rsidRDefault="00191365" w:rsidP="005421E8">
            <w:pPr>
              <w:pStyle w:val="CETBodytext"/>
              <w:jc w:val="center"/>
              <w:rPr>
                <w:rFonts w:cs="Arial"/>
                <w:iCs/>
              </w:rPr>
            </w:pPr>
          </w:p>
        </w:tc>
        <w:tc>
          <w:tcPr>
            <w:tcW w:w="1256" w:type="dxa"/>
            <w:shd w:val="clear" w:color="auto" w:fill="FFFFFF"/>
          </w:tcPr>
          <w:p w14:paraId="4975D93D" w14:textId="77777777" w:rsidR="00191365" w:rsidRPr="004A4C45" w:rsidRDefault="00191365" w:rsidP="005421E8">
            <w:pPr>
              <w:pStyle w:val="CETBodytext"/>
              <w:jc w:val="center"/>
              <w:rPr>
                <w:rFonts w:cs="Arial"/>
                <w:iCs/>
              </w:rPr>
            </w:pPr>
          </w:p>
        </w:tc>
      </w:tr>
      <w:tr w:rsidR="00191365" w:rsidRPr="0016496C" w14:paraId="137F3ACB" w14:textId="36B87342" w:rsidTr="0068001F">
        <w:trPr>
          <w:trHeight w:val="228"/>
        </w:trPr>
        <w:tc>
          <w:tcPr>
            <w:tcW w:w="1253" w:type="dxa"/>
            <w:vMerge/>
            <w:shd w:val="clear" w:color="auto" w:fill="FFFFFF"/>
          </w:tcPr>
          <w:p w14:paraId="62340257" w14:textId="77777777" w:rsidR="00191365" w:rsidRPr="0016496C" w:rsidRDefault="00191365" w:rsidP="005421E8">
            <w:pPr>
              <w:pStyle w:val="CETBodytext"/>
              <w:ind w:right="-1"/>
              <w:rPr>
                <w:rFonts w:cs="Arial"/>
                <w:szCs w:val="18"/>
              </w:rPr>
            </w:pPr>
          </w:p>
        </w:tc>
        <w:tc>
          <w:tcPr>
            <w:tcW w:w="1254" w:type="dxa"/>
            <w:shd w:val="clear" w:color="auto" w:fill="FFFFFF"/>
          </w:tcPr>
          <w:p w14:paraId="004AA983" w14:textId="587FC1C3" w:rsidR="00191365" w:rsidRPr="0016496C" w:rsidRDefault="00191365" w:rsidP="005421E8">
            <w:pPr>
              <w:pStyle w:val="CETBodytext"/>
              <w:ind w:right="-1"/>
              <w:rPr>
                <w:rFonts w:cs="Arial"/>
                <w:szCs w:val="18"/>
              </w:rPr>
            </w:pPr>
            <w:r>
              <w:rPr>
                <w:rFonts w:cs="Arial"/>
                <w:szCs w:val="18"/>
              </w:rPr>
              <w:t>E2</w:t>
            </w:r>
            <w:r w:rsidR="00476C81">
              <w:rPr>
                <w:rFonts w:cs="Arial"/>
                <w:szCs w:val="18"/>
              </w:rPr>
              <w:t xml:space="preserve"> = </w:t>
            </w:r>
            <w:r w:rsidR="003C4F03">
              <w:rPr>
                <w:rFonts w:cs="Arial"/>
                <w:szCs w:val="18"/>
              </w:rPr>
              <w:t>3</w:t>
            </w:r>
          </w:p>
        </w:tc>
        <w:tc>
          <w:tcPr>
            <w:tcW w:w="1256" w:type="dxa"/>
            <w:shd w:val="clear" w:color="auto" w:fill="FFFFFF"/>
          </w:tcPr>
          <w:p w14:paraId="2B06AF5D" w14:textId="6A4935C3" w:rsidR="00191365" w:rsidRPr="0016496C" w:rsidRDefault="004443B0" w:rsidP="005421E8">
            <w:pPr>
              <w:pStyle w:val="CETBodytext"/>
              <w:ind w:right="-1"/>
              <w:jc w:val="center"/>
              <w:rPr>
                <w:rFonts w:cs="Arial"/>
                <w:szCs w:val="18"/>
              </w:rPr>
            </w:pPr>
            <w:r>
              <w:rPr>
                <w:rFonts w:cs="Arial"/>
                <w:szCs w:val="18"/>
              </w:rPr>
              <w:t>I</w:t>
            </w:r>
          </w:p>
        </w:tc>
        <w:tc>
          <w:tcPr>
            <w:tcW w:w="1256" w:type="dxa"/>
            <w:shd w:val="clear" w:color="auto" w:fill="FFFFFF"/>
          </w:tcPr>
          <w:p w14:paraId="3A82452C" w14:textId="15A06F41" w:rsidR="00191365" w:rsidRPr="0016496C" w:rsidRDefault="004443B0" w:rsidP="005421E8">
            <w:pPr>
              <w:pStyle w:val="CETBodytext"/>
              <w:ind w:right="-1"/>
              <w:jc w:val="center"/>
              <w:rPr>
                <w:rFonts w:cs="Arial"/>
                <w:szCs w:val="18"/>
              </w:rPr>
            </w:pPr>
            <w:r>
              <w:rPr>
                <w:rFonts w:cs="Arial"/>
                <w:szCs w:val="18"/>
              </w:rPr>
              <w:t>I</w:t>
            </w:r>
          </w:p>
        </w:tc>
        <w:tc>
          <w:tcPr>
            <w:tcW w:w="1256" w:type="dxa"/>
            <w:shd w:val="clear" w:color="auto" w:fill="FFFFFF"/>
          </w:tcPr>
          <w:p w14:paraId="326E8D25" w14:textId="46D8DC4A" w:rsidR="00191365" w:rsidRPr="0016496C" w:rsidRDefault="004443B0" w:rsidP="005421E8">
            <w:pPr>
              <w:pStyle w:val="CETBodytext"/>
              <w:ind w:right="-1"/>
              <w:jc w:val="center"/>
              <w:rPr>
                <w:rFonts w:cs="Arial"/>
                <w:szCs w:val="18"/>
              </w:rPr>
            </w:pPr>
            <w:r>
              <w:rPr>
                <w:rFonts w:cs="Arial"/>
                <w:szCs w:val="18"/>
              </w:rPr>
              <w:t>I</w:t>
            </w:r>
          </w:p>
        </w:tc>
        <w:tc>
          <w:tcPr>
            <w:tcW w:w="1256" w:type="dxa"/>
            <w:shd w:val="clear" w:color="auto" w:fill="FFFFFF"/>
          </w:tcPr>
          <w:p w14:paraId="56298FD1" w14:textId="0887EE42" w:rsidR="00191365" w:rsidRPr="0016496C" w:rsidRDefault="004443B0" w:rsidP="005421E8">
            <w:pPr>
              <w:pStyle w:val="CETBodytext"/>
              <w:ind w:right="-1"/>
              <w:jc w:val="center"/>
              <w:rPr>
                <w:rFonts w:cs="Arial"/>
              </w:rPr>
            </w:pPr>
            <w:r>
              <w:rPr>
                <w:rFonts w:cs="Arial"/>
              </w:rPr>
              <w:t>I</w:t>
            </w:r>
          </w:p>
        </w:tc>
        <w:tc>
          <w:tcPr>
            <w:tcW w:w="1256" w:type="dxa"/>
            <w:shd w:val="clear" w:color="auto" w:fill="FFFFFF"/>
          </w:tcPr>
          <w:p w14:paraId="5D2A8A5C" w14:textId="61CC189D" w:rsidR="00191365" w:rsidRPr="0016496C" w:rsidRDefault="004443B0" w:rsidP="005421E8">
            <w:pPr>
              <w:pStyle w:val="CETBodytext"/>
              <w:ind w:right="-1"/>
              <w:jc w:val="center"/>
              <w:rPr>
                <w:rFonts w:cs="Arial"/>
              </w:rPr>
            </w:pPr>
            <w:r>
              <w:rPr>
                <w:rFonts w:cs="Arial"/>
              </w:rPr>
              <w:t>I</w:t>
            </w:r>
          </w:p>
        </w:tc>
      </w:tr>
      <w:tr w:rsidR="00191365" w:rsidRPr="0016496C" w14:paraId="2FBDEF28" w14:textId="77777777" w:rsidTr="0068001F">
        <w:trPr>
          <w:trHeight w:val="228"/>
        </w:trPr>
        <w:tc>
          <w:tcPr>
            <w:tcW w:w="1253" w:type="dxa"/>
            <w:vMerge/>
            <w:shd w:val="clear" w:color="auto" w:fill="FFFFFF"/>
          </w:tcPr>
          <w:p w14:paraId="122D5574" w14:textId="77777777" w:rsidR="00191365" w:rsidRPr="0016496C" w:rsidRDefault="00191365" w:rsidP="005421E8">
            <w:pPr>
              <w:pStyle w:val="CETBodytext"/>
              <w:ind w:right="-1"/>
              <w:rPr>
                <w:rFonts w:cs="Arial"/>
                <w:szCs w:val="18"/>
              </w:rPr>
            </w:pPr>
          </w:p>
        </w:tc>
        <w:tc>
          <w:tcPr>
            <w:tcW w:w="1254" w:type="dxa"/>
            <w:shd w:val="clear" w:color="auto" w:fill="FFFFFF"/>
          </w:tcPr>
          <w:p w14:paraId="7033EF92" w14:textId="18F4CD8B" w:rsidR="00191365" w:rsidRPr="0016496C" w:rsidRDefault="00191365" w:rsidP="005421E8">
            <w:pPr>
              <w:pStyle w:val="CETBodytext"/>
              <w:ind w:right="-1"/>
              <w:rPr>
                <w:rFonts w:cs="Arial"/>
                <w:szCs w:val="18"/>
              </w:rPr>
            </w:pPr>
            <w:r>
              <w:rPr>
                <w:rFonts w:cs="Arial"/>
                <w:szCs w:val="18"/>
              </w:rPr>
              <w:t>E1</w:t>
            </w:r>
            <w:r w:rsidR="00476C81">
              <w:rPr>
                <w:rFonts w:cs="Arial"/>
                <w:szCs w:val="18"/>
              </w:rPr>
              <w:t xml:space="preserve"> = </w:t>
            </w:r>
            <w:r w:rsidR="003C4F03">
              <w:rPr>
                <w:rFonts w:cs="Arial"/>
                <w:szCs w:val="18"/>
              </w:rPr>
              <w:t>0.0</w:t>
            </w:r>
            <w:r w:rsidR="00BB243E">
              <w:rPr>
                <w:rFonts w:cs="Arial"/>
                <w:szCs w:val="18"/>
              </w:rPr>
              <w:t>0</w:t>
            </w:r>
            <w:r w:rsidR="003C4F03">
              <w:rPr>
                <w:rFonts w:cs="Arial"/>
                <w:szCs w:val="18"/>
              </w:rPr>
              <w:t>7</w:t>
            </w:r>
          </w:p>
        </w:tc>
        <w:tc>
          <w:tcPr>
            <w:tcW w:w="1256" w:type="dxa"/>
            <w:shd w:val="clear" w:color="auto" w:fill="FFFFFF"/>
          </w:tcPr>
          <w:p w14:paraId="137AA93B" w14:textId="79FC132C" w:rsidR="00191365" w:rsidRPr="0016496C" w:rsidRDefault="004443B0" w:rsidP="005421E8">
            <w:pPr>
              <w:pStyle w:val="CETBodytext"/>
              <w:ind w:right="-1"/>
              <w:jc w:val="center"/>
              <w:rPr>
                <w:rFonts w:cs="Arial"/>
                <w:szCs w:val="18"/>
              </w:rPr>
            </w:pPr>
            <w:r>
              <w:rPr>
                <w:rFonts w:cs="Arial"/>
                <w:szCs w:val="18"/>
              </w:rPr>
              <w:t>NI</w:t>
            </w:r>
          </w:p>
        </w:tc>
        <w:tc>
          <w:tcPr>
            <w:tcW w:w="1256" w:type="dxa"/>
            <w:shd w:val="clear" w:color="auto" w:fill="FFFFFF"/>
          </w:tcPr>
          <w:p w14:paraId="63BAF334" w14:textId="12EB6012" w:rsidR="00191365" w:rsidRPr="0016496C" w:rsidRDefault="004443B0" w:rsidP="005421E8">
            <w:pPr>
              <w:pStyle w:val="CETBodytext"/>
              <w:ind w:right="-1"/>
              <w:jc w:val="center"/>
              <w:rPr>
                <w:rFonts w:cs="Arial"/>
                <w:szCs w:val="18"/>
              </w:rPr>
            </w:pPr>
            <w:r>
              <w:rPr>
                <w:rFonts w:cs="Arial"/>
                <w:szCs w:val="18"/>
              </w:rPr>
              <w:t>NI</w:t>
            </w:r>
          </w:p>
        </w:tc>
        <w:tc>
          <w:tcPr>
            <w:tcW w:w="1256" w:type="dxa"/>
            <w:shd w:val="clear" w:color="auto" w:fill="FFFFFF"/>
          </w:tcPr>
          <w:p w14:paraId="161109A1" w14:textId="1A9F0FFF" w:rsidR="00191365" w:rsidRPr="0016496C" w:rsidRDefault="004443B0" w:rsidP="005421E8">
            <w:pPr>
              <w:pStyle w:val="CETBodytext"/>
              <w:ind w:right="-1"/>
              <w:jc w:val="center"/>
              <w:rPr>
                <w:rFonts w:cs="Arial"/>
                <w:szCs w:val="18"/>
              </w:rPr>
            </w:pPr>
            <w:r>
              <w:rPr>
                <w:rFonts w:cs="Arial"/>
                <w:szCs w:val="18"/>
              </w:rPr>
              <w:t>NI</w:t>
            </w:r>
          </w:p>
        </w:tc>
        <w:tc>
          <w:tcPr>
            <w:tcW w:w="1256" w:type="dxa"/>
            <w:shd w:val="clear" w:color="auto" w:fill="FFFFFF"/>
          </w:tcPr>
          <w:p w14:paraId="26AB2302" w14:textId="35781020" w:rsidR="00191365" w:rsidRPr="0016496C" w:rsidRDefault="004443B0" w:rsidP="005421E8">
            <w:pPr>
              <w:pStyle w:val="CETBodytext"/>
              <w:ind w:right="-1"/>
              <w:jc w:val="center"/>
              <w:rPr>
                <w:rFonts w:cs="Arial"/>
              </w:rPr>
            </w:pPr>
            <w:r>
              <w:rPr>
                <w:rFonts w:cs="Arial"/>
              </w:rPr>
              <w:t>NI</w:t>
            </w:r>
          </w:p>
        </w:tc>
        <w:tc>
          <w:tcPr>
            <w:tcW w:w="1256" w:type="dxa"/>
            <w:shd w:val="clear" w:color="auto" w:fill="FFFFFF"/>
          </w:tcPr>
          <w:p w14:paraId="0E6ABC13" w14:textId="418162A9" w:rsidR="00191365" w:rsidRPr="0016496C" w:rsidRDefault="004443B0" w:rsidP="005421E8">
            <w:pPr>
              <w:pStyle w:val="CETBodytext"/>
              <w:ind w:right="-1"/>
              <w:jc w:val="center"/>
              <w:rPr>
                <w:rFonts w:cs="Arial"/>
              </w:rPr>
            </w:pPr>
            <w:r>
              <w:rPr>
                <w:rFonts w:cs="Arial"/>
              </w:rPr>
              <w:t>NI</w:t>
            </w:r>
          </w:p>
        </w:tc>
      </w:tr>
      <w:tr w:rsidR="00191365" w:rsidRPr="0016496C" w14:paraId="7B99F7D6" w14:textId="77777777" w:rsidTr="0068001F">
        <w:trPr>
          <w:trHeight w:val="228"/>
        </w:trPr>
        <w:tc>
          <w:tcPr>
            <w:tcW w:w="1253" w:type="dxa"/>
            <w:vMerge w:val="restart"/>
            <w:shd w:val="clear" w:color="auto" w:fill="FFFFFF"/>
          </w:tcPr>
          <w:p w14:paraId="6FAFFADB" w14:textId="54DDBC39" w:rsidR="00191365" w:rsidRPr="0016496C" w:rsidRDefault="00191365" w:rsidP="005421E8">
            <w:pPr>
              <w:pStyle w:val="CETBodytext"/>
              <w:ind w:right="-1"/>
              <w:rPr>
                <w:rFonts w:cs="Arial"/>
                <w:szCs w:val="18"/>
              </w:rPr>
            </w:pPr>
            <w:r>
              <w:rPr>
                <w:rFonts w:cs="Arial"/>
                <w:szCs w:val="18"/>
              </w:rPr>
              <w:t xml:space="preserve">D=100 </w:t>
            </w:r>
            <w:r>
              <w:rPr>
                <w:rFonts w:cs="Arial"/>
              </w:rPr>
              <w:t>µ</w:t>
            </w:r>
            <w:r>
              <w:t>m</w:t>
            </w:r>
          </w:p>
        </w:tc>
        <w:tc>
          <w:tcPr>
            <w:tcW w:w="1254" w:type="dxa"/>
            <w:shd w:val="clear" w:color="auto" w:fill="FFFFFF"/>
          </w:tcPr>
          <w:p w14:paraId="4D378EC8" w14:textId="77777777" w:rsidR="00191365" w:rsidRPr="0016496C" w:rsidRDefault="00191365" w:rsidP="005421E8">
            <w:pPr>
              <w:pStyle w:val="CETBodytext"/>
              <w:ind w:right="-1"/>
              <w:rPr>
                <w:rFonts w:cs="Arial"/>
                <w:szCs w:val="18"/>
              </w:rPr>
            </w:pPr>
          </w:p>
        </w:tc>
        <w:tc>
          <w:tcPr>
            <w:tcW w:w="1256" w:type="dxa"/>
            <w:shd w:val="clear" w:color="auto" w:fill="FFFFFF"/>
          </w:tcPr>
          <w:p w14:paraId="676D65CC" w14:textId="77777777" w:rsidR="00191365" w:rsidRPr="0016496C" w:rsidRDefault="00191365" w:rsidP="005421E8">
            <w:pPr>
              <w:pStyle w:val="CETBodytext"/>
              <w:ind w:right="-1"/>
              <w:jc w:val="center"/>
              <w:rPr>
                <w:rFonts w:cs="Arial"/>
                <w:szCs w:val="18"/>
              </w:rPr>
            </w:pPr>
          </w:p>
        </w:tc>
        <w:tc>
          <w:tcPr>
            <w:tcW w:w="1256" w:type="dxa"/>
            <w:shd w:val="clear" w:color="auto" w:fill="FFFFFF"/>
          </w:tcPr>
          <w:p w14:paraId="6AE72676" w14:textId="77777777" w:rsidR="00191365" w:rsidRPr="0016496C" w:rsidRDefault="00191365" w:rsidP="005421E8">
            <w:pPr>
              <w:pStyle w:val="CETBodytext"/>
              <w:ind w:right="-1"/>
              <w:jc w:val="center"/>
              <w:rPr>
                <w:rFonts w:cs="Arial"/>
                <w:szCs w:val="18"/>
              </w:rPr>
            </w:pPr>
          </w:p>
        </w:tc>
        <w:tc>
          <w:tcPr>
            <w:tcW w:w="1256" w:type="dxa"/>
            <w:shd w:val="clear" w:color="auto" w:fill="FFFFFF"/>
          </w:tcPr>
          <w:p w14:paraId="40BB7786" w14:textId="77777777" w:rsidR="00191365" w:rsidRPr="0016496C" w:rsidRDefault="00191365" w:rsidP="005421E8">
            <w:pPr>
              <w:pStyle w:val="CETBodytext"/>
              <w:ind w:right="-1"/>
              <w:jc w:val="center"/>
              <w:rPr>
                <w:rFonts w:cs="Arial"/>
                <w:szCs w:val="18"/>
              </w:rPr>
            </w:pPr>
          </w:p>
        </w:tc>
        <w:tc>
          <w:tcPr>
            <w:tcW w:w="1256" w:type="dxa"/>
            <w:shd w:val="clear" w:color="auto" w:fill="FFFFFF"/>
          </w:tcPr>
          <w:p w14:paraId="72E536DA" w14:textId="77777777" w:rsidR="00191365" w:rsidRPr="0016496C" w:rsidRDefault="00191365" w:rsidP="005421E8">
            <w:pPr>
              <w:pStyle w:val="CETBodytext"/>
              <w:ind w:right="-1"/>
              <w:jc w:val="center"/>
              <w:rPr>
                <w:rFonts w:cs="Arial"/>
              </w:rPr>
            </w:pPr>
          </w:p>
        </w:tc>
        <w:tc>
          <w:tcPr>
            <w:tcW w:w="1256" w:type="dxa"/>
            <w:shd w:val="clear" w:color="auto" w:fill="FFFFFF"/>
          </w:tcPr>
          <w:p w14:paraId="5E764DF7" w14:textId="77777777" w:rsidR="00191365" w:rsidRPr="0016496C" w:rsidRDefault="00191365" w:rsidP="005421E8">
            <w:pPr>
              <w:pStyle w:val="CETBodytext"/>
              <w:ind w:right="-1"/>
              <w:jc w:val="center"/>
              <w:rPr>
                <w:rFonts w:cs="Arial"/>
              </w:rPr>
            </w:pPr>
          </w:p>
        </w:tc>
      </w:tr>
      <w:tr w:rsidR="00191365" w:rsidRPr="0016496C" w14:paraId="063267F1" w14:textId="77777777" w:rsidTr="0068001F">
        <w:trPr>
          <w:trHeight w:val="228"/>
        </w:trPr>
        <w:tc>
          <w:tcPr>
            <w:tcW w:w="1253" w:type="dxa"/>
            <w:vMerge/>
            <w:shd w:val="clear" w:color="auto" w:fill="FFFFFF"/>
          </w:tcPr>
          <w:p w14:paraId="0A0B93F9" w14:textId="77777777" w:rsidR="00191365" w:rsidRPr="0016496C" w:rsidRDefault="00191365" w:rsidP="00191365">
            <w:pPr>
              <w:pStyle w:val="CETBodytext"/>
              <w:ind w:right="-1"/>
              <w:rPr>
                <w:rFonts w:cs="Arial"/>
                <w:szCs w:val="18"/>
              </w:rPr>
            </w:pPr>
          </w:p>
        </w:tc>
        <w:tc>
          <w:tcPr>
            <w:tcW w:w="1254" w:type="dxa"/>
            <w:shd w:val="clear" w:color="auto" w:fill="FFFFFF"/>
          </w:tcPr>
          <w:p w14:paraId="79386490" w14:textId="0D015355" w:rsidR="00191365" w:rsidRPr="0016496C" w:rsidRDefault="00191365" w:rsidP="00191365">
            <w:pPr>
              <w:pStyle w:val="CETBodytext"/>
              <w:ind w:right="-1"/>
              <w:rPr>
                <w:rFonts w:cs="Arial"/>
                <w:szCs w:val="18"/>
              </w:rPr>
            </w:pPr>
            <w:r>
              <w:rPr>
                <w:rFonts w:cs="Arial"/>
                <w:szCs w:val="18"/>
              </w:rPr>
              <w:t>E2</w:t>
            </w:r>
            <w:r w:rsidR="00476C81">
              <w:rPr>
                <w:rFonts w:cs="Arial"/>
                <w:szCs w:val="18"/>
              </w:rPr>
              <w:t xml:space="preserve"> = </w:t>
            </w:r>
            <w:r w:rsidR="003C4F03">
              <w:rPr>
                <w:rFonts w:cs="Arial"/>
                <w:szCs w:val="18"/>
              </w:rPr>
              <w:t>9</w:t>
            </w:r>
          </w:p>
        </w:tc>
        <w:tc>
          <w:tcPr>
            <w:tcW w:w="1256" w:type="dxa"/>
            <w:shd w:val="clear" w:color="auto" w:fill="FFFFFF"/>
          </w:tcPr>
          <w:p w14:paraId="0376CF7E" w14:textId="40AB7C99" w:rsidR="00191365" w:rsidRPr="0016496C" w:rsidRDefault="00F3107B" w:rsidP="00191365">
            <w:pPr>
              <w:pStyle w:val="CETBodytext"/>
              <w:ind w:right="-1"/>
              <w:jc w:val="center"/>
              <w:rPr>
                <w:rFonts w:cs="Arial"/>
                <w:szCs w:val="18"/>
              </w:rPr>
            </w:pPr>
            <w:r>
              <w:rPr>
                <w:rFonts w:cs="Arial"/>
                <w:szCs w:val="18"/>
              </w:rPr>
              <w:t>NI</w:t>
            </w:r>
          </w:p>
        </w:tc>
        <w:tc>
          <w:tcPr>
            <w:tcW w:w="1256" w:type="dxa"/>
            <w:shd w:val="clear" w:color="auto" w:fill="FFFFFF"/>
          </w:tcPr>
          <w:p w14:paraId="0002CCE6" w14:textId="2B9D2A7F" w:rsidR="00191365" w:rsidRPr="0016496C" w:rsidRDefault="00F3107B" w:rsidP="00191365">
            <w:pPr>
              <w:pStyle w:val="CETBodytext"/>
              <w:ind w:right="-1"/>
              <w:jc w:val="center"/>
              <w:rPr>
                <w:rFonts w:cs="Arial"/>
                <w:szCs w:val="18"/>
              </w:rPr>
            </w:pPr>
            <w:r>
              <w:rPr>
                <w:rFonts w:cs="Arial"/>
                <w:szCs w:val="18"/>
              </w:rPr>
              <w:t>NI</w:t>
            </w:r>
          </w:p>
        </w:tc>
        <w:tc>
          <w:tcPr>
            <w:tcW w:w="1256" w:type="dxa"/>
            <w:shd w:val="clear" w:color="auto" w:fill="FFFFFF"/>
          </w:tcPr>
          <w:p w14:paraId="067B48E8" w14:textId="477402DB" w:rsidR="00191365" w:rsidRPr="0016496C" w:rsidRDefault="00F3107B" w:rsidP="00191365">
            <w:pPr>
              <w:pStyle w:val="CETBodytext"/>
              <w:ind w:right="-1"/>
              <w:jc w:val="center"/>
              <w:rPr>
                <w:rFonts w:cs="Arial"/>
                <w:szCs w:val="18"/>
              </w:rPr>
            </w:pPr>
            <w:r>
              <w:rPr>
                <w:rFonts w:cs="Arial"/>
                <w:szCs w:val="18"/>
              </w:rPr>
              <w:t>I</w:t>
            </w:r>
          </w:p>
        </w:tc>
        <w:tc>
          <w:tcPr>
            <w:tcW w:w="1256" w:type="dxa"/>
            <w:shd w:val="clear" w:color="auto" w:fill="FFFFFF"/>
          </w:tcPr>
          <w:p w14:paraId="42A8AC59" w14:textId="489E78A7" w:rsidR="00191365" w:rsidRPr="0016496C" w:rsidRDefault="00F3107B" w:rsidP="00191365">
            <w:pPr>
              <w:pStyle w:val="CETBodytext"/>
              <w:ind w:right="-1"/>
              <w:jc w:val="center"/>
              <w:rPr>
                <w:rFonts w:cs="Arial"/>
              </w:rPr>
            </w:pPr>
            <w:r>
              <w:rPr>
                <w:rFonts w:cs="Arial"/>
              </w:rPr>
              <w:t>I</w:t>
            </w:r>
          </w:p>
        </w:tc>
        <w:tc>
          <w:tcPr>
            <w:tcW w:w="1256" w:type="dxa"/>
            <w:shd w:val="clear" w:color="auto" w:fill="FFFFFF"/>
          </w:tcPr>
          <w:p w14:paraId="5BE89F41" w14:textId="02878A7E" w:rsidR="00191365" w:rsidRPr="0016496C" w:rsidRDefault="00F3107B" w:rsidP="00191365">
            <w:pPr>
              <w:pStyle w:val="CETBodytext"/>
              <w:ind w:right="-1"/>
              <w:jc w:val="center"/>
              <w:rPr>
                <w:rFonts w:cs="Arial"/>
              </w:rPr>
            </w:pPr>
            <w:r>
              <w:rPr>
                <w:rFonts w:cs="Arial"/>
              </w:rPr>
              <w:t>I</w:t>
            </w:r>
          </w:p>
        </w:tc>
      </w:tr>
      <w:tr w:rsidR="00191365" w:rsidRPr="0016496C" w14:paraId="66CB63DE" w14:textId="77777777" w:rsidTr="0068001F">
        <w:trPr>
          <w:trHeight w:val="228"/>
        </w:trPr>
        <w:tc>
          <w:tcPr>
            <w:tcW w:w="1253" w:type="dxa"/>
            <w:vMerge/>
            <w:shd w:val="clear" w:color="auto" w:fill="FFFFFF"/>
          </w:tcPr>
          <w:p w14:paraId="10AC3CCC" w14:textId="77777777" w:rsidR="00191365" w:rsidRPr="0016496C" w:rsidRDefault="00191365" w:rsidP="00191365">
            <w:pPr>
              <w:pStyle w:val="CETBodytext"/>
              <w:ind w:right="-1"/>
              <w:rPr>
                <w:rFonts w:cs="Arial"/>
                <w:szCs w:val="18"/>
              </w:rPr>
            </w:pPr>
          </w:p>
        </w:tc>
        <w:tc>
          <w:tcPr>
            <w:tcW w:w="1254" w:type="dxa"/>
            <w:shd w:val="clear" w:color="auto" w:fill="FFFFFF"/>
          </w:tcPr>
          <w:p w14:paraId="3AA525F7" w14:textId="06E69F73" w:rsidR="00191365" w:rsidRPr="0016496C" w:rsidRDefault="00191365" w:rsidP="00191365">
            <w:pPr>
              <w:pStyle w:val="CETBodytext"/>
              <w:ind w:right="-1"/>
              <w:rPr>
                <w:rFonts w:cs="Arial"/>
                <w:szCs w:val="18"/>
              </w:rPr>
            </w:pPr>
            <w:r>
              <w:rPr>
                <w:rFonts w:cs="Arial"/>
                <w:szCs w:val="18"/>
              </w:rPr>
              <w:t>E1</w:t>
            </w:r>
            <w:r w:rsidR="00476C81">
              <w:rPr>
                <w:rFonts w:cs="Arial"/>
                <w:szCs w:val="18"/>
              </w:rPr>
              <w:t xml:space="preserve"> = </w:t>
            </w:r>
            <w:r w:rsidR="003C4F03">
              <w:rPr>
                <w:rFonts w:cs="Arial"/>
                <w:szCs w:val="18"/>
              </w:rPr>
              <w:t>1</w:t>
            </w:r>
          </w:p>
        </w:tc>
        <w:tc>
          <w:tcPr>
            <w:tcW w:w="1256" w:type="dxa"/>
            <w:shd w:val="clear" w:color="auto" w:fill="FFFFFF"/>
          </w:tcPr>
          <w:p w14:paraId="6CAE55FC" w14:textId="0E1D53D5" w:rsidR="00191365" w:rsidRPr="0016496C" w:rsidRDefault="00F3107B" w:rsidP="00191365">
            <w:pPr>
              <w:pStyle w:val="CETBodytext"/>
              <w:ind w:right="-1"/>
              <w:jc w:val="center"/>
              <w:rPr>
                <w:rFonts w:cs="Arial"/>
                <w:szCs w:val="18"/>
              </w:rPr>
            </w:pPr>
            <w:r>
              <w:rPr>
                <w:rFonts w:cs="Arial"/>
                <w:szCs w:val="18"/>
              </w:rPr>
              <w:t>NI</w:t>
            </w:r>
          </w:p>
        </w:tc>
        <w:tc>
          <w:tcPr>
            <w:tcW w:w="1256" w:type="dxa"/>
            <w:shd w:val="clear" w:color="auto" w:fill="FFFFFF"/>
          </w:tcPr>
          <w:p w14:paraId="77259BE8" w14:textId="7438EBE3" w:rsidR="00191365" w:rsidRPr="0016496C" w:rsidRDefault="00F3107B" w:rsidP="00191365">
            <w:pPr>
              <w:pStyle w:val="CETBodytext"/>
              <w:ind w:right="-1"/>
              <w:jc w:val="center"/>
              <w:rPr>
                <w:rFonts w:cs="Arial"/>
                <w:szCs w:val="18"/>
              </w:rPr>
            </w:pPr>
            <w:r>
              <w:rPr>
                <w:rFonts w:cs="Arial"/>
                <w:szCs w:val="18"/>
              </w:rPr>
              <w:t>NI</w:t>
            </w:r>
          </w:p>
        </w:tc>
        <w:tc>
          <w:tcPr>
            <w:tcW w:w="1256" w:type="dxa"/>
            <w:shd w:val="clear" w:color="auto" w:fill="FFFFFF"/>
          </w:tcPr>
          <w:p w14:paraId="78DAFAC1" w14:textId="0879C057" w:rsidR="00191365" w:rsidRPr="0016496C" w:rsidRDefault="00F3107B" w:rsidP="00191365">
            <w:pPr>
              <w:pStyle w:val="CETBodytext"/>
              <w:ind w:right="-1"/>
              <w:jc w:val="center"/>
              <w:rPr>
                <w:rFonts w:cs="Arial"/>
                <w:szCs w:val="18"/>
              </w:rPr>
            </w:pPr>
            <w:r>
              <w:rPr>
                <w:rFonts w:cs="Arial"/>
                <w:szCs w:val="18"/>
              </w:rPr>
              <w:t>NI</w:t>
            </w:r>
          </w:p>
        </w:tc>
        <w:tc>
          <w:tcPr>
            <w:tcW w:w="1256" w:type="dxa"/>
            <w:shd w:val="clear" w:color="auto" w:fill="FFFFFF"/>
          </w:tcPr>
          <w:p w14:paraId="03D2B87A" w14:textId="6DE65FAF" w:rsidR="00191365" w:rsidRPr="0016496C" w:rsidRDefault="00F3107B" w:rsidP="00191365">
            <w:pPr>
              <w:pStyle w:val="CETBodytext"/>
              <w:ind w:right="-1"/>
              <w:jc w:val="center"/>
              <w:rPr>
                <w:rFonts w:cs="Arial"/>
              </w:rPr>
            </w:pPr>
            <w:r>
              <w:rPr>
                <w:rFonts w:cs="Arial"/>
              </w:rPr>
              <w:t>NI</w:t>
            </w:r>
          </w:p>
        </w:tc>
        <w:tc>
          <w:tcPr>
            <w:tcW w:w="1256" w:type="dxa"/>
            <w:shd w:val="clear" w:color="auto" w:fill="FFFFFF"/>
          </w:tcPr>
          <w:p w14:paraId="45FBC543" w14:textId="2B2B6AB5" w:rsidR="00191365" w:rsidRPr="0016496C" w:rsidRDefault="00F3107B" w:rsidP="00191365">
            <w:pPr>
              <w:pStyle w:val="CETBodytext"/>
              <w:ind w:right="-1"/>
              <w:jc w:val="center"/>
              <w:rPr>
                <w:rFonts w:cs="Arial"/>
              </w:rPr>
            </w:pPr>
            <w:r>
              <w:rPr>
                <w:rFonts w:cs="Arial"/>
              </w:rPr>
              <w:t>NI</w:t>
            </w:r>
          </w:p>
        </w:tc>
      </w:tr>
      <w:tr w:rsidR="00191365" w:rsidRPr="0016496C" w14:paraId="64BB2143" w14:textId="18174AB1" w:rsidTr="0068001F">
        <w:trPr>
          <w:trHeight w:val="228"/>
        </w:trPr>
        <w:tc>
          <w:tcPr>
            <w:tcW w:w="1253" w:type="dxa"/>
            <w:vMerge w:val="restart"/>
            <w:shd w:val="clear" w:color="auto" w:fill="FFFFFF"/>
          </w:tcPr>
          <w:p w14:paraId="27271059" w14:textId="645AC5F9" w:rsidR="00191365" w:rsidRPr="0016496C" w:rsidRDefault="00191365" w:rsidP="00191365">
            <w:pPr>
              <w:pStyle w:val="CETBodytext"/>
              <w:ind w:right="-1"/>
              <w:rPr>
                <w:rFonts w:cs="Arial"/>
                <w:szCs w:val="18"/>
              </w:rPr>
            </w:pPr>
            <w:r>
              <w:t xml:space="preserve">D=150 </w:t>
            </w:r>
            <w:r>
              <w:rPr>
                <w:rFonts w:cs="Arial"/>
              </w:rPr>
              <w:t>µ</w:t>
            </w:r>
            <w:r>
              <w:t>m</w:t>
            </w:r>
          </w:p>
        </w:tc>
        <w:tc>
          <w:tcPr>
            <w:tcW w:w="1254" w:type="dxa"/>
            <w:shd w:val="clear" w:color="auto" w:fill="FFFFFF"/>
          </w:tcPr>
          <w:p w14:paraId="20AAEE7D" w14:textId="77777777" w:rsidR="00191365" w:rsidRPr="0016496C" w:rsidRDefault="00191365" w:rsidP="00191365">
            <w:pPr>
              <w:pStyle w:val="CETBodytext"/>
              <w:ind w:right="-1"/>
              <w:rPr>
                <w:rFonts w:cs="Arial"/>
                <w:szCs w:val="18"/>
              </w:rPr>
            </w:pPr>
          </w:p>
        </w:tc>
        <w:tc>
          <w:tcPr>
            <w:tcW w:w="1256" w:type="dxa"/>
            <w:shd w:val="clear" w:color="auto" w:fill="FFFFFF"/>
          </w:tcPr>
          <w:p w14:paraId="215EFAE8" w14:textId="77777777" w:rsidR="00191365" w:rsidRPr="0016496C" w:rsidRDefault="00191365" w:rsidP="00191365">
            <w:pPr>
              <w:pStyle w:val="CETBodytext"/>
              <w:ind w:right="-1"/>
              <w:jc w:val="center"/>
              <w:rPr>
                <w:rFonts w:cs="Arial"/>
                <w:szCs w:val="18"/>
              </w:rPr>
            </w:pPr>
          </w:p>
        </w:tc>
        <w:tc>
          <w:tcPr>
            <w:tcW w:w="1256" w:type="dxa"/>
            <w:shd w:val="clear" w:color="auto" w:fill="FFFFFF"/>
          </w:tcPr>
          <w:p w14:paraId="53CC4749" w14:textId="77777777" w:rsidR="00191365" w:rsidRPr="0016496C" w:rsidRDefault="00191365" w:rsidP="00191365">
            <w:pPr>
              <w:pStyle w:val="CETBodytext"/>
              <w:ind w:right="-1"/>
              <w:jc w:val="center"/>
              <w:rPr>
                <w:rFonts w:cs="Arial"/>
                <w:szCs w:val="18"/>
              </w:rPr>
            </w:pPr>
          </w:p>
        </w:tc>
        <w:tc>
          <w:tcPr>
            <w:tcW w:w="1256" w:type="dxa"/>
            <w:shd w:val="clear" w:color="auto" w:fill="FFFFFF"/>
          </w:tcPr>
          <w:p w14:paraId="12FF2683" w14:textId="22A7FB43" w:rsidR="00191365" w:rsidRPr="0016496C" w:rsidRDefault="00191365" w:rsidP="00191365">
            <w:pPr>
              <w:pStyle w:val="CETBodytext"/>
              <w:ind w:right="-1"/>
              <w:jc w:val="center"/>
              <w:rPr>
                <w:rFonts w:cs="Arial"/>
                <w:szCs w:val="18"/>
              </w:rPr>
            </w:pPr>
          </w:p>
        </w:tc>
        <w:tc>
          <w:tcPr>
            <w:tcW w:w="1256" w:type="dxa"/>
            <w:shd w:val="clear" w:color="auto" w:fill="FFFFFF"/>
          </w:tcPr>
          <w:p w14:paraId="61751BDF" w14:textId="18798CC8" w:rsidR="00191365" w:rsidRPr="0016496C" w:rsidRDefault="00191365" w:rsidP="00191365">
            <w:pPr>
              <w:pStyle w:val="CETBodytext"/>
              <w:ind w:right="-1"/>
              <w:jc w:val="center"/>
              <w:rPr>
                <w:rFonts w:cs="Arial"/>
              </w:rPr>
            </w:pPr>
          </w:p>
        </w:tc>
        <w:tc>
          <w:tcPr>
            <w:tcW w:w="1256" w:type="dxa"/>
            <w:shd w:val="clear" w:color="auto" w:fill="FFFFFF"/>
          </w:tcPr>
          <w:p w14:paraId="509915C8" w14:textId="77777777" w:rsidR="00191365" w:rsidRPr="0016496C" w:rsidRDefault="00191365" w:rsidP="00191365">
            <w:pPr>
              <w:pStyle w:val="CETBodytext"/>
              <w:ind w:right="-1"/>
              <w:jc w:val="center"/>
              <w:rPr>
                <w:rFonts w:cs="Arial"/>
              </w:rPr>
            </w:pPr>
          </w:p>
        </w:tc>
      </w:tr>
      <w:tr w:rsidR="00F3107B" w:rsidRPr="0016496C" w14:paraId="01C9FBD3" w14:textId="77777777" w:rsidTr="0068001F">
        <w:trPr>
          <w:trHeight w:val="228"/>
        </w:trPr>
        <w:tc>
          <w:tcPr>
            <w:tcW w:w="1253" w:type="dxa"/>
            <w:vMerge/>
            <w:shd w:val="clear" w:color="auto" w:fill="FFFFFF"/>
          </w:tcPr>
          <w:p w14:paraId="2F13FFFB" w14:textId="77777777" w:rsidR="00F3107B" w:rsidRDefault="00F3107B" w:rsidP="00F3107B">
            <w:pPr>
              <w:pStyle w:val="CETBodytext"/>
              <w:ind w:right="-1"/>
            </w:pPr>
          </w:p>
        </w:tc>
        <w:tc>
          <w:tcPr>
            <w:tcW w:w="1254" w:type="dxa"/>
            <w:shd w:val="clear" w:color="auto" w:fill="FFFFFF"/>
          </w:tcPr>
          <w:p w14:paraId="2D5019A6" w14:textId="47B52BF3" w:rsidR="00F3107B" w:rsidRPr="0016496C" w:rsidRDefault="00F3107B" w:rsidP="00F3107B">
            <w:pPr>
              <w:pStyle w:val="CETBodytext"/>
              <w:ind w:right="-1"/>
              <w:rPr>
                <w:rFonts w:cs="Arial"/>
                <w:szCs w:val="18"/>
              </w:rPr>
            </w:pPr>
            <w:r>
              <w:rPr>
                <w:rFonts w:cs="Arial"/>
                <w:szCs w:val="18"/>
              </w:rPr>
              <w:t xml:space="preserve">E2 = </w:t>
            </w:r>
            <w:r w:rsidR="003C4F03">
              <w:rPr>
                <w:rFonts w:cs="Arial"/>
                <w:szCs w:val="18"/>
              </w:rPr>
              <w:t>431</w:t>
            </w:r>
          </w:p>
        </w:tc>
        <w:tc>
          <w:tcPr>
            <w:tcW w:w="1256" w:type="dxa"/>
            <w:shd w:val="clear" w:color="auto" w:fill="FFFFFF"/>
          </w:tcPr>
          <w:p w14:paraId="74F4CA7F" w14:textId="323133E9" w:rsidR="00F3107B" w:rsidRPr="0016496C" w:rsidRDefault="00F3107B" w:rsidP="00F3107B">
            <w:pPr>
              <w:pStyle w:val="CETBodytext"/>
              <w:ind w:right="-1"/>
              <w:jc w:val="center"/>
              <w:rPr>
                <w:rFonts w:cs="Arial"/>
                <w:szCs w:val="18"/>
              </w:rPr>
            </w:pPr>
            <w:r>
              <w:rPr>
                <w:rFonts w:cs="Arial"/>
                <w:szCs w:val="18"/>
              </w:rPr>
              <w:t>NI</w:t>
            </w:r>
          </w:p>
        </w:tc>
        <w:tc>
          <w:tcPr>
            <w:tcW w:w="1256" w:type="dxa"/>
            <w:shd w:val="clear" w:color="auto" w:fill="FFFFFF"/>
          </w:tcPr>
          <w:p w14:paraId="6E095821" w14:textId="24A1335C" w:rsidR="00F3107B" w:rsidRPr="0016496C" w:rsidRDefault="00F3107B" w:rsidP="00F3107B">
            <w:pPr>
              <w:pStyle w:val="CETBodytext"/>
              <w:ind w:right="-1"/>
              <w:jc w:val="center"/>
              <w:rPr>
                <w:rFonts w:cs="Arial"/>
                <w:szCs w:val="18"/>
              </w:rPr>
            </w:pPr>
            <w:r>
              <w:rPr>
                <w:rFonts w:cs="Arial"/>
                <w:szCs w:val="18"/>
              </w:rPr>
              <w:t>NI</w:t>
            </w:r>
          </w:p>
        </w:tc>
        <w:tc>
          <w:tcPr>
            <w:tcW w:w="1256" w:type="dxa"/>
            <w:shd w:val="clear" w:color="auto" w:fill="FFFFFF"/>
          </w:tcPr>
          <w:p w14:paraId="7786DCB3" w14:textId="573C0F5C" w:rsidR="00F3107B" w:rsidRPr="0016496C" w:rsidRDefault="00F3107B" w:rsidP="00F3107B">
            <w:pPr>
              <w:pStyle w:val="CETBodytext"/>
              <w:ind w:right="-1"/>
              <w:jc w:val="center"/>
              <w:rPr>
                <w:rFonts w:cs="Arial"/>
                <w:szCs w:val="18"/>
              </w:rPr>
            </w:pPr>
            <w:r>
              <w:rPr>
                <w:rFonts w:cs="Arial"/>
                <w:szCs w:val="18"/>
              </w:rPr>
              <w:t>I</w:t>
            </w:r>
          </w:p>
        </w:tc>
        <w:tc>
          <w:tcPr>
            <w:tcW w:w="1256" w:type="dxa"/>
            <w:shd w:val="clear" w:color="auto" w:fill="FFFFFF"/>
          </w:tcPr>
          <w:p w14:paraId="0BCDC2D4" w14:textId="36262C71" w:rsidR="00F3107B" w:rsidRPr="0016496C" w:rsidRDefault="00F3107B" w:rsidP="00F3107B">
            <w:pPr>
              <w:pStyle w:val="CETBodytext"/>
              <w:ind w:right="-1"/>
              <w:jc w:val="center"/>
              <w:rPr>
                <w:rFonts w:cs="Arial"/>
              </w:rPr>
            </w:pPr>
            <w:r>
              <w:rPr>
                <w:rFonts w:cs="Arial"/>
              </w:rPr>
              <w:t>I</w:t>
            </w:r>
          </w:p>
        </w:tc>
        <w:tc>
          <w:tcPr>
            <w:tcW w:w="1256" w:type="dxa"/>
            <w:shd w:val="clear" w:color="auto" w:fill="FFFFFF"/>
          </w:tcPr>
          <w:p w14:paraId="6FB805F8" w14:textId="7183B3BB" w:rsidR="00F3107B" w:rsidRPr="0016496C" w:rsidRDefault="00F3107B" w:rsidP="00F3107B">
            <w:pPr>
              <w:pStyle w:val="CETBodytext"/>
              <w:ind w:right="-1"/>
              <w:jc w:val="center"/>
              <w:rPr>
                <w:rFonts w:cs="Arial"/>
              </w:rPr>
            </w:pPr>
            <w:r>
              <w:rPr>
                <w:rFonts w:cs="Arial"/>
              </w:rPr>
              <w:t>I</w:t>
            </w:r>
          </w:p>
        </w:tc>
      </w:tr>
      <w:tr w:rsidR="00F3107B" w:rsidRPr="0016496C" w14:paraId="7CC863EE" w14:textId="77777777" w:rsidTr="0068001F">
        <w:trPr>
          <w:trHeight w:val="228"/>
        </w:trPr>
        <w:tc>
          <w:tcPr>
            <w:tcW w:w="1253" w:type="dxa"/>
            <w:vMerge/>
            <w:shd w:val="clear" w:color="auto" w:fill="FFFFFF"/>
          </w:tcPr>
          <w:p w14:paraId="71D5FB20" w14:textId="77777777" w:rsidR="00F3107B" w:rsidRDefault="00F3107B" w:rsidP="00F3107B">
            <w:pPr>
              <w:pStyle w:val="CETBodytext"/>
              <w:ind w:right="-1"/>
            </w:pPr>
          </w:p>
        </w:tc>
        <w:tc>
          <w:tcPr>
            <w:tcW w:w="1254" w:type="dxa"/>
            <w:shd w:val="clear" w:color="auto" w:fill="FFFFFF"/>
          </w:tcPr>
          <w:p w14:paraId="390FE865" w14:textId="71EF8655" w:rsidR="00F3107B" w:rsidRDefault="00F3107B" w:rsidP="00F3107B">
            <w:pPr>
              <w:pStyle w:val="CETBodytext"/>
              <w:ind w:right="-1"/>
              <w:rPr>
                <w:rFonts w:cs="Arial"/>
                <w:szCs w:val="18"/>
              </w:rPr>
            </w:pPr>
            <w:r>
              <w:rPr>
                <w:rFonts w:cs="Arial"/>
                <w:szCs w:val="18"/>
              </w:rPr>
              <w:t xml:space="preserve">E1 = </w:t>
            </w:r>
            <w:r w:rsidR="003C4F03">
              <w:rPr>
                <w:rFonts w:cs="Arial"/>
                <w:szCs w:val="18"/>
              </w:rPr>
              <w:t>99</w:t>
            </w:r>
          </w:p>
        </w:tc>
        <w:tc>
          <w:tcPr>
            <w:tcW w:w="1256" w:type="dxa"/>
            <w:shd w:val="clear" w:color="auto" w:fill="FFFFFF"/>
          </w:tcPr>
          <w:p w14:paraId="32534894" w14:textId="6492EE1D" w:rsidR="00F3107B" w:rsidRPr="0016496C" w:rsidRDefault="00F3107B" w:rsidP="00F3107B">
            <w:pPr>
              <w:pStyle w:val="CETBodytext"/>
              <w:ind w:right="-1"/>
              <w:jc w:val="center"/>
              <w:rPr>
                <w:rFonts w:cs="Arial"/>
                <w:szCs w:val="18"/>
              </w:rPr>
            </w:pPr>
            <w:r>
              <w:rPr>
                <w:rFonts w:cs="Arial"/>
                <w:szCs w:val="18"/>
              </w:rPr>
              <w:t>NI</w:t>
            </w:r>
          </w:p>
        </w:tc>
        <w:tc>
          <w:tcPr>
            <w:tcW w:w="1256" w:type="dxa"/>
            <w:shd w:val="clear" w:color="auto" w:fill="FFFFFF"/>
          </w:tcPr>
          <w:p w14:paraId="40142018" w14:textId="73C5BF00" w:rsidR="00F3107B" w:rsidRPr="0016496C" w:rsidRDefault="00F3107B" w:rsidP="00F3107B">
            <w:pPr>
              <w:pStyle w:val="CETBodytext"/>
              <w:ind w:right="-1"/>
              <w:jc w:val="center"/>
              <w:rPr>
                <w:rFonts w:cs="Arial"/>
                <w:szCs w:val="18"/>
              </w:rPr>
            </w:pPr>
            <w:r>
              <w:rPr>
                <w:rFonts w:cs="Arial"/>
                <w:szCs w:val="18"/>
              </w:rPr>
              <w:t>NI</w:t>
            </w:r>
          </w:p>
        </w:tc>
        <w:tc>
          <w:tcPr>
            <w:tcW w:w="1256" w:type="dxa"/>
            <w:shd w:val="clear" w:color="auto" w:fill="FFFFFF"/>
          </w:tcPr>
          <w:p w14:paraId="5F2019C0" w14:textId="043D557F" w:rsidR="00F3107B" w:rsidRPr="0016496C" w:rsidRDefault="00F3107B" w:rsidP="00F3107B">
            <w:pPr>
              <w:pStyle w:val="CETBodytext"/>
              <w:ind w:right="-1"/>
              <w:jc w:val="center"/>
              <w:rPr>
                <w:rFonts w:cs="Arial"/>
                <w:szCs w:val="18"/>
              </w:rPr>
            </w:pPr>
            <w:r>
              <w:rPr>
                <w:rFonts w:cs="Arial"/>
                <w:szCs w:val="18"/>
              </w:rPr>
              <w:t>NI</w:t>
            </w:r>
          </w:p>
        </w:tc>
        <w:tc>
          <w:tcPr>
            <w:tcW w:w="1256" w:type="dxa"/>
            <w:shd w:val="clear" w:color="auto" w:fill="FFFFFF"/>
          </w:tcPr>
          <w:p w14:paraId="6D88BD34" w14:textId="40058B3B" w:rsidR="00F3107B" w:rsidRPr="0016496C" w:rsidRDefault="00F3107B" w:rsidP="00F3107B">
            <w:pPr>
              <w:pStyle w:val="CETBodytext"/>
              <w:ind w:right="-1"/>
              <w:jc w:val="center"/>
              <w:rPr>
                <w:rFonts w:cs="Arial"/>
              </w:rPr>
            </w:pPr>
            <w:r>
              <w:rPr>
                <w:rFonts w:cs="Arial"/>
              </w:rPr>
              <w:t>NI</w:t>
            </w:r>
          </w:p>
        </w:tc>
        <w:tc>
          <w:tcPr>
            <w:tcW w:w="1256" w:type="dxa"/>
            <w:shd w:val="clear" w:color="auto" w:fill="FFFFFF"/>
          </w:tcPr>
          <w:p w14:paraId="31CF67A8" w14:textId="2FBB22B6" w:rsidR="00F3107B" w:rsidRPr="0016496C" w:rsidRDefault="00F3107B" w:rsidP="00F3107B">
            <w:pPr>
              <w:pStyle w:val="CETBodytext"/>
              <w:ind w:right="-1"/>
              <w:jc w:val="center"/>
              <w:rPr>
                <w:rFonts w:cs="Arial"/>
              </w:rPr>
            </w:pPr>
            <w:r>
              <w:rPr>
                <w:rFonts w:cs="Arial"/>
              </w:rPr>
              <w:t>NI</w:t>
            </w:r>
          </w:p>
        </w:tc>
      </w:tr>
    </w:tbl>
    <w:p w14:paraId="0AD07707" w14:textId="77777777" w:rsidR="00E546C0" w:rsidRDefault="00E546C0" w:rsidP="00600535">
      <w:pPr>
        <w:pStyle w:val="CETBodytext"/>
      </w:pPr>
    </w:p>
    <w:p w14:paraId="29CCB919" w14:textId="491B9446" w:rsidR="004B25BE" w:rsidRPr="00B03B09" w:rsidRDefault="003E09A2" w:rsidP="0088126C">
      <w:pPr>
        <w:pStyle w:val="CETheadingx"/>
      </w:pPr>
      <w:r>
        <w:t xml:space="preserve">Deflagration Index, </w:t>
      </w:r>
      <w:proofErr w:type="spellStart"/>
      <w:r>
        <w:t>K</w:t>
      </w:r>
      <w:r w:rsidRPr="00DE62B2">
        <w:rPr>
          <w:vertAlign w:val="subscript"/>
        </w:rPr>
        <w:t>st</w:t>
      </w:r>
      <w:proofErr w:type="spellEnd"/>
    </w:p>
    <w:p w14:paraId="2658F48A" w14:textId="5EF61B20" w:rsidR="00E71ED5" w:rsidRDefault="00F54D5D" w:rsidP="00330066">
      <w:pPr>
        <w:pStyle w:val="CETBodytext"/>
      </w:pPr>
      <w:r>
        <w:t xml:space="preserve">The deflagration index </w:t>
      </w:r>
      <w:r w:rsidR="00093ED4">
        <w:t xml:space="preserve">was calculated </w:t>
      </w:r>
      <w:r w:rsidR="00E546C0">
        <w:t>based</w:t>
      </w:r>
      <w:r w:rsidR="00093ED4">
        <w:t xml:space="preserve"> on the </w:t>
      </w:r>
      <w:r w:rsidR="00F62DAF">
        <w:t xml:space="preserve">first four </w:t>
      </w:r>
      <w:r w:rsidR="00093ED4">
        <w:t xml:space="preserve">hypotheses of paragraph 2.1 and </w:t>
      </w:r>
      <w:r w:rsidR="00F62DAF">
        <w:t xml:space="preserve">those of paragraph </w:t>
      </w:r>
      <w:r w:rsidR="00093ED4">
        <w:t>2.2</w:t>
      </w:r>
      <w:r w:rsidR="00E71ED5">
        <w:t xml:space="preserve">. Figure 2 reports the trend of the </w:t>
      </w:r>
      <w:proofErr w:type="spellStart"/>
      <w:r w:rsidR="00E71ED5">
        <w:t>K</w:t>
      </w:r>
      <w:r w:rsidR="00E71ED5" w:rsidRPr="00C97901">
        <w:rPr>
          <w:vertAlign w:val="subscript"/>
        </w:rPr>
        <w:t>st</w:t>
      </w:r>
      <w:proofErr w:type="spellEnd"/>
      <w:r w:rsidR="00E71ED5">
        <w:t xml:space="preserve"> as the function of the mean tested diameter of the hypothetical </w:t>
      </w:r>
      <w:r w:rsidR="00E621A4">
        <w:t xml:space="preserve">solid </w:t>
      </w:r>
      <w:r w:rsidR="00FB41EB">
        <w:t>LA part</w:t>
      </w:r>
      <w:r w:rsidR="007F393A">
        <w:t>i</w:t>
      </w:r>
      <w:r w:rsidR="00FB41EB">
        <w:t>cles</w:t>
      </w:r>
      <w:r w:rsidR="00A71AA7">
        <w:t>.</w:t>
      </w:r>
      <w:r w:rsidR="00374CE6">
        <w:t xml:space="preserve"> </w:t>
      </w:r>
    </w:p>
    <w:p w14:paraId="75580917" w14:textId="53FAC605" w:rsidR="00374CE6" w:rsidRDefault="00374CE6" w:rsidP="00330066">
      <w:pPr>
        <w:pStyle w:val="CETBodytext"/>
      </w:pPr>
      <w:r>
        <w:t>As already detailed for MIE estimation</w:t>
      </w:r>
      <w:r w:rsidR="006F1A9B">
        <w:t>s</w:t>
      </w:r>
      <w:r>
        <w:t xml:space="preserve">, the predicted </w:t>
      </w:r>
      <w:proofErr w:type="spellStart"/>
      <w:r w:rsidR="006F1A9B">
        <w:t>K</w:t>
      </w:r>
      <w:r w:rsidR="006F1A9B" w:rsidRPr="00C97901">
        <w:rPr>
          <w:vertAlign w:val="subscript"/>
        </w:rPr>
        <w:t>st</w:t>
      </w:r>
      <w:proofErr w:type="spellEnd"/>
      <w:r w:rsidR="006F1A9B">
        <w:t xml:space="preserve"> values are subjected to </w:t>
      </w:r>
      <w:r w:rsidR="000F25C9">
        <w:t xml:space="preserve">a certain degree of </w:t>
      </w:r>
      <w:r w:rsidR="006F1A9B">
        <w:t xml:space="preserve">uncertainty. </w:t>
      </w:r>
      <w:r w:rsidR="000F25C9">
        <w:t xml:space="preserve">In this case a 20% uncertainty was </w:t>
      </w:r>
      <w:r w:rsidR="003139E6">
        <w:t>taken into account as error bars on ordinates in Figure 2.</w:t>
      </w:r>
    </w:p>
    <w:p w14:paraId="61925BD5" w14:textId="60BD2060" w:rsidR="00A71AA7" w:rsidRDefault="00A45FC3" w:rsidP="00330066">
      <w:pPr>
        <w:pStyle w:val="CETBodytext"/>
        <w:rPr>
          <w:rStyle w:val="CETCaptionCarattere"/>
          <w:lang w:val="en-US"/>
        </w:rPr>
      </w:pPr>
      <w:r>
        <w:rPr>
          <w:i/>
          <w:noProof/>
        </w:rPr>
        <w:drawing>
          <wp:inline distT="0" distB="0" distL="0" distR="0" wp14:anchorId="334970BD" wp14:editId="7F008717">
            <wp:extent cx="3350811" cy="2513013"/>
            <wp:effectExtent l="0" t="0" r="2540" b="1905"/>
            <wp:docPr id="1290613655" name="Immagine 4" descr="Immagine che contiene testo, linea, numer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13655" name="Immagine 1" descr="Immagine che contiene testo, linea, numero, Diagramma&#10;&#10;Descrizione generata automaticamente"/>
                    <pic:cNvPicPr/>
                  </pic:nvPicPr>
                  <pic:blipFill>
                    <a:blip r:embed="rId14"/>
                    <a:stretch>
                      <a:fillRect/>
                    </a:stretch>
                  </pic:blipFill>
                  <pic:spPr>
                    <a:xfrm>
                      <a:off x="0" y="0"/>
                      <a:ext cx="3360988" cy="2520645"/>
                    </a:xfrm>
                    <a:prstGeom prst="rect">
                      <a:avLst/>
                    </a:prstGeom>
                  </pic:spPr>
                </pic:pic>
              </a:graphicData>
            </a:graphic>
          </wp:inline>
        </w:drawing>
      </w:r>
    </w:p>
    <w:p w14:paraId="05D4948B" w14:textId="2DD4FE95" w:rsidR="00A71AA7" w:rsidRDefault="00A71AA7" w:rsidP="00A71AA7">
      <w:pPr>
        <w:pStyle w:val="CETBodytext"/>
        <w:spacing w:before="240" w:after="240"/>
        <w:rPr>
          <w:rStyle w:val="CETCaptionCarattere"/>
          <w:lang w:val="en-US"/>
        </w:rPr>
      </w:pPr>
      <w:r w:rsidRPr="0016496C">
        <w:rPr>
          <w:rStyle w:val="CETCaptionCarattere"/>
          <w:lang w:val="en-US"/>
        </w:rPr>
        <w:t xml:space="preserve">Figure </w:t>
      </w:r>
      <w:r>
        <w:rPr>
          <w:rStyle w:val="CETCaptionCarattere"/>
          <w:lang w:val="en-US"/>
        </w:rPr>
        <w:t>2</w:t>
      </w:r>
      <w:r w:rsidRPr="0016496C">
        <w:rPr>
          <w:rStyle w:val="CETCaptionCarattere"/>
          <w:lang w:val="en-US"/>
        </w:rPr>
        <w:t xml:space="preserve">: </w:t>
      </w:r>
      <w:proofErr w:type="spellStart"/>
      <w:r>
        <w:rPr>
          <w:rStyle w:val="CETCaptionCarattere"/>
          <w:lang w:val="en-US"/>
        </w:rPr>
        <w:t>K</w:t>
      </w:r>
      <w:r w:rsidRPr="00A71AA7">
        <w:rPr>
          <w:rStyle w:val="CETCaptionCarattere"/>
          <w:vertAlign w:val="subscript"/>
          <w:lang w:val="en-US"/>
        </w:rPr>
        <w:t>st</w:t>
      </w:r>
      <w:proofErr w:type="spellEnd"/>
      <w:r>
        <w:rPr>
          <w:rStyle w:val="CETCaptionCarattere"/>
          <w:lang w:val="en-US"/>
        </w:rPr>
        <w:t xml:space="preserve"> as the function of the mean diameter </w:t>
      </w:r>
      <w:r w:rsidR="0086396F">
        <w:rPr>
          <w:rStyle w:val="CETCaptionCarattere"/>
          <w:lang w:val="en-US"/>
        </w:rPr>
        <w:t>of the LA particles</w:t>
      </w:r>
      <w:r w:rsidRPr="0016496C">
        <w:rPr>
          <w:rStyle w:val="CETCaptionCarattere"/>
          <w:lang w:val="en-US"/>
        </w:rPr>
        <w:t>.</w:t>
      </w:r>
    </w:p>
    <w:p w14:paraId="2BFE150B" w14:textId="054A8ECA" w:rsidR="00126E21" w:rsidRPr="00A71AA7" w:rsidRDefault="0027520B" w:rsidP="006722DA">
      <w:pPr>
        <w:pStyle w:val="CETBodytext"/>
        <w:spacing w:before="240"/>
        <w:rPr>
          <w:iCs/>
        </w:rPr>
      </w:pPr>
      <w:r>
        <w:rPr>
          <w:iCs/>
        </w:rPr>
        <w:t xml:space="preserve">As it is possible to notice, </w:t>
      </w:r>
      <w:r w:rsidR="00F817FC">
        <w:rPr>
          <w:iCs/>
        </w:rPr>
        <w:t xml:space="preserve">the value of the Deflagration Index decreases rapidly as a function of the mean </w:t>
      </w:r>
      <w:r w:rsidR="006643C2">
        <w:rPr>
          <w:iCs/>
        </w:rPr>
        <w:t xml:space="preserve">diameter of the </w:t>
      </w:r>
      <w:r w:rsidR="00E621A4">
        <w:rPr>
          <w:iCs/>
        </w:rPr>
        <w:t xml:space="preserve">solid </w:t>
      </w:r>
      <w:r w:rsidR="006643C2">
        <w:rPr>
          <w:iCs/>
        </w:rPr>
        <w:t xml:space="preserve">LA particles. This behavior is in line with that one observed </w:t>
      </w:r>
      <w:r w:rsidR="00851C36">
        <w:rPr>
          <w:iCs/>
        </w:rPr>
        <w:t>for the MIE</w:t>
      </w:r>
      <w:r w:rsidR="008F4C74">
        <w:rPr>
          <w:iCs/>
        </w:rPr>
        <w:t xml:space="preserve"> (which conversely </w:t>
      </w:r>
      <w:r w:rsidR="008F4C74">
        <w:rPr>
          <w:iCs/>
        </w:rPr>
        <w:lastRenderedPageBreak/>
        <w:t>increased)</w:t>
      </w:r>
      <w:r w:rsidR="00851C36">
        <w:rPr>
          <w:iCs/>
        </w:rPr>
        <w:t xml:space="preserve">: when </w:t>
      </w:r>
      <w:r w:rsidR="007645A9">
        <w:rPr>
          <w:iCs/>
        </w:rPr>
        <w:t xml:space="preserve">LA particles are very little (that is, below 60 </w:t>
      </w:r>
      <w:r w:rsidR="007645A9">
        <w:rPr>
          <w:rFonts w:cs="Arial"/>
          <w:iCs/>
        </w:rPr>
        <w:t>µ</w:t>
      </w:r>
      <w:r w:rsidR="007645A9">
        <w:rPr>
          <w:iCs/>
        </w:rPr>
        <w:t>m)</w:t>
      </w:r>
      <w:r w:rsidR="004F1B7D">
        <w:rPr>
          <w:iCs/>
        </w:rPr>
        <w:t xml:space="preserve"> they exhibit a </w:t>
      </w:r>
      <w:r w:rsidR="006722DA">
        <w:rPr>
          <w:iCs/>
        </w:rPr>
        <w:t>gas-like</w:t>
      </w:r>
      <w:r w:rsidR="004F1B7D">
        <w:rPr>
          <w:iCs/>
        </w:rPr>
        <w:t xml:space="preserve"> </w:t>
      </w:r>
      <w:r w:rsidR="005A10F7">
        <w:rPr>
          <w:iCs/>
        </w:rPr>
        <w:t>behavior even in terms of either flammability or explosibility; otherwise, when the mean characteristic dimension increases</w:t>
      </w:r>
      <w:r w:rsidR="00CE618E">
        <w:rPr>
          <w:iCs/>
        </w:rPr>
        <w:t>, LA tends to behave as a dust particle</w:t>
      </w:r>
      <w:r w:rsidR="00126E21">
        <w:rPr>
          <w:iCs/>
        </w:rPr>
        <w:t xml:space="preserve">. Moreover, it is interesting to highlight that </w:t>
      </w:r>
      <w:r w:rsidR="006239CB">
        <w:rPr>
          <w:iCs/>
        </w:rPr>
        <w:t xml:space="preserve">with particle size </w:t>
      </w:r>
      <w:r w:rsidR="002572A5">
        <w:rPr>
          <w:iCs/>
        </w:rPr>
        <w:t xml:space="preserve">above 200 </w:t>
      </w:r>
      <w:r w:rsidR="002572A5">
        <w:rPr>
          <w:rFonts w:cs="Arial"/>
          <w:iCs/>
        </w:rPr>
        <w:t>µ</w:t>
      </w:r>
      <w:r w:rsidR="002572A5">
        <w:rPr>
          <w:iCs/>
        </w:rPr>
        <w:t xml:space="preserve">m LA cannot be considered </w:t>
      </w:r>
      <w:r w:rsidR="006D6890">
        <w:rPr>
          <w:iCs/>
        </w:rPr>
        <w:t xml:space="preserve">as </w:t>
      </w:r>
      <w:r w:rsidR="002572A5">
        <w:rPr>
          <w:iCs/>
        </w:rPr>
        <w:t>explosi</w:t>
      </w:r>
      <w:r w:rsidR="006D6890">
        <w:rPr>
          <w:iCs/>
        </w:rPr>
        <w:t xml:space="preserve">ble anymore. </w:t>
      </w:r>
    </w:p>
    <w:p w14:paraId="3B18C204" w14:textId="2AB42907" w:rsidR="00F433E7" w:rsidRPr="00B03B09" w:rsidRDefault="00792DD0" w:rsidP="002B5944">
      <w:pPr>
        <w:pStyle w:val="CETHeading1"/>
        <w:tabs>
          <w:tab w:val="right" w:pos="7100"/>
        </w:tabs>
        <w:jc w:val="both"/>
      </w:pPr>
      <w:r>
        <w:t>Conclusion</w:t>
      </w:r>
    </w:p>
    <w:p w14:paraId="6792C8D2" w14:textId="61BEC315" w:rsidR="000C2306" w:rsidRDefault="000C2306" w:rsidP="000C2306">
      <w:pPr>
        <w:pStyle w:val="CETBodytext"/>
      </w:pPr>
      <w:r w:rsidRPr="00B03B09">
        <w:t>Solid lactic acid (</w:t>
      </w:r>
      <w:r w:rsidR="006D6890">
        <w:t>in its DL racemic form</w:t>
      </w:r>
      <w:r w:rsidRPr="00B03B09">
        <w:t xml:space="preserve">) is a versatile and valuable compound with widespread applications in the food, pharmaceutical, chemical, and textile industries. Its significance is amplified by its role in producing biodegradable materials like poly(lactic acid) and its alignment with sustainability goals. However, despite its industrial prominence, </w:t>
      </w:r>
      <w:r w:rsidR="007708C3">
        <w:t>several</w:t>
      </w:r>
      <w:r w:rsidRPr="00B03B09">
        <w:t xml:space="preserve"> critical gaps in understanding its safety profile, </w:t>
      </w:r>
      <w:r w:rsidR="00310AA4">
        <w:t>main</w:t>
      </w:r>
      <w:r w:rsidRPr="00B03B09">
        <w:t xml:space="preserve">ly its </w:t>
      </w:r>
      <w:r w:rsidR="004656E6">
        <w:t xml:space="preserve">flammability and </w:t>
      </w:r>
      <w:r w:rsidRPr="00B03B09">
        <w:t>explosivity behavior</w:t>
      </w:r>
      <w:r w:rsidR="00AF58D3">
        <w:t>, can be traced</w:t>
      </w:r>
      <w:r w:rsidRPr="00B03B09">
        <w:t>.</w:t>
      </w:r>
    </w:p>
    <w:p w14:paraId="6AAD66B9" w14:textId="263E3A27" w:rsidR="00AF58D3" w:rsidRDefault="00EF124E" w:rsidP="000C2306">
      <w:pPr>
        <w:pStyle w:val="CETBodytext"/>
      </w:pPr>
      <w:r>
        <w:t>Particularly, n</w:t>
      </w:r>
      <w:r w:rsidR="00357558">
        <w:t xml:space="preserve">o information on </w:t>
      </w:r>
      <w:r>
        <w:t xml:space="preserve">both </w:t>
      </w:r>
      <w:r w:rsidR="006722DA">
        <w:t xml:space="preserve">the </w:t>
      </w:r>
      <w:r w:rsidR="00471606">
        <w:t>Minimum Ignition Energy</w:t>
      </w:r>
      <w:r>
        <w:t xml:space="preserve"> and </w:t>
      </w:r>
      <w:r w:rsidR="006722DA">
        <w:t xml:space="preserve">the </w:t>
      </w:r>
      <w:r>
        <w:t xml:space="preserve">Deflagration Index </w:t>
      </w:r>
      <w:r w:rsidR="00974F29">
        <w:t xml:space="preserve">for lactic acid in its crystalline form </w:t>
      </w:r>
      <w:r>
        <w:t xml:space="preserve">can be found in the </w:t>
      </w:r>
      <w:r w:rsidR="00974F29">
        <w:t xml:space="preserve">scientific </w:t>
      </w:r>
      <w:r>
        <w:t>literature</w:t>
      </w:r>
      <w:r w:rsidR="007F49B5">
        <w:t>.</w:t>
      </w:r>
    </w:p>
    <w:p w14:paraId="0A1A6295" w14:textId="3C49B64C" w:rsidR="007F49B5" w:rsidRDefault="007F49B5" w:rsidP="000C2306">
      <w:pPr>
        <w:pStyle w:val="CETBodytext"/>
      </w:pPr>
      <w:r>
        <w:t xml:space="preserve">Therefore, using </w:t>
      </w:r>
      <w:r w:rsidR="00365F58">
        <w:t xml:space="preserve">already </w:t>
      </w:r>
      <w:r w:rsidR="00153BBB">
        <w:t xml:space="preserve">scientific literature </w:t>
      </w:r>
      <w:r w:rsidR="00365F58">
        <w:t>available</w:t>
      </w:r>
      <w:r w:rsidR="00720E4B">
        <w:t xml:space="preserve"> </w:t>
      </w:r>
      <w:r w:rsidR="00365F58">
        <w:t xml:space="preserve">mathematical </w:t>
      </w:r>
      <w:r w:rsidR="00720E4B">
        <w:t>model</w:t>
      </w:r>
      <w:r w:rsidR="00153BBB">
        <w:t xml:space="preserve">s, both MIE and </w:t>
      </w:r>
      <w:proofErr w:type="spellStart"/>
      <w:r w:rsidR="00153BBB">
        <w:t>K</w:t>
      </w:r>
      <w:r w:rsidR="00153BBB" w:rsidRPr="00C21743">
        <w:rPr>
          <w:vertAlign w:val="subscript"/>
        </w:rPr>
        <w:t>st</w:t>
      </w:r>
      <w:proofErr w:type="spellEnd"/>
      <w:r w:rsidR="00153BBB">
        <w:t xml:space="preserve"> values </w:t>
      </w:r>
      <w:r w:rsidR="00C21743">
        <w:t>were</w:t>
      </w:r>
      <w:r w:rsidR="00153BBB">
        <w:t xml:space="preserve"> calculated for </w:t>
      </w:r>
      <w:r w:rsidR="002300C3">
        <w:t>DL-</w:t>
      </w:r>
      <w:r w:rsidR="00C21743">
        <w:t>LA in its solid crystalline form. From the results, it was po</w:t>
      </w:r>
      <w:r w:rsidR="002300C3">
        <w:t xml:space="preserve">ssible to observe that for low particle size (that is, below </w:t>
      </w:r>
      <w:r w:rsidR="00F63E36">
        <w:t xml:space="preserve">60 </w:t>
      </w:r>
      <w:r w:rsidR="00F63E36">
        <w:rPr>
          <w:rFonts w:cs="Arial"/>
          <w:iCs/>
        </w:rPr>
        <w:t>µ</w:t>
      </w:r>
      <w:r w:rsidR="00F63E36">
        <w:t>m)</w:t>
      </w:r>
      <w:r w:rsidR="00E95B02">
        <w:t xml:space="preserve"> LA behaves as a flammable </w:t>
      </w:r>
      <w:r w:rsidR="00CA5DF5">
        <w:t xml:space="preserve">liquid/gas, exhibiting low MIE and high </w:t>
      </w:r>
      <w:proofErr w:type="spellStart"/>
      <w:r w:rsidR="00CA5DF5">
        <w:t>K</w:t>
      </w:r>
      <w:r w:rsidR="00CA5DF5" w:rsidRPr="00CA5DF5">
        <w:rPr>
          <w:vertAlign w:val="subscript"/>
        </w:rPr>
        <w:t>st</w:t>
      </w:r>
      <w:proofErr w:type="spellEnd"/>
      <w:r w:rsidR="00CA5DF5">
        <w:t xml:space="preserve"> values. Increasing the </w:t>
      </w:r>
      <w:r w:rsidR="007F2D48">
        <w:t xml:space="preserve">mean </w:t>
      </w:r>
      <w:r w:rsidR="00CA5DF5">
        <w:t>dia</w:t>
      </w:r>
      <w:r w:rsidR="007F2D48">
        <w:t>meter, LA started to behave as a dust</w:t>
      </w:r>
      <w:r w:rsidR="00F705A5">
        <w:t xml:space="preserve">, showing quite high MIE and low </w:t>
      </w:r>
      <w:proofErr w:type="spellStart"/>
      <w:r w:rsidR="00F705A5">
        <w:t>K</w:t>
      </w:r>
      <w:r w:rsidR="00F705A5" w:rsidRPr="00F705A5">
        <w:rPr>
          <w:vertAlign w:val="subscript"/>
        </w:rPr>
        <w:t>st</w:t>
      </w:r>
      <w:proofErr w:type="spellEnd"/>
      <w:r w:rsidR="00F705A5">
        <w:t xml:space="preserve"> values</w:t>
      </w:r>
      <w:r w:rsidR="00C34382">
        <w:t xml:space="preserve"> (quite close to those of either a common wheat flour or a sugar used for bakery</w:t>
      </w:r>
      <w:r w:rsidR="006673A9">
        <w:t xml:space="preserve"> purposes). </w:t>
      </w:r>
    </w:p>
    <w:p w14:paraId="319F48E4" w14:textId="6CE3D608" w:rsidR="006673A9" w:rsidRPr="00B03B09" w:rsidRDefault="00E33497" w:rsidP="000C2306">
      <w:pPr>
        <w:pStyle w:val="CETBodytext"/>
      </w:pPr>
      <w:r>
        <w:t xml:space="preserve">A partial validation of the reliability of these theoretical predictions was done by </w:t>
      </w:r>
      <w:r w:rsidR="00D75C16">
        <w:t xml:space="preserve">a good </w:t>
      </w:r>
      <w:r>
        <w:t xml:space="preserve">comparison </w:t>
      </w:r>
      <w:r w:rsidR="00006331">
        <w:t>between</w:t>
      </w:r>
      <w:r>
        <w:t xml:space="preserve"> the </w:t>
      </w:r>
      <w:r w:rsidR="00006331">
        <w:t xml:space="preserve">calculated (using the same devolatilization kinetics used for both MIE and </w:t>
      </w:r>
      <w:proofErr w:type="spellStart"/>
      <w:r w:rsidR="00006331">
        <w:t>K</w:t>
      </w:r>
      <w:r w:rsidR="00006331" w:rsidRPr="00006331">
        <w:rPr>
          <w:vertAlign w:val="subscript"/>
        </w:rPr>
        <w:t>st</w:t>
      </w:r>
      <w:proofErr w:type="spellEnd"/>
      <w:r w:rsidR="00006331">
        <w:t xml:space="preserve"> calculations)</w:t>
      </w:r>
      <w:r w:rsidR="00D75C16">
        <w:t xml:space="preserve"> and experimental flash point value. Anyway, a complete exper</w:t>
      </w:r>
      <w:r w:rsidR="00C2594E">
        <w:t xml:space="preserve">imental characterization of solid LA flammability and explosibility </w:t>
      </w:r>
      <w:r w:rsidR="00ED78A8">
        <w:t>should be done to complete its safety characterization, fundamental for process safety purposes.</w:t>
      </w:r>
    </w:p>
    <w:p w14:paraId="3ACAD5D9" w14:textId="7483EDCD" w:rsidR="00222D30" w:rsidRPr="00B03B09" w:rsidRDefault="006673A9" w:rsidP="00824942">
      <w:pPr>
        <w:pStyle w:val="CETReference"/>
      </w:pPr>
      <w:r>
        <w:t>R</w:t>
      </w:r>
      <w:r w:rsidR="00222D30" w:rsidRPr="00B03B09">
        <w:t>eferences</w:t>
      </w:r>
    </w:p>
    <w:p w14:paraId="07FB9379" w14:textId="77777777" w:rsidR="00222D30" w:rsidRDefault="00222D30" w:rsidP="00824942">
      <w:pPr>
        <w:pStyle w:val="CETReferencetext"/>
      </w:pPr>
      <w:r w:rsidRPr="00B03B09">
        <w:t xml:space="preserve">Castillo Martinez F.A., Balciunas E.M., Salgado J.M., Domínguez González J.M., </w:t>
      </w:r>
      <w:proofErr w:type="spellStart"/>
      <w:r w:rsidRPr="00B03B09">
        <w:t>Converti</w:t>
      </w:r>
      <w:proofErr w:type="spellEnd"/>
      <w:r w:rsidRPr="00B03B09">
        <w:t xml:space="preserve"> A., Oliveira </w:t>
      </w:r>
      <w:proofErr w:type="spellStart"/>
      <w:r w:rsidRPr="00B03B09">
        <w:t>R.P.d.S</w:t>
      </w:r>
      <w:proofErr w:type="spellEnd"/>
      <w:r w:rsidRPr="00B03B09">
        <w:t>., 2013. Lactic acid properties, applications and production: A review, Trends in Food Science &amp; Technology, 30(1), 70-83.</w:t>
      </w:r>
    </w:p>
    <w:p w14:paraId="517759F8" w14:textId="0FAB6425" w:rsidR="00276DBA" w:rsidRDefault="001968C8" w:rsidP="0056545E">
      <w:pPr>
        <w:pStyle w:val="CETReferencetext"/>
        <w:rPr>
          <w:lang w:val="en-US"/>
        </w:rPr>
      </w:pPr>
      <w:r w:rsidRPr="0056545E">
        <w:rPr>
          <w:lang w:val="en-US"/>
        </w:rPr>
        <w:t xml:space="preserve">Copelli S., Scotton M.S., Barozzi M., </w:t>
      </w:r>
      <w:proofErr w:type="spellStart"/>
      <w:r w:rsidRPr="0056545E">
        <w:rPr>
          <w:lang w:val="en-US"/>
        </w:rPr>
        <w:t>Derudi</w:t>
      </w:r>
      <w:proofErr w:type="spellEnd"/>
      <w:r w:rsidRPr="0056545E">
        <w:rPr>
          <w:lang w:val="en-US"/>
        </w:rPr>
        <w:t xml:space="preserve"> M., Rota R., 2021, </w:t>
      </w:r>
      <w:r w:rsidR="0056545E" w:rsidRPr="0056545E">
        <w:rPr>
          <w:lang w:val="en-US"/>
        </w:rPr>
        <w:t>A Practical Tool for Predicting the Minimum Ignition Energy of Organic Dusts</w:t>
      </w:r>
      <w:r w:rsidR="0056545E">
        <w:rPr>
          <w:lang w:val="en-US"/>
        </w:rPr>
        <w:t xml:space="preserve">, </w:t>
      </w:r>
      <w:r w:rsidR="0056545E" w:rsidRPr="0056545E">
        <w:rPr>
          <w:lang w:val="en-US"/>
        </w:rPr>
        <w:t xml:space="preserve">Industrial and Engineering Chemistry Research, 60 (29), 10807 </w:t>
      </w:r>
      <w:r w:rsidR="0056545E">
        <w:rPr>
          <w:lang w:val="en-US"/>
        </w:rPr>
        <w:t>–</w:t>
      </w:r>
      <w:r w:rsidR="0056545E" w:rsidRPr="0056545E">
        <w:rPr>
          <w:lang w:val="en-US"/>
        </w:rPr>
        <w:t xml:space="preserve"> 10813</w:t>
      </w:r>
      <w:r w:rsidR="0056545E">
        <w:rPr>
          <w:lang w:val="en-US"/>
        </w:rPr>
        <w:t>.</w:t>
      </w:r>
    </w:p>
    <w:p w14:paraId="23EFA541" w14:textId="63885D67" w:rsidR="00AC2599" w:rsidRPr="0056545E" w:rsidRDefault="00EA5B6D" w:rsidP="00EA5B6D">
      <w:pPr>
        <w:pStyle w:val="CETReferencetext"/>
        <w:rPr>
          <w:lang w:val="en-US"/>
        </w:rPr>
      </w:pPr>
      <w:r w:rsidRPr="0098193C">
        <w:rPr>
          <w:lang w:val="en-US"/>
        </w:rPr>
        <w:t>Copelli S., Barozzi</w:t>
      </w:r>
      <w:r w:rsidR="0098193C" w:rsidRPr="0098193C">
        <w:rPr>
          <w:lang w:val="en-US"/>
        </w:rPr>
        <w:t xml:space="preserve"> M.</w:t>
      </w:r>
      <w:r w:rsidRPr="0098193C">
        <w:rPr>
          <w:lang w:val="en-US"/>
        </w:rPr>
        <w:t>, Scotton</w:t>
      </w:r>
      <w:r w:rsidR="0098193C" w:rsidRPr="0098193C">
        <w:rPr>
          <w:lang w:val="en-US"/>
        </w:rPr>
        <w:t xml:space="preserve"> M.S.</w:t>
      </w:r>
      <w:r w:rsidRPr="0098193C">
        <w:rPr>
          <w:lang w:val="en-US"/>
        </w:rPr>
        <w:t>, Fumagalli</w:t>
      </w:r>
      <w:r w:rsidR="0098193C" w:rsidRPr="0098193C">
        <w:rPr>
          <w:lang w:val="en-US"/>
        </w:rPr>
        <w:t xml:space="preserve"> A.</w:t>
      </w:r>
      <w:r w:rsidRPr="0098193C">
        <w:rPr>
          <w:lang w:val="en-US"/>
        </w:rPr>
        <w:t xml:space="preserve">, </w:t>
      </w:r>
      <w:proofErr w:type="spellStart"/>
      <w:r w:rsidRPr="0098193C">
        <w:rPr>
          <w:lang w:val="en-US"/>
        </w:rPr>
        <w:t>Derudi</w:t>
      </w:r>
      <w:proofErr w:type="spellEnd"/>
      <w:r w:rsidR="0098193C" w:rsidRPr="0098193C">
        <w:rPr>
          <w:lang w:val="en-US"/>
        </w:rPr>
        <w:t xml:space="preserve"> M.</w:t>
      </w:r>
      <w:r w:rsidRPr="0098193C">
        <w:rPr>
          <w:lang w:val="en-US"/>
        </w:rPr>
        <w:t>, Rota</w:t>
      </w:r>
      <w:r w:rsidR="0098193C" w:rsidRPr="0098193C">
        <w:rPr>
          <w:lang w:val="en-US"/>
        </w:rPr>
        <w:t xml:space="preserve"> R.</w:t>
      </w:r>
      <w:r w:rsidRPr="0098193C">
        <w:rPr>
          <w:lang w:val="en-US"/>
        </w:rPr>
        <w:t>,</w:t>
      </w:r>
      <w:r w:rsidR="0098193C" w:rsidRPr="0098193C">
        <w:rPr>
          <w:lang w:val="en-US"/>
        </w:rPr>
        <w:t xml:space="preserve"> 2019, </w:t>
      </w:r>
      <w:r w:rsidRPr="00EA5B6D">
        <w:rPr>
          <w:lang w:val="en-US"/>
        </w:rPr>
        <w:t>A predictive model for the estimation of the deflagration index of organic dusts,</w:t>
      </w:r>
      <w:r w:rsidR="0098193C">
        <w:rPr>
          <w:lang w:val="en-US"/>
        </w:rPr>
        <w:t xml:space="preserve"> </w:t>
      </w:r>
      <w:r w:rsidRPr="00EA5B6D">
        <w:rPr>
          <w:lang w:val="en-US"/>
        </w:rPr>
        <w:t>Process Safety and Environmental Protection,126,</w:t>
      </w:r>
      <w:r w:rsidR="0098193C">
        <w:rPr>
          <w:lang w:val="en-US"/>
        </w:rPr>
        <w:t xml:space="preserve"> </w:t>
      </w:r>
      <w:r w:rsidRPr="00EA5B6D">
        <w:rPr>
          <w:lang w:val="en-US"/>
        </w:rPr>
        <w:t>329-338</w:t>
      </w:r>
      <w:r w:rsidR="0098193C">
        <w:rPr>
          <w:lang w:val="en-US"/>
        </w:rPr>
        <w:t>.</w:t>
      </w:r>
    </w:p>
    <w:p w14:paraId="5955437A" w14:textId="77777777" w:rsidR="00222D30" w:rsidRDefault="00222D30" w:rsidP="00824942">
      <w:pPr>
        <w:pStyle w:val="CETReferencetext"/>
      </w:pPr>
      <w:proofErr w:type="spellStart"/>
      <w:r w:rsidRPr="00B03B09">
        <w:t>Emel’yanenko</w:t>
      </w:r>
      <w:proofErr w:type="spellEnd"/>
      <w:r w:rsidRPr="00B03B09">
        <w:t xml:space="preserve"> V.N., </w:t>
      </w:r>
      <w:proofErr w:type="spellStart"/>
      <w:r w:rsidRPr="00B03B09">
        <w:t>Verevkin</w:t>
      </w:r>
      <w:proofErr w:type="spellEnd"/>
      <w:r w:rsidRPr="00B03B09">
        <w:t xml:space="preserve"> S.P., Schick C., </w:t>
      </w:r>
      <w:proofErr w:type="spellStart"/>
      <w:r w:rsidRPr="00B03B09">
        <w:t>Stepurko</w:t>
      </w:r>
      <w:proofErr w:type="spellEnd"/>
      <w:r w:rsidRPr="00B03B09">
        <w:t xml:space="preserve"> E.N., </w:t>
      </w:r>
      <w:proofErr w:type="spellStart"/>
      <w:r w:rsidRPr="00B03B09">
        <w:t>Roganov</w:t>
      </w:r>
      <w:proofErr w:type="spellEnd"/>
      <w:r w:rsidRPr="00B03B09">
        <w:t xml:space="preserve"> G.N., Georgieva M.K., 2010. The thermodynamic properties of S-lactic acid, Russian Journal of Physical Chemistry, A 84, 1491–1497.</w:t>
      </w:r>
    </w:p>
    <w:p w14:paraId="63A64F71" w14:textId="3665CA72" w:rsidR="00C10FF3" w:rsidRDefault="00FE2E76" w:rsidP="00824942">
      <w:pPr>
        <w:pStyle w:val="CETReferencetext"/>
      </w:pPr>
      <w:proofErr w:type="spellStart"/>
      <w:r w:rsidRPr="00FE2E76">
        <w:t>Eş</w:t>
      </w:r>
      <w:proofErr w:type="spellEnd"/>
      <w:r>
        <w:t xml:space="preserve"> I.</w:t>
      </w:r>
      <w:r w:rsidRPr="00FE2E76">
        <w:t xml:space="preserve">, Mousavi </w:t>
      </w:r>
      <w:proofErr w:type="spellStart"/>
      <w:r w:rsidRPr="00FE2E76">
        <w:t>Khaneghah</w:t>
      </w:r>
      <w:proofErr w:type="spellEnd"/>
      <w:r>
        <w:t xml:space="preserve"> A.</w:t>
      </w:r>
      <w:r w:rsidRPr="00FE2E76">
        <w:t>, Barba</w:t>
      </w:r>
      <w:r>
        <w:t xml:space="preserve"> F.J.</w:t>
      </w:r>
      <w:r w:rsidRPr="00FE2E76">
        <w:t>, Saraiva</w:t>
      </w:r>
      <w:r>
        <w:t xml:space="preserve"> J.A.</w:t>
      </w:r>
      <w:r w:rsidRPr="00FE2E76">
        <w:t>, Sant'Ana</w:t>
      </w:r>
      <w:r>
        <w:t xml:space="preserve"> A.S.</w:t>
      </w:r>
      <w:r w:rsidRPr="00FE2E76">
        <w:t>, Bagher Hashemi</w:t>
      </w:r>
      <w:r>
        <w:t xml:space="preserve"> S.M</w:t>
      </w:r>
      <w:r w:rsidRPr="00FE2E76">
        <w:t>,</w:t>
      </w:r>
      <w:r>
        <w:t xml:space="preserve"> </w:t>
      </w:r>
      <w:r w:rsidR="002E4E98">
        <w:t xml:space="preserve">2018, </w:t>
      </w:r>
      <w:r w:rsidRPr="00FE2E76">
        <w:t>Recent advancements in lactic acid production - a review,</w:t>
      </w:r>
      <w:r w:rsidR="002E4E98">
        <w:t xml:space="preserve"> </w:t>
      </w:r>
      <w:r w:rsidRPr="00FE2E76">
        <w:t>Food Research International,</w:t>
      </w:r>
      <w:r w:rsidR="002E4E98">
        <w:t xml:space="preserve"> </w:t>
      </w:r>
      <w:r w:rsidRPr="00FE2E76">
        <w:t>107,</w:t>
      </w:r>
      <w:r w:rsidR="002E4E98">
        <w:t xml:space="preserve"> </w:t>
      </w:r>
      <w:r w:rsidRPr="00FE2E76">
        <w:t>763-770</w:t>
      </w:r>
      <w:r w:rsidR="002E4E98">
        <w:t>.</w:t>
      </w:r>
    </w:p>
    <w:p w14:paraId="1E699AAD" w14:textId="2DB9BE0A" w:rsidR="003F581E" w:rsidRDefault="003F581E" w:rsidP="00824942">
      <w:pPr>
        <w:pStyle w:val="CETReferencetext"/>
      </w:pPr>
      <w:proofErr w:type="spellStart"/>
      <w:r w:rsidRPr="003F581E">
        <w:t>Komesu</w:t>
      </w:r>
      <w:proofErr w:type="spellEnd"/>
      <w:r w:rsidRPr="003F581E">
        <w:t xml:space="preserve"> A., Martins Martinez P.F., </w:t>
      </w:r>
      <w:proofErr w:type="spellStart"/>
      <w:r w:rsidRPr="003F581E">
        <w:t>Lunelli</w:t>
      </w:r>
      <w:proofErr w:type="spellEnd"/>
      <w:r w:rsidRPr="003F581E">
        <w:t xml:space="preserve"> B.H., Oliveira J., Wolf MacIel M.R., MacIel Filho R., 2017</w:t>
      </w:r>
      <w:r>
        <w:t>,</w:t>
      </w:r>
      <w:r w:rsidRPr="003F581E">
        <w:t xml:space="preserve"> Study of lactic acid thermal </w:t>
      </w:r>
      <w:proofErr w:type="spellStart"/>
      <w:r w:rsidRPr="003F581E">
        <w:t>behavior</w:t>
      </w:r>
      <w:proofErr w:type="spellEnd"/>
      <w:r w:rsidRPr="003F581E">
        <w:t xml:space="preserve"> using </w:t>
      </w:r>
      <w:proofErr w:type="spellStart"/>
      <w:r w:rsidRPr="003F581E">
        <w:t>thermoanalytical</w:t>
      </w:r>
      <w:proofErr w:type="spellEnd"/>
      <w:r w:rsidRPr="003F581E">
        <w:t xml:space="preserve"> techniques</w:t>
      </w:r>
      <w:r>
        <w:t>,</w:t>
      </w:r>
      <w:r w:rsidRPr="003F581E">
        <w:t xml:space="preserve"> J. Chem.</w:t>
      </w:r>
      <w:r w:rsidR="00AC364D">
        <w:t>,</w:t>
      </w:r>
      <w:r w:rsidRPr="003F581E">
        <w:t xml:space="preserve"> https://doi.org/10.1155/2017/4149592</w:t>
      </w:r>
    </w:p>
    <w:p w14:paraId="0AD49A54" w14:textId="2EC73C70" w:rsidR="00F13A09" w:rsidRDefault="00F13A09" w:rsidP="00824942">
      <w:pPr>
        <w:pStyle w:val="CETReferencetext"/>
      </w:pPr>
      <w:r w:rsidRPr="00F13A09">
        <w:t>Naser A.Z.</w:t>
      </w:r>
      <w:r>
        <w:t>,</w:t>
      </w:r>
      <w:r w:rsidRPr="00F13A09">
        <w:t xml:space="preserve"> </w:t>
      </w:r>
      <w:proofErr w:type="spellStart"/>
      <w:r w:rsidRPr="00F13A09">
        <w:t>Deiab</w:t>
      </w:r>
      <w:proofErr w:type="spellEnd"/>
      <w:r w:rsidRPr="00F13A09">
        <w:t xml:space="preserve"> I.</w:t>
      </w:r>
      <w:r>
        <w:t>,</w:t>
      </w:r>
      <w:r w:rsidRPr="00F13A09">
        <w:t xml:space="preserve"> Darras B.M.</w:t>
      </w:r>
      <w:r>
        <w:t>,</w:t>
      </w:r>
      <w:r w:rsidRPr="00F13A09">
        <w:t xml:space="preserve"> </w:t>
      </w:r>
      <w:r>
        <w:t xml:space="preserve">2021, </w:t>
      </w:r>
      <w:r w:rsidRPr="00F13A09">
        <w:t xml:space="preserve">Poly (lactic acid) (PLA) and </w:t>
      </w:r>
      <w:proofErr w:type="spellStart"/>
      <w:r w:rsidRPr="00F13A09">
        <w:t>polyhydroxyalkanoates</w:t>
      </w:r>
      <w:proofErr w:type="spellEnd"/>
      <w:r w:rsidRPr="00F13A09">
        <w:t xml:space="preserve"> (PHAs), green alternatives to petroleum</w:t>
      </w:r>
      <w:r>
        <w:t>-</w:t>
      </w:r>
      <w:r w:rsidRPr="00F13A09">
        <w:t>based</w:t>
      </w:r>
      <w:r>
        <w:t xml:space="preserve"> </w:t>
      </w:r>
      <w:r w:rsidRPr="00F13A09">
        <w:t>plastics: A review</w:t>
      </w:r>
      <w:r>
        <w:t>,</w:t>
      </w:r>
      <w:r w:rsidRPr="00F13A09">
        <w:t xml:space="preserve"> RSC Adv.</w:t>
      </w:r>
      <w:r>
        <w:t>,</w:t>
      </w:r>
      <w:r w:rsidRPr="00F13A09">
        <w:t xml:space="preserve"> 11, 17151–17196.</w:t>
      </w:r>
    </w:p>
    <w:p w14:paraId="370A73D7" w14:textId="77777777" w:rsidR="00222D30" w:rsidRPr="00B03B09" w:rsidRDefault="00222D30" w:rsidP="00824942">
      <w:pPr>
        <w:pStyle w:val="CETReferencetext"/>
      </w:pPr>
      <w:r w:rsidRPr="00F84FAF">
        <w:rPr>
          <w:lang w:val="it-IT"/>
        </w:rPr>
        <w:t xml:space="preserve">Scotton M.S., Barozzi M., </w:t>
      </w:r>
      <w:proofErr w:type="spellStart"/>
      <w:r w:rsidRPr="00F84FAF">
        <w:rPr>
          <w:lang w:val="it-IT"/>
        </w:rPr>
        <w:t>Derudi</w:t>
      </w:r>
      <w:proofErr w:type="spellEnd"/>
      <w:r w:rsidRPr="00F84FAF">
        <w:rPr>
          <w:lang w:val="it-IT"/>
        </w:rPr>
        <w:t xml:space="preserve"> M., Rota R., Copelli S., 2020. </w:t>
      </w:r>
      <w:r w:rsidRPr="00B03B09">
        <w:t xml:space="preserve">Kinetic free mathematical model for the prediction of </w:t>
      </w:r>
      <w:proofErr w:type="spellStart"/>
      <w:r w:rsidRPr="00B03B09">
        <w:t>Kst</w:t>
      </w:r>
      <w:proofErr w:type="spellEnd"/>
      <w:r w:rsidRPr="00B03B09">
        <w:t xml:space="preserve"> values for organic dusts with arbitrary particle size distribution, Journal of Loss Prevention in the Process Industries, 67, art. no. 104218, DOI: 10.1016/j.jlp.2020.104218.</w:t>
      </w:r>
    </w:p>
    <w:p w14:paraId="19C4FC68" w14:textId="1340CE6A" w:rsidR="004628D2" w:rsidRDefault="00222D30" w:rsidP="00824942">
      <w:pPr>
        <w:pStyle w:val="CETReferencetext"/>
      </w:pPr>
      <w:r w:rsidRPr="00F84FAF">
        <w:rPr>
          <w:lang w:val="it-IT"/>
        </w:rPr>
        <w:t xml:space="preserve">Pio G., Eckart S., Richter A., Krause H., Salzano E., 2024. </w:t>
      </w:r>
      <w:r w:rsidRPr="00B03B09">
        <w:t>Detailed kinetic analysis of synthetic fuels containing ammonia, Fuel, 362, art. no. 130747, DOI: 10.1016/j.fuel.2023.130747.</w:t>
      </w:r>
    </w:p>
    <w:p w14:paraId="3F64DF08" w14:textId="1BCD1A17" w:rsidR="005856E9" w:rsidRDefault="005856E9" w:rsidP="00824942">
      <w:pPr>
        <w:pStyle w:val="CETReferencetext"/>
      </w:pPr>
      <w:r w:rsidRPr="005856E9">
        <w:t>Yu</w:t>
      </w:r>
      <w:r>
        <w:t xml:space="preserve"> J.</w:t>
      </w:r>
      <w:r w:rsidRPr="005856E9">
        <w:t>, Xu</w:t>
      </w:r>
      <w:r>
        <w:t xml:space="preserve"> S.</w:t>
      </w:r>
      <w:r w:rsidRPr="005856E9">
        <w:t>, Liu</w:t>
      </w:r>
      <w:r>
        <w:t xml:space="preserve"> B.</w:t>
      </w:r>
      <w:r w:rsidRPr="005856E9">
        <w:t>, Wang</w:t>
      </w:r>
      <w:r>
        <w:t xml:space="preserve"> H.</w:t>
      </w:r>
      <w:r w:rsidRPr="005856E9">
        <w:t>, Qiao</w:t>
      </w:r>
      <w:r>
        <w:t xml:space="preserve"> F.</w:t>
      </w:r>
      <w:r w:rsidRPr="005856E9">
        <w:t>, Ren</w:t>
      </w:r>
      <w:r>
        <w:t xml:space="preserve"> X.</w:t>
      </w:r>
      <w:r w:rsidRPr="005856E9">
        <w:t>, Wei</w:t>
      </w:r>
      <w:r>
        <w:t xml:space="preserve"> Q.</w:t>
      </w:r>
      <w:r w:rsidRPr="005856E9">
        <w:t>,</w:t>
      </w:r>
      <w:r>
        <w:t xml:space="preserve"> 2023, </w:t>
      </w:r>
      <w:r w:rsidRPr="005856E9">
        <w:t>PLA bioplastic production: From monomer to the polymer,</w:t>
      </w:r>
      <w:r>
        <w:t xml:space="preserve"> </w:t>
      </w:r>
      <w:r w:rsidRPr="005856E9">
        <w:t>European Polymer Journal,</w:t>
      </w:r>
      <w:r>
        <w:t xml:space="preserve"> </w:t>
      </w:r>
      <w:r w:rsidRPr="005856E9">
        <w:t>193,</w:t>
      </w:r>
      <w:r>
        <w:t xml:space="preserve"> </w:t>
      </w:r>
      <w:r w:rsidRPr="005856E9">
        <w:t>112076</w:t>
      </w:r>
      <w:r>
        <w:t>.</w:t>
      </w:r>
    </w:p>
    <w:p w14:paraId="04C48755" w14:textId="15AF7D70" w:rsidR="00EE39FF" w:rsidRPr="00F6322A" w:rsidRDefault="00B0482F" w:rsidP="00824942">
      <w:pPr>
        <w:pStyle w:val="CETReferencetext"/>
      </w:pPr>
      <w:r w:rsidRPr="00B0482F">
        <w:t>Wang</w:t>
      </w:r>
      <w:r>
        <w:t xml:space="preserve"> Y.</w:t>
      </w:r>
      <w:r w:rsidRPr="00B0482F">
        <w:t>, Meng</w:t>
      </w:r>
      <w:r>
        <w:t xml:space="preserve"> H.</w:t>
      </w:r>
      <w:r w:rsidRPr="00B0482F">
        <w:t>, Cai</w:t>
      </w:r>
      <w:r>
        <w:t xml:space="preserve"> D.</w:t>
      </w:r>
      <w:r w:rsidRPr="00B0482F">
        <w:t>, Wang</w:t>
      </w:r>
      <w:r>
        <w:t xml:space="preserve"> B.</w:t>
      </w:r>
      <w:r w:rsidRPr="00B0482F">
        <w:t>, Qin</w:t>
      </w:r>
      <w:r>
        <w:t xml:space="preserve"> P.</w:t>
      </w:r>
      <w:r w:rsidRPr="00B0482F">
        <w:t>, Wang</w:t>
      </w:r>
      <w:r>
        <w:t xml:space="preserve"> Z.</w:t>
      </w:r>
      <w:r w:rsidRPr="00B0482F">
        <w:t>, Tan</w:t>
      </w:r>
      <w:r>
        <w:t xml:space="preserve"> T.</w:t>
      </w:r>
      <w:r w:rsidRPr="00B0482F">
        <w:t>,</w:t>
      </w:r>
      <w:r>
        <w:t xml:space="preserve"> 2016, </w:t>
      </w:r>
      <w:r w:rsidRPr="00B0482F">
        <w:t>Improvement of l-lactic acid productivity from sweet sorghum juice by repeated batch fermentation coupled with membrane separation,</w:t>
      </w:r>
      <w:r>
        <w:t xml:space="preserve"> </w:t>
      </w:r>
      <w:r w:rsidRPr="00B0482F">
        <w:t>Bioresource Technology,</w:t>
      </w:r>
      <w:r>
        <w:t xml:space="preserve"> </w:t>
      </w:r>
      <w:r w:rsidRPr="00B0482F">
        <w:t>211,</w:t>
      </w:r>
      <w:r>
        <w:t xml:space="preserve"> </w:t>
      </w:r>
      <w:r w:rsidRPr="00B0482F">
        <w:t>291-297</w:t>
      </w:r>
      <w:r>
        <w:t>.</w:t>
      </w:r>
    </w:p>
    <w:sectPr w:rsidR="00EE39FF" w:rsidRPr="00F6322A"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F295" w14:textId="77777777" w:rsidR="0076537B" w:rsidRPr="00B03B09" w:rsidRDefault="0076537B" w:rsidP="004F5E36">
      <w:r w:rsidRPr="00B03B09">
        <w:separator/>
      </w:r>
    </w:p>
  </w:endnote>
  <w:endnote w:type="continuationSeparator" w:id="0">
    <w:p w14:paraId="33BE8459" w14:textId="77777777" w:rsidR="0076537B" w:rsidRPr="00B03B09" w:rsidRDefault="0076537B" w:rsidP="004F5E36">
      <w:r w:rsidRPr="00B03B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B440F" w14:textId="77777777" w:rsidR="0076537B" w:rsidRPr="00B03B09" w:rsidRDefault="0076537B" w:rsidP="004F5E36">
      <w:r w:rsidRPr="00B03B09">
        <w:separator/>
      </w:r>
    </w:p>
  </w:footnote>
  <w:footnote w:type="continuationSeparator" w:id="0">
    <w:p w14:paraId="6EB59EB5" w14:textId="77777777" w:rsidR="0076537B" w:rsidRPr="00B03B09" w:rsidRDefault="0076537B" w:rsidP="004F5E36">
      <w:r w:rsidRPr="00B03B0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C413C17"/>
    <w:multiLevelType w:val="hybridMultilevel"/>
    <w:tmpl w:val="EABA93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E0A4007"/>
    <w:multiLevelType w:val="multilevel"/>
    <w:tmpl w:val="15886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58701EE"/>
    <w:multiLevelType w:val="hybridMultilevel"/>
    <w:tmpl w:val="41525A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96B4F57"/>
    <w:multiLevelType w:val="hybridMultilevel"/>
    <w:tmpl w:val="0114D2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A514AB7"/>
    <w:multiLevelType w:val="multilevel"/>
    <w:tmpl w:val="15886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0F3FC4"/>
    <w:multiLevelType w:val="multilevel"/>
    <w:tmpl w:val="E270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2E23FF"/>
    <w:multiLevelType w:val="multilevel"/>
    <w:tmpl w:val="2B3C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2CA627D1"/>
    <w:multiLevelType w:val="hybridMultilevel"/>
    <w:tmpl w:val="5852A8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D695461"/>
    <w:multiLevelType w:val="multilevel"/>
    <w:tmpl w:val="15886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C70DE"/>
    <w:multiLevelType w:val="hybridMultilevel"/>
    <w:tmpl w:val="F71A5E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E591BE0"/>
    <w:multiLevelType w:val="multilevel"/>
    <w:tmpl w:val="15886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0" w15:restartNumberingAfterBreak="0">
    <w:nsid w:val="57F65282"/>
    <w:multiLevelType w:val="multilevel"/>
    <w:tmpl w:val="F68A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E68131C"/>
    <w:multiLevelType w:val="hybridMultilevel"/>
    <w:tmpl w:val="A98E3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FDA71E4"/>
    <w:multiLevelType w:val="multilevel"/>
    <w:tmpl w:val="158861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BE1FF3"/>
    <w:multiLevelType w:val="hybridMultilevel"/>
    <w:tmpl w:val="A99C5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CAF51B4"/>
    <w:multiLevelType w:val="multilevel"/>
    <w:tmpl w:val="5AC0D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6882765">
    <w:abstractNumId w:val="18"/>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9"/>
  </w:num>
  <w:num w:numId="13" w16cid:durableId="695733619">
    <w:abstractNumId w:val="22"/>
  </w:num>
  <w:num w:numId="14" w16cid:durableId="145903400">
    <w:abstractNumId w:val="31"/>
  </w:num>
  <w:num w:numId="15" w16cid:durableId="19162326">
    <w:abstractNumId w:val="36"/>
  </w:num>
  <w:num w:numId="16" w16cid:durableId="1977102699">
    <w:abstractNumId w:val="35"/>
  </w:num>
  <w:num w:numId="17" w16cid:durableId="860774865">
    <w:abstractNumId w:val="21"/>
  </w:num>
  <w:num w:numId="18" w16cid:durableId="313221457">
    <w:abstractNumId w:val="22"/>
    <w:lvlOverride w:ilvl="0">
      <w:startOverride w:val="1"/>
    </w:lvlOverride>
  </w:num>
  <w:num w:numId="19" w16cid:durableId="534971577">
    <w:abstractNumId w:val="28"/>
  </w:num>
  <w:num w:numId="20" w16cid:durableId="1150947773">
    <w:abstractNumId w:val="27"/>
  </w:num>
  <w:num w:numId="21" w16cid:durableId="124660497">
    <w:abstractNumId w:val="25"/>
  </w:num>
  <w:num w:numId="22" w16cid:durableId="2099861471">
    <w:abstractNumId w:val="23"/>
  </w:num>
  <w:num w:numId="23" w16cid:durableId="84351335">
    <w:abstractNumId w:val="12"/>
  </w:num>
  <w:num w:numId="24" w16cid:durableId="1020082676">
    <w:abstractNumId w:val="10"/>
  </w:num>
  <w:num w:numId="25" w16cid:durableId="540820483">
    <w:abstractNumId w:val="32"/>
  </w:num>
  <w:num w:numId="26" w16cid:durableId="115605820">
    <w:abstractNumId w:val="14"/>
  </w:num>
  <w:num w:numId="27" w16cid:durableId="711419520">
    <w:abstractNumId w:val="17"/>
  </w:num>
  <w:num w:numId="28" w16cid:durableId="205340533">
    <w:abstractNumId w:val="19"/>
  </w:num>
  <w:num w:numId="29" w16cid:durableId="1265109474">
    <w:abstractNumId w:val="34"/>
  </w:num>
  <w:num w:numId="30" w16cid:durableId="226650079">
    <w:abstractNumId w:val="16"/>
  </w:num>
  <w:num w:numId="31" w16cid:durableId="984236997">
    <w:abstractNumId w:val="30"/>
  </w:num>
  <w:num w:numId="32" w16cid:durableId="2000185093">
    <w:abstractNumId w:val="37"/>
  </w:num>
  <w:num w:numId="33" w16cid:durableId="1349482994">
    <w:abstractNumId w:val="20"/>
  </w:num>
  <w:num w:numId="34" w16cid:durableId="543713167">
    <w:abstractNumId w:val="26"/>
  </w:num>
  <w:num w:numId="35" w16cid:durableId="1451320075">
    <w:abstractNumId w:val="33"/>
  </w:num>
  <w:num w:numId="36" w16cid:durableId="1668243859">
    <w:abstractNumId w:val="11"/>
  </w:num>
  <w:num w:numId="37" w16cid:durableId="1124494492">
    <w:abstractNumId w:val="15"/>
  </w:num>
  <w:num w:numId="38" w16cid:durableId="75521389">
    <w:abstractNumId w:val="24"/>
  </w:num>
  <w:num w:numId="39" w16cid:durableId="1801999696">
    <w:abstractNumId w:val="13"/>
  </w:num>
  <w:num w:numId="40" w16cid:durableId="558828951">
    <w:abstractNumId w:val="18"/>
  </w:num>
  <w:num w:numId="41" w16cid:durableId="13670985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1C65"/>
    <w:rsid w:val="000027C0"/>
    <w:rsid w:val="000052FB"/>
    <w:rsid w:val="00005A19"/>
    <w:rsid w:val="00006331"/>
    <w:rsid w:val="000077BB"/>
    <w:rsid w:val="000117CB"/>
    <w:rsid w:val="00013F90"/>
    <w:rsid w:val="0001637D"/>
    <w:rsid w:val="00020142"/>
    <w:rsid w:val="00020C9D"/>
    <w:rsid w:val="00022090"/>
    <w:rsid w:val="000256DC"/>
    <w:rsid w:val="0003066B"/>
    <w:rsid w:val="0003148D"/>
    <w:rsid w:val="00031EEC"/>
    <w:rsid w:val="00033ECA"/>
    <w:rsid w:val="00034C0B"/>
    <w:rsid w:val="00041CBA"/>
    <w:rsid w:val="000451F7"/>
    <w:rsid w:val="00045CF0"/>
    <w:rsid w:val="00051260"/>
    <w:rsid w:val="00051566"/>
    <w:rsid w:val="000519F0"/>
    <w:rsid w:val="000562A9"/>
    <w:rsid w:val="00062A9A"/>
    <w:rsid w:val="00062E51"/>
    <w:rsid w:val="0006421A"/>
    <w:rsid w:val="00065058"/>
    <w:rsid w:val="00074A7F"/>
    <w:rsid w:val="00075246"/>
    <w:rsid w:val="00076526"/>
    <w:rsid w:val="00084728"/>
    <w:rsid w:val="00085156"/>
    <w:rsid w:val="00086C39"/>
    <w:rsid w:val="0009099C"/>
    <w:rsid w:val="00093ED4"/>
    <w:rsid w:val="00096C59"/>
    <w:rsid w:val="000977B9"/>
    <w:rsid w:val="000A03B2"/>
    <w:rsid w:val="000A236F"/>
    <w:rsid w:val="000A5155"/>
    <w:rsid w:val="000B374A"/>
    <w:rsid w:val="000C05BE"/>
    <w:rsid w:val="000C0F0D"/>
    <w:rsid w:val="000C2306"/>
    <w:rsid w:val="000C54D7"/>
    <w:rsid w:val="000C663A"/>
    <w:rsid w:val="000C7FB7"/>
    <w:rsid w:val="000D0268"/>
    <w:rsid w:val="000D0B4F"/>
    <w:rsid w:val="000D34BE"/>
    <w:rsid w:val="000D7C3E"/>
    <w:rsid w:val="000E0B3C"/>
    <w:rsid w:val="000E0F73"/>
    <w:rsid w:val="000E102F"/>
    <w:rsid w:val="000E36F1"/>
    <w:rsid w:val="000E3A73"/>
    <w:rsid w:val="000E414A"/>
    <w:rsid w:val="000E75FD"/>
    <w:rsid w:val="000F093C"/>
    <w:rsid w:val="000F25C9"/>
    <w:rsid w:val="000F787B"/>
    <w:rsid w:val="00106EE5"/>
    <w:rsid w:val="00110242"/>
    <w:rsid w:val="00111467"/>
    <w:rsid w:val="00116510"/>
    <w:rsid w:val="00116CBA"/>
    <w:rsid w:val="001177E8"/>
    <w:rsid w:val="0012091F"/>
    <w:rsid w:val="00123307"/>
    <w:rsid w:val="00125C2C"/>
    <w:rsid w:val="00126BC2"/>
    <w:rsid w:val="00126E21"/>
    <w:rsid w:val="001308B6"/>
    <w:rsid w:val="0013121F"/>
    <w:rsid w:val="0013161F"/>
    <w:rsid w:val="00131FE6"/>
    <w:rsid w:val="0013263F"/>
    <w:rsid w:val="001331DF"/>
    <w:rsid w:val="00133FC9"/>
    <w:rsid w:val="00134DE4"/>
    <w:rsid w:val="001368D2"/>
    <w:rsid w:val="0014034D"/>
    <w:rsid w:val="00140FE3"/>
    <w:rsid w:val="001412A7"/>
    <w:rsid w:val="00143A05"/>
    <w:rsid w:val="00144D16"/>
    <w:rsid w:val="00144D2B"/>
    <w:rsid w:val="00145A1F"/>
    <w:rsid w:val="00150E59"/>
    <w:rsid w:val="00152DE3"/>
    <w:rsid w:val="00153BBB"/>
    <w:rsid w:val="001548EB"/>
    <w:rsid w:val="00160A57"/>
    <w:rsid w:val="0016218F"/>
    <w:rsid w:val="00164CF9"/>
    <w:rsid w:val="00165BE7"/>
    <w:rsid w:val="001661E3"/>
    <w:rsid w:val="001667A6"/>
    <w:rsid w:val="00171905"/>
    <w:rsid w:val="00171A83"/>
    <w:rsid w:val="0018171E"/>
    <w:rsid w:val="00184AD6"/>
    <w:rsid w:val="00191365"/>
    <w:rsid w:val="001930F8"/>
    <w:rsid w:val="001968C8"/>
    <w:rsid w:val="001A0AA2"/>
    <w:rsid w:val="001A0DAA"/>
    <w:rsid w:val="001A15F1"/>
    <w:rsid w:val="001A4AF7"/>
    <w:rsid w:val="001B0349"/>
    <w:rsid w:val="001B1E93"/>
    <w:rsid w:val="001B65C1"/>
    <w:rsid w:val="001C21C1"/>
    <w:rsid w:val="001C260F"/>
    <w:rsid w:val="001C5C3A"/>
    <w:rsid w:val="001C684B"/>
    <w:rsid w:val="001D0CFB"/>
    <w:rsid w:val="001D21AF"/>
    <w:rsid w:val="001D53FC"/>
    <w:rsid w:val="001D6056"/>
    <w:rsid w:val="001D7323"/>
    <w:rsid w:val="001E0F89"/>
    <w:rsid w:val="001E1790"/>
    <w:rsid w:val="001F03A7"/>
    <w:rsid w:val="001F0818"/>
    <w:rsid w:val="001F3AEE"/>
    <w:rsid w:val="001F42A5"/>
    <w:rsid w:val="001F7B9D"/>
    <w:rsid w:val="00201C93"/>
    <w:rsid w:val="00204823"/>
    <w:rsid w:val="00212438"/>
    <w:rsid w:val="00213F56"/>
    <w:rsid w:val="002203D5"/>
    <w:rsid w:val="00220D5D"/>
    <w:rsid w:val="00221DDE"/>
    <w:rsid w:val="002224B4"/>
    <w:rsid w:val="00222D30"/>
    <w:rsid w:val="002252C7"/>
    <w:rsid w:val="002300C3"/>
    <w:rsid w:val="002323BD"/>
    <w:rsid w:val="00233D54"/>
    <w:rsid w:val="0023613C"/>
    <w:rsid w:val="0024073A"/>
    <w:rsid w:val="00240C0B"/>
    <w:rsid w:val="00242520"/>
    <w:rsid w:val="002447EF"/>
    <w:rsid w:val="00244FDB"/>
    <w:rsid w:val="00246E38"/>
    <w:rsid w:val="00251550"/>
    <w:rsid w:val="00252F52"/>
    <w:rsid w:val="00254C29"/>
    <w:rsid w:val="002572A5"/>
    <w:rsid w:val="00263B05"/>
    <w:rsid w:val="0027221A"/>
    <w:rsid w:val="0027520B"/>
    <w:rsid w:val="00275B61"/>
    <w:rsid w:val="00276DBA"/>
    <w:rsid w:val="00280FAF"/>
    <w:rsid w:val="00282656"/>
    <w:rsid w:val="00292515"/>
    <w:rsid w:val="0029264B"/>
    <w:rsid w:val="00296B83"/>
    <w:rsid w:val="002A1725"/>
    <w:rsid w:val="002A1A3B"/>
    <w:rsid w:val="002A2BAE"/>
    <w:rsid w:val="002A439F"/>
    <w:rsid w:val="002A516E"/>
    <w:rsid w:val="002B08C8"/>
    <w:rsid w:val="002B2674"/>
    <w:rsid w:val="002B4015"/>
    <w:rsid w:val="002B412A"/>
    <w:rsid w:val="002B5944"/>
    <w:rsid w:val="002B78CE"/>
    <w:rsid w:val="002C2FB6"/>
    <w:rsid w:val="002D282D"/>
    <w:rsid w:val="002D7765"/>
    <w:rsid w:val="002E4E98"/>
    <w:rsid w:val="002E5FA7"/>
    <w:rsid w:val="002F3309"/>
    <w:rsid w:val="003008CE"/>
    <w:rsid w:val="003009B7"/>
    <w:rsid w:val="00300E56"/>
    <w:rsid w:val="0030152C"/>
    <w:rsid w:val="00302435"/>
    <w:rsid w:val="0030469C"/>
    <w:rsid w:val="00310A37"/>
    <w:rsid w:val="00310AA4"/>
    <w:rsid w:val="003122C6"/>
    <w:rsid w:val="0031354B"/>
    <w:rsid w:val="0031375E"/>
    <w:rsid w:val="003139E6"/>
    <w:rsid w:val="003160E8"/>
    <w:rsid w:val="0032156A"/>
    <w:rsid w:val="00321CA6"/>
    <w:rsid w:val="00323763"/>
    <w:rsid w:val="00323C5F"/>
    <w:rsid w:val="00330066"/>
    <w:rsid w:val="0033383F"/>
    <w:rsid w:val="00334C09"/>
    <w:rsid w:val="00337058"/>
    <w:rsid w:val="00340050"/>
    <w:rsid w:val="003419CB"/>
    <w:rsid w:val="00341F86"/>
    <w:rsid w:val="00342999"/>
    <w:rsid w:val="003437BC"/>
    <w:rsid w:val="00344881"/>
    <w:rsid w:val="00357558"/>
    <w:rsid w:val="00365F58"/>
    <w:rsid w:val="003723D4"/>
    <w:rsid w:val="00372ECD"/>
    <w:rsid w:val="00374CE6"/>
    <w:rsid w:val="00374E3E"/>
    <w:rsid w:val="00381905"/>
    <w:rsid w:val="00381B1D"/>
    <w:rsid w:val="00384CC8"/>
    <w:rsid w:val="003871FD"/>
    <w:rsid w:val="0039415C"/>
    <w:rsid w:val="003942E9"/>
    <w:rsid w:val="00394B22"/>
    <w:rsid w:val="00396438"/>
    <w:rsid w:val="003A1E30"/>
    <w:rsid w:val="003A2829"/>
    <w:rsid w:val="003A7D1C"/>
    <w:rsid w:val="003B1D83"/>
    <w:rsid w:val="003B304B"/>
    <w:rsid w:val="003B3146"/>
    <w:rsid w:val="003B49CD"/>
    <w:rsid w:val="003C4F03"/>
    <w:rsid w:val="003D1E02"/>
    <w:rsid w:val="003D4BB2"/>
    <w:rsid w:val="003E09A2"/>
    <w:rsid w:val="003E42CA"/>
    <w:rsid w:val="003E7C52"/>
    <w:rsid w:val="003F00D7"/>
    <w:rsid w:val="003F015E"/>
    <w:rsid w:val="003F581E"/>
    <w:rsid w:val="003F7330"/>
    <w:rsid w:val="003F771E"/>
    <w:rsid w:val="00400414"/>
    <w:rsid w:val="0041446B"/>
    <w:rsid w:val="0044071E"/>
    <w:rsid w:val="0044329C"/>
    <w:rsid w:val="004432CD"/>
    <w:rsid w:val="004443B0"/>
    <w:rsid w:val="004500C3"/>
    <w:rsid w:val="00453E24"/>
    <w:rsid w:val="00454864"/>
    <w:rsid w:val="00457456"/>
    <w:rsid w:val="004577FE"/>
    <w:rsid w:val="00457B9C"/>
    <w:rsid w:val="0046164A"/>
    <w:rsid w:val="004628D2"/>
    <w:rsid w:val="00462DCD"/>
    <w:rsid w:val="004648AD"/>
    <w:rsid w:val="004656E6"/>
    <w:rsid w:val="004703A9"/>
    <w:rsid w:val="00471606"/>
    <w:rsid w:val="004760DE"/>
    <w:rsid w:val="004763D7"/>
    <w:rsid w:val="00476C81"/>
    <w:rsid w:val="00481828"/>
    <w:rsid w:val="004A004E"/>
    <w:rsid w:val="004A24CF"/>
    <w:rsid w:val="004A4C45"/>
    <w:rsid w:val="004A6206"/>
    <w:rsid w:val="004A799D"/>
    <w:rsid w:val="004B0ED0"/>
    <w:rsid w:val="004B1832"/>
    <w:rsid w:val="004B25BE"/>
    <w:rsid w:val="004C041D"/>
    <w:rsid w:val="004C048A"/>
    <w:rsid w:val="004C3D1D"/>
    <w:rsid w:val="004C3D84"/>
    <w:rsid w:val="004C7913"/>
    <w:rsid w:val="004D4A87"/>
    <w:rsid w:val="004D5FB3"/>
    <w:rsid w:val="004E3246"/>
    <w:rsid w:val="004E41EF"/>
    <w:rsid w:val="004E4DD6"/>
    <w:rsid w:val="004E63F9"/>
    <w:rsid w:val="004E6E5E"/>
    <w:rsid w:val="004F111A"/>
    <w:rsid w:val="004F1370"/>
    <w:rsid w:val="004F1B7D"/>
    <w:rsid w:val="004F4B95"/>
    <w:rsid w:val="004F5E36"/>
    <w:rsid w:val="005012DC"/>
    <w:rsid w:val="00502E91"/>
    <w:rsid w:val="00507B47"/>
    <w:rsid w:val="00507BEF"/>
    <w:rsid w:val="00507CC9"/>
    <w:rsid w:val="005103F1"/>
    <w:rsid w:val="005119A5"/>
    <w:rsid w:val="00520BAE"/>
    <w:rsid w:val="00521446"/>
    <w:rsid w:val="005261D4"/>
    <w:rsid w:val="005263C0"/>
    <w:rsid w:val="00526519"/>
    <w:rsid w:val="0052697A"/>
    <w:rsid w:val="005278B7"/>
    <w:rsid w:val="005309CB"/>
    <w:rsid w:val="0053113F"/>
    <w:rsid w:val="00532016"/>
    <w:rsid w:val="005320AB"/>
    <w:rsid w:val="005346AE"/>
    <w:rsid w:val="005346C8"/>
    <w:rsid w:val="005421E8"/>
    <w:rsid w:val="005424FC"/>
    <w:rsid w:val="00543E7D"/>
    <w:rsid w:val="00547A68"/>
    <w:rsid w:val="0055121C"/>
    <w:rsid w:val="005531C9"/>
    <w:rsid w:val="00554163"/>
    <w:rsid w:val="00554879"/>
    <w:rsid w:val="00561ED0"/>
    <w:rsid w:val="005631CC"/>
    <w:rsid w:val="00563260"/>
    <w:rsid w:val="0056545E"/>
    <w:rsid w:val="00570C43"/>
    <w:rsid w:val="00570EEF"/>
    <w:rsid w:val="0057474B"/>
    <w:rsid w:val="005749C0"/>
    <w:rsid w:val="00576D86"/>
    <w:rsid w:val="0058185C"/>
    <w:rsid w:val="00581CA3"/>
    <w:rsid w:val="005856E9"/>
    <w:rsid w:val="00590668"/>
    <w:rsid w:val="00592274"/>
    <w:rsid w:val="00597F88"/>
    <w:rsid w:val="005A0BCC"/>
    <w:rsid w:val="005A10F7"/>
    <w:rsid w:val="005A480F"/>
    <w:rsid w:val="005B1A6C"/>
    <w:rsid w:val="005B1B71"/>
    <w:rsid w:val="005B2110"/>
    <w:rsid w:val="005B350B"/>
    <w:rsid w:val="005B445F"/>
    <w:rsid w:val="005B5DC9"/>
    <w:rsid w:val="005B61E6"/>
    <w:rsid w:val="005C14DC"/>
    <w:rsid w:val="005C33FB"/>
    <w:rsid w:val="005C35FB"/>
    <w:rsid w:val="005C45BE"/>
    <w:rsid w:val="005C5913"/>
    <w:rsid w:val="005C77E1"/>
    <w:rsid w:val="005D0258"/>
    <w:rsid w:val="005D1134"/>
    <w:rsid w:val="005D668A"/>
    <w:rsid w:val="005D6A2F"/>
    <w:rsid w:val="005E0592"/>
    <w:rsid w:val="005E1A82"/>
    <w:rsid w:val="005E794C"/>
    <w:rsid w:val="005F0A28"/>
    <w:rsid w:val="005F0E5E"/>
    <w:rsid w:val="005F31AD"/>
    <w:rsid w:val="005F65DF"/>
    <w:rsid w:val="005F7058"/>
    <w:rsid w:val="005F7E77"/>
    <w:rsid w:val="00600535"/>
    <w:rsid w:val="006106DF"/>
    <w:rsid w:val="00610CD6"/>
    <w:rsid w:val="00612ECE"/>
    <w:rsid w:val="00617E17"/>
    <w:rsid w:val="00620DEE"/>
    <w:rsid w:val="00621F92"/>
    <w:rsid w:val="0062280A"/>
    <w:rsid w:val="006231E1"/>
    <w:rsid w:val="006239CB"/>
    <w:rsid w:val="00625639"/>
    <w:rsid w:val="00631B33"/>
    <w:rsid w:val="00637F0C"/>
    <w:rsid w:val="0064184D"/>
    <w:rsid w:val="006422CC"/>
    <w:rsid w:val="0064522B"/>
    <w:rsid w:val="006466FC"/>
    <w:rsid w:val="006470FE"/>
    <w:rsid w:val="00651D18"/>
    <w:rsid w:val="006562C6"/>
    <w:rsid w:val="00660E3E"/>
    <w:rsid w:val="00662E74"/>
    <w:rsid w:val="006643C2"/>
    <w:rsid w:val="00664C85"/>
    <w:rsid w:val="0066580A"/>
    <w:rsid w:val="006673A9"/>
    <w:rsid w:val="006722DA"/>
    <w:rsid w:val="00676319"/>
    <w:rsid w:val="0067646F"/>
    <w:rsid w:val="0068001F"/>
    <w:rsid w:val="00680AC3"/>
    <w:rsid w:val="00680C23"/>
    <w:rsid w:val="006821F5"/>
    <w:rsid w:val="00683B96"/>
    <w:rsid w:val="00683E23"/>
    <w:rsid w:val="0069059A"/>
    <w:rsid w:val="00693766"/>
    <w:rsid w:val="00693A55"/>
    <w:rsid w:val="006955D2"/>
    <w:rsid w:val="0069605E"/>
    <w:rsid w:val="00696BEB"/>
    <w:rsid w:val="006A3281"/>
    <w:rsid w:val="006A67AC"/>
    <w:rsid w:val="006A6DE5"/>
    <w:rsid w:val="006B4888"/>
    <w:rsid w:val="006C2E45"/>
    <w:rsid w:val="006C359C"/>
    <w:rsid w:val="006C5579"/>
    <w:rsid w:val="006D6890"/>
    <w:rsid w:val="006D6E8B"/>
    <w:rsid w:val="006D7209"/>
    <w:rsid w:val="006E3940"/>
    <w:rsid w:val="006E737D"/>
    <w:rsid w:val="006F0547"/>
    <w:rsid w:val="006F1A9B"/>
    <w:rsid w:val="006F29CA"/>
    <w:rsid w:val="006F4520"/>
    <w:rsid w:val="00700007"/>
    <w:rsid w:val="00707937"/>
    <w:rsid w:val="00707DD1"/>
    <w:rsid w:val="00707F87"/>
    <w:rsid w:val="0071100B"/>
    <w:rsid w:val="00713973"/>
    <w:rsid w:val="00720A24"/>
    <w:rsid w:val="00720D8C"/>
    <w:rsid w:val="00720E4B"/>
    <w:rsid w:val="0072139C"/>
    <w:rsid w:val="00721A68"/>
    <w:rsid w:val="00732386"/>
    <w:rsid w:val="0073514D"/>
    <w:rsid w:val="00737D7D"/>
    <w:rsid w:val="00742CF1"/>
    <w:rsid w:val="007447F3"/>
    <w:rsid w:val="00747832"/>
    <w:rsid w:val="0075499F"/>
    <w:rsid w:val="007579D0"/>
    <w:rsid w:val="007645A9"/>
    <w:rsid w:val="0076537B"/>
    <w:rsid w:val="0076578B"/>
    <w:rsid w:val="007661C8"/>
    <w:rsid w:val="007708C3"/>
    <w:rsid w:val="0077098D"/>
    <w:rsid w:val="00771E4D"/>
    <w:rsid w:val="00775B00"/>
    <w:rsid w:val="00775D65"/>
    <w:rsid w:val="00784797"/>
    <w:rsid w:val="00785588"/>
    <w:rsid w:val="00785BF9"/>
    <w:rsid w:val="00792DD0"/>
    <w:rsid w:val="007931FA"/>
    <w:rsid w:val="007A221F"/>
    <w:rsid w:val="007A4049"/>
    <w:rsid w:val="007A4642"/>
    <w:rsid w:val="007A4861"/>
    <w:rsid w:val="007A6695"/>
    <w:rsid w:val="007A7BBA"/>
    <w:rsid w:val="007B00DA"/>
    <w:rsid w:val="007B0C50"/>
    <w:rsid w:val="007B48F9"/>
    <w:rsid w:val="007B7F09"/>
    <w:rsid w:val="007C1A43"/>
    <w:rsid w:val="007C26C3"/>
    <w:rsid w:val="007C4681"/>
    <w:rsid w:val="007D0951"/>
    <w:rsid w:val="007D46DF"/>
    <w:rsid w:val="007D563E"/>
    <w:rsid w:val="007D610D"/>
    <w:rsid w:val="007D63F2"/>
    <w:rsid w:val="007E19FF"/>
    <w:rsid w:val="007E2758"/>
    <w:rsid w:val="007E3ABA"/>
    <w:rsid w:val="007E5997"/>
    <w:rsid w:val="007F16A6"/>
    <w:rsid w:val="007F2D48"/>
    <w:rsid w:val="007F36B1"/>
    <w:rsid w:val="007F393A"/>
    <w:rsid w:val="007F49B5"/>
    <w:rsid w:val="007F64C0"/>
    <w:rsid w:val="007F7D00"/>
    <w:rsid w:val="0080013E"/>
    <w:rsid w:val="00801759"/>
    <w:rsid w:val="008034BC"/>
    <w:rsid w:val="0081322A"/>
    <w:rsid w:val="00813288"/>
    <w:rsid w:val="008168FC"/>
    <w:rsid w:val="00824942"/>
    <w:rsid w:val="00824DF4"/>
    <w:rsid w:val="008302A4"/>
    <w:rsid w:val="00830996"/>
    <w:rsid w:val="008345F1"/>
    <w:rsid w:val="00835E54"/>
    <w:rsid w:val="00847C3A"/>
    <w:rsid w:val="00850C9B"/>
    <w:rsid w:val="00851C36"/>
    <w:rsid w:val="00852B36"/>
    <w:rsid w:val="008570EF"/>
    <w:rsid w:val="00862FD3"/>
    <w:rsid w:val="0086396F"/>
    <w:rsid w:val="00865333"/>
    <w:rsid w:val="00865B07"/>
    <w:rsid w:val="008667EA"/>
    <w:rsid w:val="008714D3"/>
    <w:rsid w:val="0087637F"/>
    <w:rsid w:val="0088126C"/>
    <w:rsid w:val="008868B6"/>
    <w:rsid w:val="00892AD5"/>
    <w:rsid w:val="008962C7"/>
    <w:rsid w:val="008A1512"/>
    <w:rsid w:val="008A2310"/>
    <w:rsid w:val="008B28EF"/>
    <w:rsid w:val="008B4D6D"/>
    <w:rsid w:val="008C27A9"/>
    <w:rsid w:val="008D0A76"/>
    <w:rsid w:val="008D0F03"/>
    <w:rsid w:val="008D32B9"/>
    <w:rsid w:val="008D433B"/>
    <w:rsid w:val="008D4A16"/>
    <w:rsid w:val="008D5F56"/>
    <w:rsid w:val="008E5401"/>
    <w:rsid w:val="008E566E"/>
    <w:rsid w:val="008F4C74"/>
    <w:rsid w:val="008F5F11"/>
    <w:rsid w:val="008F7A67"/>
    <w:rsid w:val="00900104"/>
    <w:rsid w:val="0090161A"/>
    <w:rsid w:val="00901EB6"/>
    <w:rsid w:val="009036B3"/>
    <w:rsid w:val="009041F8"/>
    <w:rsid w:val="00904C62"/>
    <w:rsid w:val="009217D5"/>
    <w:rsid w:val="00922BA8"/>
    <w:rsid w:val="00923F25"/>
    <w:rsid w:val="00924DAC"/>
    <w:rsid w:val="009261FC"/>
    <w:rsid w:val="00927058"/>
    <w:rsid w:val="0093519F"/>
    <w:rsid w:val="009406F2"/>
    <w:rsid w:val="00942750"/>
    <w:rsid w:val="00943E9C"/>
    <w:rsid w:val="00944806"/>
    <w:rsid w:val="009450CE"/>
    <w:rsid w:val="009459BB"/>
    <w:rsid w:val="00947179"/>
    <w:rsid w:val="0095164B"/>
    <w:rsid w:val="00954090"/>
    <w:rsid w:val="009573E7"/>
    <w:rsid w:val="0096051A"/>
    <w:rsid w:val="00963E05"/>
    <w:rsid w:val="00964A45"/>
    <w:rsid w:val="00965EA4"/>
    <w:rsid w:val="00967636"/>
    <w:rsid w:val="00967843"/>
    <w:rsid w:val="00967D54"/>
    <w:rsid w:val="00971028"/>
    <w:rsid w:val="00971536"/>
    <w:rsid w:val="00974F29"/>
    <w:rsid w:val="0097582F"/>
    <w:rsid w:val="0098193C"/>
    <w:rsid w:val="009872D0"/>
    <w:rsid w:val="00993150"/>
    <w:rsid w:val="00993B84"/>
    <w:rsid w:val="00994C6A"/>
    <w:rsid w:val="009957BC"/>
    <w:rsid w:val="00996483"/>
    <w:rsid w:val="00996F5A"/>
    <w:rsid w:val="009A0D5B"/>
    <w:rsid w:val="009B041A"/>
    <w:rsid w:val="009C16B1"/>
    <w:rsid w:val="009C37C3"/>
    <w:rsid w:val="009C5528"/>
    <w:rsid w:val="009C7C86"/>
    <w:rsid w:val="009D042F"/>
    <w:rsid w:val="009D2FF7"/>
    <w:rsid w:val="009D42D3"/>
    <w:rsid w:val="009D64DF"/>
    <w:rsid w:val="009E1A75"/>
    <w:rsid w:val="009E43CB"/>
    <w:rsid w:val="009E7884"/>
    <w:rsid w:val="009E788A"/>
    <w:rsid w:val="009F0112"/>
    <w:rsid w:val="009F0890"/>
    <w:rsid w:val="009F0E08"/>
    <w:rsid w:val="009F207D"/>
    <w:rsid w:val="009F4D5E"/>
    <w:rsid w:val="009F4E5B"/>
    <w:rsid w:val="009F7AEC"/>
    <w:rsid w:val="00A02DA4"/>
    <w:rsid w:val="00A02E3F"/>
    <w:rsid w:val="00A03D8E"/>
    <w:rsid w:val="00A06ABC"/>
    <w:rsid w:val="00A079AE"/>
    <w:rsid w:val="00A1763D"/>
    <w:rsid w:val="00A17CEC"/>
    <w:rsid w:val="00A20970"/>
    <w:rsid w:val="00A2761E"/>
    <w:rsid w:val="00A27EF0"/>
    <w:rsid w:val="00A3134C"/>
    <w:rsid w:val="00A364B1"/>
    <w:rsid w:val="00A37D79"/>
    <w:rsid w:val="00A42361"/>
    <w:rsid w:val="00A45FC3"/>
    <w:rsid w:val="00A47522"/>
    <w:rsid w:val="00A50B20"/>
    <w:rsid w:val="00A51390"/>
    <w:rsid w:val="00A60D13"/>
    <w:rsid w:val="00A60F62"/>
    <w:rsid w:val="00A6361A"/>
    <w:rsid w:val="00A64787"/>
    <w:rsid w:val="00A71AA7"/>
    <w:rsid w:val="00A7223D"/>
    <w:rsid w:val="00A72745"/>
    <w:rsid w:val="00A73013"/>
    <w:rsid w:val="00A76EFC"/>
    <w:rsid w:val="00A84F39"/>
    <w:rsid w:val="00A87D50"/>
    <w:rsid w:val="00A91010"/>
    <w:rsid w:val="00A97983"/>
    <w:rsid w:val="00A97F29"/>
    <w:rsid w:val="00AA2886"/>
    <w:rsid w:val="00AA702E"/>
    <w:rsid w:val="00AA7675"/>
    <w:rsid w:val="00AA7D26"/>
    <w:rsid w:val="00AB0964"/>
    <w:rsid w:val="00AB3F7E"/>
    <w:rsid w:val="00AB4E4D"/>
    <w:rsid w:val="00AB5011"/>
    <w:rsid w:val="00AB7D0B"/>
    <w:rsid w:val="00AC021F"/>
    <w:rsid w:val="00AC2599"/>
    <w:rsid w:val="00AC32E3"/>
    <w:rsid w:val="00AC364D"/>
    <w:rsid w:val="00AC4578"/>
    <w:rsid w:val="00AC7006"/>
    <w:rsid w:val="00AC7368"/>
    <w:rsid w:val="00AD16B9"/>
    <w:rsid w:val="00AE377D"/>
    <w:rsid w:val="00AF0EBA"/>
    <w:rsid w:val="00AF2463"/>
    <w:rsid w:val="00AF58D3"/>
    <w:rsid w:val="00B00A0C"/>
    <w:rsid w:val="00B02C8A"/>
    <w:rsid w:val="00B03B09"/>
    <w:rsid w:val="00B03BB2"/>
    <w:rsid w:val="00B0482F"/>
    <w:rsid w:val="00B06568"/>
    <w:rsid w:val="00B17FBD"/>
    <w:rsid w:val="00B17FD4"/>
    <w:rsid w:val="00B301E2"/>
    <w:rsid w:val="00B315A6"/>
    <w:rsid w:val="00B31626"/>
    <w:rsid w:val="00B31813"/>
    <w:rsid w:val="00B33365"/>
    <w:rsid w:val="00B44B7F"/>
    <w:rsid w:val="00B4596E"/>
    <w:rsid w:val="00B470E9"/>
    <w:rsid w:val="00B473D5"/>
    <w:rsid w:val="00B51180"/>
    <w:rsid w:val="00B5465B"/>
    <w:rsid w:val="00B57B36"/>
    <w:rsid w:val="00B57E6F"/>
    <w:rsid w:val="00B60DFE"/>
    <w:rsid w:val="00B7015A"/>
    <w:rsid w:val="00B70994"/>
    <w:rsid w:val="00B72018"/>
    <w:rsid w:val="00B767B7"/>
    <w:rsid w:val="00B8686D"/>
    <w:rsid w:val="00B92A70"/>
    <w:rsid w:val="00B93F69"/>
    <w:rsid w:val="00BA1F92"/>
    <w:rsid w:val="00BA59D0"/>
    <w:rsid w:val="00BA6568"/>
    <w:rsid w:val="00BB1DDC"/>
    <w:rsid w:val="00BB243E"/>
    <w:rsid w:val="00BB6EF2"/>
    <w:rsid w:val="00BC198C"/>
    <w:rsid w:val="00BC269E"/>
    <w:rsid w:val="00BC30C9"/>
    <w:rsid w:val="00BC49E3"/>
    <w:rsid w:val="00BD077D"/>
    <w:rsid w:val="00BE1523"/>
    <w:rsid w:val="00BE3E58"/>
    <w:rsid w:val="00BE4426"/>
    <w:rsid w:val="00BE70C0"/>
    <w:rsid w:val="00BF13CE"/>
    <w:rsid w:val="00C01616"/>
    <w:rsid w:val="00C0162B"/>
    <w:rsid w:val="00C01999"/>
    <w:rsid w:val="00C068ED"/>
    <w:rsid w:val="00C07767"/>
    <w:rsid w:val="00C10FF3"/>
    <w:rsid w:val="00C17F05"/>
    <w:rsid w:val="00C21743"/>
    <w:rsid w:val="00C22E0C"/>
    <w:rsid w:val="00C2594E"/>
    <w:rsid w:val="00C259F5"/>
    <w:rsid w:val="00C324C4"/>
    <w:rsid w:val="00C34382"/>
    <w:rsid w:val="00C345B1"/>
    <w:rsid w:val="00C40142"/>
    <w:rsid w:val="00C405FD"/>
    <w:rsid w:val="00C40B6A"/>
    <w:rsid w:val="00C52C3C"/>
    <w:rsid w:val="00C535FE"/>
    <w:rsid w:val="00C55F89"/>
    <w:rsid w:val="00C57182"/>
    <w:rsid w:val="00C57863"/>
    <w:rsid w:val="00C616CB"/>
    <w:rsid w:val="00C640AF"/>
    <w:rsid w:val="00C64782"/>
    <w:rsid w:val="00C64B63"/>
    <w:rsid w:val="00C655FD"/>
    <w:rsid w:val="00C708A3"/>
    <w:rsid w:val="00C75407"/>
    <w:rsid w:val="00C83F89"/>
    <w:rsid w:val="00C841C6"/>
    <w:rsid w:val="00C870A8"/>
    <w:rsid w:val="00C92280"/>
    <w:rsid w:val="00C92ADB"/>
    <w:rsid w:val="00C94434"/>
    <w:rsid w:val="00C97901"/>
    <w:rsid w:val="00CA0D75"/>
    <w:rsid w:val="00CA18EB"/>
    <w:rsid w:val="00CA1C95"/>
    <w:rsid w:val="00CA4A9D"/>
    <w:rsid w:val="00CA5A9C"/>
    <w:rsid w:val="00CA5DF5"/>
    <w:rsid w:val="00CB3389"/>
    <w:rsid w:val="00CB37EC"/>
    <w:rsid w:val="00CB6D06"/>
    <w:rsid w:val="00CB7C86"/>
    <w:rsid w:val="00CB7E46"/>
    <w:rsid w:val="00CC123D"/>
    <w:rsid w:val="00CC4C20"/>
    <w:rsid w:val="00CD0F29"/>
    <w:rsid w:val="00CD1647"/>
    <w:rsid w:val="00CD34F6"/>
    <w:rsid w:val="00CD3517"/>
    <w:rsid w:val="00CD5FE2"/>
    <w:rsid w:val="00CD6CD1"/>
    <w:rsid w:val="00CE1845"/>
    <w:rsid w:val="00CE1BA1"/>
    <w:rsid w:val="00CE35FC"/>
    <w:rsid w:val="00CE4F73"/>
    <w:rsid w:val="00CE618E"/>
    <w:rsid w:val="00CE7C68"/>
    <w:rsid w:val="00CF37A0"/>
    <w:rsid w:val="00CF597A"/>
    <w:rsid w:val="00D00C21"/>
    <w:rsid w:val="00D00D48"/>
    <w:rsid w:val="00D01620"/>
    <w:rsid w:val="00D02B4C"/>
    <w:rsid w:val="00D040C4"/>
    <w:rsid w:val="00D11594"/>
    <w:rsid w:val="00D20AD1"/>
    <w:rsid w:val="00D22D6C"/>
    <w:rsid w:val="00D239CB"/>
    <w:rsid w:val="00D2582C"/>
    <w:rsid w:val="00D2666A"/>
    <w:rsid w:val="00D432B9"/>
    <w:rsid w:val="00D46B7E"/>
    <w:rsid w:val="00D47D3C"/>
    <w:rsid w:val="00D57C84"/>
    <w:rsid w:val="00D6057D"/>
    <w:rsid w:val="00D71640"/>
    <w:rsid w:val="00D73908"/>
    <w:rsid w:val="00D73C77"/>
    <w:rsid w:val="00D75C16"/>
    <w:rsid w:val="00D836C5"/>
    <w:rsid w:val="00D83A23"/>
    <w:rsid w:val="00D84576"/>
    <w:rsid w:val="00DA1399"/>
    <w:rsid w:val="00DA24C6"/>
    <w:rsid w:val="00DA370A"/>
    <w:rsid w:val="00DA4D7B"/>
    <w:rsid w:val="00DB2928"/>
    <w:rsid w:val="00DB40E1"/>
    <w:rsid w:val="00DC2840"/>
    <w:rsid w:val="00DC73EE"/>
    <w:rsid w:val="00DD271C"/>
    <w:rsid w:val="00DD308C"/>
    <w:rsid w:val="00DE0A8F"/>
    <w:rsid w:val="00DE264A"/>
    <w:rsid w:val="00DE62B2"/>
    <w:rsid w:val="00DF5072"/>
    <w:rsid w:val="00E02D18"/>
    <w:rsid w:val="00E041E7"/>
    <w:rsid w:val="00E05F0A"/>
    <w:rsid w:val="00E07CA0"/>
    <w:rsid w:val="00E1043C"/>
    <w:rsid w:val="00E1300C"/>
    <w:rsid w:val="00E1323F"/>
    <w:rsid w:val="00E13373"/>
    <w:rsid w:val="00E23CA1"/>
    <w:rsid w:val="00E303EB"/>
    <w:rsid w:val="00E304E5"/>
    <w:rsid w:val="00E33497"/>
    <w:rsid w:val="00E3361F"/>
    <w:rsid w:val="00E33E69"/>
    <w:rsid w:val="00E348AF"/>
    <w:rsid w:val="00E35CDD"/>
    <w:rsid w:val="00E365FB"/>
    <w:rsid w:val="00E37AF8"/>
    <w:rsid w:val="00E409A8"/>
    <w:rsid w:val="00E467F1"/>
    <w:rsid w:val="00E47A42"/>
    <w:rsid w:val="00E47C22"/>
    <w:rsid w:val="00E50C12"/>
    <w:rsid w:val="00E546C0"/>
    <w:rsid w:val="00E621A4"/>
    <w:rsid w:val="00E65ADF"/>
    <w:rsid w:val="00E65B91"/>
    <w:rsid w:val="00E71ED5"/>
    <w:rsid w:val="00E7209D"/>
    <w:rsid w:val="00E72EAD"/>
    <w:rsid w:val="00E756E0"/>
    <w:rsid w:val="00E77223"/>
    <w:rsid w:val="00E846B3"/>
    <w:rsid w:val="00E8528B"/>
    <w:rsid w:val="00E85B94"/>
    <w:rsid w:val="00E920C6"/>
    <w:rsid w:val="00E95B02"/>
    <w:rsid w:val="00E95C34"/>
    <w:rsid w:val="00E97813"/>
    <w:rsid w:val="00E978D0"/>
    <w:rsid w:val="00EA132A"/>
    <w:rsid w:val="00EA4613"/>
    <w:rsid w:val="00EA5B6D"/>
    <w:rsid w:val="00EA7F91"/>
    <w:rsid w:val="00EB1523"/>
    <w:rsid w:val="00EC06F6"/>
    <w:rsid w:val="00EC0E49"/>
    <w:rsid w:val="00EC101F"/>
    <w:rsid w:val="00EC174D"/>
    <w:rsid w:val="00EC1D9F"/>
    <w:rsid w:val="00EC2A53"/>
    <w:rsid w:val="00EC44AF"/>
    <w:rsid w:val="00EC5378"/>
    <w:rsid w:val="00ED2C5D"/>
    <w:rsid w:val="00ED362A"/>
    <w:rsid w:val="00ED3CD8"/>
    <w:rsid w:val="00ED78A8"/>
    <w:rsid w:val="00ED791D"/>
    <w:rsid w:val="00ED7C29"/>
    <w:rsid w:val="00EE0131"/>
    <w:rsid w:val="00EE17B0"/>
    <w:rsid w:val="00EE39FF"/>
    <w:rsid w:val="00EF06D9"/>
    <w:rsid w:val="00EF124E"/>
    <w:rsid w:val="00EF1BBE"/>
    <w:rsid w:val="00EF48FC"/>
    <w:rsid w:val="00F00C8C"/>
    <w:rsid w:val="00F03867"/>
    <w:rsid w:val="00F04880"/>
    <w:rsid w:val="00F05F7B"/>
    <w:rsid w:val="00F10836"/>
    <w:rsid w:val="00F13A09"/>
    <w:rsid w:val="00F2675F"/>
    <w:rsid w:val="00F27EE4"/>
    <w:rsid w:val="00F3049E"/>
    <w:rsid w:val="00F30C64"/>
    <w:rsid w:val="00F3107B"/>
    <w:rsid w:val="00F32BA2"/>
    <w:rsid w:val="00F32CDB"/>
    <w:rsid w:val="00F41EE4"/>
    <w:rsid w:val="00F426E2"/>
    <w:rsid w:val="00F432EE"/>
    <w:rsid w:val="00F433E7"/>
    <w:rsid w:val="00F44936"/>
    <w:rsid w:val="00F53379"/>
    <w:rsid w:val="00F54D5D"/>
    <w:rsid w:val="00F565FE"/>
    <w:rsid w:val="00F62DAF"/>
    <w:rsid w:val="00F6322A"/>
    <w:rsid w:val="00F63A70"/>
    <w:rsid w:val="00F63D8C"/>
    <w:rsid w:val="00F63E36"/>
    <w:rsid w:val="00F6494A"/>
    <w:rsid w:val="00F705A5"/>
    <w:rsid w:val="00F71B8C"/>
    <w:rsid w:val="00F71C5E"/>
    <w:rsid w:val="00F73563"/>
    <w:rsid w:val="00F73E81"/>
    <w:rsid w:val="00F741C1"/>
    <w:rsid w:val="00F7534E"/>
    <w:rsid w:val="00F75D9F"/>
    <w:rsid w:val="00F7622E"/>
    <w:rsid w:val="00F80DFE"/>
    <w:rsid w:val="00F817FC"/>
    <w:rsid w:val="00F83285"/>
    <w:rsid w:val="00F8403E"/>
    <w:rsid w:val="00F84FAF"/>
    <w:rsid w:val="00F92371"/>
    <w:rsid w:val="00F93EDF"/>
    <w:rsid w:val="00FA1802"/>
    <w:rsid w:val="00FA21D0"/>
    <w:rsid w:val="00FA4ABB"/>
    <w:rsid w:val="00FA4E9F"/>
    <w:rsid w:val="00FA5672"/>
    <w:rsid w:val="00FA5D99"/>
    <w:rsid w:val="00FA5F5F"/>
    <w:rsid w:val="00FA6BD1"/>
    <w:rsid w:val="00FB0C51"/>
    <w:rsid w:val="00FB41EB"/>
    <w:rsid w:val="00FB4EC2"/>
    <w:rsid w:val="00FB5A8E"/>
    <w:rsid w:val="00FB5FBE"/>
    <w:rsid w:val="00FB730C"/>
    <w:rsid w:val="00FC06E9"/>
    <w:rsid w:val="00FC2695"/>
    <w:rsid w:val="00FC3E03"/>
    <w:rsid w:val="00FC3FC1"/>
    <w:rsid w:val="00FC5B48"/>
    <w:rsid w:val="00FC6A2F"/>
    <w:rsid w:val="00FC6A44"/>
    <w:rsid w:val="00FD0C58"/>
    <w:rsid w:val="00FD5B3E"/>
    <w:rsid w:val="00FD67E3"/>
    <w:rsid w:val="00FE2E76"/>
    <w:rsid w:val="00FE5A38"/>
    <w:rsid w:val="00FF1A28"/>
    <w:rsid w:val="00FF25C6"/>
    <w:rsid w:val="00FF3329"/>
    <w:rsid w:val="00FF6B19"/>
    <w:rsid w:val="00FF7C4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CETReference0">
    <w:name w:val="CET_Reference"/>
    <w:next w:val="CETReference-text"/>
    <w:rsid w:val="00222D30"/>
    <w:pPr>
      <w:spacing w:line="264" w:lineRule="auto"/>
    </w:pPr>
    <w:rPr>
      <w:rFonts w:ascii="Arial" w:eastAsia="Times New Roman" w:hAnsi="Arial" w:cs="Times New Roman"/>
      <w:b/>
      <w:sz w:val="18"/>
      <w:szCs w:val="20"/>
      <w:lang w:val="en-US"/>
    </w:rPr>
  </w:style>
  <w:style w:type="paragraph" w:customStyle="1" w:styleId="CETReference-text">
    <w:name w:val="CET Reference-text"/>
    <w:rsid w:val="00222D30"/>
    <w:pPr>
      <w:spacing w:after="0" w:line="264" w:lineRule="auto"/>
      <w:ind w:left="284" w:hanging="284"/>
      <w:jc w:val="both"/>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965E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250898347">
      <w:bodyDiv w:val="1"/>
      <w:marLeft w:val="0"/>
      <w:marRight w:val="0"/>
      <w:marTop w:val="0"/>
      <w:marBottom w:val="0"/>
      <w:divBdr>
        <w:top w:val="none" w:sz="0" w:space="0" w:color="auto"/>
        <w:left w:val="none" w:sz="0" w:space="0" w:color="auto"/>
        <w:bottom w:val="none" w:sz="0" w:space="0" w:color="auto"/>
        <w:right w:val="none" w:sz="0" w:space="0" w:color="auto"/>
      </w:divBdr>
    </w:div>
    <w:div w:id="355884628">
      <w:bodyDiv w:val="1"/>
      <w:marLeft w:val="0"/>
      <w:marRight w:val="0"/>
      <w:marTop w:val="0"/>
      <w:marBottom w:val="0"/>
      <w:divBdr>
        <w:top w:val="none" w:sz="0" w:space="0" w:color="auto"/>
        <w:left w:val="none" w:sz="0" w:space="0" w:color="auto"/>
        <w:bottom w:val="none" w:sz="0" w:space="0" w:color="auto"/>
        <w:right w:val="none" w:sz="0" w:space="0" w:color="auto"/>
      </w:divBdr>
    </w:div>
    <w:div w:id="414398632">
      <w:bodyDiv w:val="1"/>
      <w:marLeft w:val="0"/>
      <w:marRight w:val="0"/>
      <w:marTop w:val="0"/>
      <w:marBottom w:val="0"/>
      <w:divBdr>
        <w:top w:val="none" w:sz="0" w:space="0" w:color="auto"/>
        <w:left w:val="none" w:sz="0" w:space="0" w:color="auto"/>
        <w:bottom w:val="none" w:sz="0" w:space="0" w:color="auto"/>
        <w:right w:val="none" w:sz="0" w:space="0" w:color="auto"/>
      </w:divBdr>
    </w:div>
    <w:div w:id="481775759">
      <w:bodyDiv w:val="1"/>
      <w:marLeft w:val="0"/>
      <w:marRight w:val="0"/>
      <w:marTop w:val="0"/>
      <w:marBottom w:val="0"/>
      <w:divBdr>
        <w:top w:val="none" w:sz="0" w:space="0" w:color="auto"/>
        <w:left w:val="none" w:sz="0" w:space="0" w:color="auto"/>
        <w:bottom w:val="none" w:sz="0" w:space="0" w:color="auto"/>
        <w:right w:val="none" w:sz="0" w:space="0" w:color="auto"/>
      </w:divBdr>
    </w:div>
    <w:div w:id="503933019">
      <w:bodyDiv w:val="1"/>
      <w:marLeft w:val="0"/>
      <w:marRight w:val="0"/>
      <w:marTop w:val="0"/>
      <w:marBottom w:val="0"/>
      <w:divBdr>
        <w:top w:val="none" w:sz="0" w:space="0" w:color="auto"/>
        <w:left w:val="none" w:sz="0" w:space="0" w:color="auto"/>
        <w:bottom w:val="none" w:sz="0" w:space="0" w:color="auto"/>
        <w:right w:val="none" w:sz="0" w:space="0" w:color="auto"/>
      </w:divBdr>
    </w:div>
    <w:div w:id="518350967">
      <w:bodyDiv w:val="1"/>
      <w:marLeft w:val="0"/>
      <w:marRight w:val="0"/>
      <w:marTop w:val="0"/>
      <w:marBottom w:val="0"/>
      <w:divBdr>
        <w:top w:val="none" w:sz="0" w:space="0" w:color="auto"/>
        <w:left w:val="none" w:sz="0" w:space="0" w:color="auto"/>
        <w:bottom w:val="none" w:sz="0" w:space="0" w:color="auto"/>
        <w:right w:val="none" w:sz="0" w:space="0" w:color="auto"/>
      </w:divBdr>
    </w:div>
    <w:div w:id="533467832">
      <w:bodyDiv w:val="1"/>
      <w:marLeft w:val="0"/>
      <w:marRight w:val="0"/>
      <w:marTop w:val="0"/>
      <w:marBottom w:val="0"/>
      <w:divBdr>
        <w:top w:val="none" w:sz="0" w:space="0" w:color="auto"/>
        <w:left w:val="none" w:sz="0" w:space="0" w:color="auto"/>
        <w:bottom w:val="none" w:sz="0" w:space="0" w:color="auto"/>
        <w:right w:val="none" w:sz="0" w:space="0" w:color="auto"/>
      </w:divBdr>
    </w:div>
    <w:div w:id="541482842">
      <w:bodyDiv w:val="1"/>
      <w:marLeft w:val="0"/>
      <w:marRight w:val="0"/>
      <w:marTop w:val="0"/>
      <w:marBottom w:val="0"/>
      <w:divBdr>
        <w:top w:val="none" w:sz="0" w:space="0" w:color="auto"/>
        <w:left w:val="none" w:sz="0" w:space="0" w:color="auto"/>
        <w:bottom w:val="none" w:sz="0" w:space="0" w:color="auto"/>
        <w:right w:val="none" w:sz="0" w:space="0" w:color="auto"/>
      </w:divBdr>
    </w:div>
    <w:div w:id="698428687">
      <w:bodyDiv w:val="1"/>
      <w:marLeft w:val="0"/>
      <w:marRight w:val="0"/>
      <w:marTop w:val="0"/>
      <w:marBottom w:val="0"/>
      <w:divBdr>
        <w:top w:val="none" w:sz="0" w:space="0" w:color="auto"/>
        <w:left w:val="none" w:sz="0" w:space="0" w:color="auto"/>
        <w:bottom w:val="none" w:sz="0" w:space="0" w:color="auto"/>
        <w:right w:val="none" w:sz="0" w:space="0" w:color="auto"/>
      </w:divBdr>
    </w:div>
    <w:div w:id="71377205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2426746">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2308">
      <w:bodyDiv w:val="1"/>
      <w:marLeft w:val="0"/>
      <w:marRight w:val="0"/>
      <w:marTop w:val="0"/>
      <w:marBottom w:val="0"/>
      <w:divBdr>
        <w:top w:val="none" w:sz="0" w:space="0" w:color="auto"/>
        <w:left w:val="none" w:sz="0" w:space="0" w:color="auto"/>
        <w:bottom w:val="none" w:sz="0" w:space="0" w:color="auto"/>
        <w:right w:val="none" w:sz="0" w:space="0" w:color="auto"/>
      </w:divBdr>
    </w:div>
    <w:div w:id="1098453359">
      <w:bodyDiv w:val="1"/>
      <w:marLeft w:val="0"/>
      <w:marRight w:val="0"/>
      <w:marTop w:val="0"/>
      <w:marBottom w:val="0"/>
      <w:divBdr>
        <w:top w:val="none" w:sz="0" w:space="0" w:color="auto"/>
        <w:left w:val="none" w:sz="0" w:space="0" w:color="auto"/>
        <w:bottom w:val="none" w:sz="0" w:space="0" w:color="auto"/>
        <w:right w:val="none" w:sz="0" w:space="0" w:color="auto"/>
      </w:divBdr>
    </w:div>
    <w:div w:id="1137718777">
      <w:bodyDiv w:val="1"/>
      <w:marLeft w:val="0"/>
      <w:marRight w:val="0"/>
      <w:marTop w:val="0"/>
      <w:marBottom w:val="0"/>
      <w:divBdr>
        <w:top w:val="none" w:sz="0" w:space="0" w:color="auto"/>
        <w:left w:val="none" w:sz="0" w:space="0" w:color="auto"/>
        <w:bottom w:val="none" w:sz="0" w:space="0" w:color="auto"/>
        <w:right w:val="none" w:sz="0" w:space="0" w:color="auto"/>
      </w:divBdr>
    </w:div>
    <w:div w:id="1232497181">
      <w:bodyDiv w:val="1"/>
      <w:marLeft w:val="0"/>
      <w:marRight w:val="0"/>
      <w:marTop w:val="0"/>
      <w:marBottom w:val="0"/>
      <w:divBdr>
        <w:top w:val="none" w:sz="0" w:space="0" w:color="auto"/>
        <w:left w:val="none" w:sz="0" w:space="0" w:color="auto"/>
        <w:bottom w:val="none" w:sz="0" w:space="0" w:color="auto"/>
        <w:right w:val="none" w:sz="0" w:space="0" w:color="auto"/>
      </w:divBdr>
    </w:div>
    <w:div w:id="1311641366">
      <w:bodyDiv w:val="1"/>
      <w:marLeft w:val="0"/>
      <w:marRight w:val="0"/>
      <w:marTop w:val="0"/>
      <w:marBottom w:val="0"/>
      <w:divBdr>
        <w:top w:val="none" w:sz="0" w:space="0" w:color="auto"/>
        <w:left w:val="none" w:sz="0" w:space="0" w:color="auto"/>
        <w:bottom w:val="none" w:sz="0" w:space="0" w:color="auto"/>
        <w:right w:val="none" w:sz="0" w:space="0" w:color="auto"/>
      </w:divBdr>
    </w:div>
    <w:div w:id="132632443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8178136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0008">
      <w:bodyDiv w:val="1"/>
      <w:marLeft w:val="0"/>
      <w:marRight w:val="0"/>
      <w:marTop w:val="0"/>
      <w:marBottom w:val="0"/>
      <w:divBdr>
        <w:top w:val="none" w:sz="0" w:space="0" w:color="auto"/>
        <w:left w:val="none" w:sz="0" w:space="0" w:color="auto"/>
        <w:bottom w:val="none" w:sz="0" w:space="0" w:color="auto"/>
        <w:right w:val="none" w:sz="0" w:space="0" w:color="auto"/>
      </w:divBdr>
    </w:div>
    <w:div w:id="1726026319">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44253317">
      <w:bodyDiv w:val="1"/>
      <w:marLeft w:val="0"/>
      <w:marRight w:val="0"/>
      <w:marTop w:val="0"/>
      <w:marBottom w:val="0"/>
      <w:divBdr>
        <w:top w:val="none" w:sz="0" w:space="0" w:color="auto"/>
        <w:left w:val="none" w:sz="0" w:space="0" w:color="auto"/>
        <w:bottom w:val="none" w:sz="0" w:space="0" w:color="auto"/>
        <w:right w:val="none" w:sz="0" w:space="0" w:color="auto"/>
      </w:divBdr>
    </w:div>
    <w:div w:id="1804348280">
      <w:bodyDiv w:val="1"/>
      <w:marLeft w:val="0"/>
      <w:marRight w:val="0"/>
      <w:marTop w:val="0"/>
      <w:marBottom w:val="0"/>
      <w:divBdr>
        <w:top w:val="none" w:sz="0" w:space="0" w:color="auto"/>
        <w:left w:val="none" w:sz="0" w:space="0" w:color="auto"/>
        <w:bottom w:val="none" w:sz="0" w:space="0" w:color="auto"/>
        <w:right w:val="none" w:sz="0" w:space="0" w:color="auto"/>
      </w:divBdr>
    </w:div>
    <w:div w:id="1811626692">
      <w:bodyDiv w:val="1"/>
      <w:marLeft w:val="0"/>
      <w:marRight w:val="0"/>
      <w:marTop w:val="0"/>
      <w:marBottom w:val="0"/>
      <w:divBdr>
        <w:top w:val="none" w:sz="0" w:space="0" w:color="auto"/>
        <w:left w:val="none" w:sz="0" w:space="0" w:color="auto"/>
        <w:bottom w:val="none" w:sz="0" w:space="0" w:color="auto"/>
        <w:right w:val="none" w:sz="0" w:space="0" w:color="auto"/>
      </w:divBdr>
    </w:div>
    <w:div w:id="1858234052">
      <w:bodyDiv w:val="1"/>
      <w:marLeft w:val="0"/>
      <w:marRight w:val="0"/>
      <w:marTop w:val="0"/>
      <w:marBottom w:val="0"/>
      <w:divBdr>
        <w:top w:val="none" w:sz="0" w:space="0" w:color="auto"/>
        <w:left w:val="none" w:sz="0" w:space="0" w:color="auto"/>
        <w:bottom w:val="none" w:sz="0" w:space="0" w:color="auto"/>
        <w:right w:val="none" w:sz="0" w:space="0" w:color="auto"/>
      </w:divBdr>
    </w:div>
    <w:div w:id="1948612093">
      <w:bodyDiv w:val="1"/>
      <w:marLeft w:val="0"/>
      <w:marRight w:val="0"/>
      <w:marTop w:val="0"/>
      <w:marBottom w:val="0"/>
      <w:divBdr>
        <w:top w:val="none" w:sz="0" w:space="0" w:color="auto"/>
        <w:left w:val="none" w:sz="0" w:space="0" w:color="auto"/>
        <w:bottom w:val="none" w:sz="0" w:space="0" w:color="auto"/>
        <w:right w:val="none" w:sz="0" w:space="0" w:color="auto"/>
      </w:divBdr>
    </w:div>
    <w:div w:id="202358189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6dfd23-5398-4df4-9c34-d0a91c8b39ae" xsi:nil="true"/>
    <lcf76f155ced4ddcb4097134ff3c332f xmlns="d057f011-a17f-4b8c-9d89-f80e4932836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EAD5EC240A2A745A3FBE315A83E4DFD" ma:contentTypeVersion="18" ma:contentTypeDescription="Creare un nuovo documento." ma:contentTypeScope="" ma:versionID="2641a232c3d2beb462a6acec63fc9870">
  <xsd:schema xmlns:xsd="http://www.w3.org/2001/XMLSchema" xmlns:xs="http://www.w3.org/2001/XMLSchema" xmlns:p="http://schemas.microsoft.com/office/2006/metadata/properties" xmlns:ns2="d057f011-a17f-4b8c-9d89-f80e49328361" xmlns:ns3="536dfd23-5398-4df4-9c34-d0a91c8b39ae" targetNamespace="http://schemas.microsoft.com/office/2006/metadata/properties" ma:root="true" ma:fieldsID="ffcc02cc46c00b3a8d0064f0c6f6fb9c" ns2:_="" ns3:_="">
    <xsd:import namespace="d057f011-a17f-4b8c-9d89-f80e49328361"/>
    <xsd:import namespace="536dfd23-5398-4df4-9c34-d0a91c8b3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7f011-a17f-4b8c-9d89-f80e49328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0744e50f-b8f9-4be9-a55e-bddda15a7a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6dfd23-5398-4df4-9c34-d0a91c8b39ae"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f079ce66-e78f-46a8-a300-0d35e46cd535}" ma:internalName="TaxCatchAll" ma:showField="CatchAllData" ma:web="536dfd23-5398-4df4-9c34-d0a91c8b39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A3FAA1-20BC-4D1C-9D9C-75DADA116B88}">
  <ds:schemaRefs>
    <ds:schemaRef ds:uri="http://schemas.microsoft.com/office/2006/metadata/properties"/>
    <ds:schemaRef ds:uri="http://schemas.microsoft.com/office/infopath/2007/PartnerControls"/>
    <ds:schemaRef ds:uri="536dfd23-5398-4df4-9c34-d0a91c8b39ae"/>
    <ds:schemaRef ds:uri="d057f011-a17f-4b8c-9d89-f80e49328361"/>
  </ds:schemaRefs>
</ds:datastoreItem>
</file>

<file path=customXml/itemProps2.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3.xml><?xml version="1.0" encoding="utf-8"?>
<ds:datastoreItem xmlns:ds="http://schemas.openxmlformats.org/officeDocument/2006/customXml" ds:itemID="{7CDBBE02-7211-4B15-8602-291D9D8B2EBE}">
  <ds:schemaRefs>
    <ds:schemaRef ds:uri="http://schemas.microsoft.com/sharepoint/v3/contenttype/forms"/>
  </ds:schemaRefs>
</ds:datastoreItem>
</file>

<file path=customXml/itemProps4.xml><?xml version="1.0" encoding="utf-8"?>
<ds:datastoreItem xmlns:ds="http://schemas.openxmlformats.org/officeDocument/2006/customXml" ds:itemID="{B75BC2D9-4A8E-49FE-BADB-AA4980E28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7f011-a17f-4b8c-9d89-f80e49328361"/>
    <ds:schemaRef ds:uri="536dfd23-5398-4df4-9c34-d0a91c8b3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3421</Words>
  <Characters>19502</Characters>
  <Application>Microsoft Office Word</Application>
  <DocSecurity>0</DocSecurity>
  <Lines>162</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Sabrina Copelli</cp:lastModifiedBy>
  <cp:revision>15</cp:revision>
  <cp:lastPrinted>2015-05-12T18:31:00Z</cp:lastPrinted>
  <dcterms:created xsi:type="dcterms:W3CDTF">2024-12-15T16:18:00Z</dcterms:created>
  <dcterms:modified xsi:type="dcterms:W3CDTF">2025-02-17T13:00:00Z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0x0101007EAD5EC240A2A745A3FBE315A83E4DFD</vt:lpwstr>
  </property>
</Properties>
</file>