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82" w:type="dxa"/>
        <w:jc w:val="center"/>
        <w:tblBorders>
          <w:bottom w:val="single" w:sz="4" w:space="0" w:color="auto"/>
        </w:tblBorders>
        <w:tblLook w:val="01E0" w:firstRow="1" w:lastRow="1" w:firstColumn="1" w:lastColumn="1" w:noHBand="0" w:noVBand="0"/>
      </w:tblPr>
      <w:tblGrid>
        <w:gridCol w:w="7177"/>
        <w:gridCol w:w="1905"/>
      </w:tblGrid>
      <w:tr w:rsidR="000A03B2" w:rsidRPr="00B57B36" w14:paraId="2A131A54" w14:textId="77777777" w:rsidTr="00B71EB5">
        <w:trPr>
          <w:trHeight w:val="913"/>
          <w:jc w:val="center"/>
        </w:trPr>
        <w:tc>
          <w:tcPr>
            <w:tcW w:w="7177" w:type="dxa"/>
            <w:vMerge w:val="restart"/>
            <w:tcBorders>
              <w:right w:val="single" w:sz="4" w:space="0" w:color="auto"/>
            </w:tcBorders>
          </w:tcPr>
          <w:p w14:paraId="38C3D2BA" w14:textId="77777777" w:rsidR="000A03B2" w:rsidRPr="00B57B36" w:rsidRDefault="000A03B2" w:rsidP="0058306B">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58306B">
            <w:pPr>
              <w:tabs>
                <w:tab w:val="left" w:pos="-108"/>
              </w:tabs>
              <w:ind w:left="-108"/>
              <w:jc w:val="left"/>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905" w:type="dxa"/>
            <w:tcBorders>
              <w:left w:val="single" w:sz="4" w:space="0" w:color="auto"/>
              <w:bottom w:val="nil"/>
              <w:right w:val="single" w:sz="4" w:space="0" w:color="auto"/>
            </w:tcBorders>
          </w:tcPr>
          <w:p w14:paraId="56782132" w14:textId="77777777" w:rsidR="000A03B2" w:rsidRPr="00B57B36" w:rsidRDefault="000A03B2" w:rsidP="000913B0">
            <w:pPr>
              <w:spacing w:line="140" w:lineRule="atLeast"/>
              <w:rPr>
                <w:rFonts w:cs="Arial"/>
                <w:sz w:val="14"/>
                <w:szCs w:val="14"/>
              </w:rPr>
            </w:pPr>
            <w:r w:rsidRPr="00B57B36">
              <w:rPr>
                <w:rFonts w:cs="Arial"/>
                <w:sz w:val="14"/>
                <w:szCs w:val="14"/>
              </w:rPr>
              <w:t>A publication of</w:t>
            </w:r>
          </w:p>
          <w:p w14:paraId="599E5441" w14:textId="77777777" w:rsidR="000A03B2" w:rsidRPr="00B57B36" w:rsidRDefault="000A03B2" w:rsidP="000913B0">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B71EB5">
        <w:trPr>
          <w:trHeight w:val="607"/>
          <w:jc w:val="center"/>
        </w:trPr>
        <w:tc>
          <w:tcPr>
            <w:tcW w:w="7177" w:type="dxa"/>
            <w:vMerge/>
            <w:tcBorders>
              <w:right w:val="single" w:sz="4" w:space="0" w:color="auto"/>
            </w:tcBorders>
          </w:tcPr>
          <w:p w14:paraId="39E5E4C1" w14:textId="77777777" w:rsidR="000A03B2" w:rsidRPr="00B57B36" w:rsidRDefault="000A03B2" w:rsidP="0058306B">
            <w:pPr>
              <w:tabs>
                <w:tab w:val="left" w:pos="-108"/>
              </w:tabs>
              <w:jc w:val="left"/>
            </w:pPr>
          </w:p>
        </w:tc>
        <w:tc>
          <w:tcPr>
            <w:tcW w:w="1905" w:type="dxa"/>
            <w:tcBorders>
              <w:left w:val="single" w:sz="4" w:space="0" w:color="auto"/>
              <w:bottom w:val="nil"/>
              <w:right w:val="single" w:sz="4" w:space="0" w:color="auto"/>
            </w:tcBorders>
          </w:tcPr>
          <w:p w14:paraId="43858A98" w14:textId="77777777" w:rsidR="000A03B2" w:rsidRPr="00B57B36" w:rsidRDefault="000A03B2" w:rsidP="000913B0">
            <w:pPr>
              <w:spacing w:line="140" w:lineRule="atLeast"/>
              <w:rPr>
                <w:rFonts w:cs="Arial"/>
                <w:sz w:val="14"/>
                <w:szCs w:val="14"/>
              </w:rPr>
            </w:pPr>
            <w:r w:rsidRPr="00B57B36">
              <w:rPr>
                <w:rFonts w:cs="Arial"/>
                <w:sz w:val="14"/>
                <w:szCs w:val="14"/>
              </w:rPr>
              <w:t>The Italian Association</w:t>
            </w:r>
          </w:p>
          <w:p w14:paraId="7522B1D2" w14:textId="77777777" w:rsidR="000A03B2" w:rsidRPr="00B57B36" w:rsidRDefault="000A03B2" w:rsidP="000913B0">
            <w:pPr>
              <w:spacing w:line="140" w:lineRule="atLeast"/>
              <w:rPr>
                <w:rFonts w:cs="Arial"/>
                <w:sz w:val="14"/>
                <w:szCs w:val="14"/>
              </w:rPr>
            </w:pPr>
            <w:r w:rsidRPr="00B57B36">
              <w:rPr>
                <w:rFonts w:cs="Arial"/>
                <w:sz w:val="14"/>
                <w:szCs w:val="14"/>
              </w:rPr>
              <w:t>of Chemical Engineering</w:t>
            </w:r>
          </w:p>
          <w:p w14:paraId="4F0CC5DE" w14:textId="47FDB2FC" w:rsidR="000A03B2" w:rsidRPr="000D0268" w:rsidRDefault="000D0268" w:rsidP="000913B0">
            <w:pPr>
              <w:spacing w:line="140" w:lineRule="atLeast"/>
              <w:rPr>
                <w:rFonts w:cs="Arial"/>
                <w:sz w:val="13"/>
                <w:szCs w:val="13"/>
              </w:rPr>
            </w:pPr>
            <w:r w:rsidRPr="000D0268">
              <w:rPr>
                <w:rFonts w:cs="Arial"/>
                <w:sz w:val="13"/>
                <w:szCs w:val="13"/>
              </w:rPr>
              <w:t>Online at www.cetjournal.it</w:t>
            </w:r>
          </w:p>
        </w:tc>
      </w:tr>
      <w:tr w:rsidR="000A03B2" w:rsidRPr="00B57B36" w14:paraId="2D1B7169" w14:textId="77777777" w:rsidTr="00B71EB5">
        <w:trPr>
          <w:trHeight w:val="72"/>
          <w:jc w:val="center"/>
        </w:trPr>
        <w:tc>
          <w:tcPr>
            <w:tcW w:w="9082" w:type="dxa"/>
            <w:gridSpan w:val="2"/>
          </w:tcPr>
          <w:p w14:paraId="30F07041" w14:textId="11182ABA" w:rsidR="00F27EE4" w:rsidRPr="00F27EE4" w:rsidRDefault="00AA7D26" w:rsidP="0058306B">
            <w:pPr>
              <w:ind w:left="-107"/>
              <w:jc w:val="left"/>
              <w:rPr>
                <w:rFonts w:ascii="Tahoma" w:hAnsi="Tahoma" w:cs="Tahoma"/>
                <w:b/>
                <w:bCs/>
                <w:color w:val="000000"/>
                <w:sz w:val="14"/>
                <w:szCs w:val="14"/>
                <w:shd w:val="clear" w:color="auto" w:fill="FFFFFF"/>
                <w:lang w:val="it-IT"/>
              </w:rPr>
            </w:pPr>
            <w:r w:rsidRPr="00F27EE4">
              <w:rPr>
                <w:rFonts w:ascii="Tahoma" w:hAnsi="Tahoma" w:cs="Tahoma"/>
                <w:iCs/>
                <w:color w:val="333333"/>
                <w:sz w:val="14"/>
                <w:szCs w:val="14"/>
                <w:lang w:val="it-IT" w:eastAsia="it-IT"/>
              </w:rPr>
              <w:t>Guest Editors:</w:t>
            </w:r>
            <w:r w:rsidR="007D610D" w:rsidRPr="00F27EE4">
              <w:rPr>
                <w:rFonts w:ascii="Aptos" w:eastAsiaTheme="minorHAnsi" w:hAnsi="Aptos" w:cs="Aptos"/>
                <w:sz w:val="22"/>
                <w:szCs w:val="22"/>
                <w:lang w:val="it-IT"/>
                <w14:ligatures w14:val="standardContextual"/>
              </w:rPr>
              <w:t xml:space="preserve"> </w:t>
            </w:r>
            <w:r w:rsidR="00F27EE4" w:rsidRPr="00F27EE4">
              <w:rPr>
                <w:rFonts w:ascii="Tahoma" w:hAnsi="Tahoma" w:cs="Tahoma"/>
                <w:color w:val="000000"/>
                <w:sz w:val="14"/>
                <w:szCs w:val="14"/>
                <w:shd w:val="clear" w:color="auto" w:fill="FFFFFF"/>
                <w:lang w:val="it-IT"/>
              </w:rPr>
              <w:t>Bruno Fabiano, Va</w:t>
            </w:r>
            <w:r w:rsidR="00F27EE4">
              <w:rPr>
                <w:rFonts w:ascii="Tahoma" w:hAnsi="Tahoma" w:cs="Tahoma"/>
                <w:color w:val="000000"/>
                <w:sz w:val="14"/>
                <w:szCs w:val="14"/>
                <w:shd w:val="clear" w:color="auto" w:fill="FFFFFF"/>
                <w:lang w:val="it-IT"/>
              </w:rPr>
              <w:t>lerio Cozzani</w:t>
            </w:r>
          </w:p>
          <w:p w14:paraId="1B0F1814" w14:textId="2DB8A072" w:rsidR="000A03B2" w:rsidRPr="00B57B36" w:rsidRDefault="00AA7D26" w:rsidP="0058306B">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F27EE4">
              <w:rPr>
                <w:rFonts w:ascii="Tahoma" w:hAnsi="Tahoma" w:cs="Tahoma"/>
                <w:sz w:val="14"/>
                <w:szCs w:val="14"/>
              </w:rPr>
              <w:t>xx-y</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42F28673" w:rsidR="00E978D0" w:rsidRPr="00B57B36" w:rsidRDefault="0067569E" w:rsidP="000913B0">
      <w:pPr>
        <w:pStyle w:val="CETTitle"/>
        <w:jc w:val="both"/>
      </w:pPr>
      <w:r>
        <w:t>A comprehensive n</w:t>
      </w:r>
      <w:r w:rsidR="00FE46A2">
        <w:t xml:space="preserve">umerical study </w:t>
      </w:r>
      <w:r w:rsidR="00152ADB">
        <w:t xml:space="preserve">of </w:t>
      </w:r>
      <w:r w:rsidR="00FE46A2">
        <w:t>the behaviour of an LH2 storage tank in the event of a fire</w:t>
      </w:r>
    </w:p>
    <w:p w14:paraId="0488FED2" w14:textId="3684BB2C" w:rsidR="00B57E6F" w:rsidRPr="00D457E9" w:rsidRDefault="00FE46A2" w:rsidP="000913B0">
      <w:pPr>
        <w:pStyle w:val="CETAuthors"/>
      </w:pPr>
      <w:r w:rsidRPr="00D457E9">
        <w:t>Aliasghar Hajhariri</w:t>
      </w:r>
      <w:r w:rsidRPr="00D457E9">
        <w:rPr>
          <w:vertAlign w:val="superscript"/>
        </w:rPr>
        <w:t>a*</w:t>
      </w:r>
      <w:r w:rsidR="00B57E6F" w:rsidRPr="00D457E9">
        <w:t xml:space="preserve">, </w:t>
      </w:r>
      <w:r w:rsidRPr="00D457E9">
        <w:t>Robert Eberwein</w:t>
      </w:r>
      <w:r w:rsidRPr="00D457E9">
        <w:rPr>
          <w:vertAlign w:val="superscript"/>
        </w:rPr>
        <w:t>a</w:t>
      </w:r>
      <w:r w:rsidR="00B57E6F" w:rsidRPr="00D457E9">
        <w:t xml:space="preserve">, </w:t>
      </w:r>
      <w:r w:rsidR="00D457E9" w:rsidRPr="00D457E9">
        <w:t>Davide Ca</w:t>
      </w:r>
      <w:r w:rsidR="00D457E9">
        <w:t>mplese</w:t>
      </w:r>
      <w:r w:rsidR="006B3B80" w:rsidRPr="006B3B80">
        <w:rPr>
          <w:vertAlign w:val="superscript"/>
        </w:rPr>
        <w:t>b</w:t>
      </w:r>
      <w:r w:rsidR="00D457E9">
        <w:t>, Gi</w:t>
      </w:r>
      <w:r w:rsidR="00B20043">
        <w:t>o</w:t>
      </w:r>
      <w:r w:rsidR="00D457E9">
        <w:t xml:space="preserve">rdano </w:t>
      </w:r>
      <w:r w:rsidR="000913B0">
        <w:t xml:space="preserve">E. </w:t>
      </w:r>
      <w:r w:rsidR="00D457E9">
        <w:t>Scarponi</w:t>
      </w:r>
      <w:r w:rsidR="006B3B80" w:rsidRPr="006B3B80">
        <w:rPr>
          <w:vertAlign w:val="superscript"/>
        </w:rPr>
        <w:t>b</w:t>
      </w:r>
      <w:r w:rsidR="00D457E9">
        <w:t xml:space="preserve">, </w:t>
      </w:r>
      <w:r w:rsidRPr="00D457E9">
        <w:t>Frank Otremba</w:t>
      </w:r>
      <w:r w:rsidRPr="00D457E9">
        <w:rPr>
          <w:vertAlign w:val="superscript"/>
        </w:rPr>
        <w:t xml:space="preserve">a </w:t>
      </w:r>
      <w:r w:rsidRPr="00D457E9">
        <w:t xml:space="preserve">, </w:t>
      </w:r>
      <w:r w:rsidR="00D457E9">
        <w:t>Valerio Cozzani</w:t>
      </w:r>
      <w:r w:rsidR="006B3B80" w:rsidRPr="007A1EB6">
        <w:rPr>
          <w:vertAlign w:val="superscript"/>
        </w:rPr>
        <w:t>b</w:t>
      </w:r>
      <w:r w:rsidR="00D457E9">
        <w:t xml:space="preserve">, </w:t>
      </w:r>
      <w:r w:rsidRPr="00D457E9">
        <w:t>Holger Seidlitz</w:t>
      </w:r>
      <w:r w:rsidR="006B3B80" w:rsidRPr="006B3B80">
        <w:rPr>
          <w:vertAlign w:val="superscript"/>
        </w:rPr>
        <w:t>c</w:t>
      </w:r>
    </w:p>
    <w:p w14:paraId="6B2D21B3" w14:textId="5444E1A1" w:rsidR="00B57E6F" w:rsidRDefault="00B57E6F" w:rsidP="000913B0">
      <w:pPr>
        <w:pStyle w:val="CETAddress"/>
        <w:jc w:val="both"/>
      </w:pPr>
      <w:r w:rsidRPr="00B57B36">
        <w:rPr>
          <w:vertAlign w:val="superscript"/>
        </w:rPr>
        <w:t>a</w:t>
      </w:r>
      <w:r w:rsidR="004940EF">
        <w:rPr>
          <w:vertAlign w:val="superscript"/>
        </w:rPr>
        <w:t xml:space="preserve"> </w:t>
      </w:r>
      <w:r w:rsidR="006B3B80" w:rsidRPr="006B3B80">
        <w:t>BAM – Department for Dangerous Goods and Accident Mechanics, Unter den Eichen 44-46, 12203 Berlin (Germany)</w:t>
      </w:r>
      <w:r w:rsidR="006B3B80">
        <w:t xml:space="preserve"> </w:t>
      </w:r>
    </w:p>
    <w:p w14:paraId="0D1BFE5B" w14:textId="77777777" w:rsidR="004940EF" w:rsidRPr="00B57B36" w:rsidRDefault="004940EF" w:rsidP="000913B0">
      <w:pPr>
        <w:pStyle w:val="CETAddress"/>
        <w:jc w:val="both"/>
      </w:pPr>
    </w:p>
    <w:p w14:paraId="3D72B0B0" w14:textId="6C50010B" w:rsidR="00B57E6F" w:rsidRDefault="00B57E6F" w:rsidP="000913B0">
      <w:pPr>
        <w:pStyle w:val="CETAddress"/>
        <w:jc w:val="both"/>
      </w:pPr>
      <w:r w:rsidRPr="00B57B36">
        <w:rPr>
          <w:vertAlign w:val="superscript"/>
        </w:rPr>
        <w:t>b</w:t>
      </w:r>
      <w:r w:rsidR="004940EF">
        <w:rPr>
          <w:vertAlign w:val="superscript"/>
        </w:rPr>
        <w:t xml:space="preserve"> </w:t>
      </w:r>
      <w:r w:rsidR="006B3B80" w:rsidRPr="006B3B80">
        <w:t>LISES - Department of Civil, Chemical, Environmental and Material Engineering, Alma Mater Studiorum – University of Bologna, via Terracini 28, 40131, Bologna (Italy)</w:t>
      </w:r>
      <w:r w:rsidR="006B3B80">
        <w:t xml:space="preserve"> </w:t>
      </w:r>
    </w:p>
    <w:p w14:paraId="476FC9E4" w14:textId="77777777" w:rsidR="004940EF" w:rsidRDefault="004940EF" w:rsidP="000913B0">
      <w:pPr>
        <w:pStyle w:val="CETAddress"/>
        <w:jc w:val="both"/>
      </w:pPr>
    </w:p>
    <w:p w14:paraId="73F1267A" w14:textId="255B4A25" w:rsidR="00B57E6F" w:rsidRDefault="004940EF" w:rsidP="000913B0">
      <w:pPr>
        <w:pStyle w:val="CETAddress"/>
        <w:jc w:val="both"/>
      </w:pPr>
      <w:r>
        <w:rPr>
          <w:vertAlign w:val="superscript"/>
        </w:rPr>
        <w:t>c</w:t>
      </w:r>
      <w:r w:rsidR="006B3B80" w:rsidRPr="006B3B80">
        <w:t xml:space="preserve"> BTU - Department of Mechanical Engineering, Electrical and Energy Systems, Chair of Polymer-based Lightweight Design,– Brandenburg University of Technology, Platz der Deutschen Einheit 1, Konrad-Wachsmann-Allee 13, 03046 Cottbus</w:t>
      </w:r>
      <w:r w:rsidR="00221023">
        <w:t xml:space="preserve"> </w:t>
      </w:r>
      <w:r w:rsidR="00221023" w:rsidRPr="006B3B80">
        <w:t>(Germany)</w:t>
      </w:r>
    </w:p>
    <w:p w14:paraId="62CD9DC5" w14:textId="77777777" w:rsidR="004940EF" w:rsidRDefault="004940EF" w:rsidP="000913B0">
      <w:pPr>
        <w:pStyle w:val="CETAddress"/>
        <w:jc w:val="both"/>
      </w:pPr>
    </w:p>
    <w:p w14:paraId="4841923E" w14:textId="1E6FA002" w:rsidR="006B3B80" w:rsidRDefault="00221023" w:rsidP="000913B0">
      <w:pPr>
        <w:pStyle w:val="CETAuthors"/>
        <w:rPr>
          <w:sz w:val="16"/>
          <w:szCs w:val="12"/>
        </w:rPr>
      </w:pPr>
      <w:r w:rsidRPr="0017607F">
        <w:rPr>
          <w:sz w:val="16"/>
          <w:szCs w:val="12"/>
        </w:rPr>
        <w:t>*aliasghar.hajhariri@bam.de</w:t>
      </w:r>
    </w:p>
    <w:p w14:paraId="0B145132" w14:textId="5FE32B4C" w:rsidR="00221023" w:rsidRPr="004C55C5" w:rsidRDefault="004C55C5" w:rsidP="00CD4979">
      <w:pPr>
        <w:pStyle w:val="CETBodytext"/>
      </w:pPr>
      <w:r w:rsidRPr="004C55C5">
        <w:t>As the world moves toward</w:t>
      </w:r>
      <w:r w:rsidR="00060CFA">
        <w:t>s</w:t>
      </w:r>
      <w:r w:rsidRPr="004C55C5">
        <w:t xml:space="preserve"> green energy production, effective storage and transportation solutions </w:t>
      </w:r>
      <w:r w:rsidR="00356F1B">
        <w:t>become</w:t>
      </w:r>
      <w:r w:rsidR="00356F1B" w:rsidRPr="004C55C5">
        <w:t xml:space="preserve"> </w:t>
      </w:r>
      <w:r w:rsidRPr="004C55C5">
        <w:t xml:space="preserve">essential. To support this transition, energy carriers </w:t>
      </w:r>
      <w:r w:rsidR="00356F1B">
        <w:t xml:space="preserve">with </w:t>
      </w:r>
      <w:r w:rsidRPr="004C55C5">
        <w:t>minimal or zero environmental impact</w:t>
      </w:r>
      <w:r w:rsidR="00356F1B">
        <w:t xml:space="preserve"> are required</w:t>
      </w:r>
      <w:r w:rsidRPr="004C55C5">
        <w:t xml:space="preserve">. </w:t>
      </w:r>
      <w:r w:rsidR="007F3EF4">
        <w:t>Liquified h</w:t>
      </w:r>
      <w:r w:rsidRPr="004C55C5">
        <w:t xml:space="preserve">ydrogen </w:t>
      </w:r>
      <w:r w:rsidR="00007AFA">
        <w:t>represent</w:t>
      </w:r>
      <w:r w:rsidRPr="004C55C5">
        <w:t xml:space="preserve">s a promising </w:t>
      </w:r>
      <w:r w:rsidR="00356F1B">
        <w:t>candidate</w:t>
      </w:r>
      <w:r w:rsidR="00356F1B" w:rsidRPr="004C55C5">
        <w:t xml:space="preserve"> </w:t>
      </w:r>
      <w:r w:rsidRPr="004C55C5">
        <w:t xml:space="preserve">due to its emissions-neutral properties. However, its highly </w:t>
      </w:r>
      <w:r w:rsidR="00007AFA">
        <w:t>flammable</w:t>
      </w:r>
      <w:r w:rsidR="00007AFA" w:rsidRPr="004C55C5">
        <w:t xml:space="preserve"> </w:t>
      </w:r>
      <w:r w:rsidRPr="004C55C5">
        <w:t xml:space="preserve">nature necessitates adherence to strict safety codes and standards. </w:t>
      </w:r>
      <w:r w:rsidR="00356F1B">
        <w:t>S</w:t>
      </w:r>
      <w:r w:rsidRPr="004C55C5">
        <w:t>toring hydrogen often requires advanced super-insulation materials.</w:t>
      </w:r>
      <w:r>
        <w:t xml:space="preserve"> </w:t>
      </w:r>
      <w:r w:rsidRPr="004C55C5">
        <w:t xml:space="preserve">To enhance the safety of </w:t>
      </w:r>
      <w:r w:rsidR="00E74F44">
        <w:t xml:space="preserve">cryogenic </w:t>
      </w:r>
      <w:r w:rsidRPr="004C55C5">
        <w:t>hydrogen storage tanks</w:t>
      </w:r>
      <w:r w:rsidR="00E74F44">
        <w:t xml:space="preserve"> </w:t>
      </w:r>
      <w:r w:rsidRPr="004C55C5">
        <w:t xml:space="preserve">under </w:t>
      </w:r>
      <w:r w:rsidR="00356F1B">
        <w:t xml:space="preserve">extreme </w:t>
      </w:r>
      <w:r w:rsidRPr="004C55C5">
        <w:t xml:space="preserve">conditions, such as those encountered during fire </w:t>
      </w:r>
      <w:r w:rsidR="00356F1B" w:rsidRPr="004C55C5">
        <w:t xml:space="preserve">accidents, </w:t>
      </w:r>
      <w:r w:rsidR="00356F1B" w:rsidRPr="00D57DCF">
        <w:t>it</w:t>
      </w:r>
      <w:r w:rsidR="00D57DCF" w:rsidRPr="00D57DCF">
        <w:t xml:space="preserve"> is crucial to understand the thermal </w:t>
      </w:r>
      <w:r w:rsidR="00356F1B" w:rsidRPr="00D57DCF">
        <w:t>behaviour</w:t>
      </w:r>
      <w:r w:rsidR="00D57DCF" w:rsidRPr="00D57DCF">
        <w:t xml:space="preserve"> of the tank</w:t>
      </w:r>
      <w:r w:rsidRPr="004C55C5">
        <w:t>. Predicting pressurization and potential failure in advance demands a robust and comprehensive model.</w:t>
      </w:r>
      <w:r>
        <w:t xml:space="preserve"> </w:t>
      </w:r>
      <w:r w:rsidR="00E74F44">
        <w:t xml:space="preserve">However, still such models suffer lack of </w:t>
      </w:r>
      <w:r w:rsidR="00356F1B">
        <w:t xml:space="preserve">detailed </w:t>
      </w:r>
      <w:r w:rsidR="00E74F44">
        <w:t>heat transfer models which account for various sub</w:t>
      </w:r>
      <w:r w:rsidR="00356F1B">
        <w:t>-</w:t>
      </w:r>
      <w:r w:rsidR="00E74F44">
        <w:t>processes during an accident scenario. Hence, t</w:t>
      </w:r>
      <w:r w:rsidRPr="004C55C5">
        <w:t xml:space="preserve">his study introduces a </w:t>
      </w:r>
      <w:r w:rsidR="00E74F44">
        <w:t>comprehensive</w:t>
      </w:r>
      <w:r w:rsidRPr="004C55C5">
        <w:t xml:space="preserve"> </w:t>
      </w:r>
      <w:r w:rsidR="000142E1" w:rsidRPr="000142E1">
        <w:t>model for the pressurization of</w:t>
      </w:r>
      <w:r w:rsidR="00BF5E3D">
        <w:t xml:space="preserve"> cryogenic</w:t>
      </w:r>
      <w:r w:rsidR="000142E1" w:rsidRPr="000142E1">
        <w:t xml:space="preserve"> tanks</w:t>
      </w:r>
      <w:r w:rsidR="00BF5E3D">
        <w:t xml:space="preserve"> equipped with mult</w:t>
      </w:r>
      <w:r w:rsidR="00591C77">
        <w:t>i-</w:t>
      </w:r>
      <w:r w:rsidR="00BF5E3D">
        <w:t>layer insulation</w:t>
      </w:r>
      <w:r w:rsidR="00591C77">
        <w:t xml:space="preserve"> (MLI)</w:t>
      </w:r>
      <w:r w:rsidR="00591C77" w:rsidRPr="000142E1">
        <w:t xml:space="preserve"> </w:t>
      </w:r>
      <w:proofErr w:type="spellStart"/>
      <w:r w:rsidR="00591C77">
        <w:t>systems</w:t>
      </w:r>
      <w:r w:rsidR="000142E1" w:rsidRPr="000142E1">
        <w:t>in</w:t>
      </w:r>
      <w:proofErr w:type="spellEnd"/>
      <w:r w:rsidR="000142E1" w:rsidRPr="000142E1">
        <w:t xml:space="preserve"> the event of fire, which comprises several sub-models</w:t>
      </w:r>
      <w:r w:rsidRPr="004C55C5">
        <w:t>. These sub-models account for heat transfer phenomena</w:t>
      </w:r>
      <w:r w:rsidR="00E74F44">
        <w:t xml:space="preserve"> through</w:t>
      </w:r>
      <w:r w:rsidR="000142E1">
        <w:t xml:space="preserve"> the thermal </w:t>
      </w:r>
      <w:r w:rsidR="00E74F44">
        <w:t>insulation</w:t>
      </w:r>
      <w:r w:rsidR="000142E1">
        <w:t xml:space="preserve"> at nominal conditions and its thermal </w:t>
      </w:r>
      <w:r w:rsidRPr="004C55C5">
        <w:t>degradation</w:t>
      </w:r>
      <w:r w:rsidR="000142E1">
        <w:t xml:space="preserve"> </w:t>
      </w:r>
      <w:r w:rsidR="00933F04">
        <w:t xml:space="preserve">during </w:t>
      </w:r>
      <w:r w:rsidR="000142E1">
        <w:t xml:space="preserve">fire exposure, </w:t>
      </w:r>
      <w:r w:rsidR="009D5E6D">
        <w:t xml:space="preserve">the fluid, the </w:t>
      </w:r>
      <w:r w:rsidRPr="004C55C5">
        <w:t>internal pressurization, and the performance of the pressure relief valve</w:t>
      </w:r>
      <w:r w:rsidR="009D5E6D">
        <w:t>. This study</w:t>
      </w:r>
      <w:r w:rsidRPr="004C55C5">
        <w:t xml:space="preserve"> </w:t>
      </w:r>
      <w:r w:rsidR="009D5E6D">
        <w:t xml:space="preserve">provides </w:t>
      </w:r>
      <w:r w:rsidRPr="004C55C5">
        <w:t>valuable insights into the safety and</w:t>
      </w:r>
      <w:r w:rsidR="00933F04">
        <w:t xml:space="preserve"> the</w:t>
      </w:r>
      <w:r w:rsidRPr="004C55C5">
        <w:t xml:space="preserve"> behaviour of hydrogen storage tanks under thermal loads.</w:t>
      </w:r>
    </w:p>
    <w:p w14:paraId="476B2F2E" w14:textId="5F57F532" w:rsidR="00600535" w:rsidRDefault="00600535" w:rsidP="000913B0">
      <w:pPr>
        <w:pStyle w:val="CETHeading1"/>
        <w:tabs>
          <w:tab w:val="clear" w:pos="360"/>
          <w:tab w:val="num" w:pos="252"/>
        </w:tabs>
        <w:jc w:val="both"/>
      </w:pPr>
      <w:r w:rsidRPr="00B57B36">
        <w:t>Introduction</w:t>
      </w:r>
    </w:p>
    <w:p w14:paraId="32CD52EB" w14:textId="18A64632" w:rsidR="008C4620" w:rsidRDefault="008C4620" w:rsidP="000913B0">
      <w:pPr>
        <w:pStyle w:val="CETBodytext"/>
      </w:pPr>
      <w:r>
        <w:t xml:space="preserve">With the advancement of renewable energy technology and the increase in energy production, the need for a suitable energy carrier is felt more than ever before. Hence, various low- and zero-impact energy carriers regarding climate change, such as hydrogen, have been introduced. </w:t>
      </w:r>
      <w:r w:rsidR="00E74F44">
        <w:t>Specifically, t</w:t>
      </w:r>
      <w:r>
        <w:t xml:space="preserve">he adoption of </w:t>
      </w:r>
      <w:r w:rsidR="00E74F44">
        <w:t>LH2 (liquified hydrogen)</w:t>
      </w:r>
      <w:r>
        <w:t xml:space="preserve"> as a promising alternative energy carrier is attributed to its carbon-free combustion properties and its high volumetric energy density </w:t>
      </w:r>
      <w:r w:rsidR="00C84878">
        <w:t xml:space="preserve">discussed in </w:t>
      </w:r>
      <w:r>
        <w:t xml:space="preserve">DNV </w:t>
      </w:r>
      <w:r w:rsidR="00C84878">
        <w:t>(</w:t>
      </w:r>
      <w:r>
        <w:t>2021</w:t>
      </w:r>
      <w:r w:rsidR="00C84878">
        <w:t xml:space="preserve">) and </w:t>
      </w:r>
      <w:r w:rsidR="00C84878">
        <w:rPr>
          <w:noProof/>
        </w:rPr>
        <w:t>Jafarzadeh (2016)</w:t>
      </w:r>
      <w:r>
        <w:t>. However, the extremely low boiling point of LH2 (20.3 K at atmospheric pressure (NIST, 2019) and the high flammability of hydrogen-air mixtures (</w:t>
      </w:r>
      <w:proofErr w:type="spellStart"/>
      <w:r>
        <w:t>Crowl</w:t>
      </w:r>
      <w:proofErr w:type="spellEnd"/>
      <w:r>
        <w:t xml:space="preserve"> &amp; Jo, 2007) pose significant safety challenges in its storage and transportation. </w:t>
      </w:r>
      <w:r w:rsidR="00E74F44">
        <w:t xml:space="preserve">To </w:t>
      </w:r>
      <w:r w:rsidR="004D16CC">
        <w:t>enhance</w:t>
      </w:r>
      <w:r w:rsidR="00E74F44">
        <w:t xml:space="preserve"> the safety of such </w:t>
      </w:r>
      <w:r w:rsidR="001D7C67">
        <w:t xml:space="preserve">a </w:t>
      </w:r>
      <w:r w:rsidR="00E74F44">
        <w:t>storage system</w:t>
      </w:r>
      <w:r w:rsidR="001D7C67">
        <w:t>,</w:t>
      </w:r>
      <w:r w:rsidR="00E74F44">
        <w:t xml:space="preserve"> </w:t>
      </w:r>
      <w:r w:rsidR="00356F1B">
        <w:t>a</w:t>
      </w:r>
      <w:r w:rsidR="00E74F44">
        <w:t xml:space="preserve"> </w:t>
      </w:r>
      <w:r w:rsidR="00356F1B">
        <w:t>thermal superinsulation technology</w:t>
      </w:r>
      <w:r>
        <w:t>, such as multilayer insulation (MLI) combined with vacuum</w:t>
      </w:r>
      <w:r w:rsidR="00E74F44">
        <w:t xml:space="preserve"> is required. </w:t>
      </w:r>
      <w:r w:rsidR="004D16CC">
        <w:t>MLI is currently favored for LH2 transport (Pehr, 1996)</w:t>
      </w:r>
      <w:r w:rsidR="009D5E6D">
        <w:t>, which could be combined with vapor-cooled shields</w:t>
      </w:r>
      <w:r w:rsidR="004D16CC">
        <w:t xml:space="preserve">. </w:t>
      </w:r>
      <w:r w:rsidR="00C84878">
        <w:t>Different studies such as Camplese et al. (2024) and Ustolin et al. (2022) introduces t</w:t>
      </w:r>
      <w:r w:rsidR="00E74F44">
        <w:t>his type of insulation</w:t>
      </w:r>
      <w:r>
        <w:t xml:space="preserve"> </w:t>
      </w:r>
      <w:r w:rsidR="004D16CC">
        <w:t>(mostly use</w:t>
      </w:r>
      <w:r w:rsidR="001D7C67">
        <w:t>d in</w:t>
      </w:r>
      <w:r w:rsidR="004D16CC">
        <w:t xml:space="preserve"> mobile applications) </w:t>
      </w:r>
      <w:r w:rsidR="00C84878">
        <w:t xml:space="preserve">which </w:t>
      </w:r>
      <w:r>
        <w:t>ha</w:t>
      </w:r>
      <w:r w:rsidR="00E74F44">
        <w:t>s</w:t>
      </w:r>
      <w:r>
        <w:t xml:space="preserve"> been optimized for minimal volume and low density</w:t>
      </w:r>
      <w:r w:rsidR="004D16CC">
        <w:t xml:space="preserve"> e.g.,</w:t>
      </w:r>
      <w:r>
        <w:t xml:space="preserve"> for applications with stringent space and weight limitations</w:t>
      </w:r>
      <w:r w:rsidR="00C84878">
        <w:t>.</w:t>
      </w:r>
      <w:r w:rsidR="004D16CC">
        <w:t xml:space="preserve"> </w:t>
      </w:r>
    </w:p>
    <w:p w14:paraId="09F2C7CF" w14:textId="77777777" w:rsidR="008C4620" w:rsidRDefault="008C4620" w:rsidP="000913B0">
      <w:pPr>
        <w:pStyle w:val="CETBodytext"/>
      </w:pPr>
    </w:p>
    <w:p w14:paraId="41E7F9C9" w14:textId="7FD7F535" w:rsidR="008C4620" w:rsidRDefault="008C4620" w:rsidP="000913B0">
      <w:pPr>
        <w:pStyle w:val="CETBodytext"/>
      </w:pPr>
      <w:r>
        <w:lastRenderedPageBreak/>
        <w:t xml:space="preserve">Despite </w:t>
      </w:r>
      <w:r w:rsidR="004D16CC">
        <w:t>MLI</w:t>
      </w:r>
      <w:r>
        <w:t xml:space="preserve"> effectiveness in limiting heat transfer, </w:t>
      </w:r>
      <w:r w:rsidR="00C84878">
        <w:t xml:space="preserve">study of Eberwein et al. (2024) shows that </w:t>
      </w:r>
      <w:r w:rsidR="004D16CC">
        <w:t>this</w:t>
      </w:r>
      <w:r>
        <w:t xml:space="preserve"> insulation is susceptible to thermal degradation under </w:t>
      </w:r>
      <w:r w:rsidR="00356F1B">
        <w:t>high</w:t>
      </w:r>
      <w:r w:rsidR="00667CEA">
        <w:t xml:space="preserve"> </w:t>
      </w:r>
      <w:r>
        <w:t>thermal loads</w:t>
      </w:r>
      <w:r w:rsidR="005E63C8">
        <w:t xml:space="preserve">. Work of Pehr (1996) and van </w:t>
      </w:r>
      <w:proofErr w:type="spellStart"/>
      <w:r w:rsidR="005E63C8">
        <w:t>Wingerden</w:t>
      </w:r>
      <w:proofErr w:type="spellEnd"/>
      <w:r w:rsidR="005E63C8">
        <w:t xml:space="preserve"> (2022)</w:t>
      </w:r>
      <w:r>
        <w:t xml:space="preserve"> </w:t>
      </w:r>
      <w:r w:rsidR="005E63C8">
        <w:t>also</w:t>
      </w:r>
      <w:r>
        <w:t xml:space="preserve"> demonstrated in</w:t>
      </w:r>
      <w:r w:rsidR="005E63C8">
        <w:t>sufficient insulation capability in</w:t>
      </w:r>
      <w:r>
        <w:t xml:space="preserve"> real-scale LH2 fire tests</w:t>
      </w:r>
      <w:r w:rsidR="005E63C8">
        <w:t>.</w:t>
      </w:r>
      <w:r>
        <w:t xml:space="preserve"> </w:t>
      </w:r>
      <w:r w:rsidR="005E63C8">
        <w:t>Moreover, stud</w:t>
      </w:r>
      <w:r w:rsidR="0065665C">
        <w:t>y</w:t>
      </w:r>
      <w:r w:rsidR="005E63C8">
        <w:t xml:space="preserve"> of Camplese et al. (2024) </w:t>
      </w:r>
      <w:proofErr w:type="gramStart"/>
      <w:r w:rsidR="005E63C8">
        <w:t>reveal</w:t>
      </w:r>
      <w:proofErr w:type="gramEnd"/>
      <w:r w:rsidR="005E63C8">
        <w:t xml:space="preserve"> that t</w:t>
      </w:r>
      <w:r w:rsidR="00667CEA">
        <w:t>hermal i</w:t>
      </w:r>
      <w:r>
        <w:t>nsulation degradation may lead</w:t>
      </w:r>
      <w:r w:rsidR="005E63C8">
        <w:t>s</w:t>
      </w:r>
      <w:r>
        <w:t xml:space="preserve"> to an increase in the thermal stresses of the cryogenic tank, which contributes to </w:t>
      </w:r>
      <w:r w:rsidR="00FC77CF">
        <w:t xml:space="preserve">rapid </w:t>
      </w:r>
      <w:r>
        <w:t>tank pressur</w:t>
      </w:r>
      <w:r w:rsidR="00FC77CF">
        <w:t>ization</w:t>
      </w:r>
      <w:r>
        <w:t xml:space="preserve">. This effect compromises the structural integrity of the tank and </w:t>
      </w:r>
      <w:r w:rsidR="00FC77CF">
        <w:t xml:space="preserve">may </w:t>
      </w:r>
      <w:r>
        <w:t xml:space="preserve">potentially result in catastrophic events such as Boiling Liquid Expanding Vapor Explosions (BLEVEs) and fireballs (Ustolin et al., 2021). </w:t>
      </w:r>
      <w:r w:rsidR="004D16CC">
        <w:t xml:space="preserve">However, there are </w:t>
      </w:r>
      <w:r w:rsidR="005E63C8">
        <w:t xml:space="preserve">still </w:t>
      </w:r>
      <w:r w:rsidR="004D16CC">
        <w:t xml:space="preserve">a few studies in which a whole tank </w:t>
      </w:r>
      <w:r w:rsidR="005E63C8">
        <w:t>including all sections and parameters</w:t>
      </w:r>
      <w:r w:rsidR="004D16CC">
        <w:t xml:space="preserve"> </w:t>
      </w:r>
      <w:r w:rsidR="005E63C8">
        <w:t xml:space="preserve">are </w:t>
      </w:r>
      <w:r w:rsidR="004D16CC">
        <w:t xml:space="preserve">studied </w:t>
      </w:r>
      <w:r w:rsidR="005E63C8">
        <w:t xml:space="preserve">whereas </w:t>
      </w:r>
      <w:r w:rsidR="004D16CC">
        <w:t xml:space="preserve">such extreme </w:t>
      </w:r>
      <w:r w:rsidR="005E63C8">
        <w:t xml:space="preserve">boundary </w:t>
      </w:r>
      <w:r w:rsidR="004D16CC">
        <w:t>condition</w:t>
      </w:r>
      <w:r w:rsidR="00D41990">
        <w:t>s</w:t>
      </w:r>
      <w:r w:rsidR="005E63C8">
        <w:t xml:space="preserve"> are </w:t>
      </w:r>
      <w:proofErr w:type="spellStart"/>
      <w:r w:rsidR="005E63C8">
        <w:t>adressed</w:t>
      </w:r>
      <w:proofErr w:type="spellEnd"/>
      <w:r w:rsidR="004D16CC">
        <w:t>. Hence, t</w:t>
      </w:r>
      <w:r>
        <w:t xml:space="preserve">hese outcomes underscore the need for </w:t>
      </w:r>
      <w:r w:rsidR="00D41990">
        <w:t xml:space="preserve">a </w:t>
      </w:r>
      <w:r>
        <w:t xml:space="preserve">robust </w:t>
      </w:r>
      <w:r w:rsidR="004D16CC">
        <w:t xml:space="preserve">model to </w:t>
      </w:r>
      <w:r>
        <w:t>evaluat</w:t>
      </w:r>
      <w:r w:rsidR="004D16CC">
        <w:t xml:space="preserve">e </w:t>
      </w:r>
      <w:r w:rsidR="00D41990">
        <w:t xml:space="preserve">the </w:t>
      </w:r>
      <w:r w:rsidR="004D16CC">
        <w:t>safety</w:t>
      </w:r>
      <w:r>
        <w:t xml:space="preserve"> of LH2 tanks under fire exposure scenarios.</w:t>
      </w:r>
    </w:p>
    <w:p w14:paraId="5A38C864" w14:textId="39599E59" w:rsidR="008C4620" w:rsidRPr="008C4620" w:rsidRDefault="008C4620" w:rsidP="000913B0">
      <w:pPr>
        <w:pStyle w:val="CETBodytext"/>
      </w:pPr>
      <w:r>
        <w:t>This study proposes an advanced thermodynamic numerical multi-zone model for predicting the LH2 tank response, incorporating an MLI degradation sub-model due to fire exposure (Hajhariri et al., 2024</w:t>
      </w:r>
      <w:r w:rsidR="0065665C">
        <w:t>)</w:t>
      </w:r>
      <w:r>
        <w:t>. The model simulates the thermal response and pressurization of the tank, accounting for pressure relief valve (PRV) activation and insulation deterioration at elevated boundary temperatures.</w:t>
      </w:r>
      <w:r w:rsidR="00356F1B">
        <w:br/>
      </w:r>
      <w:r>
        <w:t xml:space="preserve">This work further develops the lumped model proposed by Scarponi et al. (2016) and incorporates the correlations introduced </w:t>
      </w:r>
      <w:r w:rsidR="00A800AA">
        <w:t>by</w:t>
      </w:r>
      <w:r>
        <w:t xml:space="preserve"> Wang et al. (2016) to calculate the heat transfer coefficient. For the sake of comparison, the model considers the tank properties and experimental conditions outlined in the study by Pehr (1996). The thermodynamic properties of the fluid are calculated based on the partial derivative of Helmholtz energy using the </w:t>
      </w:r>
      <w:proofErr w:type="spellStart"/>
      <w:r>
        <w:t>CoolProp</w:t>
      </w:r>
      <w:proofErr w:type="spellEnd"/>
      <w:r>
        <w:t xml:space="preserve"> package</w:t>
      </w:r>
      <w:r w:rsidR="0065665C">
        <w:t xml:space="preserve"> </w:t>
      </w:r>
      <w:r w:rsidR="0065665C">
        <w:rPr>
          <w:noProof/>
        </w:rPr>
        <w:t>(Bell et al., 2014)</w:t>
      </w:r>
      <w:r>
        <w:t>.</w:t>
      </w:r>
    </w:p>
    <w:p w14:paraId="5741900F" w14:textId="6AAF1D71" w:rsidR="00453E24" w:rsidRDefault="006D0554" w:rsidP="000913B0">
      <w:pPr>
        <w:pStyle w:val="CETHeading1"/>
        <w:jc w:val="both"/>
      </w:pPr>
      <w:r>
        <w:t>Methodology</w:t>
      </w:r>
    </w:p>
    <w:p w14:paraId="16529EFA" w14:textId="38EF9860" w:rsidR="00FC77CF" w:rsidRDefault="00FC77CF" w:rsidP="000913B0">
      <w:pPr>
        <w:pStyle w:val="CETBodytext"/>
        <w:keepNext/>
      </w:pPr>
      <w:r>
        <w:t>Various modeling approaches exist for analyzing tank pressurization</w:t>
      </w:r>
      <w:r w:rsidR="0075394D">
        <w:t>. E</w:t>
      </w:r>
      <w:r>
        <w:t xml:space="preserve">ach </w:t>
      </w:r>
      <w:r w:rsidR="0075394D">
        <w:t xml:space="preserve">has </w:t>
      </w:r>
      <w:r>
        <w:t xml:space="preserve">distinct objectives and underlying principles. </w:t>
      </w:r>
      <w:r w:rsidR="0075394D">
        <w:t>T</w:t>
      </w:r>
      <w:r>
        <w:t xml:space="preserve">hese approaches can be categorized into equilibrium and non-equilibrium models. In the equilibrium approach, it is assumed that the liquid and gas phases are in thermodynamic equilibrium. As a result, the fluid is represented by a single node, which </w:t>
      </w:r>
      <w:r w:rsidR="004D16CC">
        <w:t xml:space="preserve">is </w:t>
      </w:r>
      <w:r>
        <w:t>characterize</w:t>
      </w:r>
      <w:r w:rsidR="004D16CC">
        <w:t>d by</w:t>
      </w:r>
      <w:r>
        <w:t xml:space="preserve"> its thermodynamic state. However, factors such as high heat influx into the tank and the potential degradation of insulation may lead to a rapid rise in evaporation rates, causing the internal pressure to escalate significantly</w:t>
      </w:r>
      <w:r w:rsidR="004D16CC">
        <w:t xml:space="preserve"> and </w:t>
      </w:r>
      <w:r w:rsidR="00FD77A1">
        <w:t xml:space="preserve">the </w:t>
      </w:r>
      <w:r w:rsidR="004D16CC">
        <w:t xml:space="preserve">equilibrium state cannot </w:t>
      </w:r>
      <w:r w:rsidR="00B147E8">
        <w:t>represent</w:t>
      </w:r>
      <w:r w:rsidR="004D16CC">
        <w:t xml:space="preserve"> the actual thermodynamic behavior of the tank</w:t>
      </w:r>
      <w:r>
        <w:t>.</w:t>
      </w:r>
    </w:p>
    <w:p w14:paraId="58E5E4B1" w14:textId="77777777" w:rsidR="00FC77CF" w:rsidRDefault="00FC77CF" w:rsidP="000913B0">
      <w:pPr>
        <w:pStyle w:val="CETBodytext"/>
        <w:keepNext/>
      </w:pPr>
      <w:r>
        <w:t>Conversely, the non-equilibrium approach accounts for the dynamic thermal behavior of the tank. In such models, the pressure increase is driven by the rise in the vapor phase temperature within the ullage, while the bulk liquid phase temperature may remain relatively lower. This distinction makes non-equilibrium models more appropriate for predicting the thermal response and pressurization of cryogenic tanks under scenarios involving fire or high thermal loads.</w:t>
      </w:r>
    </w:p>
    <w:p w14:paraId="3B296719" w14:textId="77777777" w:rsidR="002931C1" w:rsidRDefault="00B147E8" w:rsidP="000913B0">
      <w:pPr>
        <w:pStyle w:val="CETBodytext"/>
        <w:keepNext/>
      </w:pPr>
      <w:r>
        <w:rPr>
          <w:noProof/>
        </w:rPr>
        <w:drawing>
          <wp:inline distT="0" distB="0" distL="0" distR="0" wp14:anchorId="30BB0071" wp14:editId="671E5020">
            <wp:extent cx="5579745" cy="2120265"/>
            <wp:effectExtent l="0" t="0" r="1905" b="0"/>
            <wp:docPr id="480619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19150" name="Picture 480619150"/>
                    <pic:cNvPicPr/>
                  </pic:nvPicPr>
                  <pic:blipFill>
                    <a:blip r:embed="rId10"/>
                    <a:stretch>
                      <a:fillRect/>
                    </a:stretch>
                  </pic:blipFill>
                  <pic:spPr>
                    <a:xfrm>
                      <a:off x="0" y="0"/>
                      <a:ext cx="5579745" cy="2120265"/>
                    </a:xfrm>
                    <a:prstGeom prst="rect">
                      <a:avLst/>
                    </a:prstGeom>
                  </pic:spPr>
                </pic:pic>
              </a:graphicData>
            </a:graphic>
          </wp:inline>
        </w:drawing>
      </w:r>
    </w:p>
    <w:p w14:paraId="3994006F" w14:textId="49E3C9B8" w:rsidR="00B147E8" w:rsidRDefault="002931C1" w:rsidP="000913B0">
      <w:pPr>
        <w:pStyle w:val="CETCaption"/>
      </w:pPr>
      <w:bookmarkStart w:id="1" w:name="_Ref183002583"/>
      <w:bookmarkStart w:id="2" w:name="_Ref183002577"/>
      <w:r>
        <w:t xml:space="preserve">Figure </w:t>
      </w:r>
      <w:r w:rsidR="00B22B36">
        <w:rPr>
          <w:noProof/>
        </w:rPr>
        <w:t>1</w:t>
      </w:r>
      <w:bookmarkEnd w:id="1"/>
      <w:r>
        <w:t xml:space="preserve"> </w:t>
      </w:r>
      <w:r>
        <w:rPr>
          <w:lang w:val="en-US"/>
        </w:rPr>
        <w:t>Schematic of double-walled tank and heat transfers used for the model.</w:t>
      </w:r>
      <w:bookmarkEnd w:id="2"/>
    </w:p>
    <w:p w14:paraId="72011FEC" w14:textId="77777777" w:rsidR="00FC77CF" w:rsidRDefault="00FC77CF" w:rsidP="000913B0">
      <w:pPr>
        <w:pStyle w:val="CETBodytext"/>
        <w:keepNext/>
      </w:pPr>
      <w:r>
        <w:t>In this study, a numerical multi-zone modeling approach is proposed to investigate the behavior of a liquid hydrogen (LH</w:t>
      </w:r>
      <w:r>
        <w:rPr>
          <w:rFonts w:ascii="Cambria Math" w:hAnsi="Cambria Math" w:cs="Cambria Math"/>
        </w:rPr>
        <w:t>₂</w:t>
      </w:r>
      <w:r>
        <w:t xml:space="preserve">) tank under fire-like thermal loads. The multi-zone model comprises several sub-models, each </w:t>
      </w:r>
      <w:r>
        <w:lastRenderedPageBreak/>
        <w:t>dedicated to specific aspects of the system, including the thermal degradation of the MLI, liquid fill level dynamics, internal tank pressurization, and the onset of pressure relief valve (PRV) activations.</w:t>
      </w:r>
    </w:p>
    <w:p w14:paraId="737302FB" w14:textId="3F214FA2" w:rsidR="00000B51" w:rsidRDefault="00B22B36" w:rsidP="000913B0">
      <w:pPr>
        <w:pStyle w:val="CETBodytext"/>
        <w:keepNext/>
      </w:pPr>
      <w:r>
        <w:t xml:space="preserve">Figure 1 </w:t>
      </w:r>
      <w:r w:rsidR="00FC77CF">
        <w:t>illustrates the tank's division into three sections, where the vapor phase is separated from the liquid phase by a massless interface. This interface represents vapor in a saturated state, while the liquid and vapor phases remain in sub-cooled and superheated conditions, respectively.</w:t>
      </w:r>
      <w:bookmarkStart w:id="3" w:name="_Ref182826389"/>
      <w:bookmarkStart w:id="4" w:name="_Ref182826315"/>
      <w:r w:rsidR="00000B51">
        <w:t xml:space="preserve"> </w:t>
      </w:r>
    </w:p>
    <w:p w14:paraId="3B490C6B" w14:textId="7C95EEFC" w:rsidR="00F1551C" w:rsidRDefault="00000B51" w:rsidP="000913B0">
      <w:pPr>
        <w:pStyle w:val="CETBodytext"/>
        <w:keepNext/>
      </w:pPr>
      <w:r>
        <w:t>S</w:t>
      </w:r>
      <w:r w:rsidR="00E7520C" w:rsidRPr="00E7520C">
        <w:t>tudies by Camplese et al. (2024)</w:t>
      </w:r>
      <w:r w:rsidR="00E7520C">
        <w:t xml:space="preserve"> </w:t>
      </w:r>
      <w:r w:rsidR="00E7520C" w:rsidRPr="00E7520C">
        <w:t>and H</w:t>
      </w:r>
      <w:r w:rsidR="00B147E8" w:rsidRPr="00952E3D">
        <w:t>ajhariri</w:t>
      </w:r>
      <w:r w:rsidR="00E7520C" w:rsidRPr="00E7520C">
        <w:t xml:space="preserve"> et al. (2024b)</w:t>
      </w:r>
      <w:r w:rsidR="00E7520C">
        <w:t xml:space="preserve"> </w:t>
      </w:r>
      <w:r w:rsidR="00E7520C" w:rsidRPr="00E7520C">
        <w:t>reveal the vulnerability of various types of MLI insulation to high thermal loads. Thermal degradation of this type of insulation leads to a</w:t>
      </w:r>
      <w:r>
        <w:t xml:space="preserve"> </w:t>
      </w:r>
      <w:r w:rsidR="00F1551C">
        <w:t xml:space="preserve">release of </w:t>
      </w:r>
      <w:r w:rsidR="00F1551C" w:rsidRPr="00E7520C">
        <w:t xml:space="preserve">degradation products </w:t>
      </w:r>
      <w:r w:rsidR="00F1551C">
        <w:t xml:space="preserve">and an </w:t>
      </w:r>
      <w:r>
        <w:t xml:space="preserve">increase of pressure in the </w:t>
      </w:r>
      <w:r w:rsidR="00E7520C" w:rsidRPr="00E7520C">
        <w:t xml:space="preserve">vacuum </w:t>
      </w:r>
      <w:r>
        <w:t xml:space="preserve">space </w:t>
      </w:r>
      <w:r w:rsidR="00E7520C">
        <w:t>(</w:t>
      </w:r>
      <w:r w:rsidR="00E7520C" w:rsidRPr="00E7520C">
        <w:t xml:space="preserve">Eberwein et al., 2024) </w:t>
      </w:r>
      <w:r w:rsidR="007C65C2">
        <w:t xml:space="preserve">which </w:t>
      </w:r>
      <w:r w:rsidR="00F1551C">
        <w:t>increases</w:t>
      </w:r>
      <w:r w:rsidR="007C65C2">
        <w:t xml:space="preserve"> the</w:t>
      </w:r>
      <w:r w:rsidR="00F1551C">
        <w:t xml:space="preserve"> heat flow </w:t>
      </w:r>
      <w:r w:rsidR="00356F1B">
        <w:t>within</w:t>
      </w:r>
      <w:r w:rsidR="00F1551C">
        <w:t xml:space="preserve"> the </w:t>
      </w:r>
      <w:r w:rsidR="00E7520C" w:rsidRPr="00E7520C">
        <w:t xml:space="preserve">insulation. </w:t>
      </w:r>
    </w:p>
    <w:p w14:paraId="359EE3C1" w14:textId="6E6BF693" w:rsidR="00952E3D" w:rsidRPr="0067569E" w:rsidRDefault="00E7520C" w:rsidP="000913B0">
      <w:pPr>
        <w:pStyle w:val="CETBodytext"/>
        <w:keepNext/>
      </w:pPr>
      <w:r w:rsidRPr="00E7520C">
        <w:t>To predict pressurization, the thermal and material balances of the cryogenic fluid are summarized in Table 1. In th</w:t>
      </w:r>
      <w:r w:rsidR="00AC696D">
        <w:t>e</w:t>
      </w:r>
      <w:r w:rsidRPr="00E7520C">
        <w:t xml:space="preserve"> model, </w:t>
      </w:r>
      <w:r w:rsidR="00AC696D">
        <w:t xml:space="preserve">the </w:t>
      </w:r>
      <w:r w:rsidRPr="00E7520C">
        <w:t xml:space="preserve">heat transfer </w:t>
      </w:r>
      <w:r w:rsidR="00AC696D">
        <w:t xml:space="preserve">by the surfaces that stay in contact with the </w:t>
      </w:r>
      <w:r w:rsidRPr="00E7520C">
        <w:t>vapor</w:t>
      </w:r>
      <w:r w:rsidR="00AC696D">
        <w:t xml:space="preserve"> </w:t>
      </w:r>
      <w:r w:rsidRPr="00E7520C">
        <w:t xml:space="preserve">and </w:t>
      </w:r>
      <w:r w:rsidR="00AC696D">
        <w:t xml:space="preserve">the </w:t>
      </w:r>
      <w:r w:rsidRPr="00E7520C">
        <w:t>liquid</w:t>
      </w:r>
      <w:r w:rsidR="00AC696D">
        <w:t xml:space="preserve"> </w:t>
      </w:r>
      <w:r w:rsidRPr="00E7520C">
        <w:t xml:space="preserve">is considered separately, as shown in </w:t>
      </w:r>
      <w:r w:rsidR="0065665C">
        <w:t>Figure</w:t>
      </w:r>
      <w:r>
        <w:t>.</w:t>
      </w:r>
      <w:r w:rsidRPr="00E7520C">
        <w:t xml:space="preserve"> 1. The model assumes a horizontal tank </w:t>
      </w:r>
      <w:proofErr w:type="gramStart"/>
      <w:r w:rsidRPr="00E7520C">
        <w:t>similar to</w:t>
      </w:r>
      <w:proofErr w:type="gramEnd"/>
      <w:r w:rsidRPr="00E7520C">
        <w:t xml:space="preserve"> the one tested by Pehr (1996) during the BMW fire test.</w:t>
      </w:r>
      <w:r w:rsidR="00AC696D">
        <w:t xml:space="preserve"> For this study</w:t>
      </w:r>
      <w:r w:rsidR="006D14E9">
        <w:t>,</w:t>
      </w:r>
      <w:r w:rsidR="00AC696D">
        <w:t xml:space="preserve"> a non-combustible MLI based on </w:t>
      </w:r>
      <w:r w:rsidR="00AC696D" w:rsidRPr="006B741F">
        <w:t xml:space="preserve">Aluminum </w:t>
      </w:r>
      <w:r w:rsidR="00AC696D">
        <w:t xml:space="preserve">as </w:t>
      </w:r>
      <w:r w:rsidR="00AC696D" w:rsidRPr="006B741F">
        <w:t xml:space="preserve">reflective foil </w:t>
      </w:r>
      <w:r w:rsidR="00AC696D">
        <w:t xml:space="preserve">and </w:t>
      </w:r>
      <w:r w:rsidR="00AC696D" w:rsidRPr="006B741F">
        <w:t xml:space="preserve">glass paper </w:t>
      </w:r>
      <w:r w:rsidR="00AC696D">
        <w:t xml:space="preserve">as </w:t>
      </w:r>
      <w:r w:rsidR="00AC696D" w:rsidRPr="006B741F">
        <w:t>spacer</w:t>
      </w:r>
      <w:r w:rsidR="00AC696D">
        <w:t xml:space="preserve"> </w:t>
      </w:r>
      <w:r w:rsidR="00952E3D">
        <w:t>like the one used</w:t>
      </w:r>
      <w:r w:rsidR="00AC696D">
        <w:t xml:space="preserve"> in the study </w:t>
      </w:r>
      <w:r w:rsidR="006D14E9">
        <w:t xml:space="preserve">by </w:t>
      </w:r>
      <w:r w:rsidR="00AC696D" w:rsidRPr="00E7520C">
        <w:t>H</w:t>
      </w:r>
      <w:r w:rsidR="00AC696D" w:rsidRPr="00DD2460">
        <w:t>ajhariri</w:t>
      </w:r>
      <w:r w:rsidR="00AC696D" w:rsidRPr="00E7520C">
        <w:t xml:space="preserve"> et al. (2024b)</w:t>
      </w:r>
      <w:r w:rsidR="00AC696D">
        <w:t xml:space="preserve"> was </w:t>
      </w:r>
      <w:r w:rsidR="00A641C5">
        <w:t>considered</w:t>
      </w:r>
      <w:r w:rsidR="00AC696D">
        <w:t>.</w:t>
      </w:r>
      <w:r w:rsidR="00952E3D">
        <w:t xml:space="preserve"> The heat transfer from the fire to the tank calculate</w:t>
      </w:r>
      <w:r w:rsidR="00A641C5">
        <w:t>d</w:t>
      </w:r>
      <w:r w:rsidR="00952E3D">
        <w:t xml:space="preserve"> </w:t>
      </w:r>
      <w:r w:rsidR="00A641C5">
        <w:t xml:space="preserve">according to the procedure proposed </w:t>
      </w:r>
      <w:r w:rsidR="00DA0CC0">
        <w:t>in the same work</w:t>
      </w:r>
      <w:r w:rsidR="00952E3D">
        <w:t xml:space="preserve">. </w:t>
      </w:r>
    </w:p>
    <w:p w14:paraId="5A95448E" w14:textId="5EE07261" w:rsidR="006B3B80" w:rsidRDefault="006B3B80" w:rsidP="000913B0">
      <w:pPr>
        <w:pStyle w:val="CETTabletitle"/>
        <w:jc w:val="both"/>
        <w:rPr>
          <w:lang w:val="en-US"/>
        </w:rPr>
      </w:pPr>
      <w:r>
        <w:t xml:space="preserve">Table </w:t>
      </w:r>
      <w:r w:rsidR="00B22B36">
        <w:rPr>
          <w:noProof/>
        </w:rPr>
        <w:t>1</w:t>
      </w:r>
      <w:bookmarkEnd w:id="3"/>
      <w:r w:rsidR="005375F4">
        <w:t>.</w:t>
      </w:r>
      <w:r>
        <w:rPr>
          <w:lang w:val="en-US"/>
        </w:rPr>
        <w:t xml:space="preserve">  Heat transfer and mass balances for </w:t>
      </w:r>
      <w:r w:rsidR="00DA0CC0">
        <w:rPr>
          <w:lang w:val="en-US"/>
        </w:rPr>
        <w:t xml:space="preserve">the </w:t>
      </w:r>
      <w:r>
        <w:rPr>
          <w:lang w:val="en-US"/>
        </w:rPr>
        <w:t xml:space="preserve">fluid </w:t>
      </w:r>
      <w:bookmarkEnd w:id="4"/>
      <w:r w:rsidR="00E7520C">
        <w:rPr>
          <w:lang w:val="en-US"/>
        </w:rPr>
        <w:t>part.</w:t>
      </w:r>
    </w:p>
    <w:tbl>
      <w:tblPr>
        <w:tblW w:w="8956" w:type="dxa"/>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882"/>
        <w:gridCol w:w="6173"/>
        <w:gridCol w:w="636"/>
        <w:gridCol w:w="265"/>
      </w:tblGrid>
      <w:tr w:rsidR="00BC5D8E" w:rsidRPr="00B71EB5" w14:paraId="752BA0D7" w14:textId="77777777" w:rsidTr="00BC5D8E">
        <w:trPr>
          <w:gridAfter w:val="1"/>
          <w:wAfter w:w="265" w:type="dxa"/>
          <w:trHeight w:val="267"/>
          <w:jc w:val="center"/>
        </w:trPr>
        <w:tc>
          <w:tcPr>
            <w:tcW w:w="8691" w:type="dxa"/>
            <w:gridSpan w:val="3"/>
            <w:tcBorders>
              <w:top w:val="single" w:sz="12" w:space="0" w:color="00B050"/>
              <w:left w:val="nil"/>
              <w:bottom w:val="single" w:sz="12" w:space="0" w:color="00B050"/>
              <w:right w:val="nil"/>
            </w:tcBorders>
            <w:shd w:val="clear" w:color="auto" w:fill="FFFFFF"/>
          </w:tcPr>
          <w:p w14:paraId="10A7170A" w14:textId="301E5416" w:rsidR="00BC5D8E" w:rsidRPr="00B71EB5" w:rsidRDefault="00BC5D8E" w:rsidP="00BC5D8E">
            <w:pPr>
              <w:pStyle w:val="CETBodytext"/>
              <w:jc w:val="center"/>
              <w:rPr>
                <w:szCs w:val="18"/>
                <w:lang w:val="en-GB"/>
              </w:rPr>
            </w:pPr>
            <w:r w:rsidRPr="00BC5D8E">
              <w:rPr>
                <w:b/>
                <w:bCs/>
                <w:szCs w:val="18"/>
                <w:lang w:val="en-GB"/>
              </w:rPr>
              <w:t>Energy conservation</w:t>
            </w:r>
          </w:p>
        </w:tc>
      </w:tr>
      <w:tr w:rsidR="00D10689" w:rsidRPr="00B71EB5" w14:paraId="1C6D81F3" w14:textId="77777777" w:rsidTr="00BC5D8E">
        <w:trPr>
          <w:gridAfter w:val="1"/>
          <w:wAfter w:w="265" w:type="dxa"/>
          <w:trHeight w:val="297"/>
          <w:jc w:val="center"/>
        </w:trPr>
        <w:tc>
          <w:tcPr>
            <w:tcW w:w="1882" w:type="dxa"/>
            <w:tcBorders>
              <w:top w:val="single" w:sz="12" w:space="0" w:color="00B050"/>
              <w:left w:val="nil"/>
              <w:bottom w:val="single" w:sz="4" w:space="0" w:color="00B050"/>
              <w:right w:val="single" w:sz="12" w:space="0" w:color="00B050"/>
            </w:tcBorders>
            <w:shd w:val="clear" w:color="auto" w:fill="FFFFFF"/>
          </w:tcPr>
          <w:p w14:paraId="25C65084" w14:textId="77777777" w:rsidR="00D10689" w:rsidRPr="00B71EB5" w:rsidRDefault="00D10689" w:rsidP="000913B0">
            <w:pPr>
              <w:pStyle w:val="CETBodytext"/>
              <w:rPr>
                <w:szCs w:val="18"/>
                <w:lang w:val="en-GB"/>
              </w:rPr>
            </w:pPr>
            <w:r w:rsidRPr="00B71EB5">
              <w:rPr>
                <w:szCs w:val="18"/>
                <w:lang w:val="en-GB"/>
              </w:rPr>
              <w:t>Liquid phase</w:t>
            </w:r>
          </w:p>
        </w:tc>
        <w:tc>
          <w:tcPr>
            <w:tcW w:w="6173" w:type="dxa"/>
            <w:tcBorders>
              <w:top w:val="single" w:sz="12" w:space="0" w:color="00B050"/>
              <w:left w:val="single" w:sz="12" w:space="0" w:color="00B050"/>
              <w:bottom w:val="single" w:sz="4" w:space="0" w:color="00B050"/>
              <w:right w:val="single" w:sz="12" w:space="0" w:color="00B050"/>
            </w:tcBorders>
            <w:shd w:val="clear" w:color="auto" w:fill="FFFFFF"/>
          </w:tcPr>
          <w:p w14:paraId="440BADE5" w14:textId="77777777" w:rsidR="00D10689" w:rsidRPr="00CD4979" w:rsidRDefault="0017607F" w:rsidP="00CD4979">
            <w:pPr>
              <w:pStyle w:val="CETEquation"/>
            </w:pPr>
            <m:oMathPara>
              <m:oMath>
                <m:f>
                  <m:fPr>
                    <m:ctrlPr>
                      <w:rPr>
                        <w:rFonts w:ascii="Cambria Math" w:hAnsi="Cambria Math"/>
                      </w:rPr>
                    </m:ctrlPr>
                  </m:fPr>
                  <m:num>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L</m:t>
                        </m:r>
                      </m:sub>
                    </m:sSub>
                    <m:sSub>
                      <m:sSubPr>
                        <m:ctrlPr>
                          <w:rPr>
                            <w:rFonts w:ascii="Cambria Math" w:hAnsi="Cambria Math"/>
                          </w:rPr>
                        </m:ctrlPr>
                      </m:sSubPr>
                      <m:e>
                        <m:r>
                          <w:rPr>
                            <w:rFonts w:ascii="Cambria Math" w:hAnsi="Cambria Math"/>
                          </w:rPr>
                          <m:t>h</m:t>
                        </m:r>
                      </m:e>
                      <m:sub>
                        <m:r>
                          <w:rPr>
                            <w:rFonts w:ascii="Cambria Math" w:hAnsi="Cambria Math"/>
                          </w:rPr>
                          <m:t>L</m:t>
                        </m:r>
                      </m:sub>
                    </m:sSub>
                    <m:sSub>
                      <m:sSubPr>
                        <m:ctrlPr>
                          <w:rPr>
                            <w:rFonts w:ascii="Cambria Math" w:hAnsi="Cambria Math"/>
                          </w:rPr>
                        </m:ctrlPr>
                      </m:sSubPr>
                      <m:e>
                        <m:r>
                          <w:rPr>
                            <w:rFonts w:ascii="Cambria Math" w:hAnsi="Cambria Math"/>
                          </w:rPr>
                          <m:t>V</m:t>
                        </m:r>
                      </m:e>
                      <m:sub>
                        <m:r>
                          <w:rPr>
                            <w:rFonts w:ascii="Cambria Math" w:hAnsi="Cambria Math"/>
                          </w:rPr>
                          <m:t>L</m:t>
                        </m:r>
                      </m:sub>
                    </m:sSub>
                    <m:r>
                      <m:rPr>
                        <m:sty m:val="p"/>
                      </m:rPr>
                      <w:rPr>
                        <w:rFonts w:ascii="Cambria Math" w:hAnsi="Cambria Math"/>
                      </w:rPr>
                      <m:t>)</m:t>
                    </m:r>
                  </m:num>
                  <m:den>
                    <m:r>
                      <w:rPr>
                        <w:rFonts w:ascii="Cambria Math" w:hAnsi="Cambria Math"/>
                      </w:rPr>
                      <m:t>dt</m:t>
                    </m:r>
                  </m:den>
                </m:f>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W</m:t>
                    </m:r>
                    <m:r>
                      <m:rPr>
                        <m:sty m:val="p"/>
                      </m:rPr>
                      <w:rPr>
                        <w:rFonts w:ascii="Cambria Math" w:hAnsi="Cambria Math"/>
                      </w:rPr>
                      <m:t>-</m:t>
                    </m:r>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I</m:t>
                    </m:r>
                    <m:r>
                      <m:rPr>
                        <m:sty m:val="p"/>
                      </m:rPr>
                      <w:rPr>
                        <w:rFonts w:ascii="Cambria Math" w:hAnsi="Cambria Math"/>
                      </w:rPr>
                      <m:t>-</m:t>
                    </m:r>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Con</m:t>
                    </m:r>
                    <m:r>
                      <m:rPr>
                        <m:sty m:val="p"/>
                      </m:rPr>
                      <w:rPr>
                        <w:rFonts w:ascii="Cambria Math" w:hAnsi="Cambria Math"/>
                      </w:rPr>
                      <m:t xml:space="preserve"> </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Q</m:t>
                    </m:r>
                  </m:e>
                  <m:sub>
                    <m:r>
                      <w:rPr>
                        <w:rFonts w:ascii="Cambria Math" w:hAnsi="Cambria Math"/>
                      </w:rPr>
                      <m:t>Eva</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Rad</m:t>
                    </m:r>
                  </m:sub>
                </m:sSub>
              </m:oMath>
            </m:oMathPara>
          </w:p>
        </w:tc>
        <w:tc>
          <w:tcPr>
            <w:tcW w:w="636" w:type="dxa"/>
            <w:tcBorders>
              <w:top w:val="single" w:sz="12" w:space="0" w:color="00B050"/>
              <w:left w:val="single" w:sz="12" w:space="0" w:color="00B050"/>
              <w:bottom w:val="single" w:sz="4" w:space="0" w:color="00B050"/>
              <w:right w:val="nil"/>
            </w:tcBorders>
            <w:shd w:val="clear" w:color="auto" w:fill="FFFFFF"/>
          </w:tcPr>
          <w:p w14:paraId="0F1B1125" w14:textId="7B204D5C" w:rsidR="00D10689" w:rsidRPr="00B71EB5" w:rsidRDefault="003653B7" w:rsidP="000913B0">
            <w:pPr>
              <w:pStyle w:val="CETEquation"/>
              <w:jc w:val="both"/>
            </w:pPr>
            <w:r w:rsidRPr="00B71EB5">
              <w:rPr>
                <w:rFonts w:cs="Arial"/>
              </w:rPr>
              <w:t>(1)</w:t>
            </w:r>
          </w:p>
        </w:tc>
      </w:tr>
      <w:tr w:rsidR="003653B7" w:rsidRPr="00B71EB5" w14:paraId="73AC4D09" w14:textId="77777777" w:rsidTr="00BC5D8E">
        <w:trPr>
          <w:gridAfter w:val="1"/>
          <w:wAfter w:w="265" w:type="dxa"/>
          <w:trHeight w:val="267"/>
          <w:jc w:val="center"/>
        </w:trPr>
        <w:tc>
          <w:tcPr>
            <w:tcW w:w="1882" w:type="dxa"/>
            <w:tcBorders>
              <w:top w:val="single" w:sz="4" w:space="0" w:color="00B050"/>
              <w:left w:val="nil"/>
              <w:bottom w:val="single" w:sz="12" w:space="0" w:color="00B050"/>
              <w:right w:val="single" w:sz="12" w:space="0" w:color="00B050"/>
            </w:tcBorders>
            <w:shd w:val="clear" w:color="auto" w:fill="FFFFFF"/>
          </w:tcPr>
          <w:p w14:paraId="301F0206" w14:textId="77777777" w:rsidR="003653B7" w:rsidRPr="00B71EB5" w:rsidRDefault="003653B7" w:rsidP="000913B0">
            <w:pPr>
              <w:pStyle w:val="CETBodytext"/>
              <w:ind w:right="-1"/>
              <w:rPr>
                <w:rFonts w:cs="Arial"/>
                <w:szCs w:val="18"/>
                <w:lang w:val="en-GB"/>
              </w:rPr>
            </w:pPr>
            <w:r w:rsidRPr="00B71EB5">
              <w:rPr>
                <w:rFonts w:cs="Arial"/>
                <w:szCs w:val="18"/>
                <w:lang w:val="en-GB"/>
              </w:rPr>
              <w:t>Vapour phase</w:t>
            </w:r>
          </w:p>
        </w:tc>
        <w:tc>
          <w:tcPr>
            <w:tcW w:w="6173" w:type="dxa"/>
            <w:tcBorders>
              <w:top w:val="single" w:sz="4" w:space="0" w:color="00B050"/>
              <w:left w:val="single" w:sz="12" w:space="0" w:color="00B050"/>
              <w:bottom w:val="single" w:sz="12" w:space="0" w:color="00B050"/>
              <w:right w:val="single" w:sz="12" w:space="0" w:color="00B050"/>
            </w:tcBorders>
            <w:shd w:val="clear" w:color="auto" w:fill="FFFFFF"/>
          </w:tcPr>
          <w:p w14:paraId="309D633E" w14:textId="77777777" w:rsidR="003653B7" w:rsidRPr="00B71EB5" w:rsidRDefault="0017607F" w:rsidP="000913B0">
            <w:pPr>
              <w:pStyle w:val="CETEquation"/>
              <w:jc w:val="both"/>
              <w:rPr>
                <w:rFonts w:cs="Arial"/>
              </w:rPr>
            </w:pPr>
            <m:oMathPara>
              <m:oMath>
                <m:f>
                  <m:fPr>
                    <m:ctrlPr>
                      <w:rPr>
                        <w:rFonts w:ascii="Cambria Math" w:hAnsi="Cambria Math"/>
                      </w:rPr>
                    </m:ctrlPr>
                  </m:fPr>
                  <m:num>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V</m:t>
                        </m:r>
                      </m:sub>
                    </m:sSub>
                    <m:sSub>
                      <m:sSubPr>
                        <m:ctrlPr>
                          <w:rPr>
                            <w:rFonts w:ascii="Cambria Math" w:hAnsi="Cambria Math"/>
                          </w:rPr>
                        </m:ctrlPr>
                      </m:sSubPr>
                      <m:e>
                        <m:r>
                          <w:rPr>
                            <w:rFonts w:ascii="Cambria Math" w:hAnsi="Cambria Math"/>
                          </w:rPr>
                          <m:t>h</m:t>
                        </m:r>
                      </m:e>
                      <m:sub>
                        <m:r>
                          <w:rPr>
                            <w:rFonts w:ascii="Cambria Math" w:hAnsi="Cambria Math"/>
                          </w:rPr>
                          <m:t>V</m:t>
                        </m:r>
                      </m:sub>
                    </m:sSub>
                    <m:sSub>
                      <m:sSubPr>
                        <m:ctrlPr>
                          <w:rPr>
                            <w:rFonts w:ascii="Cambria Math" w:hAnsi="Cambria Math"/>
                          </w:rPr>
                        </m:ctrlPr>
                      </m:sSubPr>
                      <m:e>
                        <m:r>
                          <w:rPr>
                            <w:rFonts w:ascii="Cambria Math" w:hAnsi="Cambria Math"/>
                          </w:rPr>
                          <m:t>V</m:t>
                        </m:r>
                      </m:e>
                      <m:sub>
                        <m:r>
                          <w:rPr>
                            <w:rFonts w:ascii="Cambria Math" w:hAnsi="Cambria Math"/>
                          </w:rPr>
                          <m:t>V</m:t>
                        </m:r>
                      </m:sub>
                    </m:sSub>
                    <m:r>
                      <m:rPr>
                        <m:sty m:val="p"/>
                      </m:rPr>
                      <w:rPr>
                        <w:rFonts w:ascii="Cambria Math" w:hAnsi="Cambria Math"/>
                      </w:rPr>
                      <m:t>)</m:t>
                    </m:r>
                  </m:num>
                  <m:den>
                    <m:r>
                      <w:rPr>
                        <w:rFonts w:ascii="Cambria Math" w:hAnsi="Cambria Math"/>
                      </w:rPr>
                      <m:t>dt</m:t>
                    </m:r>
                  </m:den>
                </m:f>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Q</m:t>
                        </m:r>
                      </m:e>
                    </m:acc>
                  </m:e>
                  <m:sub>
                    <m:r>
                      <w:rPr>
                        <w:rFonts w:ascii="Cambria Math" w:hAnsi="Cambria Math"/>
                      </w:rPr>
                      <m:t>W</m:t>
                    </m:r>
                    <m:r>
                      <m:rPr>
                        <m:sty m:val="p"/>
                      </m:rPr>
                      <w:rPr>
                        <w:rFonts w:ascii="Cambria Math" w:hAnsi="Cambria Math"/>
                      </w:rPr>
                      <m:t>-</m:t>
                    </m:r>
                    <m:r>
                      <w:rPr>
                        <w:rFonts w:ascii="Cambria Math" w:hAnsi="Cambria Math"/>
                      </w:rPr>
                      <m:t>V</m:t>
                    </m:r>
                    <m:r>
                      <m:rPr>
                        <m:sty m:val="p"/>
                      </m:rPr>
                      <w:rPr>
                        <w:rFonts w:ascii="Cambria Math" w:hAnsi="Cambria Math"/>
                      </w:rPr>
                      <m:t xml:space="preserve"> </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Q</m:t>
                    </m:r>
                  </m:e>
                  <m:sub>
                    <m:r>
                      <w:rPr>
                        <w:rFonts w:ascii="Cambria Math" w:hAnsi="Cambria Math"/>
                      </w:rPr>
                      <m:t>V</m:t>
                    </m:r>
                    <m:r>
                      <m:rPr>
                        <m:sty m:val="p"/>
                      </m:rPr>
                      <w:rPr>
                        <w:rFonts w:ascii="Cambria Math" w:hAnsi="Cambria Math"/>
                      </w:rPr>
                      <m:t>-</m:t>
                    </m:r>
                    <m:r>
                      <w:rPr>
                        <w:rFonts w:ascii="Cambria Math" w:hAnsi="Cambria Math"/>
                      </w:rPr>
                      <m:t>I</m:t>
                    </m:r>
                    <m:r>
                      <m:rPr>
                        <m:sty m:val="p"/>
                      </m:rPr>
                      <w:rPr>
                        <w:rFonts w:ascii="Cambria Math" w:hAnsi="Cambria Math"/>
                      </w:rPr>
                      <m:t xml:space="preserve"> </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Q</m:t>
                    </m:r>
                  </m:e>
                  <m:sub>
                    <m:r>
                      <w:rPr>
                        <w:rFonts w:ascii="Cambria Math" w:hAnsi="Cambria Math"/>
                      </w:rPr>
                      <m:t>Con</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Eva</m:t>
                    </m:r>
                  </m:sub>
                </m:sSub>
                <m:r>
                  <m:rPr>
                    <m:sty m:val="p"/>
                  </m:rPr>
                  <w:rPr>
                    <w:rFonts w:ascii="Cambria Math" w:hAnsi="Cambria Math"/>
                  </w:rPr>
                  <m:t>-</m:t>
                </m:r>
                <m:f>
                  <m:fPr>
                    <m:ctrlPr>
                      <w:rPr>
                        <w:rFonts w:ascii="Cambria Math" w:hAnsi="Cambria Math"/>
                      </w:rPr>
                    </m:ctrlPr>
                  </m:fPr>
                  <m:num>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V</m:t>
                        </m:r>
                      </m:sub>
                    </m:sSub>
                    <m:r>
                      <m:rPr>
                        <m:sty m:val="p"/>
                      </m:rPr>
                      <w:rPr>
                        <w:rFonts w:ascii="Cambria Math" w:hAnsi="Cambria Math"/>
                      </w:rPr>
                      <m:t>)</m:t>
                    </m:r>
                  </m:num>
                  <m:den>
                    <m:r>
                      <w:rPr>
                        <w:rFonts w:ascii="Cambria Math" w:hAnsi="Cambria Math"/>
                      </w:rPr>
                      <m:t>dt</m:t>
                    </m:r>
                  </m:den>
                </m:f>
                <m:sSub>
                  <m:sSubPr>
                    <m:ctrlPr>
                      <w:rPr>
                        <w:rFonts w:ascii="Cambria Math" w:hAnsi="Cambria Math"/>
                      </w:rPr>
                    </m:ctrlPr>
                  </m:sSubPr>
                  <m:e>
                    <m:r>
                      <w:rPr>
                        <w:rFonts w:ascii="Cambria Math" w:hAnsi="Cambria Math"/>
                      </w:rPr>
                      <m:t>h</m:t>
                    </m:r>
                  </m:e>
                  <m:sub>
                    <m:r>
                      <w:rPr>
                        <w:rFonts w:ascii="Cambria Math" w:hAnsi="Cambria Math"/>
                      </w:rPr>
                      <m:t>V</m:t>
                    </m:r>
                  </m:sub>
                </m:sSub>
                <m:r>
                  <m:rPr>
                    <m:sty m:val="p"/>
                  </m:rPr>
                  <w:rPr>
                    <w:rFonts w:ascii="Cambria Math" w:hAnsi="Cambria Math"/>
                  </w:rPr>
                  <m:t xml:space="preserve"> </m:t>
                </m:r>
              </m:oMath>
            </m:oMathPara>
          </w:p>
        </w:tc>
        <w:tc>
          <w:tcPr>
            <w:tcW w:w="636" w:type="dxa"/>
            <w:tcBorders>
              <w:top w:val="single" w:sz="4" w:space="0" w:color="00B050"/>
              <w:left w:val="single" w:sz="12" w:space="0" w:color="00B050"/>
              <w:bottom w:val="single" w:sz="12" w:space="0" w:color="00B050"/>
              <w:right w:val="nil"/>
            </w:tcBorders>
            <w:shd w:val="clear" w:color="auto" w:fill="FFFFFF"/>
          </w:tcPr>
          <w:p w14:paraId="20F50ACE" w14:textId="674FB5D5" w:rsidR="003653B7" w:rsidRPr="00B71EB5" w:rsidRDefault="003653B7" w:rsidP="000913B0">
            <w:pPr>
              <w:pStyle w:val="CETEquation"/>
              <w:jc w:val="both"/>
              <w:rPr>
                <w:rFonts w:cs="Arial"/>
              </w:rPr>
            </w:pPr>
            <w:r w:rsidRPr="00B71EB5">
              <w:rPr>
                <w:rFonts w:cs="Arial"/>
              </w:rPr>
              <w:t>(</w:t>
            </w:r>
            <w:r w:rsidR="00AD7B83" w:rsidRPr="00B71EB5">
              <w:rPr>
                <w:rFonts w:cs="Arial"/>
              </w:rPr>
              <w:t>2</w:t>
            </w:r>
            <w:r w:rsidRPr="00B71EB5">
              <w:rPr>
                <w:rFonts w:cs="Arial"/>
              </w:rPr>
              <w:t>)</w:t>
            </w:r>
          </w:p>
        </w:tc>
      </w:tr>
      <w:tr w:rsidR="00BC5D8E" w:rsidRPr="00B71EB5" w14:paraId="164CD3C8" w14:textId="77777777" w:rsidTr="00BC5D8E">
        <w:trPr>
          <w:gridAfter w:val="1"/>
          <w:wAfter w:w="265" w:type="dxa"/>
          <w:trHeight w:val="301"/>
          <w:jc w:val="center"/>
        </w:trPr>
        <w:tc>
          <w:tcPr>
            <w:tcW w:w="8691" w:type="dxa"/>
            <w:gridSpan w:val="3"/>
            <w:tcBorders>
              <w:top w:val="single" w:sz="12" w:space="0" w:color="00B050"/>
              <w:left w:val="nil"/>
              <w:bottom w:val="single" w:sz="12" w:space="0" w:color="00B050"/>
              <w:right w:val="nil"/>
            </w:tcBorders>
            <w:shd w:val="clear" w:color="auto" w:fill="FFFFFF"/>
          </w:tcPr>
          <w:p w14:paraId="3FB82413" w14:textId="35B73C2D" w:rsidR="00BC5D8E" w:rsidRPr="00B71EB5" w:rsidRDefault="00BC5D8E" w:rsidP="00BC5D8E">
            <w:pPr>
              <w:pStyle w:val="CETEquation"/>
              <w:jc w:val="center"/>
              <w:rPr>
                <w:rFonts w:cs="Arial"/>
              </w:rPr>
            </w:pPr>
            <w:r w:rsidRPr="00BC5D8E">
              <w:rPr>
                <w:rFonts w:cs="Arial"/>
                <w:b/>
                <w:bCs/>
                <w:szCs w:val="18"/>
              </w:rPr>
              <w:t>Mass conservation</w:t>
            </w:r>
          </w:p>
        </w:tc>
      </w:tr>
      <w:tr w:rsidR="003653B7" w:rsidRPr="00B71EB5" w14:paraId="410B642C" w14:textId="77777777" w:rsidTr="00BC5D8E">
        <w:trPr>
          <w:gridAfter w:val="1"/>
          <w:wAfter w:w="265" w:type="dxa"/>
          <w:trHeight w:val="267"/>
          <w:jc w:val="center"/>
        </w:trPr>
        <w:tc>
          <w:tcPr>
            <w:tcW w:w="1882" w:type="dxa"/>
            <w:tcBorders>
              <w:top w:val="single" w:sz="12" w:space="0" w:color="00B050"/>
              <w:left w:val="nil"/>
              <w:bottom w:val="single" w:sz="4" w:space="0" w:color="00B050"/>
              <w:right w:val="single" w:sz="12" w:space="0" w:color="00B050"/>
            </w:tcBorders>
            <w:shd w:val="clear" w:color="auto" w:fill="FFFFFF"/>
          </w:tcPr>
          <w:p w14:paraId="1C656232" w14:textId="77777777" w:rsidR="003653B7" w:rsidRPr="00B71EB5" w:rsidRDefault="003653B7" w:rsidP="000913B0">
            <w:pPr>
              <w:pStyle w:val="CETBodytext"/>
              <w:ind w:right="-1"/>
              <w:rPr>
                <w:rFonts w:cs="Arial"/>
                <w:szCs w:val="18"/>
                <w:lang w:val="en-GB"/>
              </w:rPr>
            </w:pPr>
            <w:r w:rsidRPr="00B71EB5">
              <w:rPr>
                <w:rFonts w:cs="Arial"/>
                <w:szCs w:val="18"/>
                <w:lang w:val="en-GB"/>
              </w:rPr>
              <w:t>Liquid phase</w:t>
            </w:r>
          </w:p>
        </w:tc>
        <w:tc>
          <w:tcPr>
            <w:tcW w:w="6173" w:type="dxa"/>
            <w:tcBorders>
              <w:top w:val="single" w:sz="12" w:space="0" w:color="00B050"/>
              <w:left w:val="single" w:sz="12" w:space="0" w:color="00B050"/>
              <w:bottom w:val="single" w:sz="4" w:space="0" w:color="00B050"/>
              <w:right w:val="single" w:sz="12" w:space="0" w:color="00B050"/>
            </w:tcBorders>
            <w:shd w:val="clear" w:color="auto" w:fill="FFFFFF"/>
          </w:tcPr>
          <w:p w14:paraId="7874D707" w14:textId="77777777" w:rsidR="003653B7" w:rsidRPr="00B71EB5" w:rsidRDefault="0017607F" w:rsidP="000913B0">
            <w:pPr>
              <w:pStyle w:val="CETEquation"/>
              <w:jc w:val="both"/>
              <w:rPr>
                <w:rFonts w:cs="Arial"/>
              </w:rPr>
            </w:pPr>
            <m:oMathPara>
              <m:oMath>
                <m:f>
                  <m:fPr>
                    <m:ctrlPr>
                      <w:rPr>
                        <w:rFonts w:ascii="Cambria Math" w:hAnsi="Cambria Math"/>
                      </w:rPr>
                    </m:ctrlPr>
                  </m:fPr>
                  <m:num>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L</m:t>
                        </m:r>
                      </m:sub>
                    </m:sSub>
                    <m:r>
                      <m:rPr>
                        <m:sty m:val="p"/>
                      </m:rPr>
                      <w:rPr>
                        <w:rFonts w:ascii="Cambria Math" w:hAnsi="Cambria Math"/>
                      </w:rPr>
                      <m:t>)</m:t>
                    </m:r>
                  </m:num>
                  <m:den>
                    <m:r>
                      <w:rPr>
                        <w:rFonts w:ascii="Cambria Math" w:hAnsi="Cambria Math"/>
                      </w:rPr>
                      <m:t>dt</m:t>
                    </m:r>
                  </m:den>
                </m:f>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m</m:t>
                        </m:r>
                      </m:e>
                    </m:acc>
                  </m:e>
                  <m:sub>
                    <m:r>
                      <w:rPr>
                        <w:rFonts w:ascii="Cambria Math" w:hAnsi="Cambria Math"/>
                      </w:rPr>
                      <m:t>Con</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m</m:t>
                        </m:r>
                      </m:e>
                    </m:acc>
                  </m:e>
                  <m:sub>
                    <m:r>
                      <w:rPr>
                        <w:rFonts w:ascii="Cambria Math" w:hAnsi="Cambria Math"/>
                      </w:rPr>
                      <m:t>Eva</m:t>
                    </m:r>
                  </m:sub>
                </m:sSub>
              </m:oMath>
            </m:oMathPara>
          </w:p>
        </w:tc>
        <w:tc>
          <w:tcPr>
            <w:tcW w:w="636" w:type="dxa"/>
            <w:tcBorders>
              <w:top w:val="single" w:sz="12" w:space="0" w:color="00B050"/>
              <w:left w:val="single" w:sz="12" w:space="0" w:color="00B050"/>
              <w:bottom w:val="single" w:sz="4" w:space="0" w:color="00B050"/>
              <w:right w:val="nil"/>
            </w:tcBorders>
            <w:shd w:val="clear" w:color="auto" w:fill="FFFFFF"/>
          </w:tcPr>
          <w:p w14:paraId="356A1098" w14:textId="25AF4BC3" w:rsidR="003653B7" w:rsidRPr="00B71EB5" w:rsidRDefault="003653B7" w:rsidP="000913B0">
            <w:pPr>
              <w:pStyle w:val="CETEquation"/>
              <w:jc w:val="both"/>
              <w:rPr>
                <w:rFonts w:cs="Arial"/>
              </w:rPr>
            </w:pPr>
            <w:r w:rsidRPr="00B71EB5">
              <w:rPr>
                <w:rFonts w:cs="Arial"/>
              </w:rPr>
              <w:t>(</w:t>
            </w:r>
            <w:r w:rsidR="00AD7B83" w:rsidRPr="00B71EB5">
              <w:rPr>
                <w:rFonts w:cs="Arial"/>
              </w:rPr>
              <w:t>3</w:t>
            </w:r>
            <w:r w:rsidRPr="00B71EB5">
              <w:rPr>
                <w:rFonts w:cs="Arial"/>
              </w:rPr>
              <w:t>)</w:t>
            </w:r>
          </w:p>
        </w:tc>
      </w:tr>
      <w:tr w:rsidR="003653B7" w:rsidRPr="00B71EB5" w14:paraId="727AD158" w14:textId="77777777" w:rsidTr="00BC5D8E">
        <w:trPr>
          <w:gridAfter w:val="1"/>
          <w:wAfter w:w="265" w:type="dxa"/>
          <w:trHeight w:val="267"/>
          <w:jc w:val="center"/>
        </w:trPr>
        <w:tc>
          <w:tcPr>
            <w:tcW w:w="1882" w:type="dxa"/>
            <w:tcBorders>
              <w:top w:val="single" w:sz="4" w:space="0" w:color="00B050"/>
              <w:left w:val="nil"/>
              <w:bottom w:val="single" w:sz="12" w:space="0" w:color="00B050"/>
              <w:right w:val="single" w:sz="12" w:space="0" w:color="00B050"/>
            </w:tcBorders>
            <w:shd w:val="clear" w:color="auto" w:fill="FFFFFF"/>
          </w:tcPr>
          <w:p w14:paraId="6D0EB45D" w14:textId="77777777" w:rsidR="003653B7" w:rsidRPr="00B71EB5" w:rsidRDefault="003653B7" w:rsidP="000913B0">
            <w:pPr>
              <w:pStyle w:val="CETBodytext"/>
              <w:ind w:right="-1"/>
              <w:rPr>
                <w:rFonts w:cs="Arial"/>
                <w:szCs w:val="18"/>
                <w:lang w:val="en-GB"/>
              </w:rPr>
            </w:pPr>
            <w:r w:rsidRPr="00B71EB5">
              <w:rPr>
                <w:rFonts w:cs="Arial"/>
                <w:szCs w:val="18"/>
                <w:lang w:val="en-GB"/>
              </w:rPr>
              <w:t>Vapor phase</w:t>
            </w:r>
          </w:p>
        </w:tc>
        <w:tc>
          <w:tcPr>
            <w:tcW w:w="6173" w:type="dxa"/>
            <w:tcBorders>
              <w:top w:val="single" w:sz="4" w:space="0" w:color="00B050"/>
              <w:left w:val="single" w:sz="12" w:space="0" w:color="00B050"/>
              <w:bottom w:val="single" w:sz="12" w:space="0" w:color="00B050"/>
              <w:right w:val="single" w:sz="12" w:space="0" w:color="00B050"/>
            </w:tcBorders>
            <w:shd w:val="clear" w:color="auto" w:fill="FFFFFF"/>
          </w:tcPr>
          <w:p w14:paraId="682A3F74" w14:textId="77777777" w:rsidR="003653B7" w:rsidRPr="00B71EB5" w:rsidRDefault="0017607F" w:rsidP="000913B0">
            <w:pPr>
              <w:pStyle w:val="CETEquation"/>
              <w:jc w:val="both"/>
              <w:rPr>
                <w:rFonts w:cs="Arial"/>
              </w:rPr>
            </w:pPr>
            <m:oMathPara>
              <m:oMath>
                <m:f>
                  <m:fPr>
                    <m:ctrlPr>
                      <w:rPr>
                        <w:rFonts w:ascii="Cambria Math" w:hAnsi="Cambria Math"/>
                      </w:rPr>
                    </m:ctrlPr>
                  </m:fPr>
                  <m:num>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V</m:t>
                        </m:r>
                      </m:sub>
                    </m:sSub>
                    <m:r>
                      <m:rPr>
                        <m:sty m:val="p"/>
                      </m:rPr>
                      <w:rPr>
                        <w:rFonts w:ascii="Cambria Math" w:hAnsi="Cambria Math"/>
                      </w:rPr>
                      <m:t>)</m:t>
                    </m:r>
                  </m:num>
                  <m:den>
                    <m:r>
                      <w:rPr>
                        <w:rFonts w:ascii="Cambria Math" w:hAnsi="Cambria Math"/>
                      </w:rPr>
                      <m:t>dt</m:t>
                    </m:r>
                  </m:den>
                </m:f>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m</m:t>
                        </m:r>
                      </m:e>
                    </m:acc>
                  </m:e>
                  <m:sub>
                    <m:r>
                      <w:rPr>
                        <w:rFonts w:ascii="Cambria Math" w:hAnsi="Cambria Math"/>
                      </w:rPr>
                      <m:t>Eva</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m</m:t>
                        </m:r>
                      </m:e>
                    </m:acc>
                  </m:e>
                  <m:sub>
                    <m:r>
                      <w:rPr>
                        <w:rFonts w:ascii="Cambria Math" w:hAnsi="Cambria Math"/>
                      </w:rPr>
                      <m:t>Con</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m</m:t>
                        </m:r>
                      </m:e>
                    </m:acc>
                  </m:e>
                  <m:sub>
                    <m:r>
                      <w:rPr>
                        <w:rFonts w:ascii="Cambria Math" w:hAnsi="Cambria Math"/>
                      </w:rPr>
                      <m:t>PRV</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m</m:t>
                        </m:r>
                      </m:e>
                    </m:acc>
                  </m:e>
                  <m:sub>
                    <m:r>
                      <w:rPr>
                        <w:rFonts w:ascii="Cambria Math" w:hAnsi="Cambria Math"/>
                      </w:rPr>
                      <m:t>Boil</m:t>
                    </m:r>
                    <m:r>
                      <m:rPr>
                        <m:sty m:val="p"/>
                      </m:rPr>
                      <w:rPr>
                        <w:rFonts w:ascii="Cambria Math" w:hAnsi="Cambria Math"/>
                      </w:rPr>
                      <m:t>-</m:t>
                    </m:r>
                    <m:r>
                      <w:rPr>
                        <w:rFonts w:ascii="Cambria Math" w:hAnsi="Cambria Math"/>
                      </w:rPr>
                      <m:t>Off</m:t>
                    </m:r>
                  </m:sub>
                </m:sSub>
              </m:oMath>
            </m:oMathPara>
          </w:p>
        </w:tc>
        <w:tc>
          <w:tcPr>
            <w:tcW w:w="636" w:type="dxa"/>
            <w:tcBorders>
              <w:top w:val="single" w:sz="4" w:space="0" w:color="00B050"/>
              <w:left w:val="single" w:sz="12" w:space="0" w:color="00B050"/>
              <w:bottom w:val="single" w:sz="12" w:space="0" w:color="00B050"/>
              <w:right w:val="nil"/>
            </w:tcBorders>
            <w:shd w:val="clear" w:color="auto" w:fill="FFFFFF"/>
          </w:tcPr>
          <w:p w14:paraId="37D14618" w14:textId="29DDC2C5" w:rsidR="003653B7" w:rsidRPr="00B71EB5" w:rsidRDefault="003653B7" w:rsidP="000913B0">
            <w:pPr>
              <w:pStyle w:val="CETEquation"/>
              <w:jc w:val="both"/>
              <w:rPr>
                <w:rFonts w:cs="Arial"/>
              </w:rPr>
            </w:pPr>
            <w:r w:rsidRPr="00B71EB5">
              <w:rPr>
                <w:rFonts w:cs="Arial"/>
              </w:rPr>
              <w:t>(</w:t>
            </w:r>
            <w:r w:rsidR="00AD7B83" w:rsidRPr="00B71EB5">
              <w:rPr>
                <w:rFonts w:cs="Arial"/>
              </w:rPr>
              <w:t>4</w:t>
            </w:r>
            <w:r w:rsidRPr="00B71EB5">
              <w:rPr>
                <w:rFonts w:cs="Arial"/>
              </w:rPr>
              <w:t>)</w:t>
            </w:r>
          </w:p>
        </w:tc>
      </w:tr>
      <w:tr w:rsidR="003653B7" w:rsidRPr="00B71EB5" w14:paraId="751DAE4C" w14:textId="77777777" w:rsidTr="00BC5D8E">
        <w:trPr>
          <w:gridAfter w:val="1"/>
          <w:wAfter w:w="265" w:type="dxa"/>
          <w:trHeight w:val="267"/>
          <w:jc w:val="center"/>
        </w:trPr>
        <w:tc>
          <w:tcPr>
            <w:tcW w:w="1882" w:type="dxa"/>
            <w:tcBorders>
              <w:top w:val="single" w:sz="12" w:space="0" w:color="00B050"/>
              <w:left w:val="nil"/>
              <w:bottom w:val="single" w:sz="12" w:space="0" w:color="00B050"/>
              <w:right w:val="single" w:sz="12" w:space="0" w:color="00B050"/>
            </w:tcBorders>
            <w:shd w:val="clear" w:color="auto" w:fill="FFFFFF"/>
          </w:tcPr>
          <w:p w14:paraId="6CBE19DF" w14:textId="01F8F7FC" w:rsidR="003653B7" w:rsidRPr="00B71EB5" w:rsidRDefault="003653B7" w:rsidP="000913B0">
            <w:pPr>
              <w:pStyle w:val="CETBodytext"/>
              <w:ind w:right="-1"/>
              <w:rPr>
                <w:rFonts w:cs="Arial"/>
                <w:szCs w:val="18"/>
                <w:lang w:val="en-GB"/>
              </w:rPr>
            </w:pPr>
            <w:r w:rsidRPr="00B71EB5">
              <w:rPr>
                <w:rFonts w:cs="Arial"/>
                <w:szCs w:val="18"/>
                <w:lang w:val="en-GB"/>
              </w:rPr>
              <w:t>Pressure variation</w:t>
            </w:r>
          </w:p>
        </w:tc>
        <w:tc>
          <w:tcPr>
            <w:tcW w:w="6173" w:type="dxa"/>
            <w:tcBorders>
              <w:top w:val="single" w:sz="12" w:space="0" w:color="00B050"/>
              <w:left w:val="single" w:sz="12" w:space="0" w:color="00B050"/>
              <w:bottom w:val="single" w:sz="12" w:space="0" w:color="00B050"/>
              <w:right w:val="single" w:sz="12" w:space="0" w:color="00B050"/>
            </w:tcBorders>
            <w:shd w:val="clear" w:color="auto" w:fill="FFFFFF"/>
          </w:tcPr>
          <w:p w14:paraId="53F3786C" w14:textId="77777777" w:rsidR="003653B7" w:rsidRPr="00B71EB5" w:rsidRDefault="0017607F" w:rsidP="000913B0">
            <w:pPr>
              <w:pStyle w:val="CETEquation"/>
              <w:jc w:val="both"/>
              <w:rPr>
                <w:rFonts w:cs="Arial"/>
              </w:rPr>
            </w:pPr>
            <m:oMathPara>
              <m:oMath>
                <m:f>
                  <m:fPr>
                    <m:ctrlPr>
                      <w:rPr>
                        <w:rFonts w:ascii="Cambria Math" w:hAnsi="Cambria Math"/>
                      </w:rPr>
                    </m:ctrlPr>
                  </m:fPr>
                  <m:num>
                    <m:r>
                      <w:rPr>
                        <w:rFonts w:ascii="Cambria Math" w:hAnsi="Cambria Math"/>
                      </w:rPr>
                      <m:t>dP</m:t>
                    </m:r>
                  </m:num>
                  <m:den>
                    <m:r>
                      <w:rPr>
                        <w:rFonts w:ascii="Cambria Math" w:hAnsi="Cambria Math"/>
                      </w:rPr>
                      <m:t>dt</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ρ</m:t>
                        </m:r>
                      </m:e>
                      <m:sub>
                        <m:r>
                          <w:rPr>
                            <w:rFonts w:ascii="Cambria Math" w:hAnsi="Cambria Math"/>
                          </w:rPr>
                          <m:t>V</m:t>
                        </m:r>
                      </m:sub>
                    </m:sSub>
                  </m:num>
                  <m:den>
                    <m:sSub>
                      <m:sSubPr>
                        <m:ctrlPr>
                          <w:rPr>
                            <w:rFonts w:ascii="Cambria Math" w:hAnsi="Cambria Math"/>
                          </w:rPr>
                        </m:ctrlPr>
                      </m:sSubPr>
                      <m:e>
                        <m:r>
                          <w:rPr>
                            <w:rFonts w:ascii="Cambria Math" w:hAnsi="Cambria Math"/>
                          </w:rPr>
                          <m:t>m</m:t>
                        </m:r>
                      </m:e>
                      <m:sub>
                        <m:r>
                          <w:rPr>
                            <w:rFonts w:ascii="Cambria Math" w:hAnsi="Cambria Math"/>
                          </w:rPr>
                          <m:t>V</m:t>
                        </m:r>
                      </m:sub>
                    </m:sSub>
                  </m:den>
                </m:f>
                <m:d>
                  <m:dPr>
                    <m:ctrlPr>
                      <w:rPr>
                        <w:rFonts w:ascii="Cambria Math" w:hAnsi="Cambria Math"/>
                      </w:rPr>
                    </m:ctrlPr>
                  </m:dPr>
                  <m:e>
                    <m:f>
                      <m:fPr>
                        <m:ctrlPr>
                          <w:rPr>
                            <w:rFonts w:ascii="Cambria Math" w:hAnsi="Cambria Math"/>
                          </w:rPr>
                        </m:ctrlPr>
                      </m:fPr>
                      <m:num>
                        <m:r>
                          <w:rPr>
                            <w:rFonts w:ascii="Cambria Math" w:hAnsi="Cambria Math"/>
                          </w:rPr>
                          <m:t>P</m:t>
                        </m:r>
                      </m:num>
                      <m:den>
                        <m:sSub>
                          <m:sSubPr>
                            <m:ctrlPr>
                              <w:rPr>
                                <w:rFonts w:ascii="Cambria Math" w:hAnsi="Cambria Math"/>
                              </w:rPr>
                            </m:ctrlPr>
                          </m:sSubPr>
                          <m:e>
                            <m:r>
                              <w:rPr>
                                <w:rFonts w:ascii="Cambria Math" w:hAnsi="Cambria Math"/>
                              </w:rPr>
                              <m:t>ρ</m:t>
                            </m:r>
                          </m:e>
                          <m:sub>
                            <m:r>
                              <w:rPr>
                                <w:rFonts w:ascii="Cambria Math" w:hAnsi="Cambria Math"/>
                              </w:rPr>
                              <m:t>L</m:t>
                            </m:r>
                          </m:sub>
                        </m:sSub>
                      </m:den>
                    </m:f>
                    <m:f>
                      <m:fPr>
                        <m:ctrlPr>
                          <w:rPr>
                            <w:rFonts w:ascii="Cambria Math" w:hAnsi="Cambria Math"/>
                          </w:rPr>
                        </m:ctrlPr>
                      </m:fPr>
                      <m:num>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L</m:t>
                            </m:r>
                          </m:sub>
                        </m:sSub>
                        <m:r>
                          <m:rPr>
                            <m:sty m:val="p"/>
                          </m:rPr>
                          <w:rPr>
                            <w:rFonts w:ascii="Cambria Math" w:hAnsi="Cambria Math"/>
                          </w:rPr>
                          <m:t>)</m:t>
                        </m:r>
                      </m:num>
                      <m:den>
                        <m:r>
                          <w:rPr>
                            <w:rFonts w:ascii="Cambria Math" w:hAnsi="Cambria Math"/>
                          </w:rPr>
                          <m:t>dt</m:t>
                        </m:r>
                      </m:den>
                    </m:f>
                    <m:r>
                      <m:rPr>
                        <m:sty m:val="p"/>
                      </m:rPr>
                      <w:rPr>
                        <w:rFonts w:ascii="Cambria Math" w:hAnsi="Cambria Math"/>
                      </w:rPr>
                      <m:t>+</m:t>
                    </m:r>
                    <m:f>
                      <m:fPr>
                        <m:ctrlPr>
                          <w:rPr>
                            <w:rFonts w:ascii="Cambria Math" w:hAnsi="Cambria Math"/>
                          </w:rPr>
                        </m:ctrlPr>
                      </m:fPr>
                      <m:num>
                        <m:r>
                          <w:rPr>
                            <w:rFonts w:ascii="Cambria Math" w:hAnsi="Cambria Math"/>
                          </w:rPr>
                          <m:t>R</m:t>
                        </m:r>
                        <m:sSub>
                          <m:sSubPr>
                            <m:ctrlPr>
                              <w:rPr>
                                <w:rFonts w:ascii="Cambria Math" w:hAnsi="Cambria Math"/>
                              </w:rPr>
                            </m:ctrlPr>
                          </m:sSubPr>
                          <m:e>
                            <m:r>
                              <w:rPr>
                                <w:rFonts w:ascii="Cambria Math" w:hAnsi="Cambria Math"/>
                              </w:rPr>
                              <m:t>T</m:t>
                            </m:r>
                          </m:e>
                          <m:sub>
                            <m:r>
                              <w:rPr>
                                <w:rFonts w:ascii="Cambria Math" w:hAnsi="Cambria Math"/>
                              </w:rPr>
                              <m:t>V</m:t>
                            </m:r>
                          </m:sub>
                        </m:sSub>
                      </m:num>
                      <m:den>
                        <m:r>
                          <w:rPr>
                            <w:rFonts w:ascii="Cambria Math" w:hAnsi="Cambria Math"/>
                          </w:rPr>
                          <m:t>M</m:t>
                        </m:r>
                      </m:den>
                    </m:f>
                    <m:f>
                      <m:fPr>
                        <m:ctrlPr>
                          <w:rPr>
                            <w:rFonts w:ascii="Cambria Math" w:hAnsi="Cambria Math"/>
                          </w:rPr>
                        </m:ctrlPr>
                      </m:fPr>
                      <m:num>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V</m:t>
                            </m:r>
                          </m:sub>
                        </m:sSub>
                        <m:r>
                          <m:rPr>
                            <m:sty m:val="p"/>
                          </m:rPr>
                          <w:rPr>
                            <w:rFonts w:ascii="Cambria Math" w:hAnsi="Cambria Math"/>
                          </w:rPr>
                          <m:t>)</m:t>
                        </m:r>
                      </m:num>
                      <m:den>
                        <m:r>
                          <w:rPr>
                            <w:rFonts w:ascii="Cambria Math" w:hAnsi="Cambria Math"/>
                          </w:rPr>
                          <m:t>dt</m:t>
                        </m:r>
                      </m:den>
                    </m:f>
                    <m:r>
                      <m:rPr>
                        <m:sty m:val="p"/>
                      </m:rPr>
                      <w:rPr>
                        <w:rFonts w:ascii="Cambria Math" w:hAnsi="Cambria Math"/>
                      </w:rPr>
                      <m:t>+</m:t>
                    </m:r>
                    <m:f>
                      <m:fPr>
                        <m:ctrlPr>
                          <w:rPr>
                            <w:rFonts w:ascii="Cambria Math" w:hAnsi="Cambria Math"/>
                          </w:rPr>
                        </m:ctrlPr>
                      </m:fPr>
                      <m:num>
                        <m:r>
                          <w:rPr>
                            <w:rFonts w:ascii="Cambria Math" w:hAnsi="Cambria Math"/>
                          </w:rPr>
                          <m:t>R</m:t>
                        </m:r>
                        <m:sSub>
                          <m:sSubPr>
                            <m:ctrlPr>
                              <w:rPr>
                                <w:rFonts w:ascii="Cambria Math" w:hAnsi="Cambria Math"/>
                              </w:rPr>
                            </m:ctrlPr>
                          </m:sSubPr>
                          <m:e>
                            <m:r>
                              <w:rPr>
                                <w:rFonts w:ascii="Cambria Math" w:hAnsi="Cambria Math"/>
                              </w:rPr>
                              <m:t>m</m:t>
                            </m:r>
                          </m:e>
                          <m:sub>
                            <m:r>
                              <w:rPr>
                                <w:rFonts w:ascii="Cambria Math" w:hAnsi="Cambria Math"/>
                              </w:rPr>
                              <m:t>V</m:t>
                            </m:r>
                          </m:sub>
                        </m:sSub>
                      </m:num>
                      <m:den>
                        <m:r>
                          <w:rPr>
                            <w:rFonts w:ascii="Cambria Math" w:hAnsi="Cambria Math"/>
                          </w:rPr>
                          <m:t>M</m:t>
                        </m:r>
                      </m:den>
                    </m:f>
                    <m:f>
                      <m:fPr>
                        <m:ctrlPr>
                          <w:rPr>
                            <w:rFonts w:ascii="Cambria Math" w:hAnsi="Cambria Math"/>
                          </w:rPr>
                        </m:ctrlPr>
                      </m:fPr>
                      <m:num>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V</m:t>
                            </m:r>
                          </m:sub>
                        </m:sSub>
                        <m:r>
                          <m:rPr>
                            <m:sty m:val="p"/>
                          </m:rPr>
                          <w:rPr>
                            <w:rFonts w:ascii="Cambria Math" w:hAnsi="Cambria Math"/>
                          </w:rPr>
                          <m:t>)</m:t>
                        </m:r>
                      </m:num>
                      <m:den>
                        <m:r>
                          <w:rPr>
                            <w:rFonts w:ascii="Cambria Math" w:hAnsi="Cambria Math"/>
                          </w:rPr>
                          <m:t>dt</m:t>
                        </m:r>
                      </m:den>
                    </m:f>
                  </m:e>
                </m:d>
              </m:oMath>
            </m:oMathPara>
          </w:p>
        </w:tc>
        <w:tc>
          <w:tcPr>
            <w:tcW w:w="636" w:type="dxa"/>
            <w:tcBorders>
              <w:top w:val="single" w:sz="12" w:space="0" w:color="00B050"/>
              <w:left w:val="single" w:sz="12" w:space="0" w:color="00B050"/>
              <w:bottom w:val="single" w:sz="12" w:space="0" w:color="00B050"/>
              <w:right w:val="nil"/>
            </w:tcBorders>
            <w:shd w:val="clear" w:color="auto" w:fill="FFFFFF"/>
          </w:tcPr>
          <w:p w14:paraId="3E5F9D2D" w14:textId="169C575B" w:rsidR="003653B7" w:rsidRPr="00B71EB5" w:rsidRDefault="003653B7" w:rsidP="000913B0">
            <w:pPr>
              <w:pStyle w:val="CETEquation"/>
              <w:jc w:val="both"/>
              <w:rPr>
                <w:rFonts w:cs="Arial"/>
              </w:rPr>
            </w:pPr>
            <w:r w:rsidRPr="00B71EB5">
              <w:rPr>
                <w:rFonts w:cs="Arial"/>
              </w:rPr>
              <w:t>(</w:t>
            </w:r>
            <w:r w:rsidR="00AD7B83" w:rsidRPr="00B71EB5">
              <w:rPr>
                <w:rFonts w:cs="Arial"/>
              </w:rPr>
              <w:t>5</w:t>
            </w:r>
            <w:r w:rsidRPr="00B71EB5">
              <w:rPr>
                <w:rFonts w:cs="Arial"/>
              </w:rPr>
              <w:t>)</w:t>
            </w:r>
          </w:p>
        </w:tc>
      </w:tr>
      <w:tr w:rsidR="003653B7" w:rsidRPr="00B71EB5" w14:paraId="5D98DA59" w14:textId="77777777" w:rsidTr="00BC5D8E">
        <w:trPr>
          <w:gridAfter w:val="1"/>
          <w:wAfter w:w="265" w:type="dxa"/>
          <w:trHeight w:val="267"/>
          <w:jc w:val="center"/>
        </w:trPr>
        <w:tc>
          <w:tcPr>
            <w:tcW w:w="1882" w:type="dxa"/>
            <w:tcBorders>
              <w:top w:val="single" w:sz="12" w:space="0" w:color="00B050"/>
              <w:left w:val="nil"/>
              <w:bottom w:val="single" w:sz="12" w:space="0" w:color="00B050"/>
              <w:right w:val="single" w:sz="12" w:space="0" w:color="00B050"/>
            </w:tcBorders>
            <w:shd w:val="clear" w:color="auto" w:fill="FFFFFF"/>
          </w:tcPr>
          <w:p w14:paraId="0EB4897B" w14:textId="7514F779" w:rsidR="003653B7" w:rsidRPr="00B71EB5" w:rsidRDefault="003653B7" w:rsidP="000913B0">
            <w:pPr>
              <w:pStyle w:val="CETBodytext"/>
              <w:ind w:right="-1"/>
              <w:rPr>
                <w:rFonts w:cs="Arial"/>
                <w:szCs w:val="18"/>
                <w:lang w:val="en-GB"/>
              </w:rPr>
            </w:pPr>
            <w:r w:rsidRPr="00B71EB5">
              <w:rPr>
                <w:rFonts w:cs="Arial"/>
                <w:szCs w:val="18"/>
                <w:lang w:val="en-GB"/>
              </w:rPr>
              <w:t>Liquid level (L</w:t>
            </w:r>
            <w:r w:rsidR="00922CA2" w:rsidRPr="00B71EB5">
              <w:rPr>
                <w:rFonts w:cs="Arial"/>
                <w:szCs w:val="18"/>
                <w:lang w:val="en-GB"/>
              </w:rPr>
              <w:t>F</w:t>
            </w:r>
            <w:r w:rsidRPr="00B71EB5">
              <w:rPr>
                <w:rFonts w:cs="Arial"/>
                <w:szCs w:val="18"/>
                <w:lang w:val="en-GB"/>
              </w:rPr>
              <w:t>)</w:t>
            </w:r>
          </w:p>
        </w:tc>
        <w:tc>
          <w:tcPr>
            <w:tcW w:w="6173" w:type="dxa"/>
            <w:tcBorders>
              <w:top w:val="single" w:sz="12" w:space="0" w:color="00B050"/>
              <w:left w:val="single" w:sz="12" w:space="0" w:color="00B050"/>
              <w:bottom w:val="single" w:sz="12" w:space="0" w:color="00B050"/>
              <w:right w:val="single" w:sz="12" w:space="0" w:color="00B050"/>
            </w:tcBorders>
            <w:shd w:val="clear" w:color="auto" w:fill="FFFFFF"/>
          </w:tcPr>
          <w:p w14:paraId="3F0AEE81" w14:textId="4573143E" w:rsidR="003653B7" w:rsidRPr="00B71EB5" w:rsidRDefault="0017607F" w:rsidP="000913B0">
            <w:pPr>
              <w:pStyle w:val="CETEquation"/>
              <w:jc w:val="both"/>
              <w:rPr>
                <w:rFonts w:cs="Arial"/>
              </w:rPr>
            </w:pPr>
            <m:oMathPara>
              <m:oMath>
                <m:f>
                  <m:fPr>
                    <m:ctrlPr>
                      <w:rPr>
                        <w:rFonts w:ascii="Cambria Math" w:hAnsi="Cambria Math"/>
                      </w:rPr>
                    </m:ctrlPr>
                  </m:fPr>
                  <m:num>
                    <m:r>
                      <w:rPr>
                        <w:rFonts w:ascii="Cambria Math" w:hAnsi="Cambria Math"/>
                      </w:rPr>
                      <m:t>dLF</m:t>
                    </m:r>
                  </m:num>
                  <m:den>
                    <m:r>
                      <w:rPr>
                        <w:rFonts w:ascii="Cambria Math" w:hAnsi="Cambria Math"/>
                      </w:rPr>
                      <m:t>dt</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L</m:t>
                        </m:r>
                      </m:sub>
                    </m:sSub>
                  </m:num>
                  <m:den>
                    <m:sSub>
                      <m:sSubPr>
                        <m:ctrlPr>
                          <w:rPr>
                            <w:rFonts w:ascii="Cambria Math" w:hAnsi="Cambria Math"/>
                          </w:rPr>
                        </m:ctrlPr>
                      </m:sSubPr>
                      <m:e>
                        <m:r>
                          <w:rPr>
                            <w:rFonts w:ascii="Cambria Math" w:hAnsi="Cambria Math"/>
                          </w:rPr>
                          <m:t>ρ</m:t>
                        </m:r>
                      </m:e>
                      <m:sub>
                        <m:r>
                          <w:rPr>
                            <w:rFonts w:ascii="Cambria Math" w:hAnsi="Cambria Math"/>
                          </w:rPr>
                          <m:t>L</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w:rPr>
                            <w:rFonts w:ascii="Cambria Math" w:hAnsi="Cambria Math"/>
                          </w:rPr>
                          <m:t>WL</m:t>
                        </m:r>
                        <m:r>
                          <m:rPr>
                            <m:sty m:val="p"/>
                          </m:rPr>
                          <w:rPr>
                            <w:rFonts w:ascii="Cambria Math" w:hAnsi="Cambria Math"/>
                          </w:rPr>
                          <m:t>0</m:t>
                        </m:r>
                      </m:sub>
                    </m:sSub>
                  </m:den>
                </m:f>
              </m:oMath>
            </m:oMathPara>
          </w:p>
        </w:tc>
        <w:tc>
          <w:tcPr>
            <w:tcW w:w="636" w:type="dxa"/>
            <w:tcBorders>
              <w:top w:val="single" w:sz="12" w:space="0" w:color="00B050"/>
              <w:left w:val="single" w:sz="12" w:space="0" w:color="00B050"/>
              <w:bottom w:val="single" w:sz="12" w:space="0" w:color="00B050"/>
              <w:right w:val="nil"/>
            </w:tcBorders>
            <w:shd w:val="clear" w:color="auto" w:fill="FFFFFF"/>
          </w:tcPr>
          <w:p w14:paraId="216C94E5" w14:textId="745A9074" w:rsidR="003653B7" w:rsidRPr="00B71EB5" w:rsidRDefault="003653B7" w:rsidP="000913B0">
            <w:pPr>
              <w:pStyle w:val="CETEquation"/>
              <w:jc w:val="both"/>
              <w:rPr>
                <w:rFonts w:cs="Arial"/>
              </w:rPr>
            </w:pPr>
            <w:r w:rsidRPr="00B71EB5">
              <w:rPr>
                <w:rFonts w:cs="Arial"/>
              </w:rPr>
              <w:t>(</w:t>
            </w:r>
            <w:r w:rsidR="00AD7B83" w:rsidRPr="00B71EB5">
              <w:rPr>
                <w:rFonts w:cs="Arial"/>
              </w:rPr>
              <w:t>6</w:t>
            </w:r>
            <w:r w:rsidRPr="00B71EB5">
              <w:rPr>
                <w:rFonts w:cs="Arial"/>
              </w:rPr>
              <w:t>)</w:t>
            </w:r>
          </w:p>
        </w:tc>
      </w:tr>
      <w:tr w:rsidR="003653B7" w:rsidRPr="00B71EB5" w14:paraId="11F37A64" w14:textId="77777777" w:rsidTr="00BC5D8E">
        <w:trPr>
          <w:gridAfter w:val="1"/>
          <w:wAfter w:w="265" w:type="dxa"/>
          <w:trHeight w:val="267"/>
          <w:jc w:val="center"/>
        </w:trPr>
        <w:tc>
          <w:tcPr>
            <w:tcW w:w="1882" w:type="dxa"/>
            <w:tcBorders>
              <w:top w:val="single" w:sz="12" w:space="0" w:color="00B050"/>
              <w:left w:val="nil"/>
              <w:bottom w:val="single" w:sz="12" w:space="0" w:color="00B050"/>
              <w:right w:val="single" w:sz="12" w:space="0" w:color="00B050"/>
            </w:tcBorders>
            <w:shd w:val="clear" w:color="auto" w:fill="FFFFFF"/>
          </w:tcPr>
          <w:p w14:paraId="4BFD7B46" w14:textId="77777777" w:rsidR="003653B7" w:rsidRPr="00B71EB5" w:rsidRDefault="003653B7" w:rsidP="000913B0">
            <w:pPr>
              <w:pStyle w:val="CETBodytext"/>
              <w:ind w:right="-1"/>
              <w:rPr>
                <w:rFonts w:cs="Arial"/>
                <w:szCs w:val="18"/>
                <w:lang w:val="en-GB"/>
              </w:rPr>
            </w:pPr>
            <w:r w:rsidRPr="00B71EB5">
              <w:rPr>
                <w:rFonts w:cs="Arial"/>
                <w:szCs w:val="18"/>
                <w:lang w:val="en-GB"/>
              </w:rPr>
              <w:t>Interface Temp.</w:t>
            </w:r>
          </w:p>
        </w:tc>
        <w:tc>
          <w:tcPr>
            <w:tcW w:w="6173" w:type="dxa"/>
            <w:tcBorders>
              <w:top w:val="single" w:sz="12" w:space="0" w:color="00B050"/>
              <w:left w:val="single" w:sz="12" w:space="0" w:color="00B050"/>
              <w:bottom w:val="single" w:sz="12" w:space="0" w:color="00B050"/>
              <w:right w:val="single" w:sz="12" w:space="0" w:color="00B050"/>
            </w:tcBorders>
            <w:shd w:val="clear" w:color="auto" w:fill="FFFFFF"/>
          </w:tcPr>
          <w:p w14:paraId="566EF855" w14:textId="42085B75" w:rsidR="003653B7" w:rsidRPr="00B71EB5" w:rsidRDefault="0017607F" w:rsidP="000913B0">
            <w:pPr>
              <w:pStyle w:val="CETEquation"/>
              <w:jc w:val="both"/>
              <w:rPr>
                <w:rFonts w:cs="Arial"/>
              </w:rPr>
            </w:pPr>
            <m:oMathPara>
              <m:oMath>
                <m:sSub>
                  <m:sSubPr>
                    <m:ctrlPr>
                      <w:rPr>
                        <w:rFonts w:ascii="Cambria Math" w:hAnsi="Cambria Math"/>
                      </w:rPr>
                    </m:ctrlPr>
                  </m:sSubPr>
                  <m:e>
                    <m:r>
                      <w:rPr>
                        <w:rFonts w:ascii="Cambria Math" w:hAnsi="Cambria Math"/>
                      </w:rPr>
                      <m:t>T</m:t>
                    </m:r>
                  </m:e>
                  <m:sub>
                    <m:r>
                      <w:rPr>
                        <w:rFonts w:ascii="Cambria Math" w:hAnsi="Cambria Math"/>
                      </w:rPr>
                      <m:t>int</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V</m:t>
                    </m:r>
                    <m:r>
                      <m:rPr>
                        <m:sty m:val="p"/>
                      </m:rPr>
                      <w:rPr>
                        <w:rFonts w:ascii="Cambria Math" w:hAnsi="Cambria Math"/>
                      </w:rPr>
                      <m:t>,</m:t>
                    </m:r>
                    <m:r>
                      <w:rPr>
                        <w:rFonts w:ascii="Cambria Math" w:hAnsi="Cambria Math"/>
                      </w:rPr>
                      <m:t>S</m:t>
                    </m:r>
                  </m:sub>
                </m:sSub>
                <m:r>
                  <m:rPr>
                    <m:sty m:val="p"/>
                  </m:rPr>
                  <w:rPr>
                    <w:rFonts w:ascii="Cambria Math" w:hAnsi="Cambria Math"/>
                  </w:rPr>
                  <m:t>(</m:t>
                </m:r>
                <m:r>
                  <w:rPr>
                    <w:rFonts w:ascii="Cambria Math" w:hAnsi="Cambria Math"/>
                  </w:rPr>
                  <m:t>P</m:t>
                </m:r>
                <m:r>
                  <m:rPr>
                    <m:sty m:val="p"/>
                  </m:rPr>
                  <w:rPr>
                    <w:rFonts w:ascii="Cambria Math" w:hAnsi="Cambria Math"/>
                  </w:rPr>
                  <m:t>)</m:t>
                </m:r>
              </m:oMath>
            </m:oMathPara>
          </w:p>
        </w:tc>
        <w:tc>
          <w:tcPr>
            <w:tcW w:w="636" w:type="dxa"/>
            <w:tcBorders>
              <w:top w:val="single" w:sz="12" w:space="0" w:color="00B050"/>
              <w:left w:val="single" w:sz="12" w:space="0" w:color="00B050"/>
              <w:bottom w:val="single" w:sz="12" w:space="0" w:color="00B050"/>
              <w:right w:val="nil"/>
            </w:tcBorders>
            <w:shd w:val="clear" w:color="auto" w:fill="FFFFFF"/>
          </w:tcPr>
          <w:p w14:paraId="7A39AECA" w14:textId="1D883DD3" w:rsidR="003653B7" w:rsidRPr="00B71EB5" w:rsidRDefault="003653B7" w:rsidP="000913B0">
            <w:pPr>
              <w:pStyle w:val="CETEquation"/>
              <w:jc w:val="both"/>
              <w:rPr>
                <w:rFonts w:cs="Arial"/>
              </w:rPr>
            </w:pPr>
            <w:r w:rsidRPr="00B71EB5">
              <w:rPr>
                <w:rFonts w:cs="Arial"/>
              </w:rPr>
              <w:t>(</w:t>
            </w:r>
            <w:r w:rsidR="00AD7B83" w:rsidRPr="00B71EB5">
              <w:rPr>
                <w:rFonts w:cs="Arial"/>
              </w:rPr>
              <w:t>7</w:t>
            </w:r>
            <w:r w:rsidRPr="00B71EB5">
              <w:rPr>
                <w:rFonts w:cs="Arial"/>
              </w:rPr>
              <w:t>)</w:t>
            </w:r>
          </w:p>
        </w:tc>
      </w:tr>
      <w:tr w:rsidR="003653B7" w:rsidRPr="00B71EB5" w14:paraId="25D46889" w14:textId="77777777" w:rsidTr="00BC5D8E">
        <w:trPr>
          <w:gridAfter w:val="1"/>
          <w:wAfter w:w="265" w:type="dxa"/>
          <w:trHeight w:val="267"/>
          <w:jc w:val="center"/>
        </w:trPr>
        <w:tc>
          <w:tcPr>
            <w:tcW w:w="1882" w:type="dxa"/>
            <w:tcBorders>
              <w:top w:val="single" w:sz="12" w:space="0" w:color="00B050"/>
              <w:left w:val="nil"/>
              <w:bottom w:val="single" w:sz="12" w:space="0" w:color="00B050"/>
              <w:right w:val="single" w:sz="12" w:space="0" w:color="00B050"/>
            </w:tcBorders>
            <w:shd w:val="clear" w:color="auto" w:fill="FFFFFF"/>
          </w:tcPr>
          <w:p w14:paraId="44AAFD4F" w14:textId="77777777" w:rsidR="003653B7" w:rsidRPr="00B71EB5" w:rsidRDefault="003653B7" w:rsidP="000913B0">
            <w:pPr>
              <w:pStyle w:val="CETBodytext"/>
              <w:ind w:right="-1"/>
              <w:rPr>
                <w:rFonts w:cs="Arial"/>
                <w:szCs w:val="18"/>
                <w:lang w:val="en-GB"/>
              </w:rPr>
            </w:pPr>
            <w:r w:rsidRPr="00B71EB5">
              <w:rPr>
                <w:rFonts w:cs="Arial"/>
                <w:szCs w:val="18"/>
                <w:lang w:val="en-GB"/>
              </w:rPr>
              <w:t>Evaporation</w:t>
            </w:r>
          </w:p>
        </w:tc>
        <w:tc>
          <w:tcPr>
            <w:tcW w:w="6173" w:type="dxa"/>
            <w:tcBorders>
              <w:top w:val="single" w:sz="12" w:space="0" w:color="00B050"/>
              <w:left w:val="single" w:sz="12" w:space="0" w:color="00B050"/>
              <w:bottom w:val="single" w:sz="12" w:space="0" w:color="00B050"/>
              <w:right w:val="single" w:sz="12" w:space="0" w:color="00B050"/>
            </w:tcBorders>
            <w:shd w:val="clear" w:color="auto" w:fill="FFFFFF"/>
          </w:tcPr>
          <w:p w14:paraId="6EC49544" w14:textId="51619B64" w:rsidR="003653B7" w:rsidRPr="00B71EB5" w:rsidRDefault="0017607F" w:rsidP="000913B0">
            <w:pPr>
              <w:pStyle w:val="CETEquation"/>
              <w:jc w:val="both"/>
              <w:rPr>
                <w:rFonts w:cs="Arial"/>
              </w:rPr>
            </w:pPr>
            <m:oMathPara>
              <m:oMath>
                <m:sSub>
                  <m:sSubPr>
                    <m:ctrlPr>
                      <w:rPr>
                        <w:rFonts w:ascii="Cambria Math" w:hAnsi="Cambria Math"/>
                      </w:rPr>
                    </m:ctrlPr>
                  </m:sSubPr>
                  <m:e>
                    <m:r>
                      <w:rPr>
                        <w:rFonts w:ascii="Cambria Math" w:hAnsi="Cambria Math"/>
                      </w:rPr>
                      <m:t>m</m:t>
                    </m:r>
                  </m:e>
                  <m:sub>
                    <m:r>
                      <w:rPr>
                        <w:rFonts w:ascii="Cambria Math" w:hAnsi="Cambria Math"/>
                      </w:rPr>
                      <m:t>Eva</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LV</m:t>
                    </m:r>
                  </m:sub>
                </m:sSub>
                <m:sSub>
                  <m:sSubPr>
                    <m:ctrlPr>
                      <w:rPr>
                        <w:rFonts w:ascii="Cambria Math" w:hAnsi="Cambria Math"/>
                      </w:rPr>
                    </m:ctrlPr>
                  </m:sSubPr>
                  <m:e>
                    <m:r>
                      <w:rPr>
                        <w:rFonts w:ascii="Cambria Math" w:hAnsi="Cambria Math"/>
                      </w:rPr>
                      <m:t>α</m:t>
                    </m:r>
                  </m:e>
                  <m:sub>
                    <m:r>
                      <w:rPr>
                        <w:rFonts w:ascii="Cambria Math" w:hAnsi="Cambria Math"/>
                      </w:rPr>
                      <m:t>Eva</m:t>
                    </m:r>
                  </m:sub>
                </m:sSub>
                <m:f>
                  <m:fPr>
                    <m:ctrlPr>
                      <w:rPr>
                        <w:rFonts w:ascii="Cambria Math" w:hAnsi="Cambria Math"/>
                      </w:rPr>
                    </m:ctrlPr>
                  </m:fPr>
                  <m:num>
                    <m:sSup>
                      <m:sSupPr>
                        <m:ctrlPr>
                          <w:rPr>
                            <w:rFonts w:ascii="Cambria Math" w:hAnsi="Cambria Math"/>
                          </w:rPr>
                        </m:ctrlPr>
                      </m:sSupPr>
                      <m:e>
                        <m:r>
                          <w:rPr>
                            <w:rFonts w:ascii="Cambria Math" w:hAnsi="Cambria Math"/>
                          </w:rPr>
                          <m:t>M</m:t>
                        </m:r>
                      </m:e>
                      <m:sup>
                        <m:r>
                          <m:rPr>
                            <m:sty m:val="p"/>
                          </m:rPr>
                          <w:rPr>
                            <w:rFonts w:ascii="Cambria Math" w:hAnsi="Cambria Math"/>
                          </w:rPr>
                          <m:t>0.5</m:t>
                        </m:r>
                      </m:sup>
                    </m:sSup>
                    <m:sSub>
                      <m:sSubPr>
                        <m:ctrlPr>
                          <w:rPr>
                            <w:rFonts w:ascii="Cambria Math" w:hAnsi="Cambria Math"/>
                          </w:rPr>
                        </m:ctrlPr>
                      </m:sSubPr>
                      <m:e>
                        <m:r>
                          <w:rPr>
                            <w:rFonts w:ascii="Cambria Math" w:hAnsi="Cambria Math"/>
                          </w:rPr>
                          <m:t>P</m:t>
                        </m:r>
                      </m:e>
                      <m:sub>
                        <m:r>
                          <w:rPr>
                            <w:rFonts w:ascii="Cambria Math" w:hAnsi="Cambria Math"/>
                          </w:rPr>
                          <m:t>L</m:t>
                        </m:r>
                        <m:r>
                          <m:rPr>
                            <m:sty m:val="p"/>
                          </m:rPr>
                          <w:rPr>
                            <w:rFonts w:ascii="Cambria Math" w:hAnsi="Cambria Math"/>
                          </w:rPr>
                          <m:t>,</m:t>
                        </m:r>
                        <m:r>
                          <w:rPr>
                            <w:rFonts w:ascii="Cambria Math" w:hAnsi="Cambria Math"/>
                          </w:rPr>
                          <m:t>S</m:t>
                        </m:r>
                      </m:sub>
                    </m:sSub>
                  </m:num>
                  <m:den>
                    <m:sSup>
                      <m:sSupPr>
                        <m:ctrlPr>
                          <w:rPr>
                            <w:rFonts w:ascii="Cambria Math" w:hAnsi="Cambria Math"/>
                          </w:rPr>
                        </m:ctrlPr>
                      </m:sSupPr>
                      <m:e>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T</m:t>
                            </m:r>
                          </m:e>
                          <m:sub>
                            <m:r>
                              <w:rPr>
                                <w:rFonts w:ascii="Cambria Math" w:hAnsi="Cambria Math"/>
                              </w:rPr>
                              <m:t>int</m:t>
                            </m:r>
                          </m:sub>
                        </m:sSub>
                        <m:r>
                          <m:rPr>
                            <m:sty m:val="p"/>
                          </m:rPr>
                          <w:rPr>
                            <w:rFonts w:ascii="Cambria Math" w:hAnsi="Cambria Math"/>
                          </w:rPr>
                          <m:t>)</m:t>
                        </m:r>
                      </m:e>
                      <m:sup>
                        <m:r>
                          <m:rPr>
                            <m:sty m:val="p"/>
                          </m:rPr>
                          <w:rPr>
                            <w:rFonts w:ascii="Cambria Math" w:hAnsi="Cambria Math"/>
                          </w:rPr>
                          <m:t>0.5</m:t>
                        </m:r>
                      </m:sup>
                    </m:sSup>
                  </m:den>
                </m:f>
              </m:oMath>
            </m:oMathPara>
          </w:p>
        </w:tc>
        <w:tc>
          <w:tcPr>
            <w:tcW w:w="636" w:type="dxa"/>
            <w:tcBorders>
              <w:top w:val="single" w:sz="12" w:space="0" w:color="00B050"/>
              <w:left w:val="single" w:sz="12" w:space="0" w:color="00B050"/>
              <w:bottom w:val="single" w:sz="4" w:space="0" w:color="00B050"/>
              <w:right w:val="nil"/>
            </w:tcBorders>
            <w:shd w:val="clear" w:color="auto" w:fill="FFFFFF"/>
          </w:tcPr>
          <w:p w14:paraId="069F3C2E" w14:textId="578C04D2" w:rsidR="003653B7" w:rsidRPr="00B71EB5" w:rsidRDefault="003653B7" w:rsidP="000913B0">
            <w:pPr>
              <w:pStyle w:val="CETEquation"/>
              <w:jc w:val="both"/>
              <w:rPr>
                <w:rFonts w:cs="Arial"/>
              </w:rPr>
            </w:pPr>
            <w:r w:rsidRPr="00B71EB5">
              <w:rPr>
                <w:rFonts w:cs="Arial"/>
              </w:rPr>
              <w:t>(</w:t>
            </w:r>
            <w:r w:rsidR="00AD7B83" w:rsidRPr="00B71EB5">
              <w:rPr>
                <w:rFonts w:cs="Arial"/>
              </w:rPr>
              <w:t>8</w:t>
            </w:r>
            <w:r w:rsidRPr="00B71EB5">
              <w:rPr>
                <w:rFonts w:cs="Arial"/>
              </w:rPr>
              <w:t>)</w:t>
            </w:r>
          </w:p>
        </w:tc>
      </w:tr>
      <w:tr w:rsidR="003653B7" w:rsidRPr="00B71EB5" w14:paraId="157A354B" w14:textId="77777777" w:rsidTr="00BC5D8E">
        <w:trPr>
          <w:gridAfter w:val="1"/>
          <w:wAfter w:w="265" w:type="dxa"/>
          <w:trHeight w:val="267"/>
          <w:jc w:val="center"/>
        </w:trPr>
        <w:tc>
          <w:tcPr>
            <w:tcW w:w="1882" w:type="dxa"/>
            <w:tcBorders>
              <w:top w:val="single" w:sz="12" w:space="0" w:color="00B050"/>
              <w:left w:val="nil"/>
              <w:bottom w:val="single" w:sz="4" w:space="0" w:color="00B050"/>
              <w:right w:val="single" w:sz="12" w:space="0" w:color="00B050"/>
            </w:tcBorders>
            <w:shd w:val="clear" w:color="auto" w:fill="FFFFFF"/>
          </w:tcPr>
          <w:p w14:paraId="60BB0F9B" w14:textId="77777777" w:rsidR="003653B7" w:rsidRPr="00B71EB5" w:rsidRDefault="003653B7" w:rsidP="000913B0">
            <w:pPr>
              <w:pStyle w:val="CETBodytext"/>
              <w:ind w:right="-1"/>
              <w:rPr>
                <w:rFonts w:cs="Arial"/>
                <w:szCs w:val="18"/>
                <w:lang w:val="en-GB"/>
              </w:rPr>
            </w:pPr>
            <w:r w:rsidRPr="00B71EB5">
              <w:rPr>
                <w:rFonts w:cs="Arial"/>
                <w:szCs w:val="18"/>
                <w:lang w:val="en-GB"/>
              </w:rPr>
              <w:t>Condensation</w:t>
            </w:r>
          </w:p>
        </w:tc>
        <w:tc>
          <w:tcPr>
            <w:tcW w:w="6173" w:type="dxa"/>
            <w:tcBorders>
              <w:top w:val="single" w:sz="12" w:space="0" w:color="00B050"/>
              <w:left w:val="single" w:sz="12" w:space="0" w:color="00B050"/>
              <w:bottom w:val="single" w:sz="12" w:space="0" w:color="00B050"/>
              <w:right w:val="single" w:sz="12" w:space="0" w:color="00B050"/>
            </w:tcBorders>
            <w:shd w:val="clear" w:color="auto" w:fill="FFFFFF"/>
          </w:tcPr>
          <w:p w14:paraId="0352A439" w14:textId="77777777" w:rsidR="003653B7" w:rsidRPr="00B71EB5" w:rsidRDefault="0017607F" w:rsidP="000913B0">
            <w:pPr>
              <w:pStyle w:val="CETEquation"/>
              <w:jc w:val="both"/>
              <w:rPr>
                <w:rFonts w:cs="Arial"/>
              </w:rPr>
            </w:pPr>
            <m:oMathPara>
              <m:oMath>
                <m:sSub>
                  <m:sSubPr>
                    <m:ctrlPr>
                      <w:rPr>
                        <w:rFonts w:ascii="Cambria Math" w:hAnsi="Cambria Math"/>
                      </w:rPr>
                    </m:ctrlPr>
                  </m:sSubPr>
                  <m:e>
                    <m:r>
                      <w:rPr>
                        <w:rFonts w:ascii="Cambria Math" w:hAnsi="Cambria Math"/>
                      </w:rPr>
                      <m:t>m</m:t>
                    </m:r>
                  </m:e>
                  <m:sub>
                    <m:r>
                      <w:rPr>
                        <w:rFonts w:ascii="Cambria Math" w:hAnsi="Cambria Math"/>
                      </w:rPr>
                      <m:t>Con</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LV</m:t>
                    </m:r>
                  </m:sub>
                </m:sSub>
                <m:sSub>
                  <m:sSubPr>
                    <m:ctrlPr>
                      <w:rPr>
                        <w:rFonts w:ascii="Cambria Math" w:hAnsi="Cambria Math"/>
                      </w:rPr>
                    </m:ctrlPr>
                  </m:sSubPr>
                  <m:e>
                    <m:r>
                      <w:rPr>
                        <w:rFonts w:ascii="Cambria Math" w:hAnsi="Cambria Math"/>
                      </w:rPr>
                      <m:t>α</m:t>
                    </m:r>
                  </m:e>
                  <m:sub>
                    <m:r>
                      <w:rPr>
                        <w:rFonts w:ascii="Cambria Math" w:hAnsi="Cambria Math"/>
                      </w:rPr>
                      <m:t>Con</m:t>
                    </m:r>
                  </m:sub>
                </m:sSub>
                <m:f>
                  <m:fPr>
                    <m:ctrlPr>
                      <w:rPr>
                        <w:rFonts w:ascii="Cambria Math" w:hAnsi="Cambria Math"/>
                      </w:rPr>
                    </m:ctrlPr>
                  </m:fPr>
                  <m:num>
                    <m:sSup>
                      <m:sSupPr>
                        <m:ctrlPr>
                          <w:rPr>
                            <w:rFonts w:ascii="Cambria Math" w:hAnsi="Cambria Math"/>
                          </w:rPr>
                        </m:ctrlPr>
                      </m:sSupPr>
                      <m:e>
                        <m:r>
                          <w:rPr>
                            <w:rFonts w:ascii="Cambria Math" w:hAnsi="Cambria Math"/>
                          </w:rPr>
                          <m:t>M</m:t>
                        </m:r>
                      </m:e>
                      <m:sup>
                        <m:r>
                          <m:rPr>
                            <m:sty m:val="p"/>
                          </m:rPr>
                          <w:rPr>
                            <w:rFonts w:ascii="Cambria Math" w:hAnsi="Cambria Math"/>
                          </w:rPr>
                          <m:t>0.5</m:t>
                        </m:r>
                      </m:sup>
                    </m:sSup>
                    <m:sSub>
                      <m:sSubPr>
                        <m:ctrlPr>
                          <w:rPr>
                            <w:rFonts w:ascii="Cambria Math" w:hAnsi="Cambria Math"/>
                          </w:rPr>
                        </m:ctrlPr>
                      </m:sSubPr>
                      <m:e>
                        <m:r>
                          <w:rPr>
                            <w:rFonts w:ascii="Cambria Math" w:hAnsi="Cambria Math"/>
                          </w:rPr>
                          <m:t>P</m:t>
                        </m:r>
                      </m:e>
                      <m:sub>
                        <m:r>
                          <w:rPr>
                            <w:rFonts w:ascii="Cambria Math" w:hAnsi="Cambria Math"/>
                          </w:rPr>
                          <m:t>V</m:t>
                        </m:r>
                        <m:r>
                          <m:rPr>
                            <m:sty m:val="p"/>
                          </m:rPr>
                          <w:rPr>
                            <w:rFonts w:ascii="Cambria Math" w:hAnsi="Cambria Math"/>
                          </w:rPr>
                          <m:t>,</m:t>
                        </m:r>
                        <m:r>
                          <w:rPr>
                            <w:rFonts w:ascii="Cambria Math" w:hAnsi="Cambria Math"/>
                          </w:rPr>
                          <m:t>S</m:t>
                        </m:r>
                      </m:sub>
                    </m:sSub>
                  </m:num>
                  <m:den>
                    <m:sSup>
                      <m:sSupPr>
                        <m:ctrlPr>
                          <w:rPr>
                            <w:rFonts w:ascii="Cambria Math" w:hAnsi="Cambria Math"/>
                          </w:rPr>
                        </m:ctrlPr>
                      </m:sSupPr>
                      <m:e>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T</m:t>
                            </m:r>
                          </m:e>
                          <m:sub>
                            <m:r>
                              <w:rPr>
                                <w:rFonts w:ascii="Cambria Math" w:hAnsi="Cambria Math"/>
                              </w:rPr>
                              <m:t>V</m:t>
                            </m:r>
                          </m:sub>
                        </m:sSub>
                        <m:r>
                          <m:rPr>
                            <m:sty m:val="p"/>
                          </m:rPr>
                          <w:rPr>
                            <w:rFonts w:ascii="Cambria Math" w:hAnsi="Cambria Math"/>
                          </w:rPr>
                          <m:t>)</m:t>
                        </m:r>
                      </m:e>
                      <m:sup>
                        <m:r>
                          <m:rPr>
                            <m:sty m:val="p"/>
                          </m:rPr>
                          <w:rPr>
                            <w:rFonts w:ascii="Cambria Math" w:hAnsi="Cambria Math"/>
                          </w:rPr>
                          <m:t>0.5</m:t>
                        </m:r>
                      </m:sup>
                    </m:sSup>
                  </m:den>
                </m:f>
              </m:oMath>
            </m:oMathPara>
          </w:p>
        </w:tc>
        <w:tc>
          <w:tcPr>
            <w:tcW w:w="636" w:type="dxa"/>
            <w:tcBorders>
              <w:top w:val="single" w:sz="4" w:space="0" w:color="00B050"/>
              <w:left w:val="single" w:sz="12" w:space="0" w:color="00B050"/>
              <w:bottom w:val="single" w:sz="12" w:space="0" w:color="00B050"/>
              <w:right w:val="nil"/>
            </w:tcBorders>
            <w:shd w:val="clear" w:color="auto" w:fill="FFFFFF"/>
          </w:tcPr>
          <w:p w14:paraId="1472DC4D" w14:textId="2911F0F1" w:rsidR="003653B7" w:rsidRPr="00B71EB5" w:rsidRDefault="003653B7" w:rsidP="000913B0">
            <w:pPr>
              <w:pStyle w:val="CETEquation"/>
              <w:jc w:val="both"/>
              <w:rPr>
                <w:rFonts w:cs="Arial"/>
              </w:rPr>
            </w:pPr>
            <w:r w:rsidRPr="00B71EB5">
              <w:rPr>
                <w:rFonts w:cs="Arial"/>
              </w:rPr>
              <w:t>(</w:t>
            </w:r>
            <w:r w:rsidR="00AD7B83" w:rsidRPr="00B71EB5">
              <w:rPr>
                <w:rFonts w:cs="Arial"/>
              </w:rPr>
              <w:t>9</w:t>
            </w:r>
            <w:r w:rsidRPr="00B71EB5">
              <w:rPr>
                <w:rFonts w:cs="Arial"/>
              </w:rPr>
              <w:t>)</w:t>
            </w:r>
          </w:p>
        </w:tc>
      </w:tr>
      <w:tr w:rsidR="003653B7" w:rsidRPr="00B71EB5" w14:paraId="65FAD103" w14:textId="77777777" w:rsidTr="00B71EB5">
        <w:trPr>
          <w:trHeight w:val="267"/>
          <w:jc w:val="center"/>
        </w:trPr>
        <w:tc>
          <w:tcPr>
            <w:tcW w:w="8956" w:type="dxa"/>
            <w:gridSpan w:val="4"/>
            <w:tcBorders>
              <w:top w:val="single" w:sz="12" w:space="0" w:color="00B050"/>
              <w:left w:val="nil"/>
              <w:bottom w:val="single" w:sz="12" w:space="0" w:color="00B050"/>
              <w:right w:val="nil"/>
            </w:tcBorders>
            <w:shd w:val="clear" w:color="auto" w:fill="FFFFFF"/>
          </w:tcPr>
          <w:p w14:paraId="61CF3A42" w14:textId="26F3A753" w:rsidR="003653B7" w:rsidRPr="00B71EB5" w:rsidRDefault="003653B7" w:rsidP="000913B0">
            <w:pPr>
              <w:pStyle w:val="CETBodytext"/>
              <w:ind w:right="-1"/>
              <w:rPr>
                <w:rFonts w:cs="Arial"/>
                <w:szCs w:val="18"/>
                <w:lang w:val="en-GB"/>
              </w:rPr>
            </w:pPr>
            <m:oMath>
              <m:r>
                <w:rPr>
                  <w:rFonts w:ascii="Cambria Math" w:hAnsi="Cambria Math" w:cs="Arial"/>
                  <w:szCs w:val="18"/>
                  <w:lang w:val="en-GB"/>
                </w:rPr>
                <m:t xml:space="preserve">h,  </m:t>
              </m:r>
              <m:r>
                <w:rPr>
                  <w:rFonts w:ascii="Cambria Math" w:hAnsi="Cambria Math"/>
                </w:rPr>
                <m:t xml:space="preserve">P,  ρ, </m:t>
              </m:r>
            </m:oMath>
            <w:r w:rsidRPr="00B71EB5">
              <w:rPr>
                <w:rFonts w:cs="Arial"/>
                <w:szCs w:val="18"/>
                <w:lang w:val="en-GB"/>
              </w:rPr>
              <w:t xml:space="preserve"> </w:t>
            </w:r>
            <m:oMath>
              <m:r>
                <w:rPr>
                  <w:rFonts w:ascii="Cambria Math" w:hAnsi="Cambria Math"/>
                </w:rPr>
                <m:t xml:space="preserve">V, T </m:t>
              </m:r>
            </m:oMath>
            <w:r w:rsidRPr="00B71EB5">
              <w:rPr>
                <w:rFonts w:cs="Arial"/>
                <w:szCs w:val="18"/>
                <w:lang w:val="en-GB"/>
              </w:rPr>
              <w:t>represent the enthalpy</w:t>
            </w:r>
            <w:r w:rsidR="00952E3D">
              <w:rPr>
                <w:rFonts w:cs="Arial"/>
                <w:szCs w:val="18"/>
                <w:lang w:val="en-GB"/>
              </w:rPr>
              <w:t xml:space="preserve">, system pressure, </w:t>
            </w:r>
            <w:proofErr w:type="spellStart"/>
            <w:proofErr w:type="gramStart"/>
            <w:r w:rsidR="00952E3D">
              <w:rPr>
                <w:rFonts w:cs="Arial"/>
                <w:szCs w:val="18"/>
                <w:lang w:val="en-GB"/>
              </w:rPr>
              <w:t>density,volume</w:t>
            </w:r>
            <w:proofErr w:type="spellEnd"/>
            <w:proofErr w:type="gramEnd"/>
            <w:r w:rsidR="00952E3D">
              <w:rPr>
                <w:rFonts w:cs="Arial"/>
                <w:szCs w:val="18"/>
                <w:lang w:val="en-GB"/>
              </w:rPr>
              <w:t xml:space="preserve"> of </w:t>
            </w:r>
            <w:r w:rsidR="002F358B">
              <w:rPr>
                <w:rFonts w:cs="Arial"/>
                <w:szCs w:val="18"/>
                <w:lang w:val="en-GB"/>
              </w:rPr>
              <w:t xml:space="preserve">the </w:t>
            </w:r>
            <w:r w:rsidR="00952E3D">
              <w:rPr>
                <w:rFonts w:cs="Arial"/>
                <w:szCs w:val="18"/>
                <w:lang w:val="en-GB"/>
              </w:rPr>
              <w:t>fluid section</w:t>
            </w:r>
            <w:r w:rsidR="00BC5D8E">
              <w:rPr>
                <w:rFonts w:cs="Arial"/>
                <w:szCs w:val="18"/>
                <w:lang w:val="en-GB"/>
              </w:rPr>
              <w:t xml:space="preserve"> and temperature</w:t>
            </w:r>
            <w:r w:rsidR="00952E3D">
              <w:rPr>
                <w:rFonts w:cs="Arial"/>
                <w:szCs w:val="18"/>
                <w:lang w:val="en-GB"/>
              </w:rPr>
              <w:t>.</w:t>
            </w:r>
            <w:r w:rsidRPr="00B71EB5">
              <w:rPr>
                <w:rFonts w:cs="Arial"/>
                <w:szCs w:val="18"/>
                <w:lang w:val="en-GB"/>
              </w:rPr>
              <w:t xml:space="preserve"> </w:t>
            </w:r>
            <m:oMath>
              <m:acc>
                <m:accPr>
                  <m:chr m:val="̇"/>
                  <m:ctrlPr>
                    <w:rPr>
                      <w:rFonts w:ascii="Cambria Math" w:hAnsi="Cambria Math" w:cs="Arial"/>
                      <w:szCs w:val="18"/>
                      <w:lang w:val="en-GB"/>
                    </w:rPr>
                  </m:ctrlPr>
                </m:accPr>
                <m:e>
                  <m:r>
                    <w:rPr>
                      <w:rFonts w:ascii="Cambria Math" w:hAnsi="Cambria Math" w:cs="Arial"/>
                      <w:szCs w:val="18"/>
                      <w:lang w:val="en-GB"/>
                    </w:rPr>
                    <m:t>Q</m:t>
                  </m:r>
                </m:e>
              </m:acc>
            </m:oMath>
            <w:r w:rsidRPr="00B71EB5">
              <w:rPr>
                <w:rFonts w:cs="Arial"/>
                <w:szCs w:val="18"/>
                <w:lang w:val="en-GB"/>
              </w:rPr>
              <w:t xml:space="preserve"> , </w:t>
            </w:r>
            <m:oMath>
              <m:acc>
                <m:accPr>
                  <m:chr m:val="̇"/>
                  <m:ctrlPr>
                    <w:rPr>
                      <w:rFonts w:ascii="Cambria Math" w:hAnsi="Cambria Math" w:cs="Arial"/>
                      <w:szCs w:val="18"/>
                      <w:lang w:val="en-GB"/>
                    </w:rPr>
                  </m:ctrlPr>
                </m:accPr>
                <m:e>
                  <m:r>
                    <w:rPr>
                      <w:rFonts w:ascii="Cambria Math" w:hAnsi="Cambria Math" w:cs="Arial"/>
                      <w:szCs w:val="18"/>
                      <w:lang w:val="en-GB"/>
                    </w:rPr>
                    <m:t>m</m:t>
                  </m:r>
                </m:e>
              </m:acc>
              <m:r>
                <m:rPr>
                  <m:sty m:val="p"/>
                </m:rPr>
                <w:rPr>
                  <w:rFonts w:ascii="Cambria Math" w:hAnsi="Cambria Math" w:cs="Arial"/>
                  <w:szCs w:val="18"/>
                  <w:lang w:val="en-GB"/>
                </w:rPr>
                <m:t xml:space="preserve"> </m:t>
              </m:r>
            </m:oMath>
            <w:r w:rsidRPr="00B71EB5">
              <w:rPr>
                <w:rFonts w:cs="Arial"/>
                <w:szCs w:val="18"/>
                <w:lang w:val="en-GB"/>
              </w:rPr>
              <w:t xml:space="preserve"> are the heat and mass flow rate,</w:t>
            </w:r>
            <m:oMath>
              <m:r>
                <w:rPr>
                  <w:rFonts w:ascii="Cambria Math" w:hAnsi="Cambria Math" w:cs="Arial"/>
                  <w:szCs w:val="18"/>
                  <w:lang w:val="en-GB"/>
                </w:rPr>
                <m:t xml:space="preserve"> R</m:t>
              </m:r>
            </m:oMath>
            <w:r w:rsidR="006D60A9" w:rsidRPr="00B71EB5">
              <w:rPr>
                <w:rFonts w:cs="Arial"/>
                <w:szCs w:val="18"/>
                <w:lang w:val="en-GB"/>
              </w:rPr>
              <w:t xml:space="preserve"> </w:t>
            </w:r>
            <w:r w:rsidR="008C4620" w:rsidRPr="00B71EB5">
              <w:rPr>
                <w:rFonts w:cs="Arial"/>
                <w:szCs w:val="18"/>
                <w:lang w:val="en-GB"/>
              </w:rPr>
              <w:t>represents the universal gas constant</w:t>
            </w:r>
            <w:r w:rsidR="00E7520C" w:rsidRPr="00B71EB5">
              <w:rPr>
                <w:rFonts w:cs="Arial"/>
                <w:szCs w:val="18"/>
                <w:lang w:val="en-GB"/>
              </w:rPr>
              <w:t>.</w:t>
            </w:r>
            <m:oMath>
              <m:r>
                <m:rPr>
                  <m:sty m:val="p"/>
                </m:rPr>
                <w:rPr>
                  <w:rFonts w:ascii="Cambria Math" w:hAnsi="Cambria Math" w:cs="Arial"/>
                  <w:szCs w:val="18"/>
                  <w:lang w:val="en-GB"/>
                </w:rPr>
                <m:t xml:space="preserve"> </m:t>
              </m:r>
              <m:r>
                <w:rPr>
                  <w:rFonts w:ascii="Cambria Math" w:hAnsi="Cambria Math" w:cs="Arial"/>
                  <w:szCs w:val="18"/>
                  <w:lang w:val="en-GB"/>
                </w:rPr>
                <m:t>M</m:t>
              </m:r>
              <m:r>
                <m:rPr>
                  <m:sty m:val="p"/>
                </m:rPr>
                <w:rPr>
                  <w:rFonts w:ascii="Cambria Math" w:hAnsi="Cambria Math" w:cs="Arial"/>
                  <w:szCs w:val="18"/>
                  <w:lang w:val="en-GB"/>
                </w:rPr>
                <m:t xml:space="preserve"> </m:t>
              </m:r>
            </m:oMath>
            <w:r w:rsidR="00E7520C" w:rsidRPr="00B71EB5">
              <w:rPr>
                <w:rFonts w:cs="Arial"/>
                <w:szCs w:val="18"/>
                <w:lang w:val="en-GB"/>
              </w:rPr>
              <w:t>shows the molecular weight where</w:t>
            </w:r>
            <w:r w:rsidR="006D60A9" w:rsidRPr="00B71EB5">
              <w:rPr>
                <w:rFonts w:cs="Arial"/>
                <w:szCs w:val="18"/>
                <w:lang w:val="en-GB"/>
              </w:rPr>
              <w:t xml:space="preserve"> </w:t>
            </w:r>
            <m:oMath>
              <m:r>
                <w:rPr>
                  <w:rFonts w:ascii="Cambria Math" w:hAnsi="Cambria Math" w:cs="Arial"/>
                  <w:szCs w:val="18"/>
                  <w:lang w:val="en-GB"/>
                </w:rPr>
                <m:t>m</m:t>
              </m:r>
            </m:oMath>
            <w:r w:rsidR="006D60A9" w:rsidRPr="00B71EB5">
              <w:rPr>
                <w:rFonts w:cs="Arial"/>
                <w:iCs/>
                <w:szCs w:val="18"/>
                <w:lang w:val="en-GB"/>
              </w:rPr>
              <w:t xml:space="preserve"> </w:t>
            </w:r>
            <w:r w:rsidR="00E7520C" w:rsidRPr="00B71EB5">
              <w:rPr>
                <w:rFonts w:cs="Arial"/>
                <w:iCs/>
                <w:szCs w:val="18"/>
                <w:lang w:val="en-GB"/>
              </w:rPr>
              <w:t xml:space="preserve">represents the mass of </w:t>
            </w:r>
            <w:r w:rsidR="002F358B">
              <w:rPr>
                <w:rFonts w:cs="Arial"/>
                <w:iCs/>
                <w:szCs w:val="18"/>
                <w:lang w:val="en-GB"/>
              </w:rPr>
              <w:t xml:space="preserve">the </w:t>
            </w:r>
            <w:r w:rsidR="00E7520C" w:rsidRPr="00B71EB5">
              <w:rPr>
                <w:rFonts w:cs="Arial"/>
                <w:iCs/>
                <w:szCs w:val="18"/>
                <w:lang w:val="en-GB"/>
              </w:rPr>
              <w:t>fluid segment and</w:t>
            </w:r>
            <w:r w:rsidR="006D60A9" w:rsidRPr="00B71EB5">
              <w:rPr>
                <w:rFonts w:cs="Arial"/>
                <w:szCs w:val="18"/>
                <w:lang w:val="en-GB"/>
              </w:rPr>
              <w:t xml:space="preserve"> </w:t>
            </w:r>
            <w:r w:rsidR="006D60A9" w:rsidRPr="00B71EB5">
              <w:rPr>
                <w:rFonts w:cs="Arial"/>
                <w:i/>
                <w:iCs/>
                <w:szCs w:val="18"/>
                <w:lang w:val="en-GB"/>
              </w:rPr>
              <w:t>α</w:t>
            </w:r>
            <w:r w:rsidR="006D60A9" w:rsidRPr="00B71EB5">
              <w:rPr>
                <w:rFonts w:cs="Arial"/>
                <w:szCs w:val="18"/>
                <w:lang w:val="en-GB"/>
              </w:rPr>
              <w:t xml:space="preserve"> is evaporation and condensation constants</w:t>
            </w:r>
            <w:r w:rsidR="00E7520C" w:rsidRPr="00B71EB5">
              <w:rPr>
                <w:rFonts w:cs="Arial"/>
                <w:szCs w:val="18"/>
                <w:lang w:val="en-GB"/>
              </w:rPr>
              <w:t>.</w:t>
            </w:r>
            <w:r w:rsidR="00922CA2" w:rsidRPr="00B71EB5">
              <w:rPr>
                <w:rFonts w:cs="Arial"/>
                <w:szCs w:val="18"/>
                <w:lang w:val="en-GB"/>
              </w:rPr>
              <w:t xml:space="preserve"> Subscript </w:t>
            </w:r>
            <m:oMath>
              <m:r>
                <w:rPr>
                  <w:rFonts w:ascii="Cambria Math" w:hAnsi="Cambria Math"/>
                  <w:szCs w:val="18"/>
                  <w:lang w:val="en-GB"/>
                </w:rPr>
                <m:t>Con</m:t>
              </m:r>
            </m:oMath>
            <w:r w:rsidR="00922CA2" w:rsidRPr="00B71EB5">
              <w:rPr>
                <w:rFonts w:cs="Arial"/>
                <w:szCs w:val="18"/>
                <w:lang w:val="en-GB"/>
              </w:rPr>
              <w:t xml:space="preserve">, </w:t>
            </w:r>
            <m:oMath>
              <m:r>
                <w:rPr>
                  <w:rFonts w:ascii="Cambria Math" w:hAnsi="Cambria Math" w:cs="Arial"/>
                  <w:szCs w:val="18"/>
                  <w:lang w:val="en-GB"/>
                </w:rPr>
                <m:t>Eva, Rad</m:t>
              </m:r>
              <m:r>
                <m:rPr>
                  <m:sty m:val="p"/>
                </m:rPr>
                <w:rPr>
                  <w:rFonts w:ascii="Cambria Math" w:hAnsi="Cambria Math" w:cs="Arial"/>
                  <w:szCs w:val="18"/>
                  <w:lang w:val="en-GB"/>
                </w:rPr>
                <m:t>,</m:t>
              </m:r>
              <m:r>
                <w:rPr>
                  <w:rFonts w:ascii="Cambria Math" w:hAnsi="Cambria Math"/>
                  <w:szCs w:val="18"/>
                  <w:lang w:val="en-GB"/>
                </w:rPr>
                <m:t xml:space="preserve"> I, L,V, S ,W, LV, int</m:t>
              </m:r>
            </m:oMath>
            <w:r w:rsidR="00922CA2" w:rsidRPr="00B71EB5">
              <w:rPr>
                <w:rFonts w:cs="Arial"/>
                <w:szCs w:val="18"/>
                <w:lang w:val="en-GB"/>
              </w:rPr>
              <w:t xml:space="preserve"> are condensation, evaporation, radiation toward the liquid interface, interface, liquid, vapor, saturation, wall, liquid</w:t>
            </w:r>
            <w:r w:rsidR="002F358B">
              <w:rPr>
                <w:rFonts w:cs="Arial"/>
                <w:szCs w:val="18"/>
                <w:lang w:val="en-GB"/>
              </w:rPr>
              <w:t>-</w:t>
            </w:r>
            <w:r w:rsidR="00922CA2" w:rsidRPr="00B71EB5">
              <w:rPr>
                <w:rFonts w:cs="Arial"/>
                <w:szCs w:val="18"/>
                <w:lang w:val="en-GB"/>
              </w:rPr>
              <w:t>vapor interface, and interface, respectively.</w:t>
            </w:r>
            <w:r w:rsidR="00BC5D8E">
              <w:rPr>
                <w:rFonts w:cs="Arial"/>
                <w:szCs w:val="18"/>
                <w:lang w:val="en-GB"/>
              </w:rPr>
              <w:t xml:space="preserve"> </w:t>
            </w:r>
            <m:oMath>
              <m:sSub>
                <m:sSubPr>
                  <m:ctrlPr>
                    <w:rPr>
                      <w:rFonts w:ascii="Cambria Math" w:hAnsi="Cambria Math"/>
                    </w:rPr>
                  </m:ctrlPr>
                </m:sSubPr>
                <m:e>
                  <m:r>
                    <w:rPr>
                      <w:rFonts w:ascii="Cambria Math" w:hAnsi="Cambria Math"/>
                    </w:rPr>
                    <m:t>A</m:t>
                  </m:r>
                </m:e>
                <m:sub>
                  <m:r>
                    <w:rPr>
                      <w:rFonts w:ascii="Cambria Math" w:hAnsi="Cambria Math"/>
                    </w:rPr>
                    <m:t>WL</m:t>
                  </m:r>
                  <m:r>
                    <m:rPr>
                      <m:sty m:val="p"/>
                    </m:rPr>
                    <w:rPr>
                      <w:rFonts w:ascii="Cambria Math" w:hAnsi="Cambria Math"/>
                    </w:rPr>
                    <m:t>0</m:t>
                  </m:r>
                </m:sub>
              </m:sSub>
              <m:r>
                <w:rPr>
                  <w:rFonts w:ascii="Cambria Math" w:hAnsi="Cambria Math"/>
                </w:rPr>
                <m:t xml:space="preserve"> </m:t>
              </m:r>
            </m:oMath>
            <w:r w:rsidR="00BC5D8E">
              <w:rPr>
                <w:rFonts w:cs="Arial"/>
              </w:rPr>
              <w:t xml:space="preserve">is the </w:t>
            </w:r>
            <w:proofErr w:type="gramStart"/>
            <w:r w:rsidR="00BC5D8E">
              <w:rPr>
                <w:rFonts w:cs="Arial"/>
              </w:rPr>
              <w:t>cross sectional</w:t>
            </w:r>
            <w:proofErr w:type="gramEnd"/>
            <w:r w:rsidR="00BC5D8E">
              <w:rPr>
                <w:rFonts w:cs="Arial"/>
              </w:rPr>
              <w:t xml:space="preserve"> area which is wetted by liquid phase.</w:t>
            </w:r>
          </w:p>
        </w:tc>
      </w:tr>
    </w:tbl>
    <w:p w14:paraId="65C9C28A" w14:textId="77777777" w:rsidR="00491C9D" w:rsidRDefault="006D60A9" w:rsidP="000913B0">
      <w:pPr>
        <w:pStyle w:val="CETBodytext"/>
      </w:pPr>
      <w:r>
        <w:t xml:space="preserve"> </w:t>
      </w:r>
      <w:r w:rsidR="00E66D62">
        <w:br/>
        <w:t xml:space="preserve">The </w:t>
      </w:r>
      <w:r w:rsidR="00D10689">
        <w:t>heat transfer properties of the LH2 such as</w:t>
      </w:r>
      <w:r w:rsidR="00E66D62">
        <w:t xml:space="preserve"> </w:t>
      </w:r>
      <w:r w:rsidR="002F358B">
        <w:t xml:space="preserve">the </w:t>
      </w:r>
      <w:r w:rsidR="00E66D62">
        <w:t>convecti</w:t>
      </w:r>
      <w:r w:rsidR="00D10689">
        <w:t xml:space="preserve">on </w:t>
      </w:r>
      <w:r w:rsidR="00B62DF4">
        <w:t xml:space="preserve">heat transfer </w:t>
      </w:r>
      <w:r w:rsidR="00D10689">
        <w:t>coefficient</w:t>
      </w:r>
      <w:r w:rsidR="00E66D62">
        <w:t xml:space="preserve">, and boiling heat transfer equation are </w:t>
      </w:r>
      <w:r w:rsidR="00B62DF4">
        <w:t>adopted</w:t>
      </w:r>
      <w:r w:rsidR="00E66D62">
        <w:t xml:space="preserve"> </w:t>
      </w:r>
      <w:r w:rsidR="00B62DF4">
        <w:t>from</w:t>
      </w:r>
      <w:r w:rsidR="00E66D62">
        <w:t xml:space="preserve"> the work of Wang</w:t>
      </w:r>
      <w:r w:rsidR="00D10689">
        <w:t xml:space="preserve"> et al.</w:t>
      </w:r>
      <w:r w:rsidR="00E66D62">
        <w:t xml:space="preserve"> </w:t>
      </w:r>
      <w:r w:rsidR="00D10689">
        <w:t>(</w:t>
      </w:r>
      <w:r w:rsidR="00E66D62">
        <w:t>2016</w:t>
      </w:r>
      <w:r w:rsidR="00D10689">
        <w:t>)</w:t>
      </w:r>
      <w:r w:rsidR="000F2E19">
        <w:t xml:space="preserve">. </w:t>
      </w:r>
      <w:r w:rsidR="00E66D62">
        <w:t xml:space="preserve">To predict the temperature distribution in </w:t>
      </w:r>
      <w:r w:rsidR="00EA5A79">
        <w:t xml:space="preserve">the </w:t>
      </w:r>
      <w:r w:rsidR="00E66D62">
        <w:t xml:space="preserve">insulation </w:t>
      </w:r>
      <w:r w:rsidR="00EA5A79">
        <w:t>and in the fluid nodes</w:t>
      </w:r>
      <w:r w:rsidR="000C7411">
        <w:t>,</w:t>
      </w:r>
      <w:r w:rsidR="00E66D62">
        <w:t xml:space="preserve"> two </w:t>
      </w:r>
      <w:r w:rsidR="00152ADB">
        <w:t>sub</w:t>
      </w:r>
      <w:r w:rsidR="000C7411">
        <w:t>-</w:t>
      </w:r>
      <w:r w:rsidR="00152ADB">
        <w:t>models</w:t>
      </w:r>
      <w:r w:rsidR="00E66D62">
        <w:t xml:space="preserve"> are coupled together with a thermal balance at the inner wall </w:t>
      </w:r>
      <w:r w:rsidR="00E66D62">
        <w:lastRenderedPageBreak/>
        <w:t xml:space="preserve">of the cryogenic storage tank. For the sake of </w:t>
      </w:r>
      <w:r w:rsidR="000C7411">
        <w:t>simplicity,</w:t>
      </w:r>
      <w:r w:rsidR="00E66D62">
        <w:t xml:space="preserve"> the liquid-vapor interface is considered at saturation temperature. The evaporation and condensation couple the mass and energy transfer between </w:t>
      </w:r>
      <w:r w:rsidR="00FE3741">
        <w:t xml:space="preserve">the </w:t>
      </w:r>
      <w:r w:rsidR="00E66D62">
        <w:t>liquid a</w:t>
      </w:r>
      <w:r w:rsidR="00152ADB">
        <w:t>n</w:t>
      </w:r>
      <w:r w:rsidR="00E66D62">
        <w:t>d vapor phase</w:t>
      </w:r>
      <w:r w:rsidR="00FE3741">
        <w:t>s</w:t>
      </w:r>
      <w:r w:rsidR="00E66D62">
        <w:t>. The evaporation-condensation model is achieved by employing Herz Knudsen model (</w:t>
      </w:r>
      <w:r w:rsidR="00D96F51" w:rsidRPr="00D96F51">
        <w:t>Knudsen, M.</w:t>
      </w:r>
      <w:r w:rsidR="00B62DF4">
        <w:t>,</w:t>
      </w:r>
      <w:r w:rsidR="00D96F51" w:rsidRPr="00D96F51">
        <w:t xml:space="preserve"> 1967</w:t>
      </w:r>
      <w:r w:rsidR="00B62DF4">
        <w:t>)</w:t>
      </w:r>
      <w:r w:rsidR="00D96F51" w:rsidRPr="00D96F51">
        <w:t>.</w:t>
      </w:r>
    </w:p>
    <w:p w14:paraId="5858F47F" w14:textId="5A8415A4" w:rsidR="00034D23" w:rsidRDefault="00034D23" w:rsidP="000913B0">
      <w:pPr>
        <w:pStyle w:val="CETBodytext"/>
      </w:pPr>
      <w:r>
        <w:t xml:space="preserve">The internal temperatures of the liquid and vapor phases are closely linked to the tank’s internal pressure. When the PRV reaches its activation threshold, it releases a portion of the vapor to regulate the system’s pressure. However, if the PRV cannot adequately compensate for the increasing pressurization rate, the pressure may continue to rise, eventually exceeding the tank’s critical endurance limit. This could lead to catastrophic failures, such as a </w:t>
      </w:r>
      <w:proofErr w:type="spellStart"/>
      <w:r>
        <w:t>BLEVE.To</w:t>
      </w:r>
      <w:proofErr w:type="spellEnd"/>
      <w:r>
        <w:t xml:space="preserve"> consider this effect, the model includes the effect of the PRV, using the discharge model described by</w:t>
      </w:r>
      <w:r w:rsidR="00491C9D">
        <w:t xml:space="preserve"> </w:t>
      </w:r>
      <w:r>
        <w:t xml:space="preserve">Scarponi et al. (2016). </w:t>
      </w:r>
    </w:p>
    <w:p w14:paraId="02AE4B81" w14:textId="46A000C6" w:rsidR="00AD7B83" w:rsidRDefault="00034D23" w:rsidP="000913B0">
      <w:pPr>
        <w:pStyle w:val="CETBodytext"/>
      </w:pPr>
      <w:r>
        <w:t>Given limitations in the published data</w:t>
      </w:r>
      <w:r w:rsidR="005973F2">
        <w:t xml:space="preserve"> (Pehr, 1996)</w:t>
      </w:r>
      <w:r>
        <w:t xml:space="preserve">, this study adopts a series of assumptions to estimate the likely condition of the tank’s insulation system. </w:t>
      </w:r>
      <w:r w:rsidR="00B95D63">
        <w:t xml:space="preserve">The assumptions used in this study are listed in </w:t>
      </w:r>
      <w:r w:rsidR="00B22B36">
        <w:t xml:space="preserve">Table </w:t>
      </w:r>
      <w:r w:rsidR="00B22B36">
        <w:rPr>
          <w:noProof/>
        </w:rPr>
        <w:t>2</w:t>
      </w:r>
      <w:r w:rsidR="00AD7B83">
        <w:t>.</w:t>
      </w:r>
    </w:p>
    <w:p w14:paraId="68761C67" w14:textId="4C5CD95A" w:rsidR="006B3B80" w:rsidRDefault="006B3B80" w:rsidP="000913B0">
      <w:pPr>
        <w:pStyle w:val="CETTabletitle"/>
        <w:jc w:val="both"/>
        <w:rPr>
          <w:lang w:val="en-US"/>
        </w:rPr>
      </w:pPr>
      <w:bookmarkStart w:id="5" w:name="_Ref182826491"/>
      <w:r>
        <w:t xml:space="preserve">Table </w:t>
      </w:r>
      <w:r w:rsidR="00B22B36">
        <w:rPr>
          <w:noProof/>
        </w:rPr>
        <w:t>2</w:t>
      </w:r>
      <w:bookmarkEnd w:id="5"/>
      <w:r w:rsidR="005375F4">
        <w:t>.</w:t>
      </w:r>
      <w:r>
        <w:rPr>
          <w:lang w:val="en-US"/>
        </w:rPr>
        <w:t xml:space="preserve"> Assumptions in this study</w:t>
      </w:r>
    </w:p>
    <w:tbl>
      <w:tblPr>
        <w:tblStyle w:val="TableGrid"/>
        <w:tblW w:w="0" w:type="auto"/>
        <w:tblBorders>
          <w:top w:val="none" w:sz="0" w:space="0" w:color="auto"/>
          <w:left w:val="none" w:sz="0" w:space="0" w:color="auto"/>
          <w:bottom w:val="none" w:sz="0" w:space="0" w:color="auto"/>
          <w:right w:val="none" w:sz="0" w:space="0" w:color="auto"/>
          <w:insideH w:val="single" w:sz="12" w:space="0" w:color="00B050"/>
          <w:insideV w:val="single" w:sz="12" w:space="0" w:color="00B050"/>
        </w:tblBorders>
        <w:tblLayout w:type="fixed"/>
        <w:tblLook w:val="04A0" w:firstRow="1" w:lastRow="0" w:firstColumn="1" w:lastColumn="0" w:noHBand="0" w:noVBand="1"/>
      </w:tblPr>
      <w:tblGrid>
        <w:gridCol w:w="1710"/>
        <w:gridCol w:w="2970"/>
        <w:gridCol w:w="2430"/>
        <w:gridCol w:w="1677"/>
      </w:tblGrid>
      <w:tr w:rsidR="00AD7B83" w:rsidRPr="0067569E" w14:paraId="095A4CB7" w14:textId="2E1B7EFB" w:rsidTr="00F507D5">
        <w:tc>
          <w:tcPr>
            <w:tcW w:w="1710" w:type="dxa"/>
            <w:tcBorders>
              <w:top w:val="single" w:sz="12" w:space="0" w:color="00B050"/>
              <w:bottom w:val="single" w:sz="12" w:space="0" w:color="00B050"/>
            </w:tcBorders>
          </w:tcPr>
          <w:p w14:paraId="290542AD" w14:textId="542BD797" w:rsidR="00AD7B83" w:rsidRPr="00BC5D8E" w:rsidRDefault="00AD7B83" w:rsidP="00BC5D8E">
            <w:pPr>
              <w:pStyle w:val="CETBodytext"/>
              <w:jc w:val="left"/>
              <w:rPr>
                <w:rFonts w:asciiTheme="minorBidi" w:hAnsiTheme="minorBidi" w:cstheme="minorBidi"/>
                <w:b/>
                <w:bCs/>
                <w:szCs w:val="18"/>
              </w:rPr>
            </w:pPr>
            <w:r w:rsidRPr="00BC5D8E">
              <w:rPr>
                <w:rFonts w:asciiTheme="minorBidi" w:hAnsiTheme="minorBidi" w:cstheme="minorBidi"/>
                <w:b/>
                <w:bCs/>
                <w:szCs w:val="18"/>
              </w:rPr>
              <w:t>Name of</w:t>
            </w:r>
            <w:r w:rsidR="0067569E" w:rsidRPr="00BC5D8E">
              <w:rPr>
                <w:rFonts w:asciiTheme="minorBidi" w:hAnsiTheme="minorBidi" w:cstheme="minorBidi"/>
                <w:b/>
                <w:bCs/>
                <w:szCs w:val="18"/>
              </w:rPr>
              <w:t xml:space="preserve"> </w:t>
            </w:r>
            <w:r w:rsidRPr="00BC5D8E">
              <w:rPr>
                <w:rFonts w:asciiTheme="minorBidi" w:hAnsiTheme="minorBidi" w:cstheme="minorBidi"/>
                <w:b/>
                <w:bCs/>
                <w:szCs w:val="18"/>
              </w:rPr>
              <w:t>variable</w:t>
            </w:r>
          </w:p>
        </w:tc>
        <w:tc>
          <w:tcPr>
            <w:tcW w:w="2970" w:type="dxa"/>
            <w:tcBorders>
              <w:top w:val="single" w:sz="12" w:space="0" w:color="00B050"/>
              <w:bottom w:val="single" w:sz="12" w:space="0" w:color="00B050"/>
            </w:tcBorders>
          </w:tcPr>
          <w:p w14:paraId="49DB9E72" w14:textId="5B92AFB8" w:rsidR="00AD7B83" w:rsidRPr="00BC5D8E" w:rsidRDefault="00AD7B83" w:rsidP="00BC5D8E">
            <w:pPr>
              <w:pStyle w:val="CETBodytext"/>
              <w:jc w:val="left"/>
              <w:rPr>
                <w:rFonts w:asciiTheme="minorBidi" w:hAnsiTheme="minorBidi" w:cstheme="minorBidi"/>
                <w:b/>
                <w:bCs/>
                <w:szCs w:val="18"/>
              </w:rPr>
            </w:pPr>
            <w:r w:rsidRPr="00BC5D8E">
              <w:rPr>
                <w:rFonts w:asciiTheme="minorBidi" w:hAnsiTheme="minorBidi" w:cstheme="minorBidi"/>
                <w:b/>
                <w:bCs/>
                <w:szCs w:val="18"/>
              </w:rPr>
              <w:t>Quantity</w:t>
            </w:r>
          </w:p>
        </w:tc>
        <w:tc>
          <w:tcPr>
            <w:tcW w:w="2430" w:type="dxa"/>
            <w:tcBorders>
              <w:top w:val="single" w:sz="12" w:space="0" w:color="00B050"/>
              <w:bottom w:val="single" w:sz="12" w:space="0" w:color="00B050"/>
            </w:tcBorders>
          </w:tcPr>
          <w:p w14:paraId="7518651A" w14:textId="2D120CA2" w:rsidR="00AD7B83" w:rsidRPr="00BC5D8E" w:rsidRDefault="00AD7B83" w:rsidP="00BC5D8E">
            <w:pPr>
              <w:pStyle w:val="CETBodytext"/>
              <w:jc w:val="left"/>
              <w:rPr>
                <w:rFonts w:asciiTheme="minorBidi" w:hAnsiTheme="minorBidi" w:cstheme="minorBidi"/>
                <w:b/>
                <w:bCs/>
                <w:szCs w:val="18"/>
              </w:rPr>
            </w:pPr>
            <w:r w:rsidRPr="00BC5D8E">
              <w:rPr>
                <w:rFonts w:asciiTheme="minorBidi" w:hAnsiTheme="minorBidi" w:cstheme="minorBidi"/>
                <w:b/>
                <w:bCs/>
                <w:szCs w:val="18"/>
              </w:rPr>
              <w:t>Name of variable</w:t>
            </w:r>
          </w:p>
        </w:tc>
        <w:tc>
          <w:tcPr>
            <w:tcW w:w="1677" w:type="dxa"/>
            <w:tcBorders>
              <w:top w:val="single" w:sz="12" w:space="0" w:color="00B050"/>
              <w:bottom w:val="single" w:sz="12" w:space="0" w:color="00B050"/>
            </w:tcBorders>
          </w:tcPr>
          <w:p w14:paraId="6FE31CCD" w14:textId="26785EAC" w:rsidR="00AD7B83" w:rsidRPr="00BC5D8E" w:rsidRDefault="00AD7B83" w:rsidP="00BC5D8E">
            <w:pPr>
              <w:pStyle w:val="CETBodytext"/>
              <w:jc w:val="left"/>
              <w:rPr>
                <w:rFonts w:asciiTheme="minorBidi" w:hAnsiTheme="minorBidi" w:cstheme="minorBidi"/>
                <w:b/>
                <w:bCs/>
                <w:szCs w:val="18"/>
              </w:rPr>
            </w:pPr>
            <w:r w:rsidRPr="00BC5D8E">
              <w:rPr>
                <w:rFonts w:asciiTheme="minorBidi" w:hAnsiTheme="minorBidi" w:cstheme="minorBidi"/>
                <w:b/>
                <w:bCs/>
                <w:szCs w:val="18"/>
              </w:rPr>
              <w:t>Quantity</w:t>
            </w:r>
          </w:p>
        </w:tc>
      </w:tr>
      <w:tr w:rsidR="00AD7B83" w:rsidRPr="0067569E" w14:paraId="7022F6C0" w14:textId="76D4D875" w:rsidTr="00F507D5">
        <w:trPr>
          <w:trHeight w:val="294"/>
        </w:trPr>
        <w:tc>
          <w:tcPr>
            <w:tcW w:w="1710" w:type="dxa"/>
            <w:tcBorders>
              <w:top w:val="single" w:sz="12" w:space="0" w:color="00B050"/>
              <w:bottom w:val="single" w:sz="12" w:space="0" w:color="00B050"/>
            </w:tcBorders>
          </w:tcPr>
          <w:p w14:paraId="683DBF07" w14:textId="76C7C91A" w:rsidR="00AD7B83" w:rsidRPr="0067569E" w:rsidRDefault="0017607F" w:rsidP="00BC5D8E">
            <w:pPr>
              <w:pStyle w:val="CETBodytext"/>
              <w:jc w:val="center"/>
              <w:rPr>
                <w:rFonts w:asciiTheme="minorBidi" w:hAnsiTheme="minorBidi" w:cstheme="minorBidi"/>
                <w:szCs w:val="18"/>
              </w:rPr>
            </w:pPr>
            <m:oMathPara>
              <m:oMath>
                <m:sSub>
                  <m:sSubPr>
                    <m:ctrlPr>
                      <w:rPr>
                        <w:rFonts w:ascii="Cambria Math" w:hAnsi="Cambria Math" w:cstheme="minorBidi"/>
                        <w:i/>
                        <w:szCs w:val="18"/>
                        <w:lang w:val="en-GB"/>
                      </w:rPr>
                    </m:ctrlPr>
                  </m:sSubPr>
                  <m:e>
                    <m:r>
                      <w:rPr>
                        <w:rFonts w:ascii="Cambria Math" w:hAnsi="Cambria Math" w:cstheme="minorBidi"/>
                        <w:szCs w:val="18"/>
                        <w:lang w:val="en-GB"/>
                      </w:rPr>
                      <m:t>α</m:t>
                    </m:r>
                  </m:e>
                  <m:sub>
                    <m:r>
                      <w:rPr>
                        <w:rFonts w:ascii="Cambria Math" w:hAnsi="Cambria Math" w:cstheme="minorBidi"/>
                        <w:szCs w:val="18"/>
                        <w:lang w:val="en-GB"/>
                      </w:rPr>
                      <m:t>Eva</m:t>
                    </m:r>
                  </m:sub>
                </m:sSub>
                <m:r>
                  <w:rPr>
                    <w:rFonts w:ascii="Cambria Math" w:hAnsi="Cambria Math" w:cstheme="minorBidi"/>
                    <w:szCs w:val="18"/>
                    <w:lang w:val="en-GB"/>
                  </w:rPr>
                  <m:t xml:space="preserve">, </m:t>
                </m:r>
                <m:sSub>
                  <m:sSubPr>
                    <m:ctrlPr>
                      <w:rPr>
                        <w:rFonts w:ascii="Cambria Math" w:hAnsi="Cambria Math" w:cstheme="minorBidi"/>
                        <w:i/>
                        <w:szCs w:val="18"/>
                        <w:lang w:val="en-GB"/>
                      </w:rPr>
                    </m:ctrlPr>
                  </m:sSubPr>
                  <m:e>
                    <m:r>
                      <w:rPr>
                        <w:rFonts w:ascii="Cambria Math" w:hAnsi="Cambria Math" w:cstheme="minorBidi"/>
                        <w:szCs w:val="18"/>
                        <w:lang w:val="en-GB"/>
                      </w:rPr>
                      <m:t>α</m:t>
                    </m:r>
                  </m:e>
                  <m:sub>
                    <m:r>
                      <w:rPr>
                        <w:rFonts w:ascii="Cambria Math" w:hAnsi="Cambria Math" w:cstheme="minorBidi"/>
                        <w:szCs w:val="18"/>
                        <w:lang w:val="en-GB"/>
                      </w:rPr>
                      <m:t>Con</m:t>
                    </m:r>
                  </m:sub>
                </m:sSub>
              </m:oMath>
            </m:oMathPara>
          </w:p>
        </w:tc>
        <w:tc>
          <w:tcPr>
            <w:tcW w:w="2970" w:type="dxa"/>
            <w:tcBorders>
              <w:top w:val="single" w:sz="12" w:space="0" w:color="00B050"/>
            </w:tcBorders>
          </w:tcPr>
          <w:p w14:paraId="23D65260" w14:textId="180FCB61" w:rsidR="00AD7B83" w:rsidRPr="0067569E" w:rsidRDefault="00AD7B83" w:rsidP="004C2C19">
            <w:pPr>
              <w:pStyle w:val="CETBodytext"/>
              <w:jc w:val="left"/>
              <w:rPr>
                <w:rFonts w:asciiTheme="minorBidi" w:hAnsiTheme="minorBidi" w:cstheme="minorBidi"/>
                <w:szCs w:val="18"/>
              </w:rPr>
            </w:pPr>
            <w:r w:rsidRPr="0067569E">
              <w:rPr>
                <w:rFonts w:asciiTheme="minorBidi" w:hAnsiTheme="minorBidi" w:cstheme="minorBidi"/>
                <w:szCs w:val="18"/>
              </w:rPr>
              <w:t>0.001</w:t>
            </w:r>
          </w:p>
        </w:tc>
        <w:tc>
          <w:tcPr>
            <w:tcW w:w="2430" w:type="dxa"/>
            <w:tcBorders>
              <w:top w:val="single" w:sz="12" w:space="0" w:color="00B050"/>
            </w:tcBorders>
          </w:tcPr>
          <w:p w14:paraId="3D9AEBAC" w14:textId="3D09CB00" w:rsidR="00AD7B83" w:rsidRPr="0067569E" w:rsidRDefault="00AD7B83" w:rsidP="004C2C19">
            <w:pPr>
              <w:pStyle w:val="CETBodytext"/>
              <w:jc w:val="center"/>
              <w:rPr>
                <w:rFonts w:asciiTheme="minorBidi" w:hAnsiTheme="minorBidi" w:cstheme="minorBidi"/>
                <w:szCs w:val="18"/>
              </w:rPr>
            </w:pPr>
            <w:r w:rsidRPr="0067569E">
              <w:rPr>
                <w:rFonts w:asciiTheme="minorBidi" w:hAnsiTheme="minorBidi" w:cstheme="minorBidi"/>
                <w:szCs w:val="18"/>
              </w:rPr>
              <w:t>Outer wall (outer side) emissivity</w:t>
            </w:r>
          </w:p>
        </w:tc>
        <w:tc>
          <w:tcPr>
            <w:tcW w:w="1677" w:type="dxa"/>
            <w:tcBorders>
              <w:top w:val="single" w:sz="12" w:space="0" w:color="00B050"/>
            </w:tcBorders>
          </w:tcPr>
          <w:p w14:paraId="5E810799" w14:textId="0510EB38" w:rsidR="00AD7B83" w:rsidRPr="0067569E" w:rsidRDefault="00AD7B83" w:rsidP="004C2C19">
            <w:pPr>
              <w:pStyle w:val="CETBodytext"/>
              <w:jc w:val="left"/>
              <w:rPr>
                <w:rFonts w:asciiTheme="minorBidi" w:hAnsiTheme="minorBidi" w:cstheme="minorBidi"/>
                <w:szCs w:val="18"/>
              </w:rPr>
            </w:pPr>
            <w:r w:rsidRPr="0067569E">
              <w:rPr>
                <w:rFonts w:asciiTheme="minorBidi" w:hAnsiTheme="minorBidi" w:cstheme="minorBidi"/>
                <w:szCs w:val="18"/>
              </w:rPr>
              <w:t>0.9 (Worst case consideration)</w:t>
            </w:r>
          </w:p>
        </w:tc>
      </w:tr>
      <w:tr w:rsidR="00AD7B83" w:rsidRPr="0067569E" w14:paraId="427479DB" w14:textId="170D659B" w:rsidTr="00F507D5">
        <w:trPr>
          <w:trHeight w:val="330"/>
        </w:trPr>
        <w:tc>
          <w:tcPr>
            <w:tcW w:w="1710" w:type="dxa"/>
            <w:tcBorders>
              <w:top w:val="single" w:sz="12" w:space="0" w:color="00B050"/>
              <w:bottom w:val="single" w:sz="12" w:space="0" w:color="00B050"/>
            </w:tcBorders>
          </w:tcPr>
          <w:p w14:paraId="61D07A8B" w14:textId="7945EBA5" w:rsidR="00AD7B83" w:rsidRPr="004E25B6" w:rsidRDefault="004E25B6" w:rsidP="00BC5D8E">
            <w:pPr>
              <w:pStyle w:val="CETBodytext"/>
              <w:jc w:val="center"/>
              <w:rPr>
                <w:szCs w:val="18"/>
                <w:lang w:val="en-GB"/>
              </w:rPr>
            </w:pPr>
            <m:oMathPara>
              <m:oMath>
                <m:r>
                  <w:rPr>
                    <w:rFonts w:ascii="Cambria Math" w:hAnsi="Cambria Math" w:cstheme="minorBidi"/>
                    <w:szCs w:val="18"/>
                    <w:lang w:val="en-GB"/>
                  </w:rPr>
                  <m:t>Insulation space</m:t>
                </m:r>
              </m:oMath>
            </m:oMathPara>
          </w:p>
          <w:p w14:paraId="086127B4" w14:textId="53F56C98" w:rsidR="004E25B6" w:rsidRPr="004E25B6" w:rsidRDefault="004E25B6" w:rsidP="00BC5D8E">
            <w:pPr>
              <w:pStyle w:val="CETBodytext"/>
              <w:jc w:val="center"/>
              <w:rPr>
                <w:szCs w:val="18"/>
              </w:rPr>
            </w:pPr>
          </w:p>
        </w:tc>
        <w:tc>
          <w:tcPr>
            <w:tcW w:w="2970" w:type="dxa"/>
          </w:tcPr>
          <w:p w14:paraId="123CD2ED" w14:textId="484033F9" w:rsidR="00AD7B83" w:rsidRPr="0067569E" w:rsidRDefault="004E25B6" w:rsidP="004C2C19">
            <w:pPr>
              <w:pStyle w:val="CETEquation"/>
            </w:pPr>
            <w:r>
              <w:t xml:space="preserve">30 </w:t>
            </w:r>
            <w:r w:rsidRPr="004E25B6">
              <w:t>mm</w:t>
            </w:r>
          </w:p>
        </w:tc>
        <w:tc>
          <w:tcPr>
            <w:tcW w:w="2430" w:type="dxa"/>
          </w:tcPr>
          <w:p w14:paraId="4858F56F" w14:textId="40B83733" w:rsidR="00AD7B83" w:rsidRPr="0067569E" w:rsidRDefault="00AD7B83" w:rsidP="004C2C19">
            <w:pPr>
              <w:pStyle w:val="CETBodytext"/>
              <w:jc w:val="center"/>
              <w:rPr>
                <w:rFonts w:asciiTheme="minorBidi" w:hAnsiTheme="minorBidi" w:cstheme="minorBidi"/>
                <w:szCs w:val="18"/>
              </w:rPr>
            </w:pPr>
            <w:r w:rsidRPr="0067569E">
              <w:rPr>
                <w:rFonts w:asciiTheme="minorBidi" w:hAnsiTheme="minorBidi" w:cstheme="minorBidi"/>
                <w:szCs w:val="18"/>
              </w:rPr>
              <w:t>Outer wall (inner side), emissivity</w:t>
            </w:r>
          </w:p>
        </w:tc>
        <w:tc>
          <w:tcPr>
            <w:tcW w:w="1677" w:type="dxa"/>
          </w:tcPr>
          <w:p w14:paraId="77FFA9CC" w14:textId="5EDC3569" w:rsidR="00AD7B83" w:rsidRPr="0067569E" w:rsidRDefault="00AD7B83" w:rsidP="004C2C19">
            <w:pPr>
              <w:pStyle w:val="CETBodytext"/>
              <w:jc w:val="left"/>
              <w:rPr>
                <w:rFonts w:asciiTheme="minorBidi" w:hAnsiTheme="minorBidi" w:cstheme="minorBidi"/>
                <w:szCs w:val="18"/>
              </w:rPr>
            </w:pPr>
            <w:r w:rsidRPr="0067569E">
              <w:rPr>
                <w:rFonts w:asciiTheme="minorBidi" w:hAnsiTheme="minorBidi" w:cstheme="minorBidi"/>
                <w:szCs w:val="18"/>
              </w:rPr>
              <w:t>0.27 (Eberwein et al., 2024)</w:t>
            </w:r>
          </w:p>
        </w:tc>
      </w:tr>
      <w:tr w:rsidR="00AD7B83" w:rsidRPr="0067569E" w14:paraId="04235697" w14:textId="2621E3AF" w:rsidTr="00F507D5">
        <w:tc>
          <w:tcPr>
            <w:tcW w:w="1710" w:type="dxa"/>
            <w:tcBorders>
              <w:top w:val="single" w:sz="12" w:space="0" w:color="00B050"/>
              <w:bottom w:val="single" w:sz="12" w:space="0" w:color="00B050"/>
            </w:tcBorders>
          </w:tcPr>
          <w:p w14:paraId="0973A366" w14:textId="036743EE" w:rsidR="00AD7B83" w:rsidRPr="0067569E" w:rsidRDefault="00AD7B83" w:rsidP="00BC5D8E">
            <w:pPr>
              <w:pStyle w:val="CETBodytext"/>
              <w:jc w:val="center"/>
              <w:rPr>
                <w:rFonts w:asciiTheme="minorBidi" w:hAnsiTheme="minorBidi" w:cstheme="minorBidi"/>
                <w:szCs w:val="18"/>
              </w:rPr>
            </w:pPr>
            <w:r w:rsidRPr="0067569E">
              <w:rPr>
                <w:rFonts w:asciiTheme="minorBidi" w:hAnsiTheme="minorBidi" w:cstheme="minorBidi"/>
                <w:szCs w:val="18"/>
              </w:rPr>
              <w:t># layers</w:t>
            </w:r>
          </w:p>
        </w:tc>
        <w:tc>
          <w:tcPr>
            <w:tcW w:w="2970" w:type="dxa"/>
            <w:tcBorders>
              <w:bottom w:val="single" w:sz="12" w:space="0" w:color="00B050"/>
            </w:tcBorders>
          </w:tcPr>
          <w:p w14:paraId="3450358E" w14:textId="19345C7D" w:rsidR="00AD7B83" w:rsidRPr="0067569E" w:rsidRDefault="00AD7B83" w:rsidP="004C2C19">
            <w:pPr>
              <w:pStyle w:val="CETBodytext"/>
              <w:jc w:val="left"/>
              <w:rPr>
                <w:rFonts w:asciiTheme="minorBidi" w:hAnsiTheme="minorBidi" w:cstheme="minorBidi"/>
                <w:szCs w:val="18"/>
              </w:rPr>
            </w:pPr>
            <w:r w:rsidRPr="0067569E">
              <w:rPr>
                <w:rFonts w:asciiTheme="minorBidi" w:hAnsiTheme="minorBidi" w:cstheme="minorBidi"/>
                <w:szCs w:val="18"/>
              </w:rPr>
              <w:t>35 , 40</w:t>
            </w:r>
            <w:r w:rsidR="00491C9D">
              <w:rPr>
                <w:rFonts w:asciiTheme="minorBidi" w:hAnsiTheme="minorBidi" w:cstheme="minorBidi"/>
                <w:szCs w:val="18"/>
              </w:rPr>
              <w:t xml:space="preserve"> </w:t>
            </w:r>
            <w:r w:rsidR="00491C9D" w:rsidRPr="004E25B6">
              <w:rPr>
                <w:rFonts w:asciiTheme="minorBidi" w:hAnsiTheme="minorBidi" w:cstheme="minorBidi"/>
                <w:noProof/>
                <w:szCs w:val="18"/>
              </w:rPr>
              <w:t>(Fesmire</w:t>
            </w:r>
            <w:r w:rsidR="00491C9D">
              <w:rPr>
                <w:rFonts w:asciiTheme="minorBidi" w:hAnsiTheme="minorBidi" w:cstheme="minorBidi"/>
                <w:noProof/>
                <w:szCs w:val="18"/>
              </w:rPr>
              <w:t xml:space="preserve"> et al.</w:t>
            </w:r>
            <w:r w:rsidR="00491C9D" w:rsidRPr="004E25B6">
              <w:rPr>
                <w:rFonts w:asciiTheme="minorBidi" w:hAnsiTheme="minorBidi" w:cstheme="minorBidi"/>
                <w:noProof/>
                <w:szCs w:val="18"/>
              </w:rPr>
              <w:t>, 2008)</w:t>
            </w:r>
          </w:p>
        </w:tc>
        <w:tc>
          <w:tcPr>
            <w:tcW w:w="2430" w:type="dxa"/>
            <w:tcBorders>
              <w:bottom w:val="single" w:sz="12" w:space="0" w:color="00B050"/>
            </w:tcBorders>
          </w:tcPr>
          <w:p w14:paraId="1C1B3839" w14:textId="40F9DD47" w:rsidR="00AD7B83" w:rsidRPr="0067569E" w:rsidRDefault="00AD7B83" w:rsidP="004C2C19">
            <w:pPr>
              <w:pStyle w:val="CETBodytext"/>
              <w:jc w:val="center"/>
              <w:rPr>
                <w:rFonts w:asciiTheme="minorBidi" w:hAnsiTheme="minorBidi" w:cstheme="minorBidi"/>
                <w:szCs w:val="18"/>
              </w:rPr>
            </w:pPr>
            <w:r w:rsidRPr="0067569E">
              <w:rPr>
                <w:rFonts w:asciiTheme="minorBidi" w:hAnsiTheme="minorBidi" w:cstheme="minorBidi"/>
                <w:szCs w:val="18"/>
              </w:rPr>
              <w:t>Inner wall emissivity</w:t>
            </w:r>
          </w:p>
        </w:tc>
        <w:tc>
          <w:tcPr>
            <w:tcW w:w="1677" w:type="dxa"/>
            <w:tcBorders>
              <w:bottom w:val="single" w:sz="12" w:space="0" w:color="00B050"/>
            </w:tcBorders>
          </w:tcPr>
          <w:p w14:paraId="7D286BB0" w14:textId="4CAAC85B" w:rsidR="00AD7B83" w:rsidRPr="0067569E" w:rsidRDefault="00AD7B83" w:rsidP="004C2C19">
            <w:pPr>
              <w:pStyle w:val="CETBodytext"/>
              <w:jc w:val="left"/>
              <w:rPr>
                <w:rFonts w:asciiTheme="minorBidi" w:hAnsiTheme="minorBidi" w:cstheme="minorBidi"/>
                <w:szCs w:val="18"/>
              </w:rPr>
            </w:pPr>
            <w:r w:rsidRPr="0067569E">
              <w:rPr>
                <w:rFonts w:asciiTheme="minorBidi" w:hAnsiTheme="minorBidi" w:cstheme="minorBidi"/>
                <w:szCs w:val="18"/>
              </w:rPr>
              <w:t>0.1</w:t>
            </w:r>
          </w:p>
        </w:tc>
      </w:tr>
      <w:tr w:rsidR="00AD7B83" w:rsidRPr="0067569E" w14:paraId="0E6AF4EF" w14:textId="12B84B35" w:rsidTr="00F507D5">
        <w:tc>
          <w:tcPr>
            <w:tcW w:w="1710" w:type="dxa"/>
            <w:tcBorders>
              <w:top w:val="single" w:sz="12" w:space="0" w:color="00B050"/>
              <w:bottom w:val="single" w:sz="12" w:space="0" w:color="00B050"/>
            </w:tcBorders>
          </w:tcPr>
          <w:p w14:paraId="7BE0C159" w14:textId="67F4DB59" w:rsidR="00AD7B83" w:rsidRPr="0067569E" w:rsidRDefault="00AD7B83" w:rsidP="00BC5D8E">
            <w:pPr>
              <w:pStyle w:val="CETBodytext"/>
              <w:jc w:val="center"/>
              <w:rPr>
                <w:rFonts w:asciiTheme="minorBidi" w:hAnsiTheme="minorBidi" w:cstheme="minorBidi"/>
                <w:szCs w:val="18"/>
              </w:rPr>
            </w:pPr>
            <w:r w:rsidRPr="0067569E">
              <w:rPr>
                <w:rFonts w:asciiTheme="minorBidi" w:hAnsiTheme="minorBidi" w:cstheme="minorBidi"/>
                <w:szCs w:val="18"/>
              </w:rPr>
              <w:t>Pressure</w:t>
            </w:r>
          </w:p>
        </w:tc>
        <w:tc>
          <w:tcPr>
            <w:tcW w:w="2970" w:type="dxa"/>
            <w:tcBorders>
              <w:bottom w:val="single" w:sz="12" w:space="0" w:color="00B050"/>
            </w:tcBorders>
          </w:tcPr>
          <w:p w14:paraId="78667A33" w14:textId="09815AEF" w:rsidR="00AD7B83" w:rsidRPr="0067569E" w:rsidRDefault="0017607F" w:rsidP="004C2C19">
            <w:pPr>
              <w:pStyle w:val="CETBodytext"/>
              <w:jc w:val="left"/>
              <w:rPr>
                <w:rFonts w:asciiTheme="minorBidi" w:hAnsiTheme="minorBidi" w:cstheme="minorBidi"/>
                <w:szCs w:val="18"/>
                <w:lang w:val="de-DE"/>
              </w:rPr>
            </w:pPr>
            <m:oMath>
              <m:d>
                <m:dPr>
                  <m:begChr m:val="{"/>
                  <m:endChr m:val=""/>
                  <m:ctrlPr>
                    <w:rPr>
                      <w:rFonts w:ascii="Cambria Math" w:hAnsi="Cambria Math" w:cstheme="minorBidi"/>
                      <w:i/>
                      <w:szCs w:val="18"/>
                    </w:rPr>
                  </m:ctrlPr>
                </m:dPr>
                <m:e>
                  <m:eqArr>
                    <m:eqArrPr>
                      <m:ctrlPr>
                        <w:rPr>
                          <w:rFonts w:ascii="Cambria Math" w:hAnsi="Cambria Math" w:cstheme="minorBidi"/>
                          <w:i/>
                          <w:szCs w:val="18"/>
                        </w:rPr>
                      </m:ctrlPr>
                    </m:eqArrPr>
                    <m:e>
                      <m:r>
                        <w:rPr>
                          <w:rFonts w:ascii="Cambria Math" w:hAnsi="Cambria Math" w:cstheme="minorBidi"/>
                          <w:szCs w:val="18"/>
                        </w:rPr>
                        <m:t>P</m:t>
                      </m:r>
                      <m:r>
                        <w:rPr>
                          <w:rFonts w:ascii="Cambria Math" w:hAnsi="Cambria Math" w:cstheme="minorBidi"/>
                          <w:szCs w:val="18"/>
                          <w:lang w:val="de-DE"/>
                        </w:rPr>
                        <m:t xml:space="preserve">=100 </m:t>
                      </m:r>
                      <m:r>
                        <w:rPr>
                          <w:rFonts w:ascii="Cambria Math" w:hAnsi="Cambria Math" w:cstheme="minorBidi"/>
                          <w:szCs w:val="18"/>
                        </w:rPr>
                        <m:t>mbar</m:t>
                      </m:r>
                      <m:r>
                        <w:rPr>
                          <w:rFonts w:ascii="Cambria Math" w:hAnsi="Cambria Math" w:cstheme="minorBidi"/>
                          <w:szCs w:val="18"/>
                          <w:lang w:val="de-DE"/>
                        </w:rPr>
                        <m:t xml:space="preserve">  @ </m:t>
                      </m:r>
                      <m:r>
                        <w:rPr>
                          <w:rFonts w:ascii="Cambria Math" w:hAnsi="Cambria Math" w:cstheme="minorBidi"/>
                          <w:szCs w:val="18"/>
                        </w:rPr>
                        <m:t>t</m:t>
                      </m:r>
                      <m:r>
                        <w:rPr>
                          <w:rFonts w:ascii="Cambria Math" w:hAnsi="Cambria Math" w:cstheme="minorBidi"/>
                          <w:szCs w:val="18"/>
                          <w:lang w:val="de-DE"/>
                        </w:rPr>
                        <m:t xml:space="preserve">≤240 </m:t>
                      </m:r>
                      <m:r>
                        <w:rPr>
                          <w:rFonts w:ascii="Cambria Math" w:hAnsi="Cambria Math" w:cstheme="minorBidi"/>
                          <w:szCs w:val="18"/>
                        </w:rPr>
                        <m:t>s</m:t>
                      </m:r>
                    </m:e>
                    <m:e>
                      <m:r>
                        <w:rPr>
                          <w:rFonts w:ascii="Cambria Math" w:hAnsi="Cambria Math" w:cstheme="minorBidi"/>
                          <w:szCs w:val="18"/>
                        </w:rPr>
                        <m:t>P</m:t>
                      </m:r>
                      <m:r>
                        <w:rPr>
                          <w:rFonts w:ascii="Cambria Math" w:hAnsi="Cambria Math" w:cstheme="minorBidi"/>
                          <w:szCs w:val="18"/>
                          <w:lang w:val="de-DE"/>
                        </w:rPr>
                        <m:t xml:space="preserve">=1 </m:t>
                      </m:r>
                      <m:r>
                        <w:rPr>
                          <w:rFonts w:ascii="Cambria Math" w:hAnsi="Cambria Math" w:cstheme="minorBidi"/>
                          <w:szCs w:val="18"/>
                        </w:rPr>
                        <m:t>bar</m:t>
                      </m:r>
                      <m:r>
                        <w:rPr>
                          <w:rFonts w:ascii="Cambria Math" w:hAnsi="Cambria Math" w:cstheme="minorBidi"/>
                          <w:szCs w:val="18"/>
                          <w:lang w:val="de-DE"/>
                        </w:rPr>
                        <m:t xml:space="preserve">        @  </m:t>
                      </m:r>
                      <m:r>
                        <w:rPr>
                          <w:rFonts w:ascii="Cambria Math" w:hAnsi="Cambria Math" w:cstheme="minorBidi"/>
                          <w:szCs w:val="18"/>
                        </w:rPr>
                        <m:t>t</m:t>
                      </m:r>
                      <m:r>
                        <w:rPr>
                          <w:rFonts w:ascii="Cambria Math" w:hAnsi="Cambria Math" w:cstheme="minorBidi"/>
                          <w:szCs w:val="18"/>
                          <w:lang w:val="de-DE"/>
                        </w:rPr>
                        <m:t xml:space="preserve"> &gt;240 </m:t>
                      </m:r>
                      <m:r>
                        <w:rPr>
                          <w:rFonts w:ascii="Cambria Math" w:hAnsi="Cambria Math" w:cstheme="minorBidi"/>
                          <w:szCs w:val="18"/>
                        </w:rPr>
                        <m:t>s</m:t>
                      </m:r>
                    </m:e>
                  </m:eqArr>
                </m:e>
              </m:d>
            </m:oMath>
            <w:r w:rsidR="00AD7B83" w:rsidRPr="0067569E">
              <w:rPr>
                <w:rFonts w:asciiTheme="minorBidi" w:hAnsiTheme="minorBidi" w:cstheme="minorBidi"/>
                <w:szCs w:val="18"/>
                <w:lang w:val="de-DE"/>
              </w:rPr>
              <w:t xml:space="preserve">   </w:t>
            </w:r>
            <w:proofErr w:type="spellStart"/>
            <w:r w:rsidR="001672E9" w:rsidRPr="0067569E">
              <w:rPr>
                <w:rFonts w:asciiTheme="minorBidi" w:hAnsiTheme="minorBidi" w:cstheme="minorBidi"/>
                <w:szCs w:val="18"/>
                <w:lang w:val="de-DE"/>
              </w:rPr>
              <w:t>Pehr</w:t>
            </w:r>
            <w:proofErr w:type="spellEnd"/>
            <w:r w:rsidR="001672E9" w:rsidRPr="0067569E">
              <w:rPr>
                <w:rFonts w:asciiTheme="minorBidi" w:hAnsiTheme="minorBidi" w:cstheme="minorBidi"/>
                <w:szCs w:val="18"/>
                <w:lang w:val="de-DE"/>
              </w:rPr>
              <w:t>,</w:t>
            </w:r>
            <w:r w:rsidR="00AD7B83" w:rsidRPr="0067569E">
              <w:rPr>
                <w:rFonts w:asciiTheme="minorBidi" w:hAnsiTheme="minorBidi" w:cstheme="minorBidi"/>
                <w:szCs w:val="18"/>
                <w:lang w:val="de-DE"/>
              </w:rPr>
              <w:t xml:space="preserve"> 1996</w:t>
            </w:r>
          </w:p>
        </w:tc>
        <w:tc>
          <w:tcPr>
            <w:tcW w:w="2430" w:type="dxa"/>
            <w:tcBorders>
              <w:bottom w:val="single" w:sz="12" w:space="0" w:color="00B050"/>
            </w:tcBorders>
          </w:tcPr>
          <w:p w14:paraId="0E2BB2EB" w14:textId="4ED5238C" w:rsidR="00AD7B83" w:rsidRPr="0067569E" w:rsidRDefault="00AD7B83" w:rsidP="004C2C19">
            <w:pPr>
              <w:pStyle w:val="CETBodytext"/>
              <w:jc w:val="center"/>
              <w:rPr>
                <w:rFonts w:asciiTheme="minorBidi" w:hAnsiTheme="minorBidi" w:cstheme="minorBidi"/>
                <w:szCs w:val="18"/>
              </w:rPr>
            </w:pPr>
            <w:r w:rsidRPr="0067569E">
              <w:rPr>
                <w:rFonts w:asciiTheme="minorBidi" w:hAnsiTheme="minorBidi" w:cstheme="minorBidi"/>
                <w:szCs w:val="18"/>
              </w:rPr>
              <w:t>Average liquid hydrogen emissivity</w:t>
            </w:r>
          </w:p>
        </w:tc>
        <w:tc>
          <w:tcPr>
            <w:tcW w:w="1677" w:type="dxa"/>
            <w:tcBorders>
              <w:bottom w:val="single" w:sz="12" w:space="0" w:color="00B050"/>
            </w:tcBorders>
          </w:tcPr>
          <w:p w14:paraId="4329E4EE" w14:textId="4FAB9EBB" w:rsidR="00AD7B83" w:rsidRPr="0067569E" w:rsidRDefault="00AD7B83" w:rsidP="004C2C19">
            <w:pPr>
              <w:pStyle w:val="CETBodytext"/>
              <w:jc w:val="left"/>
              <w:rPr>
                <w:rFonts w:asciiTheme="minorBidi" w:hAnsiTheme="minorBidi" w:cstheme="minorBidi"/>
                <w:szCs w:val="18"/>
              </w:rPr>
            </w:pPr>
            <w:r w:rsidRPr="0067569E">
              <w:rPr>
                <w:rFonts w:asciiTheme="minorBidi" w:hAnsiTheme="minorBidi" w:cstheme="minorBidi"/>
                <w:szCs w:val="18"/>
              </w:rPr>
              <w:t>0.1 (</w:t>
            </w:r>
            <w:r w:rsidR="00CA6EA4">
              <w:rPr>
                <w:rFonts w:asciiTheme="minorBidi" w:hAnsiTheme="minorBidi" w:cstheme="minorBidi"/>
                <w:szCs w:val="18"/>
              </w:rPr>
              <w:t>relevant inner wall emissivity</w:t>
            </w:r>
            <w:r w:rsidRPr="0067569E">
              <w:rPr>
                <w:rFonts w:asciiTheme="minorBidi" w:hAnsiTheme="minorBidi" w:cstheme="minorBidi"/>
                <w:szCs w:val="18"/>
              </w:rPr>
              <w:t>)</w:t>
            </w:r>
          </w:p>
        </w:tc>
      </w:tr>
      <w:tr w:rsidR="00AD7B83" w:rsidRPr="0067569E" w14:paraId="733C46A5" w14:textId="39404C89" w:rsidTr="00F507D5">
        <w:tc>
          <w:tcPr>
            <w:tcW w:w="1710" w:type="dxa"/>
            <w:tcBorders>
              <w:top w:val="single" w:sz="12" w:space="0" w:color="00B050"/>
              <w:bottom w:val="single" w:sz="12" w:space="0" w:color="00B050"/>
            </w:tcBorders>
          </w:tcPr>
          <w:p w14:paraId="600FDCC1" w14:textId="31EEDF40" w:rsidR="00AD7B83" w:rsidRPr="0067569E" w:rsidRDefault="0017607F" w:rsidP="00BC5D8E">
            <w:pPr>
              <w:pStyle w:val="CETBodytext"/>
              <w:jc w:val="center"/>
              <w:rPr>
                <w:rFonts w:asciiTheme="minorBidi" w:hAnsiTheme="minorBidi" w:cstheme="minorBidi"/>
                <w:szCs w:val="18"/>
              </w:rPr>
            </w:pPr>
            <m:oMathPara>
              <m:oMath>
                <m:sSub>
                  <m:sSubPr>
                    <m:ctrlPr>
                      <w:rPr>
                        <w:rFonts w:ascii="Cambria Math" w:hAnsi="Cambria Math" w:cstheme="minorBidi"/>
                        <w:i/>
                        <w:szCs w:val="18"/>
                      </w:rPr>
                    </m:ctrlPr>
                  </m:sSubPr>
                  <m:e>
                    <m:r>
                      <w:rPr>
                        <w:rFonts w:ascii="Cambria Math" w:hAnsi="Cambria Math" w:cstheme="minorBidi"/>
                        <w:szCs w:val="18"/>
                      </w:rPr>
                      <m:t>k</m:t>
                    </m:r>
                  </m:e>
                  <m:sub>
                    <m:r>
                      <w:rPr>
                        <w:rFonts w:ascii="Cambria Math" w:hAnsi="Cambria Math" w:cstheme="minorBidi"/>
                        <w:szCs w:val="18"/>
                      </w:rPr>
                      <m:t>abs</m:t>
                    </m:r>
                  </m:sub>
                </m:sSub>
              </m:oMath>
            </m:oMathPara>
          </w:p>
        </w:tc>
        <w:tc>
          <w:tcPr>
            <w:tcW w:w="2970" w:type="dxa"/>
            <w:tcBorders>
              <w:bottom w:val="single" w:sz="12" w:space="0" w:color="00B050"/>
            </w:tcBorders>
          </w:tcPr>
          <w:p w14:paraId="5B94B6F9" w14:textId="6BA3E535" w:rsidR="00AD7B83" w:rsidRPr="0067569E" w:rsidRDefault="00AD7B83" w:rsidP="004C2C19">
            <w:pPr>
              <w:pStyle w:val="CETBodytext"/>
              <w:jc w:val="left"/>
              <w:rPr>
                <w:rFonts w:asciiTheme="minorBidi" w:hAnsiTheme="minorBidi" w:cstheme="minorBidi"/>
                <w:szCs w:val="18"/>
              </w:rPr>
            </w:pPr>
            <w:r w:rsidRPr="0067569E">
              <w:rPr>
                <w:rFonts w:asciiTheme="minorBidi" w:hAnsiTheme="minorBidi" w:cstheme="minorBidi"/>
                <w:szCs w:val="18"/>
              </w:rPr>
              <w:t>0.08 (Hajhariri et al., 2024</w:t>
            </w:r>
            <w:r w:rsidR="009B11B4" w:rsidRPr="0067569E">
              <w:rPr>
                <w:rFonts w:asciiTheme="minorBidi" w:hAnsiTheme="minorBidi" w:cstheme="minorBidi"/>
                <w:szCs w:val="18"/>
              </w:rPr>
              <w:t>a</w:t>
            </w:r>
            <w:r w:rsidRPr="0067569E">
              <w:rPr>
                <w:rFonts w:asciiTheme="minorBidi" w:hAnsiTheme="minorBidi" w:cstheme="minorBidi"/>
                <w:szCs w:val="18"/>
              </w:rPr>
              <w:t>)</w:t>
            </w:r>
            <w:r w:rsidR="009B11B4" w:rsidRPr="0067569E">
              <w:rPr>
                <w:rFonts w:asciiTheme="minorBidi" w:hAnsiTheme="minorBidi" w:cstheme="minorBidi"/>
                <w:szCs w:val="18"/>
              </w:rPr>
              <w:t xml:space="preserve"> accounts for MLI deterioration function</w:t>
            </w:r>
          </w:p>
        </w:tc>
        <w:tc>
          <w:tcPr>
            <w:tcW w:w="2430" w:type="dxa"/>
            <w:tcBorders>
              <w:bottom w:val="single" w:sz="12" w:space="0" w:color="00B050"/>
            </w:tcBorders>
          </w:tcPr>
          <w:p w14:paraId="487A60F8" w14:textId="1A67DC64" w:rsidR="00AD7B83" w:rsidRPr="0067569E" w:rsidRDefault="00922CA2" w:rsidP="004C2C19">
            <w:pPr>
              <w:pStyle w:val="CETBodytext"/>
              <w:jc w:val="center"/>
              <w:rPr>
                <w:rFonts w:asciiTheme="minorBidi" w:hAnsiTheme="minorBidi" w:cstheme="minorBidi"/>
                <w:szCs w:val="18"/>
              </w:rPr>
            </w:pPr>
            <w:r w:rsidRPr="0067569E">
              <w:rPr>
                <w:rFonts w:asciiTheme="minorBidi" w:hAnsiTheme="minorBidi" w:cstheme="minorBidi"/>
                <w:szCs w:val="18"/>
              </w:rPr>
              <w:t>Opening and closing threshold of PRV</w:t>
            </w:r>
          </w:p>
        </w:tc>
        <w:tc>
          <w:tcPr>
            <w:tcW w:w="1677" w:type="dxa"/>
            <w:tcBorders>
              <w:bottom w:val="single" w:sz="12" w:space="0" w:color="00B050"/>
            </w:tcBorders>
          </w:tcPr>
          <w:p w14:paraId="72C507F2" w14:textId="51D5F634" w:rsidR="00AD7B83" w:rsidRPr="0067569E" w:rsidRDefault="00B71EB5" w:rsidP="004C2C19">
            <w:pPr>
              <w:pStyle w:val="CETBodytext"/>
              <w:jc w:val="left"/>
              <w:rPr>
                <w:rFonts w:asciiTheme="minorBidi" w:hAnsiTheme="minorBidi" w:cstheme="minorBidi"/>
                <w:szCs w:val="18"/>
              </w:rPr>
            </w:pPr>
            <w:r w:rsidRPr="0067569E">
              <w:rPr>
                <w:rFonts w:asciiTheme="minorBidi" w:hAnsiTheme="minorBidi" w:cstheme="minorBidi"/>
                <w:szCs w:val="18"/>
              </w:rPr>
              <w:t>4.6 bar</w:t>
            </w:r>
            <w:r w:rsidRPr="0067569E">
              <w:rPr>
                <w:rFonts w:asciiTheme="minorBidi" w:hAnsiTheme="minorBidi" w:cstheme="minorBidi"/>
                <w:szCs w:val="18"/>
              </w:rPr>
              <w:br/>
              <w:t>4.1 bar</w:t>
            </w:r>
          </w:p>
        </w:tc>
      </w:tr>
    </w:tbl>
    <w:p w14:paraId="677EBFF0" w14:textId="49079F74" w:rsidR="00600535" w:rsidRDefault="00B62DF4" w:rsidP="000913B0">
      <w:pPr>
        <w:pStyle w:val="CETHeading1"/>
        <w:jc w:val="both"/>
        <w:rPr>
          <w:lang w:val="en-GB"/>
        </w:rPr>
      </w:pPr>
      <w:r>
        <w:t>Results and discussion</w:t>
      </w:r>
    </w:p>
    <w:p w14:paraId="7C770835" w14:textId="7AC163C5" w:rsidR="006E08DB" w:rsidRDefault="00B22B36" w:rsidP="000913B0">
      <w:pPr>
        <w:pStyle w:val="CETBodytext"/>
        <w:keepNext/>
        <w:rPr>
          <w:lang w:val="en-GB"/>
        </w:rPr>
      </w:pPr>
      <w:r>
        <w:rPr>
          <w:lang w:val="en-GB"/>
        </w:rPr>
        <w:t>Figure 2</w:t>
      </w:r>
      <w:r w:rsidR="00282DFF">
        <w:rPr>
          <w:lang w:val="en-GB"/>
        </w:rPr>
        <w:t xml:space="preserve">a and </w:t>
      </w:r>
      <w:r w:rsidR="000913B0">
        <w:rPr>
          <w:lang w:val="en-GB"/>
        </w:rPr>
        <w:t>2</w:t>
      </w:r>
      <w:r w:rsidR="00282DFF">
        <w:rPr>
          <w:lang w:val="en-GB"/>
        </w:rPr>
        <w:t xml:space="preserve">b </w:t>
      </w:r>
      <w:r w:rsidR="00B62DF4">
        <w:rPr>
          <w:lang w:val="en-GB"/>
        </w:rPr>
        <w:t xml:space="preserve">show the </w:t>
      </w:r>
      <w:r w:rsidR="00CE69F0">
        <w:rPr>
          <w:lang w:val="en-GB"/>
        </w:rPr>
        <w:t xml:space="preserve">course of </w:t>
      </w:r>
      <w:r w:rsidR="00B62DF4">
        <w:rPr>
          <w:lang w:val="en-GB"/>
        </w:rPr>
        <w:t>pressur</w:t>
      </w:r>
      <w:r w:rsidR="00CE69F0">
        <w:rPr>
          <w:lang w:val="en-GB"/>
        </w:rPr>
        <w:t>e</w:t>
      </w:r>
      <w:r w:rsidR="00813980">
        <w:rPr>
          <w:lang w:val="en-GB"/>
        </w:rPr>
        <w:t xml:space="preserve"> and liquid fill level </w:t>
      </w:r>
      <w:r w:rsidR="00CE69F0">
        <w:rPr>
          <w:lang w:val="en-GB"/>
        </w:rPr>
        <w:t>over time estimated by the experimental and numerical approach</w:t>
      </w:r>
      <w:r w:rsidR="00282DFF">
        <w:rPr>
          <w:lang w:val="en-GB"/>
        </w:rPr>
        <w:t>, respectively</w:t>
      </w:r>
      <w:r w:rsidR="00B62DF4">
        <w:rPr>
          <w:lang w:val="en-GB"/>
        </w:rPr>
        <w:t>.</w:t>
      </w:r>
      <w:r w:rsidR="00282DFF">
        <w:rPr>
          <w:lang w:val="en-GB"/>
        </w:rPr>
        <w:t xml:space="preserve"> </w:t>
      </w:r>
      <w:r w:rsidR="000913B0">
        <w:rPr>
          <w:lang w:val="en-GB"/>
        </w:rPr>
        <w:t>It worth to note, f</w:t>
      </w:r>
      <w:r w:rsidR="00282DFF">
        <w:rPr>
          <w:lang w:val="en-GB"/>
        </w:rPr>
        <w:t>or the sake of representation</w:t>
      </w:r>
      <w:r w:rsidR="000913B0">
        <w:rPr>
          <w:lang w:val="en-GB"/>
        </w:rPr>
        <w:t>,</w:t>
      </w:r>
      <w:r w:rsidR="00282DFF">
        <w:rPr>
          <w:lang w:val="en-GB"/>
        </w:rPr>
        <w:t xml:space="preserve"> </w:t>
      </w:r>
      <w:r w:rsidRPr="00282DFF">
        <w:t xml:space="preserve">Figure </w:t>
      </w:r>
      <w:r>
        <w:rPr>
          <w:noProof/>
        </w:rPr>
        <w:t>2</w:t>
      </w:r>
      <w:r w:rsidR="000913B0">
        <w:rPr>
          <w:lang w:val="en-GB"/>
        </w:rPr>
        <w:t xml:space="preserve">a and later </w:t>
      </w:r>
      <w:r>
        <w:t xml:space="preserve">Figure </w:t>
      </w:r>
      <w:r>
        <w:rPr>
          <w:noProof/>
        </w:rPr>
        <w:t>3</w:t>
      </w:r>
      <w:r w:rsidR="000913B0">
        <w:rPr>
          <w:lang w:val="en-GB"/>
        </w:rPr>
        <w:t>b</w:t>
      </w:r>
      <w:r w:rsidR="00282DFF">
        <w:rPr>
          <w:lang w:val="en-GB"/>
        </w:rPr>
        <w:t xml:space="preserve"> </w:t>
      </w:r>
      <w:r w:rsidR="000913B0">
        <w:rPr>
          <w:lang w:val="en-GB"/>
        </w:rPr>
        <w:t xml:space="preserve">represents data </w:t>
      </w:r>
      <w:r w:rsidR="00282DFF">
        <w:rPr>
          <w:lang w:val="en-GB"/>
        </w:rPr>
        <w:t>per each 10 s, this is why the opening and closing of the PRV shows the p</w:t>
      </w:r>
      <w:r w:rsidR="007A79F5">
        <w:rPr>
          <w:lang w:val="en-GB"/>
        </w:rPr>
        <w:t>ea</w:t>
      </w:r>
      <w:r w:rsidR="00282DFF">
        <w:rPr>
          <w:lang w:val="en-GB"/>
        </w:rPr>
        <w:t>ks.</w:t>
      </w:r>
      <w:r w:rsidR="00B62DF4">
        <w:rPr>
          <w:lang w:val="en-GB"/>
        </w:rPr>
        <w:t xml:space="preserve"> </w:t>
      </w:r>
      <w:r w:rsidR="00310838">
        <w:rPr>
          <w:lang w:val="en-GB"/>
        </w:rPr>
        <w:t xml:space="preserve">The model underpredicts </w:t>
      </w:r>
      <w:r w:rsidR="001A6C6B">
        <w:rPr>
          <w:lang w:val="en-GB"/>
        </w:rPr>
        <w:t xml:space="preserve">the experimental pressure </w:t>
      </w:r>
      <w:r w:rsidR="00310838">
        <w:rPr>
          <w:lang w:val="en-GB"/>
        </w:rPr>
        <w:t xml:space="preserve">between 150 s </w:t>
      </w:r>
      <w:r w:rsidR="001A6C6B">
        <w:rPr>
          <w:lang w:val="en-GB"/>
        </w:rPr>
        <w:t>and</w:t>
      </w:r>
      <w:r w:rsidR="00310838">
        <w:rPr>
          <w:lang w:val="en-GB"/>
        </w:rPr>
        <w:t xml:space="preserve"> 250 s</w:t>
      </w:r>
      <w:r w:rsidR="007A79F5">
        <w:rPr>
          <w:lang w:val="en-GB"/>
        </w:rPr>
        <w:t>.</w:t>
      </w:r>
    </w:p>
    <w:p w14:paraId="7E8F2D82" w14:textId="747D0DBA" w:rsidR="00310838" w:rsidRDefault="00310838" w:rsidP="000913B0">
      <w:pPr>
        <w:pStyle w:val="CETBodytext"/>
        <w:keepNext/>
        <w:rPr>
          <w:lang w:val="en-GB"/>
        </w:rPr>
      </w:pPr>
    </w:p>
    <w:p w14:paraId="2FB43837" w14:textId="77777777" w:rsidR="00282DFF" w:rsidRDefault="00282DFF" w:rsidP="000913B0">
      <w:pPr>
        <w:pStyle w:val="CETBodytext"/>
        <w:keepNext/>
      </w:pPr>
      <w:r>
        <w:rPr>
          <w:noProof/>
          <w:lang w:val="en-GB"/>
        </w:rPr>
        <w:drawing>
          <wp:inline distT="0" distB="0" distL="0" distR="0" wp14:anchorId="5F66786A" wp14:editId="68EE4A09">
            <wp:extent cx="5579745" cy="2120265"/>
            <wp:effectExtent l="0" t="0" r="1905" b="0"/>
            <wp:docPr id="1921070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070603" name="Picture 1921070603"/>
                    <pic:cNvPicPr/>
                  </pic:nvPicPr>
                  <pic:blipFill>
                    <a:blip r:embed="rId11"/>
                    <a:stretch>
                      <a:fillRect/>
                    </a:stretch>
                  </pic:blipFill>
                  <pic:spPr>
                    <a:xfrm>
                      <a:off x="0" y="0"/>
                      <a:ext cx="5579745" cy="2120265"/>
                    </a:xfrm>
                    <a:prstGeom prst="rect">
                      <a:avLst/>
                    </a:prstGeom>
                  </pic:spPr>
                </pic:pic>
              </a:graphicData>
            </a:graphic>
          </wp:inline>
        </w:drawing>
      </w:r>
    </w:p>
    <w:p w14:paraId="70381C74" w14:textId="13CC22DC" w:rsidR="00616425" w:rsidRPr="00F507D5" w:rsidRDefault="00282DFF" w:rsidP="00F507D5">
      <w:pPr>
        <w:pStyle w:val="CETCaption"/>
        <w:rPr>
          <w:rStyle w:val="CETBodytextCarattere"/>
          <w:i w:val="0"/>
          <w:iCs/>
        </w:rPr>
      </w:pPr>
      <w:bookmarkStart w:id="6" w:name="_Ref182991067"/>
      <w:r w:rsidRPr="00282DFF">
        <w:t xml:space="preserve">Figure </w:t>
      </w:r>
      <w:r w:rsidR="00B22B36">
        <w:rPr>
          <w:noProof/>
        </w:rPr>
        <w:t>2</w:t>
      </w:r>
      <w:bookmarkEnd w:id="6"/>
      <w:r w:rsidRPr="00282DFF">
        <w:t xml:space="preserve"> a) course of pressure over time estimated by the experimental and numerical approach</w:t>
      </w:r>
      <w:r w:rsidRPr="002931C1">
        <w:t>. Numerical calculation regards 35 MLI layers. b) Liquid fill level over time. LF-Sim refers to the numerical calculation and LF-Exp refers to the experimental results.</w:t>
      </w:r>
      <w:r w:rsidR="004C2C19">
        <w:br/>
      </w:r>
      <w:r w:rsidR="007A79F5">
        <w:br/>
      </w:r>
      <w:r w:rsidR="00813980" w:rsidRPr="00F507D5">
        <w:rPr>
          <w:rStyle w:val="CETBodytextCarattere"/>
          <w:i w:val="0"/>
          <w:iCs/>
        </w:rPr>
        <w:t>T</w:t>
      </w:r>
      <w:r w:rsidR="007E141A" w:rsidRPr="00F507D5">
        <w:rPr>
          <w:rStyle w:val="CETBodytextCarattere"/>
          <w:i w:val="0"/>
          <w:iCs/>
        </w:rPr>
        <w:t xml:space="preserve">here are </w:t>
      </w:r>
      <w:r w:rsidR="00FB0B38" w:rsidRPr="00F507D5">
        <w:rPr>
          <w:rStyle w:val="CETBodytextCarattere"/>
          <w:i w:val="0"/>
          <w:iCs/>
        </w:rPr>
        <w:t xml:space="preserve">two sources of uncertainty </w:t>
      </w:r>
      <w:r w:rsidR="00F81DA0" w:rsidRPr="00F507D5">
        <w:rPr>
          <w:rStyle w:val="CETBodytextCarattere"/>
          <w:i w:val="0"/>
          <w:iCs/>
        </w:rPr>
        <w:t xml:space="preserve">that </w:t>
      </w:r>
      <w:r w:rsidR="007E141A" w:rsidRPr="00F507D5">
        <w:rPr>
          <w:rStyle w:val="CETBodytextCarattere"/>
          <w:i w:val="0"/>
          <w:iCs/>
        </w:rPr>
        <w:t xml:space="preserve">may </w:t>
      </w:r>
      <w:r w:rsidR="00FB0B38" w:rsidRPr="00F507D5">
        <w:rPr>
          <w:rStyle w:val="CETBodytextCarattere"/>
          <w:i w:val="0"/>
          <w:iCs/>
        </w:rPr>
        <w:t xml:space="preserve">have </w:t>
      </w:r>
      <w:r w:rsidR="007E141A" w:rsidRPr="00F507D5">
        <w:rPr>
          <w:rStyle w:val="CETBodytextCarattere"/>
          <w:i w:val="0"/>
          <w:iCs/>
        </w:rPr>
        <w:t>contribute</w:t>
      </w:r>
      <w:r w:rsidR="00FB0B38" w:rsidRPr="00F507D5">
        <w:rPr>
          <w:rStyle w:val="CETBodytextCarattere"/>
          <w:i w:val="0"/>
          <w:iCs/>
        </w:rPr>
        <w:t>d</w:t>
      </w:r>
      <w:r w:rsidR="007E141A" w:rsidRPr="00F507D5">
        <w:rPr>
          <w:rStyle w:val="CETBodytextCarattere"/>
          <w:i w:val="0"/>
          <w:iCs/>
        </w:rPr>
        <w:t xml:space="preserve"> </w:t>
      </w:r>
      <w:r w:rsidR="00F81DA0" w:rsidRPr="00F507D5">
        <w:rPr>
          <w:rStyle w:val="CETBodytextCarattere"/>
          <w:i w:val="0"/>
          <w:iCs/>
        </w:rPr>
        <w:t xml:space="preserve">to the </w:t>
      </w:r>
      <w:r w:rsidR="007E141A" w:rsidRPr="00F507D5">
        <w:rPr>
          <w:rStyle w:val="CETBodytextCarattere"/>
          <w:i w:val="0"/>
          <w:iCs/>
        </w:rPr>
        <w:t>underprediction</w:t>
      </w:r>
      <w:r w:rsidR="006E08DB" w:rsidRPr="00F507D5">
        <w:rPr>
          <w:rStyle w:val="CETBodytextCarattere"/>
          <w:i w:val="0"/>
          <w:iCs/>
        </w:rPr>
        <w:t>:</w:t>
      </w:r>
      <w:r w:rsidR="007E141A" w:rsidRPr="00F507D5">
        <w:rPr>
          <w:rStyle w:val="CETBodytextCarattere"/>
          <w:i w:val="0"/>
          <w:iCs/>
        </w:rPr>
        <w:t xml:space="preserve"> </w:t>
      </w:r>
    </w:p>
    <w:p w14:paraId="60088A27" w14:textId="5B640AFC" w:rsidR="00616425" w:rsidRDefault="007E141A" w:rsidP="000913B0">
      <w:pPr>
        <w:pStyle w:val="CETBodytext"/>
        <w:numPr>
          <w:ilvl w:val="0"/>
          <w:numId w:val="24"/>
        </w:numPr>
        <w:rPr>
          <w:lang w:val="en-GB"/>
        </w:rPr>
      </w:pPr>
      <w:r>
        <w:rPr>
          <w:lang w:val="en-GB"/>
        </w:rPr>
        <w:t xml:space="preserve">the degradation of the vacuum could not be </w:t>
      </w:r>
      <w:r w:rsidR="00D457E9">
        <w:rPr>
          <w:lang w:val="en-GB"/>
        </w:rPr>
        <w:t>found</w:t>
      </w:r>
      <w:r>
        <w:rPr>
          <w:lang w:val="en-GB"/>
        </w:rPr>
        <w:t xml:space="preserve"> from the experimental source, </w:t>
      </w:r>
    </w:p>
    <w:p w14:paraId="5A5B7A0E" w14:textId="7D6514C4" w:rsidR="00616425" w:rsidRDefault="007E141A" w:rsidP="000913B0">
      <w:pPr>
        <w:pStyle w:val="CETBodytext"/>
        <w:numPr>
          <w:ilvl w:val="0"/>
          <w:numId w:val="24"/>
        </w:numPr>
        <w:rPr>
          <w:lang w:val="en-GB"/>
        </w:rPr>
      </w:pPr>
      <w:r>
        <w:rPr>
          <w:lang w:val="en-GB"/>
        </w:rPr>
        <w:t>the effect of emissivity variation on the walls of storage system is not considered</w:t>
      </w:r>
      <w:r w:rsidR="006E08DB">
        <w:rPr>
          <w:lang w:val="en-GB"/>
        </w:rPr>
        <w:t>.</w:t>
      </w:r>
    </w:p>
    <w:p w14:paraId="787CB0AF" w14:textId="7273B1B5" w:rsidR="00DB62F8" w:rsidRDefault="00282DFF" w:rsidP="000913B0">
      <w:pPr>
        <w:pStyle w:val="CETBodytext"/>
        <w:rPr>
          <w:lang w:val="en-GB"/>
        </w:rPr>
      </w:pPr>
      <w:r>
        <w:rPr>
          <w:lang w:val="en-GB"/>
        </w:rPr>
        <w:lastRenderedPageBreak/>
        <w:t xml:space="preserve">As the energy transition is partially </w:t>
      </w:r>
      <w:proofErr w:type="spellStart"/>
      <w:r>
        <w:rPr>
          <w:lang w:val="en-GB"/>
        </w:rPr>
        <w:t>occure</w:t>
      </w:r>
      <w:proofErr w:type="spellEnd"/>
      <w:r>
        <w:rPr>
          <w:lang w:val="en-GB"/>
        </w:rPr>
        <w:t xml:space="preserve"> through liquid-vapor interface, it is necessary to represent the dynamic energy exchange</w:t>
      </w:r>
      <w:r w:rsidR="002931C1">
        <w:rPr>
          <w:lang w:val="en-GB"/>
        </w:rPr>
        <w:t xml:space="preserve">. Since the vapor phase become </w:t>
      </w:r>
      <w:proofErr w:type="spellStart"/>
      <w:r w:rsidR="002931C1">
        <w:rPr>
          <w:lang w:val="en-GB"/>
        </w:rPr>
        <w:t>super heated</w:t>
      </w:r>
      <w:proofErr w:type="spellEnd"/>
      <w:r w:rsidR="002931C1">
        <w:rPr>
          <w:lang w:val="en-GB"/>
        </w:rPr>
        <w:t xml:space="preserve"> phase, the rate of evaporation at the interface is expected to increase. Therefore, </w:t>
      </w:r>
      <w:r w:rsidR="00DB62F8" w:rsidRPr="00616425">
        <w:rPr>
          <w:lang w:val="en-GB"/>
        </w:rPr>
        <w:t xml:space="preserve">these </w:t>
      </w:r>
      <w:r w:rsidR="007E141A" w:rsidRPr="00616425">
        <w:rPr>
          <w:lang w:val="en-GB"/>
        </w:rPr>
        <w:t>underprediction</w:t>
      </w:r>
      <w:r w:rsidR="00DB62F8" w:rsidRPr="00616425">
        <w:rPr>
          <w:lang w:val="en-GB"/>
        </w:rPr>
        <w:t>s</w:t>
      </w:r>
      <w:r w:rsidR="007E141A" w:rsidRPr="00616425">
        <w:rPr>
          <w:lang w:val="en-GB"/>
        </w:rPr>
        <w:t xml:space="preserve"> </w:t>
      </w:r>
      <w:r w:rsidR="00DB62F8" w:rsidRPr="00616425">
        <w:rPr>
          <w:lang w:val="en-GB"/>
        </w:rPr>
        <w:t>may</w:t>
      </w:r>
      <w:r w:rsidR="007E141A" w:rsidRPr="00616425">
        <w:rPr>
          <w:lang w:val="en-GB"/>
        </w:rPr>
        <w:t xml:space="preserve"> </w:t>
      </w:r>
      <w:r w:rsidR="00EB0D85">
        <w:rPr>
          <w:lang w:val="en-GB"/>
        </w:rPr>
        <w:t xml:space="preserve">also </w:t>
      </w:r>
      <w:r w:rsidR="007E141A" w:rsidRPr="00616425">
        <w:rPr>
          <w:lang w:val="en-GB"/>
        </w:rPr>
        <w:t>be related to the choice of evaporation-condensation model.</w:t>
      </w:r>
      <w:r w:rsidR="002931C1">
        <w:rPr>
          <w:lang w:val="en-GB"/>
        </w:rPr>
        <w:t xml:space="preserve"> </w:t>
      </w:r>
      <w:r w:rsidR="007E141A">
        <w:rPr>
          <w:lang w:val="en-GB"/>
        </w:rPr>
        <w:t xml:space="preserve">Moreover, </w:t>
      </w:r>
      <w:r w:rsidR="00310838">
        <w:rPr>
          <w:lang w:val="en-GB"/>
        </w:rPr>
        <w:t xml:space="preserve">the </w:t>
      </w:r>
      <w:r w:rsidR="007E141A">
        <w:rPr>
          <w:lang w:val="en-GB"/>
        </w:rPr>
        <w:t>e</w:t>
      </w:r>
      <w:r w:rsidR="00B62DF4">
        <w:rPr>
          <w:lang w:val="en-GB"/>
        </w:rPr>
        <w:t>ffect of environmental conditions on the fire</w:t>
      </w:r>
      <w:r w:rsidR="007E141A">
        <w:rPr>
          <w:lang w:val="en-GB"/>
        </w:rPr>
        <w:t xml:space="preserve"> and its heat transfer</w:t>
      </w:r>
      <w:r w:rsidR="001672E9">
        <w:rPr>
          <w:lang w:val="en-GB"/>
        </w:rPr>
        <w:t xml:space="preserve"> (boundary condition) could</w:t>
      </w:r>
      <w:r w:rsidR="001672E9" w:rsidRPr="001672E9">
        <w:rPr>
          <w:lang w:val="en-GB"/>
        </w:rPr>
        <w:t xml:space="preserve"> not be fully represented by the numerical approach</w:t>
      </w:r>
      <w:r w:rsidR="00B62DF4">
        <w:rPr>
          <w:lang w:val="en-GB"/>
        </w:rPr>
        <w:t>.</w:t>
      </w:r>
    </w:p>
    <w:p w14:paraId="0BC6E17F" w14:textId="71AEAE96" w:rsidR="00221023" w:rsidRDefault="00B22B36" w:rsidP="000913B0">
      <w:pPr>
        <w:pStyle w:val="CETBodytext"/>
        <w:rPr>
          <w:lang w:val="en-GB"/>
        </w:rPr>
      </w:pPr>
      <w:r>
        <w:rPr>
          <w:lang w:val="en-GB"/>
        </w:rPr>
        <w:t>Figure 3</w:t>
      </w:r>
      <w:r w:rsidR="00787D4F">
        <w:rPr>
          <w:lang w:val="en-GB"/>
        </w:rPr>
        <w:t>a</w:t>
      </w:r>
      <w:r w:rsidR="00AD7B83">
        <w:rPr>
          <w:lang w:val="en-GB"/>
        </w:rPr>
        <w:t xml:space="preserve"> </w:t>
      </w:r>
      <w:r w:rsidR="00CE0A30">
        <w:rPr>
          <w:lang w:val="en-GB"/>
        </w:rPr>
        <w:t xml:space="preserve">shows </w:t>
      </w:r>
      <w:r w:rsidR="00DB62F8">
        <w:rPr>
          <w:lang w:val="en-GB"/>
        </w:rPr>
        <w:t xml:space="preserve">that 15 layers out of 35 MLI layers deteriorated </w:t>
      </w:r>
      <w:r w:rsidR="00CE0A30">
        <w:rPr>
          <w:lang w:val="en-GB"/>
        </w:rPr>
        <w:t>during the fire exposure. T</w:t>
      </w:r>
      <w:r w:rsidR="00DB62F8">
        <w:rPr>
          <w:lang w:val="en-GB"/>
        </w:rPr>
        <w:t xml:space="preserve">he last layer deteriorates shortly after </w:t>
      </w:r>
      <w:r w:rsidR="00661F4E">
        <w:rPr>
          <w:lang w:val="en-GB"/>
        </w:rPr>
        <w:t xml:space="preserve">the </w:t>
      </w:r>
      <w:r w:rsidR="00DB62F8">
        <w:rPr>
          <w:lang w:val="en-GB"/>
        </w:rPr>
        <w:t>rapid raise of</w:t>
      </w:r>
      <w:r w:rsidR="00661F4E">
        <w:rPr>
          <w:lang w:val="en-GB"/>
        </w:rPr>
        <w:t xml:space="preserve"> the</w:t>
      </w:r>
      <w:r w:rsidR="00DB62F8">
        <w:rPr>
          <w:lang w:val="en-GB"/>
        </w:rPr>
        <w:t xml:space="preserve"> pressure curve. This </w:t>
      </w:r>
      <w:r w:rsidR="002D2FF5">
        <w:rPr>
          <w:lang w:val="en-GB"/>
        </w:rPr>
        <w:t>led to a reduction of</w:t>
      </w:r>
      <w:r w:rsidR="00DB62F8">
        <w:rPr>
          <w:lang w:val="en-GB"/>
        </w:rPr>
        <w:t xml:space="preserve"> around 43% of the insulation performance </w:t>
      </w:r>
      <w:r w:rsidR="002D2FF5">
        <w:rPr>
          <w:lang w:val="en-GB"/>
        </w:rPr>
        <w:t xml:space="preserve">and </w:t>
      </w:r>
      <w:r w:rsidR="0056246F">
        <w:rPr>
          <w:lang w:val="en-GB"/>
        </w:rPr>
        <w:t xml:space="preserve">an increase of the </w:t>
      </w:r>
      <w:proofErr w:type="spellStart"/>
      <w:r w:rsidR="00DB62F8">
        <w:rPr>
          <w:lang w:val="en-GB"/>
        </w:rPr>
        <w:t>the</w:t>
      </w:r>
      <w:proofErr w:type="spellEnd"/>
      <w:r w:rsidR="00DB62F8">
        <w:rPr>
          <w:lang w:val="en-GB"/>
        </w:rPr>
        <w:t xml:space="preserve"> heat </w:t>
      </w:r>
      <w:r w:rsidR="00B20A18">
        <w:rPr>
          <w:lang w:val="en-GB"/>
        </w:rPr>
        <w:t>inleak up to 3 times</w:t>
      </w:r>
      <w:r w:rsidR="0056246F">
        <w:rPr>
          <w:lang w:val="en-GB"/>
        </w:rPr>
        <w:t xml:space="preserve">, causing a relevant pressure </w:t>
      </w:r>
      <w:proofErr w:type="gramStart"/>
      <w:r w:rsidR="00DB62F8">
        <w:rPr>
          <w:lang w:val="en-GB"/>
        </w:rPr>
        <w:t>build</w:t>
      </w:r>
      <w:proofErr w:type="gramEnd"/>
      <w:r w:rsidR="006E08DB">
        <w:rPr>
          <w:lang w:val="en-GB"/>
        </w:rPr>
        <w:t> </w:t>
      </w:r>
      <w:r w:rsidR="00DB62F8">
        <w:rPr>
          <w:lang w:val="en-GB"/>
        </w:rPr>
        <w:t>up.</w:t>
      </w:r>
    </w:p>
    <w:p w14:paraId="3516927C" w14:textId="6246E3C1" w:rsidR="00DB3A3C" w:rsidRDefault="003A1EEE" w:rsidP="000913B0">
      <w:pPr>
        <w:pStyle w:val="CETBodytext"/>
        <w:rPr>
          <w:lang w:val="en-GB"/>
        </w:rPr>
      </w:pPr>
      <w:r>
        <w:rPr>
          <w:lang w:val="en-GB"/>
        </w:rPr>
        <w:t>The effect of the number of layers is visible in</w:t>
      </w:r>
      <w:r w:rsidR="00B22B36">
        <w:t xml:space="preserve"> Figure 3b</w:t>
      </w:r>
      <w:r w:rsidRPr="00787D4F">
        <w:t>.</w:t>
      </w:r>
      <w:r w:rsidR="00221023">
        <w:rPr>
          <w:lang w:val="en-GB"/>
        </w:rPr>
        <w:t xml:space="preserve"> </w:t>
      </w:r>
      <w:r>
        <w:rPr>
          <w:lang w:val="en-GB"/>
        </w:rPr>
        <w:t>I</w:t>
      </w:r>
      <w:r w:rsidR="00221023">
        <w:rPr>
          <w:lang w:val="en-GB"/>
        </w:rPr>
        <w:t xml:space="preserve">t can be seen that increasing the number of layers may result in </w:t>
      </w:r>
      <w:proofErr w:type="gramStart"/>
      <w:r w:rsidR="000270BD">
        <w:rPr>
          <w:lang w:val="en-GB"/>
        </w:rPr>
        <w:t>a</w:t>
      </w:r>
      <w:proofErr w:type="gramEnd"/>
      <w:r w:rsidR="000270BD">
        <w:rPr>
          <w:lang w:val="en-GB"/>
        </w:rPr>
        <w:t xml:space="preserve"> </w:t>
      </w:r>
      <w:r w:rsidR="00221023">
        <w:rPr>
          <w:lang w:val="en-GB"/>
        </w:rPr>
        <w:t xml:space="preserve">insulation </w:t>
      </w:r>
      <w:r w:rsidR="000270BD">
        <w:rPr>
          <w:lang w:val="en-GB"/>
        </w:rPr>
        <w:t>performance, with delaying tank pressurization.</w:t>
      </w:r>
      <w:r w:rsidR="00DB3A3C">
        <w:rPr>
          <w:lang w:val="en-GB"/>
        </w:rPr>
        <w:t xml:space="preserve"> </w:t>
      </w:r>
    </w:p>
    <w:p w14:paraId="688D6FD7" w14:textId="5654D93F" w:rsidR="00221023" w:rsidRDefault="00300A86" w:rsidP="000913B0">
      <w:pPr>
        <w:pStyle w:val="CETBodytext"/>
        <w:rPr>
          <w:lang w:val="en-GB"/>
        </w:rPr>
      </w:pPr>
      <w:r>
        <w:rPr>
          <w:lang w:val="en-GB"/>
        </w:rPr>
        <w:t>The model allows also to predict</w:t>
      </w:r>
      <w:r w:rsidR="00221023">
        <w:rPr>
          <w:lang w:val="en-GB"/>
        </w:rPr>
        <w:t xml:space="preserve"> the temperature </w:t>
      </w:r>
      <w:r w:rsidR="00B253A2">
        <w:rPr>
          <w:lang w:val="en-GB"/>
        </w:rPr>
        <w:t>in the</w:t>
      </w:r>
      <w:r w:rsidR="00221023">
        <w:rPr>
          <w:lang w:val="en-GB"/>
        </w:rPr>
        <w:t xml:space="preserve"> insulation </w:t>
      </w:r>
      <w:r w:rsidR="00B253A2">
        <w:rPr>
          <w:lang w:val="en-GB"/>
        </w:rPr>
        <w:t>and in the tank walls</w:t>
      </w:r>
      <w:r w:rsidR="00221023">
        <w:rPr>
          <w:lang w:val="en-GB"/>
        </w:rPr>
        <w:t>. The volume</w:t>
      </w:r>
      <w:r w:rsidR="00B253A2">
        <w:rPr>
          <w:lang w:val="en-GB"/>
        </w:rPr>
        <w:t>-</w:t>
      </w:r>
      <w:proofErr w:type="spellStart"/>
      <w:r w:rsidR="00B253A2">
        <w:rPr>
          <w:lang w:val="en-GB"/>
        </w:rPr>
        <w:t>weighte</w:t>
      </w:r>
      <w:proofErr w:type="spellEnd"/>
      <w:r w:rsidR="00221023">
        <w:rPr>
          <w:lang w:val="en-GB"/>
        </w:rPr>
        <w:t xml:space="preserve"> average temperature in vapor wetted solid </w:t>
      </w:r>
      <w:r w:rsidR="0081484F">
        <w:rPr>
          <w:lang w:val="en-GB"/>
        </w:rPr>
        <w:t>and in the</w:t>
      </w:r>
      <w:r w:rsidR="00221023">
        <w:rPr>
          <w:lang w:val="en-GB"/>
        </w:rPr>
        <w:t xml:space="preserve"> vapor phase in experimental and simulation are represented in</w:t>
      </w:r>
      <w:r w:rsidR="00787D4F">
        <w:rPr>
          <w:b/>
          <w:bCs/>
        </w:rPr>
        <w:t xml:space="preserve"> </w:t>
      </w:r>
      <w:r w:rsidR="00B22B36">
        <w:t xml:space="preserve">Figure </w:t>
      </w:r>
      <w:r w:rsidR="00B22B36">
        <w:rPr>
          <w:noProof/>
        </w:rPr>
        <w:t>4</w:t>
      </w:r>
      <w:r w:rsidR="00221023">
        <w:rPr>
          <w:lang w:val="en-GB"/>
        </w:rPr>
        <w:t xml:space="preserve">. </w:t>
      </w:r>
      <w:r w:rsidR="0081484F">
        <w:rPr>
          <w:lang w:val="en-GB"/>
        </w:rPr>
        <w:t>The c</w:t>
      </w:r>
      <w:r w:rsidR="00221023">
        <w:rPr>
          <w:lang w:val="en-GB"/>
        </w:rPr>
        <w:t xml:space="preserve">omparison of the results shows that the temperature of </w:t>
      </w:r>
      <w:r w:rsidR="0081484F">
        <w:rPr>
          <w:lang w:val="en-GB"/>
        </w:rPr>
        <w:t xml:space="preserve">the </w:t>
      </w:r>
      <w:r w:rsidR="00221023">
        <w:rPr>
          <w:lang w:val="en-GB"/>
        </w:rPr>
        <w:t xml:space="preserve">vapor </w:t>
      </w:r>
      <w:r w:rsidR="00E44948">
        <w:rPr>
          <w:lang w:val="en-GB"/>
        </w:rPr>
        <w:t>phase is underpredicted.</w:t>
      </w:r>
      <w:r w:rsidR="004C2C19">
        <w:rPr>
          <w:lang w:val="en-GB"/>
        </w:rPr>
        <w:t xml:space="preserve"> However, as the temperature of the vapor phase and its respective wall are close to each other, it may </w:t>
      </w:r>
      <w:proofErr w:type="gramStart"/>
      <w:r w:rsidR="004C2C19">
        <w:rPr>
          <w:lang w:val="en-GB"/>
        </w:rPr>
        <w:t>shows</w:t>
      </w:r>
      <w:proofErr w:type="gramEnd"/>
      <w:r w:rsidR="004C2C19">
        <w:rPr>
          <w:lang w:val="en-GB"/>
        </w:rPr>
        <w:t xml:space="preserve"> that the thermocouples which was reading this two temperatures were very close to each other. </w:t>
      </w:r>
      <w:proofErr w:type="gramStart"/>
      <w:r w:rsidR="004C2C19">
        <w:rPr>
          <w:lang w:val="en-GB"/>
        </w:rPr>
        <w:t>Therefore</w:t>
      </w:r>
      <w:proofErr w:type="gramEnd"/>
      <w:r w:rsidR="004C2C19">
        <w:rPr>
          <w:lang w:val="en-GB"/>
        </w:rPr>
        <w:t xml:space="preserve"> it reports a temperature close to wall vicinity.</w:t>
      </w:r>
      <w:r w:rsidR="00E44948">
        <w:rPr>
          <w:lang w:val="en-GB"/>
        </w:rPr>
        <w:t xml:space="preserve"> </w:t>
      </w:r>
      <w:r w:rsidR="004C2C19">
        <w:rPr>
          <w:lang w:val="en-GB"/>
        </w:rPr>
        <w:t>Thus, it is expected that the volumed averaged temperature slightly underpredicts the temperature.</w:t>
      </w:r>
    </w:p>
    <w:p w14:paraId="044B4FE7" w14:textId="77777777" w:rsidR="00787D4F" w:rsidRDefault="00787D4F" w:rsidP="000913B0">
      <w:pPr>
        <w:pStyle w:val="CETBodytext"/>
        <w:rPr>
          <w:lang w:val="en-GB"/>
        </w:rPr>
      </w:pPr>
    </w:p>
    <w:p w14:paraId="18741F88" w14:textId="77777777" w:rsidR="00787D4F" w:rsidRDefault="00787D4F" w:rsidP="000913B0">
      <w:pPr>
        <w:pStyle w:val="CETBodytext"/>
        <w:keepNext/>
      </w:pPr>
      <w:r>
        <w:rPr>
          <w:noProof/>
          <w:lang w:val="en-GB"/>
        </w:rPr>
        <w:drawing>
          <wp:inline distT="0" distB="0" distL="0" distR="0" wp14:anchorId="35087206" wp14:editId="1B54A715">
            <wp:extent cx="5579745" cy="2120265"/>
            <wp:effectExtent l="0" t="0" r="1905" b="0"/>
            <wp:docPr id="1327066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6619" name="Picture 132706619"/>
                    <pic:cNvPicPr/>
                  </pic:nvPicPr>
                  <pic:blipFill>
                    <a:blip r:embed="rId12"/>
                    <a:stretch>
                      <a:fillRect/>
                    </a:stretch>
                  </pic:blipFill>
                  <pic:spPr>
                    <a:xfrm>
                      <a:off x="0" y="0"/>
                      <a:ext cx="5579745" cy="2120265"/>
                    </a:xfrm>
                    <a:prstGeom prst="rect">
                      <a:avLst/>
                    </a:prstGeom>
                  </pic:spPr>
                </pic:pic>
              </a:graphicData>
            </a:graphic>
          </wp:inline>
        </w:drawing>
      </w:r>
    </w:p>
    <w:p w14:paraId="51416557" w14:textId="7ADCF15D" w:rsidR="00787D4F" w:rsidRDefault="00787D4F" w:rsidP="000913B0">
      <w:pPr>
        <w:pStyle w:val="CETCaption"/>
      </w:pPr>
      <w:bookmarkStart w:id="7" w:name="_Ref182984095"/>
      <w:r>
        <w:t xml:space="preserve">Figure </w:t>
      </w:r>
      <w:r w:rsidR="00B22B36">
        <w:rPr>
          <w:noProof/>
        </w:rPr>
        <w:t>3</w:t>
      </w:r>
      <w:bookmarkEnd w:id="7"/>
      <w:r>
        <w:t xml:space="preserve"> a) </w:t>
      </w:r>
      <w:r>
        <w:rPr>
          <w:lang w:val="en-US"/>
        </w:rPr>
        <w:t>The onset of and final time for deterioration of 15 layers of insulation. The first layer deteriorates around 120 s and the 15</w:t>
      </w:r>
      <w:r w:rsidRPr="00DB62F8">
        <w:rPr>
          <w:vertAlign w:val="superscript"/>
          <w:lang w:val="en-US"/>
        </w:rPr>
        <w:t>th</w:t>
      </w:r>
      <w:r>
        <w:rPr>
          <w:lang w:val="en-US"/>
        </w:rPr>
        <w:t xml:space="preserve"> layer deteriorate around 250 s. b) </w:t>
      </w:r>
      <w:r w:rsidRPr="002F6DF2">
        <w:t>Comparison the effect of MLI layers on the prediction of pressurization curve</w:t>
      </w:r>
      <w:r w:rsidR="00B22B36">
        <w:t>.</w:t>
      </w:r>
    </w:p>
    <w:p w14:paraId="059FBBF0" w14:textId="003767B2" w:rsidR="002931C1" w:rsidRDefault="004C2C19" w:rsidP="000913B0">
      <w:pPr>
        <w:pStyle w:val="CETBodytext"/>
        <w:keepNext/>
      </w:pPr>
      <w:r>
        <w:rPr>
          <w:noProof/>
        </w:rPr>
        <w:drawing>
          <wp:inline distT="0" distB="0" distL="0" distR="0" wp14:anchorId="7DC67216" wp14:editId="5E3F3889">
            <wp:extent cx="2750820" cy="2065250"/>
            <wp:effectExtent l="0" t="0" r="0" b="0"/>
            <wp:docPr id="1466808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808331" name="Picture 1466808331"/>
                    <pic:cNvPicPr/>
                  </pic:nvPicPr>
                  <pic:blipFill>
                    <a:blip r:embed="rId13"/>
                    <a:stretch>
                      <a:fillRect/>
                    </a:stretch>
                  </pic:blipFill>
                  <pic:spPr>
                    <a:xfrm>
                      <a:off x="0" y="0"/>
                      <a:ext cx="2757198" cy="2070039"/>
                    </a:xfrm>
                    <a:prstGeom prst="rect">
                      <a:avLst/>
                    </a:prstGeom>
                  </pic:spPr>
                </pic:pic>
              </a:graphicData>
            </a:graphic>
          </wp:inline>
        </w:drawing>
      </w:r>
    </w:p>
    <w:p w14:paraId="5FB32678" w14:textId="33CB2755" w:rsidR="00AD7B83" w:rsidRDefault="002931C1" w:rsidP="000913B0">
      <w:pPr>
        <w:pStyle w:val="CETCaption"/>
      </w:pPr>
      <w:bookmarkStart w:id="8" w:name="_Ref182984241"/>
      <w:bookmarkStart w:id="9" w:name="_Ref182984235"/>
      <w:r>
        <w:t xml:space="preserve">Figure </w:t>
      </w:r>
      <w:r w:rsidR="00B22B36">
        <w:rPr>
          <w:noProof/>
        </w:rPr>
        <w:t>4</w:t>
      </w:r>
      <w:bookmarkEnd w:id="8"/>
      <w:r>
        <w:t xml:space="preserve"> </w:t>
      </w:r>
      <w:r>
        <w:rPr>
          <w:lang w:val="en-US"/>
        </w:rPr>
        <w:t xml:space="preserve">Comparison of the predicted temperature of the vapor section and its wetted respective wall vs the experimental temperature </w:t>
      </w:r>
      <w:r w:rsidR="004C2C19">
        <w:rPr>
          <w:lang w:val="en-US"/>
        </w:rPr>
        <w:t xml:space="preserve">of </w:t>
      </w:r>
      <w:r>
        <w:rPr>
          <w:lang w:val="en-US"/>
        </w:rPr>
        <w:t>vapor wetted section</w:t>
      </w:r>
      <w:r w:rsidR="004C2C19">
        <w:rPr>
          <w:lang w:val="en-US"/>
        </w:rPr>
        <w:t xml:space="preserve"> and vapor phase</w:t>
      </w:r>
      <w:r>
        <w:rPr>
          <w:lang w:val="en-US"/>
        </w:rPr>
        <w:t>.</w:t>
      </w:r>
      <w:bookmarkEnd w:id="9"/>
    </w:p>
    <w:p w14:paraId="68D26B83" w14:textId="77777777" w:rsidR="00600535" w:rsidRDefault="00600535" w:rsidP="000913B0">
      <w:pPr>
        <w:pStyle w:val="CETHeading1"/>
        <w:jc w:val="both"/>
        <w:rPr>
          <w:lang w:val="en-GB"/>
        </w:rPr>
      </w:pPr>
      <w:r w:rsidRPr="00B57B36">
        <w:rPr>
          <w:lang w:val="en-GB"/>
        </w:rPr>
        <w:lastRenderedPageBreak/>
        <w:t>Conclusions</w:t>
      </w:r>
    </w:p>
    <w:p w14:paraId="34AF0CAA" w14:textId="5A4DD2F4" w:rsidR="007A79F5" w:rsidRPr="00605784" w:rsidRDefault="007A79F5" w:rsidP="00BC5D8E">
      <w:pPr>
        <w:pStyle w:val="CETAcknowledgementstitle"/>
        <w:jc w:val="both"/>
        <w:rPr>
          <w:b w:val="0"/>
        </w:rPr>
      </w:pPr>
      <w:r w:rsidRPr="007A79F5">
        <w:rPr>
          <w:b w:val="0"/>
        </w:rPr>
        <w:t xml:space="preserve">The multi-zone model presented in this study </w:t>
      </w:r>
      <w:proofErr w:type="gramStart"/>
      <w:r w:rsidRPr="007A79F5">
        <w:rPr>
          <w:b w:val="0"/>
        </w:rPr>
        <w:t>is capable of predicting</w:t>
      </w:r>
      <w:proofErr w:type="gramEnd"/>
      <w:r w:rsidRPr="007A79F5">
        <w:rPr>
          <w:b w:val="0"/>
        </w:rPr>
        <w:t xml:space="preserve"> the pressurization of cryogenic tanks (e.g., LOX, LH</w:t>
      </w:r>
      <w:r w:rsidRPr="007A79F5">
        <w:rPr>
          <w:rFonts w:ascii="Cambria Math" w:hAnsi="Cambria Math" w:cs="Cambria Math"/>
          <w:b w:val="0"/>
        </w:rPr>
        <w:t>₂</w:t>
      </w:r>
      <w:r w:rsidRPr="007A79F5">
        <w:rPr>
          <w:b w:val="0"/>
        </w:rPr>
        <w:t>, LN</w:t>
      </w:r>
      <w:r w:rsidRPr="007A79F5">
        <w:rPr>
          <w:rFonts w:ascii="Cambria Math" w:hAnsi="Cambria Math" w:cs="Cambria Math"/>
          <w:b w:val="0"/>
        </w:rPr>
        <w:t>₂</w:t>
      </w:r>
      <w:r w:rsidRPr="007A79F5">
        <w:rPr>
          <w:b w:val="0"/>
        </w:rPr>
        <w:t>, LNG, LPG) under fire exposure. Additionally, the model can estimate the temperature distribution along the inner tank wall and across the insulation layer. It is also capable of reproducing the volume-averaged temperatures of the vapor and liquid phases.</w:t>
      </w:r>
      <w:r>
        <w:rPr>
          <w:b w:val="0"/>
        </w:rPr>
        <w:t xml:space="preserve"> </w:t>
      </w:r>
      <w:r w:rsidRPr="007A79F5">
        <w:rPr>
          <w:b w:val="0"/>
        </w:rPr>
        <w:t>Moreover, the model predicts the vulnerability of the insulation system during transient processes, identifying the time points at which thermal degradation of the insulation is likely to occur.</w:t>
      </w:r>
      <w:r w:rsidR="006E08DB">
        <w:rPr>
          <w:b w:val="0"/>
        </w:rPr>
        <w:t xml:space="preserve"> </w:t>
      </w:r>
      <w:r w:rsidRPr="007A79F5">
        <w:rPr>
          <w:b w:val="0"/>
        </w:rPr>
        <w:t>The model has been validated against the study by Pehr (1996) and demonstrates agreement</w:t>
      </w:r>
      <w:r>
        <w:rPr>
          <w:b w:val="0"/>
        </w:rPr>
        <w:t xml:space="preserve"> of the assumption</w:t>
      </w:r>
      <w:r w:rsidRPr="007A79F5">
        <w:rPr>
          <w:b w:val="0"/>
        </w:rPr>
        <w:t xml:space="preserve"> with the findings of </w:t>
      </w:r>
      <w:proofErr w:type="spellStart"/>
      <w:r w:rsidRPr="007A79F5">
        <w:rPr>
          <w:b w:val="0"/>
        </w:rPr>
        <w:t>Fesmire</w:t>
      </w:r>
      <w:proofErr w:type="spellEnd"/>
      <w:r w:rsidRPr="007A79F5">
        <w:rPr>
          <w:b w:val="0"/>
        </w:rPr>
        <w:t xml:space="preserve"> et al. (2008), which reported the ideal performance of MLI systems consisting of </w:t>
      </w:r>
      <w:proofErr w:type="spellStart"/>
      <w:r w:rsidRPr="007A79F5">
        <w:rPr>
          <w:b w:val="0"/>
        </w:rPr>
        <w:t>aluminum</w:t>
      </w:r>
      <w:proofErr w:type="spellEnd"/>
      <w:r w:rsidRPr="007A79F5">
        <w:rPr>
          <w:b w:val="0"/>
        </w:rPr>
        <w:t xml:space="preserve"> foils and glass </w:t>
      </w:r>
      <w:proofErr w:type="spellStart"/>
      <w:r w:rsidRPr="007A79F5">
        <w:rPr>
          <w:b w:val="0"/>
        </w:rPr>
        <w:t>fiber</w:t>
      </w:r>
      <w:proofErr w:type="spellEnd"/>
      <w:r w:rsidRPr="007A79F5">
        <w:rPr>
          <w:b w:val="0"/>
        </w:rPr>
        <w:t xml:space="preserve"> </w:t>
      </w:r>
      <w:proofErr w:type="spellStart"/>
      <w:proofErr w:type="gramStart"/>
      <w:r w:rsidRPr="007A79F5">
        <w:rPr>
          <w:b w:val="0"/>
        </w:rPr>
        <w:t>spacers.The</w:t>
      </w:r>
      <w:proofErr w:type="spellEnd"/>
      <w:proofErr w:type="gramEnd"/>
      <w:r w:rsidRPr="007A79F5">
        <w:rPr>
          <w:b w:val="0"/>
        </w:rPr>
        <w:t xml:space="preserve"> findings from this study provide valuable insights for emergency response planning and optimizing LH</w:t>
      </w:r>
      <w:r w:rsidRPr="007A79F5">
        <w:rPr>
          <w:rFonts w:ascii="Cambria Math" w:hAnsi="Cambria Math" w:cs="Cambria Math"/>
          <w:b w:val="0"/>
        </w:rPr>
        <w:t>₂</w:t>
      </w:r>
      <w:r w:rsidRPr="007A79F5">
        <w:rPr>
          <w:b w:val="0"/>
        </w:rPr>
        <w:t xml:space="preserve"> tank designs to mitigate fire-induced hazards. Additionally, this model serves as a virtual framework for </w:t>
      </w:r>
      <w:proofErr w:type="spellStart"/>
      <w:r w:rsidRPr="007A79F5">
        <w:rPr>
          <w:b w:val="0"/>
        </w:rPr>
        <w:t>analyzing</w:t>
      </w:r>
      <w:proofErr w:type="spellEnd"/>
      <w:r w:rsidRPr="007A79F5">
        <w:rPr>
          <w:b w:val="0"/>
        </w:rPr>
        <w:t xml:space="preserve"> and improving the safety of LH</w:t>
      </w:r>
      <w:r w:rsidRPr="007A79F5">
        <w:rPr>
          <w:rFonts w:ascii="Cambria Math" w:hAnsi="Cambria Math" w:cs="Cambria Math"/>
          <w:b w:val="0"/>
        </w:rPr>
        <w:t>₂</w:t>
      </w:r>
      <w:r w:rsidRPr="007A79F5">
        <w:rPr>
          <w:b w:val="0"/>
        </w:rPr>
        <w:t xml:space="preserve"> storage systems under extreme thermal conditions.</w:t>
      </w:r>
    </w:p>
    <w:p w14:paraId="7A585420" w14:textId="00A77E90" w:rsidR="009B11B4" w:rsidRPr="00B57B36" w:rsidRDefault="009B11B4" w:rsidP="007A79F5">
      <w:pPr>
        <w:pStyle w:val="CETAcknowledgementstitle"/>
        <w:jc w:val="both"/>
      </w:pPr>
      <w:r w:rsidRPr="00B57B36">
        <w:t>Acknowledgments</w:t>
      </w:r>
    </w:p>
    <w:p w14:paraId="4707B216" w14:textId="154C2544" w:rsidR="00957FED" w:rsidRPr="00413B8F" w:rsidRDefault="0067569E" w:rsidP="007A79F5">
      <w:pPr>
        <w:pStyle w:val="CETBodytext"/>
        <w:rPr>
          <w:lang w:val="en-GB"/>
        </w:rPr>
      </w:pPr>
      <w:r w:rsidRPr="0067569E">
        <w:rPr>
          <w:lang w:val="en-GB"/>
        </w:rPr>
        <w:t xml:space="preserve">This work was undertaken as part of the research project </w:t>
      </w:r>
      <w:proofErr w:type="spellStart"/>
      <w:r w:rsidRPr="0067569E">
        <w:rPr>
          <w:lang w:val="en-GB"/>
        </w:rPr>
        <w:t>FETLHy</w:t>
      </w:r>
      <w:proofErr w:type="spellEnd"/>
      <w:r w:rsidRPr="0067569E">
        <w:rPr>
          <w:lang w:val="en-GB"/>
        </w:rPr>
        <w:t>, where the authors wish to acknowledge the financial support of the research from the German Federal Ministry for Economic Affairs and Climate.</w:t>
      </w:r>
    </w:p>
    <w:sdt>
      <w:sdtPr>
        <w:rPr>
          <w:b w:val="0"/>
          <w:sz w:val="18"/>
        </w:rPr>
        <w:id w:val="-212269983"/>
        <w:docPartObj>
          <w:docPartGallery w:val="Bibliographies"/>
          <w:docPartUnique/>
        </w:docPartObj>
      </w:sdtPr>
      <w:sdtEndPr>
        <w:rPr>
          <w:sz w:val="14"/>
          <w:szCs w:val="16"/>
        </w:rPr>
      </w:sdtEndPr>
      <w:sdtContent>
        <w:p w14:paraId="0D47C592" w14:textId="13672795" w:rsidR="00957FED" w:rsidRDefault="00957FED" w:rsidP="00BC5D8E">
          <w:pPr>
            <w:pStyle w:val="Heading1"/>
            <w:numPr>
              <w:ilvl w:val="0"/>
              <w:numId w:val="0"/>
            </w:numPr>
          </w:pPr>
          <w:r>
            <w:t>References</w:t>
          </w:r>
        </w:p>
        <w:sdt>
          <w:sdtPr>
            <w:rPr>
              <w:sz w:val="14"/>
              <w:szCs w:val="16"/>
            </w:rPr>
            <w:id w:val="-573587230"/>
            <w:bibliography/>
          </w:sdtPr>
          <w:sdtEndPr/>
          <w:sdtContent>
            <w:p w14:paraId="60193B43" w14:textId="4ED5818A" w:rsidR="000913B0" w:rsidRPr="00CD4979" w:rsidRDefault="000913B0" w:rsidP="00CD4979">
              <w:pPr>
                <w:pStyle w:val="CETReferencetext"/>
              </w:pPr>
              <w:r w:rsidRPr="00CD4979">
                <w:t>Bell, I. H., Wronski, J., Quoilin, S., &amp; Lemort, V.</w:t>
              </w:r>
              <w:r w:rsidR="004C2C19" w:rsidRPr="00CD4979">
                <w:t>,</w:t>
              </w:r>
              <w:r w:rsidRPr="00CD4979">
                <w:t xml:space="preserve"> 201</w:t>
              </w:r>
              <w:r w:rsidR="004C2C19" w:rsidRPr="00CD4979">
                <w:t>4,</w:t>
              </w:r>
              <w:r w:rsidRPr="00CD4979">
                <w:t xml:space="preserve"> Pure and Pseudo-pure Fluid Thermophysical Property Evaluation and the Open-Source Thermophysical Property Library CoolProp. Industrial &amp; Engineering Chemistry Research, 53(6), 2498-2508. doi:10.1021/ie4033999</w:t>
              </w:r>
            </w:p>
            <w:p w14:paraId="43036AC8" w14:textId="5E53D7F6" w:rsidR="000913B0" w:rsidRPr="00CD4979" w:rsidRDefault="000913B0" w:rsidP="00CD4979">
              <w:pPr>
                <w:pStyle w:val="CETReferencetext"/>
              </w:pPr>
              <w:r w:rsidRPr="00CD4979">
                <w:t>Camplese, D., Scarponi, G. E., Chianese, C., Hajhariri, A., E. R., Otremba, F., &amp; Cozzani, V.</w:t>
              </w:r>
              <w:r w:rsidR="0007151B" w:rsidRPr="00CD4979">
                <w:t>,</w:t>
              </w:r>
              <w:r w:rsidRPr="00CD4979">
                <w:t xml:space="preserve"> 2024</w:t>
              </w:r>
              <w:r w:rsidR="0007151B" w:rsidRPr="00CD4979">
                <w:t>,</w:t>
              </w:r>
              <w:r w:rsidRPr="00CD4979">
                <w:t xml:space="preserve"> Modeling the performance of Multilayer Insulation in Cryogenic Tanks undergoing external Fire Scenarios. Process Saf. Environ. Prot</w:t>
              </w:r>
              <w:r w:rsidR="0007151B" w:rsidRPr="00CD4979">
                <w:t>,</w:t>
              </w:r>
              <w:r w:rsidRPr="00CD4979">
                <w:t xml:space="preserve"> doi:https://doi.org/10.1016/j.psep.2024.04.061</w:t>
              </w:r>
            </w:p>
            <w:p w14:paraId="752454A4" w14:textId="48AB567F" w:rsidR="000913B0" w:rsidRPr="00CD4979" w:rsidRDefault="000913B0" w:rsidP="00CD4979">
              <w:pPr>
                <w:pStyle w:val="CETReferencetext"/>
              </w:pPr>
              <w:r w:rsidRPr="00CD4979">
                <w:t>Crowl, D. A., &amp; Jo, Y. D.</w:t>
              </w:r>
              <w:r w:rsidR="0007151B" w:rsidRPr="00CD4979">
                <w:t>,</w:t>
              </w:r>
              <w:r w:rsidRPr="00CD4979">
                <w:t xml:space="preserve"> 2007</w:t>
              </w:r>
              <w:r w:rsidR="0007151B" w:rsidRPr="00CD4979">
                <w:t>,</w:t>
              </w:r>
              <w:r w:rsidRPr="00CD4979">
                <w:t xml:space="preserve"> The hazards and risks of hydrogen. Journal of Loss Prevention in the Process Industries, 20(2), 158-164.</w:t>
              </w:r>
            </w:p>
            <w:p w14:paraId="0DD01D8E" w14:textId="1E841370" w:rsidR="000913B0" w:rsidRPr="00CD4979" w:rsidRDefault="000913B0" w:rsidP="00CD4979">
              <w:pPr>
                <w:pStyle w:val="CETReferencetext"/>
              </w:pPr>
              <w:r w:rsidRPr="00CD4979">
                <w:t>DnV, G. L.</w:t>
              </w:r>
              <w:r w:rsidR="0007151B" w:rsidRPr="00CD4979">
                <w:t xml:space="preserve">, </w:t>
              </w:r>
              <w:r w:rsidRPr="00CD4979">
                <w:t>2021</w:t>
              </w:r>
              <w:r w:rsidR="0007151B" w:rsidRPr="00CD4979">
                <w:t>,</w:t>
              </w:r>
              <w:r w:rsidRPr="00CD4979">
                <w:t xml:space="preserve"> SAFER, SMARTER and Greener, LNG as marine fuel. </w:t>
              </w:r>
            </w:p>
            <w:p w14:paraId="040A7B60" w14:textId="6D0BB114" w:rsidR="000913B0" w:rsidRPr="00CD4979" w:rsidRDefault="000913B0" w:rsidP="00CD4979">
              <w:pPr>
                <w:pStyle w:val="CETReferencetext"/>
              </w:pPr>
              <w:r w:rsidRPr="00CD4979">
                <w:t>Eberwein, R., Hajhariri, A., Camplese, D., Scarponi, G. E., Cozzani, V., &amp; Otremba, F.</w:t>
              </w:r>
              <w:r w:rsidR="0007151B" w:rsidRPr="00CD4979">
                <w:t>,</w:t>
              </w:r>
              <w:r w:rsidRPr="00CD4979">
                <w:t xml:space="preserve"> 2024</w:t>
              </w:r>
              <w:r w:rsidR="0007151B" w:rsidRPr="00CD4979">
                <w:t>,</w:t>
              </w:r>
              <w:r w:rsidRPr="00CD4979">
                <w:t xml:space="preserve"> Experimental Investigation on the Behavior of Thermal Super Insulation Materials for Cryogenic Storage Tanks in Fire Incidents. Process Saf. Environ. Prot., 187, 240-248. doi:10.1016/j.psep.2024.04.131</w:t>
              </w:r>
            </w:p>
            <w:p w14:paraId="212BBA7D" w14:textId="2C9D00E9" w:rsidR="000913B0" w:rsidRPr="00CD4979" w:rsidRDefault="000913B0" w:rsidP="00CD4979">
              <w:pPr>
                <w:pStyle w:val="CETReferencetext"/>
              </w:pPr>
              <w:r w:rsidRPr="00CD4979">
                <w:t>Fesmire, J., Augustynowicz, S., &amp; Scholtens, B.</w:t>
              </w:r>
              <w:r w:rsidR="0007151B" w:rsidRPr="00CD4979">
                <w:t xml:space="preserve">, </w:t>
              </w:r>
              <w:r w:rsidRPr="00CD4979">
                <w:t>2008</w:t>
              </w:r>
              <w:r w:rsidR="0007151B" w:rsidRPr="00CD4979">
                <w:t>,</w:t>
              </w:r>
              <w:r w:rsidRPr="00CD4979">
                <w:t xml:space="preserve"> ROBUST MULTILAYER INSULATION FOR CRYOGENIC SYSTEMS. AIP Conf. Proc., 985, pp. 1359–1366. doi:https://doi.org/10.1063/1.2908494</w:t>
              </w:r>
            </w:p>
            <w:p w14:paraId="259E121F" w14:textId="618261A4" w:rsidR="000913B0" w:rsidRPr="00CD4979" w:rsidRDefault="000913B0" w:rsidP="00CD4979">
              <w:pPr>
                <w:pStyle w:val="CETReferencetext"/>
              </w:pPr>
              <w:r w:rsidRPr="00CD4979">
                <w:t>HAJHARIRI, A., EBERWEIN, R., CAMPLESE, D., SCARPONI, G. E., COZZANI, V., OTREMBA, F., &amp; SEIDLITZ, H.</w:t>
              </w:r>
              <w:r w:rsidR="0007151B" w:rsidRPr="00CD4979">
                <w:t>,</w:t>
              </w:r>
              <w:r w:rsidRPr="00CD4979">
                <w:t xml:space="preserve"> 2024b</w:t>
              </w:r>
              <w:r w:rsidR="0007151B" w:rsidRPr="00CD4979">
                <w:t>,</w:t>
              </w:r>
              <w:r w:rsidRPr="00CD4979">
                <w:t xml:space="preserve"> Non-Combustible MLI Based Insulation Behavior Under Fire Condition-Experimental and Numerical Investigation. Process Safety and Environmental Prot.</w:t>
              </w:r>
            </w:p>
            <w:p w14:paraId="3C29F864" w14:textId="799F0CD9" w:rsidR="000913B0" w:rsidRPr="00CD4979" w:rsidRDefault="000913B0" w:rsidP="00CD4979">
              <w:pPr>
                <w:pStyle w:val="CETReferencetext"/>
              </w:pPr>
              <w:r w:rsidRPr="00CD4979">
                <w:t>Hajhariri, A., Eberwein, R., Perrone, L. P., Cozzani, V., Otremba, F., &amp; Seidlitz, H.</w:t>
              </w:r>
              <w:r w:rsidR="0007151B" w:rsidRPr="00CD4979">
                <w:t>,</w:t>
              </w:r>
              <w:r w:rsidRPr="00CD4979">
                <w:t xml:space="preserve"> 2024a</w:t>
              </w:r>
              <w:r w:rsidR="0007151B" w:rsidRPr="00CD4979">
                <w:t>,</w:t>
              </w:r>
              <w:r w:rsidRPr="00CD4979">
                <w:t xml:space="preserve"> Study the impact of spacer at thermal degradation process of MLI-based insulation in fire condition. J. Loss Preven. Proce. Ind., 92(10).</w:t>
              </w:r>
            </w:p>
            <w:p w14:paraId="312AF8F5" w14:textId="66FAF401" w:rsidR="000913B0" w:rsidRPr="00CD4979" w:rsidRDefault="000913B0" w:rsidP="00CD4979">
              <w:pPr>
                <w:pStyle w:val="CETReferencetext"/>
              </w:pPr>
              <w:r w:rsidRPr="00CD4979">
                <w:t>Jafarzadeh, S.</w:t>
              </w:r>
              <w:r w:rsidR="0007151B" w:rsidRPr="00CD4979">
                <w:t>,</w:t>
              </w:r>
              <w:r w:rsidRPr="00CD4979">
                <w:t xml:space="preserve"> 2016</w:t>
              </w:r>
              <w:r w:rsidR="0007151B" w:rsidRPr="00CD4979">
                <w:t>,</w:t>
              </w:r>
              <w:r w:rsidRPr="00CD4979">
                <w:t xml:space="preserve"> Energy efficiency and emission abatement in the fishing fleet. </w:t>
              </w:r>
            </w:p>
            <w:p w14:paraId="589DA6AB" w14:textId="7E82D23F" w:rsidR="000913B0" w:rsidRPr="00CD4979" w:rsidRDefault="000913B0" w:rsidP="00CD4979">
              <w:pPr>
                <w:pStyle w:val="CETReferencetext"/>
              </w:pPr>
              <w:r w:rsidRPr="00CD4979">
                <w:t>NIST</w:t>
              </w:r>
              <w:r w:rsidR="0007151B" w:rsidRPr="00CD4979">
                <w:t>,</w:t>
              </w:r>
              <w:r w:rsidRPr="00CD4979">
                <w:t xml:space="preserve"> 2019</w:t>
              </w:r>
              <w:r w:rsidR="0007151B" w:rsidRPr="00CD4979">
                <w:t>,</w:t>
              </w:r>
              <w:r w:rsidRPr="00CD4979">
                <w:t xml:space="preserve"> National Institute for Standards and Technology, Standard Reference Database Number 69</w:t>
              </w:r>
              <w:r w:rsidR="0007151B" w:rsidRPr="00CD4979">
                <w:t>,</w:t>
              </w:r>
              <w:r w:rsidRPr="00CD4979">
                <w:t xml:space="preserve"> doi:https://doi.org/10.18434/T4D303</w:t>
              </w:r>
            </w:p>
            <w:p w14:paraId="330FDBE4" w14:textId="112E39A8" w:rsidR="000913B0" w:rsidRPr="00CD4979" w:rsidRDefault="000913B0" w:rsidP="00CD4979">
              <w:pPr>
                <w:pStyle w:val="CETReferencetext"/>
              </w:pPr>
              <w:r w:rsidRPr="00CD4979">
                <w:t>Pehr, K.</w:t>
              </w:r>
              <w:r w:rsidR="0007151B" w:rsidRPr="00CD4979">
                <w:t>,</w:t>
              </w:r>
              <w:r w:rsidRPr="00CD4979">
                <w:t xml:space="preserve"> 1996</w:t>
              </w:r>
              <w:r w:rsidR="0007151B" w:rsidRPr="00CD4979">
                <w:t>,</w:t>
              </w:r>
              <w:r w:rsidRPr="00CD4979">
                <w:t xml:space="preserve"> Experimental examinations on the worst-case behaviour of LH2/LNG tanks for passenger cars. Proc. 11th World Hydrogen Energy Conference, 2169-2186</w:t>
              </w:r>
              <w:r w:rsidR="0007151B" w:rsidRPr="00CD4979">
                <w:t>,</w:t>
              </w:r>
              <w:r w:rsidRPr="00CD4979">
                <w:t xml:space="preserve"> Stuttgart, Germany.</w:t>
              </w:r>
            </w:p>
            <w:p w14:paraId="027397A4" w14:textId="743207BA" w:rsidR="000913B0" w:rsidRPr="00CD4979" w:rsidRDefault="000913B0" w:rsidP="00CD4979">
              <w:pPr>
                <w:pStyle w:val="CETReferencetext"/>
              </w:pPr>
              <w:r w:rsidRPr="00CD4979">
                <w:t>Scarponi, G. E., Landucci, G., Ovidi, F., &amp; Cozzani, V.</w:t>
              </w:r>
              <w:r w:rsidR="0007151B" w:rsidRPr="00CD4979">
                <w:t>,</w:t>
              </w:r>
              <w:r w:rsidRPr="00CD4979">
                <w:t xml:space="preserve"> 2016</w:t>
              </w:r>
              <w:r w:rsidR="0007151B" w:rsidRPr="00CD4979">
                <w:t>,</w:t>
              </w:r>
              <w:r w:rsidRPr="00CD4979">
                <w:t xml:space="preserve"> Lumped model for the assessment of the thermal and mechanical response of LNG tanks exposed to fire</w:t>
              </w:r>
              <w:r w:rsidR="0007151B" w:rsidRPr="00CD4979">
                <w:t>,</w:t>
              </w:r>
              <w:r w:rsidRPr="00CD4979">
                <w:t xml:space="preserve"> Chemical Engineering Transactions, 307-312.</w:t>
              </w:r>
            </w:p>
            <w:p w14:paraId="278D31F1" w14:textId="3ED6C085" w:rsidR="000913B0" w:rsidRPr="00CD4979" w:rsidRDefault="000913B0" w:rsidP="00CD4979">
              <w:pPr>
                <w:pStyle w:val="CETReferencetext"/>
              </w:pPr>
              <w:r w:rsidRPr="00CD4979">
                <w:t>Ustolin, F., Iannaccone, T., Cozzani, V., Jafarzadeh, S., &amp; Paltrinieri, N.</w:t>
              </w:r>
              <w:r w:rsidR="0007151B" w:rsidRPr="00CD4979">
                <w:t>,</w:t>
              </w:r>
              <w:r w:rsidRPr="00CD4979">
                <w:t xml:space="preserve"> 2021</w:t>
              </w:r>
              <w:r w:rsidR="0007151B" w:rsidRPr="00CD4979">
                <w:t>,</w:t>
              </w:r>
              <w:r w:rsidRPr="00CD4979">
                <w:t xml:space="preserve"> Time to Failure Estimation of Cryogenic Liquefied Tanks Exposed to a Fire</w:t>
              </w:r>
              <w:r w:rsidR="0007151B" w:rsidRPr="00CD4979">
                <w:t>,</w:t>
              </w:r>
              <w:r w:rsidRPr="00CD4979">
                <w:t xml:space="preserve"> Proceedings of the 31st European Safety and Reliability Conference,</w:t>
              </w:r>
              <w:r w:rsidR="0007151B" w:rsidRPr="00CD4979">
                <w:t xml:space="preserve"> </w:t>
              </w:r>
              <w:r w:rsidRPr="00CD4979">
                <w:t>19-23</w:t>
              </w:r>
              <w:r w:rsidR="0007151B" w:rsidRPr="00CD4979">
                <w:t>,</w:t>
              </w:r>
              <w:r w:rsidRPr="00CD4979">
                <w:t xml:space="preserve"> Angers, France.</w:t>
              </w:r>
            </w:p>
            <w:p w14:paraId="6EC1A957" w14:textId="50BD9A87" w:rsidR="000913B0" w:rsidRPr="00CD4979" w:rsidRDefault="000913B0" w:rsidP="00CD4979">
              <w:pPr>
                <w:pStyle w:val="CETReferencetext"/>
                <w:rPr>
                  <w:lang w:val="de-DE"/>
                </w:rPr>
              </w:pPr>
              <w:r w:rsidRPr="00CD4979">
                <w:t>Ustolin, F., Scarponi, G., Iannaccone, T., V., C., &amp; Paltrinieri, N.</w:t>
              </w:r>
              <w:r w:rsidR="0007151B" w:rsidRPr="00CD4979">
                <w:t>,</w:t>
              </w:r>
              <w:r w:rsidRPr="00CD4979">
                <w:t xml:space="preserve"> 2022</w:t>
              </w:r>
              <w:r w:rsidR="0007151B" w:rsidRPr="00CD4979">
                <w:t>,</w:t>
              </w:r>
              <w:r w:rsidRPr="00CD4979">
                <w:t xml:space="preserve"> Cryogenic Hydrogen Storage Tanks Exposed to Fires: a CFD study</w:t>
              </w:r>
              <w:r w:rsidR="0007151B" w:rsidRPr="00CD4979">
                <w:t>,</w:t>
              </w:r>
              <w:r w:rsidRPr="00CD4979">
                <w:t xml:space="preserve"> Chem. Eng. </w:t>
              </w:r>
              <w:r w:rsidRPr="00CD4979">
                <w:rPr>
                  <w:lang w:val="de-DE"/>
                </w:rPr>
                <w:t>Trans., 535-540</w:t>
              </w:r>
              <w:r w:rsidR="0007151B" w:rsidRPr="00CD4979">
                <w:rPr>
                  <w:lang w:val="de-DE"/>
                </w:rPr>
                <w:t>,</w:t>
              </w:r>
              <w:r w:rsidRPr="00CD4979">
                <w:rPr>
                  <w:lang w:val="de-DE"/>
                </w:rPr>
                <w:t xml:space="preserve"> doi:https://doi.org/10.3303/CET2290090</w:t>
              </w:r>
            </w:p>
            <w:p w14:paraId="168A67B1" w14:textId="4BF67EE0" w:rsidR="000913B0" w:rsidRPr="00CD4979" w:rsidRDefault="000913B0" w:rsidP="00CD4979">
              <w:pPr>
                <w:pStyle w:val="CETReferencetext"/>
              </w:pPr>
              <w:r w:rsidRPr="00CD4979">
                <w:rPr>
                  <w:lang w:val="de-DE"/>
                </w:rPr>
                <w:t xml:space="preserve">van Wingerden, K., Kluge, M., Habib. </w:t>
              </w:r>
              <w:r w:rsidRPr="00CD4979">
                <w:t>A., K., Ustolin, F., &amp; Paltrinieri, N.</w:t>
              </w:r>
              <w:r w:rsidR="0007151B" w:rsidRPr="00CD4979">
                <w:t>,</w:t>
              </w:r>
              <w:r w:rsidRPr="00CD4979">
                <w:t xml:space="preserve"> 2022</w:t>
              </w:r>
              <w:r w:rsidR="0007151B" w:rsidRPr="00CD4979">
                <w:t>,</w:t>
              </w:r>
              <w:r w:rsidRPr="00CD4979">
                <w:t xml:space="preserve"> Medium-scale tests to investigate the possibility and effects of BLEVEs of storage vessels containing liquified hydrogen</w:t>
              </w:r>
              <w:r w:rsidR="0007151B" w:rsidRPr="00CD4979">
                <w:t>,</w:t>
              </w:r>
              <w:r w:rsidRPr="00CD4979">
                <w:t xml:space="preserve"> 17th EFCE, 90, 547-552</w:t>
              </w:r>
              <w:r w:rsidR="0007151B" w:rsidRPr="00CD4979">
                <w:t>,</w:t>
              </w:r>
              <w:r w:rsidRPr="00CD4979">
                <w:t xml:space="preserve"> doi:10.3303/CET2290092</w:t>
              </w:r>
            </w:p>
            <w:p w14:paraId="56B8B928" w14:textId="6D4ECF85" w:rsidR="000913B0" w:rsidRPr="00CD4979" w:rsidRDefault="000913B0" w:rsidP="00CD4979">
              <w:pPr>
                <w:pStyle w:val="CETReferencetext"/>
                <w:rPr>
                  <w:lang w:val="de-DE"/>
                </w:rPr>
              </w:pPr>
              <w:r w:rsidRPr="00CD4979">
                <w:t>Wang, L., Li, Y., Zhang, F., Xie, F., &amp; Ma, Y.</w:t>
              </w:r>
              <w:r w:rsidR="0007151B" w:rsidRPr="00CD4979">
                <w:t xml:space="preserve">, </w:t>
              </w:r>
              <w:r w:rsidRPr="00CD4979">
                <w:t>2016</w:t>
              </w:r>
              <w:r w:rsidR="0007151B" w:rsidRPr="00CD4979">
                <w:t>,</w:t>
              </w:r>
              <w:r w:rsidRPr="00CD4979">
                <w:t xml:space="preserve"> Correlations for calculating heat transfer of hydrogen pool boiling. </w:t>
              </w:r>
              <w:r w:rsidRPr="00CD4979">
                <w:rPr>
                  <w:lang w:val="de-DE"/>
                </w:rPr>
                <w:t>Int. J. Hydrogen Energ., 41(38), 17118-17131</w:t>
              </w:r>
              <w:r w:rsidR="0007151B" w:rsidRPr="00CD4979">
                <w:rPr>
                  <w:lang w:val="de-DE"/>
                </w:rPr>
                <w:t>,</w:t>
              </w:r>
              <w:r w:rsidRPr="00CD4979">
                <w:rPr>
                  <w:lang w:val="de-DE"/>
                </w:rPr>
                <w:t xml:space="preserve"> doi:https://doi.org/10.1016/j.ijhydene.2016.06.254</w:t>
              </w:r>
            </w:p>
            <w:p w14:paraId="157321C5" w14:textId="69326EE7" w:rsidR="00957FED" w:rsidRDefault="0017607F" w:rsidP="00CD4979">
              <w:pPr>
                <w:pStyle w:val="CETReferencetext"/>
              </w:pPr>
            </w:p>
          </w:sdtContent>
        </w:sdt>
      </w:sdtContent>
    </w:sdt>
    <w:sectPr w:rsidR="00957FED"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37466" w14:textId="77777777" w:rsidR="005A0BCC" w:rsidRDefault="005A0BCC" w:rsidP="004F5E36">
      <w:r>
        <w:separator/>
      </w:r>
    </w:p>
  </w:endnote>
  <w:endnote w:type="continuationSeparator" w:id="0">
    <w:p w14:paraId="6C3C06EB" w14:textId="77777777" w:rsidR="005A0BCC" w:rsidRDefault="005A0BCC"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FBCE3" w14:textId="77777777" w:rsidR="005A0BCC" w:rsidRDefault="005A0BCC" w:rsidP="004F5E36">
      <w:r>
        <w:separator/>
      </w:r>
    </w:p>
  </w:footnote>
  <w:footnote w:type="continuationSeparator" w:id="0">
    <w:p w14:paraId="6710A1DD" w14:textId="77777777" w:rsidR="005A0BCC" w:rsidRDefault="005A0BCC"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2383F79"/>
    <w:multiLevelType w:val="hybridMultilevel"/>
    <w:tmpl w:val="D674C794"/>
    <w:lvl w:ilvl="0" w:tplc="FFC6EA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22875692">
    <w:abstractNumId w:val="11"/>
  </w:num>
  <w:num w:numId="2" w16cid:durableId="1411661204">
    <w:abstractNumId w:val="8"/>
  </w:num>
  <w:num w:numId="3" w16cid:durableId="1485731673">
    <w:abstractNumId w:val="3"/>
  </w:num>
  <w:num w:numId="4" w16cid:durableId="1552425818">
    <w:abstractNumId w:val="2"/>
  </w:num>
  <w:num w:numId="5" w16cid:durableId="864026963">
    <w:abstractNumId w:val="1"/>
  </w:num>
  <w:num w:numId="6" w16cid:durableId="2115246231">
    <w:abstractNumId w:val="0"/>
  </w:num>
  <w:num w:numId="7" w16cid:durableId="469830641">
    <w:abstractNumId w:val="9"/>
  </w:num>
  <w:num w:numId="8" w16cid:durableId="255138116">
    <w:abstractNumId w:val="7"/>
  </w:num>
  <w:num w:numId="9" w16cid:durableId="1989162893">
    <w:abstractNumId w:val="6"/>
  </w:num>
  <w:num w:numId="10" w16cid:durableId="219022604">
    <w:abstractNumId w:val="5"/>
  </w:num>
  <w:num w:numId="11" w16cid:durableId="368648613">
    <w:abstractNumId w:val="4"/>
  </w:num>
  <w:num w:numId="12" w16cid:durableId="507017285">
    <w:abstractNumId w:val="18"/>
  </w:num>
  <w:num w:numId="13" w16cid:durableId="379943363">
    <w:abstractNumId w:val="13"/>
  </w:num>
  <w:num w:numId="14" w16cid:durableId="1979914254">
    <w:abstractNumId w:val="19"/>
  </w:num>
  <w:num w:numId="15" w16cid:durableId="278534476">
    <w:abstractNumId w:val="22"/>
  </w:num>
  <w:num w:numId="16" w16cid:durableId="652103749">
    <w:abstractNumId w:val="21"/>
  </w:num>
  <w:num w:numId="17" w16cid:durableId="2110463996">
    <w:abstractNumId w:val="12"/>
  </w:num>
  <w:num w:numId="18" w16cid:durableId="288055614">
    <w:abstractNumId w:val="13"/>
    <w:lvlOverride w:ilvl="0">
      <w:startOverride w:val="1"/>
    </w:lvlOverride>
  </w:num>
  <w:num w:numId="19" w16cid:durableId="517473588">
    <w:abstractNumId w:val="17"/>
  </w:num>
  <w:num w:numId="20" w16cid:durableId="1263680110">
    <w:abstractNumId w:val="16"/>
  </w:num>
  <w:num w:numId="21" w16cid:durableId="1900167398">
    <w:abstractNumId w:val="15"/>
  </w:num>
  <w:num w:numId="22" w16cid:durableId="935594583">
    <w:abstractNumId w:val="14"/>
  </w:num>
  <w:num w:numId="23" w16cid:durableId="1013267459">
    <w:abstractNumId w:val="10"/>
  </w:num>
  <w:num w:numId="24" w16cid:durableId="32736405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NKgFAGpv5ZwtAAAA"/>
  </w:docVars>
  <w:rsids>
    <w:rsidRoot w:val="000E414A"/>
    <w:rsid w:val="00000B51"/>
    <w:rsid w:val="000027C0"/>
    <w:rsid w:val="000052FB"/>
    <w:rsid w:val="00005A19"/>
    <w:rsid w:val="00007AFA"/>
    <w:rsid w:val="000117CB"/>
    <w:rsid w:val="000142E1"/>
    <w:rsid w:val="000270BD"/>
    <w:rsid w:val="0003148D"/>
    <w:rsid w:val="00031EEC"/>
    <w:rsid w:val="00034D23"/>
    <w:rsid w:val="00051566"/>
    <w:rsid w:val="000562A9"/>
    <w:rsid w:val="00060CFA"/>
    <w:rsid w:val="00062A9A"/>
    <w:rsid w:val="00062B1F"/>
    <w:rsid w:val="00062E51"/>
    <w:rsid w:val="00065058"/>
    <w:rsid w:val="0007151B"/>
    <w:rsid w:val="00071C3E"/>
    <w:rsid w:val="00086C39"/>
    <w:rsid w:val="000913B0"/>
    <w:rsid w:val="000A03B2"/>
    <w:rsid w:val="000A75BB"/>
    <w:rsid w:val="000B500F"/>
    <w:rsid w:val="000C7411"/>
    <w:rsid w:val="000D0268"/>
    <w:rsid w:val="000D34BE"/>
    <w:rsid w:val="000E0B3C"/>
    <w:rsid w:val="000E102F"/>
    <w:rsid w:val="000E36F1"/>
    <w:rsid w:val="000E3A73"/>
    <w:rsid w:val="000E414A"/>
    <w:rsid w:val="000E75FD"/>
    <w:rsid w:val="000F093C"/>
    <w:rsid w:val="000F2E19"/>
    <w:rsid w:val="000F787B"/>
    <w:rsid w:val="00100322"/>
    <w:rsid w:val="0012091F"/>
    <w:rsid w:val="00126BC2"/>
    <w:rsid w:val="001308B6"/>
    <w:rsid w:val="0013121F"/>
    <w:rsid w:val="00131FE6"/>
    <w:rsid w:val="0013263F"/>
    <w:rsid w:val="001331DF"/>
    <w:rsid w:val="00134DE4"/>
    <w:rsid w:val="0014034D"/>
    <w:rsid w:val="00140FE3"/>
    <w:rsid w:val="00144D16"/>
    <w:rsid w:val="00150E59"/>
    <w:rsid w:val="00152ADB"/>
    <w:rsid w:val="00152DE3"/>
    <w:rsid w:val="00162B3E"/>
    <w:rsid w:val="00164CF9"/>
    <w:rsid w:val="001667A6"/>
    <w:rsid w:val="001672E9"/>
    <w:rsid w:val="00171D26"/>
    <w:rsid w:val="0017607F"/>
    <w:rsid w:val="0017755E"/>
    <w:rsid w:val="00181354"/>
    <w:rsid w:val="0018171E"/>
    <w:rsid w:val="00184AD6"/>
    <w:rsid w:val="001A4AF7"/>
    <w:rsid w:val="001A6C6B"/>
    <w:rsid w:val="001B0349"/>
    <w:rsid w:val="001B1E93"/>
    <w:rsid w:val="001B65C1"/>
    <w:rsid w:val="001C1473"/>
    <w:rsid w:val="001C260F"/>
    <w:rsid w:val="001C5C3A"/>
    <w:rsid w:val="001C684B"/>
    <w:rsid w:val="001D0CFB"/>
    <w:rsid w:val="001D21AF"/>
    <w:rsid w:val="001D53FC"/>
    <w:rsid w:val="001D7C67"/>
    <w:rsid w:val="001E688D"/>
    <w:rsid w:val="001F2AA1"/>
    <w:rsid w:val="001F42A5"/>
    <w:rsid w:val="001F67FE"/>
    <w:rsid w:val="001F7A22"/>
    <w:rsid w:val="001F7B9D"/>
    <w:rsid w:val="00201C93"/>
    <w:rsid w:val="00216803"/>
    <w:rsid w:val="00216FF0"/>
    <w:rsid w:val="00217563"/>
    <w:rsid w:val="00221023"/>
    <w:rsid w:val="002224B4"/>
    <w:rsid w:val="00223AAA"/>
    <w:rsid w:val="00226D9E"/>
    <w:rsid w:val="00227BAA"/>
    <w:rsid w:val="002447EF"/>
    <w:rsid w:val="00251550"/>
    <w:rsid w:val="00263B05"/>
    <w:rsid w:val="0027221A"/>
    <w:rsid w:val="00275B61"/>
    <w:rsid w:val="00280FAF"/>
    <w:rsid w:val="00282656"/>
    <w:rsid w:val="00282DFF"/>
    <w:rsid w:val="002931C1"/>
    <w:rsid w:val="00295D0B"/>
    <w:rsid w:val="00296B83"/>
    <w:rsid w:val="002A1633"/>
    <w:rsid w:val="002A3153"/>
    <w:rsid w:val="002B4015"/>
    <w:rsid w:val="002B78CE"/>
    <w:rsid w:val="002C2FB6"/>
    <w:rsid w:val="002D2FF5"/>
    <w:rsid w:val="002D5AE2"/>
    <w:rsid w:val="002E5FA7"/>
    <w:rsid w:val="002F3309"/>
    <w:rsid w:val="002F358B"/>
    <w:rsid w:val="003008CE"/>
    <w:rsid w:val="003009B7"/>
    <w:rsid w:val="00300A86"/>
    <w:rsid w:val="00300E56"/>
    <w:rsid w:val="0030152C"/>
    <w:rsid w:val="0030469C"/>
    <w:rsid w:val="00310838"/>
    <w:rsid w:val="00313314"/>
    <w:rsid w:val="0032156A"/>
    <w:rsid w:val="00321CA6"/>
    <w:rsid w:val="00323763"/>
    <w:rsid w:val="00323C5F"/>
    <w:rsid w:val="00332260"/>
    <w:rsid w:val="00334C09"/>
    <w:rsid w:val="00337273"/>
    <w:rsid w:val="00356F1B"/>
    <w:rsid w:val="00357AE1"/>
    <w:rsid w:val="00363056"/>
    <w:rsid w:val="003653B7"/>
    <w:rsid w:val="003671FC"/>
    <w:rsid w:val="003723D4"/>
    <w:rsid w:val="00376193"/>
    <w:rsid w:val="00381905"/>
    <w:rsid w:val="00384CC8"/>
    <w:rsid w:val="003871FD"/>
    <w:rsid w:val="003A1E30"/>
    <w:rsid w:val="003A1EEE"/>
    <w:rsid w:val="003A2829"/>
    <w:rsid w:val="003A7D1C"/>
    <w:rsid w:val="003B304B"/>
    <w:rsid w:val="003B3146"/>
    <w:rsid w:val="003B49CD"/>
    <w:rsid w:val="003D1E02"/>
    <w:rsid w:val="003F015E"/>
    <w:rsid w:val="00400414"/>
    <w:rsid w:val="00406446"/>
    <w:rsid w:val="004068E7"/>
    <w:rsid w:val="0041242C"/>
    <w:rsid w:val="004134D0"/>
    <w:rsid w:val="00413B8F"/>
    <w:rsid w:val="0041446B"/>
    <w:rsid w:val="0044071E"/>
    <w:rsid w:val="0044329C"/>
    <w:rsid w:val="004474A8"/>
    <w:rsid w:val="00453E24"/>
    <w:rsid w:val="00457055"/>
    <w:rsid w:val="00457456"/>
    <w:rsid w:val="004577FE"/>
    <w:rsid w:val="00457B9C"/>
    <w:rsid w:val="0046164A"/>
    <w:rsid w:val="004628D2"/>
    <w:rsid w:val="00462DCD"/>
    <w:rsid w:val="004648AD"/>
    <w:rsid w:val="004703A9"/>
    <w:rsid w:val="004760DE"/>
    <w:rsid w:val="004763D7"/>
    <w:rsid w:val="004903D6"/>
    <w:rsid w:val="00491C9D"/>
    <w:rsid w:val="004940EF"/>
    <w:rsid w:val="0049791B"/>
    <w:rsid w:val="004A004E"/>
    <w:rsid w:val="004A24CF"/>
    <w:rsid w:val="004C1FE7"/>
    <w:rsid w:val="004C2C19"/>
    <w:rsid w:val="004C3D1D"/>
    <w:rsid w:val="004C3D84"/>
    <w:rsid w:val="004C55C5"/>
    <w:rsid w:val="004C5886"/>
    <w:rsid w:val="004C7913"/>
    <w:rsid w:val="004D16CC"/>
    <w:rsid w:val="004E25B6"/>
    <w:rsid w:val="004E4DD6"/>
    <w:rsid w:val="004F5E36"/>
    <w:rsid w:val="00507B47"/>
    <w:rsid w:val="00507BEF"/>
    <w:rsid w:val="00507CC9"/>
    <w:rsid w:val="005119A5"/>
    <w:rsid w:val="005278B7"/>
    <w:rsid w:val="00532016"/>
    <w:rsid w:val="005346C8"/>
    <w:rsid w:val="005375F4"/>
    <w:rsid w:val="005419F4"/>
    <w:rsid w:val="005424FC"/>
    <w:rsid w:val="00543E7D"/>
    <w:rsid w:val="00547A68"/>
    <w:rsid w:val="005531C9"/>
    <w:rsid w:val="00554879"/>
    <w:rsid w:val="0056246F"/>
    <w:rsid w:val="00570063"/>
    <w:rsid w:val="00570C43"/>
    <w:rsid w:val="0058306B"/>
    <w:rsid w:val="00591C77"/>
    <w:rsid w:val="00592274"/>
    <w:rsid w:val="005973F2"/>
    <w:rsid w:val="005A0BCC"/>
    <w:rsid w:val="005B2110"/>
    <w:rsid w:val="005B350B"/>
    <w:rsid w:val="005B61E6"/>
    <w:rsid w:val="005C77E1"/>
    <w:rsid w:val="005D668A"/>
    <w:rsid w:val="005D6A2F"/>
    <w:rsid w:val="005E0592"/>
    <w:rsid w:val="005E1A82"/>
    <w:rsid w:val="005E63C8"/>
    <w:rsid w:val="005E794C"/>
    <w:rsid w:val="005F0A28"/>
    <w:rsid w:val="005F0E5E"/>
    <w:rsid w:val="00600535"/>
    <w:rsid w:val="00600927"/>
    <w:rsid w:val="006055F4"/>
    <w:rsid w:val="00605784"/>
    <w:rsid w:val="00610CD6"/>
    <w:rsid w:val="00613FBA"/>
    <w:rsid w:val="00616425"/>
    <w:rsid w:val="00620DEE"/>
    <w:rsid w:val="00621F92"/>
    <w:rsid w:val="0062280A"/>
    <w:rsid w:val="006231E1"/>
    <w:rsid w:val="00625639"/>
    <w:rsid w:val="00631B33"/>
    <w:rsid w:val="0064184D"/>
    <w:rsid w:val="006422CC"/>
    <w:rsid w:val="00651D18"/>
    <w:rsid w:val="006551CB"/>
    <w:rsid w:val="0065665C"/>
    <w:rsid w:val="00660E3E"/>
    <w:rsid w:val="00661F4E"/>
    <w:rsid w:val="00662E74"/>
    <w:rsid w:val="00667CEA"/>
    <w:rsid w:val="0067569E"/>
    <w:rsid w:val="00680C23"/>
    <w:rsid w:val="00683E23"/>
    <w:rsid w:val="00693766"/>
    <w:rsid w:val="00693916"/>
    <w:rsid w:val="006A3281"/>
    <w:rsid w:val="006A6DE5"/>
    <w:rsid w:val="006B3B80"/>
    <w:rsid w:val="006B4888"/>
    <w:rsid w:val="006C2E45"/>
    <w:rsid w:val="006C359C"/>
    <w:rsid w:val="006C5579"/>
    <w:rsid w:val="006D0554"/>
    <w:rsid w:val="006D14E9"/>
    <w:rsid w:val="006D60A9"/>
    <w:rsid w:val="006D6E8B"/>
    <w:rsid w:val="006D7209"/>
    <w:rsid w:val="006E08DB"/>
    <w:rsid w:val="006E737D"/>
    <w:rsid w:val="006F4CC6"/>
    <w:rsid w:val="00707DD1"/>
    <w:rsid w:val="00713973"/>
    <w:rsid w:val="00720A24"/>
    <w:rsid w:val="007279FF"/>
    <w:rsid w:val="00732386"/>
    <w:rsid w:val="0073514D"/>
    <w:rsid w:val="00742CF1"/>
    <w:rsid w:val="007447F3"/>
    <w:rsid w:val="0075394D"/>
    <w:rsid w:val="0075499F"/>
    <w:rsid w:val="00756A06"/>
    <w:rsid w:val="007661C8"/>
    <w:rsid w:val="0077098D"/>
    <w:rsid w:val="00785BF9"/>
    <w:rsid w:val="00787D4F"/>
    <w:rsid w:val="007931FA"/>
    <w:rsid w:val="007A1EB6"/>
    <w:rsid w:val="007A2A86"/>
    <w:rsid w:val="007A4861"/>
    <w:rsid w:val="007A79F5"/>
    <w:rsid w:val="007A7BBA"/>
    <w:rsid w:val="007B0C50"/>
    <w:rsid w:val="007B48F9"/>
    <w:rsid w:val="007C1A43"/>
    <w:rsid w:val="007C5D3D"/>
    <w:rsid w:val="007C65C2"/>
    <w:rsid w:val="007D0951"/>
    <w:rsid w:val="007D610D"/>
    <w:rsid w:val="007E141A"/>
    <w:rsid w:val="007F3E5D"/>
    <w:rsid w:val="007F3EF4"/>
    <w:rsid w:val="0080013E"/>
    <w:rsid w:val="00801759"/>
    <w:rsid w:val="0080784A"/>
    <w:rsid w:val="00813288"/>
    <w:rsid w:val="00813980"/>
    <w:rsid w:val="0081484F"/>
    <w:rsid w:val="008168FC"/>
    <w:rsid w:val="008175D2"/>
    <w:rsid w:val="00824943"/>
    <w:rsid w:val="00830996"/>
    <w:rsid w:val="008345F1"/>
    <w:rsid w:val="00865B07"/>
    <w:rsid w:val="008667EA"/>
    <w:rsid w:val="008702F9"/>
    <w:rsid w:val="0087637F"/>
    <w:rsid w:val="00892AD5"/>
    <w:rsid w:val="008A1512"/>
    <w:rsid w:val="008C1649"/>
    <w:rsid w:val="008C4620"/>
    <w:rsid w:val="008D32B9"/>
    <w:rsid w:val="008D433B"/>
    <w:rsid w:val="008D4A16"/>
    <w:rsid w:val="008E5401"/>
    <w:rsid w:val="008E566E"/>
    <w:rsid w:val="0090161A"/>
    <w:rsid w:val="00901EB6"/>
    <w:rsid w:val="009041F8"/>
    <w:rsid w:val="00904C62"/>
    <w:rsid w:val="00913CCA"/>
    <w:rsid w:val="00922BA8"/>
    <w:rsid w:val="00922CA2"/>
    <w:rsid w:val="00924DAC"/>
    <w:rsid w:val="00927058"/>
    <w:rsid w:val="00933F04"/>
    <w:rsid w:val="00942750"/>
    <w:rsid w:val="009450CE"/>
    <w:rsid w:val="009459BB"/>
    <w:rsid w:val="00947179"/>
    <w:rsid w:val="00947D46"/>
    <w:rsid w:val="0095164B"/>
    <w:rsid w:val="00952E3D"/>
    <w:rsid w:val="00954090"/>
    <w:rsid w:val="00956861"/>
    <w:rsid w:val="009573E7"/>
    <w:rsid w:val="00957FED"/>
    <w:rsid w:val="00960ACF"/>
    <w:rsid w:val="00963E05"/>
    <w:rsid w:val="00964A45"/>
    <w:rsid w:val="00967843"/>
    <w:rsid w:val="00967D54"/>
    <w:rsid w:val="00971028"/>
    <w:rsid w:val="0097580F"/>
    <w:rsid w:val="00993B84"/>
    <w:rsid w:val="00994C6A"/>
    <w:rsid w:val="00996483"/>
    <w:rsid w:val="00996F5A"/>
    <w:rsid w:val="009B041A"/>
    <w:rsid w:val="009B11B4"/>
    <w:rsid w:val="009C37C3"/>
    <w:rsid w:val="009C5289"/>
    <w:rsid w:val="009C7C86"/>
    <w:rsid w:val="009D2FF7"/>
    <w:rsid w:val="009D5E6D"/>
    <w:rsid w:val="009E7884"/>
    <w:rsid w:val="009E788A"/>
    <w:rsid w:val="009F0E08"/>
    <w:rsid w:val="009F4EC9"/>
    <w:rsid w:val="009F6323"/>
    <w:rsid w:val="00A02B23"/>
    <w:rsid w:val="00A079AE"/>
    <w:rsid w:val="00A1763D"/>
    <w:rsid w:val="00A17CEC"/>
    <w:rsid w:val="00A27EF0"/>
    <w:rsid w:val="00A35D56"/>
    <w:rsid w:val="00A42361"/>
    <w:rsid w:val="00A50B20"/>
    <w:rsid w:val="00A51390"/>
    <w:rsid w:val="00A60D13"/>
    <w:rsid w:val="00A641C5"/>
    <w:rsid w:val="00A6626E"/>
    <w:rsid w:val="00A7223D"/>
    <w:rsid w:val="00A72745"/>
    <w:rsid w:val="00A7301A"/>
    <w:rsid w:val="00A76EFC"/>
    <w:rsid w:val="00A800AA"/>
    <w:rsid w:val="00A87D50"/>
    <w:rsid w:val="00A91010"/>
    <w:rsid w:val="00A97F29"/>
    <w:rsid w:val="00AA433C"/>
    <w:rsid w:val="00AA702E"/>
    <w:rsid w:val="00AA7D26"/>
    <w:rsid w:val="00AB0964"/>
    <w:rsid w:val="00AB1D4F"/>
    <w:rsid w:val="00AB3F7E"/>
    <w:rsid w:val="00AB5011"/>
    <w:rsid w:val="00AC696D"/>
    <w:rsid w:val="00AC7368"/>
    <w:rsid w:val="00AD16B9"/>
    <w:rsid w:val="00AD7B83"/>
    <w:rsid w:val="00AE377D"/>
    <w:rsid w:val="00AF0EBA"/>
    <w:rsid w:val="00AF2463"/>
    <w:rsid w:val="00B02C8A"/>
    <w:rsid w:val="00B147E8"/>
    <w:rsid w:val="00B17FBD"/>
    <w:rsid w:val="00B20043"/>
    <w:rsid w:val="00B20A18"/>
    <w:rsid w:val="00B22B36"/>
    <w:rsid w:val="00B253A2"/>
    <w:rsid w:val="00B315A6"/>
    <w:rsid w:val="00B31813"/>
    <w:rsid w:val="00B33365"/>
    <w:rsid w:val="00B3781F"/>
    <w:rsid w:val="00B57B36"/>
    <w:rsid w:val="00B57E6F"/>
    <w:rsid w:val="00B62DF4"/>
    <w:rsid w:val="00B67C67"/>
    <w:rsid w:val="00B71EB5"/>
    <w:rsid w:val="00B722B5"/>
    <w:rsid w:val="00B86361"/>
    <w:rsid w:val="00B8686D"/>
    <w:rsid w:val="00B93F69"/>
    <w:rsid w:val="00B95D63"/>
    <w:rsid w:val="00BB1DDC"/>
    <w:rsid w:val="00BC164E"/>
    <w:rsid w:val="00BC30C9"/>
    <w:rsid w:val="00BC5D8E"/>
    <w:rsid w:val="00BD077D"/>
    <w:rsid w:val="00BE3E58"/>
    <w:rsid w:val="00BF13CE"/>
    <w:rsid w:val="00BF5E3D"/>
    <w:rsid w:val="00C01616"/>
    <w:rsid w:val="00C0162B"/>
    <w:rsid w:val="00C068ED"/>
    <w:rsid w:val="00C22E0C"/>
    <w:rsid w:val="00C345B1"/>
    <w:rsid w:val="00C40142"/>
    <w:rsid w:val="00C52C3C"/>
    <w:rsid w:val="00C55F1A"/>
    <w:rsid w:val="00C57182"/>
    <w:rsid w:val="00C57863"/>
    <w:rsid w:val="00C640AF"/>
    <w:rsid w:val="00C64B63"/>
    <w:rsid w:val="00C655FD"/>
    <w:rsid w:val="00C75407"/>
    <w:rsid w:val="00C841C6"/>
    <w:rsid w:val="00C84878"/>
    <w:rsid w:val="00C870A8"/>
    <w:rsid w:val="00C94434"/>
    <w:rsid w:val="00CA0D75"/>
    <w:rsid w:val="00CA1C95"/>
    <w:rsid w:val="00CA5A9C"/>
    <w:rsid w:val="00CA6EA4"/>
    <w:rsid w:val="00CC4C20"/>
    <w:rsid w:val="00CD3517"/>
    <w:rsid w:val="00CD4979"/>
    <w:rsid w:val="00CD5FE2"/>
    <w:rsid w:val="00CD697D"/>
    <w:rsid w:val="00CE0A30"/>
    <w:rsid w:val="00CE69F0"/>
    <w:rsid w:val="00CE7C68"/>
    <w:rsid w:val="00D02B4C"/>
    <w:rsid w:val="00D040C4"/>
    <w:rsid w:val="00D10689"/>
    <w:rsid w:val="00D20AD1"/>
    <w:rsid w:val="00D2582C"/>
    <w:rsid w:val="00D41990"/>
    <w:rsid w:val="00D457E9"/>
    <w:rsid w:val="00D46B7E"/>
    <w:rsid w:val="00D5531B"/>
    <w:rsid w:val="00D57C84"/>
    <w:rsid w:val="00D57DCF"/>
    <w:rsid w:val="00D6057D"/>
    <w:rsid w:val="00D71640"/>
    <w:rsid w:val="00D836C5"/>
    <w:rsid w:val="00D83F5F"/>
    <w:rsid w:val="00D84576"/>
    <w:rsid w:val="00D86542"/>
    <w:rsid w:val="00D86A08"/>
    <w:rsid w:val="00D95526"/>
    <w:rsid w:val="00D96F51"/>
    <w:rsid w:val="00DA0CC0"/>
    <w:rsid w:val="00DA1399"/>
    <w:rsid w:val="00DA24C6"/>
    <w:rsid w:val="00DA4D7B"/>
    <w:rsid w:val="00DB3A3C"/>
    <w:rsid w:val="00DB4C81"/>
    <w:rsid w:val="00DB62F8"/>
    <w:rsid w:val="00DB685B"/>
    <w:rsid w:val="00DB795B"/>
    <w:rsid w:val="00DC2840"/>
    <w:rsid w:val="00DC73EE"/>
    <w:rsid w:val="00DD271C"/>
    <w:rsid w:val="00DE264A"/>
    <w:rsid w:val="00DF5072"/>
    <w:rsid w:val="00E001E1"/>
    <w:rsid w:val="00E02D18"/>
    <w:rsid w:val="00E041E7"/>
    <w:rsid w:val="00E23CA1"/>
    <w:rsid w:val="00E3539A"/>
    <w:rsid w:val="00E409A8"/>
    <w:rsid w:val="00E424CE"/>
    <w:rsid w:val="00E44948"/>
    <w:rsid w:val="00E50C12"/>
    <w:rsid w:val="00E569C2"/>
    <w:rsid w:val="00E65B91"/>
    <w:rsid w:val="00E66D62"/>
    <w:rsid w:val="00E70272"/>
    <w:rsid w:val="00E7209D"/>
    <w:rsid w:val="00E72EAD"/>
    <w:rsid w:val="00E74F44"/>
    <w:rsid w:val="00E7520C"/>
    <w:rsid w:val="00E77192"/>
    <w:rsid w:val="00E77223"/>
    <w:rsid w:val="00E8528B"/>
    <w:rsid w:val="00E85B94"/>
    <w:rsid w:val="00E978D0"/>
    <w:rsid w:val="00EA4613"/>
    <w:rsid w:val="00EA5A79"/>
    <w:rsid w:val="00EA7F91"/>
    <w:rsid w:val="00EB0D85"/>
    <w:rsid w:val="00EB1523"/>
    <w:rsid w:val="00EB4FEC"/>
    <w:rsid w:val="00EB7C85"/>
    <w:rsid w:val="00EC0E49"/>
    <w:rsid w:val="00EC101F"/>
    <w:rsid w:val="00EC1D9F"/>
    <w:rsid w:val="00EE0131"/>
    <w:rsid w:val="00EE17B0"/>
    <w:rsid w:val="00EF06D9"/>
    <w:rsid w:val="00F1551C"/>
    <w:rsid w:val="00F27EE4"/>
    <w:rsid w:val="00F3049E"/>
    <w:rsid w:val="00F30C64"/>
    <w:rsid w:val="00F32BA2"/>
    <w:rsid w:val="00F32CDB"/>
    <w:rsid w:val="00F40D83"/>
    <w:rsid w:val="00F41EE4"/>
    <w:rsid w:val="00F507D5"/>
    <w:rsid w:val="00F565FE"/>
    <w:rsid w:val="00F63A70"/>
    <w:rsid w:val="00F63D8C"/>
    <w:rsid w:val="00F7534E"/>
    <w:rsid w:val="00F77AAC"/>
    <w:rsid w:val="00F81DA0"/>
    <w:rsid w:val="00F93EDF"/>
    <w:rsid w:val="00FA1802"/>
    <w:rsid w:val="00FA21D0"/>
    <w:rsid w:val="00FA5F5F"/>
    <w:rsid w:val="00FB0B38"/>
    <w:rsid w:val="00FB730C"/>
    <w:rsid w:val="00FC2695"/>
    <w:rsid w:val="00FC3E03"/>
    <w:rsid w:val="00FC3FC1"/>
    <w:rsid w:val="00FC77CF"/>
    <w:rsid w:val="00FD77A1"/>
    <w:rsid w:val="00FE3741"/>
    <w:rsid w:val="00FE46A2"/>
    <w:rsid w:val="00FF1636"/>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qFormat/>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styleId="PlaceholderText">
    <w:name w:val="Placeholder Text"/>
    <w:basedOn w:val="DefaultParagraphFont"/>
    <w:uiPriority w:val="99"/>
    <w:semiHidden/>
    <w:rsid w:val="00B95D63"/>
    <w:rPr>
      <w:color w:val="666666"/>
    </w:rPr>
  </w:style>
  <w:style w:type="character" w:styleId="UnresolvedMention">
    <w:name w:val="Unresolved Mention"/>
    <w:basedOn w:val="DefaultParagraphFont"/>
    <w:uiPriority w:val="99"/>
    <w:semiHidden/>
    <w:unhideWhenUsed/>
    <w:rsid w:val="00221023"/>
    <w:rPr>
      <w:color w:val="605E5C"/>
      <w:shd w:val="clear" w:color="auto" w:fill="E1DFDD"/>
    </w:rPr>
  </w:style>
  <w:style w:type="paragraph" w:styleId="Revision">
    <w:name w:val="Revision"/>
    <w:hidden/>
    <w:uiPriority w:val="99"/>
    <w:semiHidden/>
    <w:rsid w:val="00D57DCF"/>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06545">
      <w:bodyDiv w:val="1"/>
      <w:marLeft w:val="0"/>
      <w:marRight w:val="0"/>
      <w:marTop w:val="0"/>
      <w:marBottom w:val="0"/>
      <w:divBdr>
        <w:top w:val="none" w:sz="0" w:space="0" w:color="auto"/>
        <w:left w:val="none" w:sz="0" w:space="0" w:color="auto"/>
        <w:bottom w:val="none" w:sz="0" w:space="0" w:color="auto"/>
        <w:right w:val="none" w:sz="0" w:space="0" w:color="auto"/>
      </w:divBdr>
    </w:div>
    <w:div w:id="44063422">
      <w:bodyDiv w:val="1"/>
      <w:marLeft w:val="0"/>
      <w:marRight w:val="0"/>
      <w:marTop w:val="0"/>
      <w:marBottom w:val="0"/>
      <w:divBdr>
        <w:top w:val="none" w:sz="0" w:space="0" w:color="auto"/>
        <w:left w:val="none" w:sz="0" w:space="0" w:color="auto"/>
        <w:bottom w:val="none" w:sz="0" w:space="0" w:color="auto"/>
        <w:right w:val="none" w:sz="0" w:space="0" w:color="auto"/>
      </w:divBdr>
    </w:div>
    <w:div w:id="54470826">
      <w:bodyDiv w:val="1"/>
      <w:marLeft w:val="0"/>
      <w:marRight w:val="0"/>
      <w:marTop w:val="0"/>
      <w:marBottom w:val="0"/>
      <w:divBdr>
        <w:top w:val="none" w:sz="0" w:space="0" w:color="auto"/>
        <w:left w:val="none" w:sz="0" w:space="0" w:color="auto"/>
        <w:bottom w:val="none" w:sz="0" w:space="0" w:color="auto"/>
        <w:right w:val="none" w:sz="0" w:space="0" w:color="auto"/>
      </w:divBdr>
    </w:div>
    <w:div w:id="86536645">
      <w:bodyDiv w:val="1"/>
      <w:marLeft w:val="0"/>
      <w:marRight w:val="0"/>
      <w:marTop w:val="0"/>
      <w:marBottom w:val="0"/>
      <w:divBdr>
        <w:top w:val="none" w:sz="0" w:space="0" w:color="auto"/>
        <w:left w:val="none" w:sz="0" w:space="0" w:color="auto"/>
        <w:bottom w:val="none" w:sz="0" w:space="0" w:color="auto"/>
        <w:right w:val="none" w:sz="0" w:space="0" w:color="auto"/>
      </w:divBdr>
    </w:div>
    <w:div w:id="88282788">
      <w:bodyDiv w:val="1"/>
      <w:marLeft w:val="0"/>
      <w:marRight w:val="0"/>
      <w:marTop w:val="0"/>
      <w:marBottom w:val="0"/>
      <w:divBdr>
        <w:top w:val="none" w:sz="0" w:space="0" w:color="auto"/>
        <w:left w:val="none" w:sz="0" w:space="0" w:color="auto"/>
        <w:bottom w:val="none" w:sz="0" w:space="0" w:color="auto"/>
        <w:right w:val="none" w:sz="0" w:space="0" w:color="auto"/>
      </w:divBdr>
    </w:div>
    <w:div w:id="92289797">
      <w:bodyDiv w:val="1"/>
      <w:marLeft w:val="0"/>
      <w:marRight w:val="0"/>
      <w:marTop w:val="0"/>
      <w:marBottom w:val="0"/>
      <w:divBdr>
        <w:top w:val="none" w:sz="0" w:space="0" w:color="auto"/>
        <w:left w:val="none" w:sz="0" w:space="0" w:color="auto"/>
        <w:bottom w:val="none" w:sz="0" w:space="0" w:color="auto"/>
        <w:right w:val="none" w:sz="0" w:space="0" w:color="auto"/>
      </w:divBdr>
    </w:div>
    <w:div w:id="97069856">
      <w:bodyDiv w:val="1"/>
      <w:marLeft w:val="0"/>
      <w:marRight w:val="0"/>
      <w:marTop w:val="0"/>
      <w:marBottom w:val="0"/>
      <w:divBdr>
        <w:top w:val="none" w:sz="0" w:space="0" w:color="auto"/>
        <w:left w:val="none" w:sz="0" w:space="0" w:color="auto"/>
        <w:bottom w:val="none" w:sz="0" w:space="0" w:color="auto"/>
        <w:right w:val="none" w:sz="0" w:space="0" w:color="auto"/>
      </w:divBdr>
    </w:div>
    <w:div w:id="100344628">
      <w:bodyDiv w:val="1"/>
      <w:marLeft w:val="0"/>
      <w:marRight w:val="0"/>
      <w:marTop w:val="0"/>
      <w:marBottom w:val="0"/>
      <w:divBdr>
        <w:top w:val="none" w:sz="0" w:space="0" w:color="auto"/>
        <w:left w:val="none" w:sz="0" w:space="0" w:color="auto"/>
        <w:bottom w:val="none" w:sz="0" w:space="0" w:color="auto"/>
        <w:right w:val="none" w:sz="0" w:space="0" w:color="auto"/>
      </w:divBdr>
    </w:div>
    <w:div w:id="102506913">
      <w:bodyDiv w:val="1"/>
      <w:marLeft w:val="0"/>
      <w:marRight w:val="0"/>
      <w:marTop w:val="0"/>
      <w:marBottom w:val="0"/>
      <w:divBdr>
        <w:top w:val="none" w:sz="0" w:space="0" w:color="auto"/>
        <w:left w:val="none" w:sz="0" w:space="0" w:color="auto"/>
        <w:bottom w:val="none" w:sz="0" w:space="0" w:color="auto"/>
        <w:right w:val="none" w:sz="0" w:space="0" w:color="auto"/>
      </w:divBdr>
    </w:div>
    <w:div w:id="102580162">
      <w:bodyDiv w:val="1"/>
      <w:marLeft w:val="0"/>
      <w:marRight w:val="0"/>
      <w:marTop w:val="0"/>
      <w:marBottom w:val="0"/>
      <w:divBdr>
        <w:top w:val="none" w:sz="0" w:space="0" w:color="auto"/>
        <w:left w:val="none" w:sz="0" w:space="0" w:color="auto"/>
        <w:bottom w:val="none" w:sz="0" w:space="0" w:color="auto"/>
        <w:right w:val="none" w:sz="0" w:space="0" w:color="auto"/>
      </w:divBdr>
    </w:div>
    <w:div w:id="129400606">
      <w:bodyDiv w:val="1"/>
      <w:marLeft w:val="0"/>
      <w:marRight w:val="0"/>
      <w:marTop w:val="0"/>
      <w:marBottom w:val="0"/>
      <w:divBdr>
        <w:top w:val="none" w:sz="0" w:space="0" w:color="auto"/>
        <w:left w:val="none" w:sz="0" w:space="0" w:color="auto"/>
        <w:bottom w:val="none" w:sz="0" w:space="0" w:color="auto"/>
        <w:right w:val="none" w:sz="0" w:space="0" w:color="auto"/>
      </w:divBdr>
    </w:div>
    <w:div w:id="136773986">
      <w:bodyDiv w:val="1"/>
      <w:marLeft w:val="0"/>
      <w:marRight w:val="0"/>
      <w:marTop w:val="0"/>
      <w:marBottom w:val="0"/>
      <w:divBdr>
        <w:top w:val="none" w:sz="0" w:space="0" w:color="auto"/>
        <w:left w:val="none" w:sz="0" w:space="0" w:color="auto"/>
        <w:bottom w:val="none" w:sz="0" w:space="0" w:color="auto"/>
        <w:right w:val="none" w:sz="0" w:space="0" w:color="auto"/>
      </w:divBdr>
    </w:div>
    <w:div w:id="155001698">
      <w:bodyDiv w:val="1"/>
      <w:marLeft w:val="0"/>
      <w:marRight w:val="0"/>
      <w:marTop w:val="0"/>
      <w:marBottom w:val="0"/>
      <w:divBdr>
        <w:top w:val="none" w:sz="0" w:space="0" w:color="auto"/>
        <w:left w:val="none" w:sz="0" w:space="0" w:color="auto"/>
        <w:bottom w:val="none" w:sz="0" w:space="0" w:color="auto"/>
        <w:right w:val="none" w:sz="0" w:space="0" w:color="auto"/>
      </w:divBdr>
    </w:div>
    <w:div w:id="163280505">
      <w:bodyDiv w:val="1"/>
      <w:marLeft w:val="0"/>
      <w:marRight w:val="0"/>
      <w:marTop w:val="0"/>
      <w:marBottom w:val="0"/>
      <w:divBdr>
        <w:top w:val="none" w:sz="0" w:space="0" w:color="auto"/>
        <w:left w:val="none" w:sz="0" w:space="0" w:color="auto"/>
        <w:bottom w:val="none" w:sz="0" w:space="0" w:color="auto"/>
        <w:right w:val="none" w:sz="0" w:space="0" w:color="auto"/>
      </w:divBdr>
    </w:div>
    <w:div w:id="218322032">
      <w:bodyDiv w:val="1"/>
      <w:marLeft w:val="0"/>
      <w:marRight w:val="0"/>
      <w:marTop w:val="0"/>
      <w:marBottom w:val="0"/>
      <w:divBdr>
        <w:top w:val="none" w:sz="0" w:space="0" w:color="auto"/>
        <w:left w:val="none" w:sz="0" w:space="0" w:color="auto"/>
        <w:bottom w:val="none" w:sz="0" w:space="0" w:color="auto"/>
        <w:right w:val="none" w:sz="0" w:space="0" w:color="auto"/>
      </w:divBdr>
    </w:div>
    <w:div w:id="231545594">
      <w:bodyDiv w:val="1"/>
      <w:marLeft w:val="0"/>
      <w:marRight w:val="0"/>
      <w:marTop w:val="0"/>
      <w:marBottom w:val="0"/>
      <w:divBdr>
        <w:top w:val="none" w:sz="0" w:space="0" w:color="auto"/>
        <w:left w:val="none" w:sz="0" w:space="0" w:color="auto"/>
        <w:bottom w:val="none" w:sz="0" w:space="0" w:color="auto"/>
        <w:right w:val="none" w:sz="0" w:space="0" w:color="auto"/>
      </w:divBdr>
    </w:div>
    <w:div w:id="236062405">
      <w:bodyDiv w:val="1"/>
      <w:marLeft w:val="0"/>
      <w:marRight w:val="0"/>
      <w:marTop w:val="0"/>
      <w:marBottom w:val="0"/>
      <w:divBdr>
        <w:top w:val="none" w:sz="0" w:space="0" w:color="auto"/>
        <w:left w:val="none" w:sz="0" w:space="0" w:color="auto"/>
        <w:bottom w:val="none" w:sz="0" w:space="0" w:color="auto"/>
        <w:right w:val="none" w:sz="0" w:space="0" w:color="auto"/>
      </w:divBdr>
    </w:div>
    <w:div w:id="239796783">
      <w:bodyDiv w:val="1"/>
      <w:marLeft w:val="0"/>
      <w:marRight w:val="0"/>
      <w:marTop w:val="0"/>
      <w:marBottom w:val="0"/>
      <w:divBdr>
        <w:top w:val="none" w:sz="0" w:space="0" w:color="auto"/>
        <w:left w:val="none" w:sz="0" w:space="0" w:color="auto"/>
        <w:bottom w:val="none" w:sz="0" w:space="0" w:color="auto"/>
        <w:right w:val="none" w:sz="0" w:space="0" w:color="auto"/>
      </w:divBdr>
    </w:div>
    <w:div w:id="261882835">
      <w:bodyDiv w:val="1"/>
      <w:marLeft w:val="0"/>
      <w:marRight w:val="0"/>
      <w:marTop w:val="0"/>
      <w:marBottom w:val="0"/>
      <w:divBdr>
        <w:top w:val="none" w:sz="0" w:space="0" w:color="auto"/>
        <w:left w:val="none" w:sz="0" w:space="0" w:color="auto"/>
        <w:bottom w:val="none" w:sz="0" w:space="0" w:color="auto"/>
        <w:right w:val="none" w:sz="0" w:space="0" w:color="auto"/>
      </w:divBdr>
    </w:div>
    <w:div w:id="365645344">
      <w:bodyDiv w:val="1"/>
      <w:marLeft w:val="0"/>
      <w:marRight w:val="0"/>
      <w:marTop w:val="0"/>
      <w:marBottom w:val="0"/>
      <w:divBdr>
        <w:top w:val="none" w:sz="0" w:space="0" w:color="auto"/>
        <w:left w:val="none" w:sz="0" w:space="0" w:color="auto"/>
        <w:bottom w:val="none" w:sz="0" w:space="0" w:color="auto"/>
        <w:right w:val="none" w:sz="0" w:space="0" w:color="auto"/>
      </w:divBdr>
    </w:div>
    <w:div w:id="380400611">
      <w:bodyDiv w:val="1"/>
      <w:marLeft w:val="0"/>
      <w:marRight w:val="0"/>
      <w:marTop w:val="0"/>
      <w:marBottom w:val="0"/>
      <w:divBdr>
        <w:top w:val="none" w:sz="0" w:space="0" w:color="auto"/>
        <w:left w:val="none" w:sz="0" w:space="0" w:color="auto"/>
        <w:bottom w:val="none" w:sz="0" w:space="0" w:color="auto"/>
        <w:right w:val="none" w:sz="0" w:space="0" w:color="auto"/>
      </w:divBdr>
    </w:div>
    <w:div w:id="418018458">
      <w:bodyDiv w:val="1"/>
      <w:marLeft w:val="0"/>
      <w:marRight w:val="0"/>
      <w:marTop w:val="0"/>
      <w:marBottom w:val="0"/>
      <w:divBdr>
        <w:top w:val="none" w:sz="0" w:space="0" w:color="auto"/>
        <w:left w:val="none" w:sz="0" w:space="0" w:color="auto"/>
        <w:bottom w:val="none" w:sz="0" w:space="0" w:color="auto"/>
        <w:right w:val="none" w:sz="0" w:space="0" w:color="auto"/>
      </w:divBdr>
    </w:div>
    <w:div w:id="434252269">
      <w:bodyDiv w:val="1"/>
      <w:marLeft w:val="0"/>
      <w:marRight w:val="0"/>
      <w:marTop w:val="0"/>
      <w:marBottom w:val="0"/>
      <w:divBdr>
        <w:top w:val="none" w:sz="0" w:space="0" w:color="auto"/>
        <w:left w:val="none" w:sz="0" w:space="0" w:color="auto"/>
        <w:bottom w:val="none" w:sz="0" w:space="0" w:color="auto"/>
        <w:right w:val="none" w:sz="0" w:space="0" w:color="auto"/>
      </w:divBdr>
    </w:div>
    <w:div w:id="457837636">
      <w:bodyDiv w:val="1"/>
      <w:marLeft w:val="0"/>
      <w:marRight w:val="0"/>
      <w:marTop w:val="0"/>
      <w:marBottom w:val="0"/>
      <w:divBdr>
        <w:top w:val="none" w:sz="0" w:space="0" w:color="auto"/>
        <w:left w:val="none" w:sz="0" w:space="0" w:color="auto"/>
        <w:bottom w:val="none" w:sz="0" w:space="0" w:color="auto"/>
        <w:right w:val="none" w:sz="0" w:space="0" w:color="auto"/>
      </w:divBdr>
    </w:div>
    <w:div w:id="487401047">
      <w:bodyDiv w:val="1"/>
      <w:marLeft w:val="0"/>
      <w:marRight w:val="0"/>
      <w:marTop w:val="0"/>
      <w:marBottom w:val="0"/>
      <w:divBdr>
        <w:top w:val="none" w:sz="0" w:space="0" w:color="auto"/>
        <w:left w:val="none" w:sz="0" w:space="0" w:color="auto"/>
        <w:bottom w:val="none" w:sz="0" w:space="0" w:color="auto"/>
        <w:right w:val="none" w:sz="0" w:space="0" w:color="auto"/>
      </w:divBdr>
    </w:div>
    <w:div w:id="524288635">
      <w:bodyDiv w:val="1"/>
      <w:marLeft w:val="0"/>
      <w:marRight w:val="0"/>
      <w:marTop w:val="0"/>
      <w:marBottom w:val="0"/>
      <w:divBdr>
        <w:top w:val="none" w:sz="0" w:space="0" w:color="auto"/>
        <w:left w:val="none" w:sz="0" w:space="0" w:color="auto"/>
        <w:bottom w:val="none" w:sz="0" w:space="0" w:color="auto"/>
        <w:right w:val="none" w:sz="0" w:space="0" w:color="auto"/>
      </w:divBdr>
    </w:div>
    <w:div w:id="531772379">
      <w:bodyDiv w:val="1"/>
      <w:marLeft w:val="0"/>
      <w:marRight w:val="0"/>
      <w:marTop w:val="0"/>
      <w:marBottom w:val="0"/>
      <w:divBdr>
        <w:top w:val="none" w:sz="0" w:space="0" w:color="auto"/>
        <w:left w:val="none" w:sz="0" w:space="0" w:color="auto"/>
        <w:bottom w:val="none" w:sz="0" w:space="0" w:color="auto"/>
        <w:right w:val="none" w:sz="0" w:space="0" w:color="auto"/>
      </w:divBdr>
    </w:div>
    <w:div w:id="585849031">
      <w:bodyDiv w:val="1"/>
      <w:marLeft w:val="0"/>
      <w:marRight w:val="0"/>
      <w:marTop w:val="0"/>
      <w:marBottom w:val="0"/>
      <w:divBdr>
        <w:top w:val="none" w:sz="0" w:space="0" w:color="auto"/>
        <w:left w:val="none" w:sz="0" w:space="0" w:color="auto"/>
        <w:bottom w:val="none" w:sz="0" w:space="0" w:color="auto"/>
        <w:right w:val="none" w:sz="0" w:space="0" w:color="auto"/>
      </w:divBdr>
    </w:div>
    <w:div w:id="619460577">
      <w:bodyDiv w:val="1"/>
      <w:marLeft w:val="0"/>
      <w:marRight w:val="0"/>
      <w:marTop w:val="0"/>
      <w:marBottom w:val="0"/>
      <w:divBdr>
        <w:top w:val="none" w:sz="0" w:space="0" w:color="auto"/>
        <w:left w:val="none" w:sz="0" w:space="0" w:color="auto"/>
        <w:bottom w:val="none" w:sz="0" w:space="0" w:color="auto"/>
        <w:right w:val="none" w:sz="0" w:space="0" w:color="auto"/>
      </w:divBdr>
    </w:div>
    <w:div w:id="624578979">
      <w:bodyDiv w:val="1"/>
      <w:marLeft w:val="0"/>
      <w:marRight w:val="0"/>
      <w:marTop w:val="0"/>
      <w:marBottom w:val="0"/>
      <w:divBdr>
        <w:top w:val="none" w:sz="0" w:space="0" w:color="auto"/>
        <w:left w:val="none" w:sz="0" w:space="0" w:color="auto"/>
        <w:bottom w:val="none" w:sz="0" w:space="0" w:color="auto"/>
        <w:right w:val="none" w:sz="0" w:space="0" w:color="auto"/>
      </w:divBdr>
    </w:div>
    <w:div w:id="691539523">
      <w:bodyDiv w:val="1"/>
      <w:marLeft w:val="0"/>
      <w:marRight w:val="0"/>
      <w:marTop w:val="0"/>
      <w:marBottom w:val="0"/>
      <w:divBdr>
        <w:top w:val="none" w:sz="0" w:space="0" w:color="auto"/>
        <w:left w:val="none" w:sz="0" w:space="0" w:color="auto"/>
        <w:bottom w:val="none" w:sz="0" w:space="0" w:color="auto"/>
        <w:right w:val="none" w:sz="0" w:space="0" w:color="auto"/>
      </w:divBdr>
    </w:div>
    <w:div w:id="738482015">
      <w:bodyDiv w:val="1"/>
      <w:marLeft w:val="0"/>
      <w:marRight w:val="0"/>
      <w:marTop w:val="0"/>
      <w:marBottom w:val="0"/>
      <w:divBdr>
        <w:top w:val="none" w:sz="0" w:space="0" w:color="auto"/>
        <w:left w:val="none" w:sz="0" w:space="0" w:color="auto"/>
        <w:bottom w:val="none" w:sz="0" w:space="0" w:color="auto"/>
        <w:right w:val="none" w:sz="0" w:space="0" w:color="auto"/>
      </w:divBdr>
    </w:div>
    <w:div w:id="739405264">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058056">
      <w:bodyDiv w:val="1"/>
      <w:marLeft w:val="0"/>
      <w:marRight w:val="0"/>
      <w:marTop w:val="0"/>
      <w:marBottom w:val="0"/>
      <w:divBdr>
        <w:top w:val="none" w:sz="0" w:space="0" w:color="auto"/>
        <w:left w:val="none" w:sz="0" w:space="0" w:color="auto"/>
        <w:bottom w:val="none" w:sz="0" w:space="0" w:color="auto"/>
        <w:right w:val="none" w:sz="0" w:space="0" w:color="auto"/>
      </w:divBdr>
    </w:div>
    <w:div w:id="86286763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695071">
      <w:bodyDiv w:val="1"/>
      <w:marLeft w:val="0"/>
      <w:marRight w:val="0"/>
      <w:marTop w:val="0"/>
      <w:marBottom w:val="0"/>
      <w:divBdr>
        <w:top w:val="none" w:sz="0" w:space="0" w:color="auto"/>
        <w:left w:val="none" w:sz="0" w:space="0" w:color="auto"/>
        <w:bottom w:val="none" w:sz="0" w:space="0" w:color="auto"/>
        <w:right w:val="none" w:sz="0" w:space="0" w:color="auto"/>
      </w:divBdr>
    </w:div>
    <w:div w:id="905577076">
      <w:bodyDiv w:val="1"/>
      <w:marLeft w:val="0"/>
      <w:marRight w:val="0"/>
      <w:marTop w:val="0"/>
      <w:marBottom w:val="0"/>
      <w:divBdr>
        <w:top w:val="none" w:sz="0" w:space="0" w:color="auto"/>
        <w:left w:val="none" w:sz="0" w:space="0" w:color="auto"/>
        <w:bottom w:val="none" w:sz="0" w:space="0" w:color="auto"/>
        <w:right w:val="none" w:sz="0" w:space="0" w:color="auto"/>
      </w:divBdr>
    </w:div>
    <w:div w:id="930041107">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73743">
      <w:bodyDiv w:val="1"/>
      <w:marLeft w:val="0"/>
      <w:marRight w:val="0"/>
      <w:marTop w:val="0"/>
      <w:marBottom w:val="0"/>
      <w:divBdr>
        <w:top w:val="none" w:sz="0" w:space="0" w:color="auto"/>
        <w:left w:val="none" w:sz="0" w:space="0" w:color="auto"/>
        <w:bottom w:val="none" w:sz="0" w:space="0" w:color="auto"/>
        <w:right w:val="none" w:sz="0" w:space="0" w:color="auto"/>
      </w:divBdr>
    </w:div>
    <w:div w:id="1035347461">
      <w:bodyDiv w:val="1"/>
      <w:marLeft w:val="0"/>
      <w:marRight w:val="0"/>
      <w:marTop w:val="0"/>
      <w:marBottom w:val="0"/>
      <w:divBdr>
        <w:top w:val="none" w:sz="0" w:space="0" w:color="auto"/>
        <w:left w:val="none" w:sz="0" w:space="0" w:color="auto"/>
        <w:bottom w:val="none" w:sz="0" w:space="0" w:color="auto"/>
        <w:right w:val="none" w:sz="0" w:space="0" w:color="auto"/>
      </w:divBdr>
    </w:div>
    <w:div w:id="1072045324">
      <w:bodyDiv w:val="1"/>
      <w:marLeft w:val="0"/>
      <w:marRight w:val="0"/>
      <w:marTop w:val="0"/>
      <w:marBottom w:val="0"/>
      <w:divBdr>
        <w:top w:val="none" w:sz="0" w:space="0" w:color="auto"/>
        <w:left w:val="none" w:sz="0" w:space="0" w:color="auto"/>
        <w:bottom w:val="none" w:sz="0" w:space="0" w:color="auto"/>
        <w:right w:val="none" w:sz="0" w:space="0" w:color="auto"/>
      </w:divBdr>
    </w:div>
    <w:div w:id="1084838519">
      <w:bodyDiv w:val="1"/>
      <w:marLeft w:val="0"/>
      <w:marRight w:val="0"/>
      <w:marTop w:val="0"/>
      <w:marBottom w:val="0"/>
      <w:divBdr>
        <w:top w:val="none" w:sz="0" w:space="0" w:color="auto"/>
        <w:left w:val="none" w:sz="0" w:space="0" w:color="auto"/>
        <w:bottom w:val="none" w:sz="0" w:space="0" w:color="auto"/>
        <w:right w:val="none" w:sz="0" w:space="0" w:color="auto"/>
      </w:divBdr>
    </w:div>
    <w:div w:id="1092386666">
      <w:bodyDiv w:val="1"/>
      <w:marLeft w:val="0"/>
      <w:marRight w:val="0"/>
      <w:marTop w:val="0"/>
      <w:marBottom w:val="0"/>
      <w:divBdr>
        <w:top w:val="none" w:sz="0" w:space="0" w:color="auto"/>
        <w:left w:val="none" w:sz="0" w:space="0" w:color="auto"/>
        <w:bottom w:val="none" w:sz="0" w:space="0" w:color="auto"/>
        <w:right w:val="none" w:sz="0" w:space="0" w:color="auto"/>
      </w:divBdr>
    </w:div>
    <w:div w:id="1144735977">
      <w:bodyDiv w:val="1"/>
      <w:marLeft w:val="0"/>
      <w:marRight w:val="0"/>
      <w:marTop w:val="0"/>
      <w:marBottom w:val="0"/>
      <w:divBdr>
        <w:top w:val="none" w:sz="0" w:space="0" w:color="auto"/>
        <w:left w:val="none" w:sz="0" w:space="0" w:color="auto"/>
        <w:bottom w:val="none" w:sz="0" w:space="0" w:color="auto"/>
        <w:right w:val="none" w:sz="0" w:space="0" w:color="auto"/>
      </w:divBdr>
    </w:div>
    <w:div w:id="1181892336">
      <w:bodyDiv w:val="1"/>
      <w:marLeft w:val="0"/>
      <w:marRight w:val="0"/>
      <w:marTop w:val="0"/>
      <w:marBottom w:val="0"/>
      <w:divBdr>
        <w:top w:val="none" w:sz="0" w:space="0" w:color="auto"/>
        <w:left w:val="none" w:sz="0" w:space="0" w:color="auto"/>
        <w:bottom w:val="none" w:sz="0" w:space="0" w:color="auto"/>
        <w:right w:val="none" w:sz="0" w:space="0" w:color="auto"/>
      </w:divBdr>
    </w:div>
    <w:div w:id="1190026906">
      <w:bodyDiv w:val="1"/>
      <w:marLeft w:val="0"/>
      <w:marRight w:val="0"/>
      <w:marTop w:val="0"/>
      <w:marBottom w:val="0"/>
      <w:divBdr>
        <w:top w:val="none" w:sz="0" w:space="0" w:color="auto"/>
        <w:left w:val="none" w:sz="0" w:space="0" w:color="auto"/>
        <w:bottom w:val="none" w:sz="0" w:space="0" w:color="auto"/>
        <w:right w:val="none" w:sz="0" w:space="0" w:color="auto"/>
      </w:divBdr>
    </w:div>
    <w:div w:id="1196039036">
      <w:bodyDiv w:val="1"/>
      <w:marLeft w:val="0"/>
      <w:marRight w:val="0"/>
      <w:marTop w:val="0"/>
      <w:marBottom w:val="0"/>
      <w:divBdr>
        <w:top w:val="none" w:sz="0" w:space="0" w:color="auto"/>
        <w:left w:val="none" w:sz="0" w:space="0" w:color="auto"/>
        <w:bottom w:val="none" w:sz="0" w:space="0" w:color="auto"/>
        <w:right w:val="none" w:sz="0" w:space="0" w:color="auto"/>
      </w:divBdr>
    </w:div>
    <w:div w:id="1197309705">
      <w:bodyDiv w:val="1"/>
      <w:marLeft w:val="0"/>
      <w:marRight w:val="0"/>
      <w:marTop w:val="0"/>
      <w:marBottom w:val="0"/>
      <w:divBdr>
        <w:top w:val="none" w:sz="0" w:space="0" w:color="auto"/>
        <w:left w:val="none" w:sz="0" w:space="0" w:color="auto"/>
        <w:bottom w:val="none" w:sz="0" w:space="0" w:color="auto"/>
        <w:right w:val="none" w:sz="0" w:space="0" w:color="auto"/>
      </w:divBdr>
    </w:div>
    <w:div w:id="1227035709">
      <w:bodyDiv w:val="1"/>
      <w:marLeft w:val="0"/>
      <w:marRight w:val="0"/>
      <w:marTop w:val="0"/>
      <w:marBottom w:val="0"/>
      <w:divBdr>
        <w:top w:val="none" w:sz="0" w:space="0" w:color="auto"/>
        <w:left w:val="none" w:sz="0" w:space="0" w:color="auto"/>
        <w:bottom w:val="none" w:sz="0" w:space="0" w:color="auto"/>
        <w:right w:val="none" w:sz="0" w:space="0" w:color="auto"/>
      </w:divBdr>
    </w:div>
    <w:div w:id="1234046474">
      <w:bodyDiv w:val="1"/>
      <w:marLeft w:val="0"/>
      <w:marRight w:val="0"/>
      <w:marTop w:val="0"/>
      <w:marBottom w:val="0"/>
      <w:divBdr>
        <w:top w:val="none" w:sz="0" w:space="0" w:color="auto"/>
        <w:left w:val="none" w:sz="0" w:space="0" w:color="auto"/>
        <w:bottom w:val="none" w:sz="0" w:space="0" w:color="auto"/>
        <w:right w:val="none" w:sz="0" w:space="0" w:color="auto"/>
      </w:divBdr>
    </w:div>
    <w:div w:id="1331984746">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08457833">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47506687">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495292479">
      <w:bodyDiv w:val="1"/>
      <w:marLeft w:val="0"/>
      <w:marRight w:val="0"/>
      <w:marTop w:val="0"/>
      <w:marBottom w:val="0"/>
      <w:divBdr>
        <w:top w:val="none" w:sz="0" w:space="0" w:color="auto"/>
        <w:left w:val="none" w:sz="0" w:space="0" w:color="auto"/>
        <w:bottom w:val="none" w:sz="0" w:space="0" w:color="auto"/>
        <w:right w:val="none" w:sz="0" w:space="0" w:color="auto"/>
      </w:divBdr>
    </w:div>
    <w:div w:id="1556044989">
      <w:bodyDiv w:val="1"/>
      <w:marLeft w:val="0"/>
      <w:marRight w:val="0"/>
      <w:marTop w:val="0"/>
      <w:marBottom w:val="0"/>
      <w:divBdr>
        <w:top w:val="none" w:sz="0" w:space="0" w:color="auto"/>
        <w:left w:val="none" w:sz="0" w:space="0" w:color="auto"/>
        <w:bottom w:val="none" w:sz="0" w:space="0" w:color="auto"/>
        <w:right w:val="none" w:sz="0" w:space="0" w:color="auto"/>
      </w:divBdr>
    </w:div>
    <w:div w:id="1598513373">
      <w:bodyDiv w:val="1"/>
      <w:marLeft w:val="0"/>
      <w:marRight w:val="0"/>
      <w:marTop w:val="0"/>
      <w:marBottom w:val="0"/>
      <w:divBdr>
        <w:top w:val="none" w:sz="0" w:space="0" w:color="auto"/>
        <w:left w:val="none" w:sz="0" w:space="0" w:color="auto"/>
        <w:bottom w:val="none" w:sz="0" w:space="0" w:color="auto"/>
        <w:right w:val="none" w:sz="0" w:space="0" w:color="auto"/>
      </w:divBdr>
    </w:div>
    <w:div w:id="1609924091">
      <w:bodyDiv w:val="1"/>
      <w:marLeft w:val="0"/>
      <w:marRight w:val="0"/>
      <w:marTop w:val="0"/>
      <w:marBottom w:val="0"/>
      <w:divBdr>
        <w:top w:val="none" w:sz="0" w:space="0" w:color="auto"/>
        <w:left w:val="none" w:sz="0" w:space="0" w:color="auto"/>
        <w:bottom w:val="none" w:sz="0" w:space="0" w:color="auto"/>
        <w:right w:val="none" w:sz="0" w:space="0" w:color="auto"/>
      </w:divBdr>
    </w:div>
    <w:div w:id="1666005567">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752966034">
      <w:bodyDiv w:val="1"/>
      <w:marLeft w:val="0"/>
      <w:marRight w:val="0"/>
      <w:marTop w:val="0"/>
      <w:marBottom w:val="0"/>
      <w:divBdr>
        <w:top w:val="none" w:sz="0" w:space="0" w:color="auto"/>
        <w:left w:val="none" w:sz="0" w:space="0" w:color="auto"/>
        <w:bottom w:val="none" w:sz="0" w:space="0" w:color="auto"/>
        <w:right w:val="none" w:sz="0" w:space="0" w:color="auto"/>
      </w:divBdr>
    </w:div>
    <w:div w:id="1784109776">
      <w:bodyDiv w:val="1"/>
      <w:marLeft w:val="0"/>
      <w:marRight w:val="0"/>
      <w:marTop w:val="0"/>
      <w:marBottom w:val="0"/>
      <w:divBdr>
        <w:top w:val="none" w:sz="0" w:space="0" w:color="auto"/>
        <w:left w:val="none" w:sz="0" w:space="0" w:color="auto"/>
        <w:bottom w:val="none" w:sz="0" w:space="0" w:color="auto"/>
        <w:right w:val="none" w:sz="0" w:space="0" w:color="auto"/>
      </w:divBdr>
    </w:div>
    <w:div w:id="1798794898">
      <w:bodyDiv w:val="1"/>
      <w:marLeft w:val="0"/>
      <w:marRight w:val="0"/>
      <w:marTop w:val="0"/>
      <w:marBottom w:val="0"/>
      <w:divBdr>
        <w:top w:val="none" w:sz="0" w:space="0" w:color="auto"/>
        <w:left w:val="none" w:sz="0" w:space="0" w:color="auto"/>
        <w:bottom w:val="none" w:sz="0" w:space="0" w:color="auto"/>
        <w:right w:val="none" w:sz="0" w:space="0" w:color="auto"/>
      </w:divBdr>
    </w:div>
    <w:div w:id="1851291516">
      <w:bodyDiv w:val="1"/>
      <w:marLeft w:val="0"/>
      <w:marRight w:val="0"/>
      <w:marTop w:val="0"/>
      <w:marBottom w:val="0"/>
      <w:divBdr>
        <w:top w:val="none" w:sz="0" w:space="0" w:color="auto"/>
        <w:left w:val="none" w:sz="0" w:space="0" w:color="auto"/>
        <w:bottom w:val="none" w:sz="0" w:space="0" w:color="auto"/>
        <w:right w:val="none" w:sz="0" w:space="0" w:color="auto"/>
      </w:divBdr>
    </w:div>
    <w:div w:id="1860773676">
      <w:bodyDiv w:val="1"/>
      <w:marLeft w:val="0"/>
      <w:marRight w:val="0"/>
      <w:marTop w:val="0"/>
      <w:marBottom w:val="0"/>
      <w:divBdr>
        <w:top w:val="none" w:sz="0" w:space="0" w:color="auto"/>
        <w:left w:val="none" w:sz="0" w:space="0" w:color="auto"/>
        <w:bottom w:val="none" w:sz="0" w:space="0" w:color="auto"/>
        <w:right w:val="none" w:sz="0" w:space="0" w:color="auto"/>
      </w:divBdr>
    </w:div>
    <w:div w:id="1941837927">
      <w:bodyDiv w:val="1"/>
      <w:marLeft w:val="0"/>
      <w:marRight w:val="0"/>
      <w:marTop w:val="0"/>
      <w:marBottom w:val="0"/>
      <w:divBdr>
        <w:top w:val="none" w:sz="0" w:space="0" w:color="auto"/>
        <w:left w:val="none" w:sz="0" w:space="0" w:color="auto"/>
        <w:bottom w:val="none" w:sz="0" w:space="0" w:color="auto"/>
        <w:right w:val="none" w:sz="0" w:space="0" w:color="auto"/>
      </w:divBdr>
    </w:div>
    <w:div w:id="1951204134">
      <w:bodyDiv w:val="1"/>
      <w:marLeft w:val="0"/>
      <w:marRight w:val="0"/>
      <w:marTop w:val="0"/>
      <w:marBottom w:val="0"/>
      <w:divBdr>
        <w:top w:val="none" w:sz="0" w:space="0" w:color="auto"/>
        <w:left w:val="none" w:sz="0" w:space="0" w:color="auto"/>
        <w:bottom w:val="none" w:sz="0" w:space="0" w:color="auto"/>
        <w:right w:val="none" w:sz="0" w:space="0" w:color="auto"/>
      </w:divBdr>
    </w:div>
    <w:div w:id="1976907368">
      <w:bodyDiv w:val="1"/>
      <w:marLeft w:val="0"/>
      <w:marRight w:val="0"/>
      <w:marTop w:val="0"/>
      <w:marBottom w:val="0"/>
      <w:divBdr>
        <w:top w:val="none" w:sz="0" w:space="0" w:color="auto"/>
        <w:left w:val="none" w:sz="0" w:space="0" w:color="auto"/>
        <w:bottom w:val="none" w:sz="0" w:space="0" w:color="auto"/>
        <w:right w:val="none" w:sz="0" w:space="0" w:color="auto"/>
      </w:divBdr>
    </w:div>
    <w:div w:id="2071659373">
      <w:bodyDiv w:val="1"/>
      <w:marLeft w:val="0"/>
      <w:marRight w:val="0"/>
      <w:marTop w:val="0"/>
      <w:marBottom w:val="0"/>
      <w:divBdr>
        <w:top w:val="none" w:sz="0" w:space="0" w:color="auto"/>
        <w:left w:val="none" w:sz="0" w:space="0" w:color="auto"/>
        <w:bottom w:val="none" w:sz="0" w:space="0" w:color="auto"/>
        <w:right w:val="none" w:sz="0" w:space="0" w:color="auto"/>
      </w:divBdr>
    </w:div>
    <w:div w:id="2121413859">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2168959">
      <w:bodyDiv w:val="1"/>
      <w:marLeft w:val="0"/>
      <w:marRight w:val="0"/>
      <w:marTop w:val="0"/>
      <w:marBottom w:val="0"/>
      <w:divBdr>
        <w:top w:val="none" w:sz="0" w:space="0" w:color="auto"/>
        <w:left w:val="none" w:sz="0" w:space="0" w:color="auto"/>
        <w:bottom w:val="none" w:sz="0" w:space="0" w:color="auto"/>
        <w:right w:val="none" w:sz="0" w:space="0" w:color="auto"/>
      </w:divBdr>
    </w:div>
    <w:div w:id="2146586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Wan16</b:Tag>
    <b:SourceType>JournalArticle</b:SourceType>
    <b:Guid>{59E1923D-CE09-4C47-8C40-2958A46089D1}</b:Guid>
    <b:Title>Correlations for calculating heat transfer of hydrogen pool boiling</b:Title>
    <b:Year>2016</b:Year>
    <b:Author>
      <b:Author>
        <b:NameList>
          <b:Person>
            <b:Last>Wang</b:Last>
            <b:First>L.</b:First>
          </b:Person>
          <b:Person>
            <b:Last>Li</b:Last>
            <b:First>Y.</b:First>
          </b:Person>
          <b:Person>
            <b:Last>Zhang</b:Last>
            <b:First>F.</b:First>
          </b:Person>
          <b:Person>
            <b:Last>Xie</b:Last>
            <b:First>F.</b:First>
          </b:Person>
          <b:Person>
            <b:Last>Ma</b:Last>
            <b:First>Y.</b:First>
          </b:Person>
        </b:NameList>
      </b:Author>
    </b:Author>
    <b:JournalName>Int. J. Hydrogen Energ.</b:JournalName>
    <b:Pages>17118-17131</b:Pages>
    <b:Volume>41</b:Volume>
    <b:Issue>38</b:Issue>
    <b:DOI>https://doi.org/10.1016/j.ijhydene.2016.06.254</b:DOI>
    <b:RefOrder>1</b:RefOrder>
  </b:Source>
  <b:Source>
    <b:Tag>Peh96</b:Tag>
    <b:SourceType>ConferenceProceedings</b:SourceType>
    <b:Guid>{7272FB09-D098-4428-978D-5F2A23774A96}</b:Guid>
    <b:Author>
      <b:Author>
        <b:NameList>
          <b:Person>
            <b:Last>Pehr</b:Last>
            <b:First>K.,</b:First>
          </b:Person>
        </b:NameList>
      </b:Author>
    </b:Author>
    <b:Title>Experimental examinations on the worst-case behaviour of LH2/LNG tanks for passenger cars</b:Title>
    <b:Year>1996</b:Year>
    <b:City>Stuttgart, Germany</b:City>
    <b:ConferenceName>Proc. 11th World Hydrogen Energy Conference</b:ConferenceName>
    <b:Pages>2169-2186</b:Pages>
    <b:RefOrder>2</b:RefOrder>
  </b:Source>
  <b:Source>
    <b:Tag>NIS</b:Tag>
    <b:SourceType>Book</b:SourceType>
    <b:Guid>{5F9D0452-6087-4EB4-94BE-139737D96C1E}</b:Guid>
    <b:Title>National Institute for Standards and Technology, Standard Reference Database Number 69</b:Title>
    <b:Author>
      <b:Author>
        <b:NameList>
          <b:Person>
            <b:Last>NIST</b:Last>
          </b:Person>
        </b:NameList>
      </b:Author>
    </b:Author>
    <b:DOI>https://doi.org/10.18434/T4D303</b:DOI>
    <b:Year>2019</b:Year>
    <b:RefOrder>3</b:RefOrder>
  </b:Source>
  <b:Source>
    <b:Tag>Ust21</b:Tag>
    <b:SourceType>ConferenceProceedings</b:SourceType>
    <b:Guid>{4CA2642E-97ED-42A1-9247-C740089A796C}</b:Guid>
    <b:Title>Time to Failure Estimation of Cryogenic Liquefied Tanks Exposed to a Fire</b:Title>
    <b:Year>2021</b:Year>
    <b:Pages>19-23</b:Pages>
    <b:Author>
      <b:Author>
        <b:NameList>
          <b:Person>
            <b:Last>Ustolin</b:Last>
            <b:First>F.</b:First>
          </b:Person>
          <b:Person>
            <b:Last>Iannaccone</b:Last>
            <b:First>T.</b:First>
          </b:Person>
          <b:Person>
            <b:Last>Cozzani</b:Last>
            <b:First>V.</b:First>
          </b:Person>
          <b:Person>
            <b:Last>Jafarzadeh</b:Last>
            <b:First>S.</b:First>
          </b:Person>
          <b:Person>
            <b:Last>Paltrinieri</b:Last>
            <b:First>N.</b:First>
          </b:Person>
        </b:NameList>
      </b:Author>
    </b:Author>
    <b:ConferenceName>Proceedings of the 31st European Safety and Reliability Conference</b:ConferenceName>
    <b:City>Angers, France</b:City>
    <b:RefOrder>4</b:RefOrder>
  </b:Source>
  <b:Source>
    <b:Tag>DnV21</b:Tag>
    <b:SourceType>Report</b:SourceType>
    <b:Guid>{528A1ECD-A06A-48F5-B238-4213144BE480}</b:Guid>
    <b:Title>SAFER, SMARTER and Greener, LNG as marine fuel</b:Title>
    <b:Year>2021</b:Year>
    <b:Author>
      <b:Author>
        <b:NameList>
          <b:Person>
            <b:Last>DnV</b:Last>
            <b:First>G.</b:First>
            <b:Middle>L.</b:Middle>
          </b:Person>
        </b:NameList>
      </b:Author>
    </b:Author>
    <b:RefOrder>5</b:RefOrder>
  </b:Source>
  <b:Source>
    <b:Tag>Jaf16</b:Tag>
    <b:SourceType>Report</b:SourceType>
    <b:Guid>{18F886D2-8084-4666-B54A-7312A8826BAD}</b:Guid>
    <b:Author>
      <b:Author>
        <b:NameList>
          <b:Person>
            <b:Last>Jafarzadeh</b:Last>
            <b:First>S.</b:First>
          </b:Person>
        </b:NameList>
      </b:Author>
    </b:Author>
    <b:Title>Energy efficiency and emission abatement in the fishing fleet</b:Title>
    <b:Year>2016</b:Year>
    <b:RefOrder>6</b:RefOrder>
  </b:Source>
  <b:Source>
    <b:Tag>Cro07</b:Tag>
    <b:SourceType>JournalArticle</b:SourceType>
    <b:Guid>{CC96DFC5-0F37-4DA8-A6DF-E7284EB14653}</b:Guid>
    <b:Author>
      <b:Author>
        <b:NameList>
          <b:Person>
            <b:Last>Crowl</b:Last>
            <b:First>D.</b:First>
            <b:Middle>A.</b:Middle>
          </b:Person>
          <b:Person>
            <b:Last>Jo</b:Last>
            <b:First>Y.</b:First>
            <b:Middle>D.</b:Middle>
          </b:Person>
        </b:NameList>
      </b:Author>
    </b:Author>
    <b:Title>The hazards and risks of hydrogen</b:Title>
    <b:Year>2007</b:Year>
    <b:JournalName>Journal of Loss Prevention in the Process Industries</b:JournalName>
    <b:Pages>158-164</b:Pages>
    <b:Volume>20</b:Volume>
    <b:Issue>2</b:Issue>
    <b:RefOrder>7</b:RefOrder>
  </b:Source>
  <b:Source>
    <b:Tag>Cam24</b:Tag>
    <b:SourceType>JournalArticle</b:SourceType>
    <b:Guid>{A974E224-8A66-4068-B944-2AD88C3C35EF}</b:Guid>
    <b:Title>Modeling the performance of Multilayer Insulation in Cryogenic Tanks undergoing external Fire Scenarios.</b:Title>
    <b:Year>2024</b:Year>
    <b:Author>
      <b:Author>
        <b:NameList>
          <b:Person>
            <b:Last>Camplese</b:Last>
            <b:First>D.</b:First>
          </b:Person>
          <b:Person>
            <b:Last>Scarponi</b:Last>
            <b:First>G.,</b:First>
            <b:Middle>E.</b:Middle>
          </b:Person>
          <b:Person>
            <b:Last>Chianese</b:Last>
            <b:First>C.</b:First>
          </b:Person>
          <b:Person>
            <b:Last>Hajhariri</b:Last>
            <b:First>A</b:First>
          </b:Person>
          <b:Person>
            <b:First>Eberwein,</b:First>
            <b:Middle>R.</b:Middle>
          </b:Person>
          <b:Person>
            <b:Last>Otremba</b:Last>
            <b:First>F.</b:First>
          </b:Person>
          <b:Person>
            <b:Last>Cozzani</b:Last>
            <b:First>V.</b:First>
          </b:Person>
        </b:NameList>
      </b:Author>
    </b:Author>
    <b:JournalName>Process Saf. Environ. Prot.</b:JournalName>
    <b:DOI>https://doi.org/10.1016/j.psep.2024.04.061</b:DOI>
    <b:RefOrder>8</b:RefOrder>
  </b:Source>
  <b:Source>
    <b:Tag>Ust221</b:Tag>
    <b:SourceType>JournalArticle</b:SourceType>
    <b:Guid>{40C460B2-F897-4464-B475-6DDB7BF8251A}</b:Guid>
    <b:Author>
      <b:Author>
        <b:NameList>
          <b:Person>
            <b:Last>Ustolin</b:Last>
            <b:First>F.</b:First>
          </b:Person>
          <b:Person>
            <b:Last>Scarponi</b:Last>
            <b:First>G.E.</b:First>
          </b:Person>
          <b:Person>
            <b:Last>Iannaccone</b:Last>
            <b:First>T.</b:First>
          </b:Person>
          <b:Person>
            <b:Last>V.</b:Last>
            <b:First>Cozzani</b:First>
          </b:Person>
          <b:Person>
            <b:Last>Paltrinieri</b:Last>
            <b:First>N.</b:First>
          </b:Person>
        </b:NameList>
      </b:Author>
    </b:Author>
    <b:Title>Cryogenic Hydrogen Storage Tanks Exposed to Fires: a CFD study</b:Title>
    <b:JournalName>Chem. Eng. Trans.</b:JournalName>
    <b:Year>2022</b:Year>
    <b:Pages>535-540</b:Pages>
    <b:DOI>https://doi.org/10.3303/CET2290090</b:DOI>
    <b:RefOrder>9</b:RefOrder>
  </b:Source>
  <b:Source>
    <b:Tag>Ebe24</b:Tag>
    <b:SourceType>JournalArticle</b:SourceType>
    <b:Guid>{996C3CE0-54FF-41E5-B0A7-7F46A473A0CC}</b:Guid>
    <b:Author>
      <b:Author>
        <b:NameList>
          <b:Person>
            <b:Last>Eberwein</b:Last>
            <b:First>R.</b:First>
          </b:Person>
          <b:Person>
            <b:Last>Hajhariri</b:Last>
            <b:First>A.</b:First>
          </b:Person>
          <b:Person>
            <b:Last>Camplese</b:Last>
            <b:First>D.</b:First>
          </b:Person>
          <b:Person>
            <b:Last>Scarponi</b:Last>
            <b:First>G.,</b:First>
            <b:Middle>E.</b:Middle>
          </b:Person>
          <b:Person>
            <b:Last>Cozzani</b:Last>
            <b:First>V.</b:First>
          </b:Person>
          <b:Person>
            <b:Last>Otremba</b:Last>
            <b:First>F.</b:First>
          </b:Person>
        </b:NameList>
      </b:Author>
    </b:Author>
    <b:Title>Experimental Investigation on the Behavior of Thermal Super Insulation Materials for Cryogenic Storage Tanks in Fire Incidents.</b:Title>
    <b:JournalName>Process Saf. Environ. Prot.</b:JournalName>
    <b:Year>2024</b:Year>
    <b:DOI>10.1016/j.psep.2024.04.131</b:DOI>
    <b:Pages>240-248</b:Pages>
    <b:Volume>187</b:Volume>
    <b:RefOrder>10</b:RefOrder>
  </b:Source>
  <b:Source>
    <b:Tag>van22</b:Tag>
    <b:SourceType>ConferenceProceedings</b:SourceType>
    <b:Guid>{366B6E37-2A29-4EA3-B80A-83BF52F788D7}</b:Guid>
    <b:Author>
      <b:Author>
        <b:NameList>
          <b:Person>
            <b:Last>van Wingerden</b:Last>
            <b:First>K.</b:First>
          </b:Person>
          <b:Person>
            <b:Last>Kluge</b:Last>
            <b:First>M.</b:First>
          </b:Person>
          <b:Person>
            <b:Last>Habib. A.</b:Last>
            <b:First>K.</b:First>
          </b:Person>
          <b:Person>
            <b:Last>Ustolin</b:Last>
            <b:First>F.</b:First>
          </b:Person>
          <b:Person>
            <b:Last>Paltrinieri</b:Last>
            <b:First>N.,</b:First>
          </b:Person>
        </b:NameList>
      </b:Author>
    </b:Author>
    <b:Title>Medium-scale tests to investigate the possibility and effects of BLEVEs of storage vessels containing liquified hydrogen</b:Title>
    <b:Year>2022</b:Year>
    <b:ConferenceName>17th EFCE</b:ConferenceName>
    <b:Pages>547-552</b:Pages>
    <b:Volume>90</b:Volume>
    <b:DOI>10.3303/CET2290092</b:DOI>
    <b:RefOrder>11</b:RefOrder>
  </b:Source>
  <b:Source>
    <b:Tag>Sca16</b:Tag>
    <b:SourceType>JournalArticle</b:SourceType>
    <b:Guid>{2928EC07-A53C-42FF-A7FE-7EAF57386135}</b:Guid>
    <b:Author>
      <b:Author>
        <b:NameList>
          <b:Person>
            <b:Last>Scarponi</b:Last>
            <b:First>G.</b:First>
            <b:Middle>E.</b:Middle>
          </b:Person>
          <b:Person>
            <b:Last>Landucci</b:Last>
            <b:First>G.</b:First>
          </b:Person>
          <b:Person>
            <b:Last>Ovidi</b:Last>
            <b:First>F.</b:First>
          </b:Person>
          <b:Person>
            <b:Last>Cozzani</b:Last>
            <b:First>V.</b:First>
          </b:Person>
        </b:NameList>
      </b:Author>
    </b:Author>
    <b:Title>Lumped model for the assessment of the thermal and mechanical response of LNG tanks exposed to fire. </b:Title>
    <b:JournalName>Chemical Engineering Transactions</b:JournalName>
    <b:Year>2016</b:Year>
    <b:Pages>307-312</b:Pages>
    <b:RefOrder>12</b:RefOrder>
  </b:Source>
  <b:Source>
    <b:Tag>HAJ24</b:Tag>
    <b:SourceType>JournalArticle</b:SourceType>
    <b:Guid>{DBE45500-F93C-44B0-8FDC-480B9483FF7F}</b:Guid>
    <b:Author>
      <b:Author>
        <b:NameList>
          <b:Person>
            <b:Last>HAJHARIRI</b:Last>
            <b:First>A.</b:First>
          </b:Person>
          <b:Person>
            <b:Last>EBERWEIN</b:Last>
            <b:First>R.</b:First>
          </b:Person>
          <b:Person>
            <b:Last>CAMPLESE</b:Last>
            <b:First>D.</b:First>
          </b:Person>
          <b:Person>
            <b:Last>SCARPONI</b:Last>
            <b:First>G.</b:First>
            <b:Middle>E.</b:Middle>
          </b:Person>
          <b:Person>
            <b:Last>COZZANI</b:Last>
            <b:First>V.</b:First>
          </b:Person>
          <b:Person>
            <b:Last>OTREMBA</b:Last>
            <b:First>F.</b:First>
          </b:Person>
          <b:Person>
            <b:Last>SEIDLITZ</b:Last>
            <b:First>H.</b:First>
          </b:Person>
        </b:NameList>
      </b:Author>
    </b:Author>
    <b:Title>Non-Combustible MLI Based Insulation Behavior Under Fire Condition-Experimental and Numerical Investigation</b:Title>
    <b:JournalName>Process Safety and Environmental Prot</b:JournalName>
    <b:Year>2024b</b:Year>
    <b:RefOrder>13</b:RefOrder>
  </b:Source>
  <b:Source>
    <b:Tag>Haj4a</b:Tag>
    <b:SourceType>JournalArticle</b:SourceType>
    <b:Guid>{5198AA91-1941-4574-A11F-B77949CFBB3A}</b:Guid>
    <b:Author>
      <b:Author>
        <b:NameList>
          <b:Person>
            <b:Last>Hajhariri</b:Last>
            <b:First>A.</b:First>
          </b:Person>
          <b:Person>
            <b:Last>Eberwein</b:Last>
            <b:First>R.</b:First>
          </b:Person>
          <b:Person>
            <b:Last>Perrone</b:Last>
            <b:First>L.</b:First>
            <b:Middle>P.</b:Middle>
          </b:Person>
          <b:Person>
            <b:Last>Cozzani</b:Last>
            <b:First>V.</b:First>
          </b:Person>
          <b:Person>
            <b:Last>Otremba</b:Last>
            <b:First>F.</b:First>
          </b:Person>
          <b:Person>
            <b:Last>Seidlitz</b:Last>
            <b:First>H.</b:First>
          </b:Person>
        </b:NameList>
      </b:Author>
    </b:Author>
    <b:Title>Study the impact of spacer at thermal degradation process of MLI-based insulation in fire condition</b:Title>
    <b:JournalName>J. Loss Preven. Proce. Ind.</b:JournalName>
    <b:Year>2024a</b:Year>
    <b:Volume>92</b:Volume>
    <b:Issue>10</b:Issue>
    <b:RefOrder>14</b:RefOrder>
  </b:Source>
  <b:Source>
    <b:Tag>Bel14</b:Tag>
    <b:SourceType>JournalArticle</b:SourceType>
    <b:Guid>{2D076F6E-4D74-40C0-A457-76C6FAB20AE8}</b:Guid>
    <b:Author>
      <b:Author>
        <b:NameList>
          <b:Person>
            <b:Last>Bell</b:Last>
            <b:First>I.</b:First>
            <b:Middle>H.</b:Middle>
          </b:Person>
          <b:Person>
            <b:Last>Wronski</b:Last>
            <b:First>J.</b:First>
          </b:Person>
          <b:Person>
            <b:Last>Quoilin</b:Last>
            <b:First>S</b:First>
          </b:Person>
          <b:Person>
            <b:Last>Lemort</b:Last>
            <b:First>V.</b:First>
          </b:Person>
        </b:NameList>
      </b:Author>
    </b:Author>
    <b:Title>Pure and Pseudo-pure Fluid Thermophysical Property Evaluation and the Open-Source Thermophysical Property Library CoolProp</b:Title>
    <b:JournalName>Industrial \&amp; Engineering Chemistry Research</b:JournalName>
    <b:Year>2014</b:Year>
    <b:Pages>2498--2508</b:Pages>
    <b:Volume>53</b:Volume>
    <b:Issue>6</b:Issue>
    <b:DOI>10.1021/ie4033999</b:DOI>
    <b:RefOrder>15</b:RefOrder>
  </b:Source>
  <b:Source>
    <b:Tag>JEF08</b:Tag>
    <b:SourceType>ConferenceProceedings</b:SourceType>
    <b:Guid>{1B9408F5-8AF8-43DD-BCEF-030D8A493830}</b:Guid>
    <b:Author>
      <b:Author>
        <b:NameList>
          <b:Person>
            <b:Last>Fesmire</b:Last>
            <b:First>J.E.</b:First>
          </b:Person>
          <b:Person>
            <b:Last>Augustynowicz</b:Last>
            <b:First>S.D.</b:First>
          </b:Person>
          <b:Person>
            <b:Last>Scholtens</b:Last>
            <b:First>B.E.</b:First>
          </b:Person>
        </b:NameList>
      </b:Author>
    </b:Author>
    <b:Title>ROBUST MULTILAYER INSULATION FOR CRYOGENIC SYSTEMS</b:Title>
    <b:Year>2008</b:Year>
    <b:Pages>1359–1366</b:Pages>
    <b:Volume>985</b:Volume>
    <b:DOI>https://doi.org/10.1063/1.2908494</b:DOI>
    <b:ConferenceName>AIP Conf. Proc.</b:ConferenceName>
    <b:RefOrder>16</b:RefOrder>
  </b:Source>
</b:Sources>
</file>

<file path=customXml/itemProps1.xml><?xml version="1.0" encoding="utf-8"?>
<ds:datastoreItem xmlns:ds="http://schemas.openxmlformats.org/officeDocument/2006/customXml" ds:itemID="{3DAE7FF3-A626-4B10-B430-F7FC573A0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2893</Words>
  <Characters>17319</Characters>
  <Application>Microsoft Office Word</Application>
  <DocSecurity>0</DocSecurity>
  <Lines>144</Lines>
  <Paragraphs>40</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20172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Hajhariri, Aliasghar</cp:lastModifiedBy>
  <cp:revision>7</cp:revision>
  <cp:lastPrinted>2024-11-20T12:41:00Z</cp:lastPrinted>
  <dcterms:created xsi:type="dcterms:W3CDTF">2024-11-20T10:06:00Z</dcterms:created>
  <dcterms:modified xsi:type="dcterms:W3CDTF">2024-11-20T12:53:00Z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8a24571c06e471abc6be07baa8d0b71a9c983dcff869d9e6bd714f04f347385a</vt:lpwstr>
  </property>
</Properties>
</file>