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D21194" w:rsidRPr="00D21194" w14:paraId="3ADADD14" w14:textId="77777777" w:rsidTr="00486FC7">
        <w:trPr>
          <w:trHeight w:val="852"/>
          <w:jc w:val="center"/>
        </w:trPr>
        <w:tc>
          <w:tcPr>
            <w:tcW w:w="6940" w:type="dxa"/>
            <w:vMerge w:val="restart"/>
            <w:tcBorders>
              <w:right w:val="single" w:sz="4" w:space="0" w:color="auto"/>
            </w:tcBorders>
          </w:tcPr>
          <w:p w14:paraId="11605235" w14:textId="77777777" w:rsidR="000A03B2" w:rsidRPr="00D21194" w:rsidRDefault="00000000" w:rsidP="00DE264A">
            <w:pPr>
              <w:tabs>
                <w:tab w:val="left" w:pos="-108"/>
              </w:tabs>
              <w:ind w:left="-108"/>
              <w:jc w:val="left"/>
              <w:rPr>
                <w:rFonts w:cs="Arial"/>
                <w:b/>
                <w:bCs/>
                <w:i/>
                <w:iCs/>
                <w:sz w:val="12"/>
                <w:szCs w:val="12"/>
                <w:lang w:eastAsia="it-IT"/>
              </w:rPr>
            </w:pPr>
            <w:bookmarkStart w:id="0" w:name="_Hlk145068772"/>
            <w:r w:rsidRPr="00D21194">
              <w:rPr>
                <w:rFonts w:ascii="AdvP6960" w:hAnsi="AdvP6960" w:cs="AdvP6960"/>
                <w:noProof/>
                <w:szCs w:val="18"/>
                <w:lang w:val="it-IT" w:eastAsia="it-IT"/>
              </w:rPr>
              <w:drawing>
                <wp:inline distT="0" distB="0" distL="0" distR="0" wp14:anchorId="66183CA1" wp14:editId="4ADAE8F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D21194">
              <w:rPr>
                <w:rFonts w:ascii="AdvP6960" w:hAnsi="AdvP6960" w:cs="AdvP6960"/>
                <w:szCs w:val="18"/>
                <w:lang w:eastAsia="it-IT"/>
              </w:rPr>
              <w:t xml:space="preserve"> </w:t>
            </w:r>
            <w:r w:rsidRPr="00D21194">
              <w:rPr>
                <w:rFonts w:cs="Arial"/>
                <w:b/>
                <w:bCs/>
                <w:i/>
                <w:iCs/>
                <w:sz w:val="24"/>
                <w:szCs w:val="24"/>
                <w:lang w:eastAsia="it-IT"/>
              </w:rPr>
              <w:t>CHEMICAL ENGINEERING TRANSACTIONS</w:t>
            </w:r>
            <w:r w:rsidRPr="00D21194">
              <w:rPr>
                <w:sz w:val="24"/>
                <w:szCs w:val="24"/>
                <w:lang w:eastAsia="it-IT"/>
              </w:rPr>
              <w:t xml:space="preserve"> </w:t>
            </w:r>
          </w:p>
          <w:p w14:paraId="373E84FD" w14:textId="77777777" w:rsidR="000A03B2" w:rsidRPr="00D21194" w:rsidRDefault="000A03B2" w:rsidP="00DE264A">
            <w:pPr>
              <w:tabs>
                <w:tab w:val="left" w:pos="-108"/>
              </w:tabs>
              <w:ind w:left="-108"/>
              <w:jc w:val="left"/>
              <w:rPr>
                <w:rFonts w:cs="Arial"/>
                <w:b/>
                <w:bCs/>
                <w:i/>
                <w:iCs/>
                <w:sz w:val="12"/>
                <w:szCs w:val="12"/>
                <w:lang w:eastAsia="it-IT"/>
              </w:rPr>
            </w:pPr>
          </w:p>
          <w:p w14:paraId="74809E32" w14:textId="77777777" w:rsidR="000A03B2" w:rsidRPr="00D21194" w:rsidRDefault="00000000" w:rsidP="001D21AF">
            <w:pPr>
              <w:tabs>
                <w:tab w:val="left" w:pos="-108"/>
              </w:tabs>
              <w:ind w:left="-108"/>
              <w:rPr>
                <w:rFonts w:cs="Arial"/>
                <w:b/>
                <w:bCs/>
                <w:i/>
                <w:iCs/>
                <w:sz w:val="22"/>
                <w:szCs w:val="22"/>
                <w:lang w:eastAsia="it-IT"/>
              </w:rPr>
            </w:pPr>
            <w:r w:rsidRPr="00D21194">
              <w:rPr>
                <w:rFonts w:cs="Arial"/>
                <w:b/>
                <w:bCs/>
                <w:i/>
                <w:iCs/>
                <w:sz w:val="22"/>
                <w:szCs w:val="22"/>
                <w:lang w:eastAsia="it-IT"/>
              </w:rPr>
              <w:t>VOL.</w:t>
            </w:r>
            <w:r w:rsidR="00785BF9" w:rsidRPr="00D21194">
              <w:rPr>
                <w:rFonts w:cs="Arial"/>
                <w:b/>
                <w:bCs/>
                <w:i/>
                <w:iCs/>
                <w:sz w:val="22"/>
                <w:szCs w:val="22"/>
                <w:lang w:eastAsia="it-IT"/>
              </w:rPr>
              <w:t xml:space="preserve"> </w:t>
            </w:r>
            <w:r w:rsidR="00994C6A" w:rsidRPr="00D21194">
              <w:rPr>
                <w:rFonts w:cs="Arial"/>
                <w:b/>
                <w:bCs/>
                <w:i/>
                <w:iCs/>
                <w:sz w:val="22"/>
                <w:szCs w:val="22"/>
                <w:lang w:eastAsia="it-IT"/>
              </w:rPr>
              <w:t>xxx</w:t>
            </w:r>
            <w:r w:rsidR="007B48F9" w:rsidRPr="00D21194">
              <w:rPr>
                <w:rFonts w:cs="Arial"/>
                <w:b/>
                <w:bCs/>
                <w:i/>
                <w:iCs/>
                <w:sz w:val="22"/>
                <w:szCs w:val="22"/>
                <w:lang w:eastAsia="it-IT"/>
              </w:rPr>
              <w:t>,</w:t>
            </w:r>
            <w:r w:rsidR="00FA5F5F" w:rsidRPr="00D21194">
              <w:rPr>
                <w:rFonts w:cs="Arial"/>
                <w:b/>
                <w:bCs/>
                <w:i/>
                <w:iCs/>
                <w:sz w:val="22"/>
                <w:szCs w:val="22"/>
                <w:lang w:eastAsia="it-IT"/>
              </w:rPr>
              <w:t xml:space="preserve"> </w:t>
            </w:r>
            <w:r w:rsidR="0030152C" w:rsidRPr="00D21194">
              <w:rPr>
                <w:rFonts w:cs="Arial"/>
                <w:b/>
                <w:bCs/>
                <w:i/>
                <w:iCs/>
                <w:sz w:val="22"/>
                <w:szCs w:val="22"/>
                <w:lang w:eastAsia="it-IT"/>
              </w:rPr>
              <w:t>202</w:t>
            </w:r>
            <w:r w:rsidR="00994C6A" w:rsidRPr="00D21194">
              <w:rPr>
                <w:rFonts w:cs="Arial"/>
                <w:b/>
                <w:bCs/>
                <w:i/>
                <w:iCs/>
                <w:sz w:val="22"/>
                <w:szCs w:val="22"/>
                <w:lang w:eastAsia="it-IT"/>
              </w:rPr>
              <w:t>5</w:t>
            </w:r>
          </w:p>
        </w:tc>
        <w:tc>
          <w:tcPr>
            <w:tcW w:w="1842" w:type="dxa"/>
            <w:tcBorders>
              <w:left w:val="single" w:sz="4" w:space="0" w:color="auto"/>
              <w:bottom w:val="nil"/>
              <w:right w:val="single" w:sz="4" w:space="0" w:color="auto"/>
            </w:tcBorders>
          </w:tcPr>
          <w:p w14:paraId="0541DE87" w14:textId="77777777" w:rsidR="000A03B2" w:rsidRPr="00D21194" w:rsidRDefault="00000000" w:rsidP="00CD5FE2">
            <w:pPr>
              <w:spacing w:line="140" w:lineRule="atLeast"/>
              <w:jc w:val="right"/>
              <w:rPr>
                <w:rFonts w:cs="Arial"/>
                <w:sz w:val="14"/>
                <w:szCs w:val="14"/>
              </w:rPr>
            </w:pPr>
            <w:r w:rsidRPr="00D21194">
              <w:rPr>
                <w:rFonts w:cs="Arial"/>
                <w:sz w:val="14"/>
                <w:szCs w:val="14"/>
              </w:rPr>
              <w:t>A publication of</w:t>
            </w:r>
          </w:p>
          <w:p w14:paraId="4B0285FB" w14:textId="77777777" w:rsidR="000A03B2" w:rsidRPr="00D21194" w:rsidRDefault="00000000" w:rsidP="00CD5FE2">
            <w:pPr>
              <w:jc w:val="right"/>
            </w:pPr>
            <w:r w:rsidRPr="00D21194">
              <w:rPr>
                <w:noProof/>
                <w:lang w:val="it-IT" w:eastAsia="it-IT"/>
              </w:rPr>
              <w:drawing>
                <wp:inline distT="0" distB="0" distL="0" distR="0" wp14:anchorId="4B275A70" wp14:editId="3FC5625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D21194" w:rsidRPr="00D21194" w14:paraId="53AEAEEC" w14:textId="77777777" w:rsidTr="00486FC7">
        <w:trPr>
          <w:trHeight w:val="567"/>
          <w:jc w:val="center"/>
        </w:trPr>
        <w:tc>
          <w:tcPr>
            <w:tcW w:w="6940" w:type="dxa"/>
            <w:vMerge/>
            <w:tcBorders>
              <w:right w:val="single" w:sz="4" w:space="0" w:color="auto"/>
            </w:tcBorders>
          </w:tcPr>
          <w:p w14:paraId="79601B82" w14:textId="77777777" w:rsidR="000A03B2" w:rsidRPr="00D21194" w:rsidRDefault="000A03B2" w:rsidP="00CD5FE2">
            <w:pPr>
              <w:tabs>
                <w:tab w:val="left" w:pos="-108"/>
              </w:tabs>
            </w:pPr>
          </w:p>
        </w:tc>
        <w:tc>
          <w:tcPr>
            <w:tcW w:w="1842" w:type="dxa"/>
            <w:tcBorders>
              <w:left w:val="single" w:sz="4" w:space="0" w:color="auto"/>
              <w:bottom w:val="nil"/>
              <w:right w:val="single" w:sz="4" w:space="0" w:color="auto"/>
            </w:tcBorders>
          </w:tcPr>
          <w:p w14:paraId="770C42DC" w14:textId="77777777" w:rsidR="000A03B2" w:rsidRPr="00D21194" w:rsidRDefault="00000000" w:rsidP="00CD5FE2">
            <w:pPr>
              <w:spacing w:line="140" w:lineRule="atLeast"/>
              <w:jc w:val="right"/>
              <w:rPr>
                <w:rFonts w:cs="Arial"/>
                <w:sz w:val="14"/>
                <w:szCs w:val="14"/>
              </w:rPr>
            </w:pPr>
            <w:r w:rsidRPr="00D21194">
              <w:rPr>
                <w:rFonts w:cs="Arial"/>
                <w:sz w:val="14"/>
                <w:szCs w:val="14"/>
              </w:rPr>
              <w:t>The Italian Association</w:t>
            </w:r>
          </w:p>
          <w:p w14:paraId="2C6DDCD9" w14:textId="77777777" w:rsidR="000A03B2" w:rsidRPr="00D21194" w:rsidRDefault="00000000" w:rsidP="00CD5FE2">
            <w:pPr>
              <w:spacing w:line="140" w:lineRule="atLeast"/>
              <w:jc w:val="right"/>
              <w:rPr>
                <w:rFonts w:cs="Arial"/>
                <w:sz w:val="14"/>
                <w:szCs w:val="14"/>
              </w:rPr>
            </w:pPr>
            <w:r w:rsidRPr="00D21194">
              <w:rPr>
                <w:rFonts w:cs="Arial"/>
                <w:sz w:val="14"/>
                <w:szCs w:val="14"/>
              </w:rPr>
              <w:t>of Chemical Engineering</w:t>
            </w:r>
          </w:p>
          <w:p w14:paraId="0DBE2C1B" w14:textId="77777777" w:rsidR="000A03B2" w:rsidRPr="00D21194" w:rsidRDefault="00000000" w:rsidP="00CD5FE2">
            <w:pPr>
              <w:spacing w:line="140" w:lineRule="atLeast"/>
              <w:jc w:val="right"/>
              <w:rPr>
                <w:rFonts w:cs="Arial"/>
                <w:sz w:val="13"/>
                <w:szCs w:val="13"/>
              </w:rPr>
            </w:pPr>
            <w:r w:rsidRPr="00D21194">
              <w:rPr>
                <w:rFonts w:cs="Arial"/>
                <w:sz w:val="13"/>
                <w:szCs w:val="13"/>
              </w:rPr>
              <w:t>Online at www.cetjournal.it</w:t>
            </w:r>
          </w:p>
        </w:tc>
      </w:tr>
      <w:tr w:rsidR="00D21194" w:rsidRPr="00D21194" w14:paraId="5F4AC469" w14:textId="77777777" w:rsidTr="00486FC7">
        <w:trPr>
          <w:trHeight w:val="68"/>
          <w:jc w:val="center"/>
        </w:trPr>
        <w:tc>
          <w:tcPr>
            <w:tcW w:w="8782" w:type="dxa"/>
            <w:gridSpan w:val="2"/>
          </w:tcPr>
          <w:p w14:paraId="6F796687" w14:textId="19360981" w:rsidR="00F27EE4" w:rsidRPr="00D21194" w:rsidRDefault="00000000" w:rsidP="00F27EE4">
            <w:pPr>
              <w:ind w:left="-107"/>
              <w:rPr>
                <w:rFonts w:ascii="Tahoma" w:hAnsi="Tahoma" w:cs="Tahoma"/>
                <w:b/>
                <w:bCs/>
                <w:sz w:val="14"/>
                <w:szCs w:val="14"/>
                <w:shd w:val="clear" w:color="auto" w:fill="FFFFFF"/>
                <w:lang w:val="it-IT"/>
              </w:rPr>
            </w:pPr>
            <w:r w:rsidRPr="00D21194">
              <w:rPr>
                <w:rFonts w:ascii="Tahoma" w:hAnsi="Tahoma" w:cs="Tahoma"/>
                <w:iCs/>
                <w:sz w:val="14"/>
                <w:szCs w:val="14"/>
                <w:lang w:val="it-IT" w:eastAsia="it-IT"/>
              </w:rPr>
              <w:t>Guest Editors:</w:t>
            </w:r>
            <w:r w:rsidR="007D610D" w:rsidRPr="00D21194">
              <w:rPr>
                <w:rFonts w:ascii="Aptos" w:eastAsiaTheme="minorHAnsi" w:hAnsi="Aptos" w:cs="Aptos"/>
                <w:sz w:val="22"/>
                <w:szCs w:val="22"/>
                <w:lang w:val="it-IT"/>
                <w14:ligatures w14:val="standardContextual"/>
              </w:rPr>
              <w:t xml:space="preserve"> </w:t>
            </w:r>
            <w:r w:rsidRPr="00D21194">
              <w:rPr>
                <w:rFonts w:ascii="Tahoma" w:hAnsi="Tahoma" w:cs="Tahoma"/>
                <w:sz w:val="14"/>
                <w:szCs w:val="14"/>
                <w:shd w:val="clear" w:color="auto" w:fill="FFFFFF"/>
                <w:lang w:val="it-IT"/>
              </w:rPr>
              <w:t>Bruno Fabiano, Valerio Cozzani</w:t>
            </w:r>
          </w:p>
          <w:p w14:paraId="1F5F3E3C" w14:textId="77777777" w:rsidR="000A03B2" w:rsidRPr="00D21194" w:rsidRDefault="00000000" w:rsidP="00AA7D26">
            <w:pPr>
              <w:tabs>
                <w:tab w:val="left" w:pos="-108"/>
              </w:tabs>
              <w:spacing w:line="140" w:lineRule="atLeast"/>
              <w:ind w:left="-107"/>
              <w:jc w:val="left"/>
            </w:pPr>
            <w:r w:rsidRPr="00D21194">
              <w:rPr>
                <w:rFonts w:ascii="Tahoma" w:hAnsi="Tahoma" w:cs="Tahoma"/>
                <w:iCs/>
                <w:sz w:val="14"/>
                <w:szCs w:val="14"/>
                <w:lang w:eastAsia="it-IT"/>
              </w:rPr>
              <w:t>Copyright © 202</w:t>
            </w:r>
            <w:r w:rsidR="00994C6A" w:rsidRPr="00D21194">
              <w:rPr>
                <w:rFonts w:ascii="Tahoma" w:hAnsi="Tahoma" w:cs="Tahoma"/>
                <w:iCs/>
                <w:sz w:val="14"/>
                <w:szCs w:val="14"/>
                <w:lang w:eastAsia="it-IT"/>
              </w:rPr>
              <w:t>5</w:t>
            </w:r>
            <w:r w:rsidRPr="00D21194">
              <w:rPr>
                <w:rFonts w:ascii="Tahoma" w:hAnsi="Tahoma" w:cs="Tahoma"/>
                <w:iCs/>
                <w:sz w:val="14"/>
                <w:szCs w:val="14"/>
                <w:lang w:eastAsia="it-IT"/>
              </w:rPr>
              <w:t>, AIDIC Servizi S.r.l.</w:t>
            </w:r>
          </w:p>
          <w:p w14:paraId="23E33A92" w14:textId="77777777" w:rsidR="000A03B2" w:rsidRPr="00D21194" w:rsidRDefault="00000000" w:rsidP="00AA7D26">
            <w:pPr>
              <w:tabs>
                <w:tab w:val="left" w:pos="-108"/>
              </w:tabs>
              <w:spacing w:line="140" w:lineRule="atLeast"/>
              <w:ind w:left="-107"/>
              <w:jc w:val="left"/>
            </w:pPr>
            <w:r w:rsidRPr="00D21194">
              <w:rPr>
                <w:rFonts w:ascii="Tahoma" w:hAnsi="Tahoma" w:cs="Tahoma"/>
                <w:b/>
                <w:iCs/>
                <w:sz w:val="14"/>
                <w:szCs w:val="14"/>
                <w:lang w:eastAsia="it-IT"/>
              </w:rPr>
              <w:t>ISBN</w:t>
            </w:r>
            <w:r w:rsidRPr="00D21194">
              <w:rPr>
                <w:rFonts w:ascii="Tahoma" w:hAnsi="Tahoma" w:cs="Tahoma"/>
                <w:iCs/>
                <w:sz w:val="14"/>
                <w:szCs w:val="14"/>
                <w:lang w:eastAsia="it-IT"/>
              </w:rPr>
              <w:t xml:space="preserve"> </w:t>
            </w:r>
            <w:r w:rsidR="003B49CD" w:rsidRPr="00D21194">
              <w:rPr>
                <w:rFonts w:ascii="Tahoma" w:hAnsi="Tahoma" w:cs="Tahoma"/>
                <w:sz w:val="14"/>
                <w:szCs w:val="14"/>
              </w:rPr>
              <w:t>979-12-81206-</w:t>
            </w:r>
            <w:r w:rsidR="00F27EE4" w:rsidRPr="00D21194">
              <w:rPr>
                <w:rFonts w:ascii="Tahoma" w:hAnsi="Tahoma" w:cs="Tahoma"/>
                <w:sz w:val="14"/>
                <w:szCs w:val="14"/>
              </w:rPr>
              <w:t>xx-y</w:t>
            </w:r>
            <w:r w:rsidRPr="00D21194">
              <w:rPr>
                <w:rFonts w:ascii="Tahoma" w:hAnsi="Tahoma" w:cs="Tahoma"/>
                <w:iCs/>
                <w:sz w:val="14"/>
                <w:szCs w:val="14"/>
                <w:lang w:eastAsia="it-IT"/>
              </w:rPr>
              <w:t xml:space="preserve">; </w:t>
            </w:r>
            <w:r w:rsidRPr="00D21194">
              <w:rPr>
                <w:rFonts w:ascii="Tahoma" w:hAnsi="Tahoma" w:cs="Tahoma"/>
                <w:b/>
                <w:iCs/>
                <w:sz w:val="14"/>
                <w:szCs w:val="14"/>
                <w:lang w:eastAsia="it-IT"/>
              </w:rPr>
              <w:t>ISSN</w:t>
            </w:r>
            <w:r w:rsidRPr="00D21194">
              <w:rPr>
                <w:rFonts w:ascii="Tahoma" w:hAnsi="Tahoma" w:cs="Tahoma"/>
                <w:iCs/>
                <w:sz w:val="14"/>
                <w:szCs w:val="14"/>
                <w:lang w:eastAsia="it-IT"/>
              </w:rPr>
              <w:t xml:space="preserve"> 2283-9216</w:t>
            </w:r>
          </w:p>
        </w:tc>
      </w:tr>
    </w:tbl>
    <w:bookmarkEnd w:id="0"/>
    <w:p w14:paraId="525DD406" w14:textId="77777777" w:rsidR="00E978D0" w:rsidRPr="00D21194" w:rsidRDefault="00000000" w:rsidP="00E978D0">
      <w:pPr>
        <w:pStyle w:val="CETTitle"/>
      </w:pPr>
      <w:r w:rsidRPr="00D21194">
        <w:t>Can AI Revolutionize QSPR Models for the Chemical Mixtures Hazards</w:t>
      </w:r>
      <w:r w:rsidR="00765A7C" w:rsidRPr="00D21194">
        <w:t>?</w:t>
      </w:r>
    </w:p>
    <w:p w14:paraId="749BC8E3" w14:textId="77777777" w:rsidR="00B57E6F" w:rsidRPr="00D21194" w:rsidRDefault="00000000" w:rsidP="00867739">
      <w:pPr>
        <w:pStyle w:val="CETAuthors"/>
        <w:jc w:val="left"/>
        <w:rPr>
          <w:lang w:val="fr-FR"/>
        </w:rPr>
      </w:pPr>
      <w:r w:rsidRPr="00D21194">
        <w:rPr>
          <w:lang w:val="fr-FR"/>
        </w:rPr>
        <w:t>Guillaume Fayet</w:t>
      </w:r>
      <w:r w:rsidRPr="00D21194">
        <w:rPr>
          <w:vertAlign w:val="superscript"/>
          <w:lang w:val="fr-FR"/>
        </w:rPr>
        <w:t>a,</w:t>
      </w:r>
      <w:r w:rsidRPr="00D21194">
        <w:rPr>
          <w:lang w:val="fr-FR"/>
        </w:rPr>
        <w:t>*, Nour Helou</w:t>
      </w:r>
      <w:r w:rsidRPr="00D21194">
        <w:rPr>
          <w:vertAlign w:val="superscript"/>
          <w:lang w:val="fr-FR"/>
        </w:rPr>
        <w:t>a</w:t>
      </w:r>
      <w:r w:rsidRPr="00D21194">
        <w:rPr>
          <w:lang w:val="fr-FR"/>
        </w:rPr>
        <w:t>, Patricia Rotureau</w:t>
      </w:r>
      <w:r w:rsidRPr="00D21194">
        <w:rPr>
          <w:vertAlign w:val="superscript"/>
          <w:lang w:val="fr-FR"/>
        </w:rPr>
        <w:t>a</w:t>
      </w:r>
    </w:p>
    <w:p w14:paraId="17769D16" w14:textId="77777777" w:rsidR="00486FC7" w:rsidRPr="00D21194" w:rsidRDefault="00000000" w:rsidP="00867739">
      <w:pPr>
        <w:pStyle w:val="CETAddress"/>
        <w:rPr>
          <w:lang w:val="fr-FR"/>
        </w:rPr>
      </w:pPr>
      <w:r w:rsidRPr="00D21194">
        <w:rPr>
          <w:vertAlign w:val="superscript"/>
          <w:lang w:val="fr-FR"/>
        </w:rPr>
        <w:t>a</w:t>
      </w:r>
      <w:r w:rsidRPr="00D21194">
        <w:rPr>
          <w:lang w:val="fr-FR"/>
        </w:rPr>
        <w:t>Ineris, Parc Technologique Alata, BP2, 60550 Verneuil-en-Halatte</w:t>
      </w:r>
    </w:p>
    <w:p w14:paraId="3C7508C5" w14:textId="77777777" w:rsidR="00B57E6F" w:rsidRPr="00D21194" w:rsidRDefault="00000000" w:rsidP="00867739">
      <w:pPr>
        <w:pStyle w:val="CETemail"/>
        <w:rPr>
          <w:lang w:val="en-US"/>
        </w:rPr>
      </w:pPr>
      <w:r w:rsidRPr="00D21194">
        <w:rPr>
          <w:lang w:val="en-US"/>
        </w:rPr>
        <w:t>guillaume.fayet@ineris.fr</w:t>
      </w:r>
    </w:p>
    <w:p w14:paraId="70DE34BF" w14:textId="77777777" w:rsidR="009A6C33" w:rsidRPr="00D21194" w:rsidRDefault="009A6C33" w:rsidP="009A6C33">
      <w:pPr>
        <w:pStyle w:val="CETBodytext"/>
        <w:rPr>
          <w:lang w:val="en-GB"/>
        </w:rPr>
      </w:pPr>
    </w:p>
    <w:p w14:paraId="179A72A8" w14:textId="302FEE4B" w:rsidR="009A6C33" w:rsidRPr="00D21194" w:rsidRDefault="00000000" w:rsidP="009A6C33">
      <w:pPr>
        <w:pStyle w:val="CETBodytext"/>
        <w:rPr>
          <w:lang w:val="en-GB"/>
        </w:rPr>
      </w:pPr>
      <w:bookmarkStart w:id="1" w:name="_Hlk177739733"/>
      <w:r w:rsidRPr="00D21194">
        <w:rPr>
          <w:lang w:val="en-GB"/>
        </w:rPr>
        <w:t>The physical hazards of chemical mixtures are typically characterized using experimental tools</w:t>
      </w:r>
      <w:r w:rsidR="00A44C84" w:rsidRPr="00D21194">
        <w:rPr>
          <w:lang w:val="en-GB"/>
        </w:rPr>
        <w:t xml:space="preserve"> that could benefit to be prioritized by using predictive methods</w:t>
      </w:r>
      <w:r w:rsidRPr="00D21194">
        <w:rPr>
          <w:lang w:val="en-GB"/>
        </w:rPr>
        <w:t xml:space="preserve">. </w:t>
      </w:r>
      <w:r w:rsidR="00A44C84" w:rsidRPr="00D21194">
        <w:rPr>
          <w:lang w:val="en-GB"/>
        </w:rPr>
        <w:t>Indeed, experimental</w:t>
      </w:r>
      <w:r w:rsidRPr="00D21194">
        <w:rPr>
          <w:lang w:val="en-GB"/>
        </w:rPr>
        <w:t xml:space="preserve"> tests can be costly, complex, time-consuming, and potentially dangerous for the operator. In the last decades, particularly with the implementation of the REACH regulation, predictive methods such as QSAR/QSPR (Quantitative Structure-Activity/Property Relationships) have been encouraged and utilized as rapid and economical alternatives to experimental testing for determining (eco)toxicological and physical hazards of chemical substances. </w:t>
      </w:r>
    </w:p>
    <w:p w14:paraId="1B2D66D5" w14:textId="22752A0E" w:rsidR="009A6C33" w:rsidRPr="00D21194" w:rsidRDefault="00000000" w:rsidP="009A6C33">
      <w:pPr>
        <w:pStyle w:val="CETBodytext"/>
        <w:rPr>
          <w:lang w:val="en-GB"/>
        </w:rPr>
      </w:pPr>
      <w:r w:rsidRPr="00D21194">
        <w:rPr>
          <w:lang w:val="en-GB"/>
        </w:rPr>
        <w:t>Initially designed for pure compounds, adaptations of the QSPR approach were proposed to predict the properties of mixtures even if their development, in particular for physical hazards, is still an emerging field</w:t>
      </w:r>
      <w:r w:rsidR="00573EA8" w:rsidRPr="00D21194">
        <w:rPr>
          <w:lang w:val="en-GB"/>
        </w:rPr>
        <w:t>.</w:t>
      </w:r>
      <w:r w:rsidRPr="00D21194">
        <w:rPr>
          <w:lang w:val="en-GB"/>
        </w:rPr>
        <w:t xml:space="preserve"> </w:t>
      </w:r>
      <w:r w:rsidR="00573EA8" w:rsidRPr="00D21194">
        <w:rPr>
          <w:lang w:val="en-GB"/>
        </w:rPr>
        <w:t>Indeed</w:t>
      </w:r>
      <w:r w:rsidR="00376B38" w:rsidRPr="00D21194">
        <w:rPr>
          <w:lang w:val="en-GB"/>
        </w:rPr>
        <w:t>,</w:t>
      </w:r>
      <w:r w:rsidR="00573EA8" w:rsidRPr="00D21194">
        <w:rPr>
          <w:lang w:val="en-GB"/>
        </w:rPr>
        <w:t xml:space="preserve"> </w:t>
      </w:r>
      <w:r w:rsidRPr="00D21194">
        <w:rPr>
          <w:lang w:val="en-GB"/>
        </w:rPr>
        <w:t>existing QSPR models still present some limitations to complement mixing rules and experimental approaches, and there is a need for new and more reliable models to extend applicability and improve prediction accuracy. A possible orientation could be using advanced machine learning approaches, taking advantage of scientific progress in artificial intelligence beyond classical multilinear regressions. More complex non-linear approaches (such as neural networks or random forests) have recently been used with the hope of better accounting for mixture complexity in QSPR models for mixtures.</w:t>
      </w:r>
    </w:p>
    <w:p w14:paraId="37CEBE04" w14:textId="19AC556F" w:rsidR="009A6C33" w:rsidRPr="00D21194" w:rsidRDefault="00000000" w:rsidP="009A6C33">
      <w:pPr>
        <w:pStyle w:val="CETBodytext"/>
        <w:rPr>
          <w:lang w:val="en-GB"/>
        </w:rPr>
      </w:pPr>
      <w:r w:rsidRPr="00D21194">
        <w:rPr>
          <w:lang w:val="en-GB"/>
        </w:rPr>
        <w:t xml:space="preserve">This research aims to investigate if integrating advanced AI analytical methods can enhance the performance and applicability of QSPR models for predicting the physical hazards of chemical mixtures. </w:t>
      </w:r>
      <w:r w:rsidR="00EB2B36" w:rsidRPr="00D21194">
        <w:rPr>
          <w:lang w:val="en-GB"/>
        </w:rPr>
        <w:t>To this end</w:t>
      </w:r>
      <w:r w:rsidRPr="00D21194">
        <w:rPr>
          <w:lang w:val="en-GB"/>
        </w:rPr>
        <w:t xml:space="preserve">, applications of different machine learning methods were tested to evidence the advantages and limits of these Advanced AI </w:t>
      </w:r>
      <w:r w:rsidR="00FD59A9" w:rsidRPr="00D21194">
        <w:rPr>
          <w:lang w:val="en-GB"/>
        </w:rPr>
        <w:t>algorithms</w:t>
      </w:r>
      <w:r w:rsidRPr="00D21194">
        <w:rPr>
          <w:lang w:val="en-GB"/>
        </w:rPr>
        <w:t xml:space="preserve"> compared to the more classical MLR approach when developing models for the flammability of liquid mixtures.</w:t>
      </w:r>
      <w:bookmarkEnd w:id="1"/>
    </w:p>
    <w:p w14:paraId="115C619E" w14:textId="77777777" w:rsidR="00600535" w:rsidRPr="00D21194" w:rsidRDefault="00000000" w:rsidP="00600535">
      <w:pPr>
        <w:pStyle w:val="CETHeading1"/>
        <w:rPr>
          <w:lang w:val="en-GB"/>
        </w:rPr>
      </w:pPr>
      <w:r w:rsidRPr="00D21194">
        <w:rPr>
          <w:lang w:val="en-GB"/>
        </w:rPr>
        <w:t>Introduction</w:t>
      </w:r>
    </w:p>
    <w:p w14:paraId="2019ACCA" w14:textId="77777777" w:rsidR="005B2F05" w:rsidRPr="00D21194" w:rsidRDefault="00000000" w:rsidP="00353916">
      <w:pPr>
        <w:pStyle w:val="CETHeading1"/>
        <w:numPr>
          <w:ilvl w:val="0"/>
          <w:numId w:val="0"/>
        </w:numPr>
        <w:spacing w:before="0" w:after="0"/>
        <w:jc w:val="both"/>
        <w:rPr>
          <w:b w:val="0"/>
          <w:sz w:val="18"/>
          <w:lang w:val="en-GB"/>
        </w:rPr>
      </w:pPr>
      <w:r w:rsidRPr="00D21194">
        <w:rPr>
          <w:b w:val="0"/>
          <w:sz w:val="18"/>
          <w:lang w:val="en-GB"/>
        </w:rPr>
        <w:t>Dealing with the physical hazards of chemical mixtures is inherently complex not only due to the need for multiple tests to account for concentration effects but also regarding the effects of interactions between substances within the mixtures</w:t>
      </w:r>
      <w:r w:rsidR="00EB2B36" w:rsidRPr="00D21194">
        <w:rPr>
          <w:b w:val="0"/>
          <w:sz w:val="18"/>
          <w:lang w:val="en-GB"/>
        </w:rPr>
        <w:t>, possibly complex and non-linear. Indeed, the complexity of chemical mixtures arises from the myriad interactions between different components, which can significantly alter their physical properties</w:t>
      </w:r>
      <w:r w:rsidRPr="00D21194">
        <w:rPr>
          <w:b w:val="0"/>
          <w:sz w:val="18"/>
          <w:lang w:val="en-GB"/>
        </w:rPr>
        <w:t xml:space="preserve">. So, </w:t>
      </w:r>
      <w:r w:rsidR="00F32A81" w:rsidRPr="00D21194">
        <w:rPr>
          <w:b w:val="0"/>
          <w:sz w:val="18"/>
          <w:lang w:val="en-GB"/>
        </w:rPr>
        <w:t xml:space="preserve">the </w:t>
      </w:r>
      <w:r w:rsidRPr="00D21194">
        <w:rPr>
          <w:b w:val="0"/>
          <w:sz w:val="18"/>
          <w:lang w:val="en-GB"/>
        </w:rPr>
        <w:t xml:space="preserve">experimental campaigns needed to investigate the hazard profiles of mixtures completely can be costly and time-consuming. </w:t>
      </w:r>
    </w:p>
    <w:p w14:paraId="14067250" w14:textId="77777777" w:rsidR="00EB2B36" w:rsidRPr="00D21194" w:rsidRDefault="00000000" w:rsidP="00EB2B36">
      <w:pPr>
        <w:pStyle w:val="CETHeading1"/>
        <w:numPr>
          <w:ilvl w:val="0"/>
          <w:numId w:val="0"/>
        </w:numPr>
        <w:spacing w:before="0" w:after="0"/>
        <w:jc w:val="both"/>
        <w:rPr>
          <w:b w:val="0"/>
          <w:sz w:val="18"/>
          <w:lang w:val="en-GB"/>
        </w:rPr>
      </w:pPr>
      <w:r w:rsidRPr="00D21194">
        <w:rPr>
          <w:b w:val="0"/>
          <w:sz w:val="18"/>
          <w:lang w:val="en-GB"/>
        </w:rPr>
        <w:t>Among existing predictive methods, Quantitative Structure-Property Relationships (QSPR) revealed as efficient and economical alternatives to traditional experimental testing for assessing the (eco)toxicological and physical hazards of chemical substances even in regulatory frameworks like the European REACH regulation</w:t>
      </w:r>
      <w:r w:rsidR="00ED2B75" w:rsidRPr="00D21194">
        <w:rPr>
          <w:b w:val="0"/>
          <w:sz w:val="18"/>
          <w:lang w:val="en-GB"/>
        </w:rPr>
        <w:t xml:space="preserve"> </w:t>
      </w:r>
      <w:r w:rsidR="00CC1377" w:rsidRPr="00D21194">
        <w:rPr>
          <w:b w:val="0"/>
          <w:sz w:val="18"/>
          <w:lang w:val="en-GB"/>
        </w:rPr>
        <w:fldChar w:fldCharType="begin"/>
      </w:r>
      <w:r w:rsidR="00CC1377" w:rsidRPr="00D21194">
        <w:rPr>
          <w:b w:val="0"/>
          <w:sz w:val="18"/>
          <w:lang w:val="en-GB"/>
        </w:rPr>
        <w:instrText xml:space="preserve"> ADDIN EN.CITE &lt;EndNote&gt;&lt;Cite&gt;&lt;Author&gt;Nieto-Draghi&lt;/Author&gt;&lt;Year&gt;2015&lt;/Year&gt;&lt;RecNum&gt;1128&lt;/RecNum&gt;&lt;DisplayText&gt;(Nieto-Draghi et al., 2015)&lt;/DisplayText&gt;&lt;record&gt;&lt;rec-number&gt;1128&lt;/rec-number&gt;&lt;foreign-keys&gt;&lt;key app="EN" db-id="vew222vrz0s9v5eeratvas0qpzt5eerr22zz" timestamp="0"&gt;1128&lt;/key&gt;&lt;/foreign-keys&gt;&lt;ref-type name="Journal Article"&gt;17&lt;/ref-type&gt;&lt;contributors&gt;&lt;authors&gt;&lt;author&gt;Nieto-Draghi, Carlos&lt;/author&gt;&lt;author&gt;Fayet, Guillaume &lt;/author&gt;&lt;author&gt;Creton, Benoit &lt;/author&gt;&lt;author&gt;Rozanska, Xavier &lt;/author&gt;&lt;author&gt;Rotureau,  Patricia&lt;/author&gt;&lt;author&gt;De Hemptinne, Jean-Charles &lt;/author&gt;&lt;author&gt;Ungerer, Philippe &lt;/author&gt;&lt;author&gt;Rousseau, Bernard&lt;/author&gt;&lt;author&gt;Adamo,  Carlo&lt;/author&gt;&lt;/authors&gt;&lt;/contributors&gt;&lt;titles&gt;&lt;title&gt;A General Guidebook for the Theoretical Prediction of Physico-Chemical Properties of Chemicals for Regulatory Purposes&lt;/title&gt;&lt;secondary-title&gt;Chemical Reviews&lt;/secondary-title&gt;&lt;alt-title&gt;Chem. Rev.&lt;/alt-title&gt;&lt;/titles&gt;&lt;periodical&gt;&lt;full-title&gt;Chemical Reviews&lt;/full-title&gt;&lt;abbr-1&gt;Chem. Rev.&lt;/abbr-1&gt;&lt;abbr-2&gt;Chem Rev&lt;/abbr-2&gt;&lt;/periodical&gt;&lt;alt-periodical&gt;&lt;full-title&gt;Chemical Reviews&lt;/full-title&gt;&lt;abbr-1&gt;Chem. Rev.&lt;/abbr-1&gt;&lt;abbr-2&gt;Chem Rev&lt;/abbr-2&gt;&lt;/alt-periodical&gt;&lt;pages&gt;13093-13164&lt;/pages&gt;&lt;volume&gt;115&lt;/volume&gt;&lt;number&gt;24&lt;/number&gt;&lt;section&gt;13093&lt;/section&gt;&lt;dates&gt;&lt;year&gt;2015&lt;/year&gt;&lt;/dates&gt;&lt;urls&gt;&lt;/urls&gt;&lt;electronic-resource-num&gt;https://doi.org/10.1021/acs.chemrev.5b00215&lt;/electronic-resource-num&gt;&lt;/record&gt;&lt;/Cite&gt;&lt;/EndNote&gt;</w:instrText>
      </w:r>
      <w:r w:rsidR="00CC1377" w:rsidRPr="00D21194">
        <w:rPr>
          <w:b w:val="0"/>
          <w:sz w:val="18"/>
          <w:lang w:val="en-GB"/>
        </w:rPr>
        <w:fldChar w:fldCharType="separate"/>
      </w:r>
      <w:r w:rsidR="00CC1377" w:rsidRPr="00D21194">
        <w:rPr>
          <w:b w:val="0"/>
          <w:noProof/>
          <w:sz w:val="18"/>
          <w:lang w:val="en-GB"/>
        </w:rPr>
        <w:t>(Nieto-Draghi et al., 2015)</w:t>
      </w:r>
      <w:r w:rsidR="00CC1377" w:rsidRPr="00D21194">
        <w:rPr>
          <w:b w:val="0"/>
          <w:sz w:val="18"/>
          <w:lang w:val="en-GB"/>
        </w:rPr>
        <w:fldChar w:fldCharType="end"/>
      </w:r>
      <w:r w:rsidRPr="00D21194">
        <w:rPr>
          <w:b w:val="0"/>
          <w:sz w:val="18"/>
          <w:lang w:val="en-GB"/>
        </w:rPr>
        <w:t>. Nevertheless, these models were initially developed for pure compounds and their adaptation to predict the properties of mixtures remains an emerging field</w:t>
      </w:r>
      <w:r w:rsidR="00ED2B75" w:rsidRPr="00D21194">
        <w:rPr>
          <w:b w:val="0"/>
          <w:sz w:val="18"/>
          <w:lang w:val="en-GB"/>
        </w:rPr>
        <w:t xml:space="preserve"> </w:t>
      </w:r>
      <w:r w:rsidR="00CC1377" w:rsidRPr="00D21194">
        <w:rPr>
          <w:b w:val="0"/>
          <w:sz w:val="18"/>
          <w:lang w:val="en-GB"/>
        </w:rPr>
        <w:fldChar w:fldCharType="begin"/>
      </w:r>
      <w:r w:rsidR="00CC1377" w:rsidRPr="00D21194">
        <w:rPr>
          <w:b w:val="0"/>
          <w:sz w:val="18"/>
          <w:lang w:val="en-GB"/>
        </w:rPr>
        <w:instrText xml:space="preserve"> ADDIN EN.CITE &lt;EndNote&gt;&lt;Cite&gt;&lt;Author&gt;Fayet&lt;/Author&gt;&lt;Year&gt;2023&lt;/Year&gt;&lt;RecNum&gt;1546&lt;/RecNum&gt;&lt;DisplayText&gt;(Fayet and Rotureau, 2023)&lt;/DisplayText&gt;&lt;record&gt;&lt;rec-number&gt;1546&lt;/rec-number&gt;&lt;foreign-keys&gt;&lt;key app="EN" db-id="vew222vrz0s9v5eeratvas0qpzt5eerr22zz" timestamp="1727431827"&gt;1546&lt;/key&gt;&lt;/foreign-keys&gt;&lt;ref-type name="Journal Article"&gt;17&lt;/ref-type&gt;&lt;contributors&gt;&lt;authors&gt;&lt;author&gt;Fayet, G.&lt;/author&gt;&lt;author&gt;Rotureau, P.&lt;/author&gt;&lt;/authors&gt;&lt;/contributors&gt;&lt;titles&gt;&lt;title&gt;QSPR models to predict the physical hazards of mixtures: a state of art&lt;/title&gt;&lt;secondary-title&gt;SAR and QSAR in Environmental Research&lt;/secondary-title&gt;&lt;/titles&gt;&lt;periodical&gt;&lt;full-title&gt;SAR and QSAR in Environmental Research&lt;/full-title&gt;&lt;abbr-1&gt;SAR QSAR Environ. Res.&lt;/abbr-1&gt;&lt;abbr-2&gt;SAR QSAR Environ Res&lt;/abbr-2&gt;&lt;/periodical&gt;&lt;pages&gt;745-764&lt;/pages&gt;&lt;volume&gt;34&lt;/volume&gt;&lt;number&gt;9&lt;/number&gt;&lt;dates&gt;&lt;year&gt;2023&lt;/year&gt;&lt;pub-dates&gt;&lt;date&gt;2023/09/02&lt;/date&gt;&lt;/pub-dates&gt;&lt;/dates&gt;&lt;publisher&gt;Taylor &amp;amp; Francis&lt;/publisher&gt;&lt;isbn&gt;1062-936X&lt;/isbn&gt;&lt;urls&gt;&lt;related-urls&gt;&lt;url&gt;https://doi.org/10.1080/1062936X.2023.2253150&lt;/url&gt;&lt;/related-urls&gt;&lt;/urls&gt;&lt;electronic-resource-num&gt;10.1080/1062936X.2023.2253150&lt;/electronic-resource-num&gt;&lt;/record&gt;&lt;/Cite&gt;&lt;/EndNote&gt;</w:instrText>
      </w:r>
      <w:r w:rsidR="00CC1377" w:rsidRPr="00D21194">
        <w:rPr>
          <w:b w:val="0"/>
          <w:sz w:val="18"/>
          <w:lang w:val="en-GB"/>
        </w:rPr>
        <w:fldChar w:fldCharType="separate"/>
      </w:r>
      <w:r w:rsidR="00CC1377" w:rsidRPr="00D21194">
        <w:rPr>
          <w:b w:val="0"/>
          <w:noProof/>
          <w:sz w:val="18"/>
          <w:lang w:val="en-GB"/>
        </w:rPr>
        <w:t>(Fayet and Rotureau, 2023)</w:t>
      </w:r>
      <w:r w:rsidR="00CC1377" w:rsidRPr="00D21194">
        <w:rPr>
          <w:b w:val="0"/>
          <w:sz w:val="18"/>
          <w:lang w:val="en-GB"/>
        </w:rPr>
        <w:fldChar w:fldCharType="end"/>
      </w:r>
      <w:r w:rsidRPr="00D21194">
        <w:rPr>
          <w:b w:val="0"/>
          <w:sz w:val="18"/>
          <w:lang w:val="en-GB"/>
        </w:rPr>
        <w:t xml:space="preserve">. Current models face limitations in accurately predicting physical hazards, necessitating the development of more reliable and applicable models. </w:t>
      </w:r>
      <w:r w:rsidR="00ED2B75" w:rsidRPr="00D21194">
        <w:rPr>
          <w:b w:val="0"/>
          <w:sz w:val="18"/>
          <w:lang w:val="en-GB"/>
        </w:rPr>
        <w:t>An</w:t>
      </w:r>
      <w:r w:rsidR="00F32A81" w:rsidRPr="00D21194">
        <w:rPr>
          <w:b w:val="0"/>
          <w:sz w:val="18"/>
          <w:lang w:val="en-GB"/>
        </w:rPr>
        <w:t xml:space="preserve"> area of progress for these models is to better account for the complexity of these systems in the QSPR models. </w:t>
      </w:r>
    </w:p>
    <w:p w14:paraId="565C31FD" w14:textId="11DC464E" w:rsidR="00EB2B36" w:rsidRPr="00D21194" w:rsidRDefault="00000000" w:rsidP="00CC1377">
      <w:pPr>
        <w:pStyle w:val="CETBodytext"/>
        <w:rPr>
          <w:lang w:val="en-GB"/>
        </w:rPr>
      </w:pPr>
      <w:r w:rsidRPr="00D21194">
        <w:rPr>
          <w:lang w:val="en-GB"/>
        </w:rPr>
        <w:t xml:space="preserve">In the last decade, Artificial Intelligence </w:t>
      </w:r>
      <w:r w:rsidR="003A11D5" w:rsidRPr="00D21194">
        <w:rPr>
          <w:lang w:val="en-GB"/>
        </w:rPr>
        <w:t xml:space="preserve">(AI) </w:t>
      </w:r>
      <w:r w:rsidRPr="00D21194">
        <w:rPr>
          <w:lang w:val="en-GB"/>
        </w:rPr>
        <w:t xml:space="preserve">methods have gained significant interest and popularity due to their ability to solve complex problems and make accurate predictions. AI techniques are notably transforming various domains within chemistry, including organic synthesis, drug discovery, and analytical techniques. For instance, machine learning models can predict reaction outcomes, optimize synthetic routes, and identify potential drug </w:t>
      </w:r>
      <w:r w:rsidRPr="00D21194">
        <w:rPr>
          <w:lang w:val="en-GB"/>
        </w:rPr>
        <w:lastRenderedPageBreak/>
        <w:t>candidates with high precision</w:t>
      </w:r>
      <w:r w:rsidRPr="00D21194">
        <w:t xml:space="preserve"> </w:t>
      </w:r>
      <w:r w:rsidR="00CC1377" w:rsidRPr="00D21194">
        <w:rPr>
          <w:lang w:val="en-GB"/>
        </w:rPr>
        <w:fldChar w:fldCharType="begin"/>
      </w:r>
      <w:r w:rsidR="00CC1377" w:rsidRPr="00D21194">
        <w:rPr>
          <w:lang w:val="en-GB"/>
        </w:rPr>
        <w:instrText xml:space="preserve"> ADDIN EN.CITE &lt;EndNote&gt;&lt;Cite&gt;&lt;Author&gt;Joshi&lt;/Author&gt;&lt;Year&gt;2023&lt;/Year&gt;&lt;RecNum&gt;1545&lt;/RecNum&gt;&lt;DisplayText&gt;(Joshi, 2023)&lt;/DisplayText&gt;&lt;record&gt;&lt;rec-number&gt;1545&lt;/rec-number&gt;&lt;foreign-keys&gt;&lt;key app="EN" db-id="vew222vrz0s9v5eeratvas0qpzt5eerr22zz" timestamp="1727431209"&gt;1545&lt;/key&gt;&lt;/foreign-keys&gt;&lt;ref-type name="Journal Article"&gt;17&lt;/ref-type&gt;&lt;contributors&gt;&lt;authors&gt;&lt;author&gt;Joshi, Payal B.&lt;/author&gt;&lt;/authors&gt;&lt;/contributors&gt;&lt;titles&gt;&lt;title&gt;Navigating with chemometrics and machine learning in chemistry&lt;/title&gt;&lt;secondary-title&gt;Artificial Intelligence Review&lt;/secondary-title&gt;&lt;/titles&gt;&lt;periodical&gt;&lt;full-title&gt;Artificial Intelligence Review&lt;/full-title&gt;&lt;/periodical&gt;&lt;pages&gt;9089-9114&lt;/pages&gt;&lt;volume&gt;56&lt;/volume&gt;&lt;number&gt;9&lt;/number&gt;&lt;dates&gt;&lt;year&gt;2023&lt;/year&gt;&lt;pub-dates&gt;&lt;date&gt;2023/09/01&lt;/date&gt;&lt;/pub-dates&gt;&lt;/dates&gt;&lt;isbn&gt;1573-7462&lt;/isbn&gt;&lt;urls&gt;&lt;related-urls&gt;&lt;url&gt;https://doi.org/10.1007/s10462-023-10391-w&lt;/url&gt;&lt;/related-urls&gt;&lt;/urls&gt;&lt;electronic-resource-num&gt;10.1007/s10462-023-10391-w&lt;/electronic-resource-num&gt;&lt;/record&gt;&lt;/Cite&gt;&lt;/EndNote&gt;</w:instrText>
      </w:r>
      <w:r w:rsidR="00CC1377" w:rsidRPr="00D21194">
        <w:rPr>
          <w:lang w:val="en-GB"/>
        </w:rPr>
        <w:fldChar w:fldCharType="separate"/>
      </w:r>
      <w:r w:rsidR="00CC1377" w:rsidRPr="00D21194">
        <w:rPr>
          <w:noProof/>
          <w:lang w:val="en-GB"/>
        </w:rPr>
        <w:t>(Joshi, 2023)</w:t>
      </w:r>
      <w:r w:rsidR="00CC1377" w:rsidRPr="00D21194">
        <w:rPr>
          <w:lang w:val="en-GB"/>
        </w:rPr>
        <w:fldChar w:fldCharType="end"/>
      </w:r>
      <w:r w:rsidRPr="00D21194">
        <w:rPr>
          <w:lang w:val="en-GB"/>
        </w:rPr>
        <w:t>. These advancements are not only accelerating research but also improving the efficiency and accuracy of chemical experiments</w:t>
      </w:r>
      <w:r w:rsidR="00A44C84" w:rsidRPr="00D21194">
        <w:rPr>
          <w:lang w:val="en-GB"/>
        </w:rPr>
        <w:t xml:space="preserve"> </w:t>
      </w:r>
      <w:r w:rsidR="0012142B" w:rsidRPr="00D21194">
        <w:rPr>
          <w:lang w:val="en-GB"/>
        </w:rPr>
        <w:fldChar w:fldCharType="begin">
          <w:fldData xml:space="preserve">PEVuZE5vdGU+PENpdGU+PEF1dGhvcj5BYWwgRSBBbGk8L0F1dGhvcj48WWVhcj4yMDI0PC9ZZWFy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</w:fldData>
        </w:fldChar>
      </w:r>
      <w:r w:rsidR="0012142B" w:rsidRPr="00D21194">
        <w:rPr>
          <w:lang w:val="en-GB"/>
        </w:rPr>
        <w:instrText xml:space="preserve"> ADDIN EN.CITE </w:instrText>
      </w:r>
      <w:r w:rsidR="0012142B" w:rsidRPr="00D21194">
        <w:rPr>
          <w:lang w:val="en-GB"/>
        </w:rPr>
        <w:fldChar w:fldCharType="begin">
          <w:fldData xml:space="preserve">PEVuZE5vdGU+PENpdGU+PEF1dGhvcj5BYWwgRSBBbGk8L0F1dGhvcj48WWVhcj4yMDI0PC9ZZWFy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</w:fldData>
        </w:fldChar>
      </w:r>
      <w:r w:rsidR="0012142B" w:rsidRPr="00D21194">
        <w:rPr>
          <w:lang w:val="en-GB"/>
        </w:rPr>
        <w:instrText xml:space="preserve"> ADDIN EN.CITE.DATA </w:instrText>
      </w:r>
      <w:r w:rsidR="0012142B" w:rsidRPr="00D21194">
        <w:rPr>
          <w:lang w:val="en-GB"/>
        </w:rPr>
      </w:r>
      <w:r w:rsidR="0012142B" w:rsidRPr="00D21194">
        <w:rPr>
          <w:lang w:val="en-GB"/>
        </w:rPr>
        <w:fldChar w:fldCharType="end"/>
      </w:r>
      <w:r w:rsidR="0012142B" w:rsidRPr="00D21194">
        <w:rPr>
          <w:lang w:val="en-GB"/>
        </w:rPr>
      </w:r>
      <w:r w:rsidR="0012142B" w:rsidRPr="00D21194">
        <w:rPr>
          <w:lang w:val="en-GB"/>
        </w:rPr>
        <w:fldChar w:fldCharType="separate"/>
      </w:r>
      <w:r w:rsidR="0012142B" w:rsidRPr="00D21194">
        <w:rPr>
          <w:noProof/>
          <w:lang w:val="en-GB"/>
        </w:rPr>
        <w:t>(Aal E Ali et al., 2024; Lin and Mo, 2024)</w:t>
      </w:r>
      <w:r w:rsidR="0012142B" w:rsidRPr="00D21194">
        <w:rPr>
          <w:lang w:val="en-GB"/>
        </w:rPr>
        <w:fldChar w:fldCharType="end"/>
      </w:r>
      <w:r w:rsidRPr="00D21194">
        <w:rPr>
          <w:lang w:val="en-GB"/>
        </w:rPr>
        <w:t xml:space="preserve">. </w:t>
      </w:r>
    </w:p>
    <w:p w14:paraId="29F6A954" w14:textId="237398FD" w:rsidR="00EB2B36" w:rsidRPr="00D21194" w:rsidRDefault="00FD59A9" w:rsidP="00FD59A9">
      <w:pPr>
        <w:pStyle w:val="CETBodytext"/>
        <w:rPr>
          <w:b/>
          <w:lang w:val="en-GB"/>
        </w:rPr>
      </w:pPr>
      <w:r w:rsidRPr="00D21194">
        <w:rPr>
          <w:lang w:val="en-GB"/>
        </w:rPr>
        <w:t xml:space="preserve">In this context, this study challenges </w:t>
      </w:r>
      <w:r w:rsidR="001922F6" w:rsidRPr="00D21194">
        <w:rPr>
          <w:lang w:val="en-GB"/>
        </w:rPr>
        <w:t>the</w:t>
      </w:r>
      <w:r w:rsidRPr="00D21194">
        <w:rPr>
          <w:lang w:val="en-GB"/>
        </w:rPr>
        <w:t xml:space="preserve"> integrati</w:t>
      </w:r>
      <w:r w:rsidR="001922F6" w:rsidRPr="00D21194">
        <w:rPr>
          <w:lang w:val="en-GB"/>
        </w:rPr>
        <w:t>o</w:t>
      </w:r>
      <w:r w:rsidRPr="00D21194">
        <w:rPr>
          <w:lang w:val="en-GB"/>
        </w:rPr>
        <w:t>n</w:t>
      </w:r>
      <w:r w:rsidR="001922F6" w:rsidRPr="00D21194">
        <w:rPr>
          <w:lang w:val="en-GB"/>
        </w:rPr>
        <w:t xml:space="preserve"> of</w:t>
      </w:r>
      <w:r w:rsidRPr="00D21194">
        <w:rPr>
          <w:lang w:val="en-GB"/>
        </w:rPr>
        <w:t xml:space="preserve"> advanced AI methods </w:t>
      </w:r>
      <w:r w:rsidR="001922F6" w:rsidRPr="00D21194">
        <w:rPr>
          <w:lang w:val="en-GB"/>
        </w:rPr>
        <w:t>in QSPR models, particularly for predicting the flammability of liquid mixtures</w:t>
      </w:r>
      <w:r w:rsidRPr="00D21194">
        <w:rPr>
          <w:lang w:val="en-GB"/>
        </w:rPr>
        <w:t xml:space="preserve">. </w:t>
      </w:r>
      <w:r w:rsidR="005B1BC3" w:rsidRPr="00D21194">
        <w:rPr>
          <w:lang w:val="en-GB"/>
        </w:rPr>
        <w:t xml:space="preserve">Considering that we successfully developed QSPR models based on multilinear regression for the flash point of chemical mixtures in previous works </w:t>
      </w:r>
      <w:r w:rsidR="005B1BC3" w:rsidRPr="00D21194">
        <w:rPr>
          <w:lang w:val="en-GB"/>
        </w:rPr>
        <w:fldChar w:fldCharType="begin">
          <w:fldData xml:space="preserve">PEVuZE5vdGU+PENpdGU+PEF1dGhvcj5HYXVkaW48L0F1dGhvcj48WWVhcj4yMDE1PC9ZZWFyPjxS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</w:fldData>
        </w:fldChar>
      </w:r>
      <w:r w:rsidR="005B1BC3" w:rsidRPr="00D21194">
        <w:rPr>
          <w:lang w:val="en-GB"/>
        </w:rPr>
        <w:instrText xml:space="preserve"> ADDIN EN.CITE </w:instrText>
      </w:r>
      <w:r w:rsidR="005B1BC3" w:rsidRPr="00D21194">
        <w:rPr>
          <w:lang w:val="en-GB"/>
        </w:rPr>
        <w:fldChar w:fldCharType="begin">
          <w:fldData xml:space="preserve">PEVuZE5vdGU+PENpdGU+PEF1dGhvcj5HYXVkaW48L0F1dGhvcj48WWVhcj4yMDE1PC9ZZWFyPjxS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</w:fldData>
        </w:fldChar>
      </w:r>
      <w:r w:rsidR="005B1BC3" w:rsidRPr="00D21194">
        <w:rPr>
          <w:lang w:val="en-GB"/>
        </w:rPr>
        <w:instrText xml:space="preserve"> ADDIN EN.CITE.DATA </w:instrText>
      </w:r>
      <w:r w:rsidR="005B1BC3" w:rsidRPr="00D21194">
        <w:rPr>
          <w:lang w:val="en-GB"/>
        </w:rPr>
      </w:r>
      <w:r w:rsidR="005B1BC3" w:rsidRPr="00D21194">
        <w:rPr>
          <w:lang w:val="en-GB"/>
        </w:rPr>
        <w:fldChar w:fldCharType="separate"/>
      </w:r>
      <w:r w:rsidR="005B1BC3" w:rsidRPr="00D21194">
        <w:rPr>
          <w:lang w:val="en-GB"/>
        </w:rPr>
        <w:fldChar w:fldCharType="end"/>
      </w:r>
      <w:r w:rsidR="005B1BC3" w:rsidRPr="00D21194">
        <w:rPr>
          <w:lang w:val="en-GB"/>
        </w:rPr>
      </w:r>
      <w:r w:rsidR="005B1BC3" w:rsidRPr="00D21194">
        <w:rPr>
          <w:lang w:val="en-GB"/>
        </w:rPr>
        <w:fldChar w:fldCharType="separate"/>
      </w:r>
      <w:r w:rsidR="005B1BC3" w:rsidRPr="00D21194">
        <w:rPr>
          <w:lang w:val="en-GB"/>
        </w:rPr>
        <w:t>(Fayet and Rotureau, 2019; Gaudin et al., 2015)</w:t>
      </w:r>
      <w:r w:rsidR="005B1BC3" w:rsidRPr="00D21194">
        <w:rPr>
          <w:lang w:val="en-GB"/>
        </w:rPr>
        <w:fldChar w:fldCharType="end"/>
      </w:r>
      <w:r w:rsidR="005B1BC3" w:rsidRPr="00D21194">
        <w:rPr>
          <w:lang w:val="en-GB"/>
        </w:rPr>
        <w:t>, d</w:t>
      </w:r>
      <w:r w:rsidR="00CC1377" w:rsidRPr="00D21194">
        <w:rPr>
          <w:lang w:val="en-GB"/>
        </w:rPr>
        <w:t>ifferent algorithms (random forest, support vector regressions, neural networks)</w:t>
      </w:r>
      <w:r w:rsidRPr="00D21194">
        <w:rPr>
          <w:lang w:val="en-GB"/>
        </w:rPr>
        <w:t xml:space="preserve"> </w:t>
      </w:r>
      <w:r w:rsidR="0012142B" w:rsidRPr="00D21194">
        <w:rPr>
          <w:lang w:val="en-GB"/>
        </w:rPr>
        <w:t>a</w:t>
      </w:r>
      <w:r w:rsidRPr="00D21194">
        <w:rPr>
          <w:lang w:val="en-GB"/>
        </w:rPr>
        <w:t>re</w:t>
      </w:r>
      <w:r w:rsidR="0012142B" w:rsidRPr="00D21194">
        <w:rPr>
          <w:lang w:val="en-GB"/>
        </w:rPr>
        <w:t xml:space="preserve"> here</w:t>
      </w:r>
      <w:r w:rsidRPr="00D21194">
        <w:rPr>
          <w:lang w:val="en-GB"/>
        </w:rPr>
        <w:t xml:space="preserve"> applied to derive </w:t>
      </w:r>
      <w:r w:rsidR="005B1BC3" w:rsidRPr="00D21194">
        <w:rPr>
          <w:lang w:val="en-GB"/>
        </w:rPr>
        <w:t xml:space="preserve">new </w:t>
      </w:r>
      <w:r w:rsidRPr="00D21194">
        <w:rPr>
          <w:lang w:val="en-GB"/>
        </w:rPr>
        <w:t xml:space="preserve">models for the prediction of </w:t>
      </w:r>
      <w:r w:rsidR="005B1BC3" w:rsidRPr="00D21194">
        <w:rPr>
          <w:lang w:val="en-GB"/>
        </w:rPr>
        <w:t>this safety property</w:t>
      </w:r>
      <w:r w:rsidRPr="00D21194">
        <w:rPr>
          <w:lang w:val="en-GB"/>
        </w:rPr>
        <w:t xml:space="preserve">. By </w:t>
      </w:r>
      <w:r w:rsidR="00905E8B" w:rsidRPr="00D21194">
        <w:rPr>
          <w:lang w:val="en-GB"/>
        </w:rPr>
        <w:t>comparing</w:t>
      </w:r>
      <w:r w:rsidRPr="00D21194">
        <w:rPr>
          <w:lang w:val="en-GB"/>
        </w:rPr>
        <w:t xml:space="preserve"> existing models </w:t>
      </w:r>
      <w:r w:rsidR="00905E8B" w:rsidRPr="00D21194">
        <w:rPr>
          <w:lang w:val="en-GB"/>
        </w:rPr>
        <w:t>with the new ones, issued from</w:t>
      </w:r>
      <w:r w:rsidRPr="00D21194">
        <w:rPr>
          <w:lang w:val="en-GB"/>
        </w:rPr>
        <w:t xml:space="preserve"> various machine learning approaches, this research aims to evidence the possible improvements in prediction accuracy and model applicability </w:t>
      </w:r>
      <w:r w:rsidR="005B1BC3" w:rsidRPr="00D21194">
        <w:rPr>
          <w:lang w:val="en-GB"/>
        </w:rPr>
        <w:t xml:space="preserve">for mixtures </w:t>
      </w:r>
      <w:r w:rsidRPr="00D21194">
        <w:rPr>
          <w:lang w:val="en-GB"/>
        </w:rPr>
        <w:t>offered by advanced AI techniques compared to traditional multilinear regression methods, as well as their limits.</w:t>
      </w:r>
    </w:p>
    <w:p w14:paraId="76CABD00" w14:textId="77777777" w:rsidR="00453E24" w:rsidRPr="00D21194" w:rsidRDefault="00000000" w:rsidP="005B2F05">
      <w:pPr>
        <w:pStyle w:val="CETHeading1"/>
      </w:pPr>
      <w:r w:rsidRPr="00D21194">
        <w:t>QSPR models to predict the physical hazards of mixtures</w:t>
      </w:r>
    </w:p>
    <w:p w14:paraId="5AC19FC3" w14:textId="10790CA8" w:rsidR="00765A7C" w:rsidRPr="00D21194" w:rsidRDefault="00000000" w:rsidP="00765A7C">
      <w:pPr>
        <w:pStyle w:val="CETBodytext"/>
        <w:rPr>
          <w:lang w:val="en-GB"/>
        </w:rPr>
      </w:pPr>
      <w:r w:rsidRPr="00D21194">
        <w:t>The development of QSPR models for mixtures is</w:t>
      </w:r>
      <w:r w:rsidR="00376B38" w:rsidRPr="00D21194">
        <w:t xml:space="preserve"> </w:t>
      </w:r>
      <w:r w:rsidR="00A54455" w:rsidRPr="00D21194">
        <w:t>still challenging</w:t>
      </w:r>
      <w:r w:rsidRPr="00D21194">
        <w:t>, in particular when focusing on physical hazards. In a recent review</w:t>
      </w:r>
      <w:r w:rsidR="0079176F" w:rsidRPr="00D21194">
        <w:t xml:space="preserve"> </w:t>
      </w:r>
      <w:r w:rsidR="006A25C1" w:rsidRPr="00D21194">
        <w:fldChar w:fldCharType="begin"/>
      </w:r>
      <w:r w:rsidR="006A25C1" w:rsidRPr="00D21194">
        <w:instrText xml:space="preserve"> ADDIN EN.CITE &lt;EndNote&gt;&lt;Cite&gt;&lt;Author&gt;Fayet&lt;/Author&gt;&lt;Year&gt;2023&lt;/Year&gt;&lt;RecNum&gt;1546&lt;/RecNum&gt;&lt;DisplayText&gt;(Fayet and Rotureau, 2023)&lt;/DisplayText&gt;&lt;record&gt;&lt;rec-number&gt;1546&lt;/rec-number&gt;&lt;foreign-keys&gt;&lt;key app="EN" db-id="vew222vrz0s9v5eeratvas0qpzt5eerr22zz" timestamp="1727431827"&gt;1546&lt;/key&gt;&lt;/foreign-keys&gt;&lt;ref-type name="Journal Article"&gt;17&lt;/ref-type&gt;&lt;contributors&gt;&lt;authors&gt;&lt;author&gt;Fayet, G.&lt;/author&gt;&lt;author&gt;Rotureau, P.&lt;/author&gt;&lt;/authors&gt;&lt;/contributors&gt;&lt;titles&gt;&lt;title&gt;QSPR models to predict the physical hazards of mixtures: a state of art&lt;/title&gt;&lt;secondary-title&gt;SAR and QSAR in Environmental Research&lt;/secondary-title&gt;&lt;/titles&gt;&lt;periodical&gt;&lt;full-title&gt;SAR and QSAR in Environmental Research&lt;/full-title&gt;&lt;abbr-1&gt;SAR QSAR Environ. Res.&lt;/abbr-1&gt;&lt;abbr-2&gt;SAR QSAR Environ Res&lt;/abbr-2&gt;&lt;/periodical&gt;&lt;pages&gt;745-764&lt;/pages&gt;&lt;volume&gt;34&lt;/volume&gt;&lt;number&gt;9&lt;/number&gt;&lt;dates&gt;&lt;year&gt;2023&lt;/year&gt;&lt;pub-dates&gt;&lt;date&gt;2023/09/02&lt;/date&gt;&lt;/pub-dates&gt;&lt;/dates&gt;&lt;publisher&gt;Taylor &amp;amp; Francis&lt;/publisher&gt;&lt;isbn&gt;1062-936X&lt;/isbn&gt;&lt;urls&gt;&lt;related-urls&gt;&lt;url&gt;https://doi.org/10.1080/1062936X.2023.2253150&lt;/url&gt;&lt;/related-urls&gt;&lt;/urls&gt;&lt;electronic-resource-num&gt;10.1080/1062936X.2023.2253150&lt;/electronic-resource-num&gt;&lt;/record&gt;&lt;/Cite&gt;&lt;/EndNote&gt;</w:instrText>
      </w:r>
      <w:r w:rsidR="006A25C1" w:rsidRPr="00D21194">
        <w:fldChar w:fldCharType="separate"/>
      </w:r>
      <w:r w:rsidR="006A25C1" w:rsidRPr="00D21194">
        <w:rPr>
          <w:noProof/>
        </w:rPr>
        <w:t>(Fayet and Rotureau, 2023)</w:t>
      </w:r>
      <w:r w:rsidR="006A25C1" w:rsidRPr="00D21194">
        <w:fldChar w:fldCharType="end"/>
      </w:r>
      <w:r w:rsidRPr="00D21194">
        <w:t xml:space="preserve">, we only identified 23 </w:t>
      </w:r>
      <w:r w:rsidR="00FD59A9" w:rsidRPr="00D21194">
        <w:t>articles</w:t>
      </w:r>
      <w:r w:rsidRPr="00D21194">
        <w:t xml:space="preserve"> (</w:t>
      </w:r>
      <w:r w:rsidR="00FD59A9" w:rsidRPr="00D21194">
        <w:t xml:space="preserve">all </w:t>
      </w:r>
      <w:r w:rsidRPr="00D21194">
        <w:t xml:space="preserve">published after 2013) that were related to a few </w:t>
      </w:r>
      <w:r w:rsidR="00FD59A9" w:rsidRPr="00D21194">
        <w:t xml:space="preserve">physical hazard </w:t>
      </w:r>
      <w:r w:rsidRPr="00D21194">
        <w:t xml:space="preserve">properties (mainly flammability). Indeed, </w:t>
      </w:r>
      <w:r w:rsidR="00A54455" w:rsidRPr="00D21194">
        <w:t xml:space="preserve">experimental </w:t>
      </w:r>
      <w:r w:rsidRPr="00D21194">
        <w:t xml:space="preserve">data </w:t>
      </w:r>
      <w:r w:rsidR="00A54455" w:rsidRPr="00D21194">
        <w:t xml:space="preserve">related to </w:t>
      </w:r>
      <w:r w:rsidRPr="00D21194">
        <w:t>these properties are more likely available than other physical hazards</w:t>
      </w:r>
      <w:r w:rsidR="00A54455" w:rsidRPr="00D21194">
        <w:t xml:space="preserve"> due to required safety data linked to the development of new fuels for example</w:t>
      </w:r>
      <w:r w:rsidRPr="00D21194">
        <w:t>. However, these data (about 1500 data for the largest dataset used) are, in general, not very diversified in terms of</w:t>
      </w:r>
      <w:r w:rsidR="00A54455" w:rsidRPr="00D21194">
        <w:t xml:space="preserve"> included</w:t>
      </w:r>
      <w:r w:rsidRPr="00D21194">
        <w:t xml:space="preserve"> chemical compounds </w:t>
      </w:r>
      <w:r w:rsidR="00A54455" w:rsidRPr="00D21194">
        <w:t>(</w:t>
      </w:r>
      <w:r w:rsidR="00E64B16" w:rsidRPr="00D21194">
        <w:t>a limited number of different pure compounds</w:t>
      </w:r>
      <w:r w:rsidR="00A54455" w:rsidRPr="00D21194">
        <w:t xml:space="preserve">) </w:t>
      </w:r>
      <w:r w:rsidRPr="00D21194">
        <w:t>and mostly dedicated to simple mixtures</w:t>
      </w:r>
      <w:r w:rsidRPr="00D21194">
        <w:rPr>
          <w:lang w:val="en-GB"/>
        </w:rPr>
        <w:t xml:space="preserve"> (binary or ternary). </w:t>
      </w:r>
    </w:p>
    <w:p w14:paraId="511AD1EF" w14:textId="0D17F874" w:rsidR="00A5109F" w:rsidRPr="00D21194" w:rsidRDefault="00000000" w:rsidP="00765A7C">
      <w:pPr>
        <w:pStyle w:val="CETBodytext"/>
        <w:rPr>
          <w:lang w:val="en-GB"/>
        </w:rPr>
      </w:pPr>
      <w:r w:rsidRPr="00D21194">
        <w:rPr>
          <w:rFonts w:cstheme="minorHAnsi"/>
        </w:rPr>
        <w:t xml:space="preserve">The most commonly used approach to encode the concentration effects in </w:t>
      </w:r>
      <w:r w:rsidR="00FD59A9" w:rsidRPr="00D21194">
        <w:rPr>
          <w:rFonts w:cstheme="minorHAnsi"/>
        </w:rPr>
        <w:t xml:space="preserve">these </w:t>
      </w:r>
      <w:r w:rsidRPr="00D21194">
        <w:rPr>
          <w:rFonts w:cstheme="minorHAnsi"/>
        </w:rPr>
        <w:t>models consist</w:t>
      </w:r>
      <w:r w:rsidR="00FD59A9" w:rsidRPr="00D21194">
        <w:rPr>
          <w:rFonts w:cstheme="minorHAnsi"/>
        </w:rPr>
        <w:t>ed</w:t>
      </w:r>
      <w:r w:rsidRPr="00D21194">
        <w:rPr>
          <w:rFonts w:cstheme="minorHAnsi"/>
        </w:rPr>
        <w:t xml:space="preserve"> of the calculation of mixture descriptors obtained from molecular descriptors of the different constituents and their respective concentrations in the mixture according to different formulas like those proposed in previous work</w:t>
      </w:r>
      <w:r w:rsidR="006A25C1" w:rsidRPr="00D21194">
        <w:t xml:space="preserve"> </w:t>
      </w:r>
      <w:r w:rsidR="006A25C1" w:rsidRPr="00D21194">
        <w:rPr>
          <w:rFonts w:cstheme="minorHAnsi"/>
        </w:rPr>
        <w:fldChar w:fldCharType="begin"/>
      </w:r>
      <w:r w:rsidR="006A25C1" w:rsidRPr="00D21194">
        <w:rPr>
          <w:rFonts w:cstheme="minorHAnsi"/>
        </w:rPr>
        <w:instrText xml:space="preserve"> ADDIN EN.CITE &lt;EndNote&gt;&lt;Cite&gt;&lt;Author&gt;Gaudin&lt;/Author&gt;&lt;Year&gt;2015&lt;/Year&gt;&lt;RecNum&gt;1082&lt;/RecNum&gt;&lt;DisplayText&gt;(Gaudin et al., 2015)&lt;/DisplayText&gt;&lt;record&gt;&lt;rec-number&gt;1082&lt;/rec-number&gt;&lt;foreign-keys&gt;&lt;key app="EN" db-id="vew222vrz0s9v5eeratvas0qpzt5eerr22zz" timestamp="0"&gt;1082&lt;/key&gt;&lt;/foreign-keys&gt;&lt;ref-type name="Journal Article"&gt;17&lt;/ref-type&gt;&lt;contributors&gt;&lt;authors&gt;&lt;author&gt;Gaudin, Théophile&lt;/author&gt;&lt;author&gt;Rotureau, Patricia&lt;/author&gt;&lt;author&gt;Fayet, Guillaume&lt;/author&gt;&lt;/authors&gt;&lt;/contributors&gt;&lt;titles&gt;&lt;title&gt;Mixture Descriptors toward the Development of Quantitative Structure-Property Relationship Models for the Flash Points of Organic Mixtures&lt;/title&gt;&lt;secondary-title&gt;Industrial &amp;amp; Engineering Chemistry Research&lt;/secondary-title&gt;&lt;alt-title&gt;Ind. Eng. Chem. Res.&lt;/alt-title&gt;&lt;/titles&gt;&lt;periodical&gt;&lt;full-title&gt;Industrial &amp;amp; Engineering Chemistry Research&lt;/full-title&gt;&lt;abbr-1&gt;Ind. Eng. Chem. Res.&lt;/abbr-1&gt;&lt;abbr-2&gt;Ind Eng Chem Res&lt;/abbr-2&gt;&lt;/periodical&gt;&lt;alt-periodical&gt;&lt;full-title&gt;Ind. Eng. Chem. Res.&lt;/full-title&gt;&lt;abbr-1&gt;Ind. Eng. Chem. Res.&lt;/abbr-1&gt;&lt;/alt-periodical&gt;&lt;pages&gt;6596-6604&lt;/pages&gt;&lt;volume&gt;54&lt;/volume&gt;&lt;number&gt;25&lt;/number&gt;&lt;section&gt;6596&lt;/section&gt;&lt;dates&gt;&lt;year&gt;2015&lt;/year&gt;&lt;/dates&gt;&lt;publisher&gt;American Chemical Society&lt;/publisher&gt;&lt;urls&gt;&lt;related-urls&gt;&lt;url&gt;http://dx.doi.org/10.1021/acs.iecr.5b01457 &lt;/url&gt;&lt;/related-urls&gt;&lt;/urls&gt;&lt;electronic-resource-num&gt;https://doi.org/10.1021/acs.iecr.5b01457&lt;/electronic-resource-num&gt;&lt;/record&gt;&lt;/Cite&gt;&lt;/EndNote&gt;</w:instrText>
      </w:r>
      <w:r w:rsidR="006A25C1" w:rsidRPr="00D21194">
        <w:rPr>
          <w:rFonts w:cstheme="minorHAnsi"/>
        </w:rPr>
        <w:fldChar w:fldCharType="separate"/>
      </w:r>
      <w:r w:rsidR="006A25C1" w:rsidRPr="00D21194">
        <w:rPr>
          <w:rFonts w:cstheme="minorHAnsi"/>
          <w:noProof/>
        </w:rPr>
        <w:t>(Gaudin et al., 2015)</w:t>
      </w:r>
      <w:r w:rsidR="006A25C1" w:rsidRPr="00D21194">
        <w:rPr>
          <w:rFonts w:cstheme="minorHAnsi"/>
        </w:rPr>
        <w:fldChar w:fldCharType="end"/>
      </w:r>
      <w:r w:rsidRPr="00D21194">
        <w:rPr>
          <w:rFonts w:cstheme="minorHAnsi"/>
        </w:rPr>
        <w:t xml:space="preserve"> (see Table 1). </w:t>
      </w:r>
    </w:p>
    <w:p w14:paraId="0CF48C5A" w14:textId="77777777" w:rsidR="00E22A54" w:rsidRPr="00D21194" w:rsidRDefault="00000000" w:rsidP="00E22A54">
      <w:pPr>
        <w:pStyle w:val="CETTabletitle"/>
      </w:pPr>
      <w:r w:rsidRPr="00D21194">
        <w:t>Table 1: List of formulas used to calculate mixture descriptors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82"/>
        <w:gridCol w:w="2369"/>
        <w:gridCol w:w="2369"/>
        <w:gridCol w:w="2367"/>
      </w:tblGrid>
      <w:tr w:rsidR="00D21194" w:rsidRPr="00D21194" w14:paraId="348BB34E" w14:textId="47347D0E" w:rsidTr="004D6BB1">
        <w:trPr>
          <w:trHeight w:val="254"/>
        </w:trPr>
        <w:tc>
          <w:tcPr>
            <w:tcW w:w="957" w:type="pct"/>
            <w:tcBorders>
              <w:top w:val="single" w:sz="12" w:space="0" w:color="008000"/>
              <w:bottom w:val="single" w:sz="6" w:space="0" w:color="008000"/>
            </w:tcBorders>
            <w:shd w:val="clear" w:color="auto" w:fill="FFFFFF"/>
          </w:tcPr>
          <w:p w14:paraId="1CB919F6" w14:textId="77777777" w:rsidR="004D6BB1" w:rsidRPr="00D21194" w:rsidRDefault="004D6BB1" w:rsidP="004D6BB1">
            <w:pPr>
              <w:pStyle w:val="CETBodytext"/>
              <w:rPr>
                <w:rFonts w:cs="Arial"/>
                <w:szCs w:val="18"/>
                <w:lang w:val="en-GB"/>
              </w:rPr>
            </w:pPr>
            <w:r w:rsidRPr="00D21194">
              <w:rPr>
                <w:rFonts w:cs="Arial"/>
                <w:szCs w:val="18"/>
                <w:lang w:val="en-GB"/>
              </w:rPr>
              <w:t>ID</w:t>
            </w:r>
          </w:p>
        </w:tc>
        <w:tc>
          <w:tcPr>
            <w:tcW w:w="1348" w:type="pct"/>
            <w:tcBorders>
              <w:top w:val="single" w:sz="12" w:space="0" w:color="008000"/>
              <w:bottom w:val="single" w:sz="6" w:space="0" w:color="008000"/>
            </w:tcBorders>
            <w:shd w:val="clear" w:color="auto" w:fill="FFFFFF"/>
          </w:tcPr>
          <w:p w14:paraId="0425ADDD" w14:textId="77777777" w:rsidR="004D6BB1" w:rsidRPr="00D21194" w:rsidRDefault="004D6BB1" w:rsidP="004D6BB1">
            <w:pPr>
              <w:pStyle w:val="CETBodytext"/>
              <w:rPr>
                <w:rFonts w:cs="Arial"/>
                <w:szCs w:val="18"/>
                <w:lang w:val="en-GB"/>
              </w:rPr>
            </w:pPr>
            <w:r w:rsidRPr="00D21194">
              <w:rPr>
                <w:rFonts w:cs="Arial"/>
                <w:szCs w:val="18"/>
                <w:lang w:val="en-GB"/>
              </w:rPr>
              <w:t>Formula</w:t>
            </w:r>
          </w:p>
        </w:tc>
        <w:tc>
          <w:tcPr>
            <w:tcW w:w="1348" w:type="pct"/>
            <w:tcBorders>
              <w:top w:val="single" w:sz="12" w:space="0" w:color="008000"/>
              <w:bottom w:val="single" w:sz="6" w:space="0" w:color="008000"/>
            </w:tcBorders>
            <w:shd w:val="clear" w:color="auto" w:fill="FFFFFF"/>
          </w:tcPr>
          <w:p w14:paraId="43AE5DCC" w14:textId="08D6BB3E" w:rsidR="004D6BB1" w:rsidRPr="00D21194" w:rsidRDefault="004D6BB1" w:rsidP="004D6BB1">
            <w:pPr>
              <w:pStyle w:val="CETBodytext"/>
              <w:rPr>
                <w:rFonts w:cs="Arial"/>
                <w:szCs w:val="18"/>
                <w:lang w:val="en-GB"/>
              </w:rPr>
            </w:pPr>
            <w:r w:rsidRPr="00D21194">
              <w:rPr>
                <w:rFonts w:cs="Arial"/>
                <w:szCs w:val="18"/>
                <w:lang w:val="en-GB"/>
              </w:rPr>
              <w:t>ID</w:t>
            </w:r>
          </w:p>
        </w:tc>
        <w:tc>
          <w:tcPr>
            <w:tcW w:w="1347" w:type="pct"/>
            <w:tcBorders>
              <w:top w:val="single" w:sz="12" w:space="0" w:color="008000"/>
              <w:bottom w:val="single" w:sz="6" w:space="0" w:color="008000"/>
            </w:tcBorders>
            <w:shd w:val="clear" w:color="auto" w:fill="FFFFFF"/>
          </w:tcPr>
          <w:p w14:paraId="1351418A" w14:textId="30D9EF53" w:rsidR="004D6BB1" w:rsidRPr="00D21194" w:rsidRDefault="004D6BB1" w:rsidP="004D6BB1">
            <w:pPr>
              <w:pStyle w:val="CETBodytext"/>
              <w:rPr>
                <w:rFonts w:cs="Arial"/>
                <w:szCs w:val="18"/>
                <w:lang w:val="en-GB"/>
              </w:rPr>
            </w:pPr>
            <w:r w:rsidRPr="00D21194">
              <w:rPr>
                <w:rFonts w:cs="Arial"/>
                <w:szCs w:val="18"/>
                <w:lang w:val="en-GB"/>
              </w:rPr>
              <w:t>Formula</w:t>
            </w:r>
          </w:p>
        </w:tc>
      </w:tr>
      <w:tr w:rsidR="00D21194" w:rsidRPr="00D21194" w14:paraId="5504A099" w14:textId="2F4C0A39" w:rsidTr="004D6BB1">
        <w:trPr>
          <w:trHeight w:val="254"/>
        </w:trPr>
        <w:tc>
          <w:tcPr>
            <w:tcW w:w="957" w:type="pct"/>
            <w:shd w:val="clear" w:color="auto" w:fill="FFFFFF"/>
          </w:tcPr>
          <w:p w14:paraId="6E6A7DC4" w14:textId="77777777" w:rsidR="004D6BB1" w:rsidRPr="00D21194" w:rsidRDefault="004D6BB1" w:rsidP="00460C89">
            <w:pPr>
              <w:pStyle w:val="CETBodytext"/>
              <w:rPr>
                <w:rFonts w:cs="Arial"/>
                <w:bCs/>
                <w:iCs/>
                <w:szCs w:val="18"/>
                <w:lang w:val="en-GB"/>
              </w:rPr>
            </w:pPr>
            <w:r w:rsidRPr="00D21194">
              <w:rPr>
                <w:rFonts w:cs="Arial"/>
                <w:bCs/>
                <w:iCs/>
                <w:szCs w:val="18"/>
              </w:rPr>
              <w:t xml:space="preserve">mol_sum </w:t>
            </w:r>
          </w:p>
        </w:tc>
        <w:tc>
          <w:tcPr>
            <w:tcW w:w="1348" w:type="pct"/>
            <w:shd w:val="clear" w:color="auto" w:fill="FFFFFF"/>
          </w:tcPr>
          <w:p w14:paraId="0667BE85" w14:textId="77777777" w:rsidR="004D6BB1" w:rsidRPr="00D21194" w:rsidRDefault="004D6BB1" w:rsidP="00460C89">
            <w:pPr>
              <w:pStyle w:val="CETBodytext"/>
              <w:rPr>
                <w:rFonts w:cs="Arial"/>
                <w:bCs/>
                <w:iCs/>
                <w:szCs w:val="18"/>
                <w:lang w:val="en-GB"/>
              </w:rPr>
            </w:pPr>
            <w:r w:rsidRPr="00D21194">
              <w:rPr>
                <w:rFonts w:eastAsiaTheme="minorHAnsi" w:cs="Arial"/>
                <w:bCs/>
                <w:iCs/>
                <w:position w:val="-10"/>
                <w:szCs w:val="18"/>
              </w:rPr>
              <w:object w:dxaOrig="1072" w:dyaOrig="264" w14:anchorId="12597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3.5pt" o:ole="">
                  <v:imagedata r:id="rId8" o:title=""/>
                </v:shape>
                <o:OLEObject Type="Embed" ProgID="Equation.3" ShapeID="_x0000_i1025" DrawAspect="Content" ObjectID="_1806315674" r:id="rId9"/>
              </w:object>
            </w:r>
          </w:p>
        </w:tc>
        <w:tc>
          <w:tcPr>
            <w:tcW w:w="1348" w:type="pct"/>
            <w:shd w:val="clear" w:color="auto" w:fill="FFFFFF"/>
          </w:tcPr>
          <w:p w14:paraId="1331044D"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5A7EBE69" w14:textId="77777777" w:rsidR="004D6BB1" w:rsidRPr="00D21194" w:rsidRDefault="004D6BB1" w:rsidP="00460C89">
            <w:pPr>
              <w:pStyle w:val="CETBodytext"/>
              <w:rPr>
                <w:rFonts w:eastAsiaTheme="minorHAnsi" w:cs="Arial"/>
                <w:bCs/>
                <w:iCs/>
                <w:szCs w:val="18"/>
              </w:rPr>
            </w:pPr>
          </w:p>
        </w:tc>
      </w:tr>
      <w:tr w:rsidR="00D21194" w:rsidRPr="00D21194" w14:paraId="360E071A" w14:textId="4B5BA413" w:rsidTr="004D6BB1">
        <w:trPr>
          <w:trHeight w:val="254"/>
        </w:trPr>
        <w:tc>
          <w:tcPr>
            <w:tcW w:w="957" w:type="pct"/>
            <w:shd w:val="clear" w:color="auto" w:fill="FFFFFF"/>
          </w:tcPr>
          <w:p w14:paraId="2D91F4D6" w14:textId="77777777" w:rsidR="004D6BB1" w:rsidRPr="00D21194" w:rsidRDefault="004D6BB1" w:rsidP="00460C89">
            <w:pPr>
              <w:pStyle w:val="CETBodytext"/>
              <w:rPr>
                <w:rFonts w:cs="Arial"/>
                <w:bCs/>
                <w:iCs/>
                <w:szCs w:val="18"/>
                <w:lang w:val="en-GB"/>
              </w:rPr>
            </w:pPr>
            <w:r w:rsidRPr="00D21194">
              <w:rPr>
                <w:rFonts w:cs="Arial"/>
                <w:bCs/>
                <w:iCs/>
                <w:szCs w:val="18"/>
              </w:rPr>
              <w:t xml:space="preserve">fmol_diff </w:t>
            </w:r>
          </w:p>
        </w:tc>
        <w:tc>
          <w:tcPr>
            <w:tcW w:w="1348" w:type="pct"/>
            <w:shd w:val="clear" w:color="auto" w:fill="FFFFFF"/>
          </w:tcPr>
          <w:p w14:paraId="536A74C2" w14:textId="77777777" w:rsidR="004D6BB1" w:rsidRPr="00D21194" w:rsidRDefault="004D6BB1" w:rsidP="00460C89">
            <w:pPr>
              <w:pStyle w:val="CETBodytext"/>
              <w:rPr>
                <w:rFonts w:cs="Arial"/>
                <w:bCs/>
                <w:iCs/>
                <w:szCs w:val="18"/>
                <w:lang w:val="en-GB"/>
              </w:rPr>
            </w:pPr>
            <w:r w:rsidRPr="00D21194">
              <w:rPr>
                <w:rFonts w:eastAsiaTheme="minorHAnsi" w:cs="Arial"/>
                <w:bCs/>
                <w:iCs/>
                <w:position w:val="-14"/>
                <w:szCs w:val="18"/>
              </w:rPr>
              <w:object w:dxaOrig="1304" w:dyaOrig="302" w14:anchorId="0D80B1C1">
                <v:shape id="_x0000_i1026" type="#_x0000_t75" style="width:65.25pt;height:15pt" o:ole="">
                  <v:imagedata r:id="rId10" o:title=""/>
                </v:shape>
                <o:OLEObject Type="Embed" ProgID="Equation.3" ShapeID="_x0000_i1026" DrawAspect="Content" ObjectID="_1806315675" r:id="rId11"/>
              </w:object>
            </w:r>
          </w:p>
        </w:tc>
        <w:tc>
          <w:tcPr>
            <w:tcW w:w="1348" w:type="pct"/>
            <w:shd w:val="clear" w:color="auto" w:fill="FFFFFF"/>
          </w:tcPr>
          <w:p w14:paraId="15B25641"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75A3BDEC" w14:textId="77777777" w:rsidR="004D6BB1" w:rsidRPr="00D21194" w:rsidRDefault="004D6BB1" w:rsidP="00460C89">
            <w:pPr>
              <w:pStyle w:val="CETBodytext"/>
              <w:rPr>
                <w:rFonts w:eastAsiaTheme="minorHAnsi" w:cs="Arial"/>
                <w:bCs/>
                <w:iCs/>
                <w:szCs w:val="18"/>
              </w:rPr>
            </w:pPr>
          </w:p>
        </w:tc>
      </w:tr>
      <w:tr w:rsidR="00D21194" w:rsidRPr="00D21194" w14:paraId="0A4B4C3F" w14:textId="25B9FD6C" w:rsidTr="004D6BB1">
        <w:trPr>
          <w:trHeight w:val="254"/>
        </w:trPr>
        <w:tc>
          <w:tcPr>
            <w:tcW w:w="957" w:type="pct"/>
            <w:shd w:val="clear" w:color="auto" w:fill="FFFFFF"/>
          </w:tcPr>
          <w:p w14:paraId="53333501" w14:textId="77777777" w:rsidR="004D6BB1" w:rsidRPr="00D21194" w:rsidRDefault="004D6BB1" w:rsidP="00460C89">
            <w:pPr>
              <w:pStyle w:val="CETBodytext"/>
              <w:rPr>
                <w:rFonts w:cs="Arial"/>
                <w:bCs/>
                <w:iCs/>
                <w:szCs w:val="18"/>
                <w:lang w:val="en-GB"/>
              </w:rPr>
            </w:pPr>
            <w:r w:rsidRPr="00D21194">
              <w:rPr>
                <w:rFonts w:cs="Arial"/>
                <w:bCs/>
                <w:iCs/>
                <w:szCs w:val="18"/>
              </w:rPr>
              <w:t xml:space="preserve">sqr_fmol </w:t>
            </w:r>
          </w:p>
        </w:tc>
        <w:tc>
          <w:tcPr>
            <w:tcW w:w="1348" w:type="pct"/>
            <w:shd w:val="clear" w:color="auto" w:fill="FFFFFF"/>
          </w:tcPr>
          <w:p w14:paraId="6E8548EB" w14:textId="77777777" w:rsidR="004D6BB1" w:rsidRPr="00D21194" w:rsidRDefault="004D6BB1" w:rsidP="00460C89">
            <w:pPr>
              <w:pStyle w:val="CETBodytext"/>
              <w:rPr>
                <w:rFonts w:cs="Arial"/>
                <w:bCs/>
                <w:iCs/>
                <w:szCs w:val="18"/>
                <w:lang w:val="en-GB"/>
              </w:rPr>
            </w:pPr>
            <w:r w:rsidRPr="00D21194">
              <w:rPr>
                <w:rFonts w:eastAsiaTheme="minorHAnsi" w:cs="Arial"/>
                <w:bCs/>
                <w:iCs/>
                <w:position w:val="-10"/>
                <w:szCs w:val="18"/>
              </w:rPr>
              <w:object w:dxaOrig="1188" w:dyaOrig="259" w14:anchorId="1D2FFF8C">
                <v:shape id="_x0000_i1027" type="#_x0000_t75" style="width:59.25pt;height:12.75pt" o:ole="">
                  <v:imagedata r:id="rId12" o:title=""/>
                </v:shape>
                <o:OLEObject Type="Embed" ProgID="Equation.3" ShapeID="_x0000_i1027" DrawAspect="Content" ObjectID="_1806315676" r:id="rId13"/>
              </w:object>
            </w:r>
          </w:p>
        </w:tc>
        <w:tc>
          <w:tcPr>
            <w:tcW w:w="1348" w:type="pct"/>
            <w:shd w:val="clear" w:color="auto" w:fill="FFFFFF"/>
          </w:tcPr>
          <w:p w14:paraId="6B3BE748"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7424A732" w14:textId="77777777" w:rsidR="004D6BB1" w:rsidRPr="00D21194" w:rsidRDefault="004D6BB1" w:rsidP="00460C89">
            <w:pPr>
              <w:pStyle w:val="CETBodytext"/>
              <w:rPr>
                <w:rFonts w:eastAsiaTheme="minorHAnsi" w:cs="Arial"/>
                <w:bCs/>
                <w:iCs/>
                <w:szCs w:val="18"/>
              </w:rPr>
            </w:pPr>
          </w:p>
        </w:tc>
      </w:tr>
      <w:tr w:rsidR="00D21194" w:rsidRPr="00D21194" w14:paraId="31D7870D" w14:textId="3D2F14B0" w:rsidTr="004D6BB1">
        <w:trPr>
          <w:trHeight w:val="254"/>
        </w:trPr>
        <w:tc>
          <w:tcPr>
            <w:tcW w:w="957" w:type="pct"/>
            <w:shd w:val="clear" w:color="auto" w:fill="FFFFFF"/>
          </w:tcPr>
          <w:p w14:paraId="05B8BD85" w14:textId="77777777" w:rsidR="004D6BB1" w:rsidRPr="00D21194" w:rsidRDefault="004D6BB1" w:rsidP="00460C89">
            <w:pPr>
              <w:pStyle w:val="CETBodytext"/>
              <w:rPr>
                <w:rFonts w:cs="Arial"/>
                <w:bCs/>
                <w:iCs/>
                <w:szCs w:val="18"/>
              </w:rPr>
            </w:pPr>
            <w:r w:rsidRPr="00D21194">
              <w:rPr>
                <w:rFonts w:cs="Arial"/>
                <w:bCs/>
                <w:iCs/>
                <w:szCs w:val="18"/>
              </w:rPr>
              <w:t xml:space="preserve">root_fmol </w:t>
            </w:r>
          </w:p>
        </w:tc>
        <w:tc>
          <w:tcPr>
            <w:tcW w:w="1348" w:type="pct"/>
            <w:shd w:val="clear" w:color="auto" w:fill="FFFFFF"/>
          </w:tcPr>
          <w:p w14:paraId="1B4B4660" w14:textId="77777777" w:rsidR="004D6BB1" w:rsidRPr="00D21194" w:rsidRDefault="004D6BB1" w:rsidP="00460C89">
            <w:pPr>
              <w:pStyle w:val="CETBodytext"/>
              <w:rPr>
                <w:rFonts w:eastAsiaTheme="minorHAnsi" w:cs="Arial"/>
                <w:bCs/>
                <w:iCs/>
                <w:szCs w:val="18"/>
              </w:rPr>
            </w:pPr>
            <w:r w:rsidRPr="00D21194">
              <w:rPr>
                <w:rFonts w:eastAsiaTheme="minorHAnsi" w:cs="Arial"/>
                <w:bCs/>
                <w:iCs/>
                <w:position w:val="-12"/>
                <w:szCs w:val="18"/>
              </w:rPr>
              <w:object w:dxaOrig="1478" w:dyaOrig="300" w14:anchorId="556B6DCF">
                <v:shape id="_x0000_i1028" type="#_x0000_t75" style="width:74.25pt;height:15pt" o:ole="">
                  <v:imagedata r:id="rId14" o:title=""/>
                </v:shape>
                <o:OLEObject Type="Embed" ProgID="Equation.3" ShapeID="_x0000_i1028" DrawAspect="Content" ObjectID="_1806315677" r:id="rId15"/>
              </w:object>
            </w:r>
          </w:p>
        </w:tc>
        <w:tc>
          <w:tcPr>
            <w:tcW w:w="1348" w:type="pct"/>
            <w:shd w:val="clear" w:color="auto" w:fill="FFFFFF"/>
          </w:tcPr>
          <w:p w14:paraId="52397097"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00A123BB" w14:textId="77777777" w:rsidR="004D6BB1" w:rsidRPr="00D21194" w:rsidRDefault="004D6BB1" w:rsidP="00460C89">
            <w:pPr>
              <w:pStyle w:val="CETBodytext"/>
              <w:rPr>
                <w:rFonts w:eastAsiaTheme="minorHAnsi" w:cs="Arial"/>
                <w:bCs/>
                <w:iCs/>
                <w:szCs w:val="18"/>
              </w:rPr>
            </w:pPr>
          </w:p>
        </w:tc>
      </w:tr>
      <w:tr w:rsidR="00D21194" w:rsidRPr="00D21194" w14:paraId="73B268A8" w14:textId="40E46C5D" w:rsidTr="004D6BB1">
        <w:trPr>
          <w:trHeight w:val="254"/>
        </w:trPr>
        <w:tc>
          <w:tcPr>
            <w:tcW w:w="957" w:type="pct"/>
            <w:shd w:val="clear" w:color="auto" w:fill="FFFFFF"/>
          </w:tcPr>
          <w:p w14:paraId="3464BDB6" w14:textId="77777777" w:rsidR="004D6BB1" w:rsidRPr="00D21194" w:rsidRDefault="004D6BB1" w:rsidP="00460C89">
            <w:pPr>
              <w:pStyle w:val="CETBodytext"/>
              <w:rPr>
                <w:rFonts w:cs="Arial"/>
                <w:bCs/>
                <w:iCs/>
                <w:szCs w:val="18"/>
              </w:rPr>
            </w:pPr>
            <w:r w:rsidRPr="00D21194">
              <w:rPr>
                <w:rFonts w:cs="Arial"/>
                <w:bCs/>
                <w:iCs/>
                <w:szCs w:val="18"/>
              </w:rPr>
              <w:t xml:space="preserve">sqr_fmol_sum </w:t>
            </w:r>
          </w:p>
        </w:tc>
        <w:tc>
          <w:tcPr>
            <w:tcW w:w="1348" w:type="pct"/>
            <w:shd w:val="clear" w:color="auto" w:fill="FFFFFF"/>
          </w:tcPr>
          <w:p w14:paraId="17CECD9B" w14:textId="77777777" w:rsidR="004D6BB1" w:rsidRPr="00D21194" w:rsidRDefault="004D6BB1" w:rsidP="00460C89">
            <w:pPr>
              <w:pStyle w:val="CETBodytext"/>
              <w:rPr>
                <w:rFonts w:eastAsiaTheme="minorHAnsi" w:cs="Arial"/>
                <w:bCs/>
                <w:iCs/>
                <w:szCs w:val="18"/>
              </w:rPr>
            </w:pPr>
            <w:r w:rsidRPr="00D21194">
              <w:rPr>
                <w:rFonts w:eastAsiaTheme="minorHAnsi" w:cs="Arial"/>
                <w:bCs/>
                <w:iCs/>
                <w:szCs w:val="18"/>
              </w:rPr>
              <w:object w:dxaOrig="1389" w:dyaOrig="287" w14:anchorId="156070C6">
                <v:shape id="_x0000_i1029" type="#_x0000_t75" style="width:69.75pt;height:14.25pt" o:ole="">
                  <v:imagedata r:id="rId16" o:title=""/>
                </v:shape>
                <o:OLEObject Type="Embed" ProgID="Equation.3" ShapeID="_x0000_i1029" DrawAspect="Content" ObjectID="_1806315678" r:id="rId17"/>
              </w:object>
            </w:r>
          </w:p>
        </w:tc>
        <w:tc>
          <w:tcPr>
            <w:tcW w:w="1348" w:type="pct"/>
            <w:shd w:val="clear" w:color="auto" w:fill="FFFFFF"/>
          </w:tcPr>
          <w:p w14:paraId="161E04CE"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18AB09B0" w14:textId="77777777" w:rsidR="004D6BB1" w:rsidRPr="00D21194" w:rsidRDefault="004D6BB1" w:rsidP="00460C89">
            <w:pPr>
              <w:pStyle w:val="CETBodytext"/>
              <w:rPr>
                <w:rFonts w:eastAsiaTheme="minorHAnsi" w:cs="Arial"/>
                <w:bCs/>
                <w:iCs/>
                <w:szCs w:val="18"/>
              </w:rPr>
            </w:pPr>
          </w:p>
        </w:tc>
      </w:tr>
      <w:tr w:rsidR="00D21194" w:rsidRPr="00D21194" w14:paraId="6F17FA77" w14:textId="749F56E9" w:rsidTr="004D6BB1">
        <w:trPr>
          <w:trHeight w:val="254"/>
        </w:trPr>
        <w:tc>
          <w:tcPr>
            <w:tcW w:w="957" w:type="pct"/>
            <w:shd w:val="clear" w:color="auto" w:fill="FFFFFF"/>
          </w:tcPr>
          <w:p w14:paraId="1E65DB76" w14:textId="77777777" w:rsidR="004D6BB1" w:rsidRPr="00D21194" w:rsidRDefault="004D6BB1" w:rsidP="00460C89">
            <w:pPr>
              <w:pStyle w:val="CETBodytext"/>
              <w:rPr>
                <w:rFonts w:cs="Arial"/>
                <w:bCs/>
                <w:iCs/>
                <w:szCs w:val="18"/>
              </w:rPr>
            </w:pPr>
            <w:r w:rsidRPr="00D21194">
              <w:rPr>
                <w:rFonts w:cs="Arial"/>
                <w:bCs/>
                <w:iCs/>
                <w:szCs w:val="18"/>
              </w:rPr>
              <w:t xml:space="preserve">norm_cont </w:t>
            </w:r>
          </w:p>
        </w:tc>
        <w:tc>
          <w:tcPr>
            <w:tcW w:w="1348" w:type="pct"/>
            <w:shd w:val="clear" w:color="auto" w:fill="FFFFFF"/>
          </w:tcPr>
          <w:p w14:paraId="44A0FD08" w14:textId="77777777" w:rsidR="004D6BB1" w:rsidRPr="00D21194" w:rsidRDefault="004D6BB1" w:rsidP="00460C89">
            <w:pPr>
              <w:pStyle w:val="CETBodytext"/>
              <w:rPr>
                <w:rFonts w:eastAsiaTheme="minorHAnsi" w:cs="Arial"/>
                <w:bCs/>
                <w:iCs/>
                <w:szCs w:val="18"/>
              </w:rPr>
            </w:pPr>
            <w:r w:rsidRPr="00D21194">
              <w:rPr>
                <w:rFonts w:eastAsiaTheme="minorHAnsi" w:cs="Arial"/>
                <w:bCs/>
                <w:iCs/>
                <w:position w:val="-12"/>
                <w:szCs w:val="18"/>
              </w:rPr>
              <w:object w:dxaOrig="1589" w:dyaOrig="369" w14:anchorId="2FD315DA">
                <v:shape id="_x0000_i1030" type="#_x0000_t75" style="width:79.5pt;height:18.75pt" o:ole="">
                  <v:imagedata r:id="rId18" o:title=""/>
                </v:shape>
                <o:OLEObject Type="Embed" ProgID="Equation.3" ShapeID="_x0000_i1030" DrawAspect="Content" ObjectID="_1806315679" r:id="rId19"/>
              </w:object>
            </w:r>
          </w:p>
        </w:tc>
        <w:tc>
          <w:tcPr>
            <w:tcW w:w="1348" w:type="pct"/>
            <w:shd w:val="clear" w:color="auto" w:fill="FFFFFF"/>
          </w:tcPr>
          <w:p w14:paraId="1FD62EC5"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76CCF46F" w14:textId="77777777" w:rsidR="004D6BB1" w:rsidRPr="00D21194" w:rsidRDefault="004D6BB1" w:rsidP="00460C89">
            <w:pPr>
              <w:pStyle w:val="CETBodytext"/>
              <w:rPr>
                <w:rFonts w:eastAsiaTheme="minorHAnsi" w:cs="Arial"/>
                <w:bCs/>
                <w:iCs/>
                <w:szCs w:val="18"/>
              </w:rPr>
            </w:pPr>
          </w:p>
        </w:tc>
      </w:tr>
      <w:tr w:rsidR="00D21194" w:rsidRPr="00D21194" w14:paraId="09D9DCFB" w14:textId="2FCA415C" w:rsidTr="004D6BB1">
        <w:trPr>
          <w:trHeight w:val="254"/>
        </w:trPr>
        <w:tc>
          <w:tcPr>
            <w:tcW w:w="957" w:type="pct"/>
            <w:shd w:val="clear" w:color="auto" w:fill="FFFFFF"/>
          </w:tcPr>
          <w:p w14:paraId="05F089EA" w14:textId="77777777" w:rsidR="004D6BB1" w:rsidRPr="00D21194" w:rsidRDefault="004D6BB1" w:rsidP="00460C89">
            <w:pPr>
              <w:pStyle w:val="CETBodytext"/>
              <w:rPr>
                <w:rFonts w:cs="Arial"/>
                <w:bCs/>
                <w:iCs/>
                <w:szCs w:val="18"/>
                <w:lang w:val="en-GB"/>
              </w:rPr>
            </w:pPr>
            <w:r w:rsidRPr="00D21194">
              <w:rPr>
                <w:rFonts w:cs="Arial"/>
                <w:bCs/>
                <w:iCs/>
                <w:szCs w:val="18"/>
              </w:rPr>
              <w:t xml:space="preserve">mol_dev </w:t>
            </w:r>
          </w:p>
        </w:tc>
        <w:tc>
          <w:tcPr>
            <w:tcW w:w="1348" w:type="pct"/>
            <w:shd w:val="clear" w:color="auto" w:fill="FFFFFF"/>
          </w:tcPr>
          <w:p w14:paraId="77E79206" w14:textId="77777777" w:rsidR="004D6BB1" w:rsidRPr="00D21194" w:rsidRDefault="004D6BB1" w:rsidP="00460C89">
            <w:pPr>
              <w:pStyle w:val="CETBodytext"/>
              <w:rPr>
                <w:rFonts w:cs="Arial"/>
                <w:bCs/>
                <w:iCs/>
                <w:szCs w:val="18"/>
                <w:lang w:val="en-GB"/>
              </w:rPr>
            </w:pPr>
            <w:r w:rsidRPr="00D21194">
              <w:rPr>
                <w:rFonts w:eastAsiaTheme="minorHAnsi" w:cs="Arial"/>
                <w:bCs/>
                <w:iCs/>
                <w:position w:val="-10"/>
                <w:szCs w:val="18"/>
              </w:rPr>
              <w:object w:dxaOrig="1090" w:dyaOrig="264" w14:anchorId="4FFA0F55">
                <v:shape id="_x0000_i1031" type="#_x0000_t75" style="width:54.75pt;height:13.5pt" o:ole="">
                  <v:imagedata r:id="rId20" o:title=""/>
                </v:shape>
                <o:OLEObject Type="Embed" ProgID="Equation.3" ShapeID="_x0000_i1031" DrawAspect="Content" ObjectID="_1806315680" r:id="rId21"/>
              </w:object>
            </w:r>
          </w:p>
        </w:tc>
        <w:tc>
          <w:tcPr>
            <w:tcW w:w="1348" w:type="pct"/>
            <w:shd w:val="clear" w:color="auto" w:fill="FFFFFF"/>
          </w:tcPr>
          <w:p w14:paraId="7D3A23C9"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3A7BCD28" w14:textId="77777777" w:rsidR="004D6BB1" w:rsidRPr="00D21194" w:rsidRDefault="004D6BB1" w:rsidP="00460C89">
            <w:pPr>
              <w:pStyle w:val="CETBodytext"/>
              <w:rPr>
                <w:rFonts w:eastAsiaTheme="minorHAnsi" w:cs="Arial"/>
                <w:bCs/>
                <w:iCs/>
                <w:szCs w:val="18"/>
              </w:rPr>
            </w:pPr>
          </w:p>
        </w:tc>
      </w:tr>
      <w:tr w:rsidR="00D21194" w:rsidRPr="00D21194" w14:paraId="2DCC5900" w14:textId="3A7A4A2E" w:rsidTr="004D6BB1">
        <w:trPr>
          <w:trHeight w:val="254"/>
        </w:trPr>
        <w:tc>
          <w:tcPr>
            <w:tcW w:w="957" w:type="pct"/>
            <w:shd w:val="clear" w:color="auto" w:fill="FFFFFF"/>
          </w:tcPr>
          <w:p w14:paraId="05FF32C6" w14:textId="77777777" w:rsidR="004D6BB1" w:rsidRPr="00D21194" w:rsidRDefault="004D6BB1" w:rsidP="00460C89">
            <w:pPr>
              <w:pStyle w:val="CETBodytext"/>
              <w:rPr>
                <w:rFonts w:cs="Arial"/>
                <w:bCs/>
                <w:iCs/>
                <w:szCs w:val="18"/>
                <w:lang w:val="en-GB"/>
              </w:rPr>
            </w:pPr>
            <w:r w:rsidRPr="00D21194">
              <w:rPr>
                <w:rFonts w:cs="Arial"/>
                <w:bCs/>
                <w:iCs/>
                <w:szCs w:val="18"/>
              </w:rPr>
              <w:t xml:space="preserve">sqr_mol_dev </w:t>
            </w:r>
          </w:p>
        </w:tc>
        <w:tc>
          <w:tcPr>
            <w:tcW w:w="1348" w:type="pct"/>
            <w:shd w:val="clear" w:color="auto" w:fill="FFFFFF"/>
          </w:tcPr>
          <w:p w14:paraId="2A4B8224" w14:textId="77777777" w:rsidR="004D6BB1" w:rsidRPr="00D21194" w:rsidRDefault="004D6BB1" w:rsidP="00460C89">
            <w:pPr>
              <w:pStyle w:val="CETBodytext"/>
              <w:rPr>
                <w:rFonts w:cs="Arial"/>
                <w:bCs/>
                <w:iCs/>
                <w:szCs w:val="18"/>
                <w:lang w:val="en-GB"/>
              </w:rPr>
            </w:pPr>
            <w:r w:rsidRPr="00D21194">
              <w:rPr>
                <w:rFonts w:eastAsiaTheme="minorHAnsi" w:cs="Arial"/>
                <w:bCs/>
                <w:iCs/>
                <w:position w:val="-10"/>
                <w:szCs w:val="18"/>
              </w:rPr>
              <w:object w:dxaOrig="1176" w:dyaOrig="279" w14:anchorId="472B0021">
                <v:shape id="_x0000_i1032" type="#_x0000_t75" style="width:58.5pt;height:14.25pt" o:ole="">
                  <v:imagedata r:id="rId22" o:title=""/>
                </v:shape>
                <o:OLEObject Type="Embed" ProgID="Equation.3" ShapeID="_x0000_i1032" DrawAspect="Content" ObjectID="_1806315681" r:id="rId23"/>
              </w:object>
            </w:r>
          </w:p>
        </w:tc>
        <w:tc>
          <w:tcPr>
            <w:tcW w:w="1348" w:type="pct"/>
            <w:shd w:val="clear" w:color="auto" w:fill="FFFFFF"/>
          </w:tcPr>
          <w:p w14:paraId="007C879A" w14:textId="77777777" w:rsidR="004D6BB1" w:rsidRPr="00D21194" w:rsidRDefault="004D6BB1" w:rsidP="00460C89">
            <w:pPr>
              <w:pStyle w:val="CETBodytext"/>
              <w:rPr>
                <w:rFonts w:eastAsiaTheme="minorHAnsi" w:cs="Arial"/>
                <w:bCs/>
                <w:iCs/>
                <w:szCs w:val="18"/>
              </w:rPr>
            </w:pPr>
          </w:p>
        </w:tc>
        <w:tc>
          <w:tcPr>
            <w:tcW w:w="1347" w:type="pct"/>
            <w:shd w:val="clear" w:color="auto" w:fill="FFFFFF"/>
          </w:tcPr>
          <w:p w14:paraId="446ADDF6" w14:textId="77777777" w:rsidR="004D6BB1" w:rsidRPr="00D21194" w:rsidRDefault="004D6BB1" w:rsidP="00460C89">
            <w:pPr>
              <w:pStyle w:val="CETBodytext"/>
              <w:rPr>
                <w:rFonts w:eastAsiaTheme="minorHAnsi" w:cs="Arial"/>
                <w:bCs/>
                <w:iCs/>
                <w:szCs w:val="18"/>
              </w:rPr>
            </w:pPr>
          </w:p>
        </w:tc>
      </w:tr>
      <w:tr w:rsidR="00D21194" w:rsidRPr="00D21194" w14:paraId="2A56B9D0" w14:textId="52D1F6FE" w:rsidTr="004D6BB1">
        <w:trPr>
          <w:trHeight w:val="271"/>
        </w:trPr>
        <w:tc>
          <w:tcPr>
            <w:tcW w:w="957" w:type="pct"/>
            <w:shd w:val="clear" w:color="auto" w:fill="FFFFFF"/>
          </w:tcPr>
          <w:p w14:paraId="137F1824" w14:textId="77777777" w:rsidR="004D6BB1" w:rsidRPr="00D21194" w:rsidRDefault="004D6BB1" w:rsidP="00460C89">
            <w:pPr>
              <w:pStyle w:val="CETBodytext"/>
              <w:ind w:right="-1"/>
              <w:rPr>
                <w:rFonts w:cs="Arial"/>
                <w:bCs/>
                <w:iCs/>
                <w:szCs w:val="18"/>
                <w:lang w:val="en-GB"/>
              </w:rPr>
            </w:pPr>
            <w:r w:rsidRPr="00D21194">
              <w:rPr>
                <w:rFonts w:cs="Arial"/>
                <w:bCs/>
                <w:iCs/>
                <w:szCs w:val="18"/>
              </w:rPr>
              <w:t xml:space="preserve">mol_dev_sqr </w:t>
            </w:r>
          </w:p>
        </w:tc>
        <w:tc>
          <w:tcPr>
            <w:tcW w:w="1348" w:type="pct"/>
            <w:shd w:val="clear" w:color="auto" w:fill="FFFFFF"/>
          </w:tcPr>
          <w:p w14:paraId="0DCDC6F7" w14:textId="77777777" w:rsidR="004D6BB1" w:rsidRPr="00D21194" w:rsidRDefault="004D6BB1" w:rsidP="00460C89">
            <w:pPr>
              <w:pStyle w:val="CETBodytext"/>
              <w:ind w:right="-1"/>
              <w:rPr>
                <w:rFonts w:cs="Arial"/>
                <w:bCs/>
                <w:iCs/>
                <w:szCs w:val="18"/>
                <w:lang w:val="en-GB"/>
              </w:rPr>
            </w:pPr>
            <w:r w:rsidRPr="00D21194">
              <w:rPr>
                <w:rFonts w:eastAsiaTheme="minorHAnsi" w:cs="Arial"/>
                <w:bCs/>
                <w:iCs/>
                <w:position w:val="-10"/>
                <w:szCs w:val="18"/>
              </w:rPr>
              <w:object w:dxaOrig="1302" w:dyaOrig="293" w14:anchorId="57B0BA11">
                <v:shape id="_x0000_i1033" type="#_x0000_t75" style="width:65.25pt;height:15pt" o:ole="">
                  <v:imagedata r:id="rId24" o:title=""/>
                </v:shape>
                <o:OLEObject Type="Embed" ProgID="Equation.3" ShapeID="_x0000_i1033" DrawAspect="Content" ObjectID="_1806315682" r:id="rId25"/>
              </w:object>
            </w:r>
          </w:p>
        </w:tc>
        <w:tc>
          <w:tcPr>
            <w:tcW w:w="1348" w:type="pct"/>
            <w:shd w:val="clear" w:color="auto" w:fill="FFFFFF"/>
          </w:tcPr>
          <w:p w14:paraId="5BFD3E4C" w14:textId="77777777" w:rsidR="004D6BB1" w:rsidRPr="00D21194" w:rsidRDefault="004D6BB1" w:rsidP="00460C89">
            <w:pPr>
              <w:pStyle w:val="CETBodytext"/>
              <w:ind w:right="-1"/>
              <w:rPr>
                <w:rFonts w:eastAsiaTheme="minorHAnsi" w:cs="Arial"/>
                <w:bCs/>
                <w:iCs/>
                <w:szCs w:val="18"/>
              </w:rPr>
            </w:pPr>
          </w:p>
        </w:tc>
        <w:tc>
          <w:tcPr>
            <w:tcW w:w="1347" w:type="pct"/>
            <w:shd w:val="clear" w:color="auto" w:fill="FFFFFF"/>
          </w:tcPr>
          <w:p w14:paraId="1D4BC327" w14:textId="77777777" w:rsidR="004D6BB1" w:rsidRPr="00D21194" w:rsidRDefault="004D6BB1" w:rsidP="00460C89">
            <w:pPr>
              <w:pStyle w:val="CETBodytext"/>
              <w:ind w:right="-1"/>
              <w:rPr>
                <w:rFonts w:eastAsiaTheme="minorHAnsi" w:cs="Arial"/>
                <w:bCs/>
                <w:iCs/>
                <w:szCs w:val="18"/>
              </w:rPr>
            </w:pPr>
          </w:p>
        </w:tc>
      </w:tr>
    </w:tbl>
    <w:p w14:paraId="5C23305C" w14:textId="77777777" w:rsidR="00E22A54" w:rsidRPr="00D21194" w:rsidRDefault="00E22A54" w:rsidP="00E22A54">
      <w:pPr>
        <w:pStyle w:val="CETListbullets"/>
        <w:ind w:left="0" w:firstLine="0"/>
      </w:pPr>
    </w:p>
    <w:p w14:paraId="4D03246B" w14:textId="3BCC83DB" w:rsidR="00E22A54" w:rsidRPr="00D21194" w:rsidRDefault="00000000" w:rsidP="00765A7C">
      <w:pPr>
        <w:pStyle w:val="CETBodytext"/>
        <w:rPr>
          <w:rFonts w:cstheme="minorHAnsi"/>
        </w:rPr>
      </w:pPr>
      <w:r w:rsidRPr="00D21194">
        <w:rPr>
          <w:rFonts w:cstheme="minorHAnsi"/>
        </w:rPr>
        <w:t xml:space="preserve">Most of the models </w:t>
      </w:r>
      <w:r w:rsidR="00960E48" w:rsidRPr="00D21194">
        <w:rPr>
          <w:rFonts w:cstheme="minorHAnsi"/>
        </w:rPr>
        <w:t xml:space="preserve">identified in literature </w:t>
      </w:r>
      <w:r w:rsidR="00FD59A9" w:rsidRPr="00D21194">
        <w:rPr>
          <w:rFonts w:cstheme="minorHAnsi"/>
        </w:rPr>
        <w:t>we</w:t>
      </w:r>
      <w:r w:rsidRPr="00D21194">
        <w:rPr>
          <w:rFonts w:cstheme="minorHAnsi"/>
        </w:rPr>
        <w:t>re developed based on multilinear regressions. Only few explored, more complex non-linear approaches (like neural networks or random forest). These methods could be interesting to take into account the complexity of mixtures, but their potential would be to confirm.</w:t>
      </w:r>
      <w:r w:rsidR="00960E48" w:rsidRPr="00D21194">
        <w:rPr>
          <w:rFonts w:cstheme="minorHAnsi"/>
        </w:rPr>
        <w:t xml:space="preserve"> Attempts to develop new QSPR models based on advanced IA are described in the following.</w:t>
      </w:r>
    </w:p>
    <w:p w14:paraId="6570DC70" w14:textId="141F3BFD" w:rsidR="00600535" w:rsidRPr="00D21194" w:rsidRDefault="00000000" w:rsidP="00600535">
      <w:pPr>
        <w:pStyle w:val="CETHeading1"/>
        <w:tabs>
          <w:tab w:val="clear" w:pos="360"/>
          <w:tab w:val="right" w:pos="7100"/>
        </w:tabs>
        <w:jc w:val="both"/>
        <w:rPr>
          <w:lang w:val="en-GB"/>
        </w:rPr>
      </w:pPr>
      <w:r w:rsidRPr="00D21194">
        <w:rPr>
          <w:lang w:val="en-GB"/>
        </w:rPr>
        <w:t xml:space="preserve">Application </w:t>
      </w:r>
      <w:r w:rsidR="00960E48" w:rsidRPr="00D21194">
        <w:rPr>
          <w:lang w:val="en-GB"/>
        </w:rPr>
        <w:t>of advanced AI</w:t>
      </w:r>
      <w:r w:rsidR="008E70EB" w:rsidRPr="00D21194">
        <w:rPr>
          <w:lang w:val="en-GB"/>
        </w:rPr>
        <w:t xml:space="preserve"> methods</w:t>
      </w:r>
      <w:r w:rsidR="00960E48" w:rsidRPr="00D21194">
        <w:rPr>
          <w:lang w:val="en-GB"/>
        </w:rPr>
        <w:t xml:space="preserve"> </w:t>
      </w:r>
      <w:r w:rsidRPr="00D21194">
        <w:rPr>
          <w:lang w:val="en-GB"/>
        </w:rPr>
        <w:t>to predict</w:t>
      </w:r>
      <w:r w:rsidR="00867739" w:rsidRPr="00D21194">
        <w:rPr>
          <w:lang w:val="en-GB"/>
        </w:rPr>
        <w:t xml:space="preserve"> </w:t>
      </w:r>
      <w:r w:rsidRPr="00D21194">
        <w:rPr>
          <w:lang w:val="en-GB"/>
        </w:rPr>
        <w:t>the f</w:t>
      </w:r>
      <w:r w:rsidR="002B1482" w:rsidRPr="00D21194">
        <w:rPr>
          <w:lang w:val="en-GB"/>
        </w:rPr>
        <w:t>lash point of mixtures</w:t>
      </w:r>
    </w:p>
    <w:p w14:paraId="35C5B258" w14:textId="77777777" w:rsidR="00600535" w:rsidRPr="00D21194" w:rsidRDefault="00000000" w:rsidP="00FA5F5F">
      <w:pPr>
        <w:pStyle w:val="CETheadingx"/>
      </w:pPr>
      <w:r w:rsidRPr="00D21194">
        <w:t>Data preparation and exploration</w:t>
      </w:r>
    </w:p>
    <w:p w14:paraId="7C57A4E5" w14:textId="119DF18B" w:rsidR="00E0455B" w:rsidRPr="00D21194" w:rsidRDefault="00000000" w:rsidP="006B546E">
      <w:pPr>
        <w:pStyle w:val="CETListbullets"/>
        <w:ind w:left="0" w:firstLine="0"/>
      </w:pPr>
      <w:r w:rsidRPr="00D21194">
        <w:t>The data set used</w:t>
      </w:r>
      <w:r w:rsidR="00867739" w:rsidRPr="00D21194">
        <w:t xml:space="preserve"> for this study</w:t>
      </w:r>
      <w:r w:rsidRPr="00D21194">
        <w:t xml:space="preserve"> was the same as</w:t>
      </w:r>
      <w:r w:rsidR="00FD59A9" w:rsidRPr="00D21194">
        <w:t xml:space="preserve"> the one</w:t>
      </w:r>
      <w:r w:rsidRPr="00D21194">
        <w:t xml:space="preserve"> used in the last model developed by Ineris </w:t>
      </w:r>
      <w:r w:rsidR="006A25C1" w:rsidRPr="00D21194">
        <w:fldChar w:fldCharType="begin"/>
      </w:r>
      <w:r w:rsidR="006A25C1" w:rsidRPr="00D21194">
        <w:instrText xml:space="preserve"> ADDIN EN.CITE &lt;EndNote&gt;&lt;Cite&gt;&lt;Author&gt;Fayet&lt;/Author&gt;&lt;Year&gt;2019&lt;/Year&gt;&lt;RecNum&gt;1318&lt;/RecNum&gt;&lt;DisplayText&gt;(Fayet and Rotureau, 2019)&lt;/DisplayText&gt;&lt;record&gt;&lt;rec-number&gt;1318&lt;/rec-number&gt;&lt;foreign-keys&gt;&lt;key app="EN" db-id="vew222vrz0s9v5eeratvas0qpzt5eerr22zz" timestamp="1589977498"&gt;1318&lt;/key&gt;&lt;/foreign-keys&gt;&lt;ref-type name="Journal Article"&gt;17&lt;/ref-type&gt;&lt;contributors&gt;&lt;authors&gt;&lt;author&gt;Fayet, Guillaume&lt;/author&gt;&lt;author&gt;Rotureau, Patricia&lt;/author&gt;&lt;/authors&gt;&lt;/contributors&gt;&lt;titles&gt;&lt;title&gt;New QSPR Models to Predict the Flammability of Binary Liquid Mixtures&lt;/title&gt;&lt;secondary-title&gt;Molecular Informatics&lt;/secondary-title&gt;&lt;/titles&gt;&lt;periodical&gt;&lt;full-title&gt;Molecular Informatics&lt;/full-title&gt;&lt;abbr-1&gt;Mol. Inform.&lt;/abbr-1&gt;&lt;abbr-2&gt;Mol Inform&lt;/abbr-2&gt;&lt;/periodical&gt;&lt;pages&gt;1800122&lt;/pages&gt;&lt;volume&gt;38&lt;/volume&gt;&lt;number&gt;8-9&lt;/number&gt;&lt;dates&gt;&lt;year&gt;2019&lt;/year&gt;&lt;/dates&gt;&lt;isbn&gt;1868-1743&lt;/isbn&gt;&lt;urls&gt;&lt;related-urls&gt;&lt;url&gt;https://onlinelibrary.wiley.com/doi/abs/10.1002/minf.201800122&lt;/url&gt;&lt;/related-urls&gt;&lt;/urls&gt;&lt;electronic-resource-num&gt;https://doi.org/10.1002/minf.201800122&lt;/electronic-resource-num&gt;&lt;/record&gt;&lt;/Cite&gt;&lt;/EndNote&gt;</w:instrText>
      </w:r>
      <w:r w:rsidR="006A25C1" w:rsidRPr="00D21194">
        <w:fldChar w:fldCharType="separate"/>
      </w:r>
      <w:r w:rsidR="006A25C1" w:rsidRPr="00D21194">
        <w:rPr>
          <w:noProof/>
        </w:rPr>
        <w:t>(Fayet and Rotureau, 2019)</w:t>
      </w:r>
      <w:r w:rsidR="006A25C1" w:rsidRPr="00D21194">
        <w:fldChar w:fldCharType="end"/>
      </w:r>
      <w:r w:rsidRPr="00D21194">
        <w:t xml:space="preserve"> to avoid the possible influence of additional data on the new model compared to the </w:t>
      </w:r>
      <w:r w:rsidR="008A0DF8" w:rsidRPr="00D21194">
        <w:t xml:space="preserve">MLR </w:t>
      </w:r>
      <w:r w:rsidRPr="00D21194">
        <w:t>model proposed in 2019. This database contains 650 data points for 60 binary liquid mixtures (involving 47</w:t>
      </w:r>
      <w:r w:rsidR="00190886" w:rsidRPr="00D21194">
        <w:t> </w:t>
      </w:r>
      <w:r w:rsidRPr="00D21194">
        <w:t>different pure compounds). They have been identified and selected from a wide literature compilation (</w:t>
      </w:r>
      <w:r w:rsidR="00867739" w:rsidRPr="00D21194">
        <w:t>18</w:t>
      </w:r>
      <w:r w:rsidR="00190886" w:rsidRPr="00D21194">
        <w:t> </w:t>
      </w:r>
      <w:r w:rsidR="00867739" w:rsidRPr="00D21194">
        <w:t>different publications). All</w:t>
      </w:r>
      <w:r w:rsidRPr="00D21194">
        <w:t xml:space="preserve"> flash points were measured in closed cup apparatus according to ASTM D56, ASTM D93 or ASTM D3828 standards.</w:t>
      </w:r>
    </w:p>
    <w:p w14:paraId="495DD79B" w14:textId="15BE6937" w:rsidR="008736E7" w:rsidRPr="00D21194" w:rsidRDefault="00000000" w:rsidP="006B546E">
      <w:pPr>
        <w:pStyle w:val="CETListbullets"/>
        <w:ind w:left="0" w:firstLine="0"/>
      </w:pPr>
      <w:r w:rsidRPr="00D21194">
        <w:t>The preliminary data exploration exhibits information that can impact the development of the model in the following. At first,</w:t>
      </w:r>
      <w:r w:rsidR="00465FFF" w:rsidRPr="00D21194">
        <w:t xml:space="preserve"> </w:t>
      </w:r>
      <w:r w:rsidRPr="00D21194">
        <w:t xml:space="preserve">two compounds are </w:t>
      </w:r>
      <w:r w:rsidR="0068341E" w:rsidRPr="00D21194">
        <w:t xml:space="preserve">highly </w:t>
      </w:r>
      <w:r w:rsidRPr="00D21194">
        <w:t>represented in the dataset</w:t>
      </w:r>
      <w:r w:rsidR="006A12FE" w:rsidRPr="00D21194">
        <w:t xml:space="preserve"> (as shown in Figure 1)</w:t>
      </w:r>
      <w:r w:rsidR="0068341E" w:rsidRPr="00D21194">
        <w:t>:</w:t>
      </w:r>
      <w:r w:rsidRPr="00D21194">
        <w:t xml:space="preserve"> </w:t>
      </w:r>
      <w:r w:rsidR="00E9327F" w:rsidRPr="00D21194">
        <w:t>methanol and n-octane</w:t>
      </w:r>
      <w:r w:rsidR="0068341E" w:rsidRPr="00D21194">
        <w:t xml:space="preserve">, which are associated with respectively 12% and </w:t>
      </w:r>
      <w:r w:rsidR="00D319C6" w:rsidRPr="00D21194">
        <w:t>10% of the</w:t>
      </w:r>
      <w:r w:rsidR="0068341E" w:rsidRPr="00D21194">
        <w:t xml:space="preserve"> data points.</w:t>
      </w:r>
      <w:r w:rsidR="00465FFF" w:rsidRPr="00D21194">
        <w:t xml:space="preserve"> Looking more globally at the chemical families involved in the mixtures, it appeared that alcohol-hydrocarb</w:t>
      </w:r>
      <w:r w:rsidR="00663F93" w:rsidRPr="00D21194">
        <w:t>on</w:t>
      </w:r>
      <w:r w:rsidR="00465FFF" w:rsidRPr="00D21194">
        <w:t xml:space="preserve"> mixtures are particularly </w:t>
      </w:r>
      <w:r w:rsidR="00465FFF" w:rsidRPr="00D21194">
        <w:lastRenderedPageBreak/>
        <w:t xml:space="preserve">represented </w:t>
      </w:r>
      <w:r w:rsidR="00D319C6" w:rsidRPr="00D21194">
        <w:t>(37% of the data points)</w:t>
      </w:r>
      <w:r w:rsidR="00E0455B" w:rsidRPr="00D21194">
        <w:t xml:space="preserve">. </w:t>
      </w:r>
      <w:r w:rsidR="00465FFF" w:rsidRPr="00D21194">
        <w:t xml:space="preserve">This suggests their importance in studies related to the flammability risks of </w:t>
      </w:r>
      <w:r w:rsidR="00E0455B" w:rsidRPr="00D21194">
        <w:t xml:space="preserve">liquid </w:t>
      </w:r>
      <w:r w:rsidR="00465FFF" w:rsidRPr="00D21194">
        <w:t>mixtures, and predictive models should be particularly robust and accurate for these substances. However, the imbalance between the compounds</w:t>
      </w:r>
      <w:r w:rsidR="00AB0251" w:rsidRPr="00D21194">
        <w:t>/mixtures</w:t>
      </w:r>
      <w:r w:rsidR="00465FFF" w:rsidRPr="00D21194">
        <w:t xml:space="preserve"> could lead to </w:t>
      </w:r>
      <w:r w:rsidR="00FD59A9" w:rsidRPr="00D21194">
        <w:t xml:space="preserve">lower predictive </w:t>
      </w:r>
      <w:r w:rsidR="00465FFF" w:rsidRPr="00D21194">
        <w:t>performance</w:t>
      </w:r>
      <w:r w:rsidR="00FD59A9" w:rsidRPr="00D21194">
        <w:t>s for other compounds</w:t>
      </w:r>
      <w:r w:rsidR="00465FFF" w:rsidRPr="00D21194">
        <w:t xml:space="preserve"> and</w:t>
      </w:r>
      <w:r w:rsidR="00FD59A9" w:rsidRPr="00D21194">
        <w:t xml:space="preserve"> to </w:t>
      </w:r>
      <w:r w:rsidR="00465FFF" w:rsidRPr="00D21194">
        <w:t xml:space="preserve">generalization issues in the models. </w:t>
      </w:r>
    </w:p>
    <w:p w14:paraId="30253D3C" w14:textId="77777777" w:rsidR="00A12188" w:rsidRPr="00D21194" w:rsidRDefault="00A12188" w:rsidP="006B546E">
      <w:pPr>
        <w:pStyle w:val="CETListbullets"/>
        <w:ind w:left="0" w:firstLine="0"/>
        <w:rPr>
          <w:noProof/>
        </w:rPr>
      </w:pPr>
    </w:p>
    <w:p w14:paraId="1FAAFE2A" w14:textId="77777777" w:rsidR="00EB4287" w:rsidRPr="00D21194" w:rsidRDefault="00000000" w:rsidP="00EB4287">
      <w:pPr>
        <w:pStyle w:val="CETListbullets"/>
        <w:ind w:left="0" w:firstLine="0"/>
        <w:jc w:val="center"/>
      </w:pPr>
      <w:r w:rsidRPr="00D21194">
        <w:rPr>
          <w:noProof/>
        </w:rPr>
        <w:drawing>
          <wp:inline distT="0" distB="0" distL="0" distR="0" wp14:anchorId="31DF1457" wp14:editId="2EF492A1">
            <wp:extent cx="5152198" cy="2378271"/>
            <wp:effectExtent l="0" t="0" r="0" b="3175"/>
            <wp:docPr id="54066224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62245" name="Picture 8"/>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52198" cy="2378271"/>
                    </a:xfrm>
                    <a:prstGeom prst="rect">
                      <a:avLst/>
                    </a:prstGeom>
                    <a:noFill/>
                  </pic:spPr>
                </pic:pic>
              </a:graphicData>
            </a:graphic>
          </wp:inline>
        </w:drawing>
      </w:r>
    </w:p>
    <w:p w14:paraId="7DE56327" w14:textId="77777777" w:rsidR="00EB4287" w:rsidRPr="00D21194" w:rsidRDefault="00000000" w:rsidP="00101235">
      <w:pPr>
        <w:pStyle w:val="CETCaption"/>
        <w:spacing w:before="120"/>
        <w:rPr>
          <w:rStyle w:val="CETCaptionCarattere"/>
          <w:i/>
        </w:rPr>
      </w:pPr>
      <w:r w:rsidRPr="00D21194">
        <w:rPr>
          <w:rStyle w:val="CETCaptionCarattere"/>
          <w:i/>
        </w:rPr>
        <w:t xml:space="preserve">Figure 1: Distribution of data points </w:t>
      </w:r>
      <w:r w:rsidR="00D319C6" w:rsidRPr="00D21194">
        <w:rPr>
          <w:rStyle w:val="CETCaptionCarattere"/>
          <w:i/>
        </w:rPr>
        <w:t>in the dataset</w:t>
      </w:r>
      <w:r w:rsidR="00D319C6" w:rsidRPr="00D21194">
        <w:t xml:space="preserve"> </w:t>
      </w:r>
      <w:r w:rsidRPr="00D21194">
        <w:rPr>
          <w:rStyle w:val="CETCaptionCarattere"/>
          <w:i/>
        </w:rPr>
        <w:t>by pure compounds</w:t>
      </w:r>
      <w:r w:rsidR="00D319C6" w:rsidRPr="00D21194">
        <w:rPr>
          <w:rStyle w:val="CETCaptionCarattere"/>
          <w:i/>
        </w:rPr>
        <w:t xml:space="preserve"> and by type of mixtures (in terms of chemical families)</w:t>
      </w:r>
      <w:r w:rsidRPr="00D21194">
        <w:rPr>
          <w:rStyle w:val="CETCaptionCarattere"/>
          <w:i/>
        </w:rPr>
        <w:t xml:space="preserve"> </w:t>
      </w:r>
    </w:p>
    <w:p w14:paraId="6419BD76" w14:textId="751FCB57" w:rsidR="00A12188" w:rsidRPr="00D21194" w:rsidRDefault="00000000" w:rsidP="00A12188">
      <w:pPr>
        <w:pStyle w:val="CETListbullets"/>
        <w:ind w:left="0" w:firstLine="0"/>
      </w:pPr>
      <w:r w:rsidRPr="00D21194">
        <w:t>We also analysed the property distribution in the database (Figure 2). One may notice that only few data are above 60°C (only 9%)</w:t>
      </w:r>
      <w:r w:rsidR="00357A92" w:rsidRPr="00D21194">
        <w:t xml:space="preserve"> indicating that</w:t>
      </w:r>
      <w:r w:rsidRPr="00D21194">
        <w:t xml:space="preserve"> almost all the tested mixtures were flammable. So, the developed models might be more relevant to compare the flash point among flammable mixtures than to identify non-flammable mixtures from flammable ones.</w:t>
      </w:r>
    </w:p>
    <w:p w14:paraId="4A864018" w14:textId="77777777" w:rsidR="00A12188" w:rsidRPr="00D21194" w:rsidRDefault="00A12188" w:rsidP="00A12188">
      <w:pPr>
        <w:pStyle w:val="CETListbullets"/>
        <w:ind w:left="0" w:firstLine="0"/>
      </w:pPr>
    </w:p>
    <w:p w14:paraId="1B55A599" w14:textId="77777777" w:rsidR="008736E7" w:rsidRPr="00D21194" w:rsidRDefault="00000000" w:rsidP="006A12FE">
      <w:pPr>
        <w:pStyle w:val="CETListbullets"/>
        <w:ind w:left="0" w:firstLine="0"/>
        <w:jc w:val="center"/>
      </w:pPr>
      <w:r w:rsidRPr="00D21194">
        <w:rPr>
          <w:noProof/>
        </w:rPr>
        <w:drawing>
          <wp:inline distT="0" distB="0" distL="0" distR="0" wp14:anchorId="0DF496B0" wp14:editId="15566886">
            <wp:extent cx="3255779" cy="1852246"/>
            <wp:effectExtent l="0" t="0" r="0" b="5715"/>
            <wp:docPr id="205539133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91333" name="Picture 9"/>
                    <pic:cNvPicPr>
                      <a:picLocks noChangeAspect="1" noChangeArrowheads="1"/>
                    </pic:cNvPicPr>
                  </pic:nvPicPr>
                  <pic:blipFill>
                    <a:blip r:embed="rId27">
                      <a:extLst>
                        <a:ext uri="{28A0092B-C50C-407E-A947-70E740481C1C}">
                          <a14:useLocalDpi xmlns:a14="http://schemas.microsoft.com/office/drawing/2010/main" val="0"/>
                        </a:ext>
                      </a:extLst>
                    </a:blip>
                    <a:srcRect b="10444"/>
                    <a:stretch>
                      <a:fillRect/>
                    </a:stretch>
                  </pic:blipFill>
                  <pic:spPr bwMode="auto">
                    <a:xfrm>
                      <a:off x="0" y="0"/>
                      <a:ext cx="3255779" cy="1852246"/>
                    </a:xfrm>
                    <a:prstGeom prst="rect">
                      <a:avLst/>
                    </a:prstGeom>
                    <a:noFill/>
                    <a:ln>
                      <a:noFill/>
                    </a:ln>
                    <a:extLst>
                      <a:ext uri="{53640926-AAD7-44D8-BBD7-CCE9431645EC}">
                        <a14:shadowObscured xmlns:a14="http://schemas.microsoft.com/office/drawing/2010/main"/>
                      </a:ext>
                    </a:extLst>
                  </pic:spPr>
                </pic:pic>
              </a:graphicData>
            </a:graphic>
          </wp:inline>
        </w:drawing>
      </w:r>
    </w:p>
    <w:p w14:paraId="3FBE9FFF" w14:textId="77777777" w:rsidR="006A12FE" w:rsidRPr="00D21194" w:rsidRDefault="00000000" w:rsidP="006A12FE">
      <w:pPr>
        <w:pStyle w:val="CETCaption"/>
      </w:pPr>
      <w:r w:rsidRPr="00D21194">
        <w:rPr>
          <w:rStyle w:val="CETCaptionCarattere"/>
          <w:i/>
        </w:rPr>
        <w:t>Figure 2: Distribution of flash point</w:t>
      </w:r>
      <w:r w:rsidR="00F427B0" w:rsidRPr="00D21194">
        <w:rPr>
          <w:rStyle w:val="CETCaptionCarattere"/>
          <w:i/>
        </w:rPr>
        <w:t xml:space="preserve"> </w:t>
      </w:r>
      <w:r w:rsidR="00FC0070" w:rsidRPr="00D21194">
        <w:rPr>
          <w:rStyle w:val="CETCaptionCarattere"/>
          <w:i/>
        </w:rPr>
        <w:t xml:space="preserve">(in °C) </w:t>
      </w:r>
      <w:r w:rsidR="00F427B0" w:rsidRPr="00D21194">
        <w:rPr>
          <w:rStyle w:val="CETCaptionCarattere"/>
          <w:i/>
        </w:rPr>
        <w:t>data</w:t>
      </w:r>
      <w:r w:rsidRPr="00D21194">
        <w:rPr>
          <w:rStyle w:val="CETCaptionCarattere"/>
          <w:i/>
        </w:rPr>
        <w:t xml:space="preserve"> in the dataset </w:t>
      </w:r>
    </w:p>
    <w:p w14:paraId="0F0CC312" w14:textId="1294DC10" w:rsidR="00A12188" w:rsidRPr="00D21194" w:rsidRDefault="00000000" w:rsidP="00A12188">
      <w:pPr>
        <w:pStyle w:val="CETListbullets"/>
        <w:ind w:left="0" w:firstLine="0"/>
        <w:rPr>
          <w:noProof/>
        </w:rPr>
      </w:pPr>
      <w:r w:rsidRPr="00D21194">
        <w:rPr>
          <w:noProof/>
        </w:rPr>
        <w:t xml:space="preserve">At last, it may be noticed that different </w:t>
      </w:r>
      <w:r w:rsidR="00FD59A9" w:rsidRPr="00D21194">
        <w:rPr>
          <w:noProof/>
        </w:rPr>
        <w:t>shapes</w:t>
      </w:r>
      <w:r w:rsidRPr="00D21194">
        <w:rPr>
          <w:noProof/>
        </w:rPr>
        <w:t xml:space="preserve"> of flash point profiles are observed. Indeed, as illustrated in Figure 3, some mixtures present quasi-ideal behaviours (like in the case of 1-propanol / 1-pentanol mixture), whereas others are strongly non-ideal. For instance, the </w:t>
      </w:r>
      <w:r w:rsidR="00357A92" w:rsidRPr="00D21194">
        <w:rPr>
          <w:noProof/>
        </w:rPr>
        <w:t xml:space="preserve">propanol </w:t>
      </w:r>
      <w:r w:rsidRPr="00D21194">
        <w:rPr>
          <w:noProof/>
        </w:rPr>
        <w:t xml:space="preserve">/ </w:t>
      </w:r>
      <w:r w:rsidR="00357A92" w:rsidRPr="00D21194">
        <w:rPr>
          <w:noProof/>
        </w:rPr>
        <w:t xml:space="preserve">n-octane </w:t>
      </w:r>
      <w:r w:rsidRPr="00D21194">
        <w:rPr>
          <w:noProof/>
        </w:rPr>
        <w:t>mixture presents a minimum flash point behaviour, with the flash point of the mixture lower than the ones of the pure compounds. Another example</w:t>
      </w:r>
      <w:r w:rsidR="00FD59A9" w:rsidRPr="00D21194">
        <w:rPr>
          <w:noProof/>
        </w:rPr>
        <w:t xml:space="preserve"> of non-ideal profile</w:t>
      </w:r>
      <w:r w:rsidRPr="00D21194">
        <w:rPr>
          <w:noProof/>
        </w:rPr>
        <w:t xml:space="preserve"> is the </w:t>
      </w:r>
      <w:r w:rsidR="00357A92" w:rsidRPr="00D21194">
        <w:rPr>
          <w:noProof/>
        </w:rPr>
        <w:t xml:space="preserve">n-decane </w:t>
      </w:r>
      <w:r w:rsidRPr="00D21194">
        <w:rPr>
          <w:noProof/>
        </w:rPr>
        <w:t xml:space="preserve">/ </w:t>
      </w:r>
      <w:r w:rsidR="00357A92" w:rsidRPr="00D21194">
        <w:rPr>
          <w:noProof/>
        </w:rPr>
        <w:t xml:space="preserve">acetone </w:t>
      </w:r>
      <w:r w:rsidRPr="00D21194">
        <w:rPr>
          <w:noProof/>
        </w:rPr>
        <w:t>mixture. Acetone is highly flammable, and a large concentration of n-decane (less flammable) is needed to increase the flash point, but this increase is then fast between 0.9 and 1 in mole fraction of</w:t>
      </w:r>
      <w:r w:rsidR="00A226E2" w:rsidRPr="00D21194">
        <w:rPr>
          <w:noProof/>
        </w:rPr>
        <w:t xml:space="preserve"> n-decane</w:t>
      </w:r>
      <w:r w:rsidRPr="00D21194">
        <w:rPr>
          <w:noProof/>
        </w:rPr>
        <w:t>.</w:t>
      </w:r>
    </w:p>
    <w:p w14:paraId="77A43D50" w14:textId="77777777" w:rsidR="00A12188" w:rsidRPr="00D21194" w:rsidRDefault="00A12188" w:rsidP="006B546E">
      <w:pPr>
        <w:pStyle w:val="CETListbullets"/>
        <w:ind w:left="0" w:firstLine="0"/>
      </w:pPr>
    </w:p>
    <w:p w14:paraId="72D1139B" w14:textId="77777777" w:rsidR="00A12188" w:rsidRPr="00D21194" w:rsidRDefault="00A12188" w:rsidP="006B546E">
      <w:pPr>
        <w:pStyle w:val="CETListbullets"/>
        <w:ind w:left="0" w:firstLine="0"/>
      </w:pPr>
    </w:p>
    <w:p w14:paraId="59EA10BA" w14:textId="77777777" w:rsidR="00663F93" w:rsidRPr="00D21194" w:rsidRDefault="00000000" w:rsidP="006B546E">
      <w:pPr>
        <w:pStyle w:val="CETListbullets"/>
        <w:ind w:left="0" w:firstLine="0"/>
      </w:pPr>
      <w:r w:rsidRPr="00D21194">
        <w:rPr>
          <w:noProof/>
        </w:rPr>
        <w:lastRenderedPageBreak/>
        <w:drawing>
          <wp:inline distT="0" distB="0" distL="0" distR="0" wp14:anchorId="39246772" wp14:editId="12B09735">
            <wp:extent cx="5566400" cy="1779006"/>
            <wp:effectExtent l="0" t="0" r="0" b="0"/>
            <wp:docPr id="75866176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61763" name="Picture 12"/>
                    <pic:cNvPicPr>
                      <a:picLocks noChangeAspect="1" noChangeArrowheads="1"/>
                    </pic:cNvPicPr>
                  </pic:nvPicPr>
                  <pic:blipFill>
                    <a:blip r:embed="rId28">
                      <a:extLst>
                        <a:ext uri="{28A0092B-C50C-407E-A947-70E740481C1C}">
                          <a14:useLocalDpi xmlns:a14="http://schemas.microsoft.com/office/drawing/2010/main" val="0"/>
                        </a:ext>
                      </a:extLst>
                    </a:blip>
                    <a:srcRect l="976" r="1477"/>
                    <a:stretch>
                      <a:fillRect/>
                    </a:stretch>
                  </pic:blipFill>
                  <pic:spPr bwMode="auto">
                    <a:xfrm>
                      <a:off x="0" y="0"/>
                      <a:ext cx="5566400" cy="1779006"/>
                    </a:xfrm>
                    <a:prstGeom prst="rect">
                      <a:avLst/>
                    </a:prstGeom>
                    <a:noFill/>
                    <a:ln>
                      <a:noFill/>
                    </a:ln>
                    <a:extLst>
                      <a:ext uri="{53640926-AAD7-44D8-BBD7-CCE9431645EC}">
                        <a14:shadowObscured xmlns:a14="http://schemas.microsoft.com/office/drawing/2010/main"/>
                      </a:ext>
                    </a:extLst>
                  </pic:spPr>
                </pic:pic>
              </a:graphicData>
            </a:graphic>
          </wp:inline>
        </w:drawing>
      </w:r>
    </w:p>
    <w:p w14:paraId="03908D4F" w14:textId="17E8E558" w:rsidR="00663F93" w:rsidRPr="00D21194" w:rsidRDefault="00000000" w:rsidP="004D6BB1">
      <w:pPr>
        <w:pStyle w:val="CETCaption"/>
        <w:spacing w:before="120"/>
      </w:pPr>
      <w:r w:rsidRPr="00D21194">
        <w:rPr>
          <w:rStyle w:val="CETCaptionCarattere"/>
          <w:i/>
        </w:rPr>
        <w:t>Figure 3: Examples of flash point profiles</w:t>
      </w:r>
      <w:r w:rsidR="002F5AE0" w:rsidRPr="00D21194">
        <w:rPr>
          <w:rStyle w:val="CETCaptionCarattere"/>
          <w:i/>
        </w:rPr>
        <w:t xml:space="preserve">: 1-propanol/1-pentanol </w:t>
      </w:r>
      <w:r w:rsidR="002F5AE0" w:rsidRPr="00D21194">
        <w:rPr>
          <w:rStyle w:val="CETCaptionCarattere"/>
          <w:i/>
        </w:rPr>
        <w:fldChar w:fldCharType="begin"/>
      </w:r>
      <w:r w:rsidR="002F5AE0" w:rsidRPr="00D21194">
        <w:rPr>
          <w:rStyle w:val="CETCaptionCarattere"/>
          <w:i/>
        </w:rPr>
        <w:instrText xml:space="preserve"> ADDIN EN.CITE &lt;EndNote&gt;&lt;Cite&gt;&lt;Author&gt;Hristova&lt;/Author&gt;&lt;Year&gt;2013&lt;/Year&gt;&lt;RecNum&gt;1025&lt;/RecNum&gt;&lt;DisplayText&gt;(Hristova and Damgaliev, 2013)&lt;/DisplayText&gt;&lt;record&gt;&lt;rec-number&gt;1025&lt;/rec-number&gt;&lt;foreign-keys&gt;&lt;key app="EN" db-id="vew222vrz0s9v5eeratvas0qpzt5eerr22zz" timestamp="0"&gt;1025&lt;/key&gt;&lt;/foreign-keys&gt;&lt;ref-type name="Journal Article"&gt;17&lt;/ref-type&gt;&lt;contributors&gt;&lt;authors&gt;&lt;author&gt;Hristova, Mariana&lt;/author&gt;&lt;author&gt;Damgaliev, Dimitar&lt;/author&gt;&lt;/authors&gt;&lt;/contributors&gt;&lt;titles&gt;&lt;title&gt;Flash point of organic binary mixtures containing alcohols: experiment and prediction&lt;/title&gt;&lt;secondary-title&gt;Central European Journal of Chemistry&lt;/secondary-title&gt;&lt;/titles&gt;&lt;periodical&gt;&lt;full-title&gt;Central European Journal of Chemistry&lt;/full-title&gt;&lt;abbr-1&gt;Cent. Eur. J. Chem.&lt;/abbr-1&gt;&lt;/periodical&gt;&lt;pages&gt;388-393&lt;/pages&gt;&lt;volume&gt;11&lt;/volume&gt;&lt;number&gt;3&lt;/number&gt;&lt;keywords&gt;&lt;keyword&gt;Flash point&lt;/keyword&gt;&lt;keyword&gt;Binary mixture&lt;/keyword&gt;&lt;keyword&gt;Pensky-Martens&lt;/keyword&gt;&lt;keyword&gt;Prediction&lt;/keyword&gt;&lt;/keywords&gt;&lt;dates&gt;&lt;year&gt;2013&lt;/year&gt;&lt;/dates&gt;&lt;publisher&gt;SP Versita&lt;/publisher&gt;&lt;urls&gt;&lt;related-urls&gt;&lt;url&gt;http://dx.doi.org/10.2478/s11532-012-0171-6 &lt;/url&gt;&lt;/related-urls&gt;&lt;/urls&gt;&lt;/record&gt;&lt;/Cite&gt;&lt;/EndNote&gt;</w:instrText>
      </w:r>
      <w:r w:rsidR="002F5AE0" w:rsidRPr="00D21194">
        <w:rPr>
          <w:rStyle w:val="CETCaptionCarattere"/>
          <w:i/>
        </w:rPr>
        <w:fldChar w:fldCharType="separate"/>
      </w:r>
      <w:r w:rsidR="002F5AE0" w:rsidRPr="00D21194">
        <w:rPr>
          <w:rStyle w:val="CETCaptionCarattere"/>
          <w:i/>
          <w:noProof/>
        </w:rPr>
        <w:t>(Hristova and Damgaliev, 2013)</w:t>
      </w:r>
      <w:r w:rsidR="002F5AE0" w:rsidRPr="00D21194">
        <w:rPr>
          <w:rStyle w:val="CETCaptionCarattere"/>
          <w:i/>
        </w:rPr>
        <w:fldChar w:fldCharType="end"/>
      </w:r>
      <w:r w:rsidR="002F5AE0" w:rsidRPr="00D21194">
        <w:rPr>
          <w:rStyle w:val="CETCaptionCarattere"/>
          <w:i/>
        </w:rPr>
        <w:t>, 1-propanol/</w:t>
      </w:r>
      <w:r w:rsidR="009C28F4" w:rsidRPr="00D21194">
        <w:rPr>
          <w:rStyle w:val="CETCaptionCarattere"/>
          <w:i/>
        </w:rPr>
        <w:t xml:space="preserve"> </w:t>
      </w:r>
      <w:r w:rsidR="002F5AE0" w:rsidRPr="00D21194">
        <w:rPr>
          <w:rStyle w:val="CETCaptionCarattere"/>
          <w:i/>
        </w:rPr>
        <w:t>n-octane</w:t>
      </w:r>
      <w:r w:rsidR="002F5AE0" w:rsidRPr="00D21194">
        <w:t xml:space="preserve"> </w:t>
      </w:r>
      <w:r w:rsidR="002F5AE0" w:rsidRPr="00D21194">
        <w:rPr>
          <w:rStyle w:val="CETCaptionCarattere"/>
          <w:i/>
        </w:rPr>
        <w:fldChar w:fldCharType="begin"/>
      </w:r>
      <w:r w:rsidR="002F5AE0" w:rsidRPr="00D21194">
        <w:rPr>
          <w:rStyle w:val="CETCaptionCarattere"/>
          <w:i/>
        </w:rPr>
        <w:instrText xml:space="preserve"> ADDIN EN.CITE &lt;EndNote&gt;&lt;Cite&gt;&lt;Author&gt;Noorollahy&lt;/Author&gt;&lt;Year&gt;2010&lt;/Year&gt;&lt;RecNum&gt;1442&lt;/RecNum&gt;&lt;DisplayText&gt;(Noorollahy et al., 2010)&lt;/DisplayText&gt;&lt;record&gt;&lt;rec-number&gt;1442&lt;/rec-number&gt;&lt;foreign-keys&gt;&lt;key app="EN" db-id="vew222vrz0s9v5eeratvas0qpzt5eerr22zz" timestamp="1672922209"&gt;1442&lt;/key&gt;&lt;/foreign-keys&gt;&lt;ref-type name="Journal Article"&gt;17&lt;/ref-type&gt;&lt;contributors&gt;&lt;authors&gt;&lt;author&gt;Noorollahy, M.&lt;/author&gt;&lt;author&gt;Moghadam, A. Zarringhalam&lt;/author&gt;&lt;author&gt;Ghasrodashti, A. Ameri&lt;/author&gt;&lt;/authors&gt;&lt;/contributors&gt;&lt;titles&gt;&lt;title&gt;Calculation of mixture equilibrium binary interaction parameters using closed cup flash point measurements&lt;/title&gt;&lt;secondary-title&gt;Chemical Engineering Research and Design&lt;/secondary-title&gt;&lt;/titles&gt;&lt;periodical&gt;&lt;full-title&gt;Chemical Engineering Research and Design&lt;/full-title&gt;&lt;/periodical&gt;&lt;pages&gt;81-86&lt;/pages&gt;&lt;volume&gt;88&lt;/volume&gt;&lt;number&gt;1&lt;/number&gt;&lt;keywords&gt;&lt;keyword&gt;Flash point&lt;/keyword&gt;&lt;keyword&gt;Binary interaction parameter&lt;/keyword&gt;&lt;keyword&gt;Vapor–liquid equilibrium&lt;/keyword&gt;&lt;keyword&gt;Activity model&lt;/keyword&gt;&lt;/keywords&gt;&lt;dates&gt;&lt;year&gt;2010&lt;/year&gt;&lt;pub-dates&gt;&lt;date&gt;2010/01/01/&lt;/date&gt;&lt;/pub-dates&gt;&lt;/dates&gt;&lt;isbn&gt;0263-8762&lt;/isbn&gt;&lt;urls&gt;&lt;related-urls&gt;&lt;url&gt;https://www.sciencedirect.com/science/article/pii/S0263876209001713&lt;/url&gt;&lt;/related-urls&gt;&lt;/urls&gt;&lt;electronic-resource-num&gt;https://doi.org/10.1016/j.cherd.2009.07.002&lt;/electronic-resource-num&gt;&lt;/record&gt;&lt;/Cite&gt;&lt;/EndNote&gt;</w:instrText>
      </w:r>
      <w:r w:rsidR="002F5AE0" w:rsidRPr="00D21194">
        <w:rPr>
          <w:rStyle w:val="CETCaptionCarattere"/>
          <w:i/>
        </w:rPr>
        <w:fldChar w:fldCharType="separate"/>
      </w:r>
      <w:r w:rsidR="002F5AE0" w:rsidRPr="00D21194">
        <w:rPr>
          <w:rStyle w:val="CETCaptionCarattere"/>
          <w:i/>
          <w:noProof/>
        </w:rPr>
        <w:t>(Noorollahy et al., 2010)</w:t>
      </w:r>
      <w:r w:rsidR="002F5AE0" w:rsidRPr="00D21194">
        <w:rPr>
          <w:rStyle w:val="CETCaptionCarattere"/>
          <w:i/>
        </w:rPr>
        <w:fldChar w:fldCharType="end"/>
      </w:r>
      <w:r w:rsidR="002F5AE0" w:rsidRPr="00D21194">
        <w:rPr>
          <w:rStyle w:val="CETCaptionCarattere"/>
          <w:i/>
        </w:rPr>
        <w:t xml:space="preserve"> and n-decane/acetone</w:t>
      </w:r>
      <w:r w:rsidR="002F5AE0" w:rsidRPr="00D21194">
        <w:t xml:space="preserve"> </w:t>
      </w:r>
      <w:r w:rsidR="002F5AE0" w:rsidRPr="00D21194">
        <w:rPr>
          <w:rStyle w:val="CETCaptionCarattere"/>
          <w:i/>
        </w:rPr>
        <w:fldChar w:fldCharType="begin"/>
      </w:r>
      <w:r w:rsidR="002F5AE0" w:rsidRPr="00D21194">
        <w:rPr>
          <w:rStyle w:val="CETCaptionCarattere"/>
          <w:i/>
        </w:rPr>
        <w:instrText xml:space="preserve"> ADDIN EN.CITE &lt;EndNote&gt;&lt;Cite&gt;&lt;Author&gt;Liaw&lt;/Author&gt;&lt;Year&gt;2008&lt;/Year&gt;&lt;RecNum&gt;1234&lt;/RecNum&gt;&lt;DisplayText&gt;(Liaw et al., 2008)&lt;/DisplayText&gt;&lt;record&gt;&lt;rec-number&gt;1234&lt;/rec-number&gt;&lt;foreign-keys&gt;&lt;key app="EN" db-id="vew222vrz0s9v5eeratvas0qpzt5eerr22zz" timestamp="1542040677"&gt;1234&lt;/key&gt;&lt;/foreign-keys&gt;&lt;ref-type name="Journal Article"&gt;17&lt;/ref-type&gt;&lt;contributors&gt;&lt;authors&gt;&lt;author&gt;Liaw, Horng-Jang&lt;/author&gt;&lt;author&gt;Chen, Chien-Tsun&lt;/author&gt;&lt;author&gt;Gerbaud, Vincent&lt;/author&gt;&lt;/authors&gt;&lt;/contributors&gt;&lt;titles&gt;&lt;title&gt;Flash-point prediction for binary partially miscible aqueous–organic mixtures&lt;/title&gt;&lt;secondary-title&gt;Chemical Engineering Science&lt;/secondary-title&gt;&lt;/titles&gt;&lt;periodical&gt;&lt;full-title&gt;Chemical Engineering Science&lt;/full-title&gt;&lt;abbr-1&gt;Chem. Eng. Sci.&lt;/abbr-1&gt;&lt;abbr-2&gt;Chem Eng Sci&lt;/abbr-2&gt;&lt;/periodical&gt;&lt;pages&gt;4543-4554&lt;/pages&gt;&lt;volume&gt;63&lt;/volume&gt;&lt;number&gt;18&lt;/number&gt;&lt;keywords&gt;&lt;keyword&gt;Flash point&lt;/keyword&gt;&lt;keyword&gt;Prediction&lt;/keyword&gt;&lt;keyword&gt;Partially miscible mixtures&lt;/keyword&gt;&lt;keyword&gt;Aqueous–organic solution&lt;/keyword&gt;&lt;keyword&gt;Vapor–liquid–liquid equilibrium&lt;/keyword&gt;&lt;/keywords&gt;&lt;dates&gt;&lt;year&gt;2008&lt;/year&gt;&lt;pub-dates&gt;&lt;date&gt;2008/09/01/&lt;/date&gt;&lt;/pub-dates&gt;&lt;/dates&gt;&lt;isbn&gt;0009-2509&lt;/isbn&gt;&lt;urls&gt;&lt;related-urls&gt;&lt;url&gt;http://www.sciencedirect.com/science/article/pii/S0009250908003175&lt;/url&gt;&lt;/related-urls&gt;&lt;/urls&gt;&lt;electronic-resource-num&gt;https://doi.org/10.1016/j.ces.2008.06.005&lt;/electronic-resource-num&gt;&lt;/record&gt;&lt;/Cite&gt;&lt;/EndNote&gt;</w:instrText>
      </w:r>
      <w:r w:rsidR="002F5AE0" w:rsidRPr="00D21194">
        <w:rPr>
          <w:rStyle w:val="CETCaptionCarattere"/>
          <w:i/>
        </w:rPr>
        <w:fldChar w:fldCharType="separate"/>
      </w:r>
      <w:r w:rsidR="002F5AE0" w:rsidRPr="00D21194">
        <w:rPr>
          <w:rStyle w:val="CETCaptionCarattere"/>
          <w:i/>
          <w:noProof/>
        </w:rPr>
        <w:t>(Liaw et al., 2008)</w:t>
      </w:r>
      <w:r w:rsidR="002F5AE0" w:rsidRPr="00D21194">
        <w:rPr>
          <w:rStyle w:val="CETCaptionCarattere"/>
          <w:i/>
        </w:rPr>
        <w:fldChar w:fldCharType="end"/>
      </w:r>
    </w:p>
    <w:p w14:paraId="5B89CC17" w14:textId="77777777" w:rsidR="00867739" w:rsidRPr="00D21194" w:rsidRDefault="00000000" w:rsidP="00867739">
      <w:pPr>
        <w:pStyle w:val="CETheadingx"/>
      </w:pPr>
      <w:r w:rsidRPr="00D21194">
        <w:t>Descriptor calculations</w:t>
      </w:r>
    </w:p>
    <w:p w14:paraId="2C653D32" w14:textId="7CA78768" w:rsidR="00C319FA" w:rsidRPr="00D21194" w:rsidRDefault="00000000" w:rsidP="00C319FA">
      <w:pPr>
        <w:pStyle w:val="CETListbullets"/>
        <w:ind w:left="0" w:firstLine="0"/>
      </w:pPr>
      <w:r w:rsidRPr="00D21194">
        <w:t>Once again, no change was made to the descriptors used for the development of models that included quantum-chemical descriptors</w:t>
      </w:r>
      <w:r w:rsidR="00FD59A9" w:rsidRPr="00D21194">
        <w:t xml:space="preserve"> to focus the investigation on the impact of machine learning methods on the final models</w:t>
      </w:r>
      <w:r w:rsidRPr="00D21194">
        <w:t>. The structures of the 47 pure compounds in the database were calculated using density functional theory (DFT) with the Gaussian09 package at B3LYP/6-31+G(d,p) level, which is commonly used for organic compounds. Based on these molecular structures, over 300 molecular descriptors were then computed using Codessa software. These descriptors fall into different categories: (i) constitutional descriptors, which relate to the number and occurrence of specific molecular features, such as the presence and number of specific bonds or chemical groups; (ii) topological descriptors, calculated from the connectivity table of molecules; (iii) geometric descriptors, related to the three-dimensional (3D) structure, such as distances, angles in the molecules, or molecular volumes; and (iv) quantum chemical descriptors, which provide information on binding, energetic, electronic, and thermodynamic properties. In addition to those calculated by Codessa, some descriptors were determined manually, such as the presence and counts of functional groups identified in the dataset, like alcohol functions. This was also the case for quantum chemical descriptors, such as conceptual DFT descriptors, as done in previous works</w:t>
      </w:r>
      <w:r w:rsidR="00677822" w:rsidRPr="00D21194">
        <w:t xml:space="preserve"> </w:t>
      </w:r>
      <w:r w:rsidR="00677822" w:rsidRPr="00D21194">
        <w:fldChar w:fldCharType="begin"/>
      </w:r>
      <w:r w:rsidR="00677822" w:rsidRPr="00D21194">
        <w:instrText xml:space="preserve"> ADDIN EN.CITE &lt;EndNote&gt;&lt;Cite&gt;&lt;Author&gt;Fayet&lt;/Author&gt;&lt;Year&gt;2009&lt;/Year&gt;&lt;RecNum&gt;44&lt;/RecNum&gt;&lt;DisplayText&gt;(Fayet et al., 2009)&lt;/DisplayText&gt;&lt;record&gt;&lt;rec-number&gt;44&lt;/rec-number&gt;&lt;foreign-keys&gt;&lt;key app="EN" db-id="vew222vrz0s9v5eeratvas0qpzt5eerr22zz" timestamp="0"&gt;44&lt;/key&gt;&lt;/foreign-keys&gt;&lt;ref-type name="Journal Article"&gt;17&lt;/ref-type&gt;&lt;contributors&gt;&lt;authors&gt;&lt;author&gt;Fayet, Guillaume&lt;/author&gt;&lt;author&gt;Joubert, Laurent&lt;/author&gt;&lt;author&gt;Rotureau, Patricia&lt;/author&gt;&lt;author&gt;Adamo, Carlo&lt;/author&gt;&lt;/authors&gt;&lt;/contributors&gt;&lt;titles&gt;&lt;title&gt;On the use of descriptors arising from the conceptual density functional theory for the prediction of chemicals explosibility&lt;/title&gt;&lt;secondary-title&gt;Chemical Physics Letter&lt;/secondary-title&gt;&lt;alt-title&gt;Chem. Phys. Lett.&lt;/alt-title&gt;&lt;/titles&gt;&lt;periodical&gt;&lt;full-title&gt;Chemical Physics Letter&lt;/full-title&gt;&lt;abbr-1&gt;Chem. Phys. Lett.&lt;/abbr-1&gt;&lt;/periodical&gt;&lt;alt-periodical&gt;&lt;full-title&gt;Chem. Phys. Lett.&lt;/full-title&gt;&lt;/alt-periodical&gt;&lt;pages&gt;407-411&lt;/pages&gt;&lt;volume&gt;467&lt;/volume&gt;&lt;section&gt;407&lt;/section&gt;&lt;dates&gt;&lt;year&gt;2009&lt;/year&gt;&lt;/dates&gt;&lt;urls&gt;&lt;/urls&gt;&lt;electronic-resource-num&gt;https://doi.org/10.1016/j.cplett.2008.11.033&lt;/electronic-resource-num&gt;&lt;/record&gt;&lt;/Cite&gt;&lt;/EndNote&gt;</w:instrText>
      </w:r>
      <w:r w:rsidR="00677822" w:rsidRPr="00D21194">
        <w:fldChar w:fldCharType="separate"/>
      </w:r>
      <w:r w:rsidR="00677822" w:rsidRPr="00D21194">
        <w:rPr>
          <w:noProof/>
        </w:rPr>
        <w:t>(Fayet et al., 2009)</w:t>
      </w:r>
      <w:r w:rsidR="00677822" w:rsidRPr="00D21194">
        <w:fldChar w:fldCharType="end"/>
      </w:r>
      <w:r w:rsidR="00677822" w:rsidRPr="00D21194">
        <w:t>.</w:t>
      </w:r>
    </w:p>
    <w:p w14:paraId="42E97B9C" w14:textId="35868320" w:rsidR="00C319FA" w:rsidRPr="00D21194" w:rsidRDefault="00000000" w:rsidP="00C319FA">
      <w:pPr>
        <w:pStyle w:val="CETListbullets"/>
        <w:ind w:left="0" w:firstLine="0"/>
      </w:pPr>
      <w:r w:rsidRPr="00D21194">
        <w:t xml:space="preserve">To account for the trends followed by the property with the concentration of its constituents, </w:t>
      </w:r>
      <w:r w:rsidR="006A25C1" w:rsidRPr="00D21194">
        <w:t xml:space="preserve">the </w:t>
      </w:r>
      <w:r w:rsidRPr="00D21194">
        <w:t>series of mixture formulas proposed in previous work</w:t>
      </w:r>
      <w:r w:rsidR="006A25C1" w:rsidRPr="00D21194">
        <w:t xml:space="preserve"> </w:t>
      </w:r>
      <w:r w:rsidR="006A25C1" w:rsidRPr="00D21194">
        <w:fldChar w:fldCharType="begin"/>
      </w:r>
      <w:r w:rsidR="006A25C1" w:rsidRPr="00D21194">
        <w:instrText xml:space="preserve"> ADDIN EN.CITE &lt;EndNote&gt;&lt;Cite&gt;&lt;Author&gt;Fayet&lt;/Author&gt;&lt;Year&gt;2019&lt;/Year&gt;&lt;RecNum&gt;1318&lt;/RecNum&gt;&lt;DisplayText&gt;(Fayet and Rotureau, 2019)&lt;/DisplayText&gt;&lt;record&gt;&lt;rec-number&gt;1318&lt;/rec-number&gt;&lt;foreign-keys&gt;&lt;key app="EN" db-id="vew222vrz0s9v5eeratvas0qpzt5eerr22zz" timestamp="1589977498"&gt;1318&lt;/key&gt;&lt;/foreign-keys&gt;&lt;ref-type name="Journal Article"&gt;17&lt;/ref-type&gt;&lt;contributors&gt;&lt;authors&gt;&lt;author&gt;Fayet, Guillaume&lt;/author&gt;&lt;author&gt;Rotureau, Patricia&lt;/author&gt;&lt;/authors&gt;&lt;/contributors&gt;&lt;titles&gt;&lt;title&gt;New QSPR Models to Predict the Flammability of Binary Liquid Mixtures&lt;/title&gt;&lt;secondary-title&gt;Molecular Informatics&lt;/secondary-title&gt;&lt;/titles&gt;&lt;periodical&gt;&lt;full-title&gt;Molecular Informatics&lt;/full-title&gt;&lt;abbr-1&gt;Mol. Inform.&lt;/abbr-1&gt;&lt;abbr-2&gt;Mol Inform&lt;/abbr-2&gt;&lt;/periodical&gt;&lt;pages&gt;1800122&lt;/pages&gt;&lt;volume&gt;38&lt;/volume&gt;&lt;number&gt;8-9&lt;/number&gt;&lt;dates&gt;&lt;year&gt;2019&lt;/year&gt;&lt;/dates&gt;&lt;isbn&gt;1868-1743&lt;/isbn&gt;&lt;urls&gt;&lt;related-urls&gt;&lt;url&gt;https://onlinelibrary.wiley.com/doi/abs/10.1002/minf.201800122&lt;/url&gt;&lt;/related-urls&gt;&lt;/urls&gt;&lt;electronic-resource-num&gt;https://doi.org/10.1002/minf.201800122&lt;/electronic-resource-num&gt;&lt;/record&gt;&lt;/Cite&gt;&lt;/EndNote&gt;</w:instrText>
      </w:r>
      <w:r w:rsidR="006A25C1" w:rsidRPr="00D21194">
        <w:fldChar w:fldCharType="separate"/>
      </w:r>
      <w:r w:rsidR="006A25C1" w:rsidRPr="00D21194">
        <w:rPr>
          <w:noProof/>
        </w:rPr>
        <w:t>(Fayet and Rotureau, 2019)</w:t>
      </w:r>
      <w:r w:rsidR="006A25C1" w:rsidRPr="00D21194">
        <w:fldChar w:fldCharType="end"/>
      </w:r>
      <w:r w:rsidRPr="00D21194">
        <w:t xml:space="preserve"> was used. These so-called mixture descriptors </w:t>
      </w:r>
      <w:r w:rsidRPr="00D21194">
        <w:rPr>
          <w:i/>
          <w:iCs/>
        </w:rPr>
        <w:t>D</w:t>
      </w:r>
      <w:r w:rsidRPr="00D21194">
        <w:t xml:space="preserve"> are based on the molecular descriptors </w:t>
      </w:r>
      <w:r w:rsidR="004574EB" w:rsidRPr="00D21194">
        <w:rPr>
          <w:i/>
          <w:iCs/>
        </w:rPr>
        <w:t>d</w:t>
      </w:r>
      <w:r w:rsidR="004574EB" w:rsidRPr="00D21194">
        <w:rPr>
          <w:i/>
          <w:iCs/>
          <w:vertAlign w:val="subscript"/>
        </w:rPr>
        <w:t>i</w:t>
      </w:r>
      <w:r w:rsidR="004574EB" w:rsidRPr="00D21194">
        <w:t xml:space="preserve"> </w:t>
      </w:r>
      <w:r w:rsidRPr="00D21194">
        <w:t>and the molar</w:t>
      </w:r>
      <w:r w:rsidR="004574EB" w:rsidRPr="00D21194">
        <w:t xml:space="preserve"> fraction</w:t>
      </w:r>
      <w:r w:rsidRPr="00D21194">
        <w:t xml:space="preserve"> </w:t>
      </w:r>
      <w:r w:rsidR="004574EB" w:rsidRPr="00D21194">
        <w:rPr>
          <w:i/>
          <w:iCs/>
        </w:rPr>
        <w:t>x</w:t>
      </w:r>
      <w:r w:rsidR="004574EB" w:rsidRPr="00D21194">
        <w:rPr>
          <w:i/>
          <w:iCs/>
          <w:vertAlign w:val="subscript"/>
        </w:rPr>
        <w:t>i</w:t>
      </w:r>
      <w:r w:rsidR="004574EB" w:rsidRPr="00D21194">
        <w:t xml:space="preserve"> </w:t>
      </w:r>
      <w:r w:rsidRPr="00D21194">
        <w:t xml:space="preserve">of each component in the mixture, as summarized in </w:t>
      </w:r>
      <w:r w:rsidR="008E70EB" w:rsidRPr="00D21194">
        <w:t>Table 1</w:t>
      </w:r>
      <w:r w:rsidRPr="00D21194">
        <w:t>.</w:t>
      </w:r>
    </w:p>
    <w:p w14:paraId="0F4174F3" w14:textId="77777777" w:rsidR="004574EB" w:rsidRPr="00D21194" w:rsidRDefault="00000000" w:rsidP="004574EB">
      <w:pPr>
        <w:pStyle w:val="CETListbullets"/>
        <w:ind w:left="0" w:firstLine="0"/>
      </w:pPr>
      <w:r w:rsidRPr="00D21194">
        <w:t>In the case of</w:t>
      </w:r>
      <w:r w:rsidR="00C319FA" w:rsidRPr="00D21194">
        <w:t xml:space="preserve"> the flash point of mixtures, </w:t>
      </w:r>
      <w:r w:rsidRPr="00D21194">
        <w:t>their profile with concentration</w:t>
      </w:r>
      <w:r w:rsidR="00C319FA" w:rsidRPr="00D21194">
        <w:t xml:space="preserve"> does not follow a simple dilution effect. Indeed, it is influenced by </w:t>
      </w:r>
      <w:r w:rsidRPr="00D21194">
        <w:t>different</w:t>
      </w:r>
      <w:r w:rsidR="00C319FA" w:rsidRPr="00D21194">
        <w:t xml:space="preserve"> factors, such as the affinity between compounds and their respective vapour pressures. Therefore, both linear and non-linear formulas </w:t>
      </w:r>
      <w:r w:rsidRPr="00D21194">
        <w:t>were</w:t>
      </w:r>
      <w:r w:rsidR="00C319FA" w:rsidRPr="00D21194">
        <w:t xml:space="preserve"> considered, as presented in Table 1. </w:t>
      </w:r>
    </w:p>
    <w:p w14:paraId="5D304DAA" w14:textId="77777777" w:rsidR="002C777E" w:rsidRPr="00D21194" w:rsidRDefault="00000000" w:rsidP="00FC0070">
      <w:pPr>
        <w:pStyle w:val="CETheadingx"/>
      </w:pPr>
      <w:r w:rsidRPr="00D21194">
        <w:t>Development and validation of the models</w:t>
      </w:r>
    </w:p>
    <w:p w14:paraId="17FFDB4B" w14:textId="5A3BC36E" w:rsidR="00C5262E" w:rsidRPr="00D21194" w:rsidRDefault="00FD59A9" w:rsidP="00FC0070">
      <w:pPr>
        <w:pStyle w:val="CETBodytext"/>
      </w:pPr>
      <w:r w:rsidRPr="00D21194">
        <w:t xml:space="preserve">Different machine learning algorithms were </w:t>
      </w:r>
      <w:r w:rsidR="00AD2E60" w:rsidRPr="00D21194">
        <w:t xml:space="preserve">tested (using a Python environment) </w:t>
      </w:r>
      <w:r w:rsidRPr="00D21194">
        <w:t>to develop predictive models of the target property from the mixture descriptors: Support Vector Regression (SVR), Random Forest (RF), Extreme Gradient Boosting (XGBoost) and Artificial Neural Networks (ANN)</w:t>
      </w:r>
      <w:r w:rsidR="00190886" w:rsidRPr="00D21194">
        <w:t xml:space="preserve">. </w:t>
      </w:r>
      <w:r w:rsidR="004D6BB1" w:rsidRPr="00D21194">
        <w:t xml:space="preserve">Models were first developed on the training set. </w:t>
      </w:r>
      <w:r w:rsidR="00AD2E60" w:rsidRPr="00D21194">
        <w:t xml:space="preserve">Descriptor selection was done using </w:t>
      </w:r>
      <w:r w:rsidR="00AD2E60" w:rsidRPr="00D21194">
        <w:rPr>
          <w:i/>
          <w:iCs/>
        </w:rPr>
        <w:t>Recursive Feature Elimination</w:t>
      </w:r>
      <w:r w:rsidR="00AD2E60" w:rsidRPr="00D21194">
        <w:t xml:space="preserve"> (RFE) coupled with RF training to estimate the importance of each descriptor. The less important descriptors were eliminated until they reached the best cross-validation performances for the model.</w:t>
      </w:r>
      <w:r w:rsidR="004D6BB1" w:rsidRPr="00D21194">
        <w:t xml:space="preserve"> Model quality was evaluated based on the correlation within the training set (coefficient of determination R² and mean absolute error MAE) complemented by a cross-validation procedure to assess the models’ robustness.</w:t>
      </w:r>
    </w:p>
    <w:p w14:paraId="25F61C9D" w14:textId="15A04A65" w:rsidR="00887C24" w:rsidRPr="00D21194" w:rsidRDefault="00000000" w:rsidP="00887C24">
      <w:pPr>
        <w:pStyle w:val="CETBodytext"/>
      </w:pPr>
      <w:r w:rsidRPr="00D21194">
        <w:t>An external validation was conducted to assess the predictive performance of models.</w:t>
      </w:r>
      <w:r w:rsidR="00F815EA" w:rsidRPr="00D21194">
        <w:t xml:space="preserve"> </w:t>
      </w:r>
      <w:r w:rsidRPr="00D21194">
        <w:t>The classical method</w:t>
      </w:r>
      <w:r w:rsidR="00F815EA" w:rsidRPr="00D21194">
        <w:t xml:space="preserve"> used for the validation of models for pure compounds</w:t>
      </w:r>
      <w:r w:rsidRPr="00D21194">
        <w:t xml:space="preserve"> was adapted to better account for the specificity of mixtures</w:t>
      </w:r>
      <w:r w:rsidR="00F815EA" w:rsidRPr="00D21194">
        <w:t>. Indeed, in a database of pure compounds, each data</w:t>
      </w:r>
      <w:r w:rsidRPr="00D21194">
        <w:t xml:space="preserve"> sample </w:t>
      </w:r>
      <w:r w:rsidR="00F815EA" w:rsidRPr="00D21194">
        <w:t>is</w:t>
      </w:r>
      <w:r w:rsidRPr="00D21194">
        <w:t xml:space="preserve"> independent,</w:t>
      </w:r>
      <w:r w:rsidR="00F815EA" w:rsidRPr="00D21194">
        <w:t xml:space="preserve"> but in the case of mixtures</w:t>
      </w:r>
      <w:r w:rsidRPr="00D21194">
        <w:t xml:space="preserve">, </w:t>
      </w:r>
      <w:r w:rsidR="00F815EA" w:rsidRPr="00D21194">
        <w:t>several</w:t>
      </w:r>
      <w:r w:rsidRPr="00D21194">
        <w:t xml:space="preserve"> data point</w:t>
      </w:r>
      <w:r w:rsidR="00F815EA" w:rsidRPr="00D21194">
        <w:t>s</w:t>
      </w:r>
      <w:r w:rsidRPr="00D21194">
        <w:t xml:space="preserve"> </w:t>
      </w:r>
      <w:r w:rsidR="00F815EA" w:rsidRPr="00D21194">
        <w:t>are</w:t>
      </w:r>
      <w:r w:rsidRPr="00D21194">
        <w:t xml:space="preserve"> related to the same pure compounds. Muratov et al. proposed three external validation strategies applicable to QSPR models applied to mixtures</w:t>
      </w:r>
      <w:r w:rsidR="00FD59A9" w:rsidRPr="00D21194">
        <w:t xml:space="preserve"> </w:t>
      </w:r>
      <w:r w:rsidR="00FD59A9" w:rsidRPr="00D21194">
        <w:fldChar w:fldCharType="begin"/>
      </w:r>
      <w:r w:rsidR="00FD59A9" w:rsidRPr="00D21194">
        <w:instrText xml:space="preserve"> ADDIN EN.CITE &lt;EndNote&gt;&lt;Cite&gt;&lt;Author&gt;Muratov&lt;/Author&gt;&lt;Year&gt;2012&lt;/Year&gt;&lt;RecNum&gt;1011&lt;/RecNum&gt;&lt;DisplayText&gt;(Muratov et al., 2012)&lt;/DisplayText&gt;&lt;record&gt;&lt;rec-number&gt;1011&lt;/rec-number&gt;&lt;foreign-keys&gt;&lt;key app="EN" db-id="vew222vrz0s9v5eeratvas0qpzt5eerr22zz" timestamp="0"&gt;1011&lt;/key&gt;&lt;/foreign-keys&gt;&lt;ref-type name="Journal Article"&gt;17&lt;/ref-type&gt;&lt;contributors&gt;&lt;authors&gt;&lt;author&gt;Muratov, Eugene N.&lt;/author&gt;&lt;author&gt;Varlamova, Ekaterina V.&lt;/author&gt;&lt;author&gt;Artemenko, Anatoly G.&lt;/author&gt;&lt;author&gt;Polishchuk, Pavel G.&lt;/author&gt;&lt;author&gt;Kuz&amp;apos;min, Victor E.&lt;/author&gt;&lt;/authors&gt;&lt;/contributors&gt;&lt;titles&gt;&lt;title&gt;Existing and Developing Approaches for QSAR Analysis of Mixtures&lt;/title&gt;&lt;secondary-title&gt;Molecular Informatics&lt;/secondary-title&gt;&lt;alt-title&gt;Mol. Inform.&lt;/alt-title&gt;&lt;/titles&gt;&lt;periodical&gt;&lt;full-title&gt;Molecular Informatics&lt;/full-title&gt;&lt;abbr-1&gt;Mol. Inform.&lt;/abbr-1&gt;&lt;abbr-2&gt;Mol Inform&lt;/abbr-2&gt;&lt;/periodical&gt;&lt;alt-periodical&gt;&lt;full-title&gt;Molecular Informatics&lt;/full-title&gt;&lt;abbr-1&gt;Mol. Inform.&lt;/abbr-1&gt;&lt;abbr-2&gt;Mol Inform&lt;/abbr-2&gt;&lt;/alt-periodical&gt;&lt;pages&gt;202-221&lt;/pages&gt;&lt;volume&gt;31&lt;/volume&gt;&lt;number&gt;3-4&lt;/number&gt;&lt;section&gt;202&lt;/section&gt;&lt;keywords&gt;&lt;keyword&gt;Mixture descriptors&lt;/keyword&gt;&lt;keyword&gt;QSAR/QSPR&lt;/keyword&gt;&lt;keyword&gt;Predictive modeling&lt;/keyword&gt;&lt;keyword&gt;Synergism&lt;/keyword&gt;&lt;/keywords&gt;&lt;dates&gt;&lt;year&gt;2012&lt;/year&gt;&lt;/dates&gt;&lt;publisher&gt;WILEY-VCH Verlag&lt;/publisher&gt;&lt;urls&gt;&lt;related-urls&gt;&lt;url&gt;http://dx.doi.org/10.1002/minf.201100129 &lt;/url&gt;&lt;/related-urls&gt;&lt;/urls&gt;&lt;/record&gt;&lt;/Cite&gt;&lt;/EndNote&gt;</w:instrText>
      </w:r>
      <w:r w:rsidR="00FD59A9" w:rsidRPr="00D21194">
        <w:fldChar w:fldCharType="separate"/>
      </w:r>
      <w:r w:rsidR="00FD59A9" w:rsidRPr="00D21194">
        <w:rPr>
          <w:noProof/>
        </w:rPr>
        <w:t>(Muratov et al., 2012)</w:t>
      </w:r>
      <w:r w:rsidR="00FD59A9" w:rsidRPr="00D21194">
        <w:fldChar w:fldCharType="end"/>
      </w:r>
      <w:r w:rsidRPr="00D21194">
        <w:t>:</w:t>
      </w:r>
    </w:p>
    <w:p w14:paraId="6DB46802" w14:textId="77777777" w:rsidR="00887C24" w:rsidRPr="00D21194" w:rsidRDefault="00000000" w:rsidP="00101235">
      <w:pPr>
        <w:pStyle w:val="CETBodytext"/>
        <w:numPr>
          <w:ilvl w:val="0"/>
          <w:numId w:val="24"/>
        </w:numPr>
        <w:spacing w:before="60"/>
        <w:ind w:left="714" w:hanging="357"/>
      </w:pPr>
      <w:r w:rsidRPr="00D21194">
        <w:rPr>
          <w:b/>
          <w:bCs/>
        </w:rPr>
        <w:t>Points-out</w:t>
      </w:r>
      <w:r w:rsidRPr="00D21194">
        <w:t xml:space="preserve">: </w:t>
      </w:r>
      <w:r w:rsidR="00625EEE" w:rsidRPr="00D21194">
        <w:t>In t</w:t>
      </w:r>
      <w:r w:rsidRPr="00D21194">
        <w:t>his strateg</w:t>
      </w:r>
      <w:r w:rsidR="00625EEE" w:rsidRPr="00D21194">
        <w:t>y, da</w:t>
      </w:r>
      <w:r w:rsidRPr="00D21194">
        <w:t>ta points are distributed between the training set and the validation set</w:t>
      </w:r>
      <w:r w:rsidR="00625EEE" w:rsidRPr="00D21194">
        <w:t xml:space="preserve"> without any consideration of the fact that two points concern the same compounds (in different ratios). S</w:t>
      </w:r>
      <w:r w:rsidRPr="00D21194">
        <w:t>o, each mixture</w:t>
      </w:r>
      <w:r w:rsidR="00625EEE" w:rsidRPr="00D21194">
        <w:t xml:space="preserve"> of two compounds</w:t>
      </w:r>
      <w:r w:rsidRPr="00D21194">
        <w:t xml:space="preserve"> is present simultaneously in both the training and validation sets</w:t>
      </w:r>
      <w:r w:rsidR="00625EEE" w:rsidRPr="00D21194">
        <w:t>; only the ratio of the compounds in the mixture is different</w:t>
      </w:r>
      <w:r w:rsidRPr="00D21194">
        <w:t>. This method is the simplest</w:t>
      </w:r>
      <w:r w:rsidR="00625EEE" w:rsidRPr="00D21194">
        <w:t xml:space="preserve"> to apply</w:t>
      </w:r>
      <w:r w:rsidRPr="00D21194">
        <w:t xml:space="preserve"> and </w:t>
      </w:r>
      <w:r w:rsidRPr="00D21194">
        <w:lastRenderedPageBreak/>
        <w:t xml:space="preserve">reflects the </w:t>
      </w:r>
      <w:r w:rsidR="00625EEE" w:rsidRPr="00D21194">
        <w:t>capacity</w:t>
      </w:r>
      <w:r w:rsidRPr="00D21194">
        <w:t xml:space="preserve"> of the model</w:t>
      </w:r>
      <w:r w:rsidR="00625EEE" w:rsidRPr="00D21194">
        <w:t xml:space="preserve"> to predict the property</w:t>
      </w:r>
      <w:r w:rsidRPr="00D21194">
        <w:t xml:space="preserve"> for mixtures already present in the dataset but with new </w:t>
      </w:r>
      <w:r w:rsidR="00625EEE" w:rsidRPr="00D21194">
        <w:t>concentration ratios</w:t>
      </w:r>
      <w:r w:rsidRPr="00D21194">
        <w:t xml:space="preserve">. This strategy is used in the </w:t>
      </w:r>
      <w:r w:rsidR="00625EEE" w:rsidRPr="00D21194">
        <w:t>large majority</w:t>
      </w:r>
      <w:r w:rsidRPr="00D21194">
        <w:t xml:space="preserve"> of </w:t>
      </w:r>
      <w:r w:rsidR="00625EEE" w:rsidRPr="00D21194">
        <w:t xml:space="preserve">the </w:t>
      </w:r>
      <w:r w:rsidRPr="00D21194">
        <w:t>published models.</w:t>
      </w:r>
    </w:p>
    <w:p w14:paraId="3D06FEAD" w14:textId="6288C9CA" w:rsidR="00887C24" w:rsidRPr="00D21194" w:rsidRDefault="00000000" w:rsidP="00101235">
      <w:pPr>
        <w:pStyle w:val="CETBodytext"/>
        <w:numPr>
          <w:ilvl w:val="0"/>
          <w:numId w:val="24"/>
        </w:numPr>
        <w:spacing w:before="60"/>
        <w:ind w:left="714" w:hanging="357"/>
      </w:pPr>
      <w:r w:rsidRPr="00D21194">
        <w:rPr>
          <w:b/>
          <w:bCs/>
        </w:rPr>
        <w:t>Mixture-out</w:t>
      </w:r>
      <w:r w:rsidRPr="00D21194">
        <w:t xml:space="preserve">: All data points corresponding to </w:t>
      </w:r>
      <w:r w:rsidR="00625EEE" w:rsidRPr="00D21194">
        <w:t xml:space="preserve">a </w:t>
      </w:r>
      <w:r w:rsidRPr="00D21194">
        <w:t xml:space="preserve">mixture </w:t>
      </w:r>
      <w:r w:rsidR="00625EEE" w:rsidRPr="00D21194">
        <w:t xml:space="preserve">(i.e. </w:t>
      </w:r>
      <w:r w:rsidRPr="00D21194">
        <w:t>composed of the same constituents but in different ratios</w:t>
      </w:r>
      <w:r w:rsidR="00625EEE" w:rsidRPr="00D21194">
        <w:t>)</w:t>
      </w:r>
      <w:r w:rsidRPr="00D21194">
        <w:t xml:space="preserve"> are placed in the same dataset (training or validation)</w:t>
      </w:r>
      <w:r w:rsidR="00625EEE" w:rsidRPr="00D21194">
        <w:t>. So,</w:t>
      </w:r>
      <w:r w:rsidRPr="00D21194">
        <w:t xml:space="preserve"> each mixture is present either in the training set or </w:t>
      </w:r>
      <w:r w:rsidR="00625EEE" w:rsidRPr="00D21194">
        <w:t xml:space="preserve">in </w:t>
      </w:r>
      <w:r w:rsidRPr="00D21194">
        <w:t xml:space="preserve">the </w:t>
      </w:r>
      <w:r w:rsidR="00BA7510" w:rsidRPr="00D21194">
        <w:t>validation</w:t>
      </w:r>
      <w:r w:rsidRPr="00D21194">
        <w:t xml:space="preserve"> set, but never in both. </w:t>
      </w:r>
      <w:r w:rsidR="00FD59A9" w:rsidRPr="00D21194">
        <w:t>More rarely used, t</w:t>
      </w:r>
      <w:r w:rsidRPr="00D21194">
        <w:t xml:space="preserve">his method </w:t>
      </w:r>
      <w:r w:rsidR="00625EEE" w:rsidRPr="00D21194">
        <w:t>should</w:t>
      </w:r>
      <w:r w:rsidRPr="00D21194">
        <w:t xml:space="preserve"> give a higher prediction error </w:t>
      </w:r>
      <w:r w:rsidR="00FD59A9" w:rsidRPr="00D21194">
        <w:t xml:space="preserve">values </w:t>
      </w:r>
      <w:r w:rsidRPr="00D21194">
        <w:t>than the points-out strategy</w:t>
      </w:r>
      <w:r w:rsidR="00625EEE" w:rsidRPr="00D21194">
        <w:t xml:space="preserve">, </w:t>
      </w:r>
      <w:r w:rsidRPr="00D21194">
        <w:t xml:space="preserve">but </w:t>
      </w:r>
      <w:r w:rsidR="00625EEE" w:rsidRPr="00D21194">
        <w:t>it allows an evaluation of the prediction capacity of the model for new mixtures.</w:t>
      </w:r>
    </w:p>
    <w:p w14:paraId="506506B1" w14:textId="19F22638" w:rsidR="00887C24" w:rsidRPr="00D21194" w:rsidRDefault="00000000" w:rsidP="00101235">
      <w:pPr>
        <w:pStyle w:val="CETBodytext"/>
        <w:numPr>
          <w:ilvl w:val="0"/>
          <w:numId w:val="24"/>
        </w:numPr>
        <w:spacing w:before="60"/>
        <w:ind w:left="714" w:hanging="357"/>
      </w:pPr>
      <w:r w:rsidRPr="00D21194">
        <w:rPr>
          <w:b/>
          <w:bCs/>
        </w:rPr>
        <w:t>Compounds-out</w:t>
      </w:r>
      <w:r w:rsidRPr="00D21194">
        <w:t xml:space="preserve">: </w:t>
      </w:r>
      <w:r w:rsidR="00625EEE" w:rsidRPr="00D21194">
        <w:t>In this last strategy, p</w:t>
      </w:r>
      <w:r w:rsidRPr="00D21194">
        <w:t>ure compounds and their mixtures are placed in the same dataset</w:t>
      </w:r>
      <w:r w:rsidR="00625EEE" w:rsidRPr="00D21194">
        <w:t>. Each</w:t>
      </w:r>
      <w:r w:rsidRPr="00D21194">
        <w:t xml:space="preserve"> mixture </w:t>
      </w:r>
      <w:r w:rsidR="00625EEE" w:rsidRPr="00D21194">
        <w:t xml:space="preserve">of the validation set </w:t>
      </w:r>
      <w:r w:rsidRPr="00D21194">
        <w:t>contains at least one compound absent from the training set. This is the most rigorous validation method for mixtures</w:t>
      </w:r>
      <w:r w:rsidR="00625EEE" w:rsidRPr="00D21194">
        <w:t xml:space="preserve">, that allow to assess the </w:t>
      </w:r>
      <w:r w:rsidR="00B968F5" w:rsidRPr="00D21194">
        <w:t>capacity of the model to predict the property of mixtures containing new chemical compounds.</w:t>
      </w:r>
      <w:r w:rsidR="00FD59A9" w:rsidRPr="00D21194">
        <w:t xml:space="preserve"> </w:t>
      </w:r>
      <w:r w:rsidR="009D4B73" w:rsidRPr="00D21194">
        <w:t>This strategy is the more difficult to be implemented in practice. So, it was only rarely used in existing literature.</w:t>
      </w:r>
    </w:p>
    <w:p w14:paraId="0746EAD2" w14:textId="06DE0F99" w:rsidR="00786F76" w:rsidRPr="00D21194" w:rsidRDefault="00000000" w:rsidP="00101235">
      <w:pPr>
        <w:pStyle w:val="CETBodytext"/>
        <w:spacing w:before="60"/>
      </w:pPr>
      <w:r w:rsidRPr="00D21194">
        <w:t>In this study</w:t>
      </w:r>
      <w:r w:rsidR="009D4B73" w:rsidRPr="00D21194">
        <w:t xml:space="preserve"> (as in our previous models)</w:t>
      </w:r>
      <w:r w:rsidRPr="00D21194">
        <w:t xml:space="preserve">, the </w:t>
      </w:r>
      <w:r w:rsidR="002C777E" w:rsidRPr="00D21194">
        <w:t>compou</w:t>
      </w:r>
      <w:r w:rsidR="00AD2E60" w:rsidRPr="00D21194">
        <w:t>n</w:t>
      </w:r>
      <w:r w:rsidR="002C777E" w:rsidRPr="00D21194">
        <w:t>ds-out scheme was favored</w:t>
      </w:r>
      <w:r w:rsidR="009D4B73" w:rsidRPr="00D21194">
        <w:t>. P</w:t>
      </w:r>
      <w:r w:rsidR="002C777E" w:rsidRPr="00D21194">
        <w:t>artition was even done</w:t>
      </w:r>
      <w:r w:rsidR="009D4B73" w:rsidRPr="00D21194">
        <w:t>, here,</w:t>
      </w:r>
      <w:r w:rsidR="002C777E" w:rsidRPr="00D21194">
        <w:t xml:space="preserve"> by considering a balanced representation of the chemical families in each set</w:t>
      </w:r>
      <w:r w:rsidR="00786F76" w:rsidRPr="00D21194">
        <w:t>.</w:t>
      </w:r>
    </w:p>
    <w:p w14:paraId="46AB2CDE" w14:textId="77777777" w:rsidR="007C5307" w:rsidRPr="00D21194" w:rsidRDefault="00000000" w:rsidP="00F8764F">
      <w:pPr>
        <w:pStyle w:val="CETHeading1"/>
      </w:pPr>
      <w:r w:rsidRPr="00D21194">
        <w:t>Results</w:t>
      </w:r>
    </w:p>
    <w:p w14:paraId="2FE516EE" w14:textId="77777777" w:rsidR="00AD2E60" w:rsidRPr="00D21194" w:rsidRDefault="00000000" w:rsidP="006B546E">
      <w:pPr>
        <w:pStyle w:val="CETBodytext"/>
      </w:pPr>
      <w:r w:rsidRPr="00D21194">
        <w:t>The results obtained using the different algorithms are presented in Table</w:t>
      </w:r>
      <w:r w:rsidR="00284740" w:rsidRPr="00D21194">
        <w:t xml:space="preserve"> 2</w:t>
      </w:r>
      <w:r w:rsidRPr="00D21194">
        <w:t>.</w:t>
      </w:r>
    </w:p>
    <w:p w14:paraId="02AD7531" w14:textId="45F94809" w:rsidR="00786F76" w:rsidRPr="00D21194" w:rsidRDefault="00000000" w:rsidP="00786F76">
      <w:pPr>
        <w:pStyle w:val="CETTabletitle"/>
      </w:pPr>
      <w:r w:rsidRPr="00D21194">
        <w:t xml:space="preserve">Table </w:t>
      </w:r>
      <w:r w:rsidR="00284740" w:rsidRPr="00D21194">
        <w:t>2</w:t>
      </w:r>
      <w:r w:rsidRPr="00D21194">
        <w:t>: Performances of the</w:t>
      </w:r>
      <w:r w:rsidR="008A0DF8" w:rsidRPr="00D21194">
        <w:t xml:space="preserve"> developed</w:t>
      </w:r>
      <w:r w:rsidRPr="00D21194">
        <w:t xml:space="preserve"> models using different algorithms for the flash point of mixtures</w:t>
      </w:r>
    </w:p>
    <w:tbl>
      <w:tblPr>
        <w:tblW w:w="4177"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445"/>
        <w:gridCol w:w="1445"/>
        <w:gridCol w:w="1446"/>
        <w:gridCol w:w="1445"/>
      </w:tblGrid>
      <w:tr w:rsidR="00D21194" w:rsidRPr="00D21194" w14:paraId="47F924FC" w14:textId="77777777" w:rsidTr="003D5D19">
        <w:trPr>
          <w:trHeight w:val="254"/>
          <w:jc w:val="center"/>
        </w:trPr>
        <w:tc>
          <w:tcPr>
            <w:tcW w:w="1063" w:type="pct"/>
            <w:tcBorders>
              <w:top w:val="single" w:sz="12" w:space="0" w:color="008000"/>
              <w:bottom w:val="single" w:sz="6" w:space="0" w:color="008000"/>
            </w:tcBorders>
            <w:shd w:val="clear" w:color="auto" w:fill="FFFFFF"/>
          </w:tcPr>
          <w:p w14:paraId="53758C47" w14:textId="77777777" w:rsidR="003D5D19" w:rsidRPr="00D21194" w:rsidRDefault="003D5D19" w:rsidP="00460C89">
            <w:pPr>
              <w:pStyle w:val="CETBodytext"/>
              <w:rPr>
                <w:rFonts w:cs="Arial"/>
                <w:szCs w:val="18"/>
                <w:lang w:val="en-GB"/>
              </w:rPr>
            </w:pPr>
          </w:p>
        </w:tc>
        <w:tc>
          <w:tcPr>
            <w:tcW w:w="984" w:type="pct"/>
            <w:tcBorders>
              <w:top w:val="single" w:sz="12" w:space="0" w:color="008000"/>
              <w:bottom w:val="single" w:sz="6" w:space="0" w:color="008000"/>
            </w:tcBorders>
            <w:shd w:val="clear" w:color="auto" w:fill="FFFFFF"/>
          </w:tcPr>
          <w:p w14:paraId="5F935177" w14:textId="77777777" w:rsidR="003D5D19" w:rsidRPr="00D21194" w:rsidRDefault="00000000" w:rsidP="00460C89">
            <w:pPr>
              <w:pStyle w:val="CETBodytext"/>
              <w:rPr>
                <w:rFonts w:cs="Arial"/>
                <w:szCs w:val="18"/>
                <w:lang w:val="en-GB"/>
              </w:rPr>
            </w:pPr>
            <w:r w:rsidRPr="00D21194">
              <w:rPr>
                <w:rFonts w:cs="Arial"/>
                <w:szCs w:val="18"/>
                <w:lang w:val="en-GB"/>
              </w:rPr>
              <w:t>SVR</w:t>
            </w:r>
          </w:p>
        </w:tc>
        <w:tc>
          <w:tcPr>
            <w:tcW w:w="984" w:type="pct"/>
            <w:tcBorders>
              <w:top w:val="single" w:sz="12" w:space="0" w:color="008000"/>
              <w:bottom w:val="single" w:sz="6" w:space="0" w:color="008000"/>
            </w:tcBorders>
            <w:shd w:val="clear" w:color="auto" w:fill="FFFFFF"/>
          </w:tcPr>
          <w:p w14:paraId="31A932A0" w14:textId="77777777" w:rsidR="003D5D19" w:rsidRPr="00D21194" w:rsidRDefault="00000000" w:rsidP="00460C89">
            <w:pPr>
              <w:pStyle w:val="CETBodytext"/>
              <w:rPr>
                <w:rFonts w:cs="Arial"/>
                <w:szCs w:val="18"/>
                <w:lang w:val="en-GB"/>
              </w:rPr>
            </w:pPr>
            <w:r w:rsidRPr="00D21194">
              <w:rPr>
                <w:rFonts w:cs="Arial"/>
                <w:szCs w:val="18"/>
                <w:lang w:val="en-GB"/>
              </w:rPr>
              <w:t>RF</w:t>
            </w:r>
          </w:p>
        </w:tc>
        <w:tc>
          <w:tcPr>
            <w:tcW w:w="985" w:type="pct"/>
            <w:tcBorders>
              <w:top w:val="single" w:sz="12" w:space="0" w:color="008000"/>
              <w:bottom w:val="single" w:sz="6" w:space="0" w:color="008000"/>
            </w:tcBorders>
            <w:shd w:val="clear" w:color="auto" w:fill="FFFFFF"/>
          </w:tcPr>
          <w:p w14:paraId="4307E949" w14:textId="77777777" w:rsidR="003D5D19" w:rsidRPr="00D21194" w:rsidRDefault="00000000" w:rsidP="00460C89">
            <w:pPr>
              <w:pStyle w:val="CETBodytext"/>
              <w:rPr>
                <w:rFonts w:cs="Arial"/>
                <w:szCs w:val="18"/>
                <w:lang w:val="en-GB"/>
              </w:rPr>
            </w:pPr>
            <w:r w:rsidRPr="00D21194">
              <w:rPr>
                <w:rFonts w:cs="Arial"/>
                <w:szCs w:val="18"/>
                <w:lang w:val="en-GB"/>
              </w:rPr>
              <w:t>XGBoost</w:t>
            </w:r>
          </w:p>
        </w:tc>
        <w:tc>
          <w:tcPr>
            <w:tcW w:w="984" w:type="pct"/>
            <w:tcBorders>
              <w:top w:val="single" w:sz="12" w:space="0" w:color="008000"/>
              <w:bottom w:val="single" w:sz="6" w:space="0" w:color="008000"/>
            </w:tcBorders>
            <w:shd w:val="clear" w:color="auto" w:fill="FFFFFF"/>
          </w:tcPr>
          <w:p w14:paraId="218D6219" w14:textId="77777777" w:rsidR="003D5D19" w:rsidRPr="00D21194" w:rsidRDefault="00000000" w:rsidP="00460C89">
            <w:pPr>
              <w:pStyle w:val="CETBodytext"/>
              <w:rPr>
                <w:rFonts w:cs="Arial"/>
                <w:szCs w:val="18"/>
                <w:lang w:val="en-GB"/>
              </w:rPr>
            </w:pPr>
            <w:r w:rsidRPr="00D21194">
              <w:rPr>
                <w:rFonts w:cs="Arial"/>
                <w:szCs w:val="18"/>
                <w:lang w:val="en-GB"/>
              </w:rPr>
              <w:t>ANN</w:t>
            </w:r>
          </w:p>
        </w:tc>
      </w:tr>
      <w:tr w:rsidR="00D21194" w:rsidRPr="00D21194" w14:paraId="44112490" w14:textId="77777777" w:rsidTr="003D5D19">
        <w:trPr>
          <w:trHeight w:val="254"/>
          <w:jc w:val="center"/>
        </w:trPr>
        <w:tc>
          <w:tcPr>
            <w:tcW w:w="1063" w:type="pct"/>
            <w:shd w:val="clear" w:color="auto" w:fill="FFFFFF"/>
          </w:tcPr>
          <w:p w14:paraId="3C0CB176" w14:textId="77777777" w:rsidR="003D5D19" w:rsidRPr="00D21194" w:rsidRDefault="00000000" w:rsidP="00EB13C6">
            <w:pPr>
              <w:pStyle w:val="CETBodytext"/>
              <w:rPr>
                <w:rFonts w:cs="Arial"/>
                <w:bCs/>
                <w:iCs/>
                <w:szCs w:val="18"/>
                <w:lang w:val="en-GB"/>
              </w:rPr>
            </w:pPr>
            <w:r w:rsidRPr="00D21194">
              <w:rPr>
                <w:rFonts w:cs="Arial"/>
                <w:bCs/>
                <w:iCs/>
                <w:szCs w:val="18"/>
              </w:rPr>
              <w:t>R²</w:t>
            </w:r>
            <w:r w:rsidRPr="00D21194">
              <w:rPr>
                <w:rFonts w:cs="Arial"/>
                <w:bCs/>
                <w:iCs/>
                <w:szCs w:val="18"/>
                <w:vertAlign w:val="subscript"/>
              </w:rPr>
              <w:t xml:space="preserve">train </w:t>
            </w:r>
          </w:p>
        </w:tc>
        <w:tc>
          <w:tcPr>
            <w:tcW w:w="984" w:type="pct"/>
            <w:shd w:val="clear" w:color="auto" w:fill="FFFFFF"/>
          </w:tcPr>
          <w:p w14:paraId="4E00D482" w14:textId="77777777" w:rsidR="003D5D19" w:rsidRPr="00D21194" w:rsidRDefault="00000000" w:rsidP="00EB13C6">
            <w:pPr>
              <w:pStyle w:val="CETBodytext"/>
              <w:rPr>
                <w:rFonts w:cs="Arial"/>
                <w:bCs/>
                <w:iCs/>
                <w:szCs w:val="18"/>
                <w:lang w:val="en-GB"/>
              </w:rPr>
            </w:pPr>
            <w:r w:rsidRPr="00D21194">
              <w:t>0.90</w:t>
            </w:r>
          </w:p>
        </w:tc>
        <w:tc>
          <w:tcPr>
            <w:tcW w:w="984" w:type="pct"/>
            <w:shd w:val="clear" w:color="auto" w:fill="FFFFFF"/>
          </w:tcPr>
          <w:p w14:paraId="10E55480" w14:textId="77777777" w:rsidR="003D5D19" w:rsidRPr="00D21194" w:rsidRDefault="00000000" w:rsidP="00EB13C6">
            <w:pPr>
              <w:pStyle w:val="CETBodytext"/>
              <w:rPr>
                <w:rFonts w:eastAsiaTheme="minorHAnsi" w:cs="Arial"/>
                <w:bCs/>
                <w:iCs/>
                <w:szCs w:val="18"/>
              </w:rPr>
            </w:pPr>
            <w:r w:rsidRPr="00D21194">
              <w:t>0.99</w:t>
            </w:r>
          </w:p>
        </w:tc>
        <w:tc>
          <w:tcPr>
            <w:tcW w:w="985" w:type="pct"/>
            <w:shd w:val="clear" w:color="auto" w:fill="FFFFFF"/>
          </w:tcPr>
          <w:p w14:paraId="48E75ABC" w14:textId="77777777" w:rsidR="003D5D19" w:rsidRPr="00D21194" w:rsidRDefault="00000000" w:rsidP="00EB13C6">
            <w:pPr>
              <w:pStyle w:val="CETBodytext"/>
              <w:rPr>
                <w:rFonts w:eastAsiaTheme="minorHAnsi" w:cs="Arial"/>
                <w:bCs/>
                <w:iCs/>
                <w:szCs w:val="18"/>
              </w:rPr>
            </w:pPr>
            <w:r w:rsidRPr="00D21194">
              <w:t>0.98</w:t>
            </w:r>
          </w:p>
        </w:tc>
        <w:tc>
          <w:tcPr>
            <w:tcW w:w="984" w:type="pct"/>
            <w:shd w:val="clear" w:color="auto" w:fill="FFFFFF"/>
          </w:tcPr>
          <w:p w14:paraId="6E90CCE3" w14:textId="77777777" w:rsidR="003D5D19" w:rsidRPr="00D21194" w:rsidRDefault="00000000" w:rsidP="00EB13C6">
            <w:pPr>
              <w:pStyle w:val="CETBodytext"/>
              <w:rPr>
                <w:rFonts w:eastAsiaTheme="minorHAnsi" w:cs="Arial"/>
                <w:bCs/>
                <w:iCs/>
                <w:szCs w:val="18"/>
              </w:rPr>
            </w:pPr>
            <w:r w:rsidRPr="00D21194">
              <w:t>0.99</w:t>
            </w:r>
          </w:p>
        </w:tc>
      </w:tr>
      <w:tr w:rsidR="00D21194" w:rsidRPr="00D21194" w14:paraId="417E73E2" w14:textId="77777777" w:rsidTr="003D5D19">
        <w:trPr>
          <w:trHeight w:val="271"/>
          <w:jc w:val="center"/>
        </w:trPr>
        <w:tc>
          <w:tcPr>
            <w:tcW w:w="1063" w:type="pct"/>
            <w:shd w:val="clear" w:color="auto" w:fill="FFFFFF"/>
          </w:tcPr>
          <w:p w14:paraId="60B48B24" w14:textId="77777777" w:rsidR="003D5D19" w:rsidRPr="00D21194" w:rsidRDefault="00000000" w:rsidP="00EB13C6">
            <w:pPr>
              <w:pStyle w:val="CETBodytext"/>
              <w:ind w:right="-1"/>
              <w:rPr>
                <w:rFonts w:cs="Arial"/>
                <w:bCs/>
                <w:iCs/>
                <w:szCs w:val="18"/>
                <w:lang w:val="en-GB"/>
              </w:rPr>
            </w:pPr>
            <w:r w:rsidRPr="00D21194">
              <w:rPr>
                <w:rFonts w:cs="Arial"/>
                <w:bCs/>
                <w:iCs/>
                <w:szCs w:val="18"/>
              </w:rPr>
              <w:t>R²</w:t>
            </w:r>
            <w:r w:rsidRPr="00D21194">
              <w:rPr>
                <w:rFonts w:cs="Arial"/>
                <w:bCs/>
                <w:iCs/>
                <w:szCs w:val="18"/>
                <w:vertAlign w:val="subscript"/>
              </w:rPr>
              <w:t xml:space="preserve">valid </w:t>
            </w:r>
          </w:p>
        </w:tc>
        <w:tc>
          <w:tcPr>
            <w:tcW w:w="984" w:type="pct"/>
            <w:shd w:val="clear" w:color="auto" w:fill="FFFFFF"/>
          </w:tcPr>
          <w:p w14:paraId="094AD453" w14:textId="77777777" w:rsidR="003D5D19" w:rsidRPr="00D21194" w:rsidRDefault="00000000" w:rsidP="00EB13C6">
            <w:pPr>
              <w:pStyle w:val="CETBodytext"/>
              <w:ind w:right="-1"/>
              <w:rPr>
                <w:rFonts w:cs="Arial"/>
                <w:bCs/>
                <w:iCs/>
                <w:szCs w:val="18"/>
                <w:lang w:val="en-GB"/>
              </w:rPr>
            </w:pPr>
            <w:r w:rsidRPr="00D21194">
              <w:t>0.88</w:t>
            </w:r>
          </w:p>
        </w:tc>
        <w:tc>
          <w:tcPr>
            <w:tcW w:w="984" w:type="pct"/>
            <w:shd w:val="clear" w:color="auto" w:fill="FFFFFF"/>
          </w:tcPr>
          <w:p w14:paraId="16C02B61" w14:textId="77777777" w:rsidR="003D5D19" w:rsidRPr="00D21194" w:rsidRDefault="00000000" w:rsidP="00EB13C6">
            <w:pPr>
              <w:pStyle w:val="CETBodytext"/>
              <w:ind w:right="-1"/>
              <w:rPr>
                <w:rFonts w:eastAsiaTheme="minorHAnsi" w:cs="Arial"/>
                <w:bCs/>
                <w:iCs/>
                <w:szCs w:val="18"/>
              </w:rPr>
            </w:pPr>
            <w:r w:rsidRPr="00D21194">
              <w:t>0.91</w:t>
            </w:r>
          </w:p>
        </w:tc>
        <w:tc>
          <w:tcPr>
            <w:tcW w:w="985" w:type="pct"/>
            <w:shd w:val="clear" w:color="auto" w:fill="FFFFFF"/>
          </w:tcPr>
          <w:p w14:paraId="654CD6B1" w14:textId="77777777" w:rsidR="003D5D19" w:rsidRPr="00D21194" w:rsidRDefault="00000000" w:rsidP="00EB13C6">
            <w:pPr>
              <w:pStyle w:val="CETBodytext"/>
              <w:ind w:right="-1"/>
              <w:rPr>
                <w:rFonts w:eastAsiaTheme="minorHAnsi" w:cs="Arial"/>
                <w:bCs/>
                <w:iCs/>
                <w:szCs w:val="18"/>
              </w:rPr>
            </w:pPr>
            <w:r w:rsidRPr="00D21194">
              <w:t>0.90</w:t>
            </w:r>
          </w:p>
        </w:tc>
        <w:tc>
          <w:tcPr>
            <w:tcW w:w="984" w:type="pct"/>
            <w:shd w:val="clear" w:color="auto" w:fill="FFFFFF"/>
          </w:tcPr>
          <w:p w14:paraId="4FD535D1" w14:textId="77777777" w:rsidR="003D5D19" w:rsidRPr="00D21194" w:rsidRDefault="00000000" w:rsidP="00EB13C6">
            <w:pPr>
              <w:pStyle w:val="CETBodytext"/>
              <w:ind w:right="-1"/>
              <w:rPr>
                <w:rFonts w:eastAsiaTheme="minorHAnsi" w:cs="Arial"/>
                <w:bCs/>
                <w:iCs/>
                <w:szCs w:val="18"/>
              </w:rPr>
            </w:pPr>
            <w:r w:rsidRPr="00D21194">
              <w:t>0.87</w:t>
            </w:r>
          </w:p>
        </w:tc>
      </w:tr>
    </w:tbl>
    <w:p w14:paraId="2B308097" w14:textId="77777777" w:rsidR="00AD2E60" w:rsidRPr="00D21194" w:rsidRDefault="00AD2E60" w:rsidP="006B546E">
      <w:pPr>
        <w:pStyle w:val="CETBodytext"/>
      </w:pPr>
    </w:p>
    <w:p w14:paraId="7EC1F260" w14:textId="54610896" w:rsidR="003D5D19" w:rsidRPr="00D21194" w:rsidRDefault="009D4B73" w:rsidP="006B546E">
      <w:pPr>
        <w:pStyle w:val="CETBodytext"/>
      </w:pPr>
      <w:r w:rsidRPr="00D21194">
        <w:t>The performances of the models developed using different machine learning methods are finally almost the same, with a significant decrease between the training and the validation. This could be due to the intrinsic complexity of these algorithms very powerful for big data problems, but that might be subject to overparameterization for small datasets.</w:t>
      </w:r>
    </w:p>
    <w:p w14:paraId="467DE2D8" w14:textId="0FAA8887" w:rsidR="00D70D38" w:rsidRPr="00D21194" w:rsidRDefault="009D4B73" w:rsidP="006B546E">
      <w:pPr>
        <w:pStyle w:val="CETBodytext"/>
      </w:pPr>
      <w:r w:rsidRPr="00D21194">
        <w:t xml:space="preserve">The main limitation of </w:t>
      </w:r>
      <w:r w:rsidR="008A0DF8" w:rsidRPr="00D21194">
        <w:t xml:space="preserve">these </w:t>
      </w:r>
      <w:r w:rsidRPr="00D21194">
        <w:t xml:space="preserve">models remains the size and diversity of the data sets available for the training and validation of the models. In particular, the data associated to highly non-ideal profiles represent a real training challenge for the models. For instance, when eliminating all mixtures presenting a minimum flash point, </w:t>
      </w:r>
      <w:r w:rsidR="00284740" w:rsidRPr="00D21194">
        <w:t>better models were obtained with the ANN algorithm (R²</w:t>
      </w:r>
      <w:r w:rsidR="00284740" w:rsidRPr="00D21194">
        <w:rPr>
          <w:vertAlign w:val="subscript"/>
        </w:rPr>
        <w:t>train</w:t>
      </w:r>
      <w:r w:rsidR="00284740" w:rsidRPr="00D21194">
        <w:t xml:space="preserve"> = 0.98 and R²</w:t>
      </w:r>
      <w:r w:rsidR="00284740" w:rsidRPr="00D21194">
        <w:rPr>
          <w:vertAlign w:val="subscript"/>
        </w:rPr>
        <w:t>valid</w:t>
      </w:r>
      <w:r w:rsidR="00284740" w:rsidRPr="00D21194">
        <w:t xml:space="preserve"> = 0.94)</w:t>
      </w:r>
      <w:r w:rsidRPr="00D21194">
        <w:t xml:space="preserve">, as illustrated in Figure </w:t>
      </w:r>
      <w:r w:rsidR="008A0DF8" w:rsidRPr="00D21194">
        <w:t>4</w:t>
      </w:r>
      <w:r w:rsidRPr="00D21194">
        <w:t>.</w:t>
      </w:r>
    </w:p>
    <w:p w14:paraId="66744A83" w14:textId="77777777" w:rsidR="00D70D38" w:rsidRPr="00D21194" w:rsidRDefault="00D70D38" w:rsidP="006B546E">
      <w:pPr>
        <w:pStyle w:val="CETBodytext"/>
      </w:pPr>
    </w:p>
    <w:p w14:paraId="165B7FD3" w14:textId="77777777" w:rsidR="00284740" w:rsidRPr="00D21194" w:rsidRDefault="00000000" w:rsidP="00A12188">
      <w:pPr>
        <w:pStyle w:val="CETBodytext"/>
        <w:jc w:val="center"/>
      </w:pPr>
      <w:r w:rsidRPr="00D21194">
        <w:rPr>
          <w:noProof/>
        </w:rPr>
        <w:drawing>
          <wp:inline distT="0" distB="0" distL="0" distR="0" wp14:anchorId="7AD71AE3" wp14:editId="086D7838">
            <wp:extent cx="4549140" cy="2397369"/>
            <wp:effectExtent l="0" t="0" r="3810" b="3175"/>
            <wp:docPr id="160203225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32252" name="Picture 14"/>
                    <pic:cNvPicPr>
                      <a:picLocks noChangeAspect="1" noChangeArrowheads="1"/>
                    </pic:cNvPicPr>
                  </pic:nvPicPr>
                  <pic:blipFill rotWithShape="1">
                    <a:blip r:embed="rId29">
                      <a:extLst>
                        <a:ext uri="{28A0092B-C50C-407E-A947-70E740481C1C}">
                          <a14:useLocalDpi xmlns:a14="http://schemas.microsoft.com/office/drawing/2010/main" val="0"/>
                        </a:ext>
                      </a:extLst>
                    </a:blip>
                    <a:srcRect t="3011" r="6201" b="2272"/>
                    <a:stretch/>
                  </pic:blipFill>
                  <pic:spPr bwMode="auto">
                    <a:xfrm>
                      <a:off x="0" y="0"/>
                      <a:ext cx="4605218" cy="2426922"/>
                    </a:xfrm>
                    <a:prstGeom prst="rect">
                      <a:avLst/>
                    </a:prstGeom>
                    <a:noFill/>
                    <a:ln>
                      <a:noFill/>
                    </a:ln>
                    <a:extLst>
                      <a:ext uri="{53640926-AAD7-44D8-BBD7-CCE9431645EC}">
                        <a14:shadowObscured xmlns:a14="http://schemas.microsoft.com/office/drawing/2010/main"/>
                      </a:ext>
                    </a:extLst>
                  </pic:spPr>
                </pic:pic>
              </a:graphicData>
            </a:graphic>
          </wp:inline>
        </w:drawing>
      </w:r>
    </w:p>
    <w:p w14:paraId="6ADCFA0E" w14:textId="5CB3121F" w:rsidR="00A12188" w:rsidRPr="00D21194" w:rsidRDefault="00000000" w:rsidP="004D6BB1">
      <w:pPr>
        <w:pStyle w:val="CETCaption"/>
        <w:spacing w:before="120"/>
      </w:pPr>
      <w:r w:rsidRPr="00D21194">
        <w:rPr>
          <w:rStyle w:val="CETCaptionCarattere"/>
          <w:i/>
        </w:rPr>
        <w:t xml:space="preserve">Figure 4: Performance of the ANN model developed after exclusion of </w:t>
      </w:r>
      <w:r w:rsidR="009D4B73" w:rsidRPr="00D21194">
        <w:rPr>
          <w:rStyle w:val="CETCaptionCarattere"/>
          <w:i/>
        </w:rPr>
        <w:t xml:space="preserve">the </w:t>
      </w:r>
      <w:r w:rsidRPr="00D21194">
        <w:rPr>
          <w:rStyle w:val="CETCaptionCarattere"/>
          <w:i/>
        </w:rPr>
        <w:t>Minimum Flash Point Mixtures</w:t>
      </w:r>
    </w:p>
    <w:p w14:paraId="3A71CBD2" w14:textId="3F69AAD7" w:rsidR="00284740" w:rsidRPr="00D21194" w:rsidRDefault="00000000" w:rsidP="006B546E">
      <w:pPr>
        <w:pStyle w:val="CETBodytext"/>
      </w:pPr>
      <w:r w:rsidRPr="00D21194">
        <w:t>The detail</w:t>
      </w:r>
      <w:r w:rsidR="009D4B73" w:rsidRPr="00D21194">
        <w:t>ed</w:t>
      </w:r>
      <w:r w:rsidRPr="00D21194">
        <w:t xml:space="preserve"> </w:t>
      </w:r>
      <w:r w:rsidR="009D4B73" w:rsidRPr="00D21194">
        <w:t xml:space="preserve">performance </w:t>
      </w:r>
      <w:r w:rsidRPr="00D21194">
        <w:t xml:space="preserve">metrics </w:t>
      </w:r>
      <w:r w:rsidR="009D4B73" w:rsidRPr="00D21194">
        <w:t>for</w:t>
      </w:r>
      <w:r w:rsidRPr="00D21194">
        <w:t xml:space="preserve"> this </w:t>
      </w:r>
      <w:r w:rsidR="009D4B73" w:rsidRPr="00D21194">
        <w:t xml:space="preserve">ANN </w:t>
      </w:r>
      <w:r w:rsidRPr="00D21194">
        <w:t>models are provided in Table 3 and compared to the one</w:t>
      </w:r>
      <w:r w:rsidR="009D4B73" w:rsidRPr="00D21194">
        <w:t>s</w:t>
      </w:r>
      <w:r w:rsidRPr="00D21194">
        <w:t xml:space="preserve"> of our previous MLR model.</w:t>
      </w:r>
      <w:r w:rsidR="00360739" w:rsidRPr="00D21194">
        <w:t xml:space="preserve"> If the training statistics are better for the ANN model, the predictive capabilities are the same for the two models</w:t>
      </w:r>
      <w:r w:rsidR="00677822" w:rsidRPr="00D21194">
        <w:t xml:space="preserve"> in the validation set</w:t>
      </w:r>
      <w:r w:rsidR="00360739" w:rsidRPr="00D21194">
        <w:t xml:space="preserve"> </w:t>
      </w:r>
      <w:r w:rsidR="0022178F" w:rsidRPr="00D21194">
        <w:t>(in terms of</w:t>
      </w:r>
      <w:r w:rsidR="004D6BB1" w:rsidRPr="00D21194">
        <w:t xml:space="preserve"> MAE</w:t>
      </w:r>
      <w:r w:rsidR="0022178F" w:rsidRPr="00D21194">
        <w:t>)</w:t>
      </w:r>
      <w:r w:rsidR="00677822" w:rsidRPr="00D21194">
        <w:t>,</w:t>
      </w:r>
      <w:r w:rsidR="0022178F" w:rsidRPr="00D21194">
        <w:t xml:space="preserve"> </w:t>
      </w:r>
      <w:r w:rsidR="00360739" w:rsidRPr="00D21194">
        <w:t xml:space="preserve">despite the fact that the more complex mixtures were excluded from </w:t>
      </w:r>
      <w:r w:rsidR="009D4B73" w:rsidRPr="00D21194">
        <w:t>the</w:t>
      </w:r>
      <w:r w:rsidR="00360739" w:rsidRPr="00D21194">
        <w:t xml:space="preserve"> development</w:t>
      </w:r>
      <w:r w:rsidR="009D4B73" w:rsidRPr="00D21194">
        <w:t xml:space="preserve"> of the ANN model</w:t>
      </w:r>
      <w:r w:rsidR="00360739" w:rsidRPr="00D21194">
        <w:t xml:space="preserve">. </w:t>
      </w:r>
      <w:r w:rsidR="00677822" w:rsidRPr="00D21194">
        <w:t xml:space="preserve">Moreover, </w:t>
      </w:r>
      <w:r w:rsidR="000A22C3" w:rsidRPr="00D21194">
        <w:t>with a</w:t>
      </w:r>
      <w:r w:rsidR="00677822" w:rsidRPr="00D21194">
        <w:t xml:space="preserve"> smaller difference in the MAE between </w:t>
      </w:r>
      <w:r w:rsidR="00677822" w:rsidRPr="00D21194">
        <w:lastRenderedPageBreak/>
        <w:t>training and validation observed for the MLR models</w:t>
      </w:r>
      <w:r w:rsidR="000A22C3" w:rsidRPr="00D21194">
        <w:t>,</w:t>
      </w:r>
      <w:r w:rsidR="00677822" w:rsidRPr="00D21194">
        <w:t xml:space="preserve"> a lower risk of overparameterization</w:t>
      </w:r>
      <w:r w:rsidR="000A22C3" w:rsidRPr="00D21194">
        <w:t xml:space="preserve"> is expected.</w:t>
      </w:r>
      <w:r w:rsidR="00677822" w:rsidRPr="00D21194">
        <w:t xml:space="preserve"> </w:t>
      </w:r>
      <w:r w:rsidR="00360739" w:rsidRPr="00D21194">
        <w:t>So</w:t>
      </w:r>
      <w:r w:rsidR="009D4B73" w:rsidRPr="00D21194">
        <w:t>,</w:t>
      </w:r>
      <w:r w:rsidR="00360739" w:rsidRPr="00D21194">
        <w:t xml:space="preserve"> the </w:t>
      </w:r>
      <w:r w:rsidR="000A22C3" w:rsidRPr="00D21194">
        <w:t xml:space="preserve">simpler </w:t>
      </w:r>
      <w:r w:rsidR="00360739" w:rsidRPr="00D21194">
        <w:t xml:space="preserve">MLR model remains </w:t>
      </w:r>
      <w:r w:rsidR="009D4B73" w:rsidRPr="00D21194">
        <w:t xml:space="preserve">finally </w:t>
      </w:r>
      <w:r w:rsidR="00360739" w:rsidRPr="00D21194">
        <w:t xml:space="preserve">more favorable on this case study. </w:t>
      </w:r>
    </w:p>
    <w:p w14:paraId="3AA4FDF2" w14:textId="4980B730" w:rsidR="00284740" w:rsidRPr="00D21194" w:rsidRDefault="00000000" w:rsidP="00101235">
      <w:pPr>
        <w:pStyle w:val="CETTabletitle"/>
        <w:spacing w:before="120"/>
      </w:pPr>
      <w:r w:rsidRPr="00D21194">
        <w:t>Table 3: Performances of the best ANN model compared to previous M</w:t>
      </w:r>
      <w:r w:rsidR="006A25C1" w:rsidRPr="00D21194">
        <w:t>LR model</w:t>
      </w:r>
      <w:r w:rsidR="00531F3D" w:rsidRPr="00D21194">
        <w:t xml:space="preserve"> </w:t>
      </w:r>
      <w:r w:rsidR="00531F3D" w:rsidRPr="00D21194">
        <w:rPr>
          <w:rFonts w:cs="Arial"/>
          <w:szCs w:val="18"/>
        </w:rPr>
        <w:fldChar w:fldCharType="begin"/>
      </w:r>
      <w:r w:rsidR="00531F3D" w:rsidRPr="00D21194">
        <w:rPr>
          <w:rFonts w:cs="Arial"/>
          <w:szCs w:val="18"/>
        </w:rPr>
        <w:instrText xml:space="preserve"> ADDIN EN.CITE &lt;EndNote&gt;&lt;Cite&gt;&lt;Author&gt;Fayet&lt;/Author&gt;&lt;Year&gt;2019&lt;/Year&gt;&lt;RecNum&gt;1318&lt;/RecNum&gt;&lt;DisplayText&gt;(Fayet and Rotureau, 2019)&lt;/DisplayText&gt;&lt;record&gt;&lt;rec-number&gt;1318&lt;/rec-number&gt;&lt;foreign-keys&gt;&lt;key app="EN" db-id="vew222vrz0s9v5eeratvas0qpzt5eerr22zz" timestamp="1589977498"&gt;1318&lt;/key&gt;&lt;/foreign-keys&gt;&lt;ref-type name="Journal Article"&gt;17&lt;/ref-type&gt;&lt;contributors&gt;&lt;authors&gt;&lt;author&gt;Fayet, Guillaume&lt;/author&gt;&lt;author&gt;Rotureau, Patricia&lt;/author&gt;&lt;/authors&gt;&lt;/contributors&gt;&lt;titles&gt;&lt;title&gt;New QSPR Models to Predict the Flammability of Binary Liquid Mixtures&lt;/title&gt;&lt;secondary-title&gt;Molecular Informatics&lt;/secondary-title&gt;&lt;/titles&gt;&lt;periodical&gt;&lt;full-title&gt;Molecular Informatics&lt;/full-title&gt;&lt;abbr-1&gt;Mol. Inform.&lt;/abbr-1&gt;&lt;abbr-2&gt;Mol Inform&lt;/abbr-2&gt;&lt;/periodical&gt;&lt;pages&gt;1800122&lt;/pages&gt;&lt;volume&gt;38&lt;/volume&gt;&lt;number&gt;8-9&lt;/number&gt;&lt;dates&gt;&lt;year&gt;2019&lt;/year&gt;&lt;/dates&gt;&lt;isbn&gt;1868-1743&lt;/isbn&gt;&lt;urls&gt;&lt;related-urls&gt;&lt;url&gt;https://onlinelibrary.wiley.com/doi/abs/10.1002/minf.201800122&lt;/url&gt;&lt;/related-urls&gt;&lt;/urls&gt;&lt;electronic-resource-num&gt;https://doi.org/10.1002/minf.201800122&lt;/electronic-resource-num&gt;&lt;/record&gt;&lt;/Cite&gt;&lt;/EndNote&gt;</w:instrText>
      </w:r>
      <w:r w:rsidR="00531F3D" w:rsidRPr="00D21194">
        <w:rPr>
          <w:rFonts w:cs="Arial"/>
          <w:szCs w:val="18"/>
        </w:rPr>
        <w:fldChar w:fldCharType="separate"/>
      </w:r>
      <w:r w:rsidR="00531F3D" w:rsidRPr="00D21194">
        <w:rPr>
          <w:rFonts w:cs="Arial"/>
          <w:noProof/>
          <w:szCs w:val="18"/>
        </w:rPr>
        <w:t>(Fayet and Rotureau, 2019)</w:t>
      </w:r>
      <w:r w:rsidR="00531F3D" w:rsidRPr="00D21194">
        <w:rPr>
          <w:rFonts w:cs="Arial"/>
          <w:szCs w:val="18"/>
        </w:rPr>
        <w:fldChar w:fldCharType="end"/>
      </w:r>
    </w:p>
    <w:tbl>
      <w:tblPr>
        <w:tblW w:w="3936"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26"/>
        <w:gridCol w:w="2246"/>
        <w:gridCol w:w="2245"/>
      </w:tblGrid>
      <w:tr w:rsidR="00D21194" w:rsidRPr="00D21194" w14:paraId="16C4332E" w14:textId="77777777" w:rsidTr="006A25C1">
        <w:trPr>
          <w:trHeight w:val="264"/>
          <w:jc w:val="center"/>
        </w:trPr>
        <w:tc>
          <w:tcPr>
            <w:tcW w:w="1753" w:type="pct"/>
            <w:tcBorders>
              <w:top w:val="single" w:sz="12" w:space="0" w:color="008000"/>
              <w:bottom w:val="single" w:sz="6" w:space="0" w:color="008000"/>
            </w:tcBorders>
            <w:shd w:val="clear" w:color="auto" w:fill="FFFFFF"/>
          </w:tcPr>
          <w:p w14:paraId="66AF11C4" w14:textId="77777777" w:rsidR="00284740" w:rsidRPr="00D21194" w:rsidRDefault="00284740" w:rsidP="00460C89">
            <w:pPr>
              <w:pStyle w:val="CETBodytext"/>
              <w:rPr>
                <w:rFonts w:cs="Arial"/>
                <w:szCs w:val="18"/>
                <w:lang w:val="en-GB"/>
              </w:rPr>
            </w:pPr>
          </w:p>
        </w:tc>
        <w:tc>
          <w:tcPr>
            <w:tcW w:w="1623" w:type="pct"/>
            <w:tcBorders>
              <w:top w:val="single" w:sz="12" w:space="0" w:color="008000"/>
              <w:bottom w:val="single" w:sz="6" w:space="0" w:color="008000"/>
            </w:tcBorders>
            <w:shd w:val="clear" w:color="auto" w:fill="FFFFFF"/>
          </w:tcPr>
          <w:p w14:paraId="654978C6" w14:textId="77777777" w:rsidR="00284740" w:rsidRPr="00D21194" w:rsidRDefault="00000000" w:rsidP="00460C89">
            <w:pPr>
              <w:pStyle w:val="CETBodytext"/>
              <w:rPr>
                <w:rFonts w:cs="Arial"/>
                <w:szCs w:val="18"/>
                <w:lang w:val="en-GB"/>
              </w:rPr>
            </w:pPr>
            <w:r w:rsidRPr="00D21194">
              <w:rPr>
                <w:rFonts w:cs="Arial"/>
                <w:szCs w:val="18"/>
                <w:lang w:val="en-GB"/>
              </w:rPr>
              <w:t>ANN (no M</w:t>
            </w:r>
            <w:r w:rsidR="00360739" w:rsidRPr="00D21194">
              <w:rPr>
                <w:rFonts w:cs="Arial"/>
                <w:szCs w:val="18"/>
                <w:lang w:val="en-GB"/>
              </w:rPr>
              <w:t>in</w:t>
            </w:r>
            <w:r w:rsidRPr="00D21194">
              <w:rPr>
                <w:rFonts w:cs="Arial"/>
                <w:szCs w:val="18"/>
                <w:lang w:val="en-GB"/>
              </w:rPr>
              <w:t>F</w:t>
            </w:r>
            <w:r w:rsidR="00360739" w:rsidRPr="00D21194">
              <w:rPr>
                <w:rFonts w:cs="Arial"/>
                <w:szCs w:val="18"/>
                <w:lang w:val="en-GB"/>
              </w:rPr>
              <w:t>P</w:t>
            </w:r>
            <w:r w:rsidRPr="00D21194">
              <w:rPr>
                <w:rFonts w:cs="Arial"/>
                <w:szCs w:val="18"/>
                <w:lang w:val="en-GB"/>
              </w:rPr>
              <w:t xml:space="preserve">) </w:t>
            </w:r>
          </w:p>
        </w:tc>
        <w:tc>
          <w:tcPr>
            <w:tcW w:w="1623" w:type="pct"/>
            <w:tcBorders>
              <w:top w:val="single" w:sz="12" w:space="0" w:color="008000"/>
              <w:bottom w:val="single" w:sz="6" w:space="0" w:color="008000"/>
            </w:tcBorders>
            <w:shd w:val="clear" w:color="auto" w:fill="FFFFFF"/>
          </w:tcPr>
          <w:p w14:paraId="4EAB2556" w14:textId="77777777" w:rsidR="00284740" w:rsidRPr="00D21194" w:rsidRDefault="00000000" w:rsidP="00460C89">
            <w:pPr>
              <w:pStyle w:val="CETBodytext"/>
              <w:rPr>
                <w:rFonts w:cs="Arial"/>
                <w:szCs w:val="18"/>
                <w:lang w:val="en-GB"/>
              </w:rPr>
            </w:pPr>
            <w:r w:rsidRPr="00D21194">
              <w:rPr>
                <w:rFonts w:cs="Arial"/>
                <w:szCs w:val="18"/>
                <w:lang w:val="en-GB"/>
              </w:rPr>
              <w:t>MLR (All data)</w:t>
            </w:r>
          </w:p>
        </w:tc>
      </w:tr>
      <w:tr w:rsidR="00D21194" w:rsidRPr="00D21194" w14:paraId="2CE475CE" w14:textId="77777777" w:rsidTr="006A25C1">
        <w:trPr>
          <w:trHeight w:val="264"/>
          <w:jc w:val="center"/>
        </w:trPr>
        <w:tc>
          <w:tcPr>
            <w:tcW w:w="1753" w:type="pct"/>
            <w:shd w:val="clear" w:color="auto" w:fill="FFFFFF"/>
          </w:tcPr>
          <w:p w14:paraId="7FEC2481" w14:textId="77777777" w:rsidR="00360739" w:rsidRPr="00D21194" w:rsidRDefault="00000000" w:rsidP="00360739">
            <w:pPr>
              <w:pStyle w:val="CETBodytext"/>
              <w:rPr>
                <w:rFonts w:cs="Arial"/>
                <w:bCs/>
                <w:iCs/>
                <w:szCs w:val="18"/>
                <w:lang w:val="en-GB"/>
              </w:rPr>
            </w:pPr>
            <w:r w:rsidRPr="00D21194">
              <w:rPr>
                <w:rFonts w:cs="Arial"/>
                <w:bCs/>
                <w:iCs/>
                <w:szCs w:val="18"/>
              </w:rPr>
              <w:t>MAE</w:t>
            </w:r>
            <w:r w:rsidRPr="00D21194">
              <w:rPr>
                <w:rFonts w:cs="Arial"/>
                <w:bCs/>
                <w:iCs/>
                <w:szCs w:val="18"/>
                <w:vertAlign w:val="subscript"/>
              </w:rPr>
              <w:t>train</w:t>
            </w:r>
            <w:r w:rsidRPr="00D21194">
              <w:rPr>
                <w:rFonts w:cs="Arial"/>
                <w:bCs/>
                <w:iCs/>
                <w:szCs w:val="18"/>
              </w:rPr>
              <w:t xml:space="preserve"> </w:t>
            </w:r>
            <w:r w:rsidR="006A25C1" w:rsidRPr="00D21194">
              <w:rPr>
                <w:rFonts w:cs="Arial"/>
                <w:bCs/>
                <w:iCs/>
                <w:szCs w:val="18"/>
              </w:rPr>
              <w:t>(°C)</w:t>
            </w:r>
          </w:p>
        </w:tc>
        <w:tc>
          <w:tcPr>
            <w:tcW w:w="1623" w:type="pct"/>
            <w:shd w:val="clear" w:color="auto" w:fill="FFFFFF"/>
          </w:tcPr>
          <w:p w14:paraId="21415CEE" w14:textId="77777777" w:rsidR="00360739" w:rsidRPr="00D21194" w:rsidRDefault="00000000" w:rsidP="00360739">
            <w:pPr>
              <w:pStyle w:val="CETBodytext"/>
              <w:rPr>
                <w:rFonts w:cs="Arial"/>
                <w:bCs/>
                <w:iCs/>
                <w:szCs w:val="18"/>
                <w:lang w:val="en-GB"/>
              </w:rPr>
            </w:pPr>
            <w:r w:rsidRPr="00D21194">
              <w:t>3.0</w:t>
            </w:r>
          </w:p>
        </w:tc>
        <w:tc>
          <w:tcPr>
            <w:tcW w:w="1623" w:type="pct"/>
            <w:shd w:val="clear" w:color="auto" w:fill="FFFFFF"/>
          </w:tcPr>
          <w:p w14:paraId="6396D7DF" w14:textId="77777777" w:rsidR="00360739" w:rsidRPr="00D21194" w:rsidRDefault="00000000" w:rsidP="00360739">
            <w:pPr>
              <w:pStyle w:val="CETBodytext"/>
              <w:rPr>
                <w:rFonts w:eastAsiaTheme="minorHAnsi" w:cs="Arial"/>
                <w:bCs/>
                <w:iCs/>
                <w:szCs w:val="18"/>
              </w:rPr>
            </w:pPr>
            <w:r w:rsidRPr="00D21194">
              <w:rPr>
                <w:bCs/>
                <w:iCs/>
              </w:rPr>
              <w:t>7.6</w:t>
            </w:r>
          </w:p>
        </w:tc>
      </w:tr>
      <w:tr w:rsidR="00D21194" w:rsidRPr="00D21194" w14:paraId="17ADC4CB" w14:textId="77777777" w:rsidTr="006A25C1">
        <w:trPr>
          <w:trHeight w:val="264"/>
          <w:jc w:val="center"/>
        </w:trPr>
        <w:tc>
          <w:tcPr>
            <w:tcW w:w="1753" w:type="pct"/>
            <w:shd w:val="clear" w:color="auto" w:fill="FFFFFF"/>
          </w:tcPr>
          <w:p w14:paraId="538839F9" w14:textId="77777777" w:rsidR="00360739" w:rsidRPr="00D21194" w:rsidRDefault="00000000" w:rsidP="00360739">
            <w:pPr>
              <w:pStyle w:val="CETBodytext"/>
              <w:rPr>
                <w:rFonts w:cs="Arial"/>
                <w:bCs/>
                <w:iCs/>
                <w:szCs w:val="18"/>
                <w:lang w:val="en-GB"/>
              </w:rPr>
            </w:pPr>
            <w:r w:rsidRPr="00D21194">
              <w:rPr>
                <w:rFonts w:cs="Arial"/>
                <w:bCs/>
                <w:iCs/>
                <w:szCs w:val="18"/>
              </w:rPr>
              <w:t>R²</w:t>
            </w:r>
            <w:r w:rsidRPr="00D21194">
              <w:rPr>
                <w:rFonts w:cs="Arial"/>
                <w:bCs/>
                <w:iCs/>
                <w:szCs w:val="18"/>
                <w:vertAlign w:val="subscript"/>
              </w:rPr>
              <w:t xml:space="preserve">train </w:t>
            </w:r>
          </w:p>
        </w:tc>
        <w:tc>
          <w:tcPr>
            <w:tcW w:w="1623" w:type="pct"/>
            <w:shd w:val="clear" w:color="auto" w:fill="FFFFFF"/>
          </w:tcPr>
          <w:p w14:paraId="2C24F301" w14:textId="77777777" w:rsidR="00360739" w:rsidRPr="00D21194" w:rsidRDefault="00000000" w:rsidP="00360739">
            <w:pPr>
              <w:pStyle w:val="CETBodytext"/>
              <w:rPr>
                <w:rFonts w:cs="Arial"/>
                <w:bCs/>
                <w:iCs/>
                <w:szCs w:val="18"/>
                <w:lang w:val="en-GB"/>
              </w:rPr>
            </w:pPr>
            <w:r w:rsidRPr="00D21194">
              <w:t>0.98</w:t>
            </w:r>
          </w:p>
        </w:tc>
        <w:tc>
          <w:tcPr>
            <w:tcW w:w="1623" w:type="pct"/>
            <w:shd w:val="clear" w:color="auto" w:fill="FFFFFF"/>
          </w:tcPr>
          <w:p w14:paraId="208B3645" w14:textId="77777777" w:rsidR="00360739" w:rsidRPr="00D21194" w:rsidRDefault="00000000" w:rsidP="00360739">
            <w:pPr>
              <w:pStyle w:val="CETBodytext"/>
              <w:rPr>
                <w:rFonts w:eastAsiaTheme="minorHAnsi" w:cs="Arial"/>
                <w:bCs/>
                <w:iCs/>
                <w:szCs w:val="18"/>
              </w:rPr>
            </w:pPr>
            <w:r w:rsidRPr="00D21194">
              <w:t>0.82</w:t>
            </w:r>
          </w:p>
        </w:tc>
      </w:tr>
      <w:tr w:rsidR="00D21194" w:rsidRPr="00D21194" w14:paraId="75A80DBF" w14:textId="77777777" w:rsidTr="006A25C1">
        <w:trPr>
          <w:trHeight w:val="281"/>
          <w:jc w:val="center"/>
        </w:trPr>
        <w:tc>
          <w:tcPr>
            <w:tcW w:w="1753" w:type="pct"/>
            <w:shd w:val="clear" w:color="auto" w:fill="FFFFFF"/>
          </w:tcPr>
          <w:p w14:paraId="00635D6B" w14:textId="77777777" w:rsidR="00360739" w:rsidRPr="00D21194" w:rsidRDefault="00000000" w:rsidP="00360739">
            <w:pPr>
              <w:pStyle w:val="CETBodytext"/>
              <w:ind w:right="-1"/>
              <w:rPr>
                <w:rFonts w:cs="Arial"/>
                <w:bCs/>
                <w:iCs/>
                <w:szCs w:val="18"/>
                <w:lang w:val="en-GB"/>
              </w:rPr>
            </w:pPr>
            <w:r w:rsidRPr="00D21194">
              <w:rPr>
                <w:rFonts w:cs="Arial"/>
                <w:bCs/>
                <w:iCs/>
                <w:szCs w:val="18"/>
              </w:rPr>
              <w:t>MAE</w:t>
            </w:r>
            <w:r w:rsidRPr="00D21194">
              <w:rPr>
                <w:rFonts w:cs="Arial"/>
                <w:bCs/>
                <w:iCs/>
                <w:szCs w:val="18"/>
                <w:vertAlign w:val="subscript"/>
              </w:rPr>
              <w:t xml:space="preserve">valid </w:t>
            </w:r>
            <w:r w:rsidR="006A25C1" w:rsidRPr="00D21194">
              <w:rPr>
                <w:rFonts w:cs="Arial"/>
                <w:bCs/>
                <w:iCs/>
                <w:szCs w:val="18"/>
              </w:rPr>
              <w:t>(°C)</w:t>
            </w:r>
          </w:p>
        </w:tc>
        <w:tc>
          <w:tcPr>
            <w:tcW w:w="1623" w:type="pct"/>
            <w:shd w:val="clear" w:color="auto" w:fill="FFFFFF"/>
          </w:tcPr>
          <w:p w14:paraId="7F0371C9" w14:textId="77777777" w:rsidR="00360739" w:rsidRPr="00D21194" w:rsidRDefault="00000000" w:rsidP="00360739">
            <w:pPr>
              <w:pStyle w:val="CETBodytext"/>
              <w:ind w:right="-1"/>
              <w:rPr>
                <w:rFonts w:cs="Arial"/>
                <w:bCs/>
                <w:iCs/>
                <w:szCs w:val="18"/>
                <w:lang w:val="en-GB"/>
              </w:rPr>
            </w:pPr>
            <w:r w:rsidRPr="00D21194">
              <w:rPr>
                <w:bCs/>
                <w:iCs/>
              </w:rPr>
              <w:t>7.6</w:t>
            </w:r>
          </w:p>
        </w:tc>
        <w:tc>
          <w:tcPr>
            <w:tcW w:w="1623" w:type="pct"/>
            <w:shd w:val="clear" w:color="auto" w:fill="FFFFFF"/>
          </w:tcPr>
          <w:p w14:paraId="42313AC2" w14:textId="77777777" w:rsidR="00360739" w:rsidRPr="00D21194" w:rsidRDefault="00000000" w:rsidP="00360739">
            <w:pPr>
              <w:pStyle w:val="CETBodytext"/>
              <w:ind w:right="-1"/>
              <w:rPr>
                <w:rFonts w:eastAsiaTheme="minorHAnsi" w:cs="Arial"/>
                <w:bCs/>
                <w:iCs/>
                <w:szCs w:val="18"/>
              </w:rPr>
            </w:pPr>
            <w:r w:rsidRPr="00D21194">
              <w:rPr>
                <w:bCs/>
                <w:iCs/>
              </w:rPr>
              <w:t>7.3</w:t>
            </w:r>
          </w:p>
        </w:tc>
      </w:tr>
      <w:tr w:rsidR="00D21194" w:rsidRPr="00D21194" w14:paraId="25DAD3D7" w14:textId="77777777" w:rsidTr="006A25C1">
        <w:trPr>
          <w:trHeight w:val="281"/>
          <w:jc w:val="center"/>
        </w:trPr>
        <w:tc>
          <w:tcPr>
            <w:tcW w:w="1753" w:type="pct"/>
            <w:shd w:val="clear" w:color="auto" w:fill="FFFFFF"/>
          </w:tcPr>
          <w:p w14:paraId="4B246075" w14:textId="77777777" w:rsidR="00360739" w:rsidRPr="00D21194" w:rsidRDefault="00000000" w:rsidP="00360739">
            <w:pPr>
              <w:pStyle w:val="CETBodytext"/>
              <w:ind w:right="-1"/>
              <w:rPr>
                <w:rFonts w:cs="Arial"/>
                <w:bCs/>
                <w:iCs/>
                <w:szCs w:val="18"/>
                <w:lang w:val="en-GB"/>
              </w:rPr>
            </w:pPr>
            <w:r w:rsidRPr="00D21194">
              <w:rPr>
                <w:rFonts w:cs="Arial"/>
                <w:bCs/>
                <w:iCs/>
                <w:szCs w:val="18"/>
              </w:rPr>
              <w:t>R²</w:t>
            </w:r>
            <w:r w:rsidRPr="00D21194">
              <w:rPr>
                <w:rFonts w:cs="Arial"/>
                <w:bCs/>
                <w:iCs/>
                <w:szCs w:val="18"/>
                <w:vertAlign w:val="subscript"/>
              </w:rPr>
              <w:t xml:space="preserve">valid </w:t>
            </w:r>
          </w:p>
        </w:tc>
        <w:tc>
          <w:tcPr>
            <w:tcW w:w="1623" w:type="pct"/>
            <w:shd w:val="clear" w:color="auto" w:fill="FFFFFF"/>
          </w:tcPr>
          <w:p w14:paraId="4D953CF3" w14:textId="77777777" w:rsidR="00360739" w:rsidRPr="00D21194" w:rsidRDefault="00000000" w:rsidP="00360739">
            <w:pPr>
              <w:pStyle w:val="CETBodytext"/>
              <w:ind w:right="-1"/>
              <w:rPr>
                <w:rFonts w:cs="Arial"/>
                <w:bCs/>
                <w:iCs/>
                <w:szCs w:val="18"/>
                <w:lang w:val="en-GB"/>
              </w:rPr>
            </w:pPr>
            <w:r w:rsidRPr="00D21194">
              <w:t>0.94</w:t>
            </w:r>
          </w:p>
        </w:tc>
        <w:tc>
          <w:tcPr>
            <w:tcW w:w="1623" w:type="pct"/>
            <w:shd w:val="clear" w:color="auto" w:fill="FFFFFF"/>
          </w:tcPr>
          <w:p w14:paraId="715004F3" w14:textId="77777777" w:rsidR="00360739" w:rsidRPr="00D21194" w:rsidRDefault="00000000" w:rsidP="00360739">
            <w:pPr>
              <w:pStyle w:val="CETBodytext"/>
              <w:ind w:right="-1"/>
              <w:rPr>
                <w:rFonts w:eastAsiaTheme="minorHAnsi" w:cs="Arial"/>
                <w:bCs/>
                <w:iCs/>
                <w:szCs w:val="18"/>
              </w:rPr>
            </w:pPr>
            <w:r w:rsidRPr="00D21194">
              <w:t>0.89</w:t>
            </w:r>
          </w:p>
        </w:tc>
      </w:tr>
    </w:tbl>
    <w:p w14:paraId="5EA72DD8" w14:textId="77777777" w:rsidR="00600535" w:rsidRPr="00D21194" w:rsidRDefault="00000000" w:rsidP="00600535">
      <w:pPr>
        <w:pStyle w:val="CETHeading1"/>
        <w:rPr>
          <w:lang w:val="en-GB"/>
        </w:rPr>
      </w:pPr>
      <w:r w:rsidRPr="00D21194">
        <w:rPr>
          <w:lang w:val="en-GB"/>
        </w:rPr>
        <w:t>Conclusions</w:t>
      </w:r>
    </w:p>
    <w:p w14:paraId="4E96991A" w14:textId="02C3F3DE" w:rsidR="00531F3D" w:rsidRPr="00D21194" w:rsidRDefault="00000000" w:rsidP="00600535">
      <w:pPr>
        <w:pStyle w:val="CETBodytext"/>
        <w:rPr>
          <w:lang w:val="en-GB"/>
        </w:rPr>
      </w:pPr>
      <w:r w:rsidRPr="00D21194">
        <w:rPr>
          <w:lang w:val="en-GB"/>
        </w:rPr>
        <w:t xml:space="preserve">If the QSPR approach was initially designed for pure compounds, QSPR models for the prediction of physical hazards of mixtures recently appeared. </w:t>
      </w:r>
      <w:r w:rsidR="00F8764F" w:rsidRPr="00D21194">
        <w:rPr>
          <w:lang w:val="en-GB"/>
        </w:rPr>
        <w:t xml:space="preserve">These models are </w:t>
      </w:r>
      <w:r w:rsidR="009D4B73" w:rsidRPr="00D21194">
        <w:rPr>
          <w:lang w:val="en-GB"/>
        </w:rPr>
        <w:t>m</w:t>
      </w:r>
      <w:r w:rsidR="005F1CF4" w:rsidRPr="00D21194">
        <w:rPr>
          <w:lang w:val="en-GB"/>
        </w:rPr>
        <w:t>ainly developed based on multilinear regression</w:t>
      </w:r>
      <w:r w:rsidR="003E78E5" w:rsidRPr="00D21194">
        <w:rPr>
          <w:lang w:val="en-GB"/>
        </w:rPr>
        <w:t>s</w:t>
      </w:r>
      <w:r w:rsidR="00F8764F" w:rsidRPr="00D21194">
        <w:rPr>
          <w:lang w:val="en-GB"/>
        </w:rPr>
        <w:t>. This study aimed at investigating the potential of more complex</w:t>
      </w:r>
      <w:r w:rsidR="005F1CF4" w:rsidRPr="00D21194">
        <w:rPr>
          <w:lang w:val="en-GB"/>
        </w:rPr>
        <w:t xml:space="preserve"> machine learning approaches. </w:t>
      </w:r>
    </w:p>
    <w:p w14:paraId="027C47ED" w14:textId="36E60F3D" w:rsidR="005F1CF4" w:rsidRPr="00D21194" w:rsidRDefault="00000000" w:rsidP="00600535">
      <w:pPr>
        <w:pStyle w:val="CETBodytext"/>
        <w:rPr>
          <w:lang w:val="en-GB"/>
        </w:rPr>
      </w:pPr>
      <w:r w:rsidRPr="00D21194">
        <w:rPr>
          <w:lang w:val="en-GB"/>
        </w:rPr>
        <w:t xml:space="preserve">Despite the complexity of the phenomena associated with flammability properties, advanced machine learning tools didn't highlight better performances </w:t>
      </w:r>
      <w:r w:rsidR="009D4B73" w:rsidRPr="00D21194">
        <w:rPr>
          <w:lang w:val="en-GB"/>
        </w:rPr>
        <w:t>than</w:t>
      </w:r>
      <w:r w:rsidRPr="00D21194">
        <w:rPr>
          <w:lang w:val="en-GB"/>
        </w:rPr>
        <w:t xml:space="preserve"> MLR models</w:t>
      </w:r>
      <w:r w:rsidR="00A44C84" w:rsidRPr="00D21194">
        <w:rPr>
          <w:lang w:val="en-GB"/>
        </w:rPr>
        <w:t xml:space="preserve"> (as shown in Table 3)</w:t>
      </w:r>
      <w:r w:rsidRPr="00D21194">
        <w:rPr>
          <w:lang w:val="en-GB"/>
        </w:rPr>
        <w:t xml:space="preserve">. Indeed, the amount of available data is relatively limited and associated with a small diversity of mixtures since only a few pure compounds are represented among the available mixture data. In this context, advanced machine learning methods, particularly powerful in the case of big data problems, </w:t>
      </w:r>
      <w:r w:rsidR="009D4B73" w:rsidRPr="00D21194">
        <w:rPr>
          <w:lang w:val="en-GB"/>
        </w:rPr>
        <w:t>revealed</w:t>
      </w:r>
      <w:r w:rsidRPr="00D21194">
        <w:rPr>
          <w:lang w:val="en-GB"/>
        </w:rPr>
        <w:t xml:space="preserve"> more likely subject to overparameterization issue</w:t>
      </w:r>
      <w:r w:rsidR="009D4B73" w:rsidRPr="00D21194">
        <w:rPr>
          <w:lang w:val="en-GB"/>
        </w:rPr>
        <w:t>s</w:t>
      </w:r>
      <w:r w:rsidRPr="00D21194">
        <w:rPr>
          <w:lang w:val="en-GB"/>
        </w:rPr>
        <w:t xml:space="preserve"> than MLR regression due to their native complexity. Nevertheless, they could reveal their </w:t>
      </w:r>
      <w:r w:rsidR="009D4B73" w:rsidRPr="00D21194">
        <w:rPr>
          <w:lang w:val="en-GB"/>
        </w:rPr>
        <w:t xml:space="preserve">full </w:t>
      </w:r>
      <w:r w:rsidRPr="00D21194">
        <w:rPr>
          <w:lang w:val="en-GB"/>
        </w:rPr>
        <w:t xml:space="preserve">potential when extended dataset </w:t>
      </w:r>
      <w:r w:rsidR="009D4B73" w:rsidRPr="00D21194">
        <w:rPr>
          <w:lang w:val="en-GB"/>
        </w:rPr>
        <w:t xml:space="preserve">would </w:t>
      </w:r>
      <w:r w:rsidRPr="00D21194">
        <w:rPr>
          <w:lang w:val="en-GB"/>
        </w:rPr>
        <w:t xml:space="preserve">become available. So, efforts to expand the available datasets should be </w:t>
      </w:r>
      <w:r w:rsidR="009D4B73" w:rsidRPr="00D21194">
        <w:rPr>
          <w:lang w:val="en-GB"/>
        </w:rPr>
        <w:t>a</w:t>
      </w:r>
      <w:r w:rsidRPr="00D21194">
        <w:rPr>
          <w:lang w:val="en-GB"/>
        </w:rPr>
        <w:t xml:space="preserve"> main axis of progress in the field.</w:t>
      </w:r>
    </w:p>
    <w:p w14:paraId="74DFFB87" w14:textId="132A1277" w:rsidR="009A3329" w:rsidRPr="00D21194" w:rsidRDefault="009D4B73" w:rsidP="00531F3D">
      <w:pPr>
        <w:pStyle w:val="CETBodytext"/>
        <w:rPr>
          <w:lang w:val="en-GB"/>
        </w:rPr>
      </w:pPr>
      <w:r w:rsidRPr="00D21194">
        <w:rPr>
          <w:lang w:val="en-GB"/>
        </w:rPr>
        <w:t>At the time being, m</w:t>
      </w:r>
      <w:r w:rsidR="00AF368F" w:rsidRPr="00D21194">
        <w:rPr>
          <w:lang w:val="en-GB"/>
        </w:rPr>
        <w:t>ixing rules based on phenomenological thermodynamic principles might still be preferred</w:t>
      </w:r>
      <w:r w:rsidRPr="00D21194">
        <w:rPr>
          <w:lang w:val="en-GB"/>
        </w:rPr>
        <w:t xml:space="preserve">, of course </w:t>
      </w:r>
      <w:r w:rsidR="00AF368F" w:rsidRPr="00D21194">
        <w:rPr>
          <w:lang w:val="en-GB"/>
        </w:rPr>
        <w:t xml:space="preserve">when available and applicable, </w:t>
      </w:r>
      <w:r w:rsidRPr="00D21194">
        <w:rPr>
          <w:lang w:val="en-GB"/>
        </w:rPr>
        <w:t xml:space="preserve">like in the case of flash points. </w:t>
      </w:r>
      <w:r w:rsidR="00AF368F" w:rsidRPr="00D21194">
        <w:rPr>
          <w:lang w:val="en-GB"/>
        </w:rPr>
        <w:t xml:space="preserve">QSPR models </w:t>
      </w:r>
      <w:r w:rsidRPr="00D21194">
        <w:rPr>
          <w:lang w:val="en-GB"/>
        </w:rPr>
        <w:t>could</w:t>
      </w:r>
      <w:r w:rsidR="00AF368F" w:rsidRPr="00D21194">
        <w:rPr>
          <w:lang w:val="en-GB"/>
        </w:rPr>
        <w:t xml:space="preserve"> help to fulfil their limitations, </w:t>
      </w:r>
      <w:r w:rsidRPr="00D21194">
        <w:rPr>
          <w:lang w:val="en-GB"/>
        </w:rPr>
        <w:t xml:space="preserve">notably in two situations. </w:t>
      </w:r>
      <w:r w:rsidR="00AF368F" w:rsidRPr="00D21194">
        <w:rPr>
          <w:lang w:val="en-GB"/>
        </w:rPr>
        <w:t xml:space="preserve">First, QSPR models for pure compounds </w:t>
      </w:r>
      <w:r w:rsidRPr="00D21194">
        <w:rPr>
          <w:lang w:val="en-GB"/>
        </w:rPr>
        <w:t>can be</w:t>
      </w:r>
      <w:r w:rsidR="00AF368F" w:rsidRPr="00D21194">
        <w:rPr>
          <w:lang w:val="en-GB"/>
        </w:rPr>
        <w:t xml:space="preserve"> used to access the data on pure compounds required in the mixing rules. </w:t>
      </w:r>
      <w:r w:rsidR="00531F3D" w:rsidRPr="00D21194">
        <w:rPr>
          <w:lang w:val="en-GB"/>
        </w:rPr>
        <w:t xml:space="preserve">Secondly, </w:t>
      </w:r>
      <w:r w:rsidR="00AF368F" w:rsidRPr="00D21194">
        <w:rPr>
          <w:lang w:val="en-GB"/>
        </w:rPr>
        <w:t>QSPR models for mixtures could be developed and used when no mixing rule is available</w:t>
      </w:r>
      <w:r w:rsidR="00531F3D" w:rsidRPr="00D21194">
        <w:rPr>
          <w:lang w:val="en-GB"/>
        </w:rPr>
        <w:t xml:space="preserve">, even if their use </w:t>
      </w:r>
      <w:r w:rsidRPr="00D21194">
        <w:rPr>
          <w:lang w:val="en-GB"/>
        </w:rPr>
        <w:t>can</w:t>
      </w:r>
      <w:r w:rsidR="00531F3D" w:rsidRPr="00D21194">
        <w:rPr>
          <w:lang w:val="en-GB"/>
        </w:rPr>
        <w:t xml:space="preserve"> be recommended </w:t>
      </w:r>
      <w:r w:rsidRPr="00D21194">
        <w:rPr>
          <w:lang w:val="en-GB"/>
        </w:rPr>
        <w:t xml:space="preserve">rather </w:t>
      </w:r>
      <w:r w:rsidR="00531F3D" w:rsidRPr="00D21194">
        <w:rPr>
          <w:lang w:val="en-GB"/>
        </w:rPr>
        <w:t>for screening purposes and</w:t>
      </w:r>
      <w:r w:rsidRPr="00D21194">
        <w:rPr>
          <w:lang w:val="en-GB"/>
        </w:rPr>
        <w:t xml:space="preserve"> for </w:t>
      </w:r>
      <w:r w:rsidR="00531F3D" w:rsidRPr="00D21194">
        <w:rPr>
          <w:lang w:val="en-GB"/>
        </w:rPr>
        <w:t xml:space="preserve">first estimations before </w:t>
      </w:r>
      <w:r w:rsidRPr="00D21194">
        <w:rPr>
          <w:lang w:val="en-GB"/>
        </w:rPr>
        <w:t>conducting experimental tests</w:t>
      </w:r>
      <w:r w:rsidR="00531F3D" w:rsidRPr="00D21194">
        <w:rPr>
          <w:lang w:val="en-GB"/>
        </w:rPr>
        <w:t>.</w:t>
      </w:r>
    </w:p>
    <w:p w14:paraId="4FC15F3C" w14:textId="77777777" w:rsidR="00600535" w:rsidRPr="00D21194" w:rsidRDefault="00000000" w:rsidP="00600535">
      <w:pPr>
        <w:pStyle w:val="CETReference"/>
      </w:pPr>
      <w:r w:rsidRPr="00D21194">
        <w:t>References</w:t>
      </w:r>
    </w:p>
    <w:p w14:paraId="10A615B1" w14:textId="77777777" w:rsidR="0012142B" w:rsidRPr="00D21194" w:rsidRDefault="00677822" w:rsidP="0012142B">
      <w:pPr>
        <w:pStyle w:val="EndNoteBibliography"/>
        <w:rPr>
          <w:sz w:val="18"/>
          <w:szCs w:val="18"/>
        </w:rPr>
      </w:pPr>
      <w:r w:rsidRPr="00D21194">
        <w:rPr>
          <w:rFonts w:cs="Times New Roman"/>
          <w:noProof w:val="0"/>
          <w:sz w:val="18"/>
          <w:szCs w:val="18"/>
        </w:rPr>
        <w:fldChar w:fldCharType="begin"/>
      </w:r>
      <w:r w:rsidRPr="00D21194">
        <w:rPr>
          <w:rFonts w:cs="Times New Roman"/>
          <w:noProof w:val="0"/>
          <w:sz w:val="18"/>
          <w:szCs w:val="18"/>
        </w:rPr>
        <w:instrText xml:space="preserve"> ADDIN EN.REFLIST </w:instrText>
      </w:r>
      <w:r w:rsidRPr="00D21194">
        <w:rPr>
          <w:rFonts w:cs="Times New Roman"/>
          <w:noProof w:val="0"/>
          <w:sz w:val="18"/>
          <w:szCs w:val="18"/>
        </w:rPr>
        <w:fldChar w:fldCharType="separate"/>
      </w:r>
      <w:r w:rsidR="0012142B" w:rsidRPr="00D21194">
        <w:rPr>
          <w:sz w:val="18"/>
          <w:szCs w:val="18"/>
        </w:rPr>
        <w:t>Aal E Ali R.S., Meng J., Khan M.E.I., Jiang X., 2024, Machine learning advancements in organic synthesis: A focused exploration of artificial intelligence applications in chemistry, Artificial Intelligence Chemistry, 2, 100049.</w:t>
      </w:r>
    </w:p>
    <w:p w14:paraId="140EB978" w14:textId="77777777" w:rsidR="0012142B" w:rsidRPr="00D21194" w:rsidRDefault="0012142B" w:rsidP="0012142B">
      <w:pPr>
        <w:pStyle w:val="EndNoteBibliography"/>
        <w:rPr>
          <w:sz w:val="18"/>
          <w:szCs w:val="18"/>
        </w:rPr>
      </w:pPr>
      <w:r w:rsidRPr="00D21194">
        <w:rPr>
          <w:sz w:val="18"/>
          <w:szCs w:val="18"/>
        </w:rPr>
        <w:t>Fayet G., Joubert L., Rotureau P., Adamo C., 2009, On the use of descriptors arising from the conceptual density functional theory for the prediction of chemicals explosibility, Chemical Physics Letter, 467, 407-411.</w:t>
      </w:r>
    </w:p>
    <w:p w14:paraId="480A34AC" w14:textId="77777777" w:rsidR="0012142B" w:rsidRPr="00D21194" w:rsidRDefault="0012142B" w:rsidP="0012142B">
      <w:pPr>
        <w:pStyle w:val="EndNoteBibliography"/>
        <w:rPr>
          <w:sz w:val="18"/>
          <w:szCs w:val="18"/>
        </w:rPr>
      </w:pPr>
      <w:r w:rsidRPr="00D21194">
        <w:rPr>
          <w:sz w:val="18"/>
          <w:szCs w:val="18"/>
        </w:rPr>
        <w:t>Fayet G., Rotureau P., 2019, New QSPR Models to Predict the Flammability of Binary Liquid Mixtures, Molecular Informatics, 38, 1800122.</w:t>
      </w:r>
    </w:p>
    <w:p w14:paraId="1B059645" w14:textId="77777777" w:rsidR="0012142B" w:rsidRPr="00D21194" w:rsidRDefault="0012142B" w:rsidP="0012142B">
      <w:pPr>
        <w:pStyle w:val="EndNoteBibliography"/>
        <w:rPr>
          <w:sz w:val="18"/>
          <w:szCs w:val="18"/>
        </w:rPr>
      </w:pPr>
      <w:r w:rsidRPr="00D21194">
        <w:rPr>
          <w:sz w:val="18"/>
          <w:szCs w:val="18"/>
        </w:rPr>
        <w:t>Fayet G., Rotureau P., 2023, QSPR models to predict the physical hazards of mixtures: a state of art, SAR and QSAR in Environmental Research, 34, 745-764.</w:t>
      </w:r>
    </w:p>
    <w:p w14:paraId="2A2E017F" w14:textId="77777777" w:rsidR="0012142B" w:rsidRPr="00D21194" w:rsidRDefault="0012142B" w:rsidP="0012142B">
      <w:pPr>
        <w:pStyle w:val="EndNoteBibliography"/>
        <w:rPr>
          <w:sz w:val="18"/>
          <w:szCs w:val="18"/>
        </w:rPr>
      </w:pPr>
      <w:r w:rsidRPr="00D21194">
        <w:rPr>
          <w:sz w:val="18"/>
          <w:szCs w:val="18"/>
        </w:rPr>
        <w:t>Gaudin T., Rotureau P., Fayet G., 2015, Mixture Descriptors toward the Development of Quantitative Structure-Property Relationship Models for the Flash Points of Organic Mixtures, Industrial &amp; Engineering Chemistry Research, 54, 6596-6604.</w:t>
      </w:r>
    </w:p>
    <w:p w14:paraId="7D507673" w14:textId="77777777" w:rsidR="0012142B" w:rsidRPr="00D21194" w:rsidRDefault="0012142B" w:rsidP="0012142B">
      <w:pPr>
        <w:pStyle w:val="EndNoteBibliography"/>
        <w:rPr>
          <w:sz w:val="18"/>
          <w:szCs w:val="18"/>
        </w:rPr>
      </w:pPr>
      <w:r w:rsidRPr="00D21194">
        <w:rPr>
          <w:sz w:val="18"/>
          <w:szCs w:val="18"/>
        </w:rPr>
        <w:t>Hristova M., Damgaliev D., 2013, Flash point of organic binary mixtures containing alcohols: experiment and prediction, Central European Journal of Chemistry, 11, 388-393.</w:t>
      </w:r>
    </w:p>
    <w:p w14:paraId="406AA7AD" w14:textId="77777777" w:rsidR="0012142B" w:rsidRPr="00D21194" w:rsidRDefault="0012142B" w:rsidP="0012142B">
      <w:pPr>
        <w:pStyle w:val="EndNoteBibliography"/>
        <w:rPr>
          <w:sz w:val="18"/>
          <w:szCs w:val="18"/>
        </w:rPr>
      </w:pPr>
      <w:r w:rsidRPr="00D21194">
        <w:rPr>
          <w:sz w:val="18"/>
          <w:szCs w:val="18"/>
        </w:rPr>
        <w:t>Joshi P.B., 2023, Navigating with chemometrics and machine learning in chemistry, Artificial Intelligence Review, 56, 9089-9114.</w:t>
      </w:r>
    </w:p>
    <w:p w14:paraId="2289CB8B" w14:textId="77777777" w:rsidR="0012142B" w:rsidRPr="00D21194" w:rsidRDefault="0012142B" w:rsidP="0012142B">
      <w:pPr>
        <w:pStyle w:val="EndNoteBibliography"/>
        <w:rPr>
          <w:sz w:val="18"/>
          <w:szCs w:val="18"/>
        </w:rPr>
      </w:pPr>
      <w:r w:rsidRPr="00D21194">
        <w:rPr>
          <w:sz w:val="18"/>
          <w:szCs w:val="18"/>
        </w:rPr>
        <w:t>Liaw H.-J., Chen C.-T., Gerbaud V., 2008, Flash-point prediction for binary partially miscible aqueous–organic mixtures, Chemical Engineering Science, 63, 4543-4554.</w:t>
      </w:r>
    </w:p>
    <w:p w14:paraId="7379CE7C" w14:textId="77777777" w:rsidR="0012142B" w:rsidRPr="00D21194" w:rsidRDefault="0012142B" w:rsidP="0012142B">
      <w:pPr>
        <w:pStyle w:val="EndNoteBibliography"/>
        <w:rPr>
          <w:sz w:val="18"/>
          <w:szCs w:val="18"/>
        </w:rPr>
      </w:pPr>
      <w:r w:rsidRPr="00D21194">
        <w:rPr>
          <w:sz w:val="18"/>
          <w:szCs w:val="18"/>
        </w:rPr>
        <w:t>Lin J., Mo F., 2024, Empowering research in chemistry and materials science through intelligent algorithms, Artificial Intelligence Chemistry, 2, 100035.</w:t>
      </w:r>
    </w:p>
    <w:p w14:paraId="6BA91323" w14:textId="77777777" w:rsidR="0012142B" w:rsidRPr="00D21194" w:rsidRDefault="0012142B" w:rsidP="0012142B">
      <w:pPr>
        <w:pStyle w:val="EndNoteBibliography"/>
        <w:rPr>
          <w:sz w:val="18"/>
          <w:szCs w:val="18"/>
        </w:rPr>
      </w:pPr>
      <w:r w:rsidRPr="00D21194">
        <w:rPr>
          <w:sz w:val="18"/>
          <w:szCs w:val="18"/>
        </w:rPr>
        <w:t>Muratov E.N., Varlamova E.V., Artemenko A.G., Polishchuk P.G., Kuz'min V.E., 2012, Existing and Developing Approaches for QSAR Analysis of Mixtures, Molecular Informatics, 31, 202-221.</w:t>
      </w:r>
    </w:p>
    <w:p w14:paraId="5DC2B9ED" w14:textId="77777777" w:rsidR="0012142B" w:rsidRPr="00D21194" w:rsidRDefault="0012142B" w:rsidP="0012142B">
      <w:pPr>
        <w:pStyle w:val="EndNoteBibliography"/>
        <w:rPr>
          <w:sz w:val="18"/>
          <w:szCs w:val="18"/>
        </w:rPr>
      </w:pPr>
      <w:r w:rsidRPr="00D21194">
        <w:rPr>
          <w:sz w:val="18"/>
          <w:szCs w:val="18"/>
        </w:rPr>
        <w:t>Nieto-Draghi C., Fayet G., Creton B., Rozanska X., Rotureau P., De Hemptinne J.-C., Ungerer P., Rousseau B., Adamo C., 2015, A General Guidebook for the Theoretical Prediction of Physico-Chemical Properties of Chemicals for Regulatory Purposes, Chemical Reviews, 115, 13093-13164.</w:t>
      </w:r>
    </w:p>
    <w:p w14:paraId="6644525A" w14:textId="1335BB95" w:rsidR="004628D2" w:rsidRPr="00D21194" w:rsidRDefault="0012142B" w:rsidP="00101235">
      <w:pPr>
        <w:pStyle w:val="EndNoteBibliography"/>
      </w:pPr>
      <w:r w:rsidRPr="00D21194">
        <w:rPr>
          <w:sz w:val="18"/>
          <w:szCs w:val="18"/>
        </w:rPr>
        <w:t>Noorollahy M., Moghadam A.Z., Ghasrodashti A.A., 2010, Calculation of mixture equilibrium binary interaction parameters using closed cup flash point measurements, Chemical Engineering Research and Design, 88, 81-86.</w:t>
      </w:r>
      <w:r w:rsidR="00677822" w:rsidRPr="00D21194">
        <w:rPr>
          <w:b/>
          <w:sz w:val="18"/>
          <w:szCs w:val="18"/>
        </w:rPr>
        <w:fldChar w:fldCharType="end"/>
      </w:r>
    </w:p>
    <w:sectPr w:rsidR="004628D2" w:rsidRPr="00D21194" w:rsidSect="00DC73EE">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9803EB"/>
    <w:multiLevelType w:val="multilevel"/>
    <w:tmpl w:val="F00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66B64"/>
    <w:multiLevelType w:val="hybridMultilevel"/>
    <w:tmpl w:val="059214A0"/>
    <w:lvl w:ilvl="0" w:tplc="741484F0">
      <w:start w:val="1"/>
      <w:numFmt w:val="bullet"/>
      <w:lvlText w:val="o"/>
      <w:lvlJc w:val="left"/>
      <w:pPr>
        <w:tabs>
          <w:tab w:val="num" w:pos="1080"/>
        </w:tabs>
        <w:ind w:left="1080" w:hanging="360"/>
      </w:pPr>
      <w:rPr>
        <w:rFonts w:ascii="Courier New" w:hAnsi="Courier New" w:cs="Courier New" w:hint="default"/>
      </w:rPr>
    </w:lvl>
    <w:lvl w:ilvl="1" w:tplc="803E41E8">
      <w:start w:val="1"/>
      <w:numFmt w:val="bullet"/>
      <w:lvlText w:val="o"/>
      <w:lvlJc w:val="left"/>
      <w:pPr>
        <w:tabs>
          <w:tab w:val="num" w:pos="1800"/>
        </w:tabs>
        <w:ind w:left="1800" w:hanging="360"/>
      </w:pPr>
      <w:rPr>
        <w:rFonts w:ascii="Courier New" w:hAnsi="Courier New" w:cs="Courier New" w:hint="default"/>
      </w:rPr>
    </w:lvl>
    <w:lvl w:ilvl="2" w:tplc="AC441A84">
      <w:start w:val="1"/>
      <w:numFmt w:val="bullet"/>
      <w:lvlText w:val=""/>
      <w:lvlJc w:val="left"/>
      <w:pPr>
        <w:tabs>
          <w:tab w:val="num" w:pos="2520"/>
        </w:tabs>
        <w:ind w:left="2520" w:hanging="360"/>
      </w:pPr>
      <w:rPr>
        <w:rFonts w:ascii="Wingdings" w:hAnsi="Wingdings" w:hint="default"/>
      </w:rPr>
    </w:lvl>
    <w:lvl w:ilvl="3" w:tplc="8EACC0BA" w:tentative="1">
      <w:start w:val="1"/>
      <w:numFmt w:val="bullet"/>
      <w:lvlText w:val=""/>
      <w:lvlJc w:val="left"/>
      <w:pPr>
        <w:tabs>
          <w:tab w:val="num" w:pos="3240"/>
        </w:tabs>
        <w:ind w:left="3240" w:hanging="360"/>
      </w:pPr>
      <w:rPr>
        <w:rFonts w:ascii="Symbol" w:hAnsi="Symbol" w:hint="default"/>
      </w:rPr>
    </w:lvl>
    <w:lvl w:ilvl="4" w:tplc="11101958" w:tentative="1">
      <w:start w:val="1"/>
      <w:numFmt w:val="bullet"/>
      <w:lvlText w:val="o"/>
      <w:lvlJc w:val="left"/>
      <w:pPr>
        <w:tabs>
          <w:tab w:val="num" w:pos="3960"/>
        </w:tabs>
        <w:ind w:left="3960" w:hanging="360"/>
      </w:pPr>
      <w:rPr>
        <w:rFonts w:ascii="Courier New" w:hAnsi="Courier New" w:cs="Courier New" w:hint="default"/>
      </w:rPr>
    </w:lvl>
    <w:lvl w:ilvl="5" w:tplc="C10A2C44" w:tentative="1">
      <w:start w:val="1"/>
      <w:numFmt w:val="bullet"/>
      <w:lvlText w:val=""/>
      <w:lvlJc w:val="left"/>
      <w:pPr>
        <w:tabs>
          <w:tab w:val="num" w:pos="4680"/>
        </w:tabs>
        <w:ind w:left="4680" w:hanging="360"/>
      </w:pPr>
      <w:rPr>
        <w:rFonts w:ascii="Wingdings" w:hAnsi="Wingdings" w:hint="default"/>
      </w:rPr>
    </w:lvl>
    <w:lvl w:ilvl="6" w:tplc="8612DCB0" w:tentative="1">
      <w:start w:val="1"/>
      <w:numFmt w:val="bullet"/>
      <w:lvlText w:val=""/>
      <w:lvlJc w:val="left"/>
      <w:pPr>
        <w:tabs>
          <w:tab w:val="num" w:pos="5400"/>
        </w:tabs>
        <w:ind w:left="5400" w:hanging="360"/>
      </w:pPr>
      <w:rPr>
        <w:rFonts w:ascii="Symbol" w:hAnsi="Symbol" w:hint="default"/>
      </w:rPr>
    </w:lvl>
    <w:lvl w:ilvl="7" w:tplc="F694326C" w:tentative="1">
      <w:start w:val="1"/>
      <w:numFmt w:val="bullet"/>
      <w:lvlText w:val="o"/>
      <w:lvlJc w:val="left"/>
      <w:pPr>
        <w:tabs>
          <w:tab w:val="num" w:pos="6120"/>
        </w:tabs>
        <w:ind w:left="6120" w:hanging="360"/>
      </w:pPr>
      <w:rPr>
        <w:rFonts w:ascii="Courier New" w:hAnsi="Courier New" w:cs="Courier New" w:hint="default"/>
      </w:rPr>
    </w:lvl>
    <w:lvl w:ilvl="8" w:tplc="CB74BE8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C410380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752C88AA">
      <w:start w:val="1"/>
      <w:numFmt w:val="bullet"/>
      <w:lvlText w:val=""/>
      <w:lvlJc w:val="left"/>
      <w:pPr>
        <w:ind w:left="720" w:hanging="360"/>
      </w:pPr>
      <w:rPr>
        <w:rFonts w:ascii="Symbol" w:hAnsi="Symbol" w:hint="default"/>
      </w:rPr>
    </w:lvl>
    <w:lvl w:ilvl="1" w:tplc="87C87408" w:tentative="1">
      <w:start w:val="1"/>
      <w:numFmt w:val="bullet"/>
      <w:lvlText w:val="o"/>
      <w:lvlJc w:val="left"/>
      <w:pPr>
        <w:ind w:left="1440" w:hanging="360"/>
      </w:pPr>
      <w:rPr>
        <w:rFonts w:ascii="Courier New" w:hAnsi="Courier New" w:cs="Courier New" w:hint="default"/>
      </w:rPr>
    </w:lvl>
    <w:lvl w:ilvl="2" w:tplc="B894A9D8" w:tentative="1">
      <w:start w:val="1"/>
      <w:numFmt w:val="bullet"/>
      <w:lvlText w:val=""/>
      <w:lvlJc w:val="left"/>
      <w:pPr>
        <w:ind w:left="2160" w:hanging="360"/>
      </w:pPr>
      <w:rPr>
        <w:rFonts w:ascii="Wingdings" w:hAnsi="Wingdings" w:hint="default"/>
      </w:rPr>
    </w:lvl>
    <w:lvl w:ilvl="3" w:tplc="3DB00B54" w:tentative="1">
      <w:start w:val="1"/>
      <w:numFmt w:val="bullet"/>
      <w:lvlText w:val=""/>
      <w:lvlJc w:val="left"/>
      <w:pPr>
        <w:ind w:left="2880" w:hanging="360"/>
      </w:pPr>
      <w:rPr>
        <w:rFonts w:ascii="Symbol" w:hAnsi="Symbol" w:hint="default"/>
      </w:rPr>
    </w:lvl>
    <w:lvl w:ilvl="4" w:tplc="E40C33FA" w:tentative="1">
      <w:start w:val="1"/>
      <w:numFmt w:val="bullet"/>
      <w:lvlText w:val="o"/>
      <w:lvlJc w:val="left"/>
      <w:pPr>
        <w:ind w:left="3600" w:hanging="360"/>
      </w:pPr>
      <w:rPr>
        <w:rFonts w:ascii="Courier New" w:hAnsi="Courier New" w:cs="Courier New" w:hint="default"/>
      </w:rPr>
    </w:lvl>
    <w:lvl w:ilvl="5" w:tplc="56323978" w:tentative="1">
      <w:start w:val="1"/>
      <w:numFmt w:val="bullet"/>
      <w:lvlText w:val=""/>
      <w:lvlJc w:val="left"/>
      <w:pPr>
        <w:ind w:left="4320" w:hanging="360"/>
      </w:pPr>
      <w:rPr>
        <w:rFonts w:ascii="Wingdings" w:hAnsi="Wingdings" w:hint="default"/>
      </w:rPr>
    </w:lvl>
    <w:lvl w:ilvl="6" w:tplc="2592C982" w:tentative="1">
      <w:start w:val="1"/>
      <w:numFmt w:val="bullet"/>
      <w:lvlText w:val=""/>
      <w:lvlJc w:val="left"/>
      <w:pPr>
        <w:ind w:left="5040" w:hanging="360"/>
      </w:pPr>
      <w:rPr>
        <w:rFonts w:ascii="Symbol" w:hAnsi="Symbol" w:hint="default"/>
      </w:rPr>
    </w:lvl>
    <w:lvl w:ilvl="7" w:tplc="F626D79C" w:tentative="1">
      <w:start w:val="1"/>
      <w:numFmt w:val="bullet"/>
      <w:lvlText w:val="o"/>
      <w:lvlJc w:val="left"/>
      <w:pPr>
        <w:ind w:left="5760" w:hanging="360"/>
      </w:pPr>
      <w:rPr>
        <w:rFonts w:ascii="Courier New" w:hAnsi="Courier New" w:cs="Courier New" w:hint="default"/>
      </w:rPr>
    </w:lvl>
    <w:lvl w:ilvl="8" w:tplc="F912AFD2"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0582CA5C">
      <w:start w:val="1"/>
      <w:numFmt w:val="bullet"/>
      <w:pStyle w:val="CETnumberingbullets"/>
      <w:lvlText w:val=""/>
      <w:lvlJc w:val="left"/>
      <w:pPr>
        <w:ind w:left="340" w:hanging="227"/>
      </w:pPr>
      <w:rPr>
        <w:rFonts w:ascii="Symbol" w:hAnsi="Symbol" w:hint="default"/>
      </w:rPr>
    </w:lvl>
    <w:lvl w:ilvl="1" w:tplc="BAAE2C46" w:tentative="1">
      <w:start w:val="1"/>
      <w:numFmt w:val="bullet"/>
      <w:lvlText w:val="o"/>
      <w:lvlJc w:val="left"/>
      <w:pPr>
        <w:ind w:left="1440" w:hanging="360"/>
      </w:pPr>
      <w:rPr>
        <w:rFonts w:ascii="Courier New" w:hAnsi="Courier New" w:cs="Courier New" w:hint="default"/>
      </w:rPr>
    </w:lvl>
    <w:lvl w:ilvl="2" w:tplc="01D6E00E" w:tentative="1">
      <w:start w:val="1"/>
      <w:numFmt w:val="bullet"/>
      <w:lvlText w:val=""/>
      <w:lvlJc w:val="left"/>
      <w:pPr>
        <w:ind w:left="2160" w:hanging="360"/>
      </w:pPr>
      <w:rPr>
        <w:rFonts w:ascii="Wingdings" w:hAnsi="Wingdings" w:hint="default"/>
      </w:rPr>
    </w:lvl>
    <w:lvl w:ilvl="3" w:tplc="FF5C2812" w:tentative="1">
      <w:start w:val="1"/>
      <w:numFmt w:val="bullet"/>
      <w:lvlText w:val=""/>
      <w:lvlJc w:val="left"/>
      <w:pPr>
        <w:ind w:left="2880" w:hanging="360"/>
      </w:pPr>
      <w:rPr>
        <w:rFonts w:ascii="Symbol" w:hAnsi="Symbol" w:hint="default"/>
      </w:rPr>
    </w:lvl>
    <w:lvl w:ilvl="4" w:tplc="8CA037EE" w:tentative="1">
      <w:start w:val="1"/>
      <w:numFmt w:val="bullet"/>
      <w:lvlText w:val="o"/>
      <w:lvlJc w:val="left"/>
      <w:pPr>
        <w:ind w:left="3600" w:hanging="360"/>
      </w:pPr>
      <w:rPr>
        <w:rFonts w:ascii="Courier New" w:hAnsi="Courier New" w:cs="Courier New" w:hint="default"/>
      </w:rPr>
    </w:lvl>
    <w:lvl w:ilvl="5" w:tplc="F78436F4" w:tentative="1">
      <w:start w:val="1"/>
      <w:numFmt w:val="bullet"/>
      <w:lvlText w:val=""/>
      <w:lvlJc w:val="left"/>
      <w:pPr>
        <w:ind w:left="4320" w:hanging="360"/>
      </w:pPr>
      <w:rPr>
        <w:rFonts w:ascii="Wingdings" w:hAnsi="Wingdings" w:hint="default"/>
      </w:rPr>
    </w:lvl>
    <w:lvl w:ilvl="6" w:tplc="BE74DC0E" w:tentative="1">
      <w:start w:val="1"/>
      <w:numFmt w:val="bullet"/>
      <w:lvlText w:val=""/>
      <w:lvlJc w:val="left"/>
      <w:pPr>
        <w:ind w:left="5040" w:hanging="360"/>
      </w:pPr>
      <w:rPr>
        <w:rFonts w:ascii="Symbol" w:hAnsi="Symbol" w:hint="default"/>
      </w:rPr>
    </w:lvl>
    <w:lvl w:ilvl="7" w:tplc="90F69BBA" w:tentative="1">
      <w:start w:val="1"/>
      <w:numFmt w:val="bullet"/>
      <w:lvlText w:val="o"/>
      <w:lvlJc w:val="left"/>
      <w:pPr>
        <w:ind w:left="5760" w:hanging="360"/>
      </w:pPr>
      <w:rPr>
        <w:rFonts w:ascii="Courier New" w:hAnsi="Courier New" w:cs="Courier New" w:hint="default"/>
      </w:rPr>
    </w:lvl>
    <w:lvl w:ilvl="8" w:tplc="A95478A8"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52608BF8">
      <w:start w:val="1"/>
      <w:numFmt w:val="bullet"/>
      <w:lvlText w:val=""/>
      <w:lvlJc w:val="left"/>
      <w:pPr>
        <w:ind w:left="720" w:hanging="360"/>
      </w:pPr>
      <w:rPr>
        <w:rFonts w:ascii="Symbol" w:hAnsi="Symbol" w:hint="default"/>
      </w:rPr>
    </w:lvl>
    <w:lvl w:ilvl="1" w:tplc="3EB07594" w:tentative="1">
      <w:start w:val="1"/>
      <w:numFmt w:val="bullet"/>
      <w:lvlText w:val="o"/>
      <w:lvlJc w:val="left"/>
      <w:pPr>
        <w:ind w:left="1440" w:hanging="360"/>
      </w:pPr>
      <w:rPr>
        <w:rFonts w:ascii="Courier New" w:hAnsi="Courier New" w:cs="Courier New" w:hint="default"/>
      </w:rPr>
    </w:lvl>
    <w:lvl w:ilvl="2" w:tplc="4EF43722" w:tentative="1">
      <w:start w:val="1"/>
      <w:numFmt w:val="bullet"/>
      <w:lvlText w:val=""/>
      <w:lvlJc w:val="left"/>
      <w:pPr>
        <w:ind w:left="2160" w:hanging="360"/>
      </w:pPr>
      <w:rPr>
        <w:rFonts w:ascii="Wingdings" w:hAnsi="Wingdings" w:hint="default"/>
      </w:rPr>
    </w:lvl>
    <w:lvl w:ilvl="3" w:tplc="9E20A4C8" w:tentative="1">
      <w:start w:val="1"/>
      <w:numFmt w:val="bullet"/>
      <w:lvlText w:val=""/>
      <w:lvlJc w:val="left"/>
      <w:pPr>
        <w:ind w:left="2880" w:hanging="360"/>
      </w:pPr>
      <w:rPr>
        <w:rFonts w:ascii="Symbol" w:hAnsi="Symbol" w:hint="default"/>
      </w:rPr>
    </w:lvl>
    <w:lvl w:ilvl="4" w:tplc="118ECC32" w:tentative="1">
      <w:start w:val="1"/>
      <w:numFmt w:val="bullet"/>
      <w:lvlText w:val="o"/>
      <w:lvlJc w:val="left"/>
      <w:pPr>
        <w:ind w:left="3600" w:hanging="360"/>
      </w:pPr>
      <w:rPr>
        <w:rFonts w:ascii="Courier New" w:hAnsi="Courier New" w:cs="Courier New" w:hint="default"/>
      </w:rPr>
    </w:lvl>
    <w:lvl w:ilvl="5" w:tplc="377852D8" w:tentative="1">
      <w:start w:val="1"/>
      <w:numFmt w:val="bullet"/>
      <w:lvlText w:val=""/>
      <w:lvlJc w:val="left"/>
      <w:pPr>
        <w:ind w:left="4320" w:hanging="360"/>
      </w:pPr>
      <w:rPr>
        <w:rFonts w:ascii="Wingdings" w:hAnsi="Wingdings" w:hint="default"/>
      </w:rPr>
    </w:lvl>
    <w:lvl w:ilvl="6" w:tplc="A9DC1060" w:tentative="1">
      <w:start w:val="1"/>
      <w:numFmt w:val="bullet"/>
      <w:lvlText w:val=""/>
      <w:lvlJc w:val="left"/>
      <w:pPr>
        <w:ind w:left="5040" w:hanging="360"/>
      </w:pPr>
      <w:rPr>
        <w:rFonts w:ascii="Symbol" w:hAnsi="Symbol" w:hint="default"/>
      </w:rPr>
    </w:lvl>
    <w:lvl w:ilvl="7" w:tplc="A298350E" w:tentative="1">
      <w:start w:val="1"/>
      <w:numFmt w:val="bullet"/>
      <w:lvlText w:val="o"/>
      <w:lvlJc w:val="left"/>
      <w:pPr>
        <w:ind w:left="5760" w:hanging="360"/>
      </w:pPr>
      <w:rPr>
        <w:rFonts w:ascii="Courier New" w:hAnsi="Courier New" w:cs="Courier New" w:hint="default"/>
      </w:rPr>
    </w:lvl>
    <w:lvl w:ilvl="8" w:tplc="AFECA5F4"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2EB42828">
      <w:start w:val="1"/>
      <w:numFmt w:val="decimal"/>
      <w:lvlText w:val="%1)"/>
      <w:lvlJc w:val="left"/>
      <w:pPr>
        <w:ind w:left="720" w:hanging="360"/>
      </w:pPr>
      <w:rPr>
        <w:rFonts w:hint="default"/>
      </w:rPr>
    </w:lvl>
    <w:lvl w:ilvl="1" w:tplc="F1EEF37C" w:tentative="1">
      <w:start w:val="1"/>
      <w:numFmt w:val="lowerLetter"/>
      <w:lvlText w:val="%2."/>
      <w:lvlJc w:val="left"/>
      <w:pPr>
        <w:ind w:left="1440" w:hanging="360"/>
      </w:pPr>
    </w:lvl>
    <w:lvl w:ilvl="2" w:tplc="974223A6" w:tentative="1">
      <w:start w:val="1"/>
      <w:numFmt w:val="lowerRoman"/>
      <w:lvlText w:val="%3."/>
      <w:lvlJc w:val="right"/>
      <w:pPr>
        <w:ind w:left="2160" w:hanging="180"/>
      </w:pPr>
    </w:lvl>
    <w:lvl w:ilvl="3" w:tplc="F82898D0" w:tentative="1">
      <w:start w:val="1"/>
      <w:numFmt w:val="decimal"/>
      <w:lvlText w:val="%4."/>
      <w:lvlJc w:val="left"/>
      <w:pPr>
        <w:ind w:left="2880" w:hanging="360"/>
      </w:pPr>
    </w:lvl>
    <w:lvl w:ilvl="4" w:tplc="DCFEB258" w:tentative="1">
      <w:start w:val="1"/>
      <w:numFmt w:val="lowerLetter"/>
      <w:lvlText w:val="%5."/>
      <w:lvlJc w:val="left"/>
      <w:pPr>
        <w:ind w:left="3600" w:hanging="360"/>
      </w:pPr>
    </w:lvl>
    <w:lvl w:ilvl="5" w:tplc="782000D0" w:tentative="1">
      <w:start w:val="1"/>
      <w:numFmt w:val="lowerRoman"/>
      <w:lvlText w:val="%6."/>
      <w:lvlJc w:val="right"/>
      <w:pPr>
        <w:ind w:left="4320" w:hanging="180"/>
      </w:pPr>
    </w:lvl>
    <w:lvl w:ilvl="6" w:tplc="9C2266F4" w:tentative="1">
      <w:start w:val="1"/>
      <w:numFmt w:val="decimal"/>
      <w:lvlText w:val="%7."/>
      <w:lvlJc w:val="left"/>
      <w:pPr>
        <w:ind w:left="5040" w:hanging="360"/>
      </w:pPr>
    </w:lvl>
    <w:lvl w:ilvl="7" w:tplc="00B69D5A" w:tentative="1">
      <w:start w:val="1"/>
      <w:numFmt w:val="lowerLetter"/>
      <w:lvlText w:val="%8."/>
      <w:lvlJc w:val="left"/>
      <w:pPr>
        <w:ind w:left="5760" w:hanging="360"/>
      </w:pPr>
    </w:lvl>
    <w:lvl w:ilvl="8" w:tplc="2C40DD72"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A0AEE4F2">
      <w:start w:val="1"/>
      <w:numFmt w:val="bullet"/>
      <w:lvlText w:val=""/>
      <w:lvlJc w:val="left"/>
      <w:pPr>
        <w:ind w:left="340" w:hanging="227"/>
      </w:pPr>
      <w:rPr>
        <w:rFonts w:ascii="Symbol" w:hAnsi="Symbol" w:hint="default"/>
      </w:rPr>
    </w:lvl>
    <w:lvl w:ilvl="1" w:tplc="DE68E416" w:tentative="1">
      <w:start w:val="1"/>
      <w:numFmt w:val="bullet"/>
      <w:lvlText w:val="o"/>
      <w:lvlJc w:val="left"/>
      <w:pPr>
        <w:ind w:left="1440" w:hanging="360"/>
      </w:pPr>
      <w:rPr>
        <w:rFonts w:ascii="Courier New" w:hAnsi="Courier New" w:cs="Courier New" w:hint="default"/>
      </w:rPr>
    </w:lvl>
    <w:lvl w:ilvl="2" w:tplc="E20205A2" w:tentative="1">
      <w:start w:val="1"/>
      <w:numFmt w:val="bullet"/>
      <w:lvlText w:val=""/>
      <w:lvlJc w:val="left"/>
      <w:pPr>
        <w:ind w:left="2160" w:hanging="360"/>
      </w:pPr>
      <w:rPr>
        <w:rFonts w:ascii="Wingdings" w:hAnsi="Wingdings" w:hint="default"/>
      </w:rPr>
    </w:lvl>
    <w:lvl w:ilvl="3" w:tplc="6D0CF67A" w:tentative="1">
      <w:start w:val="1"/>
      <w:numFmt w:val="bullet"/>
      <w:lvlText w:val=""/>
      <w:lvlJc w:val="left"/>
      <w:pPr>
        <w:ind w:left="2880" w:hanging="360"/>
      </w:pPr>
      <w:rPr>
        <w:rFonts w:ascii="Symbol" w:hAnsi="Symbol" w:hint="default"/>
      </w:rPr>
    </w:lvl>
    <w:lvl w:ilvl="4" w:tplc="311EAE42" w:tentative="1">
      <w:start w:val="1"/>
      <w:numFmt w:val="bullet"/>
      <w:lvlText w:val="o"/>
      <w:lvlJc w:val="left"/>
      <w:pPr>
        <w:ind w:left="3600" w:hanging="360"/>
      </w:pPr>
      <w:rPr>
        <w:rFonts w:ascii="Courier New" w:hAnsi="Courier New" w:cs="Courier New" w:hint="default"/>
      </w:rPr>
    </w:lvl>
    <w:lvl w:ilvl="5" w:tplc="C162401C" w:tentative="1">
      <w:start w:val="1"/>
      <w:numFmt w:val="bullet"/>
      <w:lvlText w:val=""/>
      <w:lvlJc w:val="left"/>
      <w:pPr>
        <w:ind w:left="4320" w:hanging="360"/>
      </w:pPr>
      <w:rPr>
        <w:rFonts w:ascii="Wingdings" w:hAnsi="Wingdings" w:hint="default"/>
      </w:rPr>
    </w:lvl>
    <w:lvl w:ilvl="6" w:tplc="07E409C0" w:tentative="1">
      <w:start w:val="1"/>
      <w:numFmt w:val="bullet"/>
      <w:lvlText w:val=""/>
      <w:lvlJc w:val="left"/>
      <w:pPr>
        <w:ind w:left="5040" w:hanging="360"/>
      </w:pPr>
      <w:rPr>
        <w:rFonts w:ascii="Symbol" w:hAnsi="Symbol" w:hint="default"/>
      </w:rPr>
    </w:lvl>
    <w:lvl w:ilvl="7" w:tplc="5C7EC660" w:tentative="1">
      <w:start w:val="1"/>
      <w:numFmt w:val="bullet"/>
      <w:lvlText w:val="o"/>
      <w:lvlJc w:val="left"/>
      <w:pPr>
        <w:ind w:left="5760" w:hanging="360"/>
      </w:pPr>
      <w:rPr>
        <w:rFonts w:ascii="Courier New" w:hAnsi="Courier New" w:cs="Courier New" w:hint="default"/>
      </w:rPr>
    </w:lvl>
    <w:lvl w:ilvl="8" w:tplc="E0C228C4"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3EBAE34E">
      <w:start w:val="1"/>
      <w:numFmt w:val="decimal"/>
      <w:lvlText w:val="%1)"/>
      <w:lvlJc w:val="left"/>
      <w:pPr>
        <w:ind w:left="340" w:hanging="227"/>
      </w:pPr>
      <w:rPr>
        <w:rFonts w:hint="default"/>
      </w:rPr>
    </w:lvl>
    <w:lvl w:ilvl="1" w:tplc="A94435BE" w:tentative="1">
      <w:start w:val="1"/>
      <w:numFmt w:val="bullet"/>
      <w:lvlText w:val="o"/>
      <w:lvlJc w:val="left"/>
      <w:pPr>
        <w:ind w:left="1440" w:hanging="360"/>
      </w:pPr>
      <w:rPr>
        <w:rFonts w:ascii="Courier New" w:hAnsi="Courier New" w:cs="Courier New" w:hint="default"/>
      </w:rPr>
    </w:lvl>
    <w:lvl w:ilvl="2" w:tplc="3A7E856C" w:tentative="1">
      <w:start w:val="1"/>
      <w:numFmt w:val="bullet"/>
      <w:lvlText w:val=""/>
      <w:lvlJc w:val="left"/>
      <w:pPr>
        <w:ind w:left="2160" w:hanging="360"/>
      </w:pPr>
      <w:rPr>
        <w:rFonts w:ascii="Wingdings" w:hAnsi="Wingdings" w:hint="default"/>
      </w:rPr>
    </w:lvl>
    <w:lvl w:ilvl="3" w:tplc="10C84120" w:tentative="1">
      <w:start w:val="1"/>
      <w:numFmt w:val="bullet"/>
      <w:lvlText w:val=""/>
      <w:lvlJc w:val="left"/>
      <w:pPr>
        <w:ind w:left="2880" w:hanging="360"/>
      </w:pPr>
      <w:rPr>
        <w:rFonts w:ascii="Symbol" w:hAnsi="Symbol" w:hint="default"/>
      </w:rPr>
    </w:lvl>
    <w:lvl w:ilvl="4" w:tplc="BD30518C" w:tentative="1">
      <w:start w:val="1"/>
      <w:numFmt w:val="bullet"/>
      <w:lvlText w:val="o"/>
      <w:lvlJc w:val="left"/>
      <w:pPr>
        <w:ind w:left="3600" w:hanging="360"/>
      </w:pPr>
      <w:rPr>
        <w:rFonts w:ascii="Courier New" w:hAnsi="Courier New" w:cs="Courier New" w:hint="default"/>
      </w:rPr>
    </w:lvl>
    <w:lvl w:ilvl="5" w:tplc="BA525C22" w:tentative="1">
      <w:start w:val="1"/>
      <w:numFmt w:val="bullet"/>
      <w:lvlText w:val=""/>
      <w:lvlJc w:val="left"/>
      <w:pPr>
        <w:ind w:left="4320" w:hanging="360"/>
      </w:pPr>
      <w:rPr>
        <w:rFonts w:ascii="Wingdings" w:hAnsi="Wingdings" w:hint="default"/>
      </w:rPr>
    </w:lvl>
    <w:lvl w:ilvl="6" w:tplc="16E0D100" w:tentative="1">
      <w:start w:val="1"/>
      <w:numFmt w:val="bullet"/>
      <w:lvlText w:val=""/>
      <w:lvlJc w:val="left"/>
      <w:pPr>
        <w:ind w:left="5040" w:hanging="360"/>
      </w:pPr>
      <w:rPr>
        <w:rFonts w:ascii="Symbol" w:hAnsi="Symbol" w:hint="default"/>
      </w:rPr>
    </w:lvl>
    <w:lvl w:ilvl="7" w:tplc="7F76636A" w:tentative="1">
      <w:start w:val="1"/>
      <w:numFmt w:val="bullet"/>
      <w:lvlText w:val="o"/>
      <w:lvlJc w:val="left"/>
      <w:pPr>
        <w:ind w:left="5760" w:hanging="360"/>
      </w:pPr>
      <w:rPr>
        <w:rFonts w:ascii="Courier New" w:hAnsi="Courier New" w:cs="Courier New" w:hint="default"/>
      </w:rPr>
    </w:lvl>
    <w:lvl w:ilvl="8" w:tplc="59928CA8"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E0826F62">
      <w:start w:val="1"/>
      <w:numFmt w:val="decimal"/>
      <w:pStyle w:val="CETnumbering1"/>
      <w:lvlText w:val="%1."/>
      <w:lvlJc w:val="left"/>
      <w:pPr>
        <w:ind w:left="720" w:hanging="360"/>
      </w:pPr>
    </w:lvl>
    <w:lvl w:ilvl="1" w:tplc="8604D330" w:tentative="1">
      <w:start w:val="1"/>
      <w:numFmt w:val="lowerLetter"/>
      <w:lvlText w:val="%2."/>
      <w:lvlJc w:val="left"/>
      <w:pPr>
        <w:ind w:left="1440" w:hanging="360"/>
      </w:pPr>
    </w:lvl>
    <w:lvl w:ilvl="2" w:tplc="6D6C224C" w:tentative="1">
      <w:start w:val="1"/>
      <w:numFmt w:val="lowerRoman"/>
      <w:lvlText w:val="%3."/>
      <w:lvlJc w:val="right"/>
      <w:pPr>
        <w:ind w:left="2160" w:hanging="180"/>
      </w:pPr>
    </w:lvl>
    <w:lvl w:ilvl="3" w:tplc="0DDACBA6" w:tentative="1">
      <w:start w:val="1"/>
      <w:numFmt w:val="decimal"/>
      <w:lvlText w:val="%4."/>
      <w:lvlJc w:val="left"/>
      <w:pPr>
        <w:ind w:left="2880" w:hanging="360"/>
      </w:pPr>
    </w:lvl>
    <w:lvl w:ilvl="4" w:tplc="147E6BB2" w:tentative="1">
      <w:start w:val="1"/>
      <w:numFmt w:val="lowerLetter"/>
      <w:lvlText w:val="%5."/>
      <w:lvlJc w:val="left"/>
      <w:pPr>
        <w:ind w:left="3600" w:hanging="360"/>
      </w:pPr>
    </w:lvl>
    <w:lvl w:ilvl="5" w:tplc="15C0BFFC" w:tentative="1">
      <w:start w:val="1"/>
      <w:numFmt w:val="lowerRoman"/>
      <w:lvlText w:val="%6."/>
      <w:lvlJc w:val="right"/>
      <w:pPr>
        <w:ind w:left="4320" w:hanging="180"/>
      </w:pPr>
    </w:lvl>
    <w:lvl w:ilvl="6" w:tplc="C5F6F662" w:tentative="1">
      <w:start w:val="1"/>
      <w:numFmt w:val="decimal"/>
      <w:lvlText w:val="%7."/>
      <w:lvlJc w:val="left"/>
      <w:pPr>
        <w:ind w:left="5040" w:hanging="360"/>
      </w:pPr>
    </w:lvl>
    <w:lvl w:ilvl="7" w:tplc="98569FD4" w:tentative="1">
      <w:start w:val="1"/>
      <w:numFmt w:val="lowerLetter"/>
      <w:lvlText w:val="%8."/>
      <w:lvlJc w:val="left"/>
      <w:pPr>
        <w:ind w:left="5760" w:hanging="360"/>
      </w:pPr>
    </w:lvl>
    <w:lvl w:ilvl="8" w:tplc="EF3C5FCE"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DD34D3CE">
      <w:start w:val="1"/>
      <w:numFmt w:val="bullet"/>
      <w:lvlText w:val=""/>
      <w:lvlJc w:val="left"/>
      <w:pPr>
        <w:ind w:left="720" w:hanging="360"/>
      </w:pPr>
      <w:rPr>
        <w:rFonts w:ascii="Symbol" w:hAnsi="Symbol" w:hint="default"/>
      </w:rPr>
    </w:lvl>
    <w:lvl w:ilvl="1" w:tplc="3A728A5C" w:tentative="1">
      <w:start w:val="1"/>
      <w:numFmt w:val="bullet"/>
      <w:lvlText w:val="o"/>
      <w:lvlJc w:val="left"/>
      <w:pPr>
        <w:ind w:left="1440" w:hanging="360"/>
      </w:pPr>
      <w:rPr>
        <w:rFonts w:ascii="Courier New" w:hAnsi="Courier New" w:cs="Courier New" w:hint="default"/>
      </w:rPr>
    </w:lvl>
    <w:lvl w:ilvl="2" w:tplc="72FC98C0" w:tentative="1">
      <w:start w:val="1"/>
      <w:numFmt w:val="bullet"/>
      <w:lvlText w:val=""/>
      <w:lvlJc w:val="left"/>
      <w:pPr>
        <w:ind w:left="2160" w:hanging="360"/>
      </w:pPr>
      <w:rPr>
        <w:rFonts w:ascii="Wingdings" w:hAnsi="Wingdings" w:hint="default"/>
      </w:rPr>
    </w:lvl>
    <w:lvl w:ilvl="3" w:tplc="6AB63120" w:tentative="1">
      <w:start w:val="1"/>
      <w:numFmt w:val="bullet"/>
      <w:lvlText w:val=""/>
      <w:lvlJc w:val="left"/>
      <w:pPr>
        <w:ind w:left="2880" w:hanging="360"/>
      </w:pPr>
      <w:rPr>
        <w:rFonts w:ascii="Symbol" w:hAnsi="Symbol" w:hint="default"/>
      </w:rPr>
    </w:lvl>
    <w:lvl w:ilvl="4" w:tplc="F744A750" w:tentative="1">
      <w:start w:val="1"/>
      <w:numFmt w:val="bullet"/>
      <w:lvlText w:val="o"/>
      <w:lvlJc w:val="left"/>
      <w:pPr>
        <w:ind w:left="3600" w:hanging="360"/>
      </w:pPr>
      <w:rPr>
        <w:rFonts w:ascii="Courier New" w:hAnsi="Courier New" w:cs="Courier New" w:hint="default"/>
      </w:rPr>
    </w:lvl>
    <w:lvl w:ilvl="5" w:tplc="37E816C2" w:tentative="1">
      <w:start w:val="1"/>
      <w:numFmt w:val="bullet"/>
      <w:lvlText w:val=""/>
      <w:lvlJc w:val="left"/>
      <w:pPr>
        <w:ind w:left="4320" w:hanging="360"/>
      </w:pPr>
      <w:rPr>
        <w:rFonts w:ascii="Wingdings" w:hAnsi="Wingdings" w:hint="default"/>
      </w:rPr>
    </w:lvl>
    <w:lvl w:ilvl="6" w:tplc="8814DBAE" w:tentative="1">
      <w:start w:val="1"/>
      <w:numFmt w:val="bullet"/>
      <w:lvlText w:val=""/>
      <w:lvlJc w:val="left"/>
      <w:pPr>
        <w:ind w:left="5040" w:hanging="360"/>
      </w:pPr>
      <w:rPr>
        <w:rFonts w:ascii="Symbol" w:hAnsi="Symbol" w:hint="default"/>
      </w:rPr>
    </w:lvl>
    <w:lvl w:ilvl="7" w:tplc="5BFA07AA" w:tentative="1">
      <w:start w:val="1"/>
      <w:numFmt w:val="bullet"/>
      <w:lvlText w:val="o"/>
      <w:lvlJc w:val="left"/>
      <w:pPr>
        <w:ind w:left="5760" w:hanging="360"/>
      </w:pPr>
      <w:rPr>
        <w:rFonts w:ascii="Courier New" w:hAnsi="Courier New" w:cs="Courier New" w:hint="default"/>
      </w:rPr>
    </w:lvl>
    <w:lvl w:ilvl="8" w:tplc="71568EE2"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7CF2CBB6">
      <w:start w:val="1"/>
      <w:numFmt w:val="lowerLetter"/>
      <w:pStyle w:val="CETnumberinga"/>
      <w:lvlText w:val="%1."/>
      <w:lvlJc w:val="left"/>
      <w:pPr>
        <w:ind w:left="340" w:hanging="227"/>
      </w:pPr>
      <w:rPr>
        <w:rFonts w:hint="default"/>
      </w:rPr>
    </w:lvl>
    <w:lvl w:ilvl="1" w:tplc="787A3D34" w:tentative="1">
      <w:start w:val="1"/>
      <w:numFmt w:val="bullet"/>
      <w:lvlText w:val="o"/>
      <w:lvlJc w:val="left"/>
      <w:pPr>
        <w:ind w:left="1440" w:hanging="360"/>
      </w:pPr>
      <w:rPr>
        <w:rFonts w:ascii="Courier New" w:hAnsi="Courier New" w:cs="Courier New" w:hint="default"/>
      </w:rPr>
    </w:lvl>
    <w:lvl w:ilvl="2" w:tplc="86E6BFEC" w:tentative="1">
      <w:start w:val="1"/>
      <w:numFmt w:val="bullet"/>
      <w:lvlText w:val=""/>
      <w:lvlJc w:val="left"/>
      <w:pPr>
        <w:ind w:left="2160" w:hanging="360"/>
      </w:pPr>
      <w:rPr>
        <w:rFonts w:ascii="Wingdings" w:hAnsi="Wingdings" w:hint="default"/>
      </w:rPr>
    </w:lvl>
    <w:lvl w:ilvl="3" w:tplc="6F5A473A" w:tentative="1">
      <w:start w:val="1"/>
      <w:numFmt w:val="bullet"/>
      <w:lvlText w:val=""/>
      <w:lvlJc w:val="left"/>
      <w:pPr>
        <w:ind w:left="2880" w:hanging="360"/>
      </w:pPr>
      <w:rPr>
        <w:rFonts w:ascii="Symbol" w:hAnsi="Symbol" w:hint="default"/>
      </w:rPr>
    </w:lvl>
    <w:lvl w:ilvl="4" w:tplc="D3B45E7C" w:tentative="1">
      <w:start w:val="1"/>
      <w:numFmt w:val="bullet"/>
      <w:lvlText w:val="o"/>
      <w:lvlJc w:val="left"/>
      <w:pPr>
        <w:ind w:left="3600" w:hanging="360"/>
      </w:pPr>
      <w:rPr>
        <w:rFonts w:ascii="Courier New" w:hAnsi="Courier New" w:cs="Courier New" w:hint="default"/>
      </w:rPr>
    </w:lvl>
    <w:lvl w:ilvl="5" w:tplc="30F468C2" w:tentative="1">
      <w:start w:val="1"/>
      <w:numFmt w:val="bullet"/>
      <w:lvlText w:val=""/>
      <w:lvlJc w:val="left"/>
      <w:pPr>
        <w:ind w:left="4320" w:hanging="360"/>
      </w:pPr>
      <w:rPr>
        <w:rFonts w:ascii="Wingdings" w:hAnsi="Wingdings" w:hint="default"/>
      </w:rPr>
    </w:lvl>
    <w:lvl w:ilvl="6" w:tplc="73120BB6" w:tentative="1">
      <w:start w:val="1"/>
      <w:numFmt w:val="bullet"/>
      <w:lvlText w:val=""/>
      <w:lvlJc w:val="left"/>
      <w:pPr>
        <w:ind w:left="5040" w:hanging="360"/>
      </w:pPr>
      <w:rPr>
        <w:rFonts w:ascii="Symbol" w:hAnsi="Symbol" w:hint="default"/>
      </w:rPr>
    </w:lvl>
    <w:lvl w:ilvl="7" w:tplc="AE847F2A" w:tentative="1">
      <w:start w:val="1"/>
      <w:numFmt w:val="bullet"/>
      <w:lvlText w:val="o"/>
      <w:lvlJc w:val="left"/>
      <w:pPr>
        <w:ind w:left="5760" w:hanging="360"/>
      </w:pPr>
      <w:rPr>
        <w:rFonts w:ascii="Courier New" w:hAnsi="Courier New" w:cs="Courier New" w:hint="default"/>
      </w:rPr>
    </w:lvl>
    <w:lvl w:ilvl="8" w:tplc="CDA0FCE2"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1092049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Layout" w:val="&lt;ENLayout&gt;&lt;Style&gt;CET 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w222vrz0s9v5eeratvas0qpzt5eerr22zz&quot;&gt;Thèse&lt;record-ids&gt;&lt;item&gt;44&lt;/item&gt;&lt;item&gt;1011&lt;/item&gt;&lt;item&gt;1025&lt;/item&gt;&lt;item&gt;1082&lt;/item&gt;&lt;item&gt;1128&lt;/item&gt;&lt;item&gt;1234&lt;/item&gt;&lt;item&gt;1318&lt;/item&gt;&lt;item&gt;1442&lt;/item&gt;&lt;item&gt;1545&lt;/item&gt;&lt;item&gt;1546&lt;/item&gt;&lt;item&gt;1548&lt;/item&gt;&lt;item&gt;1549&lt;/item&gt;&lt;/record-ids&gt;&lt;/item&gt;&lt;/Libraries&gt;"/>
  </w:docVars>
  <w:rsids>
    <w:rsidRoot w:val="000E414A"/>
    <w:rsid w:val="000027C0"/>
    <w:rsid w:val="000052FB"/>
    <w:rsid w:val="00005A19"/>
    <w:rsid w:val="000117CB"/>
    <w:rsid w:val="0003148D"/>
    <w:rsid w:val="00031EEC"/>
    <w:rsid w:val="00032C5B"/>
    <w:rsid w:val="0003690E"/>
    <w:rsid w:val="00051566"/>
    <w:rsid w:val="000562A9"/>
    <w:rsid w:val="00062A9A"/>
    <w:rsid w:val="00065058"/>
    <w:rsid w:val="00081114"/>
    <w:rsid w:val="00086C39"/>
    <w:rsid w:val="000A03B2"/>
    <w:rsid w:val="000A22C3"/>
    <w:rsid w:val="000B04EA"/>
    <w:rsid w:val="000D0268"/>
    <w:rsid w:val="000D175C"/>
    <w:rsid w:val="000D34BE"/>
    <w:rsid w:val="000E0B3C"/>
    <w:rsid w:val="000E102F"/>
    <w:rsid w:val="000E36F1"/>
    <w:rsid w:val="000E3A73"/>
    <w:rsid w:val="000E414A"/>
    <w:rsid w:val="000E75FD"/>
    <w:rsid w:val="000F093C"/>
    <w:rsid w:val="000F787B"/>
    <w:rsid w:val="00101235"/>
    <w:rsid w:val="0011471F"/>
    <w:rsid w:val="0012091F"/>
    <w:rsid w:val="0012142B"/>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8171E"/>
    <w:rsid w:val="00184AD6"/>
    <w:rsid w:val="00190886"/>
    <w:rsid w:val="001922F6"/>
    <w:rsid w:val="001A4AF7"/>
    <w:rsid w:val="001B0349"/>
    <w:rsid w:val="001B1E93"/>
    <w:rsid w:val="001B34D9"/>
    <w:rsid w:val="001B65C1"/>
    <w:rsid w:val="001C260F"/>
    <w:rsid w:val="001C5C3A"/>
    <w:rsid w:val="001C684B"/>
    <w:rsid w:val="001D0CFB"/>
    <w:rsid w:val="001D21AF"/>
    <w:rsid w:val="001D53FC"/>
    <w:rsid w:val="001F42A5"/>
    <w:rsid w:val="001F7B9D"/>
    <w:rsid w:val="00201C93"/>
    <w:rsid w:val="0022178F"/>
    <w:rsid w:val="002224B4"/>
    <w:rsid w:val="002447EF"/>
    <w:rsid w:val="00251550"/>
    <w:rsid w:val="00263B05"/>
    <w:rsid w:val="0027221A"/>
    <w:rsid w:val="00275B61"/>
    <w:rsid w:val="00280FAF"/>
    <w:rsid w:val="00282656"/>
    <w:rsid w:val="00284740"/>
    <w:rsid w:val="002877AA"/>
    <w:rsid w:val="00296B83"/>
    <w:rsid w:val="002B1482"/>
    <w:rsid w:val="002B4015"/>
    <w:rsid w:val="002B78CE"/>
    <w:rsid w:val="002C2FB6"/>
    <w:rsid w:val="002C777E"/>
    <w:rsid w:val="002E5FA7"/>
    <w:rsid w:val="002F3309"/>
    <w:rsid w:val="002F5AE0"/>
    <w:rsid w:val="003008CE"/>
    <w:rsid w:val="003009B7"/>
    <w:rsid w:val="00300E56"/>
    <w:rsid w:val="0030152C"/>
    <w:rsid w:val="00301824"/>
    <w:rsid w:val="003026F9"/>
    <w:rsid w:val="0030469C"/>
    <w:rsid w:val="003116A3"/>
    <w:rsid w:val="00321CA6"/>
    <w:rsid w:val="00323763"/>
    <w:rsid w:val="00323C5F"/>
    <w:rsid w:val="00334800"/>
    <w:rsid w:val="00334C09"/>
    <w:rsid w:val="00353916"/>
    <w:rsid w:val="00357A92"/>
    <w:rsid w:val="00360739"/>
    <w:rsid w:val="003723D4"/>
    <w:rsid w:val="00376B38"/>
    <w:rsid w:val="00381905"/>
    <w:rsid w:val="00384CC8"/>
    <w:rsid w:val="003871FD"/>
    <w:rsid w:val="003A11D5"/>
    <w:rsid w:val="003A1E30"/>
    <w:rsid w:val="003A2829"/>
    <w:rsid w:val="003A7D1C"/>
    <w:rsid w:val="003B304B"/>
    <w:rsid w:val="003B3146"/>
    <w:rsid w:val="003B49CD"/>
    <w:rsid w:val="003C3EDB"/>
    <w:rsid w:val="003D1E02"/>
    <w:rsid w:val="003D5D19"/>
    <w:rsid w:val="003E78E5"/>
    <w:rsid w:val="003E7961"/>
    <w:rsid w:val="003F015E"/>
    <w:rsid w:val="003F1959"/>
    <w:rsid w:val="00400414"/>
    <w:rsid w:val="0041446B"/>
    <w:rsid w:val="0044071E"/>
    <w:rsid w:val="0044329C"/>
    <w:rsid w:val="00453D80"/>
    <w:rsid w:val="00453E24"/>
    <w:rsid w:val="00457456"/>
    <w:rsid w:val="004574EB"/>
    <w:rsid w:val="004577FE"/>
    <w:rsid w:val="00457B9C"/>
    <w:rsid w:val="00460C89"/>
    <w:rsid w:val="0046164A"/>
    <w:rsid w:val="004628D2"/>
    <w:rsid w:val="00462DCD"/>
    <w:rsid w:val="004648AD"/>
    <w:rsid w:val="00465FFF"/>
    <w:rsid w:val="004703A9"/>
    <w:rsid w:val="004760DE"/>
    <w:rsid w:val="004763D7"/>
    <w:rsid w:val="00486FC7"/>
    <w:rsid w:val="004A004E"/>
    <w:rsid w:val="004A24CF"/>
    <w:rsid w:val="004C3D1D"/>
    <w:rsid w:val="004C3D84"/>
    <w:rsid w:val="004C7913"/>
    <w:rsid w:val="004D4F60"/>
    <w:rsid w:val="004D6BB1"/>
    <w:rsid w:val="004E4DD6"/>
    <w:rsid w:val="004F5E36"/>
    <w:rsid w:val="00507B47"/>
    <w:rsid w:val="00507BEF"/>
    <w:rsid w:val="00507CC9"/>
    <w:rsid w:val="005119A5"/>
    <w:rsid w:val="005278B7"/>
    <w:rsid w:val="00531F3D"/>
    <w:rsid w:val="00532016"/>
    <w:rsid w:val="005346C8"/>
    <w:rsid w:val="005423E0"/>
    <w:rsid w:val="005424FC"/>
    <w:rsid w:val="00543E7D"/>
    <w:rsid w:val="00547A68"/>
    <w:rsid w:val="005531C9"/>
    <w:rsid w:val="00553BF1"/>
    <w:rsid w:val="00554879"/>
    <w:rsid w:val="00570C43"/>
    <w:rsid w:val="00573EA8"/>
    <w:rsid w:val="00576BC8"/>
    <w:rsid w:val="00592274"/>
    <w:rsid w:val="005B1BC3"/>
    <w:rsid w:val="005B2110"/>
    <w:rsid w:val="005B2F05"/>
    <w:rsid w:val="005B350B"/>
    <w:rsid w:val="005B61E6"/>
    <w:rsid w:val="005C77E1"/>
    <w:rsid w:val="005D668A"/>
    <w:rsid w:val="005D6A2F"/>
    <w:rsid w:val="005E0592"/>
    <w:rsid w:val="005E1A82"/>
    <w:rsid w:val="005E794C"/>
    <w:rsid w:val="005F0A28"/>
    <w:rsid w:val="005F0E5E"/>
    <w:rsid w:val="005F1CF4"/>
    <w:rsid w:val="00600535"/>
    <w:rsid w:val="00610CD6"/>
    <w:rsid w:val="00620DEE"/>
    <w:rsid w:val="00621F92"/>
    <w:rsid w:val="0062280A"/>
    <w:rsid w:val="006231E1"/>
    <w:rsid w:val="00625639"/>
    <w:rsid w:val="00625EEE"/>
    <w:rsid w:val="00631B33"/>
    <w:rsid w:val="0064184D"/>
    <w:rsid w:val="006422CC"/>
    <w:rsid w:val="00651D18"/>
    <w:rsid w:val="00660E3E"/>
    <w:rsid w:val="00662E74"/>
    <w:rsid w:val="00663F93"/>
    <w:rsid w:val="00677822"/>
    <w:rsid w:val="00680C23"/>
    <w:rsid w:val="0068341E"/>
    <w:rsid w:val="00683E23"/>
    <w:rsid w:val="00693766"/>
    <w:rsid w:val="0069751F"/>
    <w:rsid w:val="006A12FE"/>
    <w:rsid w:val="006A25C1"/>
    <w:rsid w:val="006A3281"/>
    <w:rsid w:val="006A6DE5"/>
    <w:rsid w:val="006B46A8"/>
    <w:rsid w:val="006B4888"/>
    <w:rsid w:val="006B546E"/>
    <w:rsid w:val="006C2E45"/>
    <w:rsid w:val="006C359C"/>
    <w:rsid w:val="006C5579"/>
    <w:rsid w:val="006D6E8B"/>
    <w:rsid w:val="006D7209"/>
    <w:rsid w:val="006E737D"/>
    <w:rsid w:val="006F6332"/>
    <w:rsid w:val="00707DD1"/>
    <w:rsid w:val="00713973"/>
    <w:rsid w:val="00720A24"/>
    <w:rsid w:val="00732386"/>
    <w:rsid w:val="0073514D"/>
    <w:rsid w:val="00742CF1"/>
    <w:rsid w:val="007447F3"/>
    <w:rsid w:val="00745537"/>
    <w:rsid w:val="00750C5D"/>
    <w:rsid w:val="0075499F"/>
    <w:rsid w:val="00765A7C"/>
    <w:rsid w:val="007661C8"/>
    <w:rsid w:val="0077098D"/>
    <w:rsid w:val="00785BF9"/>
    <w:rsid w:val="00786F76"/>
    <w:rsid w:val="00790E74"/>
    <w:rsid w:val="0079176F"/>
    <w:rsid w:val="007931FA"/>
    <w:rsid w:val="007A4861"/>
    <w:rsid w:val="007A7BBA"/>
    <w:rsid w:val="007B0C50"/>
    <w:rsid w:val="007B48F9"/>
    <w:rsid w:val="007C1A43"/>
    <w:rsid w:val="007C5307"/>
    <w:rsid w:val="007D0951"/>
    <w:rsid w:val="007D610D"/>
    <w:rsid w:val="0080013E"/>
    <w:rsid w:val="00801759"/>
    <w:rsid w:val="00813288"/>
    <w:rsid w:val="008168FC"/>
    <w:rsid w:val="00830996"/>
    <w:rsid w:val="00830A45"/>
    <w:rsid w:val="008345F1"/>
    <w:rsid w:val="00843ED6"/>
    <w:rsid w:val="00846B3B"/>
    <w:rsid w:val="00865B07"/>
    <w:rsid w:val="008667EA"/>
    <w:rsid w:val="00867739"/>
    <w:rsid w:val="008736E7"/>
    <w:rsid w:val="0087637F"/>
    <w:rsid w:val="00887C24"/>
    <w:rsid w:val="00892AD5"/>
    <w:rsid w:val="008A0DF8"/>
    <w:rsid w:val="008A1512"/>
    <w:rsid w:val="008D32B9"/>
    <w:rsid w:val="008D433B"/>
    <w:rsid w:val="008D4A16"/>
    <w:rsid w:val="008E5401"/>
    <w:rsid w:val="008E566E"/>
    <w:rsid w:val="008E70EB"/>
    <w:rsid w:val="0090161A"/>
    <w:rsid w:val="00901EB6"/>
    <w:rsid w:val="009041F8"/>
    <w:rsid w:val="00904C62"/>
    <w:rsid w:val="00905E8B"/>
    <w:rsid w:val="00922BA8"/>
    <w:rsid w:val="00924DAC"/>
    <w:rsid w:val="00927058"/>
    <w:rsid w:val="00941D49"/>
    <w:rsid w:val="00942750"/>
    <w:rsid w:val="009450CE"/>
    <w:rsid w:val="009459BB"/>
    <w:rsid w:val="00947179"/>
    <w:rsid w:val="0095164B"/>
    <w:rsid w:val="00954090"/>
    <w:rsid w:val="009543E9"/>
    <w:rsid w:val="009573E7"/>
    <w:rsid w:val="00960E48"/>
    <w:rsid w:val="00963E05"/>
    <w:rsid w:val="00964A45"/>
    <w:rsid w:val="00967843"/>
    <w:rsid w:val="00967D54"/>
    <w:rsid w:val="00971028"/>
    <w:rsid w:val="00993B84"/>
    <w:rsid w:val="00994C6A"/>
    <w:rsid w:val="00996483"/>
    <w:rsid w:val="00996F5A"/>
    <w:rsid w:val="009A3329"/>
    <w:rsid w:val="009A6C33"/>
    <w:rsid w:val="009B041A"/>
    <w:rsid w:val="009B6AB6"/>
    <w:rsid w:val="009C28F4"/>
    <w:rsid w:val="009C37C3"/>
    <w:rsid w:val="009C7C86"/>
    <w:rsid w:val="009D2FF7"/>
    <w:rsid w:val="009D4B73"/>
    <w:rsid w:val="009E7884"/>
    <w:rsid w:val="009E788A"/>
    <w:rsid w:val="009F0E08"/>
    <w:rsid w:val="00A079AE"/>
    <w:rsid w:val="00A12188"/>
    <w:rsid w:val="00A1763D"/>
    <w:rsid w:val="00A17CEC"/>
    <w:rsid w:val="00A226E2"/>
    <w:rsid w:val="00A27EF0"/>
    <w:rsid w:val="00A367FC"/>
    <w:rsid w:val="00A42361"/>
    <w:rsid w:val="00A44C84"/>
    <w:rsid w:val="00A50B20"/>
    <w:rsid w:val="00A5109F"/>
    <w:rsid w:val="00A51390"/>
    <w:rsid w:val="00A54455"/>
    <w:rsid w:val="00A60D13"/>
    <w:rsid w:val="00A7223D"/>
    <w:rsid w:val="00A72745"/>
    <w:rsid w:val="00A76EFC"/>
    <w:rsid w:val="00A87D50"/>
    <w:rsid w:val="00A91010"/>
    <w:rsid w:val="00A95080"/>
    <w:rsid w:val="00A97F29"/>
    <w:rsid w:val="00AA702E"/>
    <w:rsid w:val="00AA7D26"/>
    <w:rsid w:val="00AB0251"/>
    <w:rsid w:val="00AB0964"/>
    <w:rsid w:val="00AB144C"/>
    <w:rsid w:val="00AB3F7E"/>
    <w:rsid w:val="00AB5011"/>
    <w:rsid w:val="00AB71E6"/>
    <w:rsid w:val="00AC7368"/>
    <w:rsid w:val="00AD16B9"/>
    <w:rsid w:val="00AD2E60"/>
    <w:rsid w:val="00AE377D"/>
    <w:rsid w:val="00AF0EBA"/>
    <w:rsid w:val="00AF2463"/>
    <w:rsid w:val="00AF368F"/>
    <w:rsid w:val="00B02C8A"/>
    <w:rsid w:val="00B17FBD"/>
    <w:rsid w:val="00B22D72"/>
    <w:rsid w:val="00B315A6"/>
    <w:rsid w:val="00B31813"/>
    <w:rsid w:val="00B33365"/>
    <w:rsid w:val="00B57B36"/>
    <w:rsid w:val="00B57DC0"/>
    <w:rsid w:val="00B57E6F"/>
    <w:rsid w:val="00B7475D"/>
    <w:rsid w:val="00B8686D"/>
    <w:rsid w:val="00B93F69"/>
    <w:rsid w:val="00B968F5"/>
    <w:rsid w:val="00BA7510"/>
    <w:rsid w:val="00BB1DDC"/>
    <w:rsid w:val="00BC030A"/>
    <w:rsid w:val="00BC30C9"/>
    <w:rsid w:val="00BD077D"/>
    <w:rsid w:val="00BE3E58"/>
    <w:rsid w:val="00BF13CE"/>
    <w:rsid w:val="00C01616"/>
    <w:rsid w:val="00C0162B"/>
    <w:rsid w:val="00C068ED"/>
    <w:rsid w:val="00C22E0C"/>
    <w:rsid w:val="00C319FA"/>
    <w:rsid w:val="00C345B1"/>
    <w:rsid w:val="00C40142"/>
    <w:rsid w:val="00C5262E"/>
    <w:rsid w:val="00C52C3C"/>
    <w:rsid w:val="00C57182"/>
    <w:rsid w:val="00C57863"/>
    <w:rsid w:val="00C640AF"/>
    <w:rsid w:val="00C655FD"/>
    <w:rsid w:val="00C75407"/>
    <w:rsid w:val="00C841C6"/>
    <w:rsid w:val="00C870A8"/>
    <w:rsid w:val="00C94434"/>
    <w:rsid w:val="00C96B0A"/>
    <w:rsid w:val="00CA0D75"/>
    <w:rsid w:val="00CA1C95"/>
    <w:rsid w:val="00CA5A9C"/>
    <w:rsid w:val="00CC1377"/>
    <w:rsid w:val="00CC4C20"/>
    <w:rsid w:val="00CD3517"/>
    <w:rsid w:val="00CD5FE2"/>
    <w:rsid w:val="00CE7C68"/>
    <w:rsid w:val="00D02B4C"/>
    <w:rsid w:val="00D040C4"/>
    <w:rsid w:val="00D20AD1"/>
    <w:rsid w:val="00D21194"/>
    <w:rsid w:val="00D21A48"/>
    <w:rsid w:val="00D2582C"/>
    <w:rsid w:val="00D319C6"/>
    <w:rsid w:val="00D46B7E"/>
    <w:rsid w:val="00D57C84"/>
    <w:rsid w:val="00D6057D"/>
    <w:rsid w:val="00D70D38"/>
    <w:rsid w:val="00D713F5"/>
    <w:rsid w:val="00D71640"/>
    <w:rsid w:val="00D836C5"/>
    <w:rsid w:val="00D84576"/>
    <w:rsid w:val="00DA1399"/>
    <w:rsid w:val="00DA24C6"/>
    <w:rsid w:val="00DA4D7B"/>
    <w:rsid w:val="00DC2840"/>
    <w:rsid w:val="00DC73EE"/>
    <w:rsid w:val="00DD271C"/>
    <w:rsid w:val="00DE264A"/>
    <w:rsid w:val="00DF5072"/>
    <w:rsid w:val="00E02D18"/>
    <w:rsid w:val="00E041E7"/>
    <w:rsid w:val="00E0455B"/>
    <w:rsid w:val="00E22A54"/>
    <w:rsid w:val="00E23CA1"/>
    <w:rsid w:val="00E409A8"/>
    <w:rsid w:val="00E50C12"/>
    <w:rsid w:val="00E64B16"/>
    <w:rsid w:val="00E65B91"/>
    <w:rsid w:val="00E7209D"/>
    <w:rsid w:val="00E72EAD"/>
    <w:rsid w:val="00E77223"/>
    <w:rsid w:val="00E8528B"/>
    <w:rsid w:val="00E85B94"/>
    <w:rsid w:val="00E9327F"/>
    <w:rsid w:val="00E978D0"/>
    <w:rsid w:val="00EA4613"/>
    <w:rsid w:val="00EA7F91"/>
    <w:rsid w:val="00EB13C6"/>
    <w:rsid w:val="00EB1523"/>
    <w:rsid w:val="00EB2B36"/>
    <w:rsid w:val="00EB4287"/>
    <w:rsid w:val="00EC0E49"/>
    <w:rsid w:val="00EC101F"/>
    <w:rsid w:val="00EC1D9F"/>
    <w:rsid w:val="00ED2B75"/>
    <w:rsid w:val="00ED480A"/>
    <w:rsid w:val="00EE0131"/>
    <w:rsid w:val="00EE17B0"/>
    <w:rsid w:val="00EF06D9"/>
    <w:rsid w:val="00F27EE4"/>
    <w:rsid w:val="00F3049E"/>
    <w:rsid w:val="00F30C64"/>
    <w:rsid w:val="00F32A81"/>
    <w:rsid w:val="00F32BA2"/>
    <w:rsid w:val="00F32CDB"/>
    <w:rsid w:val="00F41EE4"/>
    <w:rsid w:val="00F427B0"/>
    <w:rsid w:val="00F53C99"/>
    <w:rsid w:val="00F550D5"/>
    <w:rsid w:val="00F565FE"/>
    <w:rsid w:val="00F63A70"/>
    <w:rsid w:val="00F63D8C"/>
    <w:rsid w:val="00F7534E"/>
    <w:rsid w:val="00F815EA"/>
    <w:rsid w:val="00F8764F"/>
    <w:rsid w:val="00F93EDF"/>
    <w:rsid w:val="00FA1802"/>
    <w:rsid w:val="00FA21D0"/>
    <w:rsid w:val="00FA5F5F"/>
    <w:rsid w:val="00FA67D7"/>
    <w:rsid w:val="00FB3A12"/>
    <w:rsid w:val="00FB6F37"/>
    <w:rsid w:val="00FB730C"/>
    <w:rsid w:val="00FC0070"/>
    <w:rsid w:val="00FC2695"/>
    <w:rsid w:val="00FC3E03"/>
    <w:rsid w:val="00FC3FC1"/>
    <w:rsid w:val="00FD59A9"/>
    <w:rsid w:val="00FE0B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0E999"/>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link w:val="CETHeading1Car"/>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830A45"/>
    <w:rPr>
      <w:color w:val="605E5C"/>
      <w:shd w:val="clear" w:color="auto" w:fill="E1DFDD"/>
    </w:rPr>
  </w:style>
  <w:style w:type="paragraph" w:customStyle="1" w:styleId="EndNoteBibliographyTitle">
    <w:name w:val="EndNote Bibliography Title"/>
    <w:basedOn w:val="Normale"/>
    <w:link w:val="EndNoteBibliographyTitleCar"/>
    <w:rsid w:val="00CC1377"/>
    <w:pPr>
      <w:jc w:val="center"/>
    </w:pPr>
    <w:rPr>
      <w:rFonts w:cs="Arial"/>
      <w:noProof/>
      <w:sz w:val="20"/>
      <w:lang w:val="en-US"/>
    </w:rPr>
  </w:style>
  <w:style w:type="character" w:customStyle="1" w:styleId="CETHeading1Car">
    <w:name w:val="CET Heading1 Car"/>
    <w:basedOn w:val="Carpredefinitoparagrafo"/>
    <w:link w:val="CETHeading1"/>
    <w:rsid w:val="00CC1377"/>
    <w:rPr>
      <w:rFonts w:ascii="Arial" w:eastAsia="Times New Roman" w:hAnsi="Arial" w:cs="Times New Roman"/>
      <w:b/>
      <w:sz w:val="20"/>
      <w:szCs w:val="20"/>
      <w:lang w:val="en-US"/>
    </w:rPr>
  </w:style>
  <w:style w:type="character" w:customStyle="1" w:styleId="EndNoteBibliographyTitleCar">
    <w:name w:val="EndNote Bibliography Title Car"/>
    <w:basedOn w:val="CETHeading1Car"/>
    <w:link w:val="EndNoteBibliographyTitle"/>
    <w:rsid w:val="00CC1377"/>
    <w:rPr>
      <w:rFonts w:ascii="Arial" w:eastAsia="Times New Roman" w:hAnsi="Arial" w:cs="Arial"/>
      <w:b w:val="0"/>
      <w:noProof/>
      <w:sz w:val="20"/>
      <w:szCs w:val="20"/>
      <w:lang w:val="en-US"/>
    </w:rPr>
  </w:style>
  <w:style w:type="paragraph" w:customStyle="1" w:styleId="EndNoteBibliography">
    <w:name w:val="EndNote Bibliography"/>
    <w:basedOn w:val="Normale"/>
    <w:link w:val="EndNoteBibliographyCar"/>
    <w:rsid w:val="00CC1377"/>
    <w:pPr>
      <w:spacing w:line="240" w:lineRule="auto"/>
      <w:jc w:val="left"/>
    </w:pPr>
    <w:rPr>
      <w:rFonts w:cs="Arial"/>
      <w:noProof/>
      <w:sz w:val="20"/>
      <w:lang w:val="en-US"/>
    </w:rPr>
  </w:style>
  <w:style w:type="character" w:customStyle="1" w:styleId="EndNoteBibliographyCar">
    <w:name w:val="EndNote Bibliography Car"/>
    <w:basedOn w:val="CETHeading1Car"/>
    <w:link w:val="EndNoteBibliography"/>
    <w:rsid w:val="00CC1377"/>
    <w:rPr>
      <w:rFonts w:ascii="Arial" w:eastAsia="Times New Roman" w:hAnsi="Arial" w:cs="Arial"/>
      <w:b w:val="0"/>
      <w:noProof/>
      <w:sz w:val="20"/>
      <w:szCs w:val="20"/>
      <w:lang w:val="en-US"/>
    </w:rPr>
  </w:style>
  <w:style w:type="paragraph" w:styleId="Revisione">
    <w:name w:val="Revision"/>
    <w:hidden/>
    <w:uiPriority w:val="99"/>
    <w:semiHidden/>
    <w:rsid w:val="00573EA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png"/><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32200</Characters>
  <Application>Microsoft Office Word</Application>
  <DocSecurity>0</DocSecurity>
  <Lines>268</Lines>
  <Paragraphs>75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2024-10-03T15:23:00Z</cp:lastPrinted>
  <dcterms:created xsi:type="dcterms:W3CDTF">2025-02-07T14:17:00Z</dcterms:created>
  <dcterms:modified xsi:type="dcterms:W3CDTF">2025-04-16T11:35:00Z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