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21842" w14:paraId="2A131A54" w14:textId="77777777" w:rsidTr="00976809">
        <w:trPr>
          <w:trHeight w:val="852"/>
          <w:jc w:val="center"/>
        </w:trPr>
        <w:tc>
          <w:tcPr>
            <w:tcW w:w="6940" w:type="dxa"/>
            <w:vMerge w:val="restart"/>
            <w:tcBorders>
              <w:right w:val="single" w:sz="4" w:space="0" w:color="auto"/>
            </w:tcBorders>
          </w:tcPr>
          <w:p w14:paraId="38C3D2BA" w14:textId="77777777" w:rsidR="000A03B2" w:rsidRPr="00D21842" w:rsidRDefault="000A03B2" w:rsidP="00DE264A">
            <w:pPr>
              <w:tabs>
                <w:tab w:val="left" w:pos="-108"/>
              </w:tabs>
              <w:ind w:left="-108"/>
              <w:jc w:val="left"/>
              <w:rPr>
                <w:rFonts w:cs="Arial"/>
                <w:b/>
                <w:bCs/>
                <w:i/>
                <w:iCs/>
                <w:color w:val="000066"/>
                <w:sz w:val="12"/>
                <w:szCs w:val="12"/>
                <w:lang w:eastAsia="it-IT"/>
              </w:rPr>
            </w:pPr>
            <w:bookmarkStart w:id="0" w:name="_Hlk145068772"/>
            <w:r w:rsidRPr="00D21842">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21842">
              <w:rPr>
                <w:rFonts w:ascii="AdvP6960" w:hAnsi="AdvP6960" w:cs="AdvP6960"/>
                <w:color w:val="241F20"/>
                <w:szCs w:val="18"/>
                <w:lang w:eastAsia="it-IT"/>
              </w:rPr>
              <w:t xml:space="preserve"> </w:t>
            </w:r>
            <w:r w:rsidRPr="00D21842">
              <w:rPr>
                <w:rFonts w:cs="Arial"/>
                <w:b/>
                <w:bCs/>
                <w:i/>
                <w:iCs/>
                <w:color w:val="000066"/>
                <w:sz w:val="24"/>
                <w:szCs w:val="24"/>
                <w:lang w:eastAsia="it-IT"/>
              </w:rPr>
              <w:t>CHEMICAL ENGINEERING</w:t>
            </w:r>
            <w:r w:rsidRPr="00D21842">
              <w:rPr>
                <w:rFonts w:cs="Arial"/>
                <w:b/>
                <w:bCs/>
                <w:i/>
                <w:iCs/>
                <w:color w:val="0033FF"/>
                <w:sz w:val="24"/>
                <w:szCs w:val="24"/>
                <w:lang w:eastAsia="it-IT"/>
              </w:rPr>
              <w:t xml:space="preserve"> </w:t>
            </w:r>
            <w:r w:rsidRPr="00D21842">
              <w:rPr>
                <w:rFonts w:cs="Arial"/>
                <w:b/>
                <w:bCs/>
                <w:i/>
                <w:iCs/>
                <w:color w:val="666666"/>
                <w:sz w:val="24"/>
                <w:szCs w:val="24"/>
                <w:lang w:eastAsia="it-IT"/>
              </w:rPr>
              <w:t>TRANSACTIONS</w:t>
            </w:r>
            <w:r w:rsidRPr="00D21842">
              <w:rPr>
                <w:color w:val="333333"/>
                <w:sz w:val="24"/>
                <w:szCs w:val="24"/>
                <w:lang w:eastAsia="it-IT"/>
              </w:rPr>
              <w:t xml:space="preserve"> </w:t>
            </w:r>
            <w:r w:rsidRPr="00D21842">
              <w:rPr>
                <w:rFonts w:cs="Arial"/>
                <w:b/>
                <w:bCs/>
                <w:i/>
                <w:iCs/>
                <w:color w:val="000066"/>
                <w:sz w:val="27"/>
                <w:szCs w:val="27"/>
                <w:lang w:eastAsia="it-IT"/>
              </w:rPr>
              <w:br/>
            </w:r>
          </w:p>
          <w:p w14:paraId="4B780582" w14:textId="47EF826C" w:rsidR="000A03B2" w:rsidRPr="00D21842" w:rsidRDefault="00A76EFC" w:rsidP="001D21AF">
            <w:pPr>
              <w:tabs>
                <w:tab w:val="left" w:pos="-108"/>
              </w:tabs>
              <w:ind w:left="-108"/>
              <w:rPr>
                <w:rFonts w:cs="Arial"/>
                <w:b/>
                <w:bCs/>
                <w:i/>
                <w:iCs/>
                <w:color w:val="000066"/>
                <w:sz w:val="22"/>
                <w:szCs w:val="22"/>
                <w:lang w:eastAsia="it-IT"/>
              </w:rPr>
            </w:pPr>
            <w:r w:rsidRPr="00D21842">
              <w:rPr>
                <w:rFonts w:cs="Arial"/>
                <w:b/>
                <w:bCs/>
                <w:i/>
                <w:iCs/>
                <w:color w:val="000066"/>
                <w:sz w:val="22"/>
                <w:szCs w:val="22"/>
                <w:lang w:eastAsia="it-IT"/>
              </w:rPr>
              <w:t>VOL.</w:t>
            </w:r>
            <w:r w:rsidR="00785BF9" w:rsidRPr="00D21842">
              <w:rPr>
                <w:rFonts w:cs="Arial"/>
                <w:b/>
                <w:bCs/>
                <w:i/>
                <w:iCs/>
                <w:color w:val="000066"/>
                <w:sz w:val="22"/>
                <w:szCs w:val="22"/>
                <w:lang w:eastAsia="it-IT"/>
              </w:rPr>
              <w:t xml:space="preserve"> </w:t>
            </w:r>
            <w:r w:rsidR="00994C6A" w:rsidRPr="00D21842">
              <w:rPr>
                <w:rFonts w:cs="Arial"/>
                <w:b/>
                <w:bCs/>
                <w:i/>
                <w:iCs/>
                <w:color w:val="000066"/>
                <w:sz w:val="22"/>
                <w:szCs w:val="22"/>
                <w:lang w:eastAsia="it-IT"/>
              </w:rPr>
              <w:t>xxx</w:t>
            </w:r>
            <w:r w:rsidR="007B48F9" w:rsidRPr="00D21842">
              <w:rPr>
                <w:rFonts w:cs="Arial"/>
                <w:b/>
                <w:bCs/>
                <w:i/>
                <w:iCs/>
                <w:color w:val="000066"/>
                <w:sz w:val="22"/>
                <w:szCs w:val="22"/>
                <w:lang w:eastAsia="it-IT"/>
              </w:rPr>
              <w:t>,</w:t>
            </w:r>
            <w:r w:rsidR="00FA5F5F" w:rsidRPr="00D21842">
              <w:rPr>
                <w:rFonts w:cs="Arial"/>
                <w:b/>
                <w:bCs/>
                <w:i/>
                <w:iCs/>
                <w:color w:val="000066"/>
                <w:sz w:val="22"/>
                <w:szCs w:val="22"/>
                <w:lang w:eastAsia="it-IT"/>
              </w:rPr>
              <w:t xml:space="preserve"> </w:t>
            </w:r>
            <w:r w:rsidR="0030152C" w:rsidRPr="00D21842">
              <w:rPr>
                <w:rFonts w:cs="Arial"/>
                <w:b/>
                <w:bCs/>
                <w:i/>
                <w:iCs/>
                <w:color w:val="000066"/>
                <w:sz w:val="22"/>
                <w:szCs w:val="22"/>
                <w:lang w:eastAsia="it-IT"/>
              </w:rPr>
              <w:t>202</w:t>
            </w:r>
            <w:r w:rsidR="00994C6A" w:rsidRPr="00D21842">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D21842" w:rsidRDefault="000A03B2" w:rsidP="00CD5FE2">
            <w:pPr>
              <w:spacing w:line="140" w:lineRule="atLeast"/>
              <w:jc w:val="right"/>
              <w:rPr>
                <w:rFonts w:cs="Arial"/>
                <w:sz w:val="14"/>
                <w:szCs w:val="14"/>
              </w:rPr>
            </w:pPr>
            <w:r w:rsidRPr="00D21842">
              <w:rPr>
                <w:rFonts w:cs="Arial"/>
                <w:sz w:val="14"/>
                <w:szCs w:val="14"/>
              </w:rPr>
              <w:t>A publication of</w:t>
            </w:r>
          </w:p>
          <w:p w14:paraId="599E5441" w14:textId="77777777" w:rsidR="000A03B2" w:rsidRPr="00D21842" w:rsidRDefault="000A03B2" w:rsidP="00CD5FE2">
            <w:pPr>
              <w:jc w:val="right"/>
            </w:pPr>
            <w:r w:rsidRPr="00D21842">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21842" w14:paraId="380FA3CD" w14:textId="77777777" w:rsidTr="00976809">
        <w:trPr>
          <w:trHeight w:val="567"/>
          <w:jc w:val="center"/>
        </w:trPr>
        <w:tc>
          <w:tcPr>
            <w:tcW w:w="6940" w:type="dxa"/>
            <w:vMerge/>
            <w:tcBorders>
              <w:right w:val="single" w:sz="4" w:space="0" w:color="auto"/>
            </w:tcBorders>
          </w:tcPr>
          <w:p w14:paraId="39E5E4C1" w14:textId="77777777" w:rsidR="000A03B2" w:rsidRPr="00D21842"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D21842" w:rsidRDefault="000A03B2" w:rsidP="00CD5FE2">
            <w:pPr>
              <w:spacing w:line="140" w:lineRule="atLeast"/>
              <w:jc w:val="right"/>
              <w:rPr>
                <w:rFonts w:cs="Arial"/>
                <w:sz w:val="14"/>
                <w:szCs w:val="14"/>
              </w:rPr>
            </w:pPr>
            <w:r w:rsidRPr="00D21842">
              <w:rPr>
                <w:rFonts w:cs="Arial"/>
                <w:sz w:val="14"/>
                <w:szCs w:val="14"/>
              </w:rPr>
              <w:t>The Italian Association</w:t>
            </w:r>
          </w:p>
          <w:p w14:paraId="7522B1D2" w14:textId="77777777" w:rsidR="000A03B2" w:rsidRPr="00D21842" w:rsidRDefault="000A03B2" w:rsidP="00CD5FE2">
            <w:pPr>
              <w:spacing w:line="140" w:lineRule="atLeast"/>
              <w:jc w:val="right"/>
              <w:rPr>
                <w:rFonts w:cs="Arial"/>
                <w:sz w:val="14"/>
                <w:szCs w:val="14"/>
              </w:rPr>
            </w:pPr>
            <w:r w:rsidRPr="00D21842">
              <w:rPr>
                <w:rFonts w:cs="Arial"/>
                <w:sz w:val="14"/>
                <w:szCs w:val="14"/>
              </w:rPr>
              <w:t>of Chemical Engineering</w:t>
            </w:r>
          </w:p>
          <w:p w14:paraId="4F0CC5DE" w14:textId="47FDB2FC" w:rsidR="000A03B2" w:rsidRPr="00D21842" w:rsidRDefault="000D0268" w:rsidP="00CD5FE2">
            <w:pPr>
              <w:spacing w:line="140" w:lineRule="atLeast"/>
              <w:jc w:val="right"/>
              <w:rPr>
                <w:rFonts w:cs="Arial"/>
                <w:sz w:val="13"/>
                <w:szCs w:val="13"/>
              </w:rPr>
            </w:pPr>
            <w:r w:rsidRPr="00D21842">
              <w:rPr>
                <w:rFonts w:cs="Arial"/>
                <w:sz w:val="13"/>
                <w:szCs w:val="13"/>
              </w:rPr>
              <w:t>Online at www.cetjournal.it</w:t>
            </w:r>
          </w:p>
        </w:tc>
      </w:tr>
      <w:tr w:rsidR="000A03B2" w:rsidRPr="00D21842" w14:paraId="2D1B7169" w14:textId="77777777" w:rsidTr="00976809">
        <w:trPr>
          <w:trHeight w:val="68"/>
          <w:jc w:val="center"/>
        </w:trPr>
        <w:tc>
          <w:tcPr>
            <w:tcW w:w="8782" w:type="dxa"/>
            <w:gridSpan w:val="2"/>
          </w:tcPr>
          <w:p w14:paraId="30F07041" w14:textId="11182ABA" w:rsidR="00F27EE4" w:rsidRPr="0038272F" w:rsidRDefault="00AA7D26" w:rsidP="00F27EE4">
            <w:pPr>
              <w:ind w:left="-107"/>
              <w:rPr>
                <w:rFonts w:ascii="Tahoma" w:hAnsi="Tahoma" w:cs="Tahoma"/>
                <w:b/>
                <w:color w:val="000000"/>
                <w:sz w:val="14"/>
                <w:szCs w:val="14"/>
                <w:shd w:val="clear" w:color="auto" w:fill="FFFFFF"/>
                <w:lang w:val="it-IT"/>
              </w:rPr>
            </w:pPr>
            <w:r w:rsidRPr="0038272F">
              <w:rPr>
                <w:rFonts w:ascii="Tahoma" w:hAnsi="Tahoma" w:cs="Tahoma"/>
                <w:color w:val="333333"/>
                <w:sz w:val="14"/>
                <w:szCs w:val="14"/>
                <w:lang w:val="it-IT" w:eastAsia="it-IT"/>
              </w:rPr>
              <w:t>Guest Editors:</w:t>
            </w:r>
            <w:r w:rsidR="007D610D" w:rsidRPr="0038272F">
              <w:rPr>
                <w:rFonts w:ascii="Aptos" w:eastAsiaTheme="minorHAnsi" w:hAnsi="Aptos" w:cs="Aptos"/>
                <w:sz w:val="22"/>
                <w:szCs w:val="22"/>
                <w:lang w:val="it-IT"/>
                <w14:ligatures w14:val="standardContextual"/>
              </w:rPr>
              <w:t xml:space="preserve"> </w:t>
            </w:r>
            <w:r w:rsidR="00F27EE4" w:rsidRPr="0038272F">
              <w:rPr>
                <w:rFonts w:ascii="Tahoma" w:hAnsi="Tahoma" w:cs="Tahoma"/>
                <w:color w:val="000000"/>
                <w:sz w:val="14"/>
                <w:szCs w:val="14"/>
                <w:shd w:val="clear" w:color="auto" w:fill="FFFFFF"/>
                <w:lang w:val="it-IT"/>
              </w:rPr>
              <w:t>Bruno Fabiano, Valerio Cozzani</w:t>
            </w:r>
          </w:p>
          <w:p w14:paraId="1B0F1814" w14:textId="2DB8A072" w:rsidR="000A03B2" w:rsidRPr="00D21842" w:rsidRDefault="00AA7D26" w:rsidP="00AA7D26">
            <w:pPr>
              <w:tabs>
                <w:tab w:val="left" w:pos="-108"/>
              </w:tabs>
              <w:spacing w:line="140" w:lineRule="atLeast"/>
              <w:ind w:left="-107"/>
              <w:jc w:val="left"/>
            </w:pPr>
            <w:r w:rsidRPr="00D21842">
              <w:rPr>
                <w:rFonts w:ascii="Tahoma" w:hAnsi="Tahoma" w:cs="Tahoma"/>
                <w:iCs/>
                <w:color w:val="333333"/>
                <w:sz w:val="14"/>
                <w:szCs w:val="14"/>
                <w:lang w:eastAsia="it-IT"/>
              </w:rPr>
              <w:t>Copyright © 202</w:t>
            </w:r>
            <w:r w:rsidR="00994C6A" w:rsidRPr="00D21842">
              <w:rPr>
                <w:rFonts w:ascii="Tahoma" w:hAnsi="Tahoma" w:cs="Tahoma"/>
                <w:iCs/>
                <w:color w:val="333333"/>
                <w:sz w:val="14"/>
                <w:szCs w:val="14"/>
                <w:lang w:eastAsia="it-IT"/>
              </w:rPr>
              <w:t>5</w:t>
            </w:r>
            <w:r w:rsidRPr="00D21842">
              <w:rPr>
                <w:rFonts w:ascii="Tahoma" w:hAnsi="Tahoma" w:cs="Tahoma"/>
                <w:iCs/>
                <w:color w:val="333333"/>
                <w:sz w:val="14"/>
                <w:szCs w:val="14"/>
                <w:lang w:eastAsia="it-IT"/>
              </w:rPr>
              <w:t>, AIDIC Servizi S.r.l.</w:t>
            </w:r>
            <w:r w:rsidRPr="00D21842">
              <w:rPr>
                <w:rFonts w:ascii="Tahoma" w:hAnsi="Tahoma" w:cs="Tahoma"/>
                <w:iCs/>
                <w:color w:val="333333"/>
                <w:sz w:val="14"/>
                <w:szCs w:val="14"/>
                <w:lang w:eastAsia="it-IT"/>
              </w:rPr>
              <w:br/>
            </w:r>
            <w:r w:rsidRPr="00D21842">
              <w:rPr>
                <w:rFonts w:ascii="Tahoma" w:hAnsi="Tahoma" w:cs="Tahoma"/>
                <w:b/>
                <w:iCs/>
                <w:color w:val="000000"/>
                <w:sz w:val="14"/>
                <w:szCs w:val="14"/>
                <w:lang w:eastAsia="it-IT"/>
              </w:rPr>
              <w:t>ISBN</w:t>
            </w:r>
            <w:r w:rsidRPr="00D21842">
              <w:rPr>
                <w:rFonts w:ascii="Tahoma" w:hAnsi="Tahoma" w:cs="Tahoma"/>
                <w:iCs/>
                <w:color w:val="000000"/>
                <w:sz w:val="14"/>
                <w:szCs w:val="14"/>
                <w:lang w:eastAsia="it-IT"/>
              </w:rPr>
              <w:t xml:space="preserve"> </w:t>
            </w:r>
            <w:r w:rsidR="003B49CD" w:rsidRPr="00D21842">
              <w:rPr>
                <w:rFonts w:ascii="Tahoma" w:hAnsi="Tahoma" w:cs="Tahoma"/>
                <w:sz w:val="14"/>
                <w:szCs w:val="14"/>
              </w:rPr>
              <w:t>979-12-81206-</w:t>
            </w:r>
            <w:r w:rsidR="00F27EE4" w:rsidRPr="00D21842">
              <w:rPr>
                <w:rFonts w:ascii="Tahoma" w:hAnsi="Tahoma" w:cs="Tahoma"/>
                <w:sz w:val="14"/>
                <w:szCs w:val="14"/>
              </w:rPr>
              <w:t>xx-y</w:t>
            </w:r>
            <w:r w:rsidRPr="00D21842">
              <w:rPr>
                <w:rFonts w:ascii="Tahoma" w:hAnsi="Tahoma" w:cs="Tahoma"/>
                <w:iCs/>
                <w:color w:val="333333"/>
                <w:sz w:val="14"/>
                <w:szCs w:val="14"/>
                <w:lang w:eastAsia="it-IT"/>
              </w:rPr>
              <w:t xml:space="preserve">; </w:t>
            </w:r>
            <w:r w:rsidRPr="00D21842">
              <w:rPr>
                <w:rFonts w:ascii="Tahoma" w:hAnsi="Tahoma" w:cs="Tahoma"/>
                <w:b/>
                <w:iCs/>
                <w:color w:val="333333"/>
                <w:sz w:val="14"/>
                <w:szCs w:val="14"/>
                <w:lang w:eastAsia="it-IT"/>
              </w:rPr>
              <w:t>ISSN</w:t>
            </w:r>
            <w:r w:rsidRPr="00D21842">
              <w:rPr>
                <w:rFonts w:ascii="Tahoma" w:hAnsi="Tahoma" w:cs="Tahoma"/>
                <w:iCs/>
                <w:color w:val="333333"/>
                <w:sz w:val="14"/>
                <w:szCs w:val="14"/>
                <w:lang w:eastAsia="it-IT"/>
              </w:rPr>
              <w:t xml:space="preserve"> 2283-9216</w:t>
            </w:r>
          </w:p>
        </w:tc>
      </w:tr>
    </w:tbl>
    <w:bookmarkEnd w:id="0"/>
    <w:p w14:paraId="2E667253" w14:textId="7D01C96D" w:rsidR="00E978D0" w:rsidRPr="00D21842" w:rsidRDefault="00976809" w:rsidP="00E978D0">
      <w:pPr>
        <w:pStyle w:val="CETTitle"/>
      </w:pPr>
      <w:r w:rsidRPr="00D21842">
        <w:t>Successful Avoiding of Risk in Doing Explosion Risk Assessment</w:t>
      </w:r>
    </w:p>
    <w:p w14:paraId="0488FED2" w14:textId="6830131A" w:rsidR="00B57E6F" w:rsidRPr="0038272F" w:rsidRDefault="00976809" w:rsidP="00B57E6F">
      <w:pPr>
        <w:pStyle w:val="CETAuthors"/>
        <w:rPr>
          <w:lang w:val="it-IT"/>
        </w:rPr>
      </w:pPr>
      <w:r w:rsidRPr="0038272F">
        <w:rPr>
          <w:lang w:val="it-IT"/>
        </w:rPr>
        <w:t>Daniel A. Zellweger</w:t>
      </w:r>
      <w:r w:rsidR="00B57E6F" w:rsidRPr="0038272F">
        <w:rPr>
          <w:vertAlign w:val="superscript"/>
          <w:lang w:val="it-IT"/>
        </w:rPr>
        <w:t>a</w:t>
      </w:r>
      <w:r w:rsidR="00B57E6F" w:rsidRPr="0038272F">
        <w:rPr>
          <w:lang w:val="it-IT"/>
        </w:rPr>
        <w:t xml:space="preserve">, </w:t>
      </w:r>
      <w:r w:rsidRPr="0038272F">
        <w:rPr>
          <w:lang w:val="it-IT"/>
        </w:rPr>
        <w:t>Marc Scheid</w:t>
      </w:r>
      <w:r w:rsidRPr="0038272F">
        <w:rPr>
          <w:vertAlign w:val="superscript"/>
          <w:lang w:val="it-IT"/>
        </w:rPr>
        <w:t>a</w:t>
      </w:r>
      <w:r w:rsidRPr="0038272F">
        <w:rPr>
          <w:lang w:val="it-IT"/>
        </w:rPr>
        <w:t>, Georg Suter</w:t>
      </w:r>
      <w:r w:rsidRPr="0038272F">
        <w:rPr>
          <w:vertAlign w:val="superscript"/>
          <w:lang w:val="it-IT"/>
        </w:rPr>
        <w:t>a</w:t>
      </w:r>
      <w:r w:rsidRPr="0038272F">
        <w:rPr>
          <w:lang w:val="it-IT"/>
        </w:rPr>
        <w:t>, Martina S. Scotton</w:t>
      </w:r>
      <w:r w:rsidRPr="0038272F">
        <w:rPr>
          <w:vertAlign w:val="superscript"/>
          <w:lang w:val="it-IT"/>
        </w:rPr>
        <w:t>a</w:t>
      </w:r>
      <w:r w:rsidR="0038272F">
        <w:rPr>
          <w:vertAlign w:val="superscript"/>
          <w:lang w:val="it-IT"/>
        </w:rPr>
        <w:t>*</w:t>
      </w:r>
    </w:p>
    <w:p w14:paraId="6B2D21B3" w14:textId="0DF4D882" w:rsidR="00B57E6F" w:rsidRPr="00D21842" w:rsidRDefault="00B57E6F" w:rsidP="00B57E6F">
      <w:pPr>
        <w:pStyle w:val="CETAddress"/>
      </w:pPr>
      <w:r w:rsidRPr="00D21842">
        <w:rPr>
          <w:vertAlign w:val="superscript"/>
        </w:rPr>
        <w:t>a</w:t>
      </w:r>
      <w:r w:rsidR="00976809" w:rsidRPr="00D21842">
        <w:t>Fire</w:t>
      </w:r>
      <w:r w:rsidR="00976809" w:rsidRPr="00D21842">
        <w:rPr>
          <w:b/>
          <w:bCs/>
          <w:i/>
          <w:iCs/>
        </w:rPr>
        <w:t>Ex</w:t>
      </w:r>
      <w:r w:rsidR="00976809" w:rsidRPr="00D21842">
        <w:t xml:space="preserve"> Consultant GmbH, Gais, Switzerland</w:t>
      </w:r>
      <w:r w:rsidRPr="00D21842">
        <w:t xml:space="preserve"> </w:t>
      </w:r>
    </w:p>
    <w:p w14:paraId="73F1267A" w14:textId="3E30C714" w:rsidR="00B57E6F" w:rsidRPr="00D21842" w:rsidRDefault="00976809" w:rsidP="00B57E6F">
      <w:pPr>
        <w:pStyle w:val="CETemail"/>
      </w:pPr>
      <w:r w:rsidRPr="00D21842">
        <w:t>*m.scotton</w:t>
      </w:r>
      <w:r w:rsidR="00B57E6F" w:rsidRPr="00D21842">
        <w:t>@</w:t>
      </w:r>
      <w:r w:rsidRPr="00D21842">
        <w:t>fireex.ch</w:t>
      </w:r>
    </w:p>
    <w:p w14:paraId="67F5836C" w14:textId="5FDAEE7A" w:rsidR="002B1A7D" w:rsidRDefault="002B1A7D" w:rsidP="00976809">
      <w:pPr>
        <w:pStyle w:val="CETBodytext"/>
        <w:rPr>
          <w:lang w:val="en-GB"/>
        </w:rPr>
      </w:pPr>
      <w:bookmarkStart w:id="1" w:name="_Hlk495475023"/>
      <w:r w:rsidRPr="00D21842">
        <w:rPr>
          <w:lang w:val="en-GB"/>
        </w:rPr>
        <w:t xml:space="preserve">The performance of explosion risk assessments and the maintenance of their currency are pivotal activities within the safety management of the process industry. The most commonly utilised </w:t>
      </w:r>
      <w:r w:rsidR="005A0B39">
        <w:rPr>
          <w:lang w:val="en-GB"/>
        </w:rPr>
        <w:t>tools</w:t>
      </w:r>
      <w:r w:rsidRPr="00D21842">
        <w:rPr>
          <w:lang w:val="en-GB"/>
        </w:rPr>
        <w:t xml:space="preserve"> for the documentation of risk assessments within the industry are word processing software and homemade spreadsheets. Given the intricate nature of the installations, the high rate of modifications, the considerable number of personnel involved, and the frequent staff changes, ensuring the currency of these documents is of paramount importance, yet also a significant challenge. It is difficult to guarantee the complete transparency of the history and version numbers of such </w:t>
      </w:r>
      <w:r w:rsidR="00D21842">
        <w:rPr>
          <w:lang w:val="en-GB"/>
        </w:rPr>
        <w:t>assessments</w:t>
      </w:r>
      <w:r w:rsidRPr="00D21842">
        <w:rPr>
          <w:lang w:val="en-GB"/>
        </w:rPr>
        <w:t xml:space="preserve"> with the tools currently in use. Furthermore, there is often no systematic management of these documents, which can result in their loss, particularly when personnel change jobs or retire. The potential consequences of this unsatisfactory situation can be catastrophic for on-site employees, leading to losses of installation, interruption of production/loss of customers as well as environmental damage. Liability issues may arise for both the operating company and the involved consultants. </w:t>
      </w:r>
    </w:p>
    <w:p w14:paraId="649C43C4" w14:textId="77777777" w:rsidR="007A2D70" w:rsidRPr="007A2D70" w:rsidRDefault="007A2D70" w:rsidP="007A2D70">
      <w:pPr>
        <w:pStyle w:val="CETBodytext"/>
        <w:rPr>
          <w:lang w:val="en-GB"/>
        </w:rPr>
      </w:pPr>
      <w:r w:rsidRPr="007A2D70">
        <w:rPr>
          <w:lang w:val="en-GB"/>
        </w:rPr>
        <w:t>This paper presents the newly developed software, FERA (</w:t>
      </w:r>
      <w:r w:rsidRPr="007A2D70">
        <w:rPr>
          <w:u w:val="single"/>
          <w:lang w:val="en-GB"/>
        </w:rPr>
        <w:t>F</w:t>
      </w:r>
      <w:r w:rsidRPr="007A2D70">
        <w:rPr>
          <w:lang w:val="en-GB"/>
        </w:rPr>
        <w:t>ire</w:t>
      </w:r>
      <w:r w:rsidRPr="007A2D70">
        <w:rPr>
          <w:b/>
          <w:bCs/>
          <w:i/>
          <w:iCs/>
          <w:u w:val="single"/>
          <w:lang w:val="en-GB"/>
        </w:rPr>
        <w:t>E</w:t>
      </w:r>
      <w:r w:rsidRPr="007A2D70">
        <w:rPr>
          <w:b/>
          <w:bCs/>
          <w:i/>
          <w:iCs/>
          <w:lang w:val="en-GB"/>
        </w:rPr>
        <w:t>x</w:t>
      </w:r>
      <w:r w:rsidRPr="007A2D70">
        <w:rPr>
          <w:lang w:val="en-GB"/>
        </w:rPr>
        <w:t xml:space="preserve"> </w:t>
      </w:r>
      <w:r w:rsidRPr="007A2D70">
        <w:rPr>
          <w:u w:val="single"/>
          <w:lang w:val="en-GB"/>
        </w:rPr>
        <w:t>R</w:t>
      </w:r>
      <w:r w:rsidRPr="007A2D70">
        <w:rPr>
          <w:lang w:val="en-GB"/>
        </w:rPr>
        <w:t xml:space="preserve">isk </w:t>
      </w:r>
      <w:r w:rsidRPr="007A2D70">
        <w:rPr>
          <w:u w:val="single"/>
          <w:lang w:val="en-GB"/>
        </w:rPr>
        <w:t>A</w:t>
      </w:r>
      <w:r w:rsidRPr="007A2D70">
        <w:rPr>
          <w:lang w:val="en-GB"/>
        </w:rPr>
        <w:t>ssessment), created by Fire</w:t>
      </w:r>
      <w:r w:rsidRPr="007A2D70">
        <w:rPr>
          <w:b/>
          <w:bCs/>
          <w:i/>
          <w:iCs/>
          <w:lang w:val="en-GB"/>
        </w:rPr>
        <w:t>Ex</w:t>
      </w:r>
      <w:r w:rsidRPr="007A2D70">
        <w:rPr>
          <w:lang w:val="en-GB"/>
        </w:rPr>
        <w:t xml:space="preserve"> Consultant GmbH. The software supports a systematic analysis of explosion risks and ensures proper documentation. </w:t>
      </w:r>
    </w:p>
    <w:bookmarkEnd w:id="1"/>
    <w:p w14:paraId="476B2F2E" w14:textId="52B36035" w:rsidR="00600535" w:rsidRPr="00D21842" w:rsidRDefault="00600535" w:rsidP="00600535">
      <w:pPr>
        <w:pStyle w:val="CETHeading1"/>
        <w:rPr>
          <w:lang w:val="en-GB"/>
        </w:rPr>
      </w:pPr>
      <w:r w:rsidRPr="00D21842">
        <w:rPr>
          <w:lang w:val="en-GB"/>
        </w:rPr>
        <w:t>Introduction</w:t>
      </w:r>
    </w:p>
    <w:p w14:paraId="456D17F1" w14:textId="33A8152D" w:rsidR="004423C6" w:rsidRDefault="002D79C3" w:rsidP="002D79C3">
      <w:pPr>
        <w:pStyle w:val="CETBodytext"/>
        <w:rPr>
          <w:lang w:val="en-GB"/>
        </w:rPr>
      </w:pPr>
      <w:r w:rsidRPr="002D79C3">
        <w:rPr>
          <w:lang w:val="en-GB"/>
        </w:rPr>
        <w:t>It is of paramount importance that industries engaged in the handling of explosible dust and gases undertake comprehensive Explosion Risk Assessments in order to ensure the safety and operational continuity of their activities</w:t>
      </w:r>
      <w:r w:rsidR="006C6599">
        <w:rPr>
          <w:lang w:val="en-GB"/>
        </w:rPr>
        <w:t xml:space="preserve"> according to the </w:t>
      </w:r>
      <w:r w:rsidR="00FE40AC">
        <w:rPr>
          <w:lang w:val="en-GB"/>
        </w:rPr>
        <w:t>requirements of</w:t>
      </w:r>
      <w:r w:rsidR="0038272F">
        <w:rPr>
          <w:lang w:val="en-GB"/>
        </w:rPr>
        <w:t xml:space="preserve"> </w:t>
      </w:r>
      <w:r w:rsidR="0038272F" w:rsidRPr="00D21842">
        <w:t xml:space="preserve">ATEX Directive 2014/34/EU </w:t>
      </w:r>
      <w:r w:rsidR="0038272F">
        <w:t xml:space="preserve">, </w:t>
      </w:r>
      <w:r w:rsidR="0038272F" w:rsidRPr="00D21842">
        <w:t xml:space="preserve">ATEX Directive 1999/92/EC </w:t>
      </w:r>
      <w:r w:rsidR="0038272F">
        <w:t xml:space="preserve">, </w:t>
      </w:r>
      <w:r w:rsidR="0038272F" w:rsidRPr="00D21842">
        <w:t>EN 1127-1:2019</w:t>
      </w:r>
      <w:r w:rsidRPr="002D79C3">
        <w:rPr>
          <w:lang w:val="en-GB"/>
        </w:rPr>
        <w:t xml:space="preserve">. The findings of the explosion risk assessment serve as the foundation for the creation of the Explosion Protection Document (EPD), which is a mandatory requirement set forth by the relevant authorities. </w:t>
      </w:r>
    </w:p>
    <w:p w14:paraId="2FDD5DA2" w14:textId="595A7E19" w:rsidR="002D79C3" w:rsidRDefault="004423C6" w:rsidP="002D79C3">
      <w:pPr>
        <w:pStyle w:val="CETBodytext"/>
      </w:pPr>
      <w:r w:rsidRPr="002D79C3">
        <w:t>The generation of an explosion risk assessment is beset with numerous challenges</w:t>
      </w:r>
      <w:r w:rsidR="5C6F41D6">
        <w:t xml:space="preserve">, listed in </w:t>
      </w:r>
      <w:r w:rsidR="00D92F9F">
        <w:fldChar w:fldCharType="begin"/>
      </w:r>
      <w:r w:rsidR="00D92F9F">
        <w:instrText xml:space="preserve"> REF _Ref182839924 \h </w:instrText>
      </w:r>
      <w:r w:rsidR="00D92F9F">
        <w:fldChar w:fldCharType="separate"/>
      </w:r>
      <w:r w:rsidR="00D92F9F" w:rsidRPr="00D21842">
        <w:t xml:space="preserve">Table </w:t>
      </w:r>
      <w:r w:rsidR="00D92F9F" w:rsidRPr="00D21842">
        <w:rPr>
          <w:noProof/>
        </w:rPr>
        <w:t>1</w:t>
      </w:r>
      <w:r w:rsidR="00D92F9F">
        <w:fldChar w:fldCharType="end"/>
      </w:r>
      <w:r w:rsidR="00D92F9F">
        <w:t>.</w:t>
      </w:r>
    </w:p>
    <w:p w14:paraId="07046AA2" w14:textId="77777777" w:rsidR="00FE40AC" w:rsidRDefault="00FE40AC" w:rsidP="002D79C3">
      <w:pPr>
        <w:pStyle w:val="CETBodytext"/>
      </w:pPr>
    </w:p>
    <w:p w14:paraId="2E7AE8AE" w14:textId="77777777" w:rsidR="00A14E74" w:rsidRPr="00D21842" w:rsidRDefault="00A14E74" w:rsidP="00A14E74">
      <w:pPr>
        <w:pStyle w:val="CETListbullets"/>
        <w:keepNext/>
        <w:ind w:left="113" w:firstLine="0"/>
      </w:pPr>
      <w:r w:rsidRPr="00D21842">
        <w:rPr>
          <w:noProof/>
        </w:rPr>
        <w:drawing>
          <wp:inline distT="0" distB="0" distL="0" distR="0" wp14:anchorId="12F0F7EB" wp14:editId="6BF42D49">
            <wp:extent cx="4776033" cy="1971923"/>
            <wp:effectExtent l="0" t="0" r="5715" b="9525"/>
            <wp:docPr id="733012894" name="Grafik 5"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12894" name="Grafik 5" descr="Ein Bild, das Text, Schrift, Screenshot, Grafiken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0094" cy="2014887"/>
                    </a:xfrm>
                    <a:prstGeom prst="rect">
                      <a:avLst/>
                    </a:prstGeom>
                    <a:noFill/>
                  </pic:spPr>
                </pic:pic>
              </a:graphicData>
            </a:graphic>
          </wp:inline>
        </w:drawing>
      </w:r>
    </w:p>
    <w:p w14:paraId="3C3D3397" w14:textId="77777777" w:rsidR="00A14E74" w:rsidRPr="00D21842" w:rsidRDefault="00A14E74" w:rsidP="00A14E74">
      <w:pPr>
        <w:pStyle w:val="CETCaption"/>
      </w:pPr>
      <w:bookmarkStart w:id="2" w:name="_Ref182840014"/>
      <w:r w:rsidRPr="00D21842">
        <w:t xml:space="preserve">Figure </w:t>
      </w:r>
      <w:r w:rsidRPr="00D21842">
        <w:fldChar w:fldCharType="begin"/>
      </w:r>
      <w:r w:rsidRPr="00D21842">
        <w:instrText xml:space="preserve"> SEQ Figure \* ARABIC </w:instrText>
      </w:r>
      <w:r w:rsidRPr="00D21842">
        <w:fldChar w:fldCharType="separate"/>
      </w:r>
      <w:r w:rsidRPr="00D21842">
        <w:rPr>
          <w:noProof/>
        </w:rPr>
        <w:t>1</w:t>
      </w:r>
      <w:r w:rsidRPr="00D21842">
        <w:fldChar w:fldCharType="end"/>
      </w:r>
      <w:bookmarkEnd w:id="2"/>
      <w:r w:rsidRPr="00D21842">
        <w:t>: Conventional approach</w:t>
      </w:r>
    </w:p>
    <w:p w14:paraId="667F59DC" w14:textId="63C60A19" w:rsidR="00F847A0" w:rsidRPr="00D21842" w:rsidRDefault="00F847A0" w:rsidP="002D79C3">
      <w:pPr>
        <w:pStyle w:val="CETTabletitle"/>
      </w:pPr>
      <w:bookmarkStart w:id="3" w:name="_Ref182839924"/>
      <w:r w:rsidRPr="00D21842">
        <w:lastRenderedPageBreak/>
        <w:t xml:space="preserve">Table </w:t>
      </w:r>
      <w:r w:rsidRPr="00D21842">
        <w:fldChar w:fldCharType="begin"/>
      </w:r>
      <w:r w:rsidRPr="00D21842">
        <w:instrText xml:space="preserve"> SEQ Table \* ARABIC </w:instrText>
      </w:r>
      <w:r w:rsidRPr="00D21842">
        <w:fldChar w:fldCharType="separate"/>
      </w:r>
      <w:r w:rsidR="00823543">
        <w:rPr>
          <w:noProof/>
        </w:rPr>
        <w:t>1</w:t>
      </w:r>
      <w:r w:rsidRPr="00D21842">
        <w:fldChar w:fldCharType="end"/>
      </w:r>
      <w:bookmarkEnd w:id="3"/>
      <w:r w:rsidRPr="00D21842">
        <w:t xml:space="preserve">: </w:t>
      </w:r>
      <w:r w:rsidR="000761D6" w:rsidRPr="00D21842">
        <w:t>Challenges in generating an Explosion Risk Assessment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66"/>
        <w:gridCol w:w="4366"/>
      </w:tblGrid>
      <w:tr w:rsidR="00997FA8" w:rsidRPr="00D21842" w14:paraId="5EBE3BA2" w14:textId="77777777" w:rsidTr="00A01031">
        <w:trPr>
          <w:trHeight w:val="314"/>
        </w:trPr>
        <w:tc>
          <w:tcPr>
            <w:tcW w:w="4366" w:type="dxa"/>
            <w:tcBorders>
              <w:top w:val="single" w:sz="12" w:space="0" w:color="008000"/>
              <w:bottom w:val="single" w:sz="6" w:space="0" w:color="008000"/>
            </w:tcBorders>
            <w:shd w:val="clear" w:color="auto" w:fill="FFFFFF"/>
          </w:tcPr>
          <w:p w14:paraId="38FC9E76" w14:textId="7A5EE086" w:rsidR="00997FA8" w:rsidRPr="007C7A77" w:rsidRDefault="00F43511" w:rsidP="00BD6CAD">
            <w:pPr>
              <w:pStyle w:val="CETBodytext"/>
              <w:rPr>
                <w:b/>
                <w:bCs/>
                <w:lang w:val="en-GB"/>
              </w:rPr>
            </w:pPr>
            <w:r w:rsidRPr="007C7A77">
              <w:rPr>
                <w:b/>
                <w:bCs/>
                <w:lang w:val="en-GB"/>
              </w:rPr>
              <w:t>Challenge:</w:t>
            </w:r>
          </w:p>
        </w:tc>
        <w:tc>
          <w:tcPr>
            <w:tcW w:w="4366" w:type="dxa"/>
            <w:tcBorders>
              <w:top w:val="single" w:sz="12" w:space="0" w:color="008000"/>
              <w:bottom w:val="single" w:sz="6" w:space="0" w:color="008000"/>
            </w:tcBorders>
            <w:shd w:val="clear" w:color="auto" w:fill="FFFFFF"/>
          </w:tcPr>
          <w:p w14:paraId="4E57DF7F" w14:textId="709684A8" w:rsidR="00997FA8" w:rsidRPr="007C7A77" w:rsidRDefault="00F43511" w:rsidP="00BD6CAD">
            <w:pPr>
              <w:pStyle w:val="CETBodytext"/>
              <w:rPr>
                <w:b/>
                <w:bCs/>
                <w:lang w:val="en-GB"/>
              </w:rPr>
            </w:pPr>
            <w:r w:rsidRPr="007C7A77">
              <w:rPr>
                <w:b/>
                <w:bCs/>
                <w:lang w:val="en-GB"/>
              </w:rPr>
              <w:t>Major question</w:t>
            </w:r>
            <w:r w:rsidR="00694265" w:rsidRPr="007C7A77">
              <w:rPr>
                <w:b/>
                <w:bCs/>
                <w:lang w:val="en-GB"/>
              </w:rPr>
              <w:t>:</w:t>
            </w:r>
          </w:p>
        </w:tc>
      </w:tr>
      <w:tr w:rsidR="00997FA8" w:rsidRPr="00D21842" w14:paraId="7A1F2DFB" w14:textId="77777777" w:rsidTr="0015234C">
        <w:trPr>
          <w:trHeight w:val="266"/>
        </w:trPr>
        <w:tc>
          <w:tcPr>
            <w:tcW w:w="4366" w:type="dxa"/>
            <w:shd w:val="clear" w:color="auto" w:fill="FFFFFF"/>
          </w:tcPr>
          <w:p w14:paraId="4302B06F" w14:textId="544C243C" w:rsidR="00997FA8" w:rsidRPr="00D21842" w:rsidRDefault="00A01031" w:rsidP="00D75818">
            <w:pPr>
              <w:pStyle w:val="CETBodytext"/>
              <w:jc w:val="left"/>
              <w:rPr>
                <w:lang w:val="en-GB"/>
              </w:rPr>
            </w:pPr>
            <w:r w:rsidRPr="00D21842">
              <w:rPr>
                <w:lang w:val="en-GB"/>
              </w:rPr>
              <w:t>Complexity of the installation </w:t>
            </w:r>
          </w:p>
        </w:tc>
        <w:tc>
          <w:tcPr>
            <w:tcW w:w="4366" w:type="dxa"/>
            <w:shd w:val="clear" w:color="auto" w:fill="FFFFFF"/>
          </w:tcPr>
          <w:p w14:paraId="59377275" w14:textId="22FA10E7" w:rsidR="00997FA8" w:rsidRPr="00D21842" w:rsidRDefault="008723AD" w:rsidP="00D75818">
            <w:pPr>
              <w:pStyle w:val="CETBodytext"/>
              <w:jc w:val="left"/>
              <w:rPr>
                <w:lang w:val="en-GB"/>
              </w:rPr>
            </w:pPr>
            <w:r w:rsidRPr="00D21842">
              <w:rPr>
                <w:lang w:val="en-GB"/>
              </w:rPr>
              <w:t>How does the installation work? </w:t>
            </w:r>
          </w:p>
        </w:tc>
      </w:tr>
      <w:tr w:rsidR="00DA56C0" w:rsidRPr="00D21842" w14:paraId="1875448E" w14:textId="77777777" w:rsidTr="00A01031">
        <w:trPr>
          <w:trHeight w:val="314"/>
        </w:trPr>
        <w:tc>
          <w:tcPr>
            <w:tcW w:w="4366" w:type="dxa"/>
            <w:shd w:val="clear" w:color="auto" w:fill="FFFFFF"/>
          </w:tcPr>
          <w:p w14:paraId="1933EF88" w14:textId="387D8E5D" w:rsidR="00DA56C0" w:rsidRPr="00D21842" w:rsidRDefault="00BF18C3" w:rsidP="00D75818">
            <w:pPr>
              <w:pStyle w:val="CETBodytext"/>
              <w:ind w:right="-1"/>
              <w:jc w:val="left"/>
              <w:rPr>
                <w:rFonts w:cs="Arial"/>
                <w:szCs w:val="18"/>
                <w:lang w:val="en-GB"/>
              </w:rPr>
            </w:pPr>
            <w:r w:rsidRPr="00D21842">
              <w:rPr>
                <w:rFonts w:cs="Arial"/>
                <w:szCs w:val="18"/>
                <w:lang w:val="en-GB"/>
              </w:rPr>
              <w:t>Modifications of the installations </w:t>
            </w:r>
          </w:p>
        </w:tc>
        <w:tc>
          <w:tcPr>
            <w:tcW w:w="4366" w:type="dxa"/>
            <w:shd w:val="clear" w:color="auto" w:fill="FFFFFF"/>
          </w:tcPr>
          <w:p w14:paraId="78790181" w14:textId="4010A77E" w:rsidR="00DA56C0" w:rsidRPr="00D21842" w:rsidRDefault="00BF18C3" w:rsidP="00D75818">
            <w:pPr>
              <w:pStyle w:val="CETBodytext"/>
              <w:ind w:right="-1"/>
              <w:jc w:val="left"/>
              <w:rPr>
                <w:rFonts w:cs="Arial"/>
                <w:szCs w:val="18"/>
                <w:lang w:val="en-GB"/>
              </w:rPr>
            </w:pPr>
            <w:r w:rsidRPr="00D21842">
              <w:rPr>
                <w:rFonts w:cs="Arial"/>
                <w:szCs w:val="18"/>
                <w:lang w:val="en-GB"/>
              </w:rPr>
              <w:t>Are the existing drawings up to date?</w:t>
            </w:r>
          </w:p>
        </w:tc>
      </w:tr>
      <w:tr w:rsidR="00BF18C3" w:rsidRPr="00D21842" w14:paraId="7233844A" w14:textId="77777777" w:rsidTr="00A01031">
        <w:trPr>
          <w:trHeight w:val="314"/>
        </w:trPr>
        <w:tc>
          <w:tcPr>
            <w:tcW w:w="4366" w:type="dxa"/>
            <w:shd w:val="clear" w:color="auto" w:fill="FFFFFF"/>
          </w:tcPr>
          <w:p w14:paraId="18F3BCD7" w14:textId="64316CB6" w:rsidR="00BF18C3" w:rsidRPr="00D21842" w:rsidRDefault="00BF18C3" w:rsidP="00D75818">
            <w:pPr>
              <w:pStyle w:val="CETBodytext"/>
              <w:ind w:right="-1"/>
              <w:jc w:val="left"/>
              <w:rPr>
                <w:rFonts w:cs="Arial"/>
                <w:szCs w:val="18"/>
                <w:lang w:val="en-GB"/>
              </w:rPr>
            </w:pPr>
            <w:r w:rsidRPr="00D21842">
              <w:rPr>
                <w:rFonts w:cs="Arial"/>
                <w:szCs w:val="18"/>
                <w:lang w:val="en-GB"/>
              </w:rPr>
              <w:t>Description and certification of the installed components</w:t>
            </w:r>
            <w:r w:rsidR="007C2C32" w:rsidRPr="00D21842">
              <w:rPr>
                <w:rFonts w:cs="Arial"/>
                <w:szCs w:val="18"/>
                <w:lang w:val="en-GB"/>
              </w:rPr>
              <w:t> </w:t>
            </w:r>
          </w:p>
        </w:tc>
        <w:tc>
          <w:tcPr>
            <w:tcW w:w="4366" w:type="dxa"/>
            <w:shd w:val="clear" w:color="auto" w:fill="FFFFFF"/>
          </w:tcPr>
          <w:p w14:paraId="59A0358F" w14:textId="6A11615A" w:rsidR="00BF18C3" w:rsidRPr="00D21842" w:rsidRDefault="00BF18C3" w:rsidP="00D75818">
            <w:pPr>
              <w:pStyle w:val="CETBodytext"/>
              <w:ind w:right="-1"/>
              <w:jc w:val="left"/>
              <w:rPr>
                <w:rFonts w:cs="Arial"/>
                <w:szCs w:val="18"/>
                <w:lang w:val="en-GB"/>
              </w:rPr>
            </w:pPr>
            <w:r w:rsidRPr="00D21842">
              <w:rPr>
                <w:rFonts w:cs="Arial"/>
                <w:szCs w:val="18"/>
                <w:lang w:val="en-GB"/>
              </w:rPr>
              <w:t>Are all necessary certificates available? </w:t>
            </w:r>
          </w:p>
        </w:tc>
      </w:tr>
      <w:tr w:rsidR="0015234C" w:rsidRPr="00D21842" w14:paraId="3A9C7707" w14:textId="77777777" w:rsidTr="00A01031">
        <w:trPr>
          <w:trHeight w:val="314"/>
        </w:trPr>
        <w:tc>
          <w:tcPr>
            <w:tcW w:w="4366" w:type="dxa"/>
            <w:shd w:val="clear" w:color="auto" w:fill="FFFFFF"/>
          </w:tcPr>
          <w:p w14:paraId="4CC081EA" w14:textId="0EFB9074" w:rsidR="0015234C" w:rsidRPr="00D21842" w:rsidRDefault="0015234C" w:rsidP="00D75818">
            <w:pPr>
              <w:pStyle w:val="CETBodytext"/>
              <w:ind w:right="-1"/>
              <w:jc w:val="left"/>
              <w:rPr>
                <w:rFonts w:cs="Arial"/>
                <w:szCs w:val="18"/>
                <w:lang w:val="en-GB"/>
              </w:rPr>
            </w:pPr>
            <w:r w:rsidRPr="00D21842">
              <w:rPr>
                <w:rFonts w:cs="Arial"/>
                <w:szCs w:val="18"/>
                <w:lang w:val="en-GB"/>
              </w:rPr>
              <w:t>Process and products </w:t>
            </w:r>
          </w:p>
        </w:tc>
        <w:tc>
          <w:tcPr>
            <w:tcW w:w="4366" w:type="dxa"/>
            <w:shd w:val="clear" w:color="auto" w:fill="FFFFFF"/>
          </w:tcPr>
          <w:p w14:paraId="30C3D45E" w14:textId="2DC41386" w:rsidR="0015234C" w:rsidRPr="00D21842" w:rsidRDefault="0015234C" w:rsidP="00D75818">
            <w:pPr>
              <w:pStyle w:val="CETBodytext"/>
              <w:ind w:right="-1"/>
              <w:jc w:val="left"/>
              <w:rPr>
                <w:rFonts w:cs="Arial"/>
                <w:szCs w:val="18"/>
                <w:lang w:val="en-GB"/>
              </w:rPr>
            </w:pPr>
            <w:r w:rsidRPr="00D21842">
              <w:rPr>
                <w:rFonts w:cs="Arial"/>
                <w:szCs w:val="18"/>
                <w:lang w:val="en-GB"/>
              </w:rPr>
              <w:t>Is there a</w:t>
            </w:r>
            <w:r w:rsidR="00FA3A34">
              <w:rPr>
                <w:rFonts w:cs="Arial"/>
                <w:szCs w:val="18"/>
                <w:lang w:val="en-GB"/>
              </w:rPr>
              <w:t>n</w:t>
            </w:r>
            <w:r w:rsidRPr="00D21842">
              <w:rPr>
                <w:rFonts w:cs="Arial"/>
                <w:szCs w:val="18"/>
                <w:lang w:val="en-GB"/>
              </w:rPr>
              <w:t xml:space="preserve"> </w:t>
            </w:r>
            <w:proofErr w:type="gramStart"/>
            <w:r w:rsidRPr="00D21842">
              <w:rPr>
                <w:rFonts w:cs="Arial"/>
                <w:szCs w:val="18"/>
                <w:lang w:val="en-GB"/>
              </w:rPr>
              <w:t>up to date</w:t>
            </w:r>
            <w:proofErr w:type="gramEnd"/>
            <w:r w:rsidRPr="00D21842">
              <w:rPr>
                <w:rFonts w:cs="Arial"/>
                <w:szCs w:val="18"/>
                <w:lang w:val="en-GB"/>
              </w:rPr>
              <w:t xml:space="preserve"> process description? </w:t>
            </w:r>
          </w:p>
          <w:p w14:paraId="1044CDEB" w14:textId="698588B3" w:rsidR="0015234C" w:rsidRPr="00D21842" w:rsidRDefault="0015234C" w:rsidP="00D75818">
            <w:pPr>
              <w:pStyle w:val="CETBodytext"/>
              <w:ind w:right="-1"/>
              <w:jc w:val="left"/>
              <w:rPr>
                <w:rFonts w:cs="Arial"/>
                <w:szCs w:val="18"/>
                <w:lang w:val="en-GB"/>
              </w:rPr>
            </w:pPr>
            <w:r w:rsidRPr="00D21842">
              <w:rPr>
                <w:rFonts w:cs="Arial"/>
                <w:szCs w:val="18"/>
                <w:lang w:val="en-GB"/>
              </w:rPr>
              <w:t>Is it clear which products can be handled with the installation (defined intended use)? </w:t>
            </w:r>
          </w:p>
        </w:tc>
      </w:tr>
      <w:tr w:rsidR="0015234C" w:rsidRPr="00D21842" w14:paraId="6C9D4388" w14:textId="77777777" w:rsidTr="00A01031">
        <w:trPr>
          <w:trHeight w:val="314"/>
        </w:trPr>
        <w:tc>
          <w:tcPr>
            <w:tcW w:w="4366" w:type="dxa"/>
            <w:shd w:val="clear" w:color="auto" w:fill="FFFFFF"/>
          </w:tcPr>
          <w:p w14:paraId="40CF3429" w14:textId="6C7CE3C6" w:rsidR="0015234C" w:rsidRPr="00D21842" w:rsidRDefault="0015234C" w:rsidP="00D75818">
            <w:pPr>
              <w:pStyle w:val="CETBodytext"/>
              <w:ind w:right="-1"/>
              <w:jc w:val="left"/>
              <w:rPr>
                <w:rFonts w:cs="Arial"/>
                <w:szCs w:val="18"/>
                <w:lang w:val="en-GB"/>
              </w:rPr>
            </w:pPr>
            <w:r w:rsidRPr="00D21842">
              <w:rPr>
                <w:rFonts w:cs="Arial"/>
                <w:szCs w:val="18"/>
                <w:lang w:val="en-GB"/>
              </w:rPr>
              <w:t>Basis of safety </w:t>
            </w:r>
          </w:p>
        </w:tc>
        <w:tc>
          <w:tcPr>
            <w:tcW w:w="4366" w:type="dxa"/>
            <w:shd w:val="clear" w:color="auto" w:fill="FFFFFF"/>
          </w:tcPr>
          <w:p w14:paraId="6810EE92" w14:textId="5D7FFB22" w:rsidR="0015234C" w:rsidRPr="00D21842" w:rsidRDefault="00D6187A" w:rsidP="00D75818">
            <w:pPr>
              <w:pStyle w:val="CETBodytext"/>
              <w:ind w:right="-1"/>
              <w:jc w:val="left"/>
              <w:rPr>
                <w:rFonts w:cs="Arial"/>
                <w:szCs w:val="18"/>
                <w:lang w:val="en-GB"/>
              </w:rPr>
            </w:pPr>
            <w:r w:rsidRPr="00D21842">
              <w:rPr>
                <w:rFonts w:cs="Arial"/>
                <w:szCs w:val="18"/>
                <w:lang w:val="en-GB"/>
              </w:rPr>
              <w:t>Is the documentation of the safety concept up to date and valid for the current process and products? </w:t>
            </w:r>
          </w:p>
        </w:tc>
      </w:tr>
      <w:tr w:rsidR="00D6187A" w:rsidRPr="00D21842" w14:paraId="5A36C6E6" w14:textId="77777777" w:rsidTr="00A01031">
        <w:trPr>
          <w:trHeight w:val="314"/>
        </w:trPr>
        <w:tc>
          <w:tcPr>
            <w:tcW w:w="4366" w:type="dxa"/>
            <w:shd w:val="clear" w:color="auto" w:fill="FFFFFF"/>
          </w:tcPr>
          <w:p w14:paraId="5ABF435C" w14:textId="29FF8919" w:rsidR="00D6187A" w:rsidRPr="00D21842" w:rsidRDefault="00D6187A" w:rsidP="00D75818">
            <w:pPr>
              <w:pStyle w:val="CETBodytext"/>
              <w:ind w:right="-1"/>
              <w:jc w:val="left"/>
              <w:rPr>
                <w:rFonts w:cs="Arial"/>
                <w:szCs w:val="18"/>
                <w:lang w:val="en-GB"/>
              </w:rPr>
            </w:pPr>
            <w:r w:rsidRPr="00D21842">
              <w:rPr>
                <w:rFonts w:cs="Arial"/>
                <w:szCs w:val="18"/>
                <w:lang w:val="en-GB"/>
              </w:rPr>
              <w:t>Project team </w:t>
            </w:r>
          </w:p>
        </w:tc>
        <w:tc>
          <w:tcPr>
            <w:tcW w:w="4366" w:type="dxa"/>
            <w:shd w:val="clear" w:color="auto" w:fill="FFFFFF"/>
          </w:tcPr>
          <w:p w14:paraId="7687FE61" w14:textId="6662C9BE" w:rsidR="00D6187A" w:rsidRPr="00D21842" w:rsidRDefault="00B570D9" w:rsidP="00D75818">
            <w:pPr>
              <w:pStyle w:val="CETBodytext"/>
              <w:ind w:right="-1"/>
              <w:jc w:val="left"/>
              <w:rPr>
                <w:rFonts w:cs="Arial"/>
                <w:szCs w:val="18"/>
                <w:lang w:val="en-GB"/>
              </w:rPr>
            </w:pPr>
            <w:r w:rsidRPr="00D21842">
              <w:rPr>
                <w:rFonts w:cs="Arial"/>
                <w:szCs w:val="18"/>
                <w:lang w:val="en-GB"/>
              </w:rPr>
              <w:t xml:space="preserve">Are all relevant </w:t>
            </w:r>
            <w:proofErr w:type="gramStart"/>
            <w:r w:rsidRPr="00D21842">
              <w:rPr>
                <w:rFonts w:cs="Arial"/>
                <w:szCs w:val="18"/>
                <w:lang w:val="en-GB"/>
              </w:rPr>
              <w:t>persons</w:t>
            </w:r>
            <w:proofErr w:type="gramEnd"/>
            <w:r w:rsidRPr="00D21842">
              <w:rPr>
                <w:rFonts w:cs="Arial"/>
                <w:szCs w:val="18"/>
                <w:lang w:val="en-GB"/>
              </w:rPr>
              <w:t xml:space="preserve"> part of the project team? How is the interaction of the team members? </w:t>
            </w:r>
          </w:p>
        </w:tc>
      </w:tr>
      <w:tr w:rsidR="00B570D9" w:rsidRPr="00D21842" w14:paraId="1C9D994C" w14:textId="77777777" w:rsidTr="00A01031">
        <w:trPr>
          <w:trHeight w:val="314"/>
        </w:trPr>
        <w:tc>
          <w:tcPr>
            <w:tcW w:w="4366" w:type="dxa"/>
            <w:shd w:val="clear" w:color="auto" w:fill="FFFFFF"/>
          </w:tcPr>
          <w:p w14:paraId="40AB38C0" w14:textId="7B3CADCE" w:rsidR="00B570D9" w:rsidRPr="00D21842" w:rsidRDefault="00B570D9" w:rsidP="00D75818">
            <w:pPr>
              <w:pStyle w:val="CETBodytext"/>
              <w:ind w:right="-1"/>
              <w:jc w:val="left"/>
              <w:rPr>
                <w:rFonts w:cs="Arial"/>
                <w:szCs w:val="18"/>
                <w:lang w:val="en-GB"/>
              </w:rPr>
            </w:pPr>
            <w:r w:rsidRPr="00D21842">
              <w:rPr>
                <w:rFonts w:cs="Arial"/>
                <w:szCs w:val="18"/>
                <w:lang w:val="en-GB"/>
              </w:rPr>
              <w:t>Project team member changes</w:t>
            </w:r>
          </w:p>
        </w:tc>
        <w:tc>
          <w:tcPr>
            <w:tcW w:w="4366" w:type="dxa"/>
            <w:shd w:val="clear" w:color="auto" w:fill="FFFFFF"/>
          </w:tcPr>
          <w:p w14:paraId="03ACF0C6" w14:textId="735BB713" w:rsidR="00B570D9" w:rsidRPr="00D21842" w:rsidRDefault="00B570D9" w:rsidP="00D75818">
            <w:pPr>
              <w:pStyle w:val="CETBodytext"/>
              <w:ind w:right="-1"/>
              <w:jc w:val="left"/>
              <w:rPr>
                <w:rFonts w:cs="Arial"/>
                <w:szCs w:val="18"/>
                <w:lang w:val="en-GB"/>
              </w:rPr>
            </w:pPr>
            <w:r w:rsidRPr="00D21842">
              <w:rPr>
                <w:rFonts w:cs="Arial"/>
                <w:szCs w:val="18"/>
                <w:lang w:val="en-GB"/>
              </w:rPr>
              <w:t>How is verified that the safety knowledge is passed from one person to the next? </w:t>
            </w:r>
          </w:p>
        </w:tc>
      </w:tr>
      <w:tr w:rsidR="00B570D9" w:rsidRPr="00D21842" w14:paraId="085FF52B" w14:textId="77777777" w:rsidTr="00A01031">
        <w:trPr>
          <w:trHeight w:val="314"/>
        </w:trPr>
        <w:tc>
          <w:tcPr>
            <w:tcW w:w="4366" w:type="dxa"/>
            <w:shd w:val="clear" w:color="auto" w:fill="FFFFFF"/>
          </w:tcPr>
          <w:p w14:paraId="6F297638" w14:textId="6E6A0AF7" w:rsidR="00B570D9" w:rsidRPr="00D21842" w:rsidRDefault="00B570D9" w:rsidP="00D75818">
            <w:pPr>
              <w:pStyle w:val="CETBodytext"/>
              <w:ind w:right="-1"/>
              <w:jc w:val="left"/>
              <w:rPr>
                <w:rFonts w:cs="Arial"/>
                <w:szCs w:val="18"/>
                <w:lang w:val="en-GB"/>
              </w:rPr>
            </w:pPr>
            <w:r w:rsidRPr="00D21842">
              <w:rPr>
                <w:rFonts w:cs="Arial"/>
                <w:szCs w:val="18"/>
                <w:lang w:val="en-GB"/>
              </w:rPr>
              <w:t>Recognizing mistakes </w:t>
            </w:r>
          </w:p>
        </w:tc>
        <w:tc>
          <w:tcPr>
            <w:tcW w:w="4366" w:type="dxa"/>
            <w:shd w:val="clear" w:color="auto" w:fill="FFFFFF"/>
          </w:tcPr>
          <w:p w14:paraId="24A92793" w14:textId="6514218D" w:rsidR="00B570D9" w:rsidRPr="00D21842" w:rsidRDefault="00B570D9" w:rsidP="00D75818">
            <w:pPr>
              <w:pStyle w:val="CETBodytext"/>
              <w:ind w:right="-1"/>
              <w:jc w:val="left"/>
              <w:rPr>
                <w:rFonts w:cs="Arial"/>
                <w:szCs w:val="18"/>
                <w:lang w:val="en-GB"/>
              </w:rPr>
            </w:pPr>
            <w:r w:rsidRPr="00D21842">
              <w:rPr>
                <w:rFonts w:cs="Arial"/>
                <w:szCs w:val="18"/>
                <w:lang w:val="en-GB"/>
              </w:rPr>
              <w:t>How is it verified that mistakes inside the risk assessment are detected and eliminated?</w:t>
            </w:r>
          </w:p>
        </w:tc>
      </w:tr>
      <w:tr w:rsidR="00B570D9" w:rsidRPr="00D21842" w14:paraId="6EE4E705" w14:textId="77777777" w:rsidTr="00A01031">
        <w:trPr>
          <w:trHeight w:val="314"/>
        </w:trPr>
        <w:tc>
          <w:tcPr>
            <w:tcW w:w="4366" w:type="dxa"/>
            <w:shd w:val="clear" w:color="auto" w:fill="FFFFFF"/>
          </w:tcPr>
          <w:p w14:paraId="0722BC31" w14:textId="7747DA54" w:rsidR="00B570D9" w:rsidRPr="00D21842" w:rsidRDefault="005F1A16" w:rsidP="00D75818">
            <w:pPr>
              <w:pStyle w:val="CETBodytext"/>
              <w:ind w:right="-1"/>
              <w:jc w:val="left"/>
              <w:rPr>
                <w:rFonts w:cs="Arial"/>
                <w:szCs w:val="18"/>
                <w:lang w:val="en-GB"/>
              </w:rPr>
            </w:pPr>
            <w:r w:rsidRPr="00D21842">
              <w:rPr>
                <w:rFonts w:cs="Arial"/>
                <w:szCs w:val="18"/>
                <w:lang w:val="en-GB"/>
              </w:rPr>
              <w:t>Liability </w:t>
            </w:r>
          </w:p>
        </w:tc>
        <w:tc>
          <w:tcPr>
            <w:tcW w:w="4366" w:type="dxa"/>
            <w:shd w:val="clear" w:color="auto" w:fill="FFFFFF"/>
          </w:tcPr>
          <w:p w14:paraId="5A9A5CBF" w14:textId="7B620804" w:rsidR="00B570D9" w:rsidRPr="00D21842" w:rsidRDefault="005F1A16" w:rsidP="00D75818">
            <w:pPr>
              <w:pStyle w:val="CETBodytext"/>
              <w:ind w:right="-1"/>
              <w:jc w:val="left"/>
              <w:rPr>
                <w:rFonts w:cs="Arial"/>
                <w:szCs w:val="18"/>
                <w:lang w:val="en-GB"/>
              </w:rPr>
            </w:pPr>
            <w:r w:rsidRPr="00D21842">
              <w:rPr>
                <w:rFonts w:cs="Arial"/>
                <w:szCs w:val="18"/>
                <w:lang w:val="en-GB"/>
              </w:rPr>
              <w:t>What happens if an accident happens? Who’s liable? </w:t>
            </w:r>
          </w:p>
        </w:tc>
      </w:tr>
      <w:tr w:rsidR="005F1A16" w:rsidRPr="00D21842" w14:paraId="37FBD513" w14:textId="77777777" w:rsidTr="00A01031">
        <w:trPr>
          <w:trHeight w:val="314"/>
        </w:trPr>
        <w:tc>
          <w:tcPr>
            <w:tcW w:w="4366" w:type="dxa"/>
            <w:shd w:val="clear" w:color="auto" w:fill="FFFFFF"/>
          </w:tcPr>
          <w:p w14:paraId="4AA40B6D" w14:textId="35226B51" w:rsidR="005F1A16" w:rsidRPr="00D21842" w:rsidRDefault="005F1A16" w:rsidP="00D75818">
            <w:pPr>
              <w:pStyle w:val="CETBodytext"/>
              <w:ind w:right="-1"/>
              <w:jc w:val="left"/>
              <w:rPr>
                <w:rFonts w:cs="Arial"/>
                <w:szCs w:val="18"/>
                <w:lang w:val="en-GB"/>
              </w:rPr>
            </w:pPr>
            <w:r w:rsidRPr="00D21842">
              <w:rPr>
                <w:rFonts w:cs="Arial"/>
                <w:szCs w:val="18"/>
                <w:lang w:val="en-GB"/>
              </w:rPr>
              <w:t>Be in line with the valid standards and laws (including regional differences) </w:t>
            </w:r>
          </w:p>
        </w:tc>
        <w:tc>
          <w:tcPr>
            <w:tcW w:w="4366" w:type="dxa"/>
            <w:shd w:val="clear" w:color="auto" w:fill="FFFFFF"/>
          </w:tcPr>
          <w:p w14:paraId="12573E40" w14:textId="35556BCB" w:rsidR="005F1A16" w:rsidRPr="00D21842" w:rsidRDefault="005F1A16" w:rsidP="00D75818">
            <w:pPr>
              <w:pStyle w:val="CETBodytext"/>
              <w:ind w:right="-1"/>
              <w:jc w:val="left"/>
              <w:rPr>
                <w:rFonts w:cs="Arial"/>
                <w:szCs w:val="18"/>
                <w:lang w:val="en-GB"/>
              </w:rPr>
            </w:pPr>
            <w:r w:rsidRPr="00D21842">
              <w:rPr>
                <w:rFonts w:cs="Arial"/>
                <w:szCs w:val="18"/>
                <w:lang w:val="en-GB"/>
              </w:rPr>
              <w:t>Who is it ensured that the involved employees are aware of changing standards? </w:t>
            </w:r>
          </w:p>
        </w:tc>
      </w:tr>
    </w:tbl>
    <w:p w14:paraId="7337F005" w14:textId="77777777" w:rsidR="00BE7DD5" w:rsidRPr="00D21842" w:rsidRDefault="00BE7DD5" w:rsidP="003F5A0A">
      <w:pPr>
        <w:pStyle w:val="CETListbullets"/>
        <w:ind w:left="113" w:firstLine="0"/>
        <w:rPr>
          <w:bCs/>
        </w:rPr>
      </w:pPr>
    </w:p>
    <w:p w14:paraId="01DFE098" w14:textId="19453CEE" w:rsidR="00472DB8" w:rsidRPr="00D21842" w:rsidRDefault="00BF788E" w:rsidP="00BF788E">
      <w:pPr>
        <w:pStyle w:val="CETListbullets"/>
        <w:ind w:left="0" w:firstLine="0"/>
        <w:rPr>
          <w:bCs/>
        </w:rPr>
      </w:pPr>
      <w:r w:rsidRPr="00BF788E">
        <w:t>The conventional approach</w:t>
      </w:r>
      <w:r w:rsidR="007933CF">
        <w:t xml:space="preserve"> as described in </w:t>
      </w:r>
      <w:r w:rsidR="001815F5">
        <w:fldChar w:fldCharType="begin"/>
      </w:r>
      <w:r w:rsidR="001815F5">
        <w:instrText xml:space="preserve"> REF _Ref182840014 \h </w:instrText>
      </w:r>
      <w:r w:rsidR="001815F5">
        <w:fldChar w:fldCharType="separate"/>
      </w:r>
      <w:r w:rsidR="001815F5" w:rsidRPr="00D21842">
        <w:t xml:space="preserve">Figure </w:t>
      </w:r>
      <w:r w:rsidR="001815F5" w:rsidRPr="00D21842">
        <w:rPr>
          <w:noProof/>
        </w:rPr>
        <w:t>1</w:t>
      </w:r>
      <w:r w:rsidR="001815F5">
        <w:fldChar w:fldCharType="end"/>
      </w:r>
      <w:r w:rsidRPr="00BF788E">
        <w:t xml:space="preserve"> relies on fundamental </w:t>
      </w:r>
      <w:r w:rsidR="00E764CE">
        <w:t>templates</w:t>
      </w:r>
      <w:r w:rsidR="000B50C7">
        <w:t xml:space="preserve"> </w:t>
      </w:r>
      <w:r w:rsidR="00F45F35">
        <w:t>prepared</w:t>
      </w:r>
      <w:r w:rsidR="000B50C7">
        <w:t xml:space="preserve"> with</w:t>
      </w:r>
      <w:r w:rsidRPr="00BF788E">
        <w:t xml:space="preserve"> word processing software and spreadsheets, for the creation and manual signing of documentation.</w:t>
      </w:r>
    </w:p>
    <w:p w14:paraId="53ACF479" w14:textId="62ED91C8" w:rsidR="00A366B9" w:rsidRPr="00A366B9" w:rsidRDefault="00A366B9" w:rsidP="00A366B9">
      <w:pPr>
        <w:pStyle w:val="CETListbullets"/>
        <w:ind w:left="0" w:firstLine="0"/>
      </w:pPr>
      <w:r w:rsidRPr="00A366B9">
        <w:t xml:space="preserve">While there are numerous advantages to this approach, there are also </w:t>
      </w:r>
      <w:r>
        <w:t>major</w:t>
      </w:r>
      <w:r w:rsidRPr="00A366B9">
        <w:t xml:space="preserve"> disadvantages that can</w:t>
      </w:r>
      <w:r w:rsidR="007D7E83">
        <w:t>not</w:t>
      </w:r>
      <w:r w:rsidRPr="00A366B9">
        <w:t xml:space="preserve"> be overlooked</w:t>
      </w:r>
      <w:r w:rsidR="00FF19C3">
        <w:t xml:space="preserve"> (see </w:t>
      </w:r>
      <w:r w:rsidR="00FF19C3">
        <w:fldChar w:fldCharType="begin"/>
      </w:r>
      <w:r w:rsidR="00FF19C3">
        <w:instrText xml:space="preserve"> REF _Ref182840066 \h </w:instrText>
      </w:r>
      <w:r w:rsidR="00FF19C3">
        <w:fldChar w:fldCharType="separate"/>
      </w:r>
      <w:r w:rsidR="00FF19C3" w:rsidRPr="00D21842">
        <w:t xml:space="preserve">Table </w:t>
      </w:r>
      <w:r w:rsidR="00FF19C3" w:rsidRPr="00D21842">
        <w:rPr>
          <w:noProof/>
        </w:rPr>
        <w:t>2</w:t>
      </w:r>
      <w:r w:rsidR="00FF19C3">
        <w:fldChar w:fldCharType="end"/>
      </w:r>
      <w:r w:rsidR="00FF19C3">
        <w:t>).</w:t>
      </w:r>
    </w:p>
    <w:p w14:paraId="70BD28E1" w14:textId="5345F970" w:rsidR="00A177DB" w:rsidRPr="00D21842" w:rsidRDefault="00A177DB" w:rsidP="00A14D6E">
      <w:pPr>
        <w:pStyle w:val="CETTabletitle"/>
      </w:pPr>
      <w:bookmarkStart w:id="4" w:name="_Ref182840066"/>
      <w:r w:rsidRPr="00D21842">
        <w:t xml:space="preserve">Table </w:t>
      </w:r>
      <w:r w:rsidRPr="00D21842">
        <w:fldChar w:fldCharType="begin"/>
      </w:r>
      <w:r w:rsidRPr="00D21842">
        <w:instrText xml:space="preserve"> SEQ Table \* ARABIC </w:instrText>
      </w:r>
      <w:r w:rsidRPr="00D21842">
        <w:fldChar w:fldCharType="separate"/>
      </w:r>
      <w:r w:rsidR="00823543">
        <w:rPr>
          <w:noProof/>
        </w:rPr>
        <w:t>2</w:t>
      </w:r>
      <w:r w:rsidRPr="00D21842">
        <w:fldChar w:fldCharType="end"/>
      </w:r>
      <w:bookmarkEnd w:id="4"/>
      <w:r w:rsidRPr="00D21842">
        <w:t xml:space="preserve">: </w:t>
      </w:r>
      <w:r w:rsidR="001A68E2" w:rsidRPr="00D21842">
        <w:t xml:space="preserve">Pro’s and </w:t>
      </w:r>
      <w:proofErr w:type="spellStart"/>
      <w:r w:rsidR="001A68E2" w:rsidRPr="00D21842">
        <w:t>Con’s</w:t>
      </w:r>
      <w:proofErr w:type="spellEnd"/>
      <w:r w:rsidR="001A68E2" w:rsidRPr="00D21842">
        <w:t xml:space="preserve"> of the c</w:t>
      </w:r>
      <w:r w:rsidRPr="00D21842">
        <w:t>onventional approach</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253"/>
        <w:gridCol w:w="4479"/>
      </w:tblGrid>
      <w:tr w:rsidR="00BD3F39" w:rsidRPr="00D21842" w14:paraId="02FD08C1" w14:textId="77777777" w:rsidTr="006C0E1B">
        <w:trPr>
          <w:trHeight w:val="314"/>
        </w:trPr>
        <w:tc>
          <w:tcPr>
            <w:tcW w:w="4253" w:type="dxa"/>
            <w:tcBorders>
              <w:top w:val="single" w:sz="12" w:space="0" w:color="008000"/>
              <w:bottom w:val="single" w:sz="6" w:space="0" w:color="008000"/>
            </w:tcBorders>
            <w:shd w:val="clear" w:color="auto" w:fill="FFFFFF"/>
          </w:tcPr>
          <w:p w14:paraId="585C6563" w14:textId="22C0C520" w:rsidR="00BD3F39" w:rsidRPr="005F370D" w:rsidRDefault="00BD3F39" w:rsidP="00BD6CAD">
            <w:pPr>
              <w:pStyle w:val="CETBodytext"/>
              <w:rPr>
                <w:b/>
                <w:bCs/>
                <w:lang w:val="en-GB"/>
              </w:rPr>
            </w:pPr>
            <w:r w:rsidRPr="005F370D">
              <w:rPr>
                <w:b/>
                <w:bCs/>
                <w:lang w:val="en-GB"/>
              </w:rPr>
              <w:t>Pro’s</w:t>
            </w:r>
          </w:p>
        </w:tc>
        <w:tc>
          <w:tcPr>
            <w:tcW w:w="4479" w:type="dxa"/>
            <w:tcBorders>
              <w:top w:val="single" w:sz="12" w:space="0" w:color="008000"/>
              <w:bottom w:val="single" w:sz="6" w:space="0" w:color="008000"/>
            </w:tcBorders>
            <w:shd w:val="clear" w:color="auto" w:fill="FFFFFF"/>
          </w:tcPr>
          <w:p w14:paraId="6BAA654C" w14:textId="35CE693D" w:rsidR="00BD3F39" w:rsidRPr="005F370D" w:rsidRDefault="00BD3F39" w:rsidP="00BD6CAD">
            <w:pPr>
              <w:pStyle w:val="CETBodytext"/>
              <w:rPr>
                <w:b/>
                <w:bCs/>
                <w:lang w:val="en-GB"/>
              </w:rPr>
            </w:pPr>
            <w:r w:rsidRPr="005F370D">
              <w:rPr>
                <w:b/>
                <w:bCs/>
                <w:lang w:val="en-GB"/>
              </w:rPr>
              <w:t>Con’s</w:t>
            </w:r>
          </w:p>
        </w:tc>
      </w:tr>
      <w:tr w:rsidR="00BD3F39" w:rsidRPr="00D21842" w14:paraId="4E5F9DCD" w14:textId="77777777" w:rsidTr="006C0E1B">
        <w:trPr>
          <w:trHeight w:val="266"/>
        </w:trPr>
        <w:tc>
          <w:tcPr>
            <w:tcW w:w="4253" w:type="dxa"/>
            <w:shd w:val="clear" w:color="auto" w:fill="FFFFFF"/>
          </w:tcPr>
          <w:p w14:paraId="3C69DD29" w14:textId="645A36A6" w:rsidR="006C0E1B" w:rsidRPr="00D21842" w:rsidRDefault="006C0E1B" w:rsidP="00446773">
            <w:pPr>
              <w:pStyle w:val="CETBodytext"/>
              <w:numPr>
                <w:ilvl w:val="0"/>
                <w:numId w:val="24"/>
              </w:numPr>
              <w:ind w:left="360"/>
              <w:jc w:val="left"/>
              <w:rPr>
                <w:lang w:val="en-GB"/>
              </w:rPr>
            </w:pPr>
            <w:r w:rsidRPr="00D21842">
              <w:rPr>
                <w:lang w:val="en-GB"/>
              </w:rPr>
              <w:t>Cheap software tool</w:t>
            </w:r>
            <w:r w:rsidR="009F6C31" w:rsidRPr="00D21842">
              <w:rPr>
                <w:lang w:val="en-GB"/>
              </w:rPr>
              <w:t>s</w:t>
            </w:r>
            <w:r w:rsidRPr="00D21842">
              <w:rPr>
                <w:lang w:val="en-GB"/>
              </w:rPr>
              <w:t> </w:t>
            </w:r>
          </w:p>
          <w:p w14:paraId="4456482F" w14:textId="77777777" w:rsidR="006C0E1B" w:rsidRPr="00D21842" w:rsidRDefault="006C0E1B" w:rsidP="00446773">
            <w:pPr>
              <w:pStyle w:val="CETBodytext"/>
              <w:numPr>
                <w:ilvl w:val="0"/>
                <w:numId w:val="25"/>
              </w:numPr>
              <w:ind w:left="360"/>
              <w:jc w:val="left"/>
              <w:rPr>
                <w:lang w:val="en-GB"/>
              </w:rPr>
            </w:pPr>
            <w:r w:rsidRPr="00D21842">
              <w:rPr>
                <w:lang w:val="en-GB"/>
              </w:rPr>
              <w:t>Everybody can handle the software </w:t>
            </w:r>
          </w:p>
          <w:p w14:paraId="3D1C0831" w14:textId="77777777" w:rsidR="006C0E1B" w:rsidRPr="00D21842" w:rsidRDefault="006C0E1B" w:rsidP="00446773">
            <w:pPr>
              <w:pStyle w:val="CETBodytext"/>
              <w:numPr>
                <w:ilvl w:val="0"/>
                <w:numId w:val="26"/>
              </w:numPr>
              <w:ind w:left="360"/>
              <w:jc w:val="left"/>
              <w:rPr>
                <w:lang w:val="en-GB"/>
              </w:rPr>
            </w:pPr>
            <w:r w:rsidRPr="00D21842">
              <w:rPr>
                <w:lang w:val="en-GB"/>
              </w:rPr>
              <w:t>Document can be easily adapted by any user </w:t>
            </w:r>
          </w:p>
          <w:p w14:paraId="777326D3" w14:textId="77777777" w:rsidR="006C0E1B" w:rsidRPr="00D21842" w:rsidRDefault="006C0E1B" w:rsidP="00446773">
            <w:pPr>
              <w:pStyle w:val="CETBodytext"/>
              <w:numPr>
                <w:ilvl w:val="0"/>
                <w:numId w:val="27"/>
              </w:numPr>
              <w:ind w:left="360"/>
              <w:jc w:val="left"/>
              <w:rPr>
                <w:lang w:val="en-GB"/>
              </w:rPr>
            </w:pPr>
            <w:r w:rsidRPr="00D21842">
              <w:rPr>
                <w:lang w:val="en-GB"/>
              </w:rPr>
              <w:t xml:space="preserve">Looks </w:t>
            </w:r>
            <w:proofErr w:type="gramStart"/>
            <w:r w:rsidRPr="00D21842">
              <w:rPr>
                <w:lang w:val="en-GB"/>
              </w:rPr>
              <w:t>simple</w:t>
            </w:r>
            <w:proofErr w:type="gramEnd"/>
            <w:r w:rsidRPr="00D21842">
              <w:rPr>
                <w:lang w:val="en-GB"/>
              </w:rPr>
              <w:t> </w:t>
            </w:r>
          </w:p>
          <w:p w14:paraId="40457635" w14:textId="3C91717F" w:rsidR="00BD3F39" w:rsidRPr="00D21842" w:rsidRDefault="00BD3F39" w:rsidP="00D75818">
            <w:pPr>
              <w:pStyle w:val="CETBodytext"/>
              <w:jc w:val="left"/>
              <w:rPr>
                <w:lang w:val="en-GB"/>
              </w:rPr>
            </w:pPr>
          </w:p>
        </w:tc>
        <w:tc>
          <w:tcPr>
            <w:tcW w:w="4479" w:type="dxa"/>
            <w:shd w:val="clear" w:color="auto" w:fill="FFFFFF"/>
          </w:tcPr>
          <w:p w14:paraId="242715A2" w14:textId="77777777" w:rsidR="006C0E1B" w:rsidRPr="00D21842" w:rsidRDefault="006C0E1B" w:rsidP="00446773">
            <w:pPr>
              <w:pStyle w:val="CETBodytext"/>
              <w:numPr>
                <w:ilvl w:val="0"/>
                <w:numId w:val="28"/>
              </w:numPr>
              <w:ind w:left="360"/>
              <w:jc w:val="left"/>
              <w:rPr>
                <w:lang w:val="en-GB"/>
              </w:rPr>
            </w:pPr>
            <w:r w:rsidRPr="00D21842">
              <w:rPr>
                <w:lang w:val="en-GB"/>
              </w:rPr>
              <w:t>No automatically logged traceability of the activities inside the document </w:t>
            </w:r>
          </w:p>
          <w:p w14:paraId="0A759EB4" w14:textId="77777777" w:rsidR="006C0E1B" w:rsidRPr="00D21842" w:rsidRDefault="006C0E1B" w:rsidP="00446773">
            <w:pPr>
              <w:pStyle w:val="CETBodytext"/>
              <w:numPr>
                <w:ilvl w:val="0"/>
                <w:numId w:val="29"/>
              </w:numPr>
              <w:ind w:left="360"/>
              <w:jc w:val="left"/>
              <w:rPr>
                <w:lang w:val="en-GB"/>
              </w:rPr>
            </w:pPr>
            <w:r w:rsidRPr="00D21842">
              <w:rPr>
                <w:lang w:val="en-GB"/>
              </w:rPr>
              <w:t>Difficult to find and eliminate mistakes </w:t>
            </w:r>
          </w:p>
          <w:p w14:paraId="5D56115E" w14:textId="77777777" w:rsidR="006C0E1B" w:rsidRPr="00D21842" w:rsidRDefault="006C0E1B" w:rsidP="00446773">
            <w:pPr>
              <w:pStyle w:val="CETBodytext"/>
              <w:numPr>
                <w:ilvl w:val="0"/>
                <w:numId w:val="30"/>
              </w:numPr>
              <w:ind w:left="360"/>
              <w:jc w:val="left"/>
              <w:rPr>
                <w:lang w:val="en-GB"/>
              </w:rPr>
            </w:pPr>
            <w:r w:rsidRPr="00D21842">
              <w:rPr>
                <w:lang w:val="en-GB"/>
              </w:rPr>
              <w:t>The structure of the document looks different from consultant to consultant </w:t>
            </w:r>
          </w:p>
          <w:p w14:paraId="49E522E8" w14:textId="77777777" w:rsidR="006C0E1B" w:rsidRPr="00D21842" w:rsidRDefault="006C0E1B" w:rsidP="00446773">
            <w:pPr>
              <w:pStyle w:val="CETBodytext"/>
              <w:numPr>
                <w:ilvl w:val="0"/>
                <w:numId w:val="31"/>
              </w:numPr>
              <w:ind w:left="360"/>
              <w:jc w:val="left"/>
              <w:rPr>
                <w:lang w:val="en-GB"/>
              </w:rPr>
            </w:pPr>
            <w:r w:rsidRPr="00D21842">
              <w:rPr>
                <w:lang w:val="en-GB"/>
              </w:rPr>
              <w:t>Expensive as existing know how is not used </w:t>
            </w:r>
          </w:p>
          <w:p w14:paraId="43D49B89" w14:textId="57304880" w:rsidR="00BD3F39" w:rsidRPr="00D21842" w:rsidRDefault="006C0E1B" w:rsidP="00446773">
            <w:pPr>
              <w:pStyle w:val="CETBodytext"/>
              <w:numPr>
                <w:ilvl w:val="0"/>
                <w:numId w:val="32"/>
              </w:numPr>
              <w:ind w:left="360"/>
              <w:jc w:val="left"/>
              <w:rPr>
                <w:lang w:val="en-GB"/>
              </w:rPr>
            </w:pPr>
            <w:r w:rsidRPr="00D21842">
              <w:rPr>
                <w:lang w:val="en-GB"/>
              </w:rPr>
              <w:t>Difficult manage the document by the operating companies</w:t>
            </w:r>
          </w:p>
        </w:tc>
      </w:tr>
    </w:tbl>
    <w:p w14:paraId="26B93521" w14:textId="77777777" w:rsidR="00BD3F39" w:rsidRDefault="00BD3F39" w:rsidP="001E5EF0">
      <w:pPr>
        <w:pStyle w:val="CETBodytext"/>
        <w:rPr>
          <w:lang w:val="en-GB"/>
        </w:rPr>
      </w:pPr>
    </w:p>
    <w:p w14:paraId="697F5137" w14:textId="09720D82" w:rsidR="00300EF9" w:rsidRPr="00300EF9" w:rsidRDefault="00300EF9" w:rsidP="00300EF9">
      <w:pPr>
        <w:pStyle w:val="CETBodytext"/>
        <w:rPr>
          <w:lang w:val="en-GB"/>
        </w:rPr>
      </w:pPr>
      <w:r w:rsidRPr="00300EF9">
        <w:rPr>
          <w:lang w:val="en-GB"/>
        </w:rPr>
        <w:t xml:space="preserve">Nevertheless, </w:t>
      </w:r>
      <w:r w:rsidR="00C76AAF">
        <w:rPr>
          <w:lang w:val="en-GB"/>
        </w:rPr>
        <w:t>the task of doing a risk assessment</w:t>
      </w:r>
      <w:r w:rsidRPr="00300EF9">
        <w:rPr>
          <w:lang w:val="en-GB"/>
        </w:rPr>
        <w:t xml:space="preserve"> presents considerable challenges, particularly as plant systems become increasingly </w:t>
      </w:r>
      <w:r>
        <w:rPr>
          <w:lang w:val="en-GB"/>
        </w:rPr>
        <w:t>complex</w:t>
      </w:r>
      <w:r w:rsidRPr="00300EF9">
        <w:rPr>
          <w:lang w:val="en-GB"/>
        </w:rPr>
        <w:t xml:space="preserve"> and the frequency of modifications increases. It is of the utmost importance to ensure the systematic and up-to-date documentation of processes and procedures in order to prevent catastrophic incidents and maintain legal compliance. </w:t>
      </w:r>
    </w:p>
    <w:p w14:paraId="545B8AD0" w14:textId="300D0066" w:rsidR="00300EF9" w:rsidRPr="00300EF9" w:rsidRDefault="00EF1824" w:rsidP="00300EF9">
      <w:pPr>
        <w:pStyle w:val="CETBodytext"/>
        <w:rPr>
          <w:lang w:val="en-GB"/>
        </w:rPr>
      </w:pPr>
      <w:r>
        <w:rPr>
          <w:lang w:val="en-GB"/>
        </w:rPr>
        <w:t xml:space="preserve">In </w:t>
      </w:r>
      <w:proofErr w:type="gramStart"/>
      <w:r>
        <w:rPr>
          <w:lang w:val="en-GB"/>
        </w:rPr>
        <w:t>addition</w:t>
      </w:r>
      <w:proofErr w:type="gramEnd"/>
      <w:r>
        <w:rPr>
          <w:lang w:val="en-GB"/>
        </w:rPr>
        <w:t xml:space="preserve"> i</w:t>
      </w:r>
      <w:r w:rsidR="00300EF9" w:rsidRPr="00300EF9">
        <w:rPr>
          <w:lang w:val="en-GB"/>
        </w:rPr>
        <w:t>t has been observed by Fire</w:t>
      </w:r>
      <w:r w:rsidR="00300EF9" w:rsidRPr="00831727">
        <w:rPr>
          <w:b/>
          <w:bCs/>
          <w:i/>
          <w:iCs/>
          <w:lang w:val="en-GB"/>
        </w:rPr>
        <w:t>Ex</w:t>
      </w:r>
      <w:r w:rsidR="00300EF9" w:rsidRPr="00300EF9">
        <w:rPr>
          <w:lang w:val="en-GB"/>
        </w:rPr>
        <w:t xml:space="preserve"> Consultant GmbH and other experts that many operating companies encounter difficulties in maintaining the currency of their explosion risk assessments and ensuring that employees receive adequate training to uphold safety standards. In the event of an explosion resulting in unexpected damage or personal injury, the plant manager is likely to be held liable due to the following factors:</w:t>
      </w:r>
    </w:p>
    <w:p w14:paraId="56E9339D" w14:textId="77777777" w:rsidR="00300EF9" w:rsidRPr="00300EF9" w:rsidRDefault="00300EF9" w:rsidP="00300EF9">
      <w:pPr>
        <w:pStyle w:val="CETBodytext"/>
        <w:numPr>
          <w:ilvl w:val="0"/>
          <w:numId w:val="47"/>
        </w:numPr>
        <w:rPr>
          <w:lang w:val="en-GB"/>
        </w:rPr>
      </w:pPr>
      <w:r w:rsidRPr="00300EF9">
        <w:rPr>
          <w:lang w:val="en-GB"/>
        </w:rPr>
        <w:t xml:space="preserve">The explosion risk assessments and explosion protection documentation are outdated and do not reflect the current installations and processes. </w:t>
      </w:r>
    </w:p>
    <w:p w14:paraId="4B6DF702" w14:textId="77777777" w:rsidR="00300EF9" w:rsidRPr="00300EF9" w:rsidRDefault="00300EF9" w:rsidP="00300EF9">
      <w:pPr>
        <w:pStyle w:val="CETBodytext"/>
        <w:numPr>
          <w:ilvl w:val="0"/>
          <w:numId w:val="47"/>
        </w:numPr>
        <w:rPr>
          <w:lang w:val="en-GB"/>
        </w:rPr>
      </w:pPr>
      <w:r w:rsidRPr="00300EF9">
        <w:rPr>
          <w:lang w:val="en-GB"/>
        </w:rPr>
        <w:t xml:space="preserve">Inadequate or absent explosion protection measures that are not properly implemented or maintained. </w:t>
      </w:r>
    </w:p>
    <w:p w14:paraId="6C134F61" w14:textId="4EFF53A7" w:rsidR="00300EF9" w:rsidRDefault="00300EF9" w:rsidP="00300EF9">
      <w:pPr>
        <w:pStyle w:val="CETBodytext"/>
        <w:rPr>
          <w:lang w:val="en-GB"/>
        </w:rPr>
      </w:pPr>
      <w:r w:rsidRPr="00300EF9">
        <w:rPr>
          <w:lang w:val="en-GB"/>
        </w:rPr>
        <w:t>It is evident, even to those without expertise in the field, that relying on standard software</w:t>
      </w:r>
      <w:r w:rsidR="00BB495E">
        <w:rPr>
          <w:lang w:val="en-GB"/>
        </w:rPr>
        <w:t xml:space="preserve"> templates</w:t>
      </w:r>
      <w:r w:rsidRPr="00300EF9">
        <w:rPr>
          <w:lang w:val="en-GB"/>
        </w:rPr>
        <w:t xml:space="preserve"> alone is inadequate for ensuring the safety and reliability of both small and large plants. The use of professional software tools is essential for achieving this.</w:t>
      </w:r>
    </w:p>
    <w:p w14:paraId="23DAF219" w14:textId="1D124665" w:rsidR="004B136E" w:rsidRPr="00D21842" w:rsidRDefault="00816349" w:rsidP="00816349">
      <w:pPr>
        <w:pStyle w:val="CETBodytext"/>
        <w:rPr>
          <w:lang w:val="en-GB"/>
        </w:rPr>
      </w:pPr>
      <w:r w:rsidRPr="00816349">
        <w:rPr>
          <w:lang w:val="en-GB"/>
        </w:rPr>
        <w:t xml:space="preserve">It is pertinent to inquire as to why </w:t>
      </w:r>
      <w:r w:rsidR="00124478">
        <w:rPr>
          <w:lang w:val="en-GB"/>
        </w:rPr>
        <w:t>prof</w:t>
      </w:r>
      <w:r w:rsidR="00855763">
        <w:rPr>
          <w:lang w:val="en-GB"/>
        </w:rPr>
        <w:t xml:space="preserve">essional </w:t>
      </w:r>
      <w:r w:rsidRPr="00816349">
        <w:rPr>
          <w:lang w:val="en-GB"/>
        </w:rPr>
        <w:t xml:space="preserve">software tools for risk assessments have not yet been widely adopted within the industry. Notwithstanding the existence of well-established multinational clients in the field of explosion risk assessment, the implementation of standardised tools remains limited within the industry. Typically, these assessments are conducted by small to medium-sized consulting firms, often relying on highly </w:t>
      </w:r>
      <w:r w:rsidRPr="00816349">
        <w:rPr>
          <w:lang w:val="en-GB"/>
        </w:rPr>
        <w:lastRenderedPageBreak/>
        <w:t>experienced individual consultants. These professionals frequently prefer their personal methodologies, which can be easily adapted in all directions, and perceive little incentive to share knowledge or standardise practices within their teams or organisations. Additionally, company leadership may hesitate to enforce standardised procedures out of concern for employee resistance. Furthermore, developing specialised</w:t>
      </w:r>
      <w:r w:rsidR="00C91115">
        <w:rPr>
          <w:lang w:val="en-GB"/>
        </w:rPr>
        <w:t xml:space="preserve"> professional</w:t>
      </w:r>
      <w:r w:rsidRPr="00816349">
        <w:rPr>
          <w:lang w:val="en-GB"/>
        </w:rPr>
        <w:t xml:space="preserve"> software solutions requires significant time and financial investment, which is often prohibitive for most consulting firms.</w:t>
      </w:r>
    </w:p>
    <w:p w14:paraId="5741900F" w14:textId="0259B3D3" w:rsidR="00453E24" w:rsidRPr="00D21842" w:rsidRDefault="00CC55FA" w:rsidP="00453E24">
      <w:pPr>
        <w:pStyle w:val="CETHeading1"/>
        <w:rPr>
          <w:lang w:val="en-GB"/>
        </w:rPr>
      </w:pPr>
      <w:r w:rsidRPr="00D21842">
        <w:rPr>
          <w:bCs/>
          <w:lang w:val="en-GB"/>
        </w:rPr>
        <w:t>Requirements to</w:t>
      </w:r>
      <w:r w:rsidR="005F52D0">
        <w:rPr>
          <w:bCs/>
          <w:lang w:val="en-GB"/>
        </w:rPr>
        <w:t xml:space="preserve"> an</w:t>
      </w:r>
      <w:r w:rsidRPr="00D21842">
        <w:rPr>
          <w:bCs/>
          <w:lang w:val="en-GB"/>
        </w:rPr>
        <w:t xml:space="preserve"> Explosion Risk Assessment Software</w:t>
      </w:r>
    </w:p>
    <w:p w14:paraId="09406386" w14:textId="25D7CCF9" w:rsidR="00453E24" w:rsidRPr="00D21842" w:rsidRDefault="008C7CAE" w:rsidP="00453E24">
      <w:pPr>
        <w:pStyle w:val="CETBodytext"/>
        <w:rPr>
          <w:lang w:val="en-GB"/>
        </w:rPr>
      </w:pPr>
      <w:r w:rsidRPr="00D21842">
        <w:rPr>
          <w:lang w:val="en-GB"/>
        </w:rPr>
        <w:t>Deriving from the current challenges, the following requirements</w:t>
      </w:r>
      <w:r w:rsidR="001F6D4F">
        <w:rPr>
          <w:lang w:val="en-GB"/>
        </w:rPr>
        <w:t xml:space="preserve">, listed in </w:t>
      </w:r>
      <w:r w:rsidR="001F6D4F">
        <w:rPr>
          <w:lang w:val="en-GB"/>
        </w:rPr>
        <w:fldChar w:fldCharType="begin"/>
      </w:r>
      <w:r w:rsidR="001F6D4F">
        <w:rPr>
          <w:lang w:val="en-GB"/>
        </w:rPr>
        <w:instrText xml:space="preserve"> REF _Ref182840246 \h </w:instrText>
      </w:r>
      <w:r w:rsidR="001F6D4F">
        <w:rPr>
          <w:lang w:val="en-GB"/>
        </w:rPr>
      </w:r>
      <w:r w:rsidR="001F6D4F">
        <w:rPr>
          <w:lang w:val="en-GB"/>
        </w:rPr>
        <w:fldChar w:fldCharType="separate"/>
      </w:r>
      <w:r w:rsidR="001F6D4F" w:rsidRPr="00940D30">
        <w:t xml:space="preserve">Table </w:t>
      </w:r>
      <w:r w:rsidR="001F6D4F" w:rsidRPr="00940D30">
        <w:rPr>
          <w:noProof/>
        </w:rPr>
        <w:t>3</w:t>
      </w:r>
      <w:r w:rsidR="001F6D4F">
        <w:rPr>
          <w:lang w:val="en-GB"/>
        </w:rPr>
        <w:fldChar w:fldCharType="end"/>
      </w:r>
      <w:r w:rsidR="001F6D4F">
        <w:rPr>
          <w:lang w:val="en-GB"/>
        </w:rPr>
        <w:t>,</w:t>
      </w:r>
      <w:r w:rsidRPr="00D21842">
        <w:rPr>
          <w:lang w:val="en-GB"/>
        </w:rPr>
        <w:t xml:space="preserve"> results:</w:t>
      </w:r>
    </w:p>
    <w:p w14:paraId="03F3AB43" w14:textId="0CC26939" w:rsidR="009E0434" w:rsidRPr="00D21842" w:rsidRDefault="009E0434" w:rsidP="009E0434">
      <w:pPr>
        <w:pStyle w:val="CETTabletitle"/>
      </w:pPr>
      <w:bookmarkStart w:id="5" w:name="_Ref182840246"/>
      <w:r w:rsidRPr="00940D30">
        <w:t xml:space="preserve">Table </w:t>
      </w:r>
      <w:r w:rsidRPr="00940D30">
        <w:fldChar w:fldCharType="begin"/>
      </w:r>
      <w:r w:rsidRPr="00940D30">
        <w:instrText xml:space="preserve"> SEQ Table \* ARABIC </w:instrText>
      </w:r>
      <w:r w:rsidRPr="00940D30">
        <w:fldChar w:fldCharType="separate"/>
      </w:r>
      <w:r w:rsidR="00823543">
        <w:rPr>
          <w:noProof/>
        </w:rPr>
        <w:t>3</w:t>
      </w:r>
      <w:r w:rsidRPr="00940D30">
        <w:fldChar w:fldCharType="end"/>
      </w:r>
      <w:bookmarkEnd w:id="5"/>
      <w:r w:rsidRPr="00940D30">
        <w:t xml:space="preserve">: </w:t>
      </w:r>
      <w:r w:rsidR="00831727" w:rsidRPr="00940D30">
        <w:t xml:space="preserve">Requirement to </w:t>
      </w:r>
      <w:r w:rsidR="005F52D0" w:rsidRPr="00940D30">
        <w:t>an Explosion Risk Assessment software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253"/>
        <w:gridCol w:w="4479"/>
      </w:tblGrid>
      <w:tr w:rsidR="008C7CAE" w:rsidRPr="00D21842" w14:paraId="5E02D3D6" w14:textId="77777777" w:rsidTr="00BD6CAD">
        <w:trPr>
          <w:trHeight w:val="314"/>
        </w:trPr>
        <w:tc>
          <w:tcPr>
            <w:tcW w:w="4253" w:type="dxa"/>
            <w:tcBorders>
              <w:top w:val="single" w:sz="12" w:space="0" w:color="008000"/>
              <w:bottom w:val="single" w:sz="6" w:space="0" w:color="008000"/>
            </w:tcBorders>
            <w:shd w:val="clear" w:color="auto" w:fill="FFFFFF"/>
          </w:tcPr>
          <w:p w14:paraId="16378CB8" w14:textId="17C62714" w:rsidR="008C7CAE" w:rsidRPr="00940D30" w:rsidRDefault="00BE49FE" w:rsidP="00BD6CAD">
            <w:pPr>
              <w:pStyle w:val="CETBodytext"/>
              <w:rPr>
                <w:b/>
                <w:bCs/>
                <w:highlight w:val="yellow"/>
                <w:lang w:val="en-GB"/>
              </w:rPr>
            </w:pPr>
            <w:r w:rsidRPr="00940D30">
              <w:rPr>
                <w:b/>
                <w:bCs/>
                <w:lang w:val="en-GB"/>
              </w:rPr>
              <w:t>Challenge</w:t>
            </w:r>
          </w:p>
        </w:tc>
        <w:tc>
          <w:tcPr>
            <w:tcW w:w="4479" w:type="dxa"/>
            <w:tcBorders>
              <w:top w:val="single" w:sz="12" w:space="0" w:color="008000"/>
              <w:bottom w:val="single" w:sz="6" w:space="0" w:color="008000"/>
            </w:tcBorders>
            <w:shd w:val="clear" w:color="auto" w:fill="FFFFFF"/>
          </w:tcPr>
          <w:p w14:paraId="6C1E35CC" w14:textId="68A3235F" w:rsidR="008C7CAE" w:rsidRPr="00940D30" w:rsidRDefault="00BE49FE" w:rsidP="00BD6CAD">
            <w:pPr>
              <w:pStyle w:val="CETBodytext"/>
              <w:rPr>
                <w:b/>
                <w:bCs/>
                <w:lang w:val="en-GB"/>
              </w:rPr>
            </w:pPr>
            <w:r w:rsidRPr="00940D30">
              <w:rPr>
                <w:b/>
                <w:bCs/>
                <w:lang w:val="en-GB"/>
              </w:rPr>
              <w:t>Requirements</w:t>
            </w:r>
          </w:p>
        </w:tc>
      </w:tr>
      <w:tr w:rsidR="008C7CAE" w:rsidRPr="00D21842" w14:paraId="7128B525" w14:textId="77777777" w:rsidTr="00BE49FE">
        <w:trPr>
          <w:trHeight w:val="502"/>
        </w:trPr>
        <w:tc>
          <w:tcPr>
            <w:tcW w:w="4253" w:type="dxa"/>
            <w:shd w:val="clear" w:color="auto" w:fill="FFFFFF"/>
          </w:tcPr>
          <w:p w14:paraId="7198B905" w14:textId="6EEECF43" w:rsidR="008C7CAE" w:rsidRPr="00D21842" w:rsidRDefault="00DD1F35" w:rsidP="00BD6CAD">
            <w:pPr>
              <w:pStyle w:val="CETBodytext"/>
              <w:jc w:val="left"/>
              <w:rPr>
                <w:lang w:val="en-GB"/>
              </w:rPr>
            </w:pPr>
            <w:r w:rsidRPr="00D21842">
              <w:rPr>
                <w:lang w:val="en-GB"/>
              </w:rPr>
              <w:t>Complexity of the installation</w:t>
            </w:r>
          </w:p>
        </w:tc>
        <w:tc>
          <w:tcPr>
            <w:tcW w:w="4479" w:type="dxa"/>
            <w:shd w:val="clear" w:color="auto" w:fill="FFFFFF"/>
          </w:tcPr>
          <w:p w14:paraId="72B05138" w14:textId="6FBE0556" w:rsidR="008C7CAE" w:rsidRPr="00D21842" w:rsidRDefault="00DD1F35" w:rsidP="00A1179F">
            <w:pPr>
              <w:pStyle w:val="CETBodytext"/>
              <w:ind w:left="2"/>
              <w:jc w:val="left"/>
              <w:rPr>
                <w:lang w:val="en-GB"/>
              </w:rPr>
            </w:pPr>
            <w:r w:rsidRPr="00D21842">
              <w:rPr>
                <w:lang w:val="en-GB"/>
              </w:rPr>
              <w:t>All installations must be displayed in an easy way (upload of drawings)</w:t>
            </w:r>
            <w:r w:rsidR="00D23D0E">
              <w:rPr>
                <w:lang w:val="en-GB"/>
              </w:rPr>
              <w:t>.</w:t>
            </w:r>
          </w:p>
        </w:tc>
      </w:tr>
      <w:tr w:rsidR="00DD1F35" w:rsidRPr="00D21842" w14:paraId="6E876E88" w14:textId="77777777" w:rsidTr="00BE49FE">
        <w:trPr>
          <w:trHeight w:val="425"/>
        </w:trPr>
        <w:tc>
          <w:tcPr>
            <w:tcW w:w="4253" w:type="dxa"/>
            <w:shd w:val="clear" w:color="auto" w:fill="FFFFFF"/>
          </w:tcPr>
          <w:p w14:paraId="2EF6FA26" w14:textId="4AE357A0" w:rsidR="00DD1F35" w:rsidRPr="00D21842" w:rsidRDefault="00DD1F35" w:rsidP="00BD6CAD">
            <w:pPr>
              <w:pStyle w:val="CETBodytext"/>
              <w:jc w:val="left"/>
              <w:rPr>
                <w:lang w:val="en-GB"/>
              </w:rPr>
            </w:pPr>
            <w:r w:rsidRPr="00D21842">
              <w:rPr>
                <w:lang w:val="en-GB"/>
              </w:rPr>
              <w:t>Modifications of the installations </w:t>
            </w:r>
          </w:p>
        </w:tc>
        <w:tc>
          <w:tcPr>
            <w:tcW w:w="4479" w:type="dxa"/>
            <w:shd w:val="clear" w:color="auto" w:fill="FFFFFF"/>
          </w:tcPr>
          <w:p w14:paraId="53E7612A" w14:textId="38C9826A" w:rsidR="00DD1F35" w:rsidRPr="00D21842" w:rsidRDefault="00DD1F35" w:rsidP="00A1179F">
            <w:pPr>
              <w:pStyle w:val="CETBodytext"/>
              <w:ind w:left="2"/>
              <w:jc w:val="left"/>
              <w:rPr>
                <w:lang w:val="en-GB"/>
              </w:rPr>
            </w:pPr>
            <w:r w:rsidRPr="00D21842">
              <w:rPr>
                <w:lang w:val="en-GB"/>
              </w:rPr>
              <w:t>Modifications of an installation must be easy and clearly marked</w:t>
            </w:r>
            <w:r w:rsidR="00D23D0E">
              <w:rPr>
                <w:lang w:val="en-GB"/>
              </w:rPr>
              <w:t>.</w:t>
            </w:r>
          </w:p>
        </w:tc>
      </w:tr>
      <w:tr w:rsidR="00DD1F35" w:rsidRPr="00D21842" w14:paraId="38584812" w14:textId="77777777" w:rsidTr="00BE49FE">
        <w:trPr>
          <w:trHeight w:val="403"/>
        </w:trPr>
        <w:tc>
          <w:tcPr>
            <w:tcW w:w="4253" w:type="dxa"/>
            <w:shd w:val="clear" w:color="auto" w:fill="FFFFFF"/>
          </w:tcPr>
          <w:p w14:paraId="02EAE8CC" w14:textId="46CBAB5F" w:rsidR="00DD1F35" w:rsidRPr="00D21842" w:rsidRDefault="00C6014A" w:rsidP="00BD6CAD">
            <w:pPr>
              <w:pStyle w:val="CETBodytext"/>
              <w:jc w:val="left"/>
              <w:rPr>
                <w:lang w:val="en-GB"/>
              </w:rPr>
            </w:pPr>
            <w:r w:rsidRPr="00D21842">
              <w:rPr>
                <w:lang w:val="en-GB"/>
              </w:rPr>
              <w:t>Description and certification of the installed components </w:t>
            </w:r>
          </w:p>
        </w:tc>
        <w:tc>
          <w:tcPr>
            <w:tcW w:w="4479" w:type="dxa"/>
            <w:shd w:val="clear" w:color="auto" w:fill="FFFFFF"/>
          </w:tcPr>
          <w:p w14:paraId="08F19E73" w14:textId="259CF766" w:rsidR="00DD1F35" w:rsidRPr="00D21842" w:rsidRDefault="00C6014A" w:rsidP="00A1179F">
            <w:pPr>
              <w:pStyle w:val="CETBodytext"/>
              <w:ind w:left="2"/>
              <w:jc w:val="left"/>
              <w:rPr>
                <w:lang w:val="en-GB"/>
              </w:rPr>
            </w:pPr>
            <w:r w:rsidRPr="00D21842">
              <w:rPr>
                <w:lang w:val="en-GB"/>
              </w:rPr>
              <w:t>The installed components must be well defined including the available certification</w:t>
            </w:r>
            <w:r w:rsidR="00D23D0E">
              <w:rPr>
                <w:lang w:val="en-GB"/>
              </w:rPr>
              <w:t>.</w:t>
            </w:r>
          </w:p>
        </w:tc>
      </w:tr>
      <w:tr w:rsidR="00C6014A" w:rsidRPr="00D21842" w14:paraId="0CBBD444" w14:textId="77777777" w:rsidTr="00BE49FE">
        <w:trPr>
          <w:trHeight w:val="935"/>
        </w:trPr>
        <w:tc>
          <w:tcPr>
            <w:tcW w:w="4253" w:type="dxa"/>
            <w:shd w:val="clear" w:color="auto" w:fill="FFFFFF"/>
          </w:tcPr>
          <w:p w14:paraId="0F9F8784" w14:textId="172AF15B" w:rsidR="00C6014A" w:rsidRPr="00D21842" w:rsidRDefault="00C6014A" w:rsidP="00BD6CAD">
            <w:pPr>
              <w:pStyle w:val="CETBodytext"/>
              <w:jc w:val="left"/>
              <w:rPr>
                <w:lang w:val="en-GB"/>
              </w:rPr>
            </w:pPr>
            <w:r w:rsidRPr="00D21842">
              <w:rPr>
                <w:lang w:val="en-GB"/>
              </w:rPr>
              <w:t>Process and handled products </w:t>
            </w:r>
          </w:p>
        </w:tc>
        <w:tc>
          <w:tcPr>
            <w:tcW w:w="4479" w:type="dxa"/>
            <w:shd w:val="clear" w:color="auto" w:fill="FFFFFF"/>
          </w:tcPr>
          <w:p w14:paraId="742ED5A9" w14:textId="77777777" w:rsidR="00C6014A" w:rsidRPr="00D21842" w:rsidRDefault="00C6014A" w:rsidP="00A1179F">
            <w:pPr>
              <w:pStyle w:val="CETBodytext"/>
              <w:ind w:left="2"/>
              <w:jc w:val="left"/>
              <w:rPr>
                <w:lang w:val="en-GB"/>
              </w:rPr>
            </w:pPr>
            <w:r w:rsidRPr="00D21842">
              <w:rPr>
                <w:lang w:val="en-GB"/>
              </w:rPr>
              <w:t xml:space="preserve">The assessed processed products must be described  </w:t>
            </w:r>
          </w:p>
          <w:p w14:paraId="761E8AB2" w14:textId="03AEE91A" w:rsidR="00C6014A" w:rsidRPr="00D21842" w:rsidRDefault="00C6014A" w:rsidP="00A1179F">
            <w:pPr>
              <w:pStyle w:val="CETBodytext"/>
              <w:ind w:left="2"/>
              <w:jc w:val="left"/>
              <w:rPr>
                <w:lang w:val="en-GB"/>
              </w:rPr>
            </w:pPr>
            <w:r w:rsidRPr="00D21842">
              <w:rPr>
                <w:lang w:val="en-GB"/>
              </w:rPr>
              <w:t>The handled products must be defined, and the corresponding safety data must be stored (upload of product test reports)</w:t>
            </w:r>
            <w:r w:rsidR="00D23D0E">
              <w:rPr>
                <w:lang w:val="en-GB"/>
              </w:rPr>
              <w:t>.</w:t>
            </w:r>
          </w:p>
        </w:tc>
      </w:tr>
      <w:tr w:rsidR="009E2BD7" w:rsidRPr="00D21842" w14:paraId="6112E24C" w14:textId="77777777" w:rsidTr="00BE49FE">
        <w:trPr>
          <w:trHeight w:val="282"/>
        </w:trPr>
        <w:tc>
          <w:tcPr>
            <w:tcW w:w="4253" w:type="dxa"/>
            <w:shd w:val="clear" w:color="auto" w:fill="FFFFFF"/>
          </w:tcPr>
          <w:p w14:paraId="0E2D672F" w14:textId="2975A1E6" w:rsidR="009E2BD7" w:rsidRPr="00D21842" w:rsidRDefault="009E2BD7" w:rsidP="00BD6CAD">
            <w:pPr>
              <w:pStyle w:val="CETBodytext"/>
              <w:jc w:val="left"/>
              <w:rPr>
                <w:lang w:val="en-GB"/>
              </w:rPr>
            </w:pPr>
            <w:r w:rsidRPr="00D21842">
              <w:rPr>
                <w:lang w:val="en-GB"/>
              </w:rPr>
              <w:t>Basis of safety </w:t>
            </w:r>
          </w:p>
        </w:tc>
        <w:tc>
          <w:tcPr>
            <w:tcW w:w="4479" w:type="dxa"/>
            <w:shd w:val="clear" w:color="auto" w:fill="FFFFFF"/>
          </w:tcPr>
          <w:p w14:paraId="7EDC360F" w14:textId="46A53B70" w:rsidR="009E2BD7" w:rsidRPr="00D21842" w:rsidRDefault="009E2BD7" w:rsidP="00A1179F">
            <w:pPr>
              <w:pStyle w:val="CETBodytext"/>
              <w:ind w:left="2"/>
              <w:jc w:val="left"/>
              <w:rPr>
                <w:lang w:val="en-GB"/>
              </w:rPr>
            </w:pPr>
            <w:r w:rsidRPr="00D21842">
              <w:rPr>
                <w:lang w:val="en-GB"/>
              </w:rPr>
              <w:t>The basis of safety must visible</w:t>
            </w:r>
            <w:r w:rsidR="00D23D0E">
              <w:rPr>
                <w:lang w:val="en-GB"/>
              </w:rPr>
              <w:t>.</w:t>
            </w:r>
          </w:p>
        </w:tc>
      </w:tr>
      <w:tr w:rsidR="009E2BD7" w:rsidRPr="00D21842" w14:paraId="6712B4C4" w14:textId="77777777" w:rsidTr="00BE49FE">
        <w:trPr>
          <w:trHeight w:val="711"/>
        </w:trPr>
        <w:tc>
          <w:tcPr>
            <w:tcW w:w="4253" w:type="dxa"/>
            <w:shd w:val="clear" w:color="auto" w:fill="FFFFFF"/>
          </w:tcPr>
          <w:p w14:paraId="1F5CB0E8" w14:textId="4B74AFC5" w:rsidR="009E2BD7" w:rsidRPr="00D21842" w:rsidRDefault="009E2BD7" w:rsidP="00BD6CAD">
            <w:pPr>
              <w:pStyle w:val="CETBodytext"/>
              <w:jc w:val="left"/>
              <w:rPr>
                <w:lang w:val="en-GB"/>
              </w:rPr>
            </w:pPr>
            <w:r w:rsidRPr="00D21842">
              <w:rPr>
                <w:lang w:val="en-GB"/>
              </w:rPr>
              <w:t>Project team</w:t>
            </w:r>
          </w:p>
        </w:tc>
        <w:tc>
          <w:tcPr>
            <w:tcW w:w="4479" w:type="dxa"/>
            <w:shd w:val="clear" w:color="auto" w:fill="FFFFFF"/>
          </w:tcPr>
          <w:p w14:paraId="3904FC2F" w14:textId="41B7D1EC" w:rsidR="00EA06EC" w:rsidRPr="00D21842" w:rsidRDefault="00EA06EC" w:rsidP="00A1179F">
            <w:pPr>
              <w:pStyle w:val="CETBodytext"/>
              <w:ind w:left="2"/>
              <w:jc w:val="left"/>
              <w:rPr>
                <w:lang w:val="en-GB"/>
              </w:rPr>
            </w:pPr>
            <w:r w:rsidRPr="00D21842">
              <w:rPr>
                <w:lang w:val="en-GB"/>
              </w:rPr>
              <w:t xml:space="preserve">All project team member must be mentioned. </w:t>
            </w:r>
          </w:p>
          <w:p w14:paraId="41FB770B" w14:textId="3D5914AE" w:rsidR="009E2BD7" w:rsidRPr="00D21842" w:rsidRDefault="00EA06EC" w:rsidP="00A1179F">
            <w:pPr>
              <w:pStyle w:val="CETBodytext"/>
              <w:ind w:left="2"/>
              <w:jc w:val="left"/>
              <w:rPr>
                <w:lang w:val="en-GB"/>
              </w:rPr>
            </w:pPr>
            <w:r w:rsidRPr="00D21842">
              <w:rPr>
                <w:lang w:val="en-GB"/>
              </w:rPr>
              <w:t>The access rights to the software must be managed by the project leader</w:t>
            </w:r>
            <w:r w:rsidR="00FA1A2F">
              <w:rPr>
                <w:lang w:val="en-GB"/>
              </w:rPr>
              <w:t>.</w:t>
            </w:r>
          </w:p>
        </w:tc>
      </w:tr>
      <w:tr w:rsidR="00EA06EC" w:rsidRPr="00D21842" w14:paraId="22171F1A" w14:textId="77777777" w:rsidTr="00BE49FE">
        <w:trPr>
          <w:trHeight w:val="423"/>
        </w:trPr>
        <w:tc>
          <w:tcPr>
            <w:tcW w:w="4253" w:type="dxa"/>
            <w:shd w:val="clear" w:color="auto" w:fill="FFFFFF"/>
          </w:tcPr>
          <w:p w14:paraId="10FDED08" w14:textId="3EF2FBBC" w:rsidR="00EA06EC" w:rsidRPr="00D21842" w:rsidRDefault="00EA06EC" w:rsidP="00BD6CAD">
            <w:pPr>
              <w:pStyle w:val="CETBodytext"/>
              <w:jc w:val="left"/>
              <w:rPr>
                <w:lang w:val="en-GB"/>
              </w:rPr>
            </w:pPr>
            <w:r w:rsidRPr="00D21842">
              <w:rPr>
                <w:lang w:val="en-GB"/>
              </w:rPr>
              <w:t>Project team member changes </w:t>
            </w:r>
          </w:p>
        </w:tc>
        <w:tc>
          <w:tcPr>
            <w:tcW w:w="4479" w:type="dxa"/>
            <w:shd w:val="clear" w:color="auto" w:fill="FFFFFF"/>
          </w:tcPr>
          <w:p w14:paraId="787B0260" w14:textId="1AF2E770" w:rsidR="00EA06EC" w:rsidRPr="00D21842" w:rsidRDefault="00EA06EC" w:rsidP="00A1179F">
            <w:pPr>
              <w:pStyle w:val="CETBodytext"/>
              <w:ind w:left="2"/>
              <w:jc w:val="left"/>
              <w:rPr>
                <w:lang w:val="en-GB"/>
              </w:rPr>
            </w:pPr>
            <w:r w:rsidRPr="00D21842">
              <w:rPr>
                <w:lang w:val="en-GB"/>
              </w:rPr>
              <w:t>Information must flow easily from processor to successor without negative impact on the plant safety</w:t>
            </w:r>
            <w:r w:rsidR="00FA1A2F">
              <w:rPr>
                <w:lang w:val="en-GB"/>
              </w:rPr>
              <w:t>.</w:t>
            </w:r>
          </w:p>
        </w:tc>
      </w:tr>
      <w:tr w:rsidR="00EA06EC" w:rsidRPr="00D21842" w14:paraId="7972CC69" w14:textId="77777777" w:rsidTr="00BE49FE">
        <w:trPr>
          <w:trHeight w:val="671"/>
        </w:trPr>
        <w:tc>
          <w:tcPr>
            <w:tcW w:w="4253" w:type="dxa"/>
            <w:shd w:val="clear" w:color="auto" w:fill="FFFFFF"/>
          </w:tcPr>
          <w:p w14:paraId="24D46624" w14:textId="03AF921A" w:rsidR="00EA06EC" w:rsidRPr="00D21842" w:rsidRDefault="00EA06EC" w:rsidP="00BD6CAD">
            <w:pPr>
              <w:pStyle w:val="CETBodytext"/>
              <w:jc w:val="left"/>
              <w:rPr>
                <w:lang w:val="en-GB"/>
              </w:rPr>
            </w:pPr>
            <w:r w:rsidRPr="00D21842">
              <w:rPr>
                <w:lang w:val="en-GB"/>
              </w:rPr>
              <w:t>Recognizing mistakes</w:t>
            </w:r>
          </w:p>
        </w:tc>
        <w:tc>
          <w:tcPr>
            <w:tcW w:w="4479" w:type="dxa"/>
            <w:shd w:val="clear" w:color="auto" w:fill="FFFFFF"/>
          </w:tcPr>
          <w:p w14:paraId="449A250E" w14:textId="7C2A5F0D" w:rsidR="00D6101B" w:rsidRPr="00D21842" w:rsidRDefault="00D6101B" w:rsidP="00A1179F">
            <w:pPr>
              <w:pStyle w:val="CETBodytext"/>
              <w:ind w:left="2"/>
              <w:jc w:val="left"/>
              <w:rPr>
                <w:lang w:val="en-GB"/>
              </w:rPr>
            </w:pPr>
            <w:r w:rsidRPr="00D21842">
              <w:rPr>
                <w:lang w:val="en-GB"/>
              </w:rPr>
              <w:t>Systematic mistakes must be impossible</w:t>
            </w:r>
            <w:r w:rsidR="00E208F3">
              <w:rPr>
                <w:lang w:val="en-GB"/>
              </w:rPr>
              <w:t>.</w:t>
            </w:r>
            <w:r w:rsidRPr="00D21842">
              <w:rPr>
                <w:lang w:val="en-GB"/>
              </w:rPr>
              <w:t xml:space="preserve"> </w:t>
            </w:r>
          </w:p>
          <w:p w14:paraId="035F48A6" w14:textId="008D6452" w:rsidR="00EA06EC" w:rsidRPr="00D21842" w:rsidRDefault="00D6101B" w:rsidP="00A1179F">
            <w:pPr>
              <w:pStyle w:val="CETBodytext"/>
              <w:ind w:left="2"/>
              <w:jc w:val="left"/>
              <w:rPr>
                <w:lang w:val="en-GB"/>
              </w:rPr>
            </w:pPr>
            <w:r w:rsidRPr="00D21842">
              <w:rPr>
                <w:lang w:val="en-GB"/>
              </w:rPr>
              <w:t>The standard procedure of the software must lead to minimize mistakes with a safety impact</w:t>
            </w:r>
            <w:r w:rsidR="00E208F3">
              <w:rPr>
                <w:lang w:val="en-GB"/>
              </w:rPr>
              <w:t>.</w:t>
            </w:r>
          </w:p>
        </w:tc>
      </w:tr>
      <w:tr w:rsidR="00D6101B" w:rsidRPr="00D21842" w14:paraId="5C4A4B4D" w14:textId="77777777" w:rsidTr="00BE49FE">
        <w:trPr>
          <w:trHeight w:val="266"/>
        </w:trPr>
        <w:tc>
          <w:tcPr>
            <w:tcW w:w="4253" w:type="dxa"/>
            <w:shd w:val="clear" w:color="auto" w:fill="FFFFFF"/>
          </w:tcPr>
          <w:p w14:paraId="26B6B11F" w14:textId="6126BBCA" w:rsidR="00D6101B" w:rsidRPr="00D21842" w:rsidRDefault="00D6101B" w:rsidP="00BD6CAD">
            <w:pPr>
              <w:pStyle w:val="CETBodytext"/>
              <w:jc w:val="left"/>
              <w:rPr>
                <w:lang w:val="en-GB"/>
              </w:rPr>
            </w:pPr>
            <w:r w:rsidRPr="00D21842">
              <w:rPr>
                <w:lang w:val="en-GB"/>
              </w:rPr>
              <w:t>Liability</w:t>
            </w:r>
          </w:p>
        </w:tc>
        <w:tc>
          <w:tcPr>
            <w:tcW w:w="4479" w:type="dxa"/>
            <w:shd w:val="clear" w:color="auto" w:fill="FFFFFF"/>
          </w:tcPr>
          <w:p w14:paraId="467F49EF" w14:textId="2F927878" w:rsidR="00D6101B" w:rsidRPr="00D21842" w:rsidRDefault="00D6101B" w:rsidP="00A1179F">
            <w:pPr>
              <w:pStyle w:val="CETBodytext"/>
              <w:ind w:left="2"/>
              <w:rPr>
                <w:lang w:val="en-GB"/>
              </w:rPr>
            </w:pPr>
            <w:r w:rsidRPr="00D21842">
              <w:rPr>
                <w:lang w:val="en-GB"/>
              </w:rPr>
              <w:t>Clear access rights</w:t>
            </w:r>
            <w:r w:rsidR="00FA1A2F">
              <w:rPr>
                <w:lang w:val="en-GB"/>
              </w:rPr>
              <w:t>.</w:t>
            </w:r>
          </w:p>
          <w:p w14:paraId="1C442FE4" w14:textId="0B08E9B6" w:rsidR="00D6101B" w:rsidRPr="00D21842" w:rsidRDefault="00D6101B" w:rsidP="00A1179F">
            <w:pPr>
              <w:pStyle w:val="CETBodytext"/>
              <w:ind w:left="2"/>
              <w:rPr>
                <w:lang w:val="en-GB"/>
              </w:rPr>
            </w:pPr>
            <w:r w:rsidRPr="00D21842">
              <w:rPr>
                <w:lang w:val="en-GB"/>
              </w:rPr>
              <w:t>Log file of any modification</w:t>
            </w:r>
            <w:r w:rsidR="00FA1A2F">
              <w:rPr>
                <w:lang w:val="en-GB"/>
              </w:rPr>
              <w:t>.</w:t>
            </w:r>
          </w:p>
          <w:p w14:paraId="49B5BE17" w14:textId="78DA800A" w:rsidR="00D6101B" w:rsidRPr="00D21842" w:rsidRDefault="00B06C8C" w:rsidP="00A1179F">
            <w:pPr>
              <w:pStyle w:val="CETBodytext"/>
              <w:ind w:left="2"/>
              <w:rPr>
                <w:lang w:val="en-GB"/>
              </w:rPr>
            </w:pPr>
            <w:r>
              <w:rPr>
                <w:lang w:val="en-GB"/>
              </w:rPr>
              <w:t>Standardized a</w:t>
            </w:r>
            <w:r w:rsidR="00D6101B" w:rsidRPr="00D21842">
              <w:rPr>
                <w:lang w:val="en-GB"/>
              </w:rPr>
              <w:t>pproving process</w:t>
            </w:r>
            <w:r>
              <w:rPr>
                <w:lang w:val="en-GB"/>
              </w:rPr>
              <w:t>.</w:t>
            </w:r>
          </w:p>
        </w:tc>
      </w:tr>
    </w:tbl>
    <w:p w14:paraId="1F829BD2" w14:textId="77777777" w:rsidR="008C7CAE" w:rsidRDefault="008C7CAE" w:rsidP="00453E24">
      <w:pPr>
        <w:pStyle w:val="CETBodytext"/>
        <w:rPr>
          <w:lang w:val="en-GB"/>
        </w:rPr>
      </w:pPr>
    </w:p>
    <w:p w14:paraId="28992038" w14:textId="4ED9F686" w:rsidR="00380D6B" w:rsidRPr="00D21842" w:rsidRDefault="001A02C1" w:rsidP="00453E24">
      <w:pPr>
        <w:pStyle w:val="CETBodytext"/>
        <w:rPr>
          <w:lang w:val="en-GB"/>
        </w:rPr>
      </w:pPr>
      <w:r w:rsidRPr="001A02C1">
        <w:rPr>
          <w:lang w:val="en-GB"/>
        </w:rPr>
        <w:t>A review of the aforementioned requirements leads to the conclusion that the generation of software capable of fulfilling these requirements is a relatively straightforward process.</w:t>
      </w:r>
    </w:p>
    <w:p w14:paraId="677EBFF0" w14:textId="50314883" w:rsidR="00600535" w:rsidRPr="00D21842" w:rsidRDefault="0051441D" w:rsidP="00600535">
      <w:pPr>
        <w:pStyle w:val="CETHeading1"/>
        <w:tabs>
          <w:tab w:val="clear" w:pos="360"/>
          <w:tab w:val="right" w:pos="7100"/>
        </w:tabs>
        <w:jc w:val="both"/>
        <w:rPr>
          <w:lang w:val="en-GB"/>
        </w:rPr>
      </w:pPr>
      <w:r w:rsidRPr="00D21842">
        <w:rPr>
          <w:bCs/>
          <w:lang w:val="en-GB"/>
        </w:rPr>
        <w:t>Introduction to FERA Software</w:t>
      </w:r>
    </w:p>
    <w:p w14:paraId="5BB8F723" w14:textId="3532D187" w:rsidR="00864963" w:rsidRPr="00D21842" w:rsidRDefault="00A97648" w:rsidP="00D01089">
      <w:pPr>
        <w:pStyle w:val="CETBodytext"/>
        <w:rPr>
          <w:lang w:val="en-GB"/>
        </w:rPr>
      </w:pPr>
      <w:r w:rsidRPr="00D21842">
        <w:rPr>
          <w:noProof/>
          <w:lang w:val="en-GB"/>
        </w:rPr>
        <w:drawing>
          <wp:inline distT="0" distB="0" distL="0" distR="0" wp14:anchorId="59FB2F1F" wp14:editId="5B874574">
            <wp:extent cx="5500116" cy="2278071"/>
            <wp:effectExtent l="0" t="0" r="5715" b="8255"/>
            <wp:docPr id="48696950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6371" cy="2334506"/>
                    </a:xfrm>
                    <a:prstGeom prst="rect">
                      <a:avLst/>
                    </a:prstGeom>
                    <a:noFill/>
                  </pic:spPr>
                </pic:pic>
              </a:graphicData>
            </a:graphic>
          </wp:inline>
        </w:drawing>
      </w:r>
    </w:p>
    <w:p w14:paraId="1330B4A1" w14:textId="227CF577" w:rsidR="00D456D4" w:rsidRPr="00D21842" w:rsidRDefault="00D456D4" w:rsidP="00D456D4">
      <w:pPr>
        <w:pStyle w:val="CETCaption"/>
      </w:pPr>
      <w:bookmarkStart w:id="6" w:name="_Ref182840462"/>
      <w:r w:rsidRPr="00D21842">
        <w:t xml:space="preserve">Figure </w:t>
      </w:r>
      <w:r w:rsidRPr="00D21842">
        <w:fldChar w:fldCharType="begin"/>
      </w:r>
      <w:r w:rsidRPr="00D21842">
        <w:instrText xml:space="preserve"> SEQ Figure \* ARABIC </w:instrText>
      </w:r>
      <w:r w:rsidRPr="00D21842">
        <w:fldChar w:fldCharType="separate"/>
      </w:r>
      <w:r>
        <w:rPr>
          <w:noProof/>
        </w:rPr>
        <w:t>2</w:t>
      </w:r>
      <w:r w:rsidRPr="00D21842">
        <w:fldChar w:fldCharType="end"/>
      </w:r>
      <w:bookmarkEnd w:id="6"/>
      <w:r w:rsidRPr="00D21842">
        <w:t xml:space="preserve">: </w:t>
      </w:r>
      <w:r>
        <w:t>New FERA</w:t>
      </w:r>
      <w:r w:rsidRPr="00D21842">
        <w:t xml:space="preserve"> approach</w:t>
      </w:r>
    </w:p>
    <w:p w14:paraId="6E368A1F" w14:textId="765F592B" w:rsidR="007634F0" w:rsidRPr="007634F0" w:rsidRDefault="007634F0" w:rsidP="007634F0">
      <w:pPr>
        <w:pStyle w:val="CETBodytext"/>
        <w:rPr>
          <w:lang w:val="en-GB"/>
        </w:rPr>
      </w:pPr>
      <w:r w:rsidRPr="007634F0">
        <w:rPr>
          <w:lang w:val="en-GB"/>
        </w:rPr>
        <w:lastRenderedPageBreak/>
        <w:t xml:space="preserve">The selected procedure </w:t>
      </w:r>
      <w:r w:rsidR="00BE2DEB">
        <w:rPr>
          <w:lang w:val="en-GB"/>
        </w:rPr>
        <w:t xml:space="preserve">applied </w:t>
      </w:r>
      <w:r w:rsidR="00A32B3A">
        <w:rPr>
          <w:lang w:val="en-GB"/>
        </w:rPr>
        <w:t xml:space="preserve">in FERA </w:t>
      </w:r>
      <w:r w:rsidRPr="007634F0">
        <w:rPr>
          <w:lang w:val="en-GB"/>
        </w:rPr>
        <w:t xml:space="preserve">is a semi-quantitative, intuitive risk assessment solution pertaining to all aspects of fire and explosion protection (analogous </w:t>
      </w:r>
      <w:r w:rsidR="00B56A9B">
        <w:rPr>
          <w:lang w:val="en-GB"/>
        </w:rPr>
        <w:t>as descr</w:t>
      </w:r>
      <w:r w:rsidR="00B333E4">
        <w:rPr>
          <w:lang w:val="en-GB"/>
        </w:rPr>
        <w:t>ibed in</w:t>
      </w:r>
      <w:r w:rsidR="0038272F">
        <w:rPr>
          <w:lang w:val="en-GB"/>
        </w:rPr>
        <w:t xml:space="preserve"> </w:t>
      </w:r>
      <w:r w:rsidR="0038272F" w:rsidRPr="006D36F3">
        <w:t>VDI2263</w:t>
      </w:r>
      <w:r w:rsidR="0038272F">
        <w:t xml:space="preserve">, </w:t>
      </w:r>
      <w:r w:rsidR="0038272F" w:rsidRPr="006D36F3">
        <w:t>ESCIS</w:t>
      </w:r>
      <w:r w:rsidR="0038272F">
        <w:t xml:space="preserve">, </w:t>
      </w:r>
      <w:r w:rsidR="0038272F" w:rsidRPr="006D36F3">
        <w:t xml:space="preserve">ISSA </w:t>
      </w:r>
      <w:r w:rsidR="0038272F">
        <w:t xml:space="preserve">, </w:t>
      </w:r>
      <w:r w:rsidR="0038272F" w:rsidRPr="006D36F3">
        <w:t>EU Project No: SMT4-CT97-2169</w:t>
      </w:r>
      <w:r w:rsidR="0038272F">
        <w:t>).</w:t>
      </w:r>
    </w:p>
    <w:p w14:paraId="3D5DB735" w14:textId="4BB3BDB2" w:rsidR="007634F0" w:rsidRPr="007634F0" w:rsidRDefault="007634F0" w:rsidP="007634F0">
      <w:pPr>
        <w:pStyle w:val="CETBodytext"/>
        <w:rPr>
          <w:lang w:val="en-GB"/>
        </w:rPr>
      </w:pPr>
      <w:r w:rsidRPr="007634F0">
        <w:rPr>
          <w:lang w:val="en-GB"/>
        </w:rPr>
        <w:t>The software has been developed with the specific target audience of consultants, equipment manufacturers, plant operating companies and even supervisory authorities in mind. The software offers distinct benefits to each group, facilitating enhanced workflows</w:t>
      </w:r>
      <w:r w:rsidR="000469BD">
        <w:rPr>
          <w:lang w:val="en-GB"/>
        </w:rPr>
        <w:t xml:space="preserve"> </w:t>
      </w:r>
      <w:r w:rsidR="00B9716F">
        <w:rPr>
          <w:lang w:val="en-GB"/>
        </w:rPr>
        <w:t>(</w:t>
      </w:r>
      <w:r w:rsidR="000469BD">
        <w:rPr>
          <w:lang w:val="en-GB"/>
        </w:rPr>
        <w:t>as displayed in</w:t>
      </w:r>
      <w:r w:rsidR="00E00972">
        <w:rPr>
          <w:lang w:val="en-GB"/>
        </w:rPr>
        <w:t xml:space="preserve"> </w:t>
      </w:r>
      <w:r w:rsidR="00E00972">
        <w:rPr>
          <w:lang w:val="en-GB"/>
        </w:rPr>
        <w:fldChar w:fldCharType="begin"/>
      </w:r>
      <w:r w:rsidR="00E00972">
        <w:rPr>
          <w:lang w:val="en-GB"/>
        </w:rPr>
        <w:instrText xml:space="preserve"> REF _Ref182840462 \h </w:instrText>
      </w:r>
      <w:r w:rsidR="00E00972">
        <w:rPr>
          <w:lang w:val="en-GB"/>
        </w:rPr>
      </w:r>
      <w:r w:rsidR="00E00972">
        <w:rPr>
          <w:lang w:val="en-GB"/>
        </w:rPr>
        <w:fldChar w:fldCharType="separate"/>
      </w:r>
      <w:r w:rsidR="00E00972" w:rsidRPr="00D21842">
        <w:t xml:space="preserve">Figure </w:t>
      </w:r>
      <w:r w:rsidR="00E00972">
        <w:rPr>
          <w:noProof/>
        </w:rPr>
        <w:t>2</w:t>
      </w:r>
      <w:r w:rsidR="00E00972">
        <w:rPr>
          <w:lang w:val="en-GB"/>
        </w:rPr>
        <w:fldChar w:fldCharType="end"/>
      </w:r>
      <w:r w:rsidR="00B9716F">
        <w:rPr>
          <w:lang w:val="en-GB"/>
        </w:rPr>
        <w:t>)</w:t>
      </w:r>
      <w:r w:rsidR="00E00972">
        <w:rPr>
          <w:lang w:val="en-GB"/>
        </w:rPr>
        <w:t>,</w:t>
      </w:r>
      <w:r w:rsidRPr="007634F0">
        <w:rPr>
          <w:lang w:val="en-GB"/>
        </w:rPr>
        <w:t xml:space="preserve"> and greater effectiveness in risk assessment and management. </w:t>
      </w:r>
    </w:p>
    <w:p w14:paraId="4F4A2E1E" w14:textId="77777777" w:rsidR="007634F0" w:rsidRPr="007634F0" w:rsidRDefault="007634F0" w:rsidP="007634F0">
      <w:pPr>
        <w:pStyle w:val="CETBodytext"/>
        <w:rPr>
          <w:lang w:val="en-GB"/>
        </w:rPr>
      </w:pPr>
      <w:r w:rsidRPr="005E0216">
        <w:rPr>
          <w:b/>
          <w:bCs/>
          <w:lang w:val="en-GB"/>
        </w:rPr>
        <w:t>For consultants</w:t>
      </w:r>
      <w:r w:rsidRPr="007634F0">
        <w:rPr>
          <w:lang w:val="en-GB"/>
        </w:rPr>
        <w:t xml:space="preserve">, the software offers notable advantages, including increased efficiency, a streamlined process for involving system operators in risk assessments, and a significant reduction in the error rate. Furthermore, the system is furnished with an extensive knowledge base, thereby facilitating connections with plant operating companies even after project completion, thus ensuring continuity and support. </w:t>
      </w:r>
    </w:p>
    <w:p w14:paraId="6BD801C6" w14:textId="77777777" w:rsidR="007634F0" w:rsidRPr="007634F0" w:rsidRDefault="007634F0" w:rsidP="007634F0">
      <w:pPr>
        <w:pStyle w:val="CETBodytext"/>
        <w:rPr>
          <w:lang w:val="en-GB"/>
        </w:rPr>
      </w:pPr>
      <w:r w:rsidRPr="007634F0">
        <w:rPr>
          <w:lang w:val="en-GB"/>
        </w:rPr>
        <w:t xml:space="preserve">The software offers </w:t>
      </w:r>
      <w:r w:rsidRPr="005E0216">
        <w:rPr>
          <w:b/>
          <w:bCs/>
          <w:lang w:val="en-GB"/>
        </w:rPr>
        <w:t>equipment manufacturers</w:t>
      </w:r>
      <w:r w:rsidRPr="007634F0">
        <w:rPr>
          <w:lang w:val="en-GB"/>
        </w:rPr>
        <w:t xml:space="preserve"> the ability to create simplified explosion risk assessments for their standard equipment, which can then be adapted to customer-specific requirements. Subsequently, the customer is able to integrate the explosion risk assessment into their explosion protection document. </w:t>
      </w:r>
    </w:p>
    <w:p w14:paraId="6017F49B" w14:textId="77777777" w:rsidR="005E0216" w:rsidRDefault="007634F0" w:rsidP="007634F0">
      <w:pPr>
        <w:pStyle w:val="CETBodytext"/>
        <w:rPr>
          <w:lang w:val="en-GB"/>
        </w:rPr>
      </w:pPr>
      <w:r w:rsidRPr="005E0216">
        <w:rPr>
          <w:b/>
          <w:bCs/>
          <w:lang w:val="en-GB"/>
        </w:rPr>
        <w:t xml:space="preserve">Plant operators </w:t>
      </w:r>
      <w:r w:rsidRPr="007634F0">
        <w:rPr>
          <w:lang w:val="en-GB"/>
        </w:rPr>
        <w:t xml:space="preserve">stand to gain from the streamlined administration of their explosion risk assessments. The software's design permits the modification of risk assessments created using the software, such as those performed with FERA, to reflect any system changes, thereby facilitating flexibility and adaptability. </w:t>
      </w:r>
    </w:p>
    <w:p w14:paraId="5EFFC933" w14:textId="77777777" w:rsidR="00043932" w:rsidRDefault="00043932" w:rsidP="007634F0">
      <w:pPr>
        <w:pStyle w:val="CETBodytext"/>
        <w:rPr>
          <w:lang w:val="en-GB"/>
        </w:rPr>
      </w:pPr>
    </w:p>
    <w:p w14:paraId="3F3ADEDD" w14:textId="0EF5C234" w:rsidR="007E4370" w:rsidRPr="007E4370" w:rsidRDefault="007E4370" w:rsidP="007E4370">
      <w:pPr>
        <w:pStyle w:val="CETBodytext"/>
        <w:rPr>
          <w:lang w:val="en-GB"/>
        </w:rPr>
      </w:pPr>
      <w:r w:rsidRPr="007E4370">
        <w:rPr>
          <w:lang w:val="en-GB"/>
        </w:rPr>
        <w:t>The software is equipped with a number of features that serve to enhance both its usability and effectiveness</w:t>
      </w:r>
      <w:r w:rsidR="00B41F14">
        <w:rPr>
          <w:lang w:val="en-GB"/>
        </w:rPr>
        <w:t>:</w:t>
      </w:r>
    </w:p>
    <w:p w14:paraId="5084A5D7" w14:textId="1C4144B6" w:rsidR="007E4370" w:rsidRPr="007E4370" w:rsidRDefault="00B41F14" w:rsidP="00F3496B">
      <w:pPr>
        <w:pStyle w:val="CETBodytext"/>
        <w:numPr>
          <w:ilvl w:val="0"/>
          <w:numId w:val="47"/>
        </w:numPr>
        <w:rPr>
          <w:lang w:val="en-GB"/>
        </w:rPr>
      </w:pPr>
      <w:r>
        <w:rPr>
          <w:b/>
          <w:bCs/>
          <w:lang w:val="en-GB"/>
        </w:rPr>
        <w:t>I</w:t>
      </w:r>
      <w:r w:rsidR="007E4370" w:rsidRPr="00F3496B">
        <w:rPr>
          <w:b/>
          <w:bCs/>
          <w:lang w:val="en-GB"/>
        </w:rPr>
        <w:t>ntuitive entry masks</w:t>
      </w:r>
      <w:r w:rsidR="007E4370" w:rsidRPr="007E4370">
        <w:rPr>
          <w:lang w:val="en-GB"/>
        </w:rPr>
        <w:t xml:space="preserve">, which facilitate data input for users. </w:t>
      </w:r>
    </w:p>
    <w:p w14:paraId="0BDB15FB" w14:textId="67EED126" w:rsidR="007E4370" w:rsidRPr="007E4370" w:rsidRDefault="00B41F14" w:rsidP="007E4370">
      <w:pPr>
        <w:pStyle w:val="CETBodytext"/>
        <w:numPr>
          <w:ilvl w:val="0"/>
          <w:numId w:val="47"/>
        </w:numPr>
        <w:rPr>
          <w:lang w:val="en-GB"/>
        </w:rPr>
      </w:pPr>
      <w:r>
        <w:rPr>
          <w:b/>
          <w:bCs/>
          <w:lang w:val="en-GB"/>
        </w:rPr>
        <w:t>F</w:t>
      </w:r>
      <w:r w:rsidR="007E4370" w:rsidRPr="00F3496B">
        <w:rPr>
          <w:b/>
          <w:bCs/>
          <w:lang w:val="en-GB"/>
        </w:rPr>
        <w:t xml:space="preserve">lexible </w:t>
      </w:r>
      <w:r w:rsidR="007E4370" w:rsidRPr="007E4370">
        <w:rPr>
          <w:b/>
          <w:bCs/>
          <w:lang w:val="en-GB"/>
        </w:rPr>
        <w:t>authorisation management</w:t>
      </w:r>
      <w:r w:rsidR="007E4370" w:rsidRPr="007E4370">
        <w:rPr>
          <w:lang w:val="en-GB"/>
        </w:rPr>
        <w:t xml:space="preserve"> system permits the selective integration of the plant operator during data acquisition, thereby facilitating controlled collaboration. </w:t>
      </w:r>
    </w:p>
    <w:p w14:paraId="6EE6EEBC" w14:textId="0D868A45" w:rsidR="007E4370" w:rsidRPr="007E4370" w:rsidRDefault="00F8330C" w:rsidP="007E4370">
      <w:pPr>
        <w:pStyle w:val="CETBodytext"/>
        <w:numPr>
          <w:ilvl w:val="0"/>
          <w:numId w:val="47"/>
        </w:numPr>
        <w:rPr>
          <w:lang w:val="en-GB"/>
        </w:rPr>
      </w:pPr>
      <w:r>
        <w:rPr>
          <w:b/>
          <w:bCs/>
          <w:lang w:val="en-GB"/>
        </w:rPr>
        <w:t>R</w:t>
      </w:r>
      <w:r w:rsidR="007E4370" w:rsidRPr="007E4370">
        <w:rPr>
          <w:b/>
          <w:bCs/>
          <w:lang w:val="en-GB"/>
        </w:rPr>
        <w:t>eport preview</w:t>
      </w:r>
      <w:r w:rsidR="007E4370" w:rsidRPr="007E4370">
        <w:rPr>
          <w:lang w:val="en-GB"/>
        </w:rPr>
        <w:t xml:space="preserve"> function and a </w:t>
      </w:r>
      <w:r w:rsidR="007E4370" w:rsidRPr="00F3496B">
        <w:rPr>
          <w:b/>
          <w:bCs/>
          <w:lang w:val="en-GB"/>
        </w:rPr>
        <w:t xml:space="preserve">flexible </w:t>
      </w:r>
      <w:r w:rsidR="007E4370" w:rsidRPr="009A1112">
        <w:rPr>
          <w:b/>
          <w:bCs/>
          <w:lang w:val="en-GB"/>
        </w:rPr>
        <w:t>approval process for finalising reports</w:t>
      </w:r>
      <w:r w:rsidR="007E4370" w:rsidRPr="007E4370">
        <w:rPr>
          <w:lang w:val="en-GB"/>
        </w:rPr>
        <w:t xml:space="preserve"> facilitate the efficient review and approval of documents by all relevant stakeholders. </w:t>
      </w:r>
    </w:p>
    <w:p w14:paraId="0B5843F8" w14:textId="7D7329FE" w:rsidR="007E4370" w:rsidRDefault="00F8330C" w:rsidP="007E4370">
      <w:pPr>
        <w:pStyle w:val="CETBodytext"/>
        <w:numPr>
          <w:ilvl w:val="0"/>
          <w:numId w:val="47"/>
        </w:numPr>
        <w:rPr>
          <w:lang w:val="en-GB"/>
        </w:rPr>
      </w:pPr>
      <w:r>
        <w:rPr>
          <w:lang w:val="en-GB"/>
        </w:rPr>
        <w:t>C</w:t>
      </w:r>
      <w:r w:rsidR="007E4370" w:rsidRPr="007E4370">
        <w:rPr>
          <w:lang w:val="en-GB"/>
        </w:rPr>
        <w:t xml:space="preserve">apacity to generate both draft and final </w:t>
      </w:r>
      <w:r w:rsidR="007E4370" w:rsidRPr="009A1112">
        <w:rPr>
          <w:b/>
          <w:bCs/>
          <w:lang w:val="en-GB"/>
        </w:rPr>
        <w:t>reports in PDF format</w:t>
      </w:r>
      <w:r w:rsidR="007E4370" w:rsidRPr="007E4370">
        <w:rPr>
          <w:lang w:val="en-GB"/>
        </w:rPr>
        <w:t xml:space="preserve"> is conducive to fulfilling documentation requirements. </w:t>
      </w:r>
    </w:p>
    <w:p w14:paraId="36EEEDE8" w14:textId="461EE691" w:rsidR="007E4370" w:rsidRPr="007E4370" w:rsidRDefault="00F8330C" w:rsidP="007E4370">
      <w:pPr>
        <w:pStyle w:val="CETBodytext"/>
        <w:numPr>
          <w:ilvl w:val="0"/>
          <w:numId w:val="47"/>
        </w:numPr>
        <w:rPr>
          <w:lang w:val="en-GB"/>
        </w:rPr>
      </w:pPr>
      <w:r>
        <w:rPr>
          <w:lang w:val="en-GB"/>
        </w:rPr>
        <w:t xml:space="preserve">Ability </w:t>
      </w:r>
      <w:r w:rsidR="007E4370" w:rsidRPr="007E4370">
        <w:rPr>
          <w:lang w:val="en-GB"/>
        </w:rPr>
        <w:t xml:space="preserve">to manage </w:t>
      </w:r>
      <w:r w:rsidR="007E4370" w:rsidRPr="009A1112">
        <w:rPr>
          <w:b/>
          <w:bCs/>
          <w:lang w:val="en-GB"/>
        </w:rPr>
        <w:t>versions of reports</w:t>
      </w:r>
      <w:r w:rsidR="007E4370" w:rsidRPr="007E4370">
        <w:rPr>
          <w:lang w:val="en-GB"/>
        </w:rPr>
        <w:t xml:space="preserve"> allows users to monitor alterations and retain a record of document iterations. </w:t>
      </w:r>
    </w:p>
    <w:p w14:paraId="6380332B" w14:textId="0EA80B6D" w:rsidR="007E4370" w:rsidRPr="007E4370" w:rsidRDefault="00815529" w:rsidP="007E4370">
      <w:pPr>
        <w:pStyle w:val="CETBodytext"/>
        <w:numPr>
          <w:ilvl w:val="0"/>
          <w:numId w:val="47"/>
        </w:numPr>
        <w:rPr>
          <w:lang w:val="en-GB"/>
        </w:rPr>
      </w:pPr>
      <w:r>
        <w:rPr>
          <w:b/>
          <w:bCs/>
          <w:lang w:val="en-GB"/>
        </w:rPr>
        <w:t>P</w:t>
      </w:r>
      <w:r w:rsidR="007E4370" w:rsidRPr="00CE2545">
        <w:rPr>
          <w:b/>
          <w:bCs/>
          <w:lang w:val="en-GB"/>
        </w:rPr>
        <w:t>lant section library</w:t>
      </w:r>
      <w:r w:rsidR="007E4370" w:rsidRPr="007E4370">
        <w:rPr>
          <w:lang w:val="en-GB"/>
        </w:rPr>
        <w:t xml:space="preserve">, thereby facilitating the creation of structured and consistent documentation. </w:t>
      </w:r>
    </w:p>
    <w:p w14:paraId="4837E950" w14:textId="099762DF" w:rsidR="007E4370" w:rsidRPr="007E4370" w:rsidRDefault="00815529" w:rsidP="007E4370">
      <w:pPr>
        <w:pStyle w:val="CETBodytext"/>
        <w:numPr>
          <w:ilvl w:val="0"/>
          <w:numId w:val="47"/>
        </w:numPr>
        <w:rPr>
          <w:lang w:val="en-GB"/>
        </w:rPr>
      </w:pPr>
      <w:r>
        <w:rPr>
          <w:b/>
          <w:bCs/>
          <w:lang w:val="en-GB"/>
        </w:rPr>
        <w:t>T</w:t>
      </w:r>
      <w:r w:rsidR="007E4370" w:rsidRPr="00CE2545">
        <w:rPr>
          <w:b/>
          <w:bCs/>
          <w:lang w:val="en-GB"/>
        </w:rPr>
        <w:t>ask system</w:t>
      </w:r>
      <w:r w:rsidR="007E4370" w:rsidRPr="007E4370">
        <w:rPr>
          <w:lang w:val="en-GB"/>
        </w:rPr>
        <w:t xml:space="preserve"> is available to facilitate project management and task allocation. </w:t>
      </w:r>
    </w:p>
    <w:p w14:paraId="105FF7A8" w14:textId="27049EB5" w:rsidR="00806EBB" w:rsidRPr="00D21842" w:rsidRDefault="00806EBB" w:rsidP="007E4370">
      <w:pPr>
        <w:pStyle w:val="CETBodytext"/>
        <w:rPr>
          <w:lang w:val="en-GB"/>
        </w:rPr>
      </w:pPr>
    </w:p>
    <w:p w14:paraId="5505DB15" w14:textId="2435DFAB" w:rsidR="009C402F" w:rsidRPr="00D21842" w:rsidRDefault="00787E8C" w:rsidP="009C402F">
      <w:pPr>
        <w:pStyle w:val="CETBodytext"/>
        <w:rPr>
          <w:lang w:val="en-GB"/>
        </w:rPr>
      </w:pPr>
      <w:r w:rsidRPr="00787E8C">
        <w:rPr>
          <w:lang w:val="en-GB"/>
        </w:rPr>
        <w:t>In order to utilise the software, it is necessary to have an internet connection, which enables users to access the platform from any location, thereby facilitating remote and on-site operations in an uninterrupted manner. The software, in conjunction with its associated database, is installed on a dedicated web server. The configuration of this setup is conducted in accordance with the customer's preferences, thereby ensuring a tailored and secure deployment that is aligned with individual needs and operational specifications.</w:t>
      </w:r>
    </w:p>
    <w:p w14:paraId="507DBC02" w14:textId="269AD71A" w:rsidR="00AD5BCE" w:rsidRPr="00AD5BCE" w:rsidRDefault="00AD5BCE" w:rsidP="00016FB4">
      <w:pPr>
        <w:pStyle w:val="CETCaption"/>
        <w:rPr>
          <w:i w:val="0"/>
          <w:iCs/>
        </w:rPr>
      </w:pPr>
      <w:r w:rsidRPr="00AD5BCE">
        <w:rPr>
          <w:i w:val="0"/>
          <w:iCs/>
        </w:rPr>
        <w:t>The following</w:t>
      </w:r>
      <w:r w:rsidR="00375122">
        <w:rPr>
          <w:i w:val="0"/>
          <w:iCs/>
        </w:rPr>
        <w:t xml:space="preserve"> </w:t>
      </w:r>
      <w:r w:rsidR="00375122" w:rsidRPr="00E67EC2">
        <w:rPr>
          <w:i w:val="0"/>
          <w:iCs/>
        </w:rPr>
        <w:fldChar w:fldCharType="begin"/>
      </w:r>
      <w:r w:rsidR="00375122" w:rsidRPr="00E67EC2">
        <w:rPr>
          <w:i w:val="0"/>
          <w:iCs/>
        </w:rPr>
        <w:instrText xml:space="preserve"> REF _Ref182840414 \h </w:instrText>
      </w:r>
      <w:r w:rsidR="00E67EC2" w:rsidRPr="00E67EC2">
        <w:rPr>
          <w:i w:val="0"/>
          <w:iCs/>
        </w:rPr>
        <w:instrText xml:space="preserve"> \* MERGEFORMAT </w:instrText>
      </w:r>
      <w:r w:rsidR="00375122" w:rsidRPr="00E67EC2">
        <w:rPr>
          <w:i w:val="0"/>
          <w:iCs/>
        </w:rPr>
      </w:r>
      <w:r w:rsidR="00375122" w:rsidRPr="00E67EC2">
        <w:rPr>
          <w:i w:val="0"/>
          <w:iCs/>
        </w:rPr>
        <w:fldChar w:fldCharType="separate"/>
      </w:r>
      <w:r w:rsidR="00375122" w:rsidRPr="00E67EC2">
        <w:rPr>
          <w:i w:val="0"/>
          <w:iCs/>
        </w:rPr>
        <w:t xml:space="preserve">Table </w:t>
      </w:r>
      <w:r w:rsidR="00375122" w:rsidRPr="00E67EC2">
        <w:rPr>
          <w:i w:val="0"/>
          <w:iCs/>
          <w:noProof/>
        </w:rPr>
        <w:t>4</w:t>
      </w:r>
      <w:r w:rsidR="00375122" w:rsidRPr="00E67EC2">
        <w:rPr>
          <w:i w:val="0"/>
          <w:iCs/>
        </w:rPr>
        <w:fldChar w:fldCharType="end"/>
      </w:r>
      <w:r w:rsidRPr="00E67EC2">
        <w:rPr>
          <w:i w:val="0"/>
          <w:iCs/>
        </w:rPr>
        <w:t xml:space="preserve"> </w:t>
      </w:r>
      <w:r w:rsidRPr="00AD5BCE">
        <w:rPr>
          <w:i w:val="0"/>
          <w:iCs/>
        </w:rPr>
        <w:t>represents a summary of the key views of FERA.</w:t>
      </w:r>
    </w:p>
    <w:p w14:paraId="62D7258C" w14:textId="6B4967B4" w:rsidR="00016FB4" w:rsidRPr="00D21842" w:rsidRDefault="00016FB4" w:rsidP="00016FB4">
      <w:pPr>
        <w:pStyle w:val="CETTabletitle"/>
      </w:pPr>
      <w:bookmarkStart w:id="7" w:name="_Ref182840414"/>
      <w:r w:rsidRPr="004D1747">
        <w:t xml:space="preserve">Table </w:t>
      </w:r>
      <w:r w:rsidRPr="004D1747">
        <w:fldChar w:fldCharType="begin"/>
      </w:r>
      <w:r w:rsidRPr="004D1747">
        <w:instrText xml:space="preserve"> SEQ Table \* ARABIC </w:instrText>
      </w:r>
      <w:r w:rsidRPr="004D1747">
        <w:fldChar w:fldCharType="separate"/>
      </w:r>
      <w:r w:rsidR="00823543">
        <w:rPr>
          <w:noProof/>
        </w:rPr>
        <w:t>4</w:t>
      </w:r>
      <w:r w:rsidRPr="004D1747">
        <w:fldChar w:fldCharType="end"/>
      </w:r>
      <w:bookmarkEnd w:id="7"/>
      <w:r w:rsidRPr="004D1747">
        <w:t xml:space="preserve">: </w:t>
      </w:r>
      <w:r w:rsidR="0071635A" w:rsidRPr="004D1747">
        <w:t>Key views of FERA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3"/>
        <w:gridCol w:w="4394"/>
      </w:tblGrid>
      <w:tr w:rsidR="00F847A0" w:rsidRPr="00D21842" w14:paraId="0A7AC0F2" w14:textId="77777777" w:rsidTr="00B353FD">
        <w:trPr>
          <w:trHeight w:val="314"/>
        </w:trPr>
        <w:tc>
          <w:tcPr>
            <w:tcW w:w="4393" w:type="dxa"/>
            <w:tcBorders>
              <w:top w:val="single" w:sz="12" w:space="0" w:color="008000"/>
              <w:bottom w:val="single" w:sz="6" w:space="0" w:color="008000"/>
            </w:tcBorders>
            <w:shd w:val="clear" w:color="auto" w:fill="FFFFFF"/>
          </w:tcPr>
          <w:p w14:paraId="429C94C3" w14:textId="0AE996B8" w:rsidR="00F847A0" w:rsidRPr="00D21842" w:rsidRDefault="00850F4C" w:rsidP="00BD6CAD">
            <w:pPr>
              <w:pStyle w:val="CETBodytext"/>
              <w:rPr>
                <w:highlight w:val="yellow"/>
                <w:lang w:val="en-GB"/>
              </w:rPr>
            </w:pPr>
            <w:r w:rsidRPr="00D21842">
              <w:rPr>
                <w:lang w:val="en-GB"/>
              </w:rPr>
              <w:t>Customer system list:</w:t>
            </w:r>
          </w:p>
        </w:tc>
        <w:tc>
          <w:tcPr>
            <w:tcW w:w="4394" w:type="dxa"/>
            <w:tcBorders>
              <w:top w:val="single" w:sz="12" w:space="0" w:color="008000"/>
              <w:bottom w:val="single" w:sz="6" w:space="0" w:color="008000"/>
            </w:tcBorders>
            <w:shd w:val="clear" w:color="auto" w:fill="FFFFFF"/>
          </w:tcPr>
          <w:p w14:paraId="0C03D7CE" w14:textId="3A12DD10" w:rsidR="00F847A0" w:rsidRPr="00D21842" w:rsidRDefault="00850F4C" w:rsidP="00BD6CAD">
            <w:pPr>
              <w:pStyle w:val="CETBodytext"/>
              <w:rPr>
                <w:lang w:val="en-GB"/>
              </w:rPr>
            </w:pPr>
            <w:r w:rsidRPr="00D21842">
              <w:rPr>
                <w:lang w:val="en-GB"/>
              </w:rPr>
              <w:t>Hazard identification (13 possible ignition sources according to EN 1127-1):</w:t>
            </w:r>
          </w:p>
        </w:tc>
      </w:tr>
      <w:tr w:rsidR="00F847A0" w:rsidRPr="00D21842" w14:paraId="5B033349" w14:textId="77777777" w:rsidTr="00B353FD">
        <w:trPr>
          <w:trHeight w:val="635"/>
        </w:trPr>
        <w:tc>
          <w:tcPr>
            <w:tcW w:w="4393" w:type="dxa"/>
            <w:shd w:val="clear" w:color="auto" w:fill="FFFFFF"/>
          </w:tcPr>
          <w:p w14:paraId="2248C5DA" w14:textId="57CD17CE" w:rsidR="00F847A0" w:rsidRPr="00D21842" w:rsidRDefault="00774F63" w:rsidP="00850F4C">
            <w:pPr>
              <w:pStyle w:val="CETBodytext"/>
              <w:jc w:val="left"/>
              <w:rPr>
                <w:lang w:val="en-GB"/>
              </w:rPr>
            </w:pPr>
            <w:r w:rsidRPr="00D21842">
              <w:rPr>
                <w:rFonts w:ascii="Barlow" w:hAnsi="Barlow"/>
                <w:noProof/>
                <w:lang w:val="en-GB"/>
              </w:rPr>
              <w:drawing>
                <wp:inline distT="0" distB="0" distL="0" distR="0" wp14:anchorId="721713D2" wp14:editId="099F5B71">
                  <wp:extent cx="2031743" cy="1565557"/>
                  <wp:effectExtent l="19050" t="57150" r="102235" b="53975"/>
                  <wp:docPr id="1231449696" name="Grafik 123144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4701" cy="1590953"/>
                          </a:xfrm>
                          <a:prstGeom prst="rect">
                            <a:avLst/>
                          </a:prstGeom>
                          <a:noFill/>
                          <a:effectLst>
                            <a:outerShdw blurRad="50800" dist="38100" algn="l" rotWithShape="0">
                              <a:prstClr val="black">
                                <a:alpha val="40000"/>
                              </a:prstClr>
                            </a:outerShdw>
                          </a:effectLst>
                        </pic:spPr>
                      </pic:pic>
                    </a:graphicData>
                  </a:graphic>
                </wp:inline>
              </w:drawing>
            </w:r>
          </w:p>
        </w:tc>
        <w:tc>
          <w:tcPr>
            <w:tcW w:w="4394" w:type="dxa"/>
            <w:shd w:val="clear" w:color="auto" w:fill="FFFFFF"/>
          </w:tcPr>
          <w:p w14:paraId="7BDCF14E" w14:textId="77777777" w:rsidR="00F847A0" w:rsidRDefault="008F6E1B" w:rsidP="00850F4C">
            <w:pPr>
              <w:pStyle w:val="CETBodytext"/>
              <w:jc w:val="left"/>
              <w:rPr>
                <w:lang w:val="en-GB"/>
              </w:rPr>
            </w:pPr>
            <w:r w:rsidRPr="00D21842">
              <w:rPr>
                <w:rFonts w:ascii="Barlow" w:hAnsi="Barlow"/>
                <w:noProof/>
                <w:lang w:val="en-GB"/>
              </w:rPr>
              <w:drawing>
                <wp:inline distT="0" distB="0" distL="0" distR="0" wp14:anchorId="568AE946" wp14:editId="6344CC1F">
                  <wp:extent cx="2031380" cy="1565275"/>
                  <wp:effectExtent l="19050" t="57150" r="102235" b="53975"/>
                  <wp:docPr id="408219322" name="Grafik 408219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2584" cy="1597025"/>
                          </a:xfrm>
                          <a:prstGeom prst="rect">
                            <a:avLst/>
                          </a:prstGeom>
                          <a:noFill/>
                          <a:effectLst>
                            <a:outerShdw blurRad="50800" dist="38100" algn="l" rotWithShape="0">
                              <a:prstClr val="black">
                                <a:alpha val="40000"/>
                              </a:prstClr>
                            </a:outerShdw>
                          </a:effectLst>
                        </pic:spPr>
                      </pic:pic>
                    </a:graphicData>
                  </a:graphic>
                </wp:inline>
              </w:drawing>
            </w:r>
          </w:p>
          <w:p w14:paraId="5CDB100A" w14:textId="3DCF58B5" w:rsidR="007C7670" w:rsidRPr="00D21842" w:rsidRDefault="007C7670" w:rsidP="00850F4C">
            <w:pPr>
              <w:pStyle w:val="CETBodytext"/>
              <w:jc w:val="left"/>
              <w:rPr>
                <w:lang w:val="en-GB"/>
              </w:rPr>
            </w:pPr>
          </w:p>
        </w:tc>
      </w:tr>
    </w:tbl>
    <w:p w14:paraId="1EF26021" w14:textId="77777777" w:rsidR="00A05DE4" w:rsidRDefault="00A05DE4">
      <w:r>
        <w:br w:type="page"/>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3"/>
        <w:gridCol w:w="4349"/>
        <w:gridCol w:w="45"/>
      </w:tblGrid>
      <w:tr w:rsidR="00B353FD" w:rsidRPr="00D21842" w14:paraId="36A65894" w14:textId="77777777" w:rsidTr="00B61CD5">
        <w:trPr>
          <w:gridAfter w:val="1"/>
          <w:wAfter w:w="45" w:type="dxa"/>
          <w:trHeight w:val="314"/>
        </w:trPr>
        <w:tc>
          <w:tcPr>
            <w:tcW w:w="4393" w:type="dxa"/>
            <w:tcBorders>
              <w:top w:val="single" w:sz="8" w:space="0" w:color="008000"/>
              <w:bottom w:val="single" w:sz="6" w:space="0" w:color="008000"/>
            </w:tcBorders>
            <w:shd w:val="clear" w:color="auto" w:fill="FFFFFF"/>
          </w:tcPr>
          <w:p w14:paraId="18C892F1" w14:textId="30BEB354" w:rsidR="00B353FD" w:rsidRPr="00D21842" w:rsidRDefault="000A7ADE" w:rsidP="00BD6CAD">
            <w:pPr>
              <w:pStyle w:val="CETBodytext"/>
              <w:rPr>
                <w:highlight w:val="yellow"/>
                <w:lang w:val="en-GB"/>
              </w:rPr>
            </w:pPr>
            <w:r w:rsidRPr="00D21842">
              <w:rPr>
                <w:lang w:val="en-GB"/>
              </w:rPr>
              <w:lastRenderedPageBreak/>
              <w:t>Risk profile grid with tooltips:</w:t>
            </w:r>
          </w:p>
        </w:tc>
        <w:tc>
          <w:tcPr>
            <w:tcW w:w="4349" w:type="dxa"/>
            <w:tcBorders>
              <w:top w:val="single" w:sz="8" w:space="0" w:color="008000"/>
              <w:bottom w:val="single" w:sz="6" w:space="0" w:color="008000"/>
            </w:tcBorders>
            <w:shd w:val="clear" w:color="auto" w:fill="FFFFFF"/>
          </w:tcPr>
          <w:p w14:paraId="61B9F985" w14:textId="40A9A9D8" w:rsidR="00B353FD" w:rsidRPr="00D21842" w:rsidRDefault="000A7ADE" w:rsidP="00BD6CAD">
            <w:pPr>
              <w:pStyle w:val="CETBodytext"/>
              <w:rPr>
                <w:lang w:val="en-GB"/>
              </w:rPr>
            </w:pPr>
            <w:r w:rsidRPr="00D21842">
              <w:rPr>
                <w:lang w:val="en-GB"/>
              </w:rPr>
              <w:t xml:space="preserve">PDF final report with title page &amp; table of contents </w:t>
            </w:r>
          </w:p>
        </w:tc>
      </w:tr>
      <w:tr w:rsidR="00F847A0" w:rsidRPr="00D21842" w14:paraId="206B9D87" w14:textId="77777777" w:rsidTr="00B353FD">
        <w:trPr>
          <w:trHeight w:val="715"/>
        </w:trPr>
        <w:tc>
          <w:tcPr>
            <w:tcW w:w="4393" w:type="dxa"/>
            <w:shd w:val="clear" w:color="auto" w:fill="FFFFFF"/>
          </w:tcPr>
          <w:p w14:paraId="24D367B0" w14:textId="01292214" w:rsidR="00F847A0" w:rsidRPr="00D21842" w:rsidRDefault="00875329" w:rsidP="00850F4C">
            <w:pPr>
              <w:pStyle w:val="CETBodytext"/>
              <w:jc w:val="left"/>
              <w:rPr>
                <w:lang w:val="en-GB"/>
              </w:rPr>
            </w:pPr>
            <w:r w:rsidRPr="00D21842">
              <w:rPr>
                <w:rFonts w:ascii="Barlow" w:hAnsi="Barlow"/>
                <w:noProof/>
                <w:lang w:val="en-GB"/>
              </w:rPr>
              <w:drawing>
                <wp:inline distT="0" distB="0" distL="0" distR="0" wp14:anchorId="220D1A88" wp14:editId="09445575">
                  <wp:extent cx="2063456" cy="1589992"/>
                  <wp:effectExtent l="19050" t="57150" r="89535" b="4889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4666" cy="1614041"/>
                          </a:xfrm>
                          <a:prstGeom prst="rect">
                            <a:avLst/>
                          </a:prstGeom>
                          <a:noFill/>
                          <a:effectLst>
                            <a:outerShdw blurRad="50800" dist="38100" algn="l" rotWithShape="0">
                              <a:prstClr val="black">
                                <a:alpha val="40000"/>
                              </a:prstClr>
                            </a:outerShdw>
                          </a:effectLst>
                        </pic:spPr>
                      </pic:pic>
                    </a:graphicData>
                  </a:graphic>
                </wp:inline>
              </w:drawing>
            </w:r>
          </w:p>
        </w:tc>
        <w:tc>
          <w:tcPr>
            <w:tcW w:w="4394" w:type="dxa"/>
            <w:gridSpan w:val="2"/>
            <w:shd w:val="clear" w:color="auto" w:fill="FFFFFF"/>
          </w:tcPr>
          <w:p w14:paraId="5D3DA18E" w14:textId="0C23267C" w:rsidR="00F847A0" w:rsidRPr="00D21842" w:rsidRDefault="00F12B80" w:rsidP="00850F4C">
            <w:pPr>
              <w:pStyle w:val="CETBodytext"/>
              <w:jc w:val="left"/>
              <w:rPr>
                <w:lang w:val="en-GB"/>
              </w:rPr>
            </w:pPr>
            <w:r w:rsidRPr="00D21842">
              <w:rPr>
                <w:rFonts w:ascii="Barlow" w:hAnsi="Barlow"/>
                <w:noProof/>
                <w:lang w:val="en-GB"/>
              </w:rPr>
              <w:drawing>
                <wp:inline distT="0" distB="0" distL="0" distR="0" wp14:anchorId="3B880943" wp14:editId="0C247A8C">
                  <wp:extent cx="2030656" cy="1565514"/>
                  <wp:effectExtent l="19050" t="57150" r="103505" b="539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5152" cy="1607527"/>
                          </a:xfrm>
                          <a:prstGeom prst="rect">
                            <a:avLst/>
                          </a:prstGeom>
                          <a:noFill/>
                          <a:effectLst>
                            <a:outerShdw blurRad="50800" dist="38100" algn="l" rotWithShape="0">
                              <a:prstClr val="black">
                                <a:alpha val="40000"/>
                              </a:prstClr>
                            </a:outerShdw>
                          </a:effectLst>
                        </pic:spPr>
                      </pic:pic>
                    </a:graphicData>
                  </a:graphic>
                </wp:inline>
              </w:drawing>
            </w:r>
          </w:p>
        </w:tc>
      </w:tr>
      <w:tr w:rsidR="000A7ADE" w:rsidRPr="00D21842" w14:paraId="3E7BC074" w14:textId="77777777" w:rsidTr="00B61CD5">
        <w:trPr>
          <w:gridAfter w:val="1"/>
          <w:wAfter w:w="45" w:type="dxa"/>
          <w:trHeight w:val="314"/>
        </w:trPr>
        <w:tc>
          <w:tcPr>
            <w:tcW w:w="4393" w:type="dxa"/>
            <w:tcBorders>
              <w:top w:val="single" w:sz="8" w:space="0" w:color="008000"/>
              <w:bottom w:val="single" w:sz="6" w:space="0" w:color="008000"/>
            </w:tcBorders>
            <w:shd w:val="clear" w:color="auto" w:fill="FFFFFF"/>
          </w:tcPr>
          <w:p w14:paraId="37B8B7D4" w14:textId="1A230D6D" w:rsidR="000A7ADE" w:rsidRPr="00D21842" w:rsidRDefault="00DA4173" w:rsidP="00BD6CAD">
            <w:pPr>
              <w:pStyle w:val="CETBodytext"/>
              <w:rPr>
                <w:highlight w:val="yellow"/>
                <w:lang w:val="en-GB"/>
              </w:rPr>
            </w:pPr>
            <w:r w:rsidRPr="00D21842">
              <w:rPr>
                <w:lang w:val="en-GB"/>
              </w:rPr>
              <w:t>Comprehensive system plant section library</w:t>
            </w:r>
            <w:r w:rsidR="000A7ADE" w:rsidRPr="00D21842">
              <w:rPr>
                <w:lang w:val="en-GB"/>
              </w:rPr>
              <w:t>:</w:t>
            </w:r>
          </w:p>
        </w:tc>
        <w:tc>
          <w:tcPr>
            <w:tcW w:w="4349" w:type="dxa"/>
            <w:tcBorders>
              <w:top w:val="single" w:sz="8" w:space="0" w:color="008000"/>
              <w:bottom w:val="single" w:sz="6" w:space="0" w:color="008000"/>
            </w:tcBorders>
            <w:shd w:val="clear" w:color="auto" w:fill="FFFFFF"/>
          </w:tcPr>
          <w:p w14:paraId="4471028D" w14:textId="45CC3988" w:rsidR="000A7ADE" w:rsidRPr="00D21842" w:rsidRDefault="001E1369" w:rsidP="001E1369">
            <w:r w:rsidRPr="00D21842">
              <w:t>Integrated task system:</w:t>
            </w:r>
          </w:p>
        </w:tc>
      </w:tr>
      <w:tr w:rsidR="00F847A0" w:rsidRPr="00D21842" w14:paraId="144FB94D" w14:textId="77777777" w:rsidTr="00B353FD">
        <w:trPr>
          <w:trHeight w:val="697"/>
        </w:trPr>
        <w:tc>
          <w:tcPr>
            <w:tcW w:w="4393" w:type="dxa"/>
            <w:shd w:val="clear" w:color="auto" w:fill="FFFFFF"/>
          </w:tcPr>
          <w:p w14:paraId="5B870ED2" w14:textId="09DDB775" w:rsidR="00F847A0" w:rsidRPr="00D21842" w:rsidRDefault="00A07336" w:rsidP="00850F4C">
            <w:pPr>
              <w:pStyle w:val="CETBodytext"/>
              <w:jc w:val="left"/>
              <w:rPr>
                <w:lang w:val="en-GB"/>
              </w:rPr>
            </w:pPr>
            <w:r w:rsidRPr="00D21842">
              <w:rPr>
                <w:rFonts w:ascii="Barlow" w:hAnsi="Barlow"/>
                <w:noProof/>
                <w:lang w:val="en-GB"/>
              </w:rPr>
              <w:drawing>
                <wp:inline distT="0" distB="0" distL="0" distR="0" wp14:anchorId="19D3B290" wp14:editId="576FD794">
                  <wp:extent cx="2051221" cy="1581370"/>
                  <wp:effectExtent l="19050" t="57150" r="101600" b="5715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8563" cy="1617868"/>
                          </a:xfrm>
                          <a:prstGeom prst="rect">
                            <a:avLst/>
                          </a:prstGeom>
                          <a:noFill/>
                          <a:effectLst>
                            <a:outerShdw blurRad="50800" dist="38100" algn="l" rotWithShape="0">
                              <a:prstClr val="black">
                                <a:alpha val="40000"/>
                              </a:prstClr>
                            </a:outerShdw>
                          </a:effectLst>
                        </pic:spPr>
                      </pic:pic>
                    </a:graphicData>
                  </a:graphic>
                </wp:inline>
              </w:drawing>
            </w:r>
          </w:p>
        </w:tc>
        <w:tc>
          <w:tcPr>
            <w:tcW w:w="4394" w:type="dxa"/>
            <w:gridSpan w:val="2"/>
            <w:shd w:val="clear" w:color="auto" w:fill="FFFFFF"/>
          </w:tcPr>
          <w:p w14:paraId="675072C4" w14:textId="5418F38B" w:rsidR="00F847A0" w:rsidRPr="00D21842" w:rsidRDefault="005210CF" w:rsidP="00850F4C">
            <w:pPr>
              <w:pStyle w:val="CETBodytext"/>
              <w:jc w:val="left"/>
              <w:rPr>
                <w:lang w:val="en-GB"/>
              </w:rPr>
            </w:pPr>
            <w:r w:rsidRPr="00D21842">
              <w:rPr>
                <w:rFonts w:ascii="Barlow" w:hAnsi="Barlow"/>
                <w:noProof/>
                <w:lang w:val="en-GB"/>
              </w:rPr>
              <w:drawing>
                <wp:inline distT="0" distB="0" distL="0" distR="0" wp14:anchorId="5C43F004" wp14:editId="74E48C81">
                  <wp:extent cx="2050938" cy="1581150"/>
                  <wp:effectExtent l="19050" t="57150" r="102235" b="571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2484" cy="1605470"/>
                          </a:xfrm>
                          <a:prstGeom prst="rect">
                            <a:avLst/>
                          </a:prstGeom>
                          <a:noFill/>
                          <a:effectLst>
                            <a:outerShdw blurRad="50800" dist="38100" algn="l" rotWithShape="0">
                              <a:prstClr val="black">
                                <a:alpha val="40000"/>
                              </a:prstClr>
                            </a:outerShdw>
                          </a:effectLst>
                        </pic:spPr>
                      </pic:pic>
                    </a:graphicData>
                  </a:graphic>
                </wp:inline>
              </w:drawing>
            </w:r>
          </w:p>
        </w:tc>
      </w:tr>
    </w:tbl>
    <w:p w14:paraId="3A5F2418" w14:textId="77777777" w:rsidR="009E0434" w:rsidRPr="00D21842" w:rsidRDefault="009E0434" w:rsidP="009E0434">
      <w:pPr>
        <w:pStyle w:val="CETBodytext"/>
        <w:rPr>
          <w:lang w:val="en-GB"/>
        </w:rPr>
      </w:pPr>
    </w:p>
    <w:p w14:paraId="3BCC6B44" w14:textId="349EA312" w:rsidR="009E0434" w:rsidRPr="00D21842" w:rsidRDefault="00D33215" w:rsidP="00F21B3F">
      <w:pPr>
        <w:pStyle w:val="CETHeading1"/>
        <w:rPr>
          <w:bCs/>
          <w:lang w:val="en-GB"/>
        </w:rPr>
      </w:pPr>
      <w:r w:rsidRPr="00D21842">
        <w:rPr>
          <w:bCs/>
          <w:lang w:val="en-GB"/>
        </w:rPr>
        <w:t>Methodology of Risk Assessment with FERA</w:t>
      </w:r>
    </w:p>
    <w:p w14:paraId="545D983E" w14:textId="62042914" w:rsidR="001B6FE6" w:rsidRPr="00D21842" w:rsidRDefault="001B6FE6" w:rsidP="001B6FE6">
      <w:pPr>
        <w:pStyle w:val="CETBodytext"/>
        <w:rPr>
          <w:lang w:val="en-GB"/>
        </w:rPr>
      </w:pPr>
      <w:r w:rsidRPr="00D21842">
        <w:rPr>
          <w:lang w:val="en-GB"/>
        </w:rPr>
        <w:t>The FERA procedure is based as outlined in</w:t>
      </w:r>
      <w:r w:rsidR="0038272F">
        <w:rPr>
          <w:lang w:val="en-GB"/>
        </w:rPr>
        <w:t xml:space="preserve"> </w:t>
      </w:r>
      <w:r w:rsidR="0038272F" w:rsidRPr="006D36F3">
        <w:t>VDI2263</w:t>
      </w:r>
      <w:r w:rsidR="0038272F">
        <w:t xml:space="preserve">, </w:t>
      </w:r>
      <w:r w:rsidR="0038272F" w:rsidRPr="006D36F3">
        <w:t>ESCIS</w:t>
      </w:r>
      <w:r w:rsidR="0038272F">
        <w:t xml:space="preserve">, </w:t>
      </w:r>
      <w:r w:rsidR="0038272F" w:rsidRPr="006D36F3">
        <w:t xml:space="preserve">ISSA </w:t>
      </w:r>
      <w:r w:rsidR="0038272F">
        <w:t xml:space="preserve">, </w:t>
      </w:r>
      <w:r w:rsidR="0038272F" w:rsidRPr="006D36F3">
        <w:t>EU Project No: SMT4-CT97-2169</w:t>
      </w:r>
      <w:r w:rsidR="0038272F">
        <w:t xml:space="preserve"> </w:t>
      </w:r>
      <w:r w:rsidR="00002729">
        <w:rPr>
          <w:lang w:val="en-GB"/>
        </w:rPr>
        <w:t xml:space="preserve">considering the </w:t>
      </w:r>
      <w:r w:rsidR="009206BE">
        <w:rPr>
          <w:lang w:val="en-GB"/>
        </w:rPr>
        <w:t>experience of experts</w:t>
      </w:r>
      <w:r w:rsidRPr="00D21842">
        <w:rPr>
          <w:lang w:val="en-GB"/>
        </w:rPr>
        <w:t xml:space="preserve">. The structure of the explosion risk assessment is aligned with the software menus, as illustrated in the following </w:t>
      </w:r>
      <w:r w:rsidR="00823543">
        <w:rPr>
          <w:lang w:val="en-GB"/>
        </w:rPr>
        <w:fldChar w:fldCharType="begin"/>
      </w:r>
      <w:r w:rsidR="00823543">
        <w:rPr>
          <w:lang w:val="en-GB"/>
        </w:rPr>
        <w:instrText xml:space="preserve"> REF _Ref182840991 \h </w:instrText>
      </w:r>
      <w:r w:rsidR="00823543">
        <w:rPr>
          <w:lang w:val="en-GB"/>
        </w:rPr>
      </w:r>
      <w:r w:rsidR="00823543">
        <w:rPr>
          <w:lang w:val="en-GB"/>
        </w:rPr>
        <w:fldChar w:fldCharType="separate"/>
      </w:r>
      <w:r w:rsidR="00823543" w:rsidRPr="00D21842">
        <w:t xml:space="preserve">Table </w:t>
      </w:r>
      <w:r w:rsidR="00823543">
        <w:rPr>
          <w:noProof/>
        </w:rPr>
        <w:t>5</w:t>
      </w:r>
      <w:r w:rsidR="00823543">
        <w:rPr>
          <w:lang w:val="en-GB"/>
        </w:rPr>
        <w:fldChar w:fldCharType="end"/>
      </w:r>
      <w:r w:rsidRPr="00D21842">
        <w:rPr>
          <w:lang w:val="en-GB"/>
        </w:rPr>
        <w:t>:</w:t>
      </w:r>
    </w:p>
    <w:p w14:paraId="01D79BCC" w14:textId="6C6F5930" w:rsidR="0082438C" w:rsidRPr="00D21842" w:rsidRDefault="0082438C" w:rsidP="0082438C">
      <w:pPr>
        <w:pStyle w:val="CETTabletitle"/>
      </w:pPr>
      <w:bookmarkStart w:id="8" w:name="_Ref182840991"/>
      <w:r w:rsidRPr="00D21842">
        <w:t xml:space="preserve">Table </w:t>
      </w:r>
      <w:r w:rsidRPr="00D21842">
        <w:fldChar w:fldCharType="begin"/>
      </w:r>
      <w:r w:rsidRPr="00D21842">
        <w:instrText xml:space="preserve"> SEQ Table \* ARABIC </w:instrText>
      </w:r>
      <w:r w:rsidRPr="00D21842">
        <w:fldChar w:fldCharType="separate"/>
      </w:r>
      <w:r w:rsidR="00823543">
        <w:rPr>
          <w:noProof/>
        </w:rPr>
        <w:t>5</w:t>
      </w:r>
      <w:r w:rsidRPr="00D21842">
        <w:fldChar w:fldCharType="end"/>
      </w:r>
      <w:bookmarkEnd w:id="8"/>
      <w:r w:rsidRPr="00D21842">
        <w:t>: FERA menus fo</w:t>
      </w:r>
      <w:r w:rsidR="000D008A" w:rsidRPr="00D21842">
        <w:t>r an explosion risk assessment project</w:t>
      </w:r>
    </w:p>
    <w:tbl>
      <w:tblPr>
        <w:tblW w:w="907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2268"/>
        <w:gridCol w:w="2268"/>
        <w:gridCol w:w="2268"/>
      </w:tblGrid>
      <w:tr w:rsidR="00567D91" w:rsidRPr="00D21842" w14:paraId="53707922" w14:textId="611E039F" w:rsidTr="00B42251">
        <w:trPr>
          <w:trHeight w:val="350"/>
        </w:trPr>
        <w:tc>
          <w:tcPr>
            <w:tcW w:w="2268" w:type="dxa"/>
            <w:shd w:val="clear" w:color="auto" w:fill="FFFFFF"/>
          </w:tcPr>
          <w:p w14:paraId="7376DD68" w14:textId="0E716FE9" w:rsidR="00567D91" w:rsidRPr="00D21842" w:rsidRDefault="00567D91" w:rsidP="00567D91">
            <w:pPr>
              <w:pStyle w:val="CETBodytext"/>
              <w:jc w:val="left"/>
              <w:rPr>
                <w:lang w:val="en-GB"/>
              </w:rPr>
            </w:pPr>
            <w:r w:rsidRPr="00D21842">
              <w:rPr>
                <w:lang w:val="en-GB"/>
              </w:rPr>
              <w:t>General menu:</w:t>
            </w:r>
          </w:p>
        </w:tc>
        <w:tc>
          <w:tcPr>
            <w:tcW w:w="2268" w:type="dxa"/>
            <w:shd w:val="clear" w:color="auto" w:fill="FFFFFF"/>
          </w:tcPr>
          <w:p w14:paraId="31428147" w14:textId="64B4FD97" w:rsidR="00567D91" w:rsidRPr="00D21842" w:rsidRDefault="00567D91" w:rsidP="00567D91">
            <w:pPr>
              <w:pStyle w:val="CETBodytext"/>
              <w:jc w:val="left"/>
              <w:rPr>
                <w:lang w:val="en-GB"/>
              </w:rPr>
            </w:pPr>
            <w:r w:rsidRPr="00D21842">
              <w:rPr>
                <w:lang w:val="en-GB"/>
              </w:rPr>
              <w:t>Analysis menu:</w:t>
            </w:r>
          </w:p>
        </w:tc>
        <w:tc>
          <w:tcPr>
            <w:tcW w:w="2268" w:type="dxa"/>
            <w:shd w:val="clear" w:color="auto" w:fill="FFFFFF"/>
          </w:tcPr>
          <w:p w14:paraId="6DB46ACE" w14:textId="2D16F4AB" w:rsidR="00567D91" w:rsidRPr="00D21842" w:rsidRDefault="00567D91" w:rsidP="00567D91">
            <w:pPr>
              <w:pStyle w:val="CETBodytext"/>
              <w:jc w:val="left"/>
              <w:rPr>
                <w:lang w:val="en-GB"/>
              </w:rPr>
            </w:pPr>
            <w:r w:rsidRPr="00D21842">
              <w:rPr>
                <w:lang w:val="en-GB"/>
              </w:rPr>
              <w:t>Risk Estimation menu:</w:t>
            </w:r>
          </w:p>
        </w:tc>
        <w:tc>
          <w:tcPr>
            <w:tcW w:w="2268" w:type="dxa"/>
            <w:shd w:val="clear" w:color="auto" w:fill="FFFFFF"/>
          </w:tcPr>
          <w:p w14:paraId="577DC580" w14:textId="69D36D7F" w:rsidR="00567D91" w:rsidRPr="00D21842" w:rsidRDefault="00567D91" w:rsidP="00567D91">
            <w:pPr>
              <w:pStyle w:val="CETBodytext"/>
              <w:jc w:val="left"/>
              <w:rPr>
                <w:lang w:val="en-GB"/>
              </w:rPr>
            </w:pPr>
            <w:r w:rsidRPr="00D21842">
              <w:rPr>
                <w:lang w:val="en-GB"/>
              </w:rPr>
              <w:t>Report menu:</w:t>
            </w:r>
          </w:p>
        </w:tc>
      </w:tr>
      <w:tr w:rsidR="00567D91" w:rsidRPr="00D21842" w14:paraId="57BE0B04" w14:textId="37BC250B" w:rsidTr="00567D91">
        <w:trPr>
          <w:trHeight w:val="635"/>
        </w:trPr>
        <w:tc>
          <w:tcPr>
            <w:tcW w:w="2268" w:type="dxa"/>
            <w:shd w:val="clear" w:color="auto" w:fill="FFFFFF"/>
          </w:tcPr>
          <w:p w14:paraId="2C71F439" w14:textId="26783BB0" w:rsidR="00567D91" w:rsidRPr="00D21842" w:rsidRDefault="00567D91" w:rsidP="00567D91">
            <w:pPr>
              <w:pStyle w:val="CETBodytext"/>
              <w:jc w:val="left"/>
              <w:rPr>
                <w:rFonts w:ascii="Barlow" w:hAnsi="Barlow"/>
                <w:noProof/>
                <w:lang w:val="en-GB"/>
              </w:rPr>
            </w:pPr>
            <w:r w:rsidRPr="00D21842">
              <w:rPr>
                <w:rFonts w:ascii="Barlow" w:hAnsi="Barlow"/>
                <w:noProof/>
                <w:lang w:val="en-GB"/>
              </w:rPr>
              <w:drawing>
                <wp:inline distT="0" distB="0" distL="0" distR="0" wp14:anchorId="6D96894E" wp14:editId="4F8B5D1B">
                  <wp:extent cx="1196077" cy="719137"/>
                  <wp:effectExtent l="0" t="0" r="4445" b="5080"/>
                  <wp:docPr id="16003648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64857" name=""/>
                          <pic:cNvPicPr/>
                        </pic:nvPicPr>
                        <pic:blipFill>
                          <a:blip r:embed="rId21"/>
                          <a:stretch>
                            <a:fillRect/>
                          </a:stretch>
                        </pic:blipFill>
                        <pic:spPr>
                          <a:xfrm>
                            <a:off x="0" y="0"/>
                            <a:ext cx="1211435" cy="728371"/>
                          </a:xfrm>
                          <a:prstGeom prst="rect">
                            <a:avLst/>
                          </a:prstGeom>
                        </pic:spPr>
                      </pic:pic>
                    </a:graphicData>
                  </a:graphic>
                </wp:inline>
              </w:drawing>
            </w:r>
          </w:p>
        </w:tc>
        <w:tc>
          <w:tcPr>
            <w:tcW w:w="2268" w:type="dxa"/>
            <w:shd w:val="clear" w:color="auto" w:fill="FFFFFF"/>
          </w:tcPr>
          <w:p w14:paraId="34CBBC9A" w14:textId="11E2ED8E" w:rsidR="00567D91" w:rsidRPr="00D21842" w:rsidRDefault="00567D91" w:rsidP="00567D91">
            <w:pPr>
              <w:pStyle w:val="CETBodytext"/>
              <w:jc w:val="left"/>
              <w:rPr>
                <w:rFonts w:ascii="Barlow" w:hAnsi="Barlow"/>
                <w:noProof/>
                <w:lang w:val="en-GB"/>
              </w:rPr>
            </w:pPr>
            <w:r w:rsidRPr="00D21842">
              <w:rPr>
                <w:rFonts w:ascii="Barlow" w:hAnsi="Barlow"/>
                <w:noProof/>
                <w:lang w:val="en-GB"/>
              </w:rPr>
              <w:drawing>
                <wp:inline distT="0" distB="0" distL="0" distR="0" wp14:anchorId="49C0249C" wp14:editId="1533F8B4">
                  <wp:extent cx="1399988" cy="1404937"/>
                  <wp:effectExtent l="0" t="0" r="0" b="5080"/>
                  <wp:docPr id="16435124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12410" name=""/>
                          <pic:cNvPicPr/>
                        </pic:nvPicPr>
                        <pic:blipFill rotWithShape="1">
                          <a:blip r:embed="rId22"/>
                          <a:srcRect r="4662"/>
                          <a:stretch/>
                        </pic:blipFill>
                        <pic:spPr bwMode="auto">
                          <a:xfrm>
                            <a:off x="0" y="0"/>
                            <a:ext cx="1431462" cy="1436522"/>
                          </a:xfrm>
                          <a:prstGeom prst="rect">
                            <a:avLst/>
                          </a:prstGeom>
                          <a:ln>
                            <a:noFill/>
                          </a:ln>
                          <a:extLst>
                            <a:ext uri="{53640926-AAD7-44D8-BBD7-CCE9431645EC}">
                              <a14:shadowObscured xmlns:a14="http://schemas.microsoft.com/office/drawing/2010/main"/>
                            </a:ext>
                          </a:extLst>
                        </pic:spPr>
                      </pic:pic>
                    </a:graphicData>
                  </a:graphic>
                </wp:inline>
              </w:drawing>
            </w:r>
          </w:p>
        </w:tc>
        <w:tc>
          <w:tcPr>
            <w:tcW w:w="2268" w:type="dxa"/>
            <w:shd w:val="clear" w:color="auto" w:fill="FFFFFF"/>
          </w:tcPr>
          <w:p w14:paraId="77F0B1DD" w14:textId="3824042B" w:rsidR="00567D91" w:rsidRPr="00D21842" w:rsidRDefault="00567D91" w:rsidP="00567D91">
            <w:pPr>
              <w:pStyle w:val="CETBodytext"/>
              <w:jc w:val="left"/>
              <w:rPr>
                <w:rFonts w:ascii="Barlow" w:hAnsi="Barlow"/>
                <w:noProof/>
                <w:lang w:val="en-GB"/>
              </w:rPr>
            </w:pPr>
            <w:r w:rsidRPr="00D21842">
              <w:rPr>
                <w:rFonts w:ascii="Barlow" w:hAnsi="Barlow"/>
                <w:noProof/>
                <w:lang w:val="en-GB"/>
              </w:rPr>
              <w:drawing>
                <wp:inline distT="0" distB="0" distL="0" distR="0" wp14:anchorId="58C0C05C" wp14:editId="74BD1C42">
                  <wp:extent cx="1375928" cy="1381125"/>
                  <wp:effectExtent l="0" t="0" r="0" b="0"/>
                  <wp:docPr id="2031267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6724" name=""/>
                          <pic:cNvPicPr/>
                        </pic:nvPicPr>
                        <pic:blipFill rotWithShape="1">
                          <a:blip r:embed="rId23"/>
                          <a:srcRect r="5132"/>
                          <a:stretch/>
                        </pic:blipFill>
                        <pic:spPr bwMode="auto">
                          <a:xfrm>
                            <a:off x="0" y="0"/>
                            <a:ext cx="1397125" cy="1402402"/>
                          </a:xfrm>
                          <a:prstGeom prst="rect">
                            <a:avLst/>
                          </a:prstGeom>
                          <a:ln>
                            <a:noFill/>
                          </a:ln>
                          <a:extLst>
                            <a:ext uri="{53640926-AAD7-44D8-BBD7-CCE9431645EC}">
                              <a14:shadowObscured xmlns:a14="http://schemas.microsoft.com/office/drawing/2010/main"/>
                            </a:ext>
                          </a:extLst>
                        </pic:spPr>
                      </pic:pic>
                    </a:graphicData>
                  </a:graphic>
                </wp:inline>
              </w:drawing>
            </w:r>
          </w:p>
        </w:tc>
        <w:tc>
          <w:tcPr>
            <w:tcW w:w="2268" w:type="dxa"/>
            <w:shd w:val="clear" w:color="auto" w:fill="FFFFFF"/>
          </w:tcPr>
          <w:p w14:paraId="47E5DEDA" w14:textId="7908FD81" w:rsidR="00567D91" w:rsidRPr="00D21842" w:rsidRDefault="00567D91" w:rsidP="00567D91">
            <w:pPr>
              <w:pStyle w:val="CETBodytext"/>
              <w:jc w:val="left"/>
              <w:rPr>
                <w:rFonts w:ascii="Barlow" w:hAnsi="Barlow"/>
                <w:noProof/>
                <w:lang w:val="en-GB"/>
              </w:rPr>
            </w:pPr>
            <w:r w:rsidRPr="00D21842">
              <w:rPr>
                <w:rFonts w:ascii="Barlow" w:hAnsi="Barlow"/>
                <w:noProof/>
                <w:lang w:val="en-GB"/>
              </w:rPr>
              <w:drawing>
                <wp:inline distT="0" distB="0" distL="0" distR="0" wp14:anchorId="68F24482" wp14:editId="19A47022">
                  <wp:extent cx="1114924" cy="661987"/>
                  <wp:effectExtent l="0" t="0" r="0" b="5080"/>
                  <wp:docPr id="1654094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94577" name=""/>
                          <pic:cNvPicPr/>
                        </pic:nvPicPr>
                        <pic:blipFill>
                          <a:blip r:embed="rId24"/>
                          <a:stretch>
                            <a:fillRect/>
                          </a:stretch>
                        </pic:blipFill>
                        <pic:spPr>
                          <a:xfrm>
                            <a:off x="0" y="0"/>
                            <a:ext cx="1123233" cy="666920"/>
                          </a:xfrm>
                          <a:prstGeom prst="rect">
                            <a:avLst/>
                          </a:prstGeom>
                        </pic:spPr>
                      </pic:pic>
                    </a:graphicData>
                  </a:graphic>
                </wp:inline>
              </w:drawing>
            </w:r>
          </w:p>
        </w:tc>
      </w:tr>
    </w:tbl>
    <w:p w14:paraId="37E923D3" w14:textId="77777777" w:rsidR="008A5AF8" w:rsidRPr="00D21842" w:rsidRDefault="008A5AF8" w:rsidP="008A5AF8">
      <w:pPr>
        <w:pStyle w:val="CETBodytext"/>
        <w:rPr>
          <w:lang w:val="en-GB"/>
        </w:rPr>
      </w:pPr>
    </w:p>
    <w:p w14:paraId="21FD8290" w14:textId="06C00ED2" w:rsidR="0033072D" w:rsidRPr="00D21842" w:rsidRDefault="0033072D" w:rsidP="0033072D">
      <w:pPr>
        <w:pStyle w:val="CETBodytext"/>
        <w:rPr>
          <w:lang w:val="en-GB"/>
        </w:rPr>
      </w:pPr>
      <w:r w:rsidRPr="00D21842">
        <w:rPr>
          <w:lang w:val="en-GB"/>
        </w:rPr>
        <w:t>Once the overarching project parameters have been established</w:t>
      </w:r>
      <w:r w:rsidR="006C571B" w:rsidRPr="00D21842">
        <w:rPr>
          <w:lang w:val="en-GB"/>
        </w:rPr>
        <w:t xml:space="preserve"> </w:t>
      </w:r>
      <w:r w:rsidR="00B941BF" w:rsidRPr="00D21842">
        <w:rPr>
          <w:lang w:val="en-GB"/>
        </w:rPr>
        <w:t>under general</w:t>
      </w:r>
      <w:r w:rsidRPr="00D21842">
        <w:rPr>
          <w:lang w:val="en-GB"/>
        </w:rPr>
        <w:t>, the plant and the process can be delineated in the subsequent analysis phase. Subsequently, the risk estimation is conducted along the same trajectory, without incorporating the measures that have already been implemented. Secondly, the risk estimation is conducted by considering the measures that are currently in place and incorporating additional measures that are to be implemented with the objective of achieving the requisite level of safety.</w:t>
      </w:r>
    </w:p>
    <w:p w14:paraId="53DF06D0" w14:textId="6B4F3FB6" w:rsidR="0033072D" w:rsidRPr="00D21842" w:rsidRDefault="00ED5BD4" w:rsidP="0033072D">
      <w:pPr>
        <w:pStyle w:val="CETBodytext"/>
        <w:rPr>
          <w:lang w:val="en-GB"/>
        </w:rPr>
      </w:pPr>
      <w:r w:rsidRPr="00ED5BD4">
        <w:rPr>
          <w:lang w:val="en-GB"/>
        </w:rPr>
        <w:t>The finalisation process is concluded with the online signing of the report by the consultant and the customer, thereby ensuring accountability. Once the report has been finalised, the customer is granted full access to the document, which may be modified in the event of any modifications being made to the plant. It is strongly recommended that the further approval of the adapted report be conducted by an expert, whether internal or external.</w:t>
      </w:r>
    </w:p>
    <w:p w14:paraId="5DF17A7B" w14:textId="736C94DE" w:rsidR="00C31A36" w:rsidRPr="00D21842" w:rsidRDefault="00C31A36" w:rsidP="00B44547">
      <w:pPr>
        <w:pStyle w:val="CETHeading1"/>
        <w:tabs>
          <w:tab w:val="clear" w:pos="360"/>
          <w:tab w:val="right" w:pos="7100"/>
        </w:tabs>
        <w:jc w:val="both"/>
        <w:rPr>
          <w:bCs/>
          <w:lang w:val="en-GB"/>
        </w:rPr>
      </w:pPr>
      <w:r w:rsidRPr="00D21842">
        <w:rPr>
          <w:bCs/>
          <w:lang w:val="en-GB"/>
        </w:rPr>
        <w:lastRenderedPageBreak/>
        <w:t>Limitations of FERA</w:t>
      </w:r>
    </w:p>
    <w:p w14:paraId="5CD30534" w14:textId="77777777" w:rsidR="003D6FF4" w:rsidRPr="00D21842" w:rsidRDefault="003D6FF4" w:rsidP="003D6FF4">
      <w:pPr>
        <w:pStyle w:val="CETBodytext"/>
        <w:rPr>
          <w:lang w:val="en-GB"/>
        </w:rPr>
      </w:pPr>
      <w:r w:rsidRPr="00D21842">
        <w:rPr>
          <w:lang w:val="en-GB"/>
        </w:rPr>
        <w:t xml:space="preserve">The FERA method can be readily applied to projects of varying scale. The most challenging aspect for the consultant is determining the optimal level of detail. The software offers a plethora of </w:t>
      </w:r>
      <w:proofErr w:type="gramStart"/>
      <w:r w:rsidRPr="00D21842">
        <w:rPr>
          <w:lang w:val="en-GB"/>
        </w:rPr>
        <w:t>options, yet</w:t>
      </w:r>
      <w:proofErr w:type="gramEnd"/>
      <w:r w:rsidRPr="00D21842">
        <w:rPr>
          <w:lang w:val="en-GB"/>
        </w:rPr>
        <w:t xml:space="preserve"> does not allow the consultant to become mired in minutiae. Furthermore, it should be noted that FERA is not an expert system, but rather a framework. It is therefore evident that the expertise of the consultant leading the explosion risk assessment is of paramount importance in ensuring the safety of the plant.</w:t>
      </w:r>
    </w:p>
    <w:p w14:paraId="097A63CF" w14:textId="3DCF7E02" w:rsidR="00616722" w:rsidRPr="00D21842" w:rsidRDefault="003D6FF4" w:rsidP="003D6FF4">
      <w:pPr>
        <w:pStyle w:val="CETBodytext"/>
        <w:rPr>
          <w:lang w:val="en-GB"/>
        </w:rPr>
      </w:pPr>
      <w:r w:rsidRPr="00D21842">
        <w:rPr>
          <w:lang w:val="en-GB"/>
        </w:rPr>
        <w:t>During the implementation of FERA</w:t>
      </w:r>
      <w:r w:rsidR="009357BB" w:rsidRPr="00D21842">
        <w:rPr>
          <w:lang w:val="en-GB"/>
        </w:rPr>
        <w:t xml:space="preserve"> at a consulting company</w:t>
      </w:r>
      <w:r w:rsidRPr="00D21842">
        <w:rPr>
          <w:lang w:val="en-GB"/>
        </w:rPr>
        <w:t xml:space="preserve">, it is crucial for the new user to avoid becoming overwhelmed by the software and to instead focus on leveraging its full potential to benefit the customer, the project team, and the individual consultant. </w:t>
      </w:r>
      <w:r w:rsidR="00470B75" w:rsidRPr="00D21842">
        <w:rPr>
          <w:lang w:val="en-GB"/>
        </w:rPr>
        <w:t>M</w:t>
      </w:r>
      <w:r w:rsidRPr="00D21842">
        <w:rPr>
          <w:lang w:val="en-GB"/>
        </w:rPr>
        <w:t xml:space="preserve">any discussions are often required to establish shared principles and procedures, which should be conducted </w:t>
      </w:r>
      <w:r w:rsidR="00470B75" w:rsidRPr="00D21842">
        <w:rPr>
          <w:lang w:val="en-GB"/>
        </w:rPr>
        <w:t xml:space="preserve">anyhow </w:t>
      </w:r>
      <w:r w:rsidRPr="00D21842">
        <w:rPr>
          <w:lang w:val="en-GB"/>
        </w:rPr>
        <w:t>independently of any software.</w:t>
      </w:r>
    </w:p>
    <w:p w14:paraId="1299FF72" w14:textId="3AF51167" w:rsidR="00B44547" w:rsidRPr="00D21842" w:rsidRDefault="00B44547" w:rsidP="00B44547">
      <w:pPr>
        <w:pStyle w:val="CETHeading1"/>
        <w:tabs>
          <w:tab w:val="clear" w:pos="360"/>
          <w:tab w:val="right" w:pos="7100"/>
        </w:tabs>
        <w:jc w:val="both"/>
        <w:rPr>
          <w:bCs/>
          <w:lang w:val="en-GB"/>
        </w:rPr>
      </w:pPr>
      <w:r w:rsidRPr="00D21842">
        <w:rPr>
          <w:bCs/>
          <w:lang w:val="en-GB"/>
        </w:rPr>
        <w:t xml:space="preserve">Case study: </w:t>
      </w:r>
      <w:r w:rsidR="004549FF" w:rsidRPr="00D21842">
        <w:rPr>
          <w:bCs/>
          <w:lang w:val="en-GB"/>
        </w:rPr>
        <w:t xml:space="preserve">Application </w:t>
      </w:r>
      <w:r w:rsidR="006178A3" w:rsidRPr="00D21842">
        <w:rPr>
          <w:bCs/>
          <w:lang w:val="en-GB"/>
        </w:rPr>
        <w:t>in a multi-national industrial company</w:t>
      </w:r>
    </w:p>
    <w:p w14:paraId="239A3579" w14:textId="14B29585" w:rsidR="00D35E2B" w:rsidRPr="00D21842" w:rsidRDefault="00D35E2B" w:rsidP="00D35E2B">
      <w:pPr>
        <w:pStyle w:val="CETBodytext"/>
        <w:rPr>
          <w:lang w:val="en-GB"/>
        </w:rPr>
      </w:pPr>
      <w:r w:rsidRPr="00D21842">
        <w:rPr>
          <w:lang w:val="en-GB"/>
        </w:rPr>
        <w:t xml:space="preserve">An illustrative case study of FERA implementation can be found in the context of a multinational industrial company. The company has a substantial number of facilities distributed across multiple locations, utilising comparable equipment configurations and exhibiting a notable depth of expertise within its internal ranks regarding explosion protection. As is the case in many large companies, the internal experts have disparate objectives that are not aligned in numerous instances. External consultants have been engaged to assist in the development of a comprehensive </w:t>
      </w:r>
      <w:r w:rsidR="000B2C2F">
        <w:rPr>
          <w:lang w:val="en-GB"/>
        </w:rPr>
        <w:t xml:space="preserve">master </w:t>
      </w:r>
      <w:r w:rsidRPr="00D21842">
        <w:rPr>
          <w:lang w:val="en-GB"/>
        </w:rPr>
        <w:t>explosion risk assessment for the most prevalent plant configuration, utilising FERA methodology.</w:t>
      </w:r>
    </w:p>
    <w:p w14:paraId="08D64531" w14:textId="515AE563" w:rsidR="004549FF" w:rsidRPr="00D21842" w:rsidRDefault="00D35E2B" w:rsidP="00D35E2B">
      <w:pPr>
        <w:pStyle w:val="CETBodytext"/>
        <w:rPr>
          <w:lang w:val="en-GB"/>
        </w:rPr>
      </w:pPr>
      <w:r w:rsidRPr="00D21842">
        <w:rPr>
          <w:lang w:val="en-GB"/>
        </w:rPr>
        <w:t xml:space="preserve">One of the most significant benefits of utilising FERA is the ability to streamline the roll-out process across diverse operational sites. The master risk assessment can be replicated and tailored to the specific circumstances of the local site. Any modifications to the master risk assessment must be justified and are displayed in a highly transparent manner. Furthermore, the explosion risk assessment is stored in a way that allows the headquarters </w:t>
      </w:r>
      <w:r w:rsidR="006C59ED">
        <w:rPr>
          <w:lang w:val="en-GB"/>
        </w:rPr>
        <w:t xml:space="preserve">also </w:t>
      </w:r>
      <w:r w:rsidRPr="00D21842">
        <w:rPr>
          <w:lang w:val="en-GB"/>
        </w:rPr>
        <w:t>to access the documents. The transparency facilitates the sharing of knowledge and supports the local plants in achieving the corporate safety goals. Additionally, significant costs can be saved by avoiding the unnecessary duplication of efforts at different locations.</w:t>
      </w:r>
    </w:p>
    <w:p w14:paraId="68D26B83" w14:textId="402E95DF" w:rsidR="00600535" w:rsidRPr="00D21842" w:rsidRDefault="00600535" w:rsidP="00600535">
      <w:pPr>
        <w:pStyle w:val="CETHeading1"/>
        <w:rPr>
          <w:lang w:val="en-GB"/>
        </w:rPr>
      </w:pPr>
      <w:r w:rsidRPr="00D21842">
        <w:rPr>
          <w:lang w:val="en-GB"/>
        </w:rPr>
        <w:t>Conclusions</w:t>
      </w:r>
      <w:r w:rsidR="00692883" w:rsidRPr="00D21842">
        <w:rPr>
          <w:lang w:val="en-GB"/>
        </w:rPr>
        <w:t xml:space="preserve"> and future development of FERA</w:t>
      </w:r>
    </w:p>
    <w:p w14:paraId="484278FD" w14:textId="77777777" w:rsidR="001E19CC" w:rsidRPr="00D21842" w:rsidRDefault="001E19CC" w:rsidP="001E19CC">
      <w:pPr>
        <w:pStyle w:val="CETBodytext"/>
        <w:rPr>
          <w:lang w:val="en-GB"/>
        </w:rPr>
      </w:pPr>
      <w:r w:rsidRPr="00D21842">
        <w:rPr>
          <w:lang w:val="en-GB"/>
        </w:rPr>
        <w:t xml:space="preserve">FERA signifies a substantial advancement in the domain of explosion risk assessment, offering a structured, systematic, and forgery-proof platform for documentation. The software's design facilitates continuous updates, thorough analysis and robust reporting, thereby contributing to safer and more compliant industrial operations. </w:t>
      </w:r>
    </w:p>
    <w:p w14:paraId="07A6D20F" w14:textId="3928584E" w:rsidR="00280FAF" w:rsidRPr="00D21842" w:rsidRDefault="001E19CC" w:rsidP="001E19CC">
      <w:pPr>
        <w:pStyle w:val="CETBodytext"/>
        <w:rPr>
          <w:lang w:val="en-GB"/>
        </w:rPr>
        <w:sectPr w:rsidR="00280FAF" w:rsidRPr="00D21842" w:rsidSect="00DC73EE">
          <w:type w:val="continuous"/>
          <w:pgSz w:w="11906" w:h="16838" w:code="9"/>
          <w:pgMar w:top="1701" w:right="1418" w:bottom="1701" w:left="1701" w:header="1701" w:footer="0" w:gutter="0"/>
          <w:cols w:space="708"/>
          <w:formProt w:val="0"/>
          <w:titlePg/>
          <w:docGrid w:linePitch="360"/>
        </w:sectPr>
      </w:pPr>
      <w:r w:rsidRPr="00D21842">
        <w:rPr>
          <w:lang w:val="en-GB"/>
        </w:rPr>
        <w:t>It is anticipated that future updates to FERA will incorporate predictive analytics and AI-driven insights, thereby further supporting proactive risk management. These features have the potential to make FERA an even more comprehensive tool for explosion risk assessment across all industries. FERA has the potential to assist various industries in optimising their procedures and enhancing the comprehension of all pertinent parties, including regulatory authorities.</w:t>
      </w:r>
    </w:p>
    <w:p w14:paraId="00BA3D4F" w14:textId="780D71D2" w:rsidR="00C52C3C" w:rsidRPr="00D21842" w:rsidRDefault="00600535" w:rsidP="00FB62CF">
      <w:pPr>
        <w:pStyle w:val="CETReference"/>
      </w:pPr>
      <w:r w:rsidRPr="00D21842">
        <w:t>References</w:t>
      </w:r>
    </w:p>
    <w:p w14:paraId="71B9CB4E" w14:textId="4573998E" w:rsidR="00FB62CF" w:rsidRPr="00D21842" w:rsidRDefault="00FB62CF" w:rsidP="0038272F">
      <w:pPr>
        <w:pStyle w:val="CETReferencetext"/>
      </w:pPr>
      <w:r w:rsidRPr="00D21842">
        <w:t xml:space="preserve">ATEX Directive 2014/34/EU of the European Parliament and of the Council of 26 February 2014 on the harmonization of the laws of the Member States relating to equipment and protective systems intended for use in potentially explosive atmospheres (recast) Text with EEA relevance. </w:t>
      </w:r>
    </w:p>
    <w:p w14:paraId="7FB95E27" w14:textId="3172AD93" w:rsidR="00FB62CF" w:rsidRPr="00D21842" w:rsidRDefault="00FB62CF" w:rsidP="00FB62CF">
      <w:pPr>
        <w:pStyle w:val="CETReferencetext"/>
      </w:pPr>
      <w:r w:rsidRPr="00D21842">
        <w:t xml:space="preserve">ATEX Directive 1999/92/EC of the European Parliament and of the Council of 16 December 1999 on minimum requirements for improving the safety and health protection of workers potentially at risk from explosive atmospheres (15th individual Directive within the meaning of Article 16(1) of Directive 89/391/EEC) </w:t>
      </w:r>
    </w:p>
    <w:p w14:paraId="03CEA04C" w14:textId="296BDD56" w:rsidR="00C52C3C" w:rsidRDefault="00FB62CF" w:rsidP="00FB62CF">
      <w:pPr>
        <w:pStyle w:val="CETReferencetext"/>
      </w:pPr>
      <w:r w:rsidRPr="00D21842">
        <w:t>EN 1127-1:2019, Explosive Atmospheres – Explosion prevention and protection – Part 1: Basic concepts and methodology</w:t>
      </w:r>
    </w:p>
    <w:p w14:paraId="5B19CB7B" w14:textId="5974C541" w:rsidR="00F76522" w:rsidRPr="006D36F3" w:rsidRDefault="006D36F3" w:rsidP="00012FC3">
      <w:pPr>
        <w:pStyle w:val="CETReferencetext"/>
      </w:pPr>
      <w:r w:rsidRPr="006D36F3">
        <w:t>VDI2263 Sheet 5</w:t>
      </w:r>
      <w:r w:rsidR="00534F14">
        <w:t>-7</w:t>
      </w:r>
      <w:r w:rsidR="00F11A7F">
        <w:t>, 10 (</w:t>
      </w:r>
      <w:r w:rsidRPr="006D36F3">
        <w:t>starting 2014</w:t>
      </w:r>
      <w:r w:rsidR="00F11A7F">
        <w:t>)</w:t>
      </w:r>
    </w:p>
    <w:p w14:paraId="72B3C72A" w14:textId="0134B6A5" w:rsidR="00C945CF" w:rsidRPr="006D36F3" w:rsidRDefault="006D36F3" w:rsidP="00012FC3">
      <w:pPr>
        <w:pStyle w:val="CETReferencetext"/>
      </w:pPr>
      <w:r w:rsidRPr="006D36F3">
        <w:t>ESCIS: Sheet 4: Introduction to Risk Analysis 1998</w:t>
      </w:r>
    </w:p>
    <w:p w14:paraId="0DD6DB54" w14:textId="11CD5620" w:rsidR="00C945CF" w:rsidRPr="006D36F3" w:rsidRDefault="0038272F" w:rsidP="00012FC3">
      <w:pPr>
        <w:pStyle w:val="CETReferencetext"/>
      </w:pPr>
      <w:r>
        <w:t>I</w:t>
      </w:r>
      <w:r w:rsidR="006D36F3" w:rsidRPr="006D36F3">
        <w:t>SSA: 7 Hazards arising from Explosions 3/2010</w:t>
      </w:r>
    </w:p>
    <w:p w14:paraId="4E8CE11A" w14:textId="302A79D9" w:rsidR="006D36F3" w:rsidRPr="006D36F3" w:rsidRDefault="006D36F3" w:rsidP="00F76522">
      <w:pPr>
        <w:pStyle w:val="CETReferencetext"/>
      </w:pPr>
      <w:r w:rsidRPr="006D36F3">
        <w:t>EU Project No: SMT4-CT97-2169: The RASE Project Explosive Atmosphere: Risk Assessment of Unit Operations and Equipment 3/2020</w:t>
      </w:r>
    </w:p>
    <w:sectPr w:rsidR="006D36F3" w:rsidRPr="006D36F3"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AEA41" w14:textId="77777777" w:rsidR="00BA6E08" w:rsidRDefault="00BA6E08" w:rsidP="004F5E36">
      <w:r>
        <w:separator/>
      </w:r>
    </w:p>
  </w:endnote>
  <w:endnote w:type="continuationSeparator" w:id="0">
    <w:p w14:paraId="4BFF53AD" w14:textId="77777777" w:rsidR="00BA6E08" w:rsidRDefault="00BA6E08" w:rsidP="004F5E36">
      <w:r>
        <w:continuationSeparator/>
      </w:r>
    </w:p>
  </w:endnote>
  <w:endnote w:type="continuationNotice" w:id="1">
    <w:p w14:paraId="52774993" w14:textId="77777777" w:rsidR="00BA6E08" w:rsidRDefault="00BA6E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E998D" w14:textId="77777777" w:rsidR="00BA6E08" w:rsidRDefault="00BA6E08" w:rsidP="004F5E36">
      <w:r>
        <w:separator/>
      </w:r>
    </w:p>
  </w:footnote>
  <w:footnote w:type="continuationSeparator" w:id="0">
    <w:p w14:paraId="21E85A0A" w14:textId="77777777" w:rsidR="00BA6E08" w:rsidRDefault="00BA6E08" w:rsidP="004F5E36">
      <w:r>
        <w:continuationSeparator/>
      </w:r>
    </w:p>
  </w:footnote>
  <w:footnote w:type="continuationNotice" w:id="1">
    <w:p w14:paraId="5CBA3D2D" w14:textId="77777777" w:rsidR="00BA6E08" w:rsidRDefault="00BA6E0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A4B67"/>
    <w:multiLevelType w:val="hybridMultilevel"/>
    <w:tmpl w:val="AC665E2C"/>
    <w:lvl w:ilvl="0" w:tplc="007ACA9E">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0D331526"/>
    <w:multiLevelType w:val="multilevel"/>
    <w:tmpl w:val="06BA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4A67D6"/>
    <w:multiLevelType w:val="multilevel"/>
    <w:tmpl w:val="AA56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5730374"/>
    <w:multiLevelType w:val="hybridMultilevel"/>
    <w:tmpl w:val="7506D31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6851B13"/>
    <w:multiLevelType w:val="multilevel"/>
    <w:tmpl w:val="9B02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1664B8"/>
    <w:multiLevelType w:val="multilevel"/>
    <w:tmpl w:val="6BEC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0E50D4"/>
    <w:multiLevelType w:val="hybridMultilevel"/>
    <w:tmpl w:val="1BDABB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1F757674"/>
    <w:multiLevelType w:val="multilevel"/>
    <w:tmpl w:val="3F08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EF27C1"/>
    <w:multiLevelType w:val="multilevel"/>
    <w:tmpl w:val="8D42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2989350F"/>
    <w:multiLevelType w:val="multilevel"/>
    <w:tmpl w:val="8D5C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EF7F24"/>
    <w:multiLevelType w:val="multilevel"/>
    <w:tmpl w:val="B748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791582"/>
    <w:multiLevelType w:val="multilevel"/>
    <w:tmpl w:val="973A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CA43D2"/>
    <w:multiLevelType w:val="multilevel"/>
    <w:tmpl w:val="3CAA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FC0CCD"/>
    <w:multiLevelType w:val="multilevel"/>
    <w:tmpl w:val="78B6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D61F29"/>
    <w:multiLevelType w:val="multilevel"/>
    <w:tmpl w:val="599A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431580"/>
    <w:multiLevelType w:val="multilevel"/>
    <w:tmpl w:val="EC42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3284151"/>
    <w:multiLevelType w:val="multilevel"/>
    <w:tmpl w:val="04F0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06067E1"/>
    <w:multiLevelType w:val="hybridMultilevel"/>
    <w:tmpl w:val="DB306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4FC36C2"/>
    <w:multiLevelType w:val="multilevel"/>
    <w:tmpl w:val="CCDC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E830221"/>
    <w:multiLevelType w:val="multilevel"/>
    <w:tmpl w:val="B194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5119C7"/>
    <w:multiLevelType w:val="multilevel"/>
    <w:tmpl w:val="20C4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EFD35EC"/>
    <w:multiLevelType w:val="multilevel"/>
    <w:tmpl w:val="CADA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C00202"/>
    <w:multiLevelType w:val="multilevel"/>
    <w:tmpl w:val="4E3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540B9F"/>
    <w:multiLevelType w:val="hybridMultilevel"/>
    <w:tmpl w:val="11AE7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7635427"/>
    <w:multiLevelType w:val="multilevel"/>
    <w:tmpl w:val="2204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20837"/>
    <w:multiLevelType w:val="multilevel"/>
    <w:tmpl w:val="AE12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500427"/>
    <w:multiLevelType w:val="multilevel"/>
    <w:tmpl w:val="EA98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6882765">
    <w:abstractNumId w:val="2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37"/>
  </w:num>
  <w:num w:numId="13" w16cid:durableId="695733619">
    <w:abstractNumId w:val="30"/>
  </w:num>
  <w:num w:numId="14" w16cid:durableId="145903400">
    <w:abstractNumId w:val="38"/>
  </w:num>
  <w:num w:numId="15" w16cid:durableId="19162326">
    <w:abstractNumId w:val="42"/>
  </w:num>
  <w:num w:numId="16" w16cid:durableId="1977102699">
    <w:abstractNumId w:val="41"/>
  </w:num>
  <w:num w:numId="17" w16cid:durableId="860774865">
    <w:abstractNumId w:val="28"/>
  </w:num>
  <w:num w:numId="18" w16cid:durableId="313221457">
    <w:abstractNumId w:val="30"/>
    <w:lvlOverride w:ilvl="0">
      <w:startOverride w:val="1"/>
    </w:lvlOverride>
  </w:num>
  <w:num w:numId="19" w16cid:durableId="534971577">
    <w:abstractNumId w:val="36"/>
  </w:num>
  <w:num w:numId="20" w16cid:durableId="1150947773">
    <w:abstractNumId w:val="35"/>
  </w:num>
  <w:num w:numId="21" w16cid:durableId="124660497">
    <w:abstractNumId w:val="32"/>
  </w:num>
  <w:num w:numId="22" w16cid:durableId="2099861471">
    <w:abstractNumId w:val="31"/>
  </w:num>
  <w:num w:numId="23" w16cid:durableId="84351335">
    <w:abstractNumId w:val="13"/>
  </w:num>
  <w:num w:numId="24" w16cid:durableId="432014006">
    <w:abstractNumId w:val="19"/>
  </w:num>
  <w:num w:numId="25" w16cid:durableId="1190799679">
    <w:abstractNumId w:val="24"/>
  </w:num>
  <w:num w:numId="26" w16cid:durableId="595678319">
    <w:abstractNumId w:val="16"/>
  </w:num>
  <w:num w:numId="27" w16cid:durableId="780800141">
    <w:abstractNumId w:val="43"/>
  </w:num>
  <w:num w:numId="28" w16cid:durableId="1519155472">
    <w:abstractNumId w:val="46"/>
  </w:num>
  <w:num w:numId="29" w16cid:durableId="340816427">
    <w:abstractNumId w:val="25"/>
  </w:num>
  <w:num w:numId="30" w16cid:durableId="1522009518">
    <w:abstractNumId w:val="26"/>
  </w:num>
  <w:num w:numId="31" w16cid:durableId="226309144">
    <w:abstractNumId w:val="15"/>
  </w:num>
  <w:num w:numId="32" w16cid:durableId="175467126">
    <w:abstractNumId w:val="21"/>
  </w:num>
  <w:num w:numId="33" w16cid:durableId="208610448">
    <w:abstractNumId w:val="45"/>
  </w:num>
  <w:num w:numId="34" w16cid:durableId="1820266788">
    <w:abstractNumId w:val="33"/>
  </w:num>
  <w:num w:numId="35" w16cid:durableId="2034263461">
    <w:abstractNumId w:val="29"/>
  </w:num>
  <w:num w:numId="36" w16cid:durableId="921834471">
    <w:abstractNumId w:val="23"/>
  </w:num>
  <w:num w:numId="37" w16cid:durableId="86966704">
    <w:abstractNumId w:val="27"/>
  </w:num>
  <w:num w:numId="38" w16cid:durableId="27872941">
    <w:abstractNumId w:val="11"/>
  </w:num>
  <w:num w:numId="39" w16cid:durableId="330645349">
    <w:abstractNumId w:val="47"/>
  </w:num>
  <w:num w:numId="40" w16cid:durableId="592128375">
    <w:abstractNumId w:val="34"/>
  </w:num>
  <w:num w:numId="41" w16cid:durableId="1664356246">
    <w:abstractNumId w:val="48"/>
  </w:num>
  <w:num w:numId="42" w16cid:durableId="436751264">
    <w:abstractNumId w:val="22"/>
  </w:num>
  <w:num w:numId="43" w16cid:durableId="650062227">
    <w:abstractNumId w:val="44"/>
  </w:num>
  <w:num w:numId="44" w16cid:durableId="1625768195">
    <w:abstractNumId w:val="18"/>
  </w:num>
  <w:num w:numId="45" w16cid:durableId="1748379248">
    <w:abstractNumId w:val="40"/>
  </w:num>
  <w:num w:numId="46" w16cid:durableId="1176968078">
    <w:abstractNumId w:val="39"/>
  </w:num>
  <w:num w:numId="47" w16cid:durableId="1797407688">
    <w:abstractNumId w:val="14"/>
  </w:num>
  <w:num w:numId="48" w16cid:durableId="1818494332">
    <w:abstractNumId w:val="17"/>
  </w:num>
  <w:num w:numId="49" w16cid:durableId="1882134538">
    <w:abstractNumId w:val="10"/>
  </w:num>
  <w:num w:numId="50" w16cid:durableId="2463539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29"/>
    <w:rsid w:val="000027C0"/>
    <w:rsid w:val="000052FB"/>
    <w:rsid w:val="00005A19"/>
    <w:rsid w:val="000117CB"/>
    <w:rsid w:val="00012FC3"/>
    <w:rsid w:val="00016FB4"/>
    <w:rsid w:val="00020479"/>
    <w:rsid w:val="0003148D"/>
    <w:rsid w:val="00031EEC"/>
    <w:rsid w:val="00043932"/>
    <w:rsid w:val="000469BD"/>
    <w:rsid w:val="00046A39"/>
    <w:rsid w:val="000513CF"/>
    <w:rsid w:val="00051566"/>
    <w:rsid w:val="0005565C"/>
    <w:rsid w:val="000562A9"/>
    <w:rsid w:val="00056B31"/>
    <w:rsid w:val="00062A9A"/>
    <w:rsid w:val="00062E51"/>
    <w:rsid w:val="00065058"/>
    <w:rsid w:val="00065E8E"/>
    <w:rsid w:val="000761D6"/>
    <w:rsid w:val="00086C39"/>
    <w:rsid w:val="000977A4"/>
    <w:rsid w:val="000A03B2"/>
    <w:rsid w:val="000A7ADE"/>
    <w:rsid w:val="000B2C2F"/>
    <w:rsid w:val="000B413F"/>
    <w:rsid w:val="000B50C7"/>
    <w:rsid w:val="000D008A"/>
    <w:rsid w:val="000D0268"/>
    <w:rsid w:val="000D34BE"/>
    <w:rsid w:val="000E0B3C"/>
    <w:rsid w:val="000E102F"/>
    <w:rsid w:val="000E36F1"/>
    <w:rsid w:val="000E3A73"/>
    <w:rsid w:val="000E414A"/>
    <w:rsid w:val="000E50BA"/>
    <w:rsid w:val="000E75FD"/>
    <w:rsid w:val="000F093C"/>
    <w:rsid w:val="000F4485"/>
    <w:rsid w:val="000F787B"/>
    <w:rsid w:val="0010543C"/>
    <w:rsid w:val="0012091F"/>
    <w:rsid w:val="001211F5"/>
    <w:rsid w:val="00124478"/>
    <w:rsid w:val="00126BC2"/>
    <w:rsid w:val="001308B6"/>
    <w:rsid w:val="0013121F"/>
    <w:rsid w:val="00131FE6"/>
    <w:rsid w:val="0013263F"/>
    <w:rsid w:val="001331DF"/>
    <w:rsid w:val="00133302"/>
    <w:rsid w:val="00134DE4"/>
    <w:rsid w:val="00137309"/>
    <w:rsid w:val="0014034D"/>
    <w:rsid w:val="00140FE3"/>
    <w:rsid w:val="0014154D"/>
    <w:rsid w:val="00144D16"/>
    <w:rsid w:val="00150E59"/>
    <w:rsid w:val="0015234C"/>
    <w:rsid w:val="00152DE3"/>
    <w:rsid w:val="00164CF9"/>
    <w:rsid w:val="001667A6"/>
    <w:rsid w:val="00167E37"/>
    <w:rsid w:val="00173CC5"/>
    <w:rsid w:val="001815F5"/>
    <w:rsid w:val="0018171E"/>
    <w:rsid w:val="00182261"/>
    <w:rsid w:val="00184AD6"/>
    <w:rsid w:val="0019529B"/>
    <w:rsid w:val="001A02C1"/>
    <w:rsid w:val="001A42DB"/>
    <w:rsid w:val="001A4AF7"/>
    <w:rsid w:val="001A68E2"/>
    <w:rsid w:val="001B0349"/>
    <w:rsid w:val="001B1E93"/>
    <w:rsid w:val="001B65C1"/>
    <w:rsid w:val="001B6FE6"/>
    <w:rsid w:val="001C260F"/>
    <w:rsid w:val="001C5C3A"/>
    <w:rsid w:val="001C684B"/>
    <w:rsid w:val="001D0CFB"/>
    <w:rsid w:val="001D21AF"/>
    <w:rsid w:val="001D53FC"/>
    <w:rsid w:val="001E1369"/>
    <w:rsid w:val="001E19CC"/>
    <w:rsid w:val="001E5EF0"/>
    <w:rsid w:val="001F42A5"/>
    <w:rsid w:val="001F6D4F"/>
    <w:rsid w:val="001F7B9D"/>
    <w:rsid w:val="00201C93"/>
    <w:rsid w:val="002070C0"/>
    <w:rsid w:val="002224B4"/>
    <w:rsid w:val="002447EF"/>
    <w:rsid w:val="00251550"/>
    <w:rsid w:val="00263B05"/>
    <w:rsid w:val="0027221A"/>
    <w:rsid w:val="00275B61"/>
    <w:rsid w:val="00280CF2"/>
    <w:rsid w:val="00280F2A"/>
    <w:rsid w:val="00280FAF"/>
    <w:rsid w:val="00282656"/>
    <w:rsid w:val="00282998"/>
    <w:rsid w:val="00292908"/>
    <w:rsid w:val="00296B83"/>
    <w:rsid w:val="00297408"/>
    <w:rsid w:val="002A78B8"/>
    <w:rsid w:val="002B1A7D"/>
    <w:rsid w:val="002B4015"/>
    <w:rsid w:val="002B78CE"/>
    <w:rsid w:val="002C2FB6"/>
    <w:rsid w:val="002D79C3"/>
    <w:rsid w:val="002E0766"/>
    <w:rsid w:val="002E28CA"/>
    <w:rsid w:val="002E5FA7"/>
    <w:rsid w:val="002F3309"/>
    <w:rsid w:val="002F3A92"/>
    <w:rsid w:val="003008CE"/>
    <w:rsid w:val="003009B7"/>
    <w:rsid w:val="00300E56"/>
    <w:rsid w:val="00300EF9"/>
    <w:rsid w:val="0030152C"/>
    <w:rsid w:val="0030469C"/>
    <w:rsid w:val="0031694C"/>
    <w:rsid w:val="0032156A"/>
    <w:rsid w:val="00321CA6"/>
    <w:rsid w:val="00323763"/>
    <w:rsid w:val="00323C5F"/>
    <w:rsid w:val="0032447B"/>
    <w:rsid w:val="0033072D"/>
    <w:rsid w:val="00334C09"/>
    <w:rsid w:val="003723D4"/>
    <w:rsid w:val="00375122"/>
    <w:rsid w:val="00380D6B"/>
    <w:rsid w:val="00381905"/>
    <w:rsid w:val="0038272F"/>
    <w:rsid w:val="00384CC8"/>
    <w:rsid w:val="003871FD"/>
    <w:rsid w:val="003A1E30"/>
    <w:rsid w:val="003A2829"/>
    <w:rsid w:val="003A5840"/>
    <w:rsid w:val="003A7D1C"/>
    <w:rsid w:val="003B304B"/>
    <w:rsid w:val="003B3146"/>
    <w:rsid w:val="003B49CD"/>
    <w:rsid w:val="003B6EB5"/>
    <w:rsid w:val="003D1E02"/>
    <w:rsid w:val="003D6FF4"/>
    <w:rsid w:val="003F015E"/>
    <w:rsid w:val="003F5A0A"/>
    <w:rsid w:val="00400414"/>
    <w:rsid w:val="0040675D"/>
    <w:rsid w:val="0041446B"/>
    <w:rsid w:val="004233FC"/>
    <w:rsid w:val="0044071E"/>
    <w:rsid w:val="00440FB6"/>
    <w:rsid w:val="004423C6"/>
    <w:rsid w:val="0044329C"/>
    <w:rsid w:val="00446773"/>
    <w:rsid w:val="00453E24"/>
    <w:rsid w:val="004549FF"/>
    <w:rsid w:val="00457456"/>
    <w:rsid w:val="004577FE"/>
    <w:rsid w:val="00457B9C"/>
    <w:rsid w:val="0046164A"/>
    <w:rsid w:val="004628D2"/>
    <w:rsid w:val="00462DCD"/>
    <w:rsid w:val="004648AD"/>
    <w:rsid w:val="004703A9"/>
    <w:rsid w:val="00470B75"/>
    <w:rsid w:val="00472DB8"/>
    <w:rsid w:val="004760DE"/>
    <w:rsid w:val="004763D7"/>
    <w:rsid w:val="004A004E"/>
    <w:rsid w:val="004A24CF"/>
    <w:rsid w:val="004B136E"/>
    <w:rsid w:val="004C2017"/>
    <w:rsid w:val="004C3D1D"/>
    <w:rsid w:val="004C3D84"/>
    <w:rsid w:val="004C7913"/>
    <w:rsid w:val="004D1747"/>
    <w:rsid w:val="004E0257"/>
    <w:rsid w:val="004E283B"/>
    <w:rsid w:val="004E4DD6"/>
    <w:rsid w:val="004F5E36"/>
    <w:rsid w:val="004F7A90"/>
    <w:rsid w:val="00507B47"/>
    <w:rsid w:val="00507BEF"/>
    <w:rsid w:val="00507CC9"/>
    <w:rsid w:val="005119A5"/>
    <w:rsid w:val="0051441D"/>
    <w:rsid w:val="005210CF"/>
    <w:rsid w:val="005278B7"/>
    <w:rsid w:val="00531E2D"/>
    <w:rsid w:val="00532016"/>
    <w:rsid w:val="00534491"/>
    <w:rsid w:val="005346C8"/>
    <w:rsid w:val="00534F14"/>
    <w:rsid w:val="005424FC"/>
    <w:rsid w:val="00543E7D"/>
    <w:rsid w:val="00547A68"/>
    <w:rsid w:val="005531C9"/>
    <w:rsid w:val="0055349A"/>
    <w:rsid w:val="00554410"/>
    <w:rsid w:val="00554879"/>
    <w:rsid w:val="00567D91"/>
    <w:rsid w:val="00570C43"/>
    <w:rsid w:val="005721F5"/>
    <w:rsid w:val="00586643"/>
    <w:rsid w:val="00592274"/>
    <w:rsid w:val="005A0B39"/>
    <w:rsid w:val="005A0BCC"/>
    <w:rsid w:val="005A3BBF"/>
    <w:rsid w:val="005A631D"/>
    <w:rsid w:val="005B2110"/>
    <w:rsid w:val="005B350B"/>
    <w:rsid w:val="005B61E6"/>
    <w:rsid w:val="005C4C37"/>
    <w:rsid w:val="005C77E1"/>
    <w:rsid w:val="005D668A"/>
    <w:rsid w:val="005D6A2F"/>
    <w:rsid w:val="005D73B4"/>
    <w:rsid w:val="005E0216"/>
    <w:rsid w:val="005E0592"/>
    <w:rsid w:val="005E1A82"/>
    <w:rsid w:val="005E794C"/>
    <w:rsid w:val="005F0A28"/>
    <w:rsid w:val="005F0E5E"/>
    <w:rsid w:val="005F1A16"/>
    <w:rsid w:val="005F370D"/>
    <w:rsid w:val="005F52D0"/>
    <w:rsid w:val="00600535"/>
    <w:rsid w:val="00610CD6"/>
    <w:rsid w:val="00611843"/>
    <w:rsid w:val="00613D01"/>
    <w:rsid w:val="00616722"/>
    <w:rsid w:val="006178A3"/>
    <w:rsid w:val="00620DEE"/>
    <w:rsid w:val="00621F92"/>
    <w:rsid w:val="0062280A"/>
    <w:rsid w:val="006231E1"/>
    <w:rsid w:val="00625639"/>
    <w:rsid w:val="00631B33"/>
    <w:rsid w:val="00631BDC"/>
    <w:rsid w:val="0064184D"/>
    <w:rsid w:val="006422CC"/>
    <w:rsid w:val="00651D18"/>
    <w:rsid w:val="00657033"/>
    <w:rsid w:val="00660E3E"/>
    <w:rsid w:val="00662E74"/>
    <w:rsid w:val="00680612"/>
    <w:rsid w:val="00680C23"/>
    <w:rsid w:val="00683E23"/>
    <w:rsid w:val="00692883"/>
    <w:rsid w:val="00693766"/>
    <w:rsid w:val="00694265"/>
    <w:rsid w:val="006A3281"/>
    <w:rsid w:val="006A6DE5"/>
    <w:rsid w:val="006B1933"/>
    <w:rsid w:val="006B1BD5"/>
    <w:rsid w:val="006B4888"/>
    <w:rsid w:val="006C0E1B"/>
    <w:rsid w:val="006C2E45"/>
    <w:rsid w:val="006C359C"/>
    <w:rsid w:val="006C5579"/>
    <w:rsid w:val="006C571B"/>
    <w:rsid w:val="006C59ED"/>
    <w:rsid w:val="006C6363"/>
    <w:rsid w:val="006C6599"/>
    <w:rsid w:val="006D36F3"/>
    <w:rsid w:val="006D6E8B"/>
    <w:rsid w:val="006D7116"/>
    <w:rsid w:val="006D7209"/>
    <w:rsid w:val="006E737D"/>
    <w:rsid w:val="00705E03"/>
    <w:rsid w:val="00707DD1"/>
    <w:rsid w:val="00713973"/>
    <w:rsid w:val="0071635A"/>
    <w:rsid w:val="00720A24"/>
    <w:rsid w:val="0072136F"/>
    <w:rsid w:val="00730DEF"/>
    <w:rsid w:val="00732386"/>
    <w:rsid w:val="00732D6C"/>
    <w:rsid w:val="0073514D"/>
    <w:rsid w:val="00736125"/>
    <w:rsid w:val="00742CF1"/>
    <w:rsid w:val="007447F3"/>
    <w:rsid w:val="00751092"/>
    <w:rsid w:val="0075499F"/>
    <w:rsid w:val="007634F0"/>
    <w:rsid w:val="00764244"/>
    <w:rsid w:val="007661C8"/>
    <w:rsid w:val="0077098D"/>
    <w:rsid w:val="00770C55"/>
    <w:rsid w:val="00774F63"/>
    <w:rsid w:val="00775C59"/>
    <w:rsid w:val="00785BF9"/>
    <w:rsid w:val="00787E8C"/>
    <w:rsid w:val="007931FA"/>
    <w:rsid w:val="007933CF"/>
    <w:rsid w:val="007A2D70"/>
    <w:rsid w:val="007A4861"/>
    <w:rsid w:val="007A7BBA"/>
    <w:rsid w:val="007B0C50"/>
    <w:rsid w:val="007B48F9"/>
    <w:rsid w:val="007B6897"/>
    <w:rsid w:val="007C1A43"/>
    <w:rsid w:val="007C2C32"/>
    <w:rsid w:val="007C7670"/>
    <w:rsid w:val="007C7A77"/>
    <w:rsid w:val="007D0951"/>
    <w:rsid w:val="007D610D"/>
    <w:rsid w:val="007D7E83"/>
    <w:rsid w:val="007E0F22"/>
    <w:rsid w:val="007E4370"/>
    <w:rsid w:val="007E602B"/>
    <w:rsid w:val="0080013E"/>
    <w:rsid w:val="00801759"/>
    <w:rsid w:val="008038EA"/>
    <w:rsid w:val="00806EBB"/>
    <w:rsid w:val="00813288"/>
    <w:rsid w:val="00815529"/>
    <w:rsid w:val="00816349"/>
    <w:rsid w:val="008168FC"/>
    <w:rsid w:val="00823543"/>
    <w:rsid w:val="0082438C"/>
    <w:rsid w:val="00826C21"/>
    <w:rsid w:val="00830996"/>
    <w:rsid w:val="00831727"/>
    <w:rsid w:val="00831ECF"/>
    <w:rsid w:val="008345F1"/>
    <w:rsid w:val="00836081"/>
    <w:rsid w:val="0084371B"/>
    <w:rsid w:val="00850F4C"/>
    <w:rsid w:val="00855763"/>
    <w:rsid w:val="00864963"/>
    <w:rsid w:val="00865B07"/>
    <w:rsid w:val="00865CFD"/>
    <w:rsid w:val="008667EA"/>
    <w:rsid w:val="008723AD"/>
    <w:rsid w:val="00875329"/>
    <w:rsid w:val="0087637F"/>
    <w:rsid w:val="00877719"/>
    <w:rsid w:val="00880D0E"/>
    <w:rsid w:val="008917B0"/>
    <w:rsid w:val="00892AD5"/>
    <w:rsid w:val="00893456"/>
    <w:rsid w:val="008A1512"/>
    <w:rsid w:val="008A5AF8"/>
    <w:rsid w:val="008A6A14"/>
    <w:rsid w:val="008C7CAE"/>
    <w:rsid w:val="008D32B9"/>
    <w:rsid w:val="008D433B"/>
    <w:rsid w:val="008D4A16"/>
    <w:rsid w:val="008E23EB"/>
    <w:rsid w:val="008E5401"/>
    <w:rsid w:val="008E566E"/>
    <w:rsid w:val="008F0735"/>
    <w:rsid w:val="008F6E1B"/>
    <w:rsid w:val="0090161A"/>
    <w:rsid w:val="00901EB6"/>
    <w:rsid w:val="009041F8"/>
    <w:rsid w:val="00904C62"/>
    <w:rsid w:val="00911B8F"/>
    <w:rsid w:val="0091475A"/>
    <w:rsid w:val="009206BE"/>
    <w:rsid w:val="00922883"/>
    <w:rsid w:val="00922BA8"/>
    <w:rsid w:val="00924DAC"/>
    <w:rsid w:val="00927058"/>
    <w:rsid w:val="00933CFD"/>
    <w:rsid w:val="00935725"/>
    <w:rsid w:val="009357BB"/>
    <w:rsid w:val="00940D30"/>
    <w:rsid w:val="009412C7"/>
    <w:rsid w:val="00942750"/>
    <w:rsid w:val="00943563"/>
    <w:rsid w:val="009450CE"/>
    <w:rsid w:val="009459BB"/>
    <w:rsid w:val="0094635E"/>
    <w:rsid w:val="00947179"/>
    <w:rsid w:val="0095164B"/>
    <w:rsid w:val="00954090"/>
    <w:rsid w:val="009564E1"/>
    <w:rsid w:val="009573E7"/>
    <w:rsid w:val="00963E05"/>
    <w:rsid w:val="00964A45"/>
    <w:rsid w:val="00967843"/>
    <w:rsid w:val="00967D54"/>
    <w:rsid w:val="00971028"/>
    <w:rsid w:val="00976809"/>
    <w:rsid w:val="009904DB"/>
    <w:rsid w:val="00991135"/>
    <w:rsid w:val="00993B84"/>
    <w:rsid w:val="00994C6A"/>
    <w:rsid w:val="00995EF1"/>
    <w:rsid w:val="00996483"/>
    <w:rsid w:val="00996F5A"/>
    <w:rsid w:val="00997FA8"/>
    <w:rsid w:val="009A1112"/>
    <w:rsid w:val="009B041A"/>
    <w:rsid w:val="009B4DBF"/>
    <w:rsid w:val="009C3627"/>
    <w:rsid w:val="009C37C3"/>
    <w:rsid w:val="009C402F"/>
    <w:rsid w:val="009C7C86"/>
    <w:rsid w:val="009D2FF7"/>
    <w:rsid w:val="009E0434"/>
    <w:rsid w:val="009E292E"/>
    <w:rsid w:val="009E2BD7"/>
    <w:rsid w:val="009E2C49"/>
    <w:rsid w:val="009E4EDB"/>
    <w:rsid w:val="009E7884"/>
    <w:rsid w:val="009E788A"/>
    <w:rsid w:val="009F0E08"/>
    <w:rsid w:val="009F448D"/>
    <w:rsid w:val="009F6C31"/>
    <w:rsid w:val="00A01031"/>
    <w:rsid w:val="00A036F2"/>
    <w:rsid w:val="00A05DE4"/>
    <w:rsid w:val="00A07336"/>
    <w:rsid w:val="00A079AE"/>
    <w:rsid w:val="00A1179F"/>
    <w:rsid w:val="00A13E19"/>
    <w:rsid w:val="00A14D6E"/>
    <w:rsid w:val="00A14E74"/>
    <w:rsid w:val="00A15EAF"/>
    <w:rsid w:val="00A1763D"/>
    <w:rsid w:val="00A176F7"/>
    <w:rsid w:val="00A177DB"/>
    <w:rsid w:val="00A17CEC"/>
    <w:rsid w:val="00A27EF0"/>
    <w:rsid w:val="00A32B3A"/>
    <w:rsid w:val="00A366B9"/>
    <w:rsid w:val="00A42361"/>
    <w:rsid w:val="00A50B20"/>
    <w:rsid w:val="00A51390"/>
    <w:rsid w:val="00A556FA"/>
    <w:rsid w:val="00A60D13"/>
    <w:rsid w:val="00A7223D"/>
    <w:rsid w:val="00A72745"/>
    <w:rsid w:val="00A76EFC"/>
    <w:rsid w:val="00A76F17"/>
    <w:rsid w:val="00A87D50"/>
    <w:rsid w:val="00A90D1C"/>
    <w:rsid w:val="00A91010"/>
    <w:rsid w:val="00A97648"/>
    <w:rsid w:val="00A97786"/>
    <w:rsid w:val="00A97F29"/>
    <w:rsid w:val="00AA702E"/>
    <w:rsid w:val="00AA7D26"/>
    <w:rsid w:val="00AB0801"/>
    <w:rsid w:val="00AB0964"/>
    <w:rsid w:val="00AB2CA7"/>
    <w:rsid w:val="00AB3F7E"/>
    <w:rsid w:val="00AB5011"/>
    <w:rsid w:val="00AB580C"/>
    <w:rsid w:val="00AC7368"/>
    <w:rsid w:val="00AD16B9"/>
    <w:rsid w:val="00AD5BCE"/>
    <w:rsid w:val="00AE377D"/>
    <w:rsid w:val="00AE4DF7"/>
    <w:rsid w:val="00AF0EBA"/>
    <w:rsid w:val="00AF2463"/>
    <w:rsid w:val="00AF766F"/>
    <w:rsid w:val="00B02C8A"/>
    <w:rsid w:val="00B035FC"/>
    <w:rsid w:val="00B06C8C"/>
    <w:rsid w:val="00B17FBD"/>
    <w:rsid w:val="00B25013"/>
    <w:rsid w:val="00B315A6"/>
    <w:rsid w:val="00B31813"/>
    <w:rsid w:val="00B33365"/>
    <w:rsid w:val="00B333E4"/>
    <w:rsid w:val="00B353FD"/>
    <w:rsid w:val="00B41F14"/>
    <w:rsid w:val="00B42251"/>
    <w:rsid w:val="00B44147"/>
    <w:rsid w:val="00B44547"/>
    <w:rsid w:val="00B56A9B"/>
    <w:rsid w:val="00B570D9"/>
    <w:rsid w:val="00B57B36"/>
    <w:rsid w:val="00B57E6F"/>
    <w:rsid w:val="00B61CD5"/>
    <w:rsid w:val="00B741ED"/>
    <w:rsid w:val="00B8686D"/>
    <w:rsid w:val="00B93F69"/>
    <w:rsid w:val="00B941BF"/>
    <w:rsid w:val="00B9450D"/>
    <w:rsid w:val="00B9716F"/>
    <w:rsid w:val="00BA457B"/>
    <w:rsid w:val="00BA6E08"/>
    <w:rsid w:val="00BB1DDC"/>
    <w:rsid w:val="00BB495E"/>
    <w:rsid w:val="00BB5157"/>
    <w:rsid w:val="00BC2CAC"/>
    <w:rsid w:val="00BC30C9"/>
    <w:rsid w:val="00BC4A89"/>
    <w:rsid w:val="00BD077D"/>
    <w:rsid w:val="00BD3BFC"/>
    <w:rsid w:val="00BD3F39"/>
    <w:rsid w:val="00BD7D30"/>
    <w:rsid w:val="00BE2DEB"/>
    <w:rsid w:val="00BE3E58"/>
    <w:rsid w:val="00BE40E3"/>
    <w:rsid w:val="00BE49FE"/>
    <w:rsid w:val="00BE7DD5"/>
    <w:rsid w:val="00BE7E33"/>
    <w:rsid w:val="00BF13CE"/>
    <w:rsid w:val="00BF18C3"/>
    <w:rsid w:val="00BF457C"/>
    <w:rsid w:val="00BF788E"/>
    <w:rsid w:val="00C01616"/>
    <w:rsid w:val="00C0162B"/>
    <w:rsid w:val="00C068ED"/>
    <w:rsid w:val="00C15A20"/>
    <w:rsid w:val="00C22E0C"/>
    <w:rsid w:val="00C31A36"/>
    <w:rsid w:val="00C345B1"/>
    <w:rsid w:val="00C378E3"/>
    <w:rsid w:val="00C40142"/>
    <w:rsid w:val="00C524DE"/>
    <w:rsid w:val="00C52C3C"/>
    <w:rsid w:val="00C5508D"/>
    <w:rsid w:val="00C57182"/>
    <w:rsid w:val="00C576FA"/>
    <w:rsid w:val="00C57863"/>
    <w:rsid w:val="00C6014A"/>
    <w:rsid w:val="00C640AF"/>
    <w:rsid w:val="00C64B63"/>
    <w:rsid w:val="00C655FD"/>
    <w:rsid w:val="00C67BFD"/>
    <w:rsid w:val="00C752C4"/>
    <w:rsid w:val="00C75407"/>
    <w:rsid w:val="00C76AAF"/>
    <w:rsid w:val="00C841C6"/>
    <w:rsid w:val="00C870A8"/>
    <w:rsid w:val="00C91115"/>
    <w:rsid w:val="00C94434"/>
    <w:rsid w:val="00C945CF"/>
    <w:rsid w:val="00CA0D75"/>
    <w:rsid w:val="00CA1C95"/>
    <w:rsid w:val="00CA5A9C"/>
    <w:rsid w:val="00CB7095"/>
    <w:rsid w:val="00CC1FD0"/>
    <w:rsid w:val="00CC4C20"/>
    <w:rsid w:val="00CC55FA"/>
    <w:rsid w:val="00CD3517"/>
    <w:rsid w:val="00CD5FE2"/>
    <w:rsid w:val="00CE2545"/>
    <w:rsid w:val="00CE7C68"/>
    <w:rsid w:val="00D01089"/>
    <w:rsid w:val="00D02B4C"/>
    <w:rsid w:val="00D040C4"/>
    <w:rsid w:val="00D077C2"/>
    <w:rsid w:val="00D17762"/>
    <w:rsid w:val="00D20AD1"/>
    <w:rsid w:val="00D21842"/>
    <w:rsid w:val="00D22EFD"/>
    <w:rsid w:val="00D23D0E"/>
    <w:rsid w:val="00D2582C"/>
    <w:rsid w:val="00D33215"/>
    <w:rsid w:val="00D35E2B"/>
    <w:rsid w:val="00D456D4"/>
    <w:rsid w:val="00D46B7E"/>
    <w:rsid w:val="00D55BD5"/>
    <w:rsid w:val="00D57C84"/>
    <w:rsid w:val="00D6057D"/>
    <w:rsid w:val="00D6101B"/>
    <w:rsid w:val="00D6187A"/>
    <w:rsid w:val="00D64C1B"/>
    <w:rsid w:val="00D66C5F"/>
    <w:rsid w:val="00D708B9"/>
    <w:rsid w:val="00D71640"/>
    <w:rsid w:val="00D75818"/>
    <w:rsid w:val="00D836C5"/>
    <w:rsid w:val="00D84576"/>
    <w:rsid w:val="00D92F9F"/>
    <w:rsid w:val="00D9426C"/>
    <w:rsid w:val="00D9445D"/>
    <w:rsid w:val="00DA1399"/>
    <w:rsid w:val="00DA24C6"/>
    <w:rsid w:val="00DA4173"/>
    <w:rsid w:val="00DA4D7B"/>
    <w:rsid w:val="00DA56C0"/>
    <w:rsid w:val="00DB0451"/>
    <w:rsid w:val="00DC0630"/>
    <w:rsid w:val="00DC2840"/>
    <w:rsid w:val="00DC2FD9"/>
    <w:rsid w:val="00DC73EE"/>
    <w:rsid w:val="00DD1F35"/>
    <w:rsid w:val="00DD271C"/>
    <w:rsid w:val="00DD4F5B"/>
    <w:rsid w:val="00DE264A"/>
    <w:rsid w:val="00DF21E3"/>
    <w:rsid w:val="00DF5072"/>
    <w:rsid w:val="00E00972"/>
    <w:rsid w:val="00E02D18"/>
    <w:rsid w:val="00E041E7"/>
    <w:rsid w:val="00E17F6B"/>
    <w:rsid w:val="00E208F3"/>
    <w:rsid w:val="00E23CA1"/>
    <w:rsid w:val="00E409A8"/>
    <w:rsid w:val="00E42943"/>
    <w:rsid w:val="00E50C12"/>
    <w:rsid w:val="00E65B91"/>
    <w:rsid w:val="00E67EC2"/>
    <w:rsid w:val="00E7209D"/>
    <w:rsid w:val="00E72EAD"/>
    <w:rsid w:val="00E764CE"/>
    <w:rsid w:val="00E77223"/>
    <w:rsid w:val="00E825FC"/>
    <w:rsid w:val="00E82767"/>
    <w:rsid w:val="00E8528B"/>
    <w:rsid w:val="00E85B94"/>
    <w:rsid w:val="00E978D0"/>
    <w:rsid w:val="00E97D3C"/>
    <w:rsid w:val="00EA06EC"/>
    <w:rsid w:val="00EA4613"/>
    <w:rsid w:val="00EA5766"/>
    <w:rsid w:val="00EA5BE8"/>
    <w:rsid w:val="00EA7F91"/>
    <w:rsid w:val="00EB1523"/>
    <w:rsid w:val="00EC0E49"/>
    <w:rsid w:val="00EC101F"/>
    <w:rsid w:val="00EC1D9F"/>
    <w:rsid w:val="00ED1E27"/>
    <w:rsid w:val="00ED5BD4"/>
    <w:rsid w:val="00EE0131"/>
    <w:rsid w:val="00EE0873"/>
    <w:rsid w:val="00EE17B0"/>
    <w:rsid w:val="00EF06D9"/>
    <w:rsid w:val="00EF1824"/>
    <w:rsid w:val="00F11A7F"/>
    <w:rsid w:val="00F12B80"/>
    <w:rsid w:val="00F17950"/>
    <w:rsid w:val="00F274F3"/>
    <w:rsid w:val="00F27EE4"/>
    <w:rsid w:val="00F3049E"/>
    <w:rsid w:val="00F30C64"/>
    <w:rsid w:val="00F32BA2"/>
    <w:rsid w:val="00F32CDB"/>
    <w:rsid w:val="00F3496B"/>
    <w:rsid w:val="00F36ACF"/>
    <w:rsid w:val="00F41EE4"/>
    <w:rsid w:val="00F43511"/>
    <w:rsid w:val="00F44293"/>
    <w:rsid w:val="00F45F35"/>
    <w:rsid w:val="00F565FE"/>
    <w:rsid w:val="00F63A70"/>
    <w:rsid w:val="00F63D8C"/>
    <w:rsid w:val="00F64A3D"/>
    <w:rsid w:val="00F66E0A"/>
    <w:rsid w:val="00F7534E"/>
    <w:rsid w:val="00F76522"/>
    <w:rsid w:val="00F8330C"/>
    <w:rsid w:val="00F847A0"/>
    <w:rsid w:val="00F93EDF"/>
    <w:rsid w:val="00FA1802"/>
    <w:rsid w:val="00FA1A2F"/>
    <w:rsid w:val="00FA21D0"/>
    <w:rsid w:val="00FA3A34"/>
    <w:rsid w:val="00FA5F5F"/>
    <w:rsid w:val="00FB3C7B"/>
    <w:rsid w:val="00FB62CF"/>
    <w:rsid w:val="00FB730C"/>
    <w:rsid w:val="00FC2695"/>
    <w:rsid w:val="00FC3E03"/>
    <w:rsid w:val="00FC3FC1"/>
    <w:rsid w:val="00FE40AC"/>
    <w:rsid w:val="00FF19C3"/>
    <w:rsid w:val="079BBA74"/>
    <w:rsid w:val="242AD4A8"/>
    <w:rsid w:val="2E634CE5"/>
    <w:rsid w:val="4A1E2A6F"/>
    <w:rsid w:val="5C6F41D6"/>
    <w:rsid w:val="5E1B4E91"/>
    <w:rsid w:val="78B7C04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5210CF"/>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paragraph" w:customStyle="1" w:styleId="paragraph">
    <w:name w:val="paragraph"/>
    <w:basedOn w:val="Normal"/>
    <w:rsid w:val="00806EBB"/>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customStyle="1" w:styleId="normaltextrun">
    <w:name w:val="normaltextrun"/>
    <w:basedOn w:val="DefaultParagraphFont"/>
    <w:rsid w:val="00806EBB"/>
  </w:style>
  <w:style w:type="character" w:customStyle="1" w:styleId="eop">
    <w:name w:val="eop"/>
    <w:basedOn w:val="DefaultParagraphFont"/>
    <w:rsid w:val="00806EBB"/>
  </w:style>
  <w:style w:type="character" w:customStyle="1" w:styleId="wacimagecontainer">
    <w:name w:val="wacimagecontainer"/>
    <w:basedOn w:val="DefaultParagraphFont"/>
    <w:rsid w:val="00D22EFD"/>
  </w:style>
  <w:style w:type="paragraph" w:styleId="Revision">
    <w:name w:val="Revision"/>
    <w:hidden/>
    <w:uiPriority w:val="99"/>
    <w:semiHidden/>
    <w:rsid w:val="005D73B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02820">
      <w:bodyDiv w:val="1"/>
      <w:marLeft w:val="0"/>
      <w:marRight w:val="0"/>
      <w:marTop w:val="0"/>
      <w:marBottom w:val="0"/>
      <w:divBdr>
        <w:top w:val="none" w:sz="0" w:space="0" w:color="auto"/>
        <w:left w:val="none" w:sz="0" w:space="0" w:color="auto"/>
        <w:bottom w:val="none" w:sz="0" w:space="0" w:color="auto"/>
        <w:right w:val="none" w:sz="0" w:space="0" w:color="auto"/>
      </w:divBdr>
      <w:divsChild>
        <w:div w:id="151066835">
          <w:marLeft w:val="0"/>
          <w:marRight w:val="0"/>
          <w:marTop w:val="0"/>
          <w:marBottom w:val="0"/>
          <w:divBdr>
            <w:top w:val="none" w:sz="0" w:space="0" w:color="auto"/>
            <w:left w:val="none" w:sz="0" w:space="0" w:color="auto"/>
            <w:bottom w:val="none" w:sz="0" w:space="0" w:color="auto"/>
            <w:right w:val="none" w:sz="0" w:space="0" w:color="auto"/>
          </w:divBdr>
        </w:div>
        <w:div w:id="1994411545">
          <w:marLeft w:val="0"/>
          <w:marRight w:val="0"/>
          <w:marTop w:val="0"/>
          <w:marBottom w:val="0"/>
          <w:divBdr>
            <w:top w:val="none" w:sz="0" w:space="0" w:color="auto"/>
            <w:left w:val="none" w:sz="0" w:space="0" w:color="auto"/>
            <w:bottom w:val="none" w:sz="0" w:space="0" w:color="auto"/>
            <w:right w:val="none" w:sz="0" w:space="0" w:color="auto"/>
          </w:divBdr>
        </w:div>
        <w:div w:id="791678958">
          <w:marLeft w:val="0"/>
          <w:marRight w:val="0"/>
          <w:marTop w:val="0"/>
          <w:marBottom w:val="0"/>
          <w:divBdr>
            <w:top w:val="none" w:sz="0" w:space="0" w:color="auto"/>
            <w:left w:val="none" w:sz="0" w:space="0" w:color="auto"/>
            <w:bottom w:val="none" w:sz="0" w:space="0" w:color="auto"/>
            <w:right w:val="none" w:sz="0" w:space="0" w:color="auto"/>
          </w:divBdr>
        </w:div>
        <w:div w:id="545484751">
          <w:marLeft w:val="0"/>
          <w:marRight w:val="0"/>
          <w:marTop w:val="0"/>
          <w:marBottom w:val="0"/>
          <w:divBdr>
            <w:top w:val="none" w:sz="0" w:space="0" w:color="auto"/>
            <w:left w:val="none" w:sz="0" w:space="0" w:color="auto"/>
            <w:bottom w:val="none" w:sz="0" w:space="0" w:color="auto"/>
            <w:right w:val="none" w:sz="0" w:space="0" w:color="auto"/>
          </w:divBdr>
        </w:div>
        <w:div w:id="2104524643">
          <w:marLeft w:val="0"/>
          <w:marRight w:val="0"/>
          <w:marTop w:val="0"/>
          <w:marBottom w:val="0"/>
          <w:divBdr>
            <w:top w:val="none" w:sz="0" w:space="0" w:color="auto"/>
            <w:left w:val="none" w:sz="0" w:space="0" w:color="auto"/>
            <w:bottom w:val="none" w:sz="0" w:space="0" w:color="auto"/>
            <w:right w:val="none" w:sz="0" w:space="0" w:color="auto"/>
          </w:divBdr>
        </w:div>
        <w:div w:id="778984730">
          <w:marLeft w:val="0"/>
          <w:marRight w:val="0"/>
          <w:marTop w:val="0"/>
          <w:marBottom w:val="0"/>
          <w:divBdr>
            <w:top w:val="none" w:sz="0" w:space="0" w:color="auto"/>
            <w:left w:val="none" w:sz="0" w:space="0" w:color="auto"/>
            <w:bottom w:val="none" w:sz="0" w:space="0" w:color="auto"/>
            <w:right w:val="none" w:sz="0" w:space="0" w:color="auto"/>
          </w:divBdr>
        </w:div>
        <w:div w:id="1528300503">
          <w:marLeft w:val="0"/>
          <w:marRight w:val="0"/>
          <w:marTop w:val="0"/>
          <w:marBottom w:val="0"/>
          <w:divBdr>
            <w:top w:val="none" w:sz="0" w:space="0" w:color="auto"/>
            <w:left w:val="none" w:sz="0" w:space="0" w:color="auto"/>
            <w:bottom w:val="none" w:sz="0" w:space="0" w:color="auto"/>
            <w:right w:val="none" w:sz="0" w:space="0" w:color="auto"/>
          </w:divBdr>
        </w:div>
        <w:div w:id="1749689052">
          <w:marLeft w:val="0"/>
          <w:marRight w:val="0"/>
          <w:marTop w:val="0"/>
          <w:marBottom w:val="0"/>
          <w:divBdr>
            <w:top w:val="none" w:sz="0" w:space="0" w:color="auto"/>
            <w:left w:val="none" w:sz="0" w:space="0" w:color="auto"/>
            <w:bottom w:val="none" w:sz="0" w:space="0" w:color="auto"/>
            <w:right w:val="none" w:sz="0" w:space="0" w:color="auto"/>
          </w:divBdr>
        </w:div>
        <w:div w:id="1456484115">
          <w:marLeft w:val="0"/>
          <w:marRight w:val="0"/>
          <w:marTop w:val="0"/>
          <w:marBottom w:val="0"/>
          <w:divBdr>
            <w:top w:val="none" w:sz="0" w:space="0" w:color="auto"/>
            <w:left w:val="none" w:sz="0" w:space="0" w:color="auto"/>
            <w:bottom w:val="none" w:sz="0" w:space="0" w:color="auto"/>
            <w:right w:val="none" w:sz="0" w:space="0" w:color="auto"/>
          </w:divBdr>
        </w:div>
        <w:div w:id="2038190387">
          <w:marLeft w:val="0"/>
          <w:marRight w:val="0"/>
          <w:marTop w:val="0"/>
          <w:marBottom w:val="0"/>
          <w:divBdr>
            <w:top w:val="none" w:sz="0" w:space="0" w:color="auto"/>
            <w:left w:val="none" w:sz="0" w:space="0" w:color="auto"/>
            <w:bottom w:val="none" w:sz="0" w:space="0" w:color="auto"/>
            <w:right w:val="none" w:sz="0" w:space="0" w:color="auto"/>
          </w:divBdr>
        </w:div>
        <w:div w:id="738593949">
          <w:marLeft w:val="0"/>
          <w:marRight w:val="0"/>
          <w:marTop w:val="0"/>
          <w:marBottom w:val="0"/>
          <w:divBdr>
            <w:top w:val="none" w:sz="0" w:space="0" w:color="auto"/>
            <w:left w:val="none" w:sz="0" w:space="0" w:color="auto"/>
            <w:bottom w:val="none" w:sz="0" w:space="0" w:color="auto"/>
            <w:right w:val="none" w:sz="0" w:space="0" w:color="auto"/>
          </w:divBdr>
        </w:div>
        <w:div w:id="1962224862">
          <w:marLeft w:val="0"/>
          <w:marRight w:val="0"/>
          <w:marTop w:val="0"/>
          <w:marBottom w:val="0"/>
          <w:divBdr>
            <w:top w:val="none" w:sz="0" w:space="0" w:color="auto"/>
            <w:left w:val="none" w:sz="0" w:space="0" w:color="auto"/>
            <w:bottom w:val="none" w:sz="0" w:space="0" w:color="auto"/>
            <w:right w:val="none" w:sz="0" w:space="0" w:color="auto"/>
          </w:divBdr>
        </w:div>
        <w:div w:id="1730106344">
          <w:marLeft w:val="0"/>
          <w:marRight w:val="0"/>
          <w:marTop w:val="0"/>
          <w:marBottom w:val="0"/>
          <w:divBdr>
            <w:top w:val="none" w:sz="0" w:space="0" w:color="auto"/>
            <w:left w:val="none" w:sz="0" w:space="0" w:color="auto"/>
            <w:bottom w:val="none" w:sz="0" w:space="0" w:color="auto"/>
            <w:right w:val="none" w:sz="0" w:space="0" w:color="auto"/>
          </w:divBdr>
        </w:div>
      </w:divsChild>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27361713">
      <w:bodyDiv w:val="1"/>
      <w:marLeft w:val="0"/>
      <w:marRight w:val="0"/>
      <w:marTop w:val="0"/>
      <w:marBottom w:val="0"/>
      <w:divBdr>
        <w:top w:val="none" w:sz="0" w:space="0" w:color="auto"/>
        <w:left w:val="none" w:sz="0" w:space="0" w:color="auto"/>
        <w:bottom w:val="none" w:sz="0" w:space="0" w:color="auto"/>
        <w:right w:val="none" w:sz="0" w:space="0" w:color="auto"/>
      </w:divBdr>
    </w:div>
    <w:div w:id="207764465">
      <w:bodyDiv w:val="1"/>
      <w:marLeft w:val="0"/>
      <w:marRight w:val="0"/>
      <w:marTop w:val="0"/>
      <w:marBottom w:val="0"/>
      <w:divBdr>
        <w:top w:val="none" w:sz="0" w:space="0" w:color="auto"/>
        <w:left w:val="none" w:sz="0" w:space="0" w:color="auto"/>
        <w:bottom w:val="none" w:sz="0" w:space="0" w:color="auto"/>
        <w:right w:val="none" w:sz="0" w:space="0" w:color="auto"/>
      </w:divBdr>
      <w:divsChild>
        <w:div w:id="236597645">
          <w:marLeft w:val="0"/>
          <w:marRight w:val="0"/>
          <w:marTop w:val="0"/>
          <w:marBottom w:val="0"/>
          <w:divBdr>
            <w:top w:val="none" w:sz="0" w:space="0" w:color="auto"/>
            <w:left w:val="none" w:sz="0" w:space="0" w:color="auto"/>
            <w:bottom w:val="none" w:sz="0" w:space="0" w:color="auto"/>
            <w:right w:val="none" w:sz="0" w:space="0" w:color="auto"/>
          </w:divBdr>
        </w:div>
        <w:div w:id="46035225">
          <w:marLeft w:val="0"/>
          <w:marRight w:val="0"/>
          <w:marTop w:val="0"/>
          <w:marBottom w:val="0"/>
          <w:divBdr>
            <w:top w:val="none" w:sz="0" w:space="0" w:color="auto"/>
            <w:left w:val="none" w:sz="0" w:space="0" w:color="auto"/>
            <w:bottom w:val="none" w:sz="0" w:space="0" w:color="auto"/>
            <w:right w:val="none" w:sz="0" w:space="0" w:color="auto"/>
          </w:divBdr>
        </w:div>
        <w:div w:id="82344362">
          <w:marLeft w:val="0"/>
          <w:marRight w:val="0"/>
          <w:marTop w:val="0"/>
          <w:marBottom w:val="0"/>
          <w:divBdr>
            <w:top w:val="none" w:sz="0" w:space="0" w:color="auto"/>
            <w:left w:val="none" w:sz="0" w:space="0" w:color="auto"/>
            <w:bottom w:val="none" w:sz="0" w:space="0" w:color="auto"/>
            <w:right w:val="none" w:sz="0" w:space="0" w:color="auto"/>
          </w:divBdr>
        </w:div>
      </w:divsChild>
    </w:div>
    <w:div w:id="246766015">
      <w:bodyDiv w:val="1"/>
      <w:marLeft w:val="0"/>
      <w:marRight w:val="0"/>
      <w:marTop w:val="0"/>
      <w:marBottom w:val="0"/>
      <w:divBdr>
        <w:top w:val="none" w:sz="0" w:space="0" w:color="auto"/>
        <w:left w:val="none" w:sz="0" w:space="0" w:color="auto"/>
        <w:bottom w:val="none" w:sz="0" w:space="0" w:color="auto"/>
        <w:right w:val="none" w:sz="0" w:space="0" w:color="auto"/>
      </w:divBdr>
      <w:divsChild>
        <w:div w:id="400517681">
          <w:marLeft w:val="0"/>
          <w:marRight w:val="0"/>
          <w:marTop w:val="0"/>
          <w:marBottom w:val="0"/>
          <w:divBdr>
            <w:top w:val="none" w:sz="0" w:space="0" w:color="auto"/>
            <w:left w:val="none" w:sz="0" w:space="0" w:color="auto"/>
            <w:bottom w:val="none" w:sz="0" w:space="0" w:color="auto"/>
            <w:right w:val="none" w:sz="0" w:space="0" w:color="auto"/>
          </w:divBdr>
        </w:div>
        <w:div w:id="1861552717">
          <w:marLeft w:val="0"/>
          <w:marRight w:val="0"/>
          <w:marTop w:val="0"/>
          <w:marBottom w:val="0"/>
          <w:divBdr>
            <w:top w:val="none" w:sz="0" w:space="0" w:color="auto"/>
            <w:left w:val="none" w:sz="0" w:space="0" w:color="auto"/>
            <w:bottom w:val="none" w:sz="0" w:space="0" w:color="auto"/>
            <w:right w:val="none" w:sz="0" w:space="0" w:color="auto"/>
          </w:divBdr>
        </w:div>
        <w:div w:id="731004746">
          <w:marLeft w:val="0"/>
          <w:marRight w:val="0"/>
          <w:marTop w:val="0"/>
          <w:marBottom w:val="0"/>
          <w:divBdr>
            <w:top w:val="none" w:sz="0" w:space="0" w:color="auto"/>
            <w:left w:val="none" w:sz="0" w:space="0" w:color="auto"/>
            <w:bottom w:val="none" w:sz="0" w:space="0" w:color="auto"/>
            <w:right w:val="none" w:sz="0" w:space="0" w:color="auto"/>
          </w:divBdr>
        </w:div>
        <w:div w:id="370040274">
          <w:marLeft w:val="0"/>
          <w:marRight w:val="0"/>
          <w:marTop w:val="0"/>
          <w:marBottom w:val="0"/>
          <w:divBdr>
            <w:top w:val="none" w:sz="0" w:space="0" w:color="auto"/>
            <w:left w:val="none" w:sz="0" w:space="0" w:color="auto"/>
            <w:bottom w:val="none" w:sz="0" w:space="0" w:color="auto"/>
            <w:right w:val="none" w:sz="0" w:space="0" w:color="auto"/>
          </w:divBdr>
        </w:div>
        <w:div w:id="1412003281">
          <w:marLeft w:val="0"/>
          <w:marRight w:val="0"/>
          <w:marTop w:val="0"/>
          <w:marBottom w:val="0"/>
          <w:divBdr>
            <w:top w:val="none" w:sz="0" w:space="0" w:color="auto"/>
            <w:left w:val="none" w:sz="0" w:space="0" w:color="auto"/>
            <w:bottom w:val="none" w:sz="0" w:space="0" w:color="auto"/>
            <w:right w:val="none" w:sz="0" w:space="0" w:color="auto"/>
          </w:divBdr>
        </w:div>
      </w:divsChild>
    </w:div>
    <w:div w:id="291593659">
      <w:bodyDiv w:val="1"/>
      <w:marLeft w:val="0"/>
      <w:marRight w:val="0"/>
      <w:marTop w:val="0"/>
      <w:marBottom w:val="0"/>
      <w:divBdr>
        <w:top w:val="none" w:sz="0" w:space="0" w:color="auto"/>
        <w:left w:val="none" w:sz="0" w:space="0" w:color="auto"/>
        <w:bottom w:val="none" w:sz="0" w:space="0" w:color="auto"/>
        <w:right w:val="none" w:sz="0" w:space="0" w:color="auto"/>
      </w:divBdr>
      <w:divsChild>
        <w:div w:id="177738166">
          <w:marLeft w:val="0"/>
          <w:marRight w:val="0"/>
          <w:marTop w:val="0"/>
          <w:marBottom w:val="0"/>
          <w:divBdr>
            <w:top w:val="none" w:sz="0" w:space="0" w:color="auto"/>
            <w:left w:val="none" w:sz="0" w:space="0" w:color="auto"/>
            <w:bottom w:val="none" w:sz="0" w:space="0" w:color="auto"/>
            <w:right w:val="none" w:sz="0" w:space="0" w:color="auto"/>
          </w:divBdr>
        </w:div>
        <w:div w:id="2015648125">
          <w:marLeft w:val="0"/>
          <w:marRight w:val="0"/>
          <w:marTop w:val="0"/>
          <w:marBottom w:val="0"/>
          <w:divBdr>
            <w:top w:val="none" w:sz="0" w:space="0" w:color="auto"/>
            <w:left w:val="none" w:sz="0" w:space="0" w:color="auto"/>
            <w:bottom w:val="none" w:sz="0" w:space="0" w:color="auto"/>
            <w:right w:val="none" w:sz="0" w:space="0" w:color="auto"/>
          </w:divBdr>
        </w:div>
        <w:div w:id="1009016744">
          <w:marLeft w:val="0"/>
          <w:marRight w:val="0"/>
          <w:marTop w:val="0"/>
          <w:marBottom w:val="0"/>
          <w:divBdr>
            <w:top w:val="none" w:sz="0" w:space="0" w:color="auto"/>
            <w:left w:val="none" w:sz="0" w:space="0" w:color="auto"/>
            <w:bottom w:val="none" w:sz="0" w:space="0" w:color="auto"/>
            <w:right w:val="none" w:sz="0" w:space="0" w:color="auto"/>
          </w:divBdr>
        </w:div>
        <w:div w:id="1410421957">
          <w:marLeft w:val="0"/>
          <w:marRight w:val="0"/>
          <w:marTop w:val="0"/>
          <w:marBottom w:val="0"/>
          <w:divBdr>
            <w:top w:val="none" w:sz="0" w:space="0" w:color="auto"/>
            <w:left w:val="none" w:sz="0" w:space="0" w:color="auto"/>
            <w:bottom w:val="none" w:sz="0" w:space="0" w:color="auto"/>
            <w:right w:val="none" w:sz="0" w:space="0" w:color="auto"/>
          </w:divBdr>
        </w:div>
        <w:div w:id="745960186">
          <w:marLeft w:val="0"/>
          <w:marRight w:val="0"/>
          <w:marTop w:val="0"/>
          <w:marBottom w:val="0"/>
          <w:divBdr>
            <w:top w:val="none" w:sz="0" w:space="0" w:color="auto"/>
            <w:left w:val="none" w:sz="0" w:space="0" w:color="auto"/>
            <w:bottom w:val="none" w:sz="0" w:space="0" w:color="auto"/>
            <w:right w:val="none" w:sz="0" w:space="0" w:color="auto"/>
          </w:divBdr>
        </w:div>
        <w:div w:id="437215383">
          <w:marLeft w:val="0"/>
          <w:marRight w:val="0"/>
          <w:marTop w:val="0"/>
          <w:marBottom w:val="0"/>
          <w:divBdr>
            <w:top w:val="none" w:sz="0" w:space="0" w:color="auto"/>
            <w:left w:val="none" w:sz="0" w:space="0" w:color="auto"/>
            <w:bottom w:val="none" w:sz="0" w:space="0" w:color="auto"/>
            <w:right w:val="none" w:sz="0" w:space="0" w:color="auto"/>
          </w:divBdr>
        </w:div>
        <w:div w:id="447243582">
          <w:marLeft w:val="0"/>
          <w:marRight w:val="0"/>
          <w:marTop w:val="0"/>
          <w:marBottom w:val="0"/>
          <w:divBdr>
            <w:top w:val="none" w:sz="0" w:space="0" w:color="auto"/>
            <w:left w:val="none" w:sz="0" w:space="0" w:color="auto"/>
            <w:bottom w:val="none" w:sz="0" w:space="0" w:color="auto"/>
            <w:right w:val="none" w:sz="0" w:space="0" w:color="auto"/>
          </w:divBdr>
        </w:div>
      </w:divsChild>
    </w:div>
    <w:div w:id="481773854">
      <w:bodyDiv w:val="1"/>
      <w:marLeft w:val="0"/>
      <w:marRight w:val="0"/>
      <w:marTop w:val="0"/>
      <w:marBottom w:val="0"/>
      <w:divBdr>
        <w:top w:val="none" w:sz="0" w:space="0" w:color="auto"/>
        <w:left w:val="none" w:sz="0" w:space="0" w:color="auto"/>
        <w:bottom w:val="none" w:sz="0" w:space="0" w:color="auto"/>
        <w:right w:val="none" w:sz="0" w:space="0" w:color="auto"/>
      </w:divBdr>
    </w:div>
    <w:div w:id="558632829">
      <w:bodyDiv w:val="1"/>
      <w:marLeft w:val="0"/>
      <w:marRight w:val="0"/>
      <w:marTop w:val="0"/>
      <w:marBottom w:val="0"/>
      <w:divBdr>
        <w:top w:val="none" w:sz="0" w:space="0" w:color="auto"/>
        <w:left w:val="none" w:sz="0" w:space="0" w:color="auto"/>
        <w:bottom w:val="none" w:sz="0" w:space="0" w:color="auto"/>
        <w:right w:val="none" w:sz="0" w:space="0" w:color="auto"/>
      </w:divBdr>
    </w:div>
    <w:div w:id="630088127">
      <w:bodyDiv w:val="1"/>
      <w:marLeft w:val="0"/>
      <w:marRight w:val="0"/>
      <w:marTop w:val="0"/>
      <w:marBottom w:val="0"/>
      <w:divBdr>
        <w:top w:val="none" w:sz="0" w:space="0" w:color="auto"/>
        <w:left w:val="none" w:sz="0" w:space="0" w:color="auto"/>
        <w:bottom w:val="none" w:sz="0" w:space="0" w:color="auto"/>
        <w:right w:val="none" w:sz="0" w:space="0" w:color="auto"/>
      </w:divBdr>
    </w:div>
    <w:div w:id="643896929">
      <w:bodyDiv w:val="1"/>
      <w:marLeft w:val="0"/>
      <w:marRight w:val="0"/>
      <w:marTop w:val="0"/>
      <w:marBottom w:val="0"/>
      <w:divBdr>
        <w:top w:val="none" w:sz="0" w:space="0" w:color="auto"/>
        <w:left w:val="none" w:sz="0" w:space="0" w:color="auto"/>
        <w:bottom w:val="none" w:sz="0" w:space="0" w:color="auto"/>
        <w:right w:val="none" w:sz="0" w:space="0" w:color="auto"/>
      </w:divBdr>
    </w:div>
    <w:div w:id="658272065">
      <w:bodyDiv w:val="1"/>
      <w:marLeft w:val="0"/>
      <w:marRight w:val="0"/>
      <w:marTop w:val="0"/>
      <w:marBottom w:val="0"/>
      <w:divBdr>
        <w:top w:val="none" w:sz="0" w:space="0" w:color="auto"/>
        <w:left w:val="none" w:sz="0" w:space="0" w:color="auto"/>
        <w:bottom w:val="none" w:sz="0" w:space="0" w:color="auto"/>
        <w:right w:val="none" w:sz="0" w:space="0" w:color="auto"/>
      </w:divBdr>
    </w:div>
    <w:div w:id="726420915">
      <w:bodyDiv w:val="1"/>
      <w:marLeft w:val="0"/>
      <w:marRight w:val="0"/>
      <w:marTop w:val="0"/>
      <w:marBottom w:val="0"/>
      <w:divBdr>
        <w:top w:val="none" w:sz="0" w:space="0" w:color="auto"/>
        <w:left w:val="none" w:sz="0" w:space="0" w:color="auto"/>
        <w:bottom w:val="none" w:sz="0" w:space="0" w:color="auto"/>
        <w:right w:val="none" w:sz="0" w:space="0" w:color="auto"/>
      </w:divBdr>
    </w:div>
    <w:div w:id="729499677">
      <w:bodyDiv w:val="1"/>
      <w:marLeft w:val="0"/>
      <w:marRight w:val="0"/>
      <w:marTop w:val="0"/>
      <w:marBottom w:val="0"/>
      <w:divBdr>
        <w:top w:val="none" w:sz="0" w:space="0" w:color="auto"/>
        <w:left w:val="none" w:sz="0" w:space="0" w:color="auto"/>
        <w:bottom w:val="none" w:sz="0" w:space="0" w:color="auto"/>
        <w:right w:val="none" w:sz="0" w:space="0" w:color="auto"/>
      </w:divBdr>
      <w:divsChild>
        <w:div w:id="802622175">
          <w:marLeft w:val="0"/>
          <w:marRight w:val="0"/>
          <w:marTop w:val="0"/>
          <w:marBottom w:val="0"/>
          <w:divBdr>
            <w:top w:val="none" w:sz="0" w:space="0" w:color="auto"/>
            <w:left w:val="none" w:sz="0" w:space="0" w:color="auto"/>
            <w:bottom w:val="none" w:sz="0" w:space="0" w:color="auto"/>
            <w:right w:val="none" w:sz="0" w:space="0" w:color="auto"/>
          </w:divBdr>
        </w:div>
        <w:div w:id="660043418">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7496">
      <w:bodyDiv w:val="1"/>
      <w:marLeft w:val="0"/>
      <w:marRight w:val="0"/>
      <w:marTop w:val="0"/>
      <w:marBottom w:val="0"/>
      <w:divBdr>
        <w:top w:val="none" w:sz="0" w:space="0" w:color="auto"/>
        <w:left w:val="none" w:sz="0" w:space="0" w:color="auto"/>
        <w:bottom w:val="none" w:sz="0" w:space="0" w:color="auto"/>
        <w:right w:val="none" w:sz="0" w:space="0" w:color="auto"/>
      </w:divBdr>
    </w:div>
    <w:div w:id="91451197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4216">
      <w:bodyDiv w:val="1"/>
      <w:marLeft w:val="0"/>
      <w:marRight w:val="0"/>
      <w:marTop w:val="0"/>
      <w:marBottom w:val="0"/>
      <w:divBdr>
        <w:top w:val="none" w:sz="0" w:space="0" w:color="auto"/>
        <w:left w:val="none" w:sz="0" w:space="0" w:color="auto"/>
        <w:bottom w:val="none" w:sz="0" w:space="0" w:color="auto"/>
        <w:right w:val="none" w:sz="0" w:space="0" w:color="auto"/>
      </w:divBdr>
      <w:divsChild>
        <w:div w:id="447554009">
          <w:marLeft w:val="0"/>
          <w:marRight w:val="0"/>
          <w:marTop w:val="0"/>
          <w:marBottom w:val="0"/>
          <w:divBdr>
            <w:top w:val="none" w:sz="0" w:space="0" w:color="auto"/>
            <w:left w:val="none" w:sz="0" w:space="0" w:color="auto"/>
            <w:bottom w:val="none" w:sz="0" w:space="0" w:color="auto"/>
            <w:right w:val="none" w:sz="0" w:space="0" w:color="auto"/>
          </w:divBdr>
        </w:div>
        <w:div w:id="529534638">
          <w:marLeft w:val="0"/>
          <w:marRight w:val="0"/>
          <w:marTop w:val="0"/>
          <w:marBottom w:val="0"/>
          <w:divBdr>
            <w:top w:val="none" w:sz="0" w:space="0" w:color="auto"/>
            <w:left w:val="none" w:sz="0" w:space="0" w:color="auto"/>
            <w:bottom w:val="none" w:sz="0" w:space="0" w:color="auto"/>
            <w:right w:val="none" w:sz="0" w:space="0" w:color="auto"/>
          </w:divBdr>
        </w:div>
      </w:divsChild>
    </w:div>
    <w:div w:id="1145899063">
      <w:bodyDiv w:val="1"/>
      <w:marLeft w:val="0"/>
      <w:marRight w:val="0"/>
      <w:marTop w:val="0"/>
      <w:marBottom w:val="0"/>
      <w:divBdr>
        <w:top w:val="none" w:sz="0" w:space="0" w:color="auto"/>
        <w:left w:val="none" w:sz="0" w:space="0" w:color="auto"/>
        <w:bottom w:val="none" w:sz="0" w:space="0" w:color="auto"/>
        <w:right w:val="none" w:sz="0" w:space="0" w:color="auto"/>
      </w:divBdr>
    </w:div>
    <w:div w:id="1301960831">
      <w:bodyDiv w:val="1"/>
      <w:marLeft w:val="0"/>
      <w:marRight w:val="0"/>
      <w:marTop w:val="0"/>
      <w:marBottom w:val="0"/>
      <w:divBdr>
        <w:top w:val="none" w:sz="0" w:space="0" w:color="auto"/>
        <w:left w:val="none" w:sz="0" w:space="0" w:color="auto"/>
        <w:bottom w:val="none" w:sz="0" w:space="0" w:color="auto"/>
        <w:right w:val="none" w:sz="0" w:space="0" w:color="auto"/>
      </w:divBdr>
      <w:divsChild>
        <w:div w:id="1578056016">
          <w:marLeft w:val="0"/>
          <w:marRight w:val="0"/>
          <w:marTop w:val="0"/>
          <w:marBottom w:val="0"/>
          <w:divBdr>
            <w:top w:val="none" w:sz="0" w:space="0" w:color="auto"/>
            <w:left w:val="none" w:sz="0" w:space="0" w:color="auto"/>
            <w:bottom w:val="none" w:sz="0" w:space="0" w:color="auto"/>
            <w:right w:val="none" w:sz="0" w:space="0" w:color="auto"/>
          </w:divBdr>
        </w:div>
        <w:div w:id="1217817838">
          <w:marLeft w:val="0"/>
          <w:marRight w:val="0"/>
          <w:marTop w:val="0"/>
          <w:marBottom w:val="0"/>
          <w:divBdr>
            <w:top w:val="none" w:sz="0" w:space="0" w:color="auto"/>
            <w:left w:val="none" w:sz="0" w:space="0" w:color="auto"/>
            <w:bottom w:val="none" w:sz="0" w:space="0" w:color="auto"/>
            <w:right w:val="none" w:sz="0" w:space="0" w:color="auto"/>
          </w:divBdr>
        </w:div>
        <w:div w:id="449710746">
          <w:marLeft w:val="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6579649">
      <w:bodyDiv w:val="1"/>
      <w:marLeft w:val="0"/>
      <w:marRight w:val="0"/>
      <w:marTop w:val="0"/>
      <w:marBottom w:val="0"/>
      <w:divBdr>
        <w:top w:val="none" w:sz="0" w:space="0" w:color="auto"/>
        <w:left w:val="none" w:sz="0" w:space="0" w:color="auto"/>
        <w:bottom w:val="none" w:sz="0" w:space="0" w:color="auto"/>
        <w:right w:val="none" w:sz="0" w:space="0" w:color="auto"/>
      </w:divBdr>
      <w:divsChild>
        <w:div w:id="1570267588">
          <w:marLeft w:val="0"/>
          <w:marRight w:val="0"/>
          <w:marTop w:val="0"/>
          <w:marBottom w:val="0"/>
          <w:divBdr>
            <w:top w:val="none" w:sz="0" w:space="0" w:color="auto"/>
            <w:left w:val="none" w:sz="0" w:space="0" w:color="auto"/>
            <w:bottom w:val="none" w:sz="0" w:space="0" w:color="auto"/>
            <w:right w:val="none" w:sz="0" w:space="0" w:color="auto"/>
          </w:divBdr>
        </w:div>
        <w:div w:id="1401488021">
          <w:marLeft w:val="0"/>
          <w:marRight w:val="0"/>
          <w:marTop w:val="0"/>
          <w:marBottom w:val="0"/>
          <w:divBdr>
            <w:top w:val="none" w:sz="0" w:space="0" w:color="auto"/>
            <w:left w:val="none" w:sz="0" w:space="0" w:color="auto"/>
            <w:bottom w:val="none" w:sz="0" w:space="0" w:color="auto"/>
            <w:right w:val="none" w:sz="0" w:space="0" w:color="auto"/>
          </w:divBdr>
        </w:div>
        <w:div w:id="676730893">
          <w:marLeft w:val="0"/>
          <w:marRight w:val="0"/>
          <w:marTop w:val="0"/>
          <w:marBottom w:val="0"/>
          <w:divBdr>
            <w:top w:val="none" w:sz="0" w:space="0" w:color="auto"/>
            <w:left w:val="none" w:sz="0" w:space="0" w:color="auto"/>
            <w:bottom w:val="none" w:sz="0" w:space="0" w:color="auto"/>
            <w:right w:val="none" w:sz="0" w:space="0" w:color="auto"/>
          </w:divBdr>
        </w:div>
        <w:div w:id="851340160">
          <w:marLeft w:val="0"/>
          <w:marRight w:val="0"/>
          <w:marTop w:val="0"/>
          <w:marBottom w:val="0"/>
          <w:divBdr>
            <w:top w:val="none" w:sz="0" w:space="0" w:color="auto"/>
            <w:left w:val="none" w:sz="0" w:space="0" w:color="auto"/>
            <w:bottom w:val="none" w:sz="0" w:space="0" w:color="auto"/>
            <w:right w:val="none" w:sz="0" w:space="0" w:color="auto"/>
          </w:divBdr>
        </w:div>
        <w:div w:id="595526909">
          <w:marLeft w:val="0"/>
          <w:marRight w:val="0"/>
          <w:marTop w:val="0"/>
          <w:marBottom w:val="0"/>
          <w:divBdr>
            <w:top w:val="none" w:sz="0" w:space="0" w:color="auto"/>
            <w:left w:val="none" w:sz="0" w:space="0" w:color="auto"/>
            <w:bottom w:val="none" w:sz="0" w:space="0" w:color="auto"/>
            <w:right w:val="none" w:sz="0" w:space="0" w:color="auto"/>
          </w:divBdr>
        </w:div>
      </w:divsChild>
    </w:div>
    <w:div w:id="1486584498">
      <w:bodyDiv w:val="1"/>
      <w:marLeft w:val="0"/>
      <w:marRight w:val="0"/>
      <w:marTop w:val="0"/>
      <w:marBottom w:val="0"/>
      <w:divBdr>
        <w:top w:val="none" w:sz="0" w:space="0" w:color="auto"/>
        <w:left w:val="none" w:sz="0" w:space="0" w:color="auto"/>
        <w:bottom w:val="none" w:sz="0" w:space="0" w:color="auto"/>
        <w:right w:val="none" w:sz="0" w:space="0" w:color="auto"/>
      </w:divBdr>
      <w:divsChild>
        <w:div w:id="1634826993">
          <w:marLeft w:val="0"/>
          <w:marRight w:val="0"/>
          <w:marTop w:val="0"/>
          <w:marBottom w:val="0"/>
          <w:divBdr>
            <w:top w:val="none" w:sz="0" w:space="0" w:color="auto"/>
            <w:left w:val="none" w:sz="0" w:space="0" w:color="auto"/>
            <w:bottom w:val="none" w:sz="0" w:space="0" w:color="auto"/>
            <w:right w:val="none" w:sz="0" w:space="0" w:color="auto"/>
          </w:divBdr>
        </w:div>
        <w:div w:id="288705727">
          <w:marLeft w:val="0"/>
          <w:marRight w:val="0"/>
          <w:marTop w:val="0"/>
          <w:marBottom w:val="0"/>
          <w:divBdr>
            <w:top w:val="none" w:sz="0" w:space="0" w:color="auto"/>
            <w:left w:val="none" w:sz="0" w:space="0" w:color="auto"/>
            <w:bottom w:val="none" w:sz="0" w:space="0" w:color="auto"/>
            <w:right w:val="none" w:sz="0" w:space="0" w:color="auto"/>
          </w:divBdr>
        </w:div>
        <w:div w:id="1501853963">
          <w:marLeft w:val="0"/>
          <w:marRight w:val="0"/>
          <w:marTop w:val="0"/>
          <w:marBottom w:val="0"/>
          <w:divBdr>
            <w:top w:val="none" w:sz="0" w:space="0" w:color="auto"/>
            <w:left w:val="none" w:sz="0" w:space="0" w:color="auto"/>
            <w:bottom w:val="none" w:sz="0" w:space="0" w:color="auto"/>
            <w:right w:val="none" w:sz="0" w:space="0" w:color="auto"/>
          </w:divBdr>
        </w:div>
        <w:div w:id="1374841370">
          <w:marLeft w:val="0"/>
          <w:marRight w:val="0"/>
          <w:marTop w:val="0"/>
          <w:marBottom w:val="0"/>
          <w:divBdr>
            <w:top w:val="none" w:sz="0" w:space="0" w:color="auto"/>
            <w:left w:val="none" w:sz="0" w:space="0" w:color="auto"/>
            <w:bottom w:val="none" w:sz="0" w:space="0" w:color="auto"/>
            <w:right w:val="none" w:sz="0" w:space="0" w:color="auto"/>
          </w:divBdr>
        </w:div>
        <w:div w:id="89160114">
          <w:marLeft w:val="0"/>
          <w:marRight w:val="0"/>
          <w:marTop w:val="0"/>
          <w:marBottom w:val="0"/>
          <w:divBdr>
            <w:top w:val="none" w:sz="0" w:space="0" w:color="auto"/>
            <w:left w:val="none" w:sz="0" w:space="0" w:color="auto"/>
            <w:bottom w:val="none" w:sz="0" w:space="0" w:color="auto"/>
            <w:right w:val="none" w:sz="0" w:space="0" w:color="auto"/>
          </w:divBdr>
        </w:div>
        <w:div w:id="1050232169">
          <w:marLeft w:val="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9716593">
      <w:bodyDiv w:val="1"/>
      <w:marLeft w:val="0"/>
      <w:marRight w:val="0"/>
      <w:marTop w:val="0"/>
      <w:marBottom w:val="0"/>
      <w:divBdr>
        <w:top w:val="none" w:sz="0" w:space="0" w:color="auto"/>
        <w:left w:val="none" w:sz="0" w:space="0" w:color="auto"/>
        <w:bottom w:val="none" w:sz="0" w:space="0" w:color="auto"/>
        <w:right w:val="none" w:sz="0" w:space="0" w:color="auto"/>
      </w:divBdr>
      <w:divsChild>
        <w:div w:id="94712637">
          <w:marLeft w:val="0"/>
          <w:marRight w:val="0"/>
          <w:marTop w:val="0"/>
          <w:marBottom w:val="0"/>
          <w:divBdr>
            <w:top w:val="none" w:sz="0" w:space="0" w:color="auto"/>
            <w:left w:val="none" w:sz="0" w:space="0" w:color="auto"/>
            <w:bottom w:val="none" w:sz="0" w:space="0" w:color="auto"/>
            <w:right w:val="none" w:sz="0" w:space="0" w:color="auto"/>
          </w:divBdr>
        </w:div>
        <w:div w:id="1060901368">
          <w:marLeft w:val="0"/>
          <w:marRight w:val="0"/>
          <w:marTop w:val="0"/>
          <w:marBottom w:val="0"/>
          <w:divBdr>
            <w:top w:val="none" w:sz="0" w:space="0" w:color="auto"/>
            <w:left w:val="none" w:sz="0" w:space="0" w:color="auto"/>
            <w:bottom w:val="none" w:sz="0" w:space="0" w:color="auto"/>
            <w:right w:val="none" w:sz="0" w:space="0" w:color="auto"/>
          </w:divBdr>
        </w:div>
      </w:divsChild>
    </w:div>
    <w:div w:id="157458150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1434">
      <w:bodyDiv w:val="1"/>
      <w:marLeft w:val="0"/>
      <w:marRight w:val="0"/>
      <w:marTop w:val="0"/>
      <w:marBottom w:val="0"/>
      <w:divBdr>
        <w:top w:val="none" w:sz="0" w:space="0" w:color="auto"/>
        <w:left w:val="none" w:sz="0" w:space="0" w:color="auto"/>
        <w:bottom w:val="none" w:sz="0" w:space="0" w:color="auto"/>
        <w:right w:val="none" w:sz="0" w:space="0" w:color="auto"/>
      </w:divBdr>
      <w:divsChild>
        <w:div w:id="1042294094">
          <w:marLeft w:val="0"/>
          <w:marRight w:val="0"/>
          <w:marTop w:val="0"/>
          <w:marBottom w:val="0"/>
          <w:divBdr>
            <w:top w:val="none" w:sz="0" w:space="0" w:color="auto"/>
            <w:left w:val="none" w:sz="0" w:space="0" w:color="auto"/>
            <w:bottom w:val="none" w:sz="0" w:space="0" w:color="auto"/>
            <w:right w:val="none" w:sz="0" w:space="0" w:color="auto"/>
          </w:divBdr>
        </w:div>
        <w:div w:id="987326632">
          <w:marLeft w:val="0"/>
          <w:marRight w:val="0"/>
          <w:marTop w:val="0"/>
          <w:marBottom w:val="0"/>
          <w:divBdr>
            <w:top w:val="none" w:sz="0" w:space="0" w:color="auto"/>
            <w:left w:val="none" w:sz="0" w:space="0" w:color="auto"/>
            <w:bottom w:val="none" w:sz="0" w:space="0" w:color="auto"/>
            <w:right w:val="none" w:sz="0" w:space="0" w:color="auto"/>
          </w:divBdr>
        </w:div>
        <w:div w:id="472985253">
          <w:marLeft w:val="0"/>
          <w:marRight w:val="0"/>
          <w:marTop w:val="0"/>
          <w:marBottom w:val="0"/>
          <w:divBdr>
            <w:top w:val="none" w:sz="0" w:space="0" w:color="auto"/>
            <w:left w:val="none" w:sz="0" w:space="0" w:color="auto"/>
            <w:bottom w:val="none" w:sz="0" w:space="0" w:color="auto"/>
            <w:right w:val="none" w:sz="0" w:space="0" w:color="auto"/>
          </w:divBdr>
        </w:div>
        <w:div w:id="307832044">
          <w:marLeft w:val="0"/>
          <w:marRight w:val="0"/>
          <w:marTop w:val="0"/>
          <w:marBottom w:val="0"/>
          <w:divBdr>
            <w:top w:val="none" w:sz="0" w:space="0" w:color="auto"/>
            <w:left w:val="none" w:sz="0" w:space="0" w:color="auto"/>
            <w:bottom w:val="none" w:sz="0" w:space="0" w:color="auto"/>
            <w:right w:val="none" w:sz="0" w:space="0" w:color="auto"/>
          </w:divBdr>
        </w:div>
        <w:div w:id="1924218193">
          <w:marLeft w:val="0"/>
          <w:marRight w:val="0"/>
          <w:marTop w:val="0"/>
          <w:marBottom w:val="0"/>
          <w:divBdr>
            <w:top w:val="none" w:sz="0" w:space="0" w:color="auto"/>
            <w:left w:val="none" w:sz="0" w:space="0" w:color="auto"/>
            <w:bottom w:val="none" w:sz="0" w:space="0" w:color="auto"/>
            <w:right w:val="none" w:sz="0" w:space="0" w:color="auto"/>
          </w:divBdr>
        </w:div>
        <w:div w:id="1986081209">
          <w:marLeft w:val="0"/>
          <w:marRight w:val="0"/>
          <w:marTop w:val="0"/>
          <w:marBottom w:val="0"/>
          <w:divBdr>
            <w:top w:val="none" w:sz="0" w:space="0" w:color="auto"/>
            <w:left w:val="none" w:sz="0" w:space="0" w:color="auto"/>
            <w:bottom w:val="none" w:sz="0" w:space="0" w:color="auto"/>
            <w:right w:val="none" w:sz="0" w:space="0" w:color="auto"/>
          </w:divBdr>
        </w:div>
        <w:div w:id="433522501">
          <w:marLeft w:val="0"/>
          <w:marRight w:val="0"/>
          <w:marTop w:val="0"/>
          <w:marBottom w:val="0"/>
          <w:divBdr>
            <w:top w:val="none" w:sz="0" w:space="0" w:color="auto"/>
            <w:left w:val="none" w:sz="0" w:space="0" w:color="auto"/>
            <w:bottom w:val="none" w:sz="0" w:space="0" w:color="auto"/>
            <w:right w:val="none" w:sz="0" w:space="0" w:color="auto"/>
          </w:divBdr>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63378793">
      <w:bodyDiv w:val="1"/>
      <w:marLeft w:val="0"/>
      <w:marRight w:val="0"/>
      <w:marTop w:val="0"/>
      <w:marBottom w:val="0"/>
      <w:divBdr>
        <w:top w:val="none" w:sz="0" w:space="0" w:color="auto"/>
        <w:left w:val="none" w:sz="0" w:space="0" w:color="auto"/>
        <w:bottom w:val="none" w:sz="0" w:space="0" w:color="auto"/>
        <w:right w:val="none" w:sz="0" w:space="0" w:color="auto"/>
      </w:divBdr>
      <w:divsChild>
        <w:div w:id="440809397">
          <w:marLeft w:val="0"/>
          <w:marRight w:val="0"/>
          <w:marTop w:val="0"/>
          <w:marBottom w:val="0"/>
          <w:divBdr>
            <w:top w:val="none" w:sz="0" w:space="0" w:color="auto"/>
            <w:left w:val="none" w:sz="0" w:space="0" w:color="auto"/>
            <w:bottom w:val="none" w:sz="0" w:space="0" w:color="auto"/>
            <w:right w:val="none" w:sz="0" w:space="0" w:color="auto"/>
          </w:divBdr>
        </w:div>
        <w:div w:id="1105659320">
          <w:marLeft w:val="0"/>
          <w:marRight w:val="0"/>
          <w:marTop w:val="0"/>
          <w:marBottom w:val="0"/>
          <w:divBdr>
            <w:top w:val="none" w:sz="0" w:space="0" w:color="auto"/>
            <w:left w:val="none" w:sz="0" w:space="0" w:color="auto"/>
            <w:bottom w:val="none" w:sz="0" w:space="0" w:color="auto"/>
            <w:right w:val="none" w:sz="0" w:space="0" w:color="auto"/>
          </w:divBdr>
        </w:div>
      </w:divsChild>
    </w:div>
    <w:div w:id="1799565406">
      <w:bodyDiv w:val="1"/>
      <w:marLeft w:val="0"/>
      <w:marRight w:val="0"/>
      <w:marTop w:val="0"/>
      <w:marBottom w:val="0"/>
      <w:divBdr>
        <w:top w:val="none" w:sz="0" w:space="0" w:color="auto"/>
        <w:left w:val="none" w:sz="0" w:space="0" w:color="auto"/>
        <w:bottom w:val="none" w:sz="0" w:space="0" w:color="auto"/>
        <w:right w:val="none" w:sz="0" w:space="0" w:color="auto"/>
      </w:divBdr>
      <w:divsChild>
        <w:div w:id="545987657">
          <w:marLeft w:val="0"/>
          <w:marRight w:val="0"/>
          <w:marTop w:val="0"/>
          <w:marBottom w:val="0"/>
          <w:divBdr>
            <w:top w:val="none" w:sz="0" w:space="0" w:color="auto"/>
            <w:left w:val="none" w:sz="0" w:space="0" w:color="auto"/>
            <w:bottom w:val="none" w:sz="0" w:space="0" w:color="auto"/>
            <w:right w:val="none" w:sz="0" w:space="0" w:color="auto"/>
          </w:divBdr>
        </w:div>
        <w:div w:id="509880702">
          <w:marLeft w:val="0"/>
          <w:marRight w:val="0"/>
          <w:marTop w:val="0"/>
          <w:marBottom w:val="0"/>
          <w:divBdr>
            <w:top w:val="none" w:sz="0" w:space="0" w:color="auto"/>
            <w:left w:val="none" w:sz="0" w:space="0" w:color="auto"/>
            <w:bottom w:val="none" w:sz="0" w:space="0" w:color="auto"/>
            <w:right w:val="none" w:sz="0" w:space="0" w:color="auto"/>
          </w:divBdr>
        </w:div>
        <w:div w:id="1251230348">
          <w:marLeft w:val="0"/>
          <w:marRight w:val="0"/>
          <w:marTop w:val="0"/>
          <w:marBottom w:val="0"/>
          <w:divBdr>
            <w:top w:val="none" w:sz="0" w:space="0" w:color="auto"/>
            <w:left w:val="none" w:sz="0" w:space="0" w:color="auto"/>
            <w:bottom w:val="none" w:sz="0" w:space="0" w:color="auto"/>
            <w:right w:val="none" w:sz="0" w:space="0" w:color="auto"/>
          </w:divBdr>
        </w:div>
        <w:div w:id="69616773">
          <w:marLeft w:val="0"/>
          <w:marRight w:val="0"/>
          <w:marTop w:val="0"/>
          <w:marBottom w:val="0"/>
          <w:divBdr>
            <w:top w:val="none" w:sz="0" w:space="0" w:color="auto"/>
            <w:left w:val="none" w:sz="0" w:space="0" w:color="auto"/>
            <w:bottom w:val="none" w:sz="0" w:space="0" w:color="auto"/>
            <w:right w:val="none" w:sz="0" w:space="0" w:color="auto"/>
          </w:divBdr>
        </w:div>
        <w:div w:id="977996937">
          <w:marLeft w:val="0"/>
          <w:marRight w:val="0"/>
          <w:marTop w:val="0"/>
          <w:marBottom w:val="0"/>
          <w:divBdr>
            <w:top w:val="none" w:sz="0" w:space="0" w:color="auto"/>
            <w:left w:val="none" w:sz="0" w:space="0" w:color="auto"/>
            <w:bottom w:val="none" w:sz="0" w:space="0" w:color="auto"/>
            <w:right w:val="none" w:sz="0" w:space="0" w:color="auto"/>
          </w:divBdr>
        </w:div>
        <w:div w:id="1922180843">
          <w:marLeft w:val="0"/>
          <w:marRight w:val="0"/>
          <w:marTop w:val="0"/>
          <w:marBottom w:val="0"/>
          <w:divBdr>
            <w:top w:val="none" w:sz="0" w:space="0" w:color="auto"/>
            <w:left w:val="none" w:sz="0" w:space="0" w:color="auto"/>
            <w:bottom w:val="none" w:sz="0" w:space="0" w:color="auto"/>
            <w:right w:val="none" w:sz="0" w:space="0" w:color="auto"/>
          </w:divBdr>
        </w:div>
        <w:div w:id="169104463">
          <w:marLeft w:val="0"/>
          <w:marRight w:val="0"/>
          <w:marTop w:val="0"/>
          <w:marBottom w:val="0"/>
          <w:divBdr>
            <w:top w:val="none" w:sz="0" w:space="0" w:color="auto"/>
            <w:left w:val="none" w:sz="0" w:space="0" w:color="auto"/>
            <w:bottom w:val="none" w:sz="0" w:space="0" w:color="auto"/>
            <w:right w:val="none" w:sz="0" w:space="0" w:color="auto"/>
          </w:divBdr>
        </w:div>
      </w:divsChild>
    </w:div>
    <w:div w:id="1829050172">
      <w:bodyDiv w:val="1"/>
      <w:marLeft w:val="0"/>
      <w:marRight w:val="0"/>
      <w:marTop w:val="0"/>
      <w:marBottom w:val="0"/>
      <w:divBdr>
        <w:top w:val="none" w:sz="0" w:space="0" w:color="auto"/>
        <w:left w:val="none" w:sz="0" w:space="0" w:color="auto"/>
        <w:bottom w:val="none" w:sz="0" w:space="0" w:color="auto"/>
        <w:right w:val="none" w:sz="0" w:space="0" w:color="auto"/>
      </w:divBdr>
      <w:divsChild>
        <w:div w:id="1117261727">
          <w:marLeft w:val="0"/>
          <w:marRight w:val="0"/>
          <w:marTop w:val="0"/>
          <w:marBottom w:val="0"/>
          <w:divBdr>
            <w:top w:val="none" w:sz="0" w:space="0" w:color="auto"/>
            <w:left w:val="none" w:sz="0" w:space="0" w:color="auto"/>
            <w:bottom w:val="none" w:sz="0" w:space="0" w:color="auto"/>
            <w:right w:val="none" w:sz="0" w:space="0" w:color="auto"/>
          </w:divBdr>
        </w:div>
        <w:div w:id="1542132737">
          <w:marLeft w:val="0"/>
          <w:marRight w:val="0"/>
          <w:marTop w:val="0"/>
          <w:marBottom w:val="0"/>
          <w:divBdr>
            <w:top w:val="none" w:sz="0" w:space="0" w:color="auto"/>
            <w:left w:val="none" w:sz="0" w:space="0" w:color="auto"/>
            <w:bottom w:val="none" w:sz="0" w:space="0" w:color="auto"/>
            <w:right w:val="none" w:sz="0" w:space="0" w:color="auto"/>
          </w:divBdr>
        </w:div>
      </w:divsChild>
    </w:div>
    <w:div w:id="1923104509">
      <w:bodyDiv w:val="1"/>
      <w:marLeft w:val="0"/>
      <w:marRight w:val="0"/>
      <w:marTop w:val="0"/>
      <w:marBottom w:val="0"/>
      <w:divBdr>
        <w:top w:val="none" w:sz="0" w:space="0" w:color="auto"/>
        <w:left w:val="none" w:sz="0" w:space="0" w:color="auto"/>
        <w:bottom w:val="none" w:sz="0" w:space="0" w:color="auto"/>
        <w:right w:val="none" w:sz="0" w:space="0" w:color="auto"/>
      </w:divBdr>
      <w:divsChild>
        <w:div w:id="2135055331">
          <w:marLeft w:val="0"/>
          <w:marRight w:val="0"/>
          <w:marTop w:val="0"/>
          <w:marBottom w:val="0"/>
          <w:divBdr>
            <w:top w:val="none" w:sz="0" w:space="0" w:color="auto"/>
            <w:left w:val="none" w:sz="0" w:space="0" w:color="auto"/>
            <w:bottom w:val="none" w:sz="0" w:space="0" w:color="auto"/>
            <w:right w:val="none" w:sz="0" w:space="0" w:color="auto"/>
          </w:divBdr>
        </w:div>
        <w:div w:id="752773604">
          <w:marLeft w:val="0"/>
          <w:marRight w:val="0"/>
          <w:marTop w:val="0"/>
          <w:marBottom w:val="0"/>
          <w:divBdr>
            <w:top w:val="none" w:sz="0" w:space="0" w:color="auto"/>
            <w:left w:val="none" w:sz="0" w:space="0" w:color="auto"/>
            <w:bottom w:val="none" w:sz="0" w:space="0" w:color="auto"/>
            <w:right w:val="none" w:sz="0" w:space="0" w:color="auto"/>
          </w:divBdr>
        </w:div>
        <w:div w:id="2014718295">
          <w:marLeft w:val="0"/>
          <w:marRight w:val="0"/>
          <w:marTop w:val="0"/>
          <w:marBottom w:val="0"/>
          <w:divBdr>
            <w:top w:val="none" w:sz="0" w:space="0" w:color="auto"/>
            <w:left w:val="none" w:sz="0" w:space="0" w:color="auto"/>
            <w:bottom w:val="none" w:sz="0" w:space="0" w:color="auto"/>
            <w:right w:val="none" w:sz="0" w:space="0" w:color="auto"/>
          </w:divBdr>
        </w:div>
        <w:div w:id="78210979">
          <w:marLeft w:val="0"/>
          <w:marRight w:val="0"/>
          <w:marTop w:val="0"/>
          <w:marBottom w:val="0"/>
          <w:divBdr>
            <w:top w:val="none" w:sz="0" w:space="0" w:color="auto"/>
            <w:left w:val="none" w:sz="0" w:space="0" w:color="auto"/>
            <w:bottom w:val="none" w:sz="0" w:space="0" w:color="auto"/>
            <w:right w:val="none" w:sz="0" w:space="0" w:color="auto"/>
          </w:divBdr>
        </w:div>
        <w:div w:id="61367536">
          <w:marLeft w:val="0"/>
          <w:marRight w:val="0"/>
          <w:marTop w:val="0"/>
          <w:marBottom w:val="0"/>
          <w:divBdr>
            <w:top w:val="none" w:sz="0" w:space="0" w:color="auto"/>
            <w:left w:val="none" w:sz="0" w:space="0" w:color="auto"/>
            <w:bottom w:val="none" w:sz="0" w:space="0" w:color="auto"/>
            <w:right w:val="none" w:sz="0" w:space="0" w:color="auto"/>
          </w:divBdr>
        </w:div>
      </w:divsChild>
    </w:div>
    <w:div w:id="1967852606">
      <w:bodyDiv w:val="1"/>
      <w:marLeft w:val="0"/>
      <w:marRight w:val="0"/>
      <w:marTop w:val="0"/>
      <w:marBottom w:val="0"/>
      <w:divBdr>
        <w:top w:val="none" w:sz="0" w:space="0" w:color="auto"/>
        <w:left w:val="none" w:sz="0" w:space="0" w:color="auto"/>
        <w:bottom w:val="none" w:sz="0" w:space="0" w:color="auto"/>
        <w:right w:val="none" w:sz="0" w:space="0" w:color="auto"/>
      </w:divBdr>
    </w:div>
    <w:div w:id="2111779811">
      <w:bodyDiv w:val="1"/>
      <w:marLeft w:val="0"/>
      <w:marRight w:val="0"/>
      <w:marTop w:val="0"/>
      <w:marBottom w:val="0"/>
      <w:divBdr>
        <w:top w:val="none" w:sz="0" w:space="0" w:color="auto"/>
        <w:left w:val="none" w:sz="0" w:space="0" w:color="auto"/>
        <w:bottom w:val="none" w:sz="0" w:space="0" w:color="auto"/>
        <w:right w:val="none" w:sz="0" w:space="0" w:color="auto"/>
      </w:divBdr>
      <w:divsChild>
        <w:div w:id="1798379059">
          <w:marLeft w:val="0"/>
          <w:marRight w:val="0"/>
          <w:marTop w:val="0"/>
          <w:marBottom w:val="0"/>
          <w:divBdr>
            <w:top w:val="none" w:sz="0" w:space="0" w:color="auto"/>
            <w:left w:val="none" w:sz="0" w:space="0" w:color="auto"/>
            <w:bottom w:val="none" w:sz="0" w:space="0" w:color="auto"/>
            <w:right w:val="none" w:sz="0" w:space="0" w:color="auto"/>
          </w:divBdr>
        </w:div>
        <w:div w:id="840589258">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6dfd23-5398-4df4-9c34-d0a91c8b39ae" xsi:nil="true"/>
    <lcf76f155ced4ddcb4097134ff3c332f xmlns="d057f011-a17f-4b8c-9d89-f80e49328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AD5EC240A2A745A3FBE315A83E4DFD" ma:contentTypeVersion="18" ma:contentTypeDescription="Ein neues Dokument erstellen." ma:contentTypeScope="" ma:versionID="ba4ea06d07e856c262fe38b40f2dd649">
  <xsd:schema xmlns:xsd="http://www.w3.org/2001/XMLSchema" xmlns:xs="http://www.w3.org/2001/XMLSchema" xmlns:p="http://schemas.microsoft.com/office/2006/metadata/properties" xmlns:ns2="d057f011-a17f-4b8c-9d89-f80e49328361" xmlns:ns3="536dfd23-5398-4df4-9c34-d0a91c8b39ae" targetNamespace="http://schemas.microsoft.com/office/2006/metadata/properties" ma:root="true" ma:fieldsID="77a966065288d5aababbbc08afef0d2e" ns2:_="" ns3:_="">
    <xsd:import namespace="d057f011-a17f-4b8c-9d89-f80e49328361"/>
    <xsd:import namespace="536dfd23-5398-4df4-9c34-d0a91c8b3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7f011-a17f-4b8c-9d89-f80e4932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44e50f-b8f9-4be9-a55e-bddda15a7a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6dfd23-5398-4df4-9c34-d0a91c8b39a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079ce66-e78f-46a8-a300-0d35e46cd535}" ma:internalName="TaxCatchAll" ma:showField="CatchAllData" ma:web="536dfd23-5398-4df4-9c34-d0a91c8b3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C3C4-975F-42C5-AC2A-A065BB4EE66D}">
  <ds:schemaRefs>
    <ds:schemaRef ds:uri="http://schemas.microsoft.com/office/2006/metadata/properties"/>
    <ds:schemaRef ds:uri="http://schemas.microsoft.com/office/infopath/2007/PartnerControls"/>
    <ds:schemaRef ds:uri="536dfd23-5398-4df4-9c34-d0a91c8b39ae"/>
    <ds:schemaRef ds:uri="d057f011-a17f-4b8c-9d89-f80e49328361"/>
  </ds:schemaRefs>
</ds:datastoreItem>
</file>

<file path=customXml/itemProps2.xml><?xml version="1.0" encoding="utf-8"?>
<ds:datastoreItem xmlns:ds="http://schemas.openxmlformats.org/officeDocument/2006/customXml" ds:itemID="{AF0B2329-84CA-4C11-B475-FD9CCB4B88F4}">
  <ds:schemaRefs>
    <ds:schemaRef ds:uri="http://schemas.microsoft.com/sharepoint/v3/contenttype/forms"/>
  </ds:schemaRefs>
</ds:datastoreItem>
</file>

<file path=customXml/itemProps3.xml><?xml version="1.0" encoding="utf-8"?>
<ds:datastoreItem xmlns:ds="http://schemas.openxmlformats.org/officeDocument/2006/customXml" ds:itemID="{57BFB7A1-CAE4-4257-BB07-A4FC2895B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7f011-a17f-4b8c-9d89-f80e49328361"/>
    <ds:schemaRef ds:uri="536dfd23-5398-4df4-9c34-d0a91c8b3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2679</Words>
  <Characters>15271</Characters>
  <Application>Microsoft Office Word</Application>
  <DocSecurity>0</DocSecurity>
  <Lines>127</Lines>
  <Paragraphs>35</Paragraphs>
  <ScaleCrop>false</ScaleCrop>
  <Company>Dipartimento CMIC - Politecnico di Milano</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Martina Scotton</cp:lastModifiedBy>
  <cp:revision>302</cp:revision>
  <cp:lastPrinted>2015-05-12T18:31:00Z</cp:lastPrinted>
  <dcterms:created xsi:type="dcterms:W3CDTF">2024-11-15T08:29:00Z</dcterms:created>
  <dcterms:modified xsi:type="dcterms:W3CDTF">2024-11-20T13:43:00Z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642d6749186edc9f2ce27d45febcf74576f23d06d32e5b86e38f21972363b227</vt:lpwstr>
  </property>
  <property fmtid="{D5CDD505-2E9C-101B-9397-08002B2CF9AE}" pid="5" name="ContentTypeId">
    <vt:lpwstr>0x0101007EAD5EC240A2A745A3FBE315A83E4DFD</vt:lpwstr>
  </property>
  <property fmtid="{D5CDD505-2E9C-101B-9397-08002B2CF9AE}" pid="6" name="MediaServiceImageTags">
    <vt:lpwstr/>
  </property>
</Properties>
</file>