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30F07041" w14:textId="45291D24"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AIDIC Servizi S.r.l.</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EDF7A3D" w:rsidR="00E978D0" w:rsidRPr="00B57B36" w:rsidRDefault="00525167" w:rsidP="00E978D0">
      <w:pPr>
        <w:pStyle w:val="CETTitle"/>
      </w:pPr>
      <w:r w:rsidRPr="00525167">
        <w:t xml:space="preserve">Influence of </w:t>
      </w:r>
      <w:r>
        <w:t>O</w:t>
      </w:r>
      <w:r w:rsidRPr="00525167">
        <w:t xml:space="preserve">perating </w:t>
      </w:r>
      <w:r>
        <w:t>C</w:t>
      </w:r>
      <w:r w:rsidRPr="00525167">
        <w:t xml:space="preserve">onditions on </w:t>
      </w:r>
      <w:r>
        <w:t>P</w:t>
      </w:r>
      <w:r w:rsidRPr="00525167">
        <w:t>re</w:t>
      </w:r>
      <w:r w:rsidR="00FC2C38">
        <w:t>-</w:t>
      </w:r>
      <w:r w:rsidRPr="00525167">
        <w:t xml:space="preserve">wetted </w:t>
      </w:r>
      <w:r>
        <w:t>P</w:t>
      </w:r>
      <w:r w:rsidRPr="00525167">
        <w:t xml:space="preserve">owder </w:t>
      </w:r>
      <w:r>
        <w:t>E</w:t>
      </w:r>
      <w:r w:rsidRPr="00525167">
        <w:t>xplosion</w:t>
      </w:r>
    </w:p>
    <w:p w14:paraId="0488FED2" w14:textId="6C90FAA1" w:rsidR="00B57E6F" w:rsidRPr="00525167" w:rsidRDefault="00525167" w:rsidP="00B57E6F">
      <w:pPr>
        <w:pStyle w:val="CETAuthors"/>
        <w:rPr>
          <w:lang w:val="fr-FR"/>
        </w:rPr>
      </w:pPr>
      <w:r w:rsidRPr="00525167">
        <w:rPr>
          <w:lang w:val="fr-FR"/>
        </w:rPr>
        <w:t>Olivier Dufaud</w:t>
      </w:r>
      <w:r w:rsidR="00B57E6F" w:rsidRPr="00525167">
        <w:rPr>
          <w:vertAlign w:val="superscript"/>
          <w:lang w:val="fr-FR"/>
        </w:rPr>
        <w:t>a</w:t>
      </w:r>
      <w:r w:rsidRPr="00525167">
        <w:rPr>
          <w:vertAlign w:val="superscript"/>
          <w:lang w:val="fr-FR"/>
        </w:rPr>
        <w:t>,</w:t>
      </w:r>
      <w:r w:rsidRPr="00525167">
        <w:rPr>
          <w:lang w:val="fr-FR"/>
        </w:rPr>
        <w:t>*</w:t>
      </w:r>
      <w:r w:rsidR="00B57E6F" w:rsidRPr="00525167">
        <w:rPr>
          <w:lang w:val="fr-FR"/>
        </w:rPr>
        <w:t xml:space="preserve">, </w:t>
      </w:r>
      <w:r w:rsidRPr="00525167">
        <w:rPr>
          <w:lang w:val="fr-FR"/>
        </w:rPr>
        <w:t>Enrico Danzi</w:t>
      </w:r>
      <w:r w:rsidR="00B57E6F" w:rsidRPr="00525167">
        <w:rPr>
          <w:vertAlign w:val="superscript"/>
          <w:lang w:val="fr-FR"/>
        </w:rPr>
        <w:t>b</w:t>
      </w:r>
      <w:r w:rsidR="00B57E6F" w:rsidRPr="00525167">
        <w:rPr>
          <w:lang w:val="fr-FR"/>
        </w:rPr>
        <w:t>,</w:t>
      </w:r>
      <w:r w:rsidRPr="00525167">
        <w:rPr>
          <w:lang w:val="fr-FR"/>
        </w:rPr>
        <w:t xml:space="preserve"> </w:t>
      </w:r>
      <w:r>
        <w:rPr>
          <w:lang w:val="fr-FR"/>
        </w:rPr>
        <w:t>Luca Marmo</w:t>
      </w:r>
      <w:r w:rsidRPr="00525167">
        <w:rPr>
          <w:vertAlign w:val="superscript"/>
          <w:lang w:val="fr-FR"/>
        </w:rPr>
        <w:t>b</w:t>
      </w:r>
    </w:p>
    <w:p w14:paraId="6B2D21B3" w14:textId="7E7C031B" w:rsidR="00B57E6F" w:rsidRPr="00525167" w:rsidRDefault="00B57E6F" w:rsidP="00B57E6F">
      <w:pPr>
        <w:pStyle w:val="CETAddress"/>
        <w:rPr>
          <w:lang w:val="fr-FR"/>
        </w:rPr>
      </w:pPr>
      <w:r w:rsidRPr="00525167">
        <w:rPr>
          <w:vertAlign w:val="superscript"/>
          <w:lang w:val="fr-FR"/>
        </w:rPr>
        <w:t>a</w:t>
      </w:r>
      <w:r w:rsidR="00525167" w:rsidRPr="00525167">
        <w:rPr>
          <w:lang w:val="fr-FR"/>
        </w:rPr>
        <w:t>Université de Lorraine, CNRS, LRGP, F-54000 Nancy, France</w:t>
      </w:r>
      <w:r w:rsidRPr="00525167">
        <w:rPr>
          <w:lang w:val="fr-FR"/>
        </w:rPr>
        <w:t xml:space="preserve"> </w:t>
      </w:r>
    </w:p>
    <w:p w14:paraId="3D72B0B0" w14:textId="777E33B9" w:rsidR="00B57E6F" w:rsidRPr="00B57B36" w:rsidRDefault="00B57E6F" w:rsidP="00B57E6F">
      <w:pPr>
        <w:pStyle w:val="CETAddress"/>
      </w:pPr>
      <w:r w:rsidRPr="00B57B36">
        <w:rPr>
          <w:vertAlign w:val="superscript"/>
        </w:rPr>
        <w:t>b</w:t>
      </w:r>
      <w:r w:rsidR="00525167" w:rsidRPr="00525167">
        <w:t>Dipartimento di Scienza Applicata e Tecnologia – Politecnico di Torino, 10129 Torino, Italy</w:t>
      </w:r>
      <w:r w:rsidRPr="00B57B36">
        <w:t xml:space="preserve"> </w:t>
      </w:r>
    </w:p>
    <w:p w14:paraId="73F1267A" w14:textId="46F95F8D" w:rsidR="00B57E6F" w:rsidRPr="00402995" w:rsidRDefault="00B57E6F" w:rsidP="00B57E6F">
      <w:pPr>
        <w:pStyle w:val="CETemail"/>
        <w:rPr>
          <w:lang w:val="en-US"/>
        </w:rPr>
      </w:pPr>
      <w:r>
        <w:t xml:space="preserve"> </w:t>
      </w:r>
      <w:r w:rsidR="00525167" w:rsidRPr="00402995">
        <w:rPr>
          <w:lang w:val="en-US"/>
        </w:rPr>
        <w:t>olivier</w:t>
      </w:r>
      <w:r w:rsidRPr="00402995">
        <w:rPr>
          <w:lang w:val="en-US"/>
        </w:rPr>
        <w:t>.</w:t>
      </w:r>
      <w:r w:rsidR="00525167" w:rsidRPr="00402995">
        <w:rPr>
          <w:lang w:val="en-US"/>
        </w:rPr>
        <w:t>dufaud</w:t>
      </w:r>
      <w:r w:rsidRPr="00402995">
        <w:rPr>
          <w:lang w:val="en-US"/>
        </w:rPr>
        <w:t>@</w:t>
      </w:r>
      <w:r w:rsidR="00525167" w:rsidRPr="00402995">
        <w:rPr>
          <w:lang w:val="en-US"/>
        </w:rPr>
        <w:t>univ-lorraine.fr</w:t>
      </w:r>
    </w:p>
    <w:p w14:paraId="0C60F6FA" w14:textId="77777777" w:rsidR="009747CC" w:rsidRPr="009747CC" w:rsidRDefault="009747CC" w:rsidP="009747CC">
      <w:pPr>
        <w:pStyle w:val="CETBodytext"/>
        <w:rPr>
          <w:lang w:val="en-GB"/>
        </w:rPr>
      </w:pPr>
      <w:r w:rsidRPr="009747CC">
        <w:rPr>
          <w:lang w:val="en-GB"/>
        </w:rPr>
        <w:t>Pre-wetting of powders or wet granulation are commonly used in industrial processes and the presence of a flammable liquid compound can affect the ignition sensitivity and explosion severity of such admixtures. This study shows that for risk assessment, it is not possible to consider this type of admixture to be equivalent to a hybrid gas/solid mixture of the same composition.</w:t>
      </w:r>
      <w:r w:rsidRPr="009747CC">
        <w:t xml:space="preserve"> </w:t>
      </w:r>
      <w:r w:rsidRPr="009747CC">
        <w:rPr>
          <w:lang w:val="en-GB"/>
        </w:rPr>
        <w:t>Indeed, if the introduction of a solvent tends to increase the explosion risk, pre-wetting also significantly modifies the particle size distribution of the admixture, which counterbalances the positive contribution of the flammable liquid. Dispersing the dust requires then a greater dispersion pressure to reach the same surface area between solid fuel and oxidizer. In the case of the determination of the minimum ignition temperature, such changes lead to a modification of the optimal operating conditions. It should also be noted that the fuel equivalence ratio is a good indicator for assessing the chemical contribution of such admixtures.</w:t>
      </w:r>
    </w:p>
    <w:p w14:paraId="476B2F2E" w14:textId="52B36035" w:rsidR="00600535" w:rsidRPr="00B57B36" w:rsidRDefault="00600535" w:rsidP="00600535">
      <w:pPr>
        <w:pStyle w:val="CETHeading1"/>
        <w:rPr>
          <w:lang w:val="en-GB"/>
        </w:rPr>
      </w:pPr>
      <w:r w:rsidRPr="00B57B36">
        <w:rPr>
          <w:lang w:val="en-GB"/>
        </w:rPr>
        <w:t>Introduction</w:t>
      </w:r>
    </w:p>
    <w:p w14:paraId="3AD1BCF9" w14:textId="52941320" w:rsidR="009003DD" w:rsidRDefault="009003DD" w:rsidP="009003DD">
      <w:pPr>
        <w:pStyle w:val="CETBodytext"/>
        <w:rPr>
          <w:lang w:val="en-GB"/>
        </w:rPr>
      </w:pPr>
      <w:r w:rsidRPr="009003DD">
        <w:rPr>
          <w:lang w:val="en-GB"/>
        </w:rPr>
        <w:t>Because of their frequent occurrence in industry, hybrid mixtures have been the subject of in-depth studies of their risk of explosion in recent years. However, while atmospheres containing both combustible gases or vapours and powders have been regularly addressed</w:t>
      </w:r>
      <w:r w:rsidR="00294070">
        <w:rPr>
          <w:lang w:val="en-GB"/>
        </w:rPr>
        <w:t xml:space="preserve"> </w:t>
      </w:r>
      <w:r w:rsidR="00294070" w:rsidRPr="009003DD">
        <w:rPr>
          <w:lang w:val="en-GB"/>
        </w:rPr>
        <w:t>(Gabel and Krause, 2019</w:t>
      </w:r>
      <w:r w:rsidR="00F04CD9">
        <w:rPr>
          <w:lang w:val="en-GB"/>
        </w:rPr>
        <w:t xml:space="preserve">; </w:t>
      </w:r>
      <w:r w:rsidR="00F04CD9">
        <w:t>Heilmann et al., 2024</w:t>
      </w:r>
      <w:r w:rsidR="00134FE3">
        <w:t>, Wu et al., 2023</w:t>
      </w:r>
      <w:r w:rsidR="00294070">
        <w:rPr>
          <w:lang w:val="en-GB"/>
        </w:rPr>
        <w:t>)</w:t>
      </w:r>
      <w:r w:rsidRPr="009003DD">
        <w:rPr>
          <w:lang w:val="en-GB"/>
        </w:rPr>
        <w:t xml:space="preserve">, the particular case of powders prewetted by a liquid has received little attention </w:t>
      </w:r>
      <w:r w:rsidR="00294070">
        <w:rPr>
          <w:lang w:val="en-GB"/>
        </w:rPr>
        <w:t>(</w:t>
      </w:r>
      <w:r w:rsidRPr="009003DD">
        <w:rPr>
          <w:lang w:val="en-GB"/>
        </w:rPr>
        <w:t>Hossain et al., 2014). There are many industrial applications where this configuration needs to be considered, such as the wet granulation of pharmaceutical or food powders, or the hexane extraction of oil from oleaginous seeds, treating soil contaminated with hydrocarbons (Dufaud et al., 2022) or adding essential oils to powdered animal feed. The case of solid adsorbents that have accumulated volatile organic compounds can be related to this topic, although the quantities are smaller and the initial state of the solvent is gaseous.</w:t>
      </w:r>
    </w:p>
    <w:p w14:paraId="390CD688" w14:textId="6ECE7C3C" w:rsidR="005A0AAB" w:rsidRPr="009003DD" w:rsidRDefault="00F04CD9" w:rsidP="009003DD">
      <w:pPr>
        <w:pStyle w:val="CETBodytext"/>
        <w:rPr>
          <w:lang w:val="en-GB"/>
        </w:rPr>
      </w:pPr>
      <w:r>
        <w:rPr>
          <w:lang w:val="en-GB"/>
        </w:rPr>
        <w:t>A</w:t>
      </w:r>
      <w:r w:rsidR="00294070">
        <w:rPr>
          <w:lang w:val="en-GB"/>
        </w:rPr>
        <w:t xml:space="preserve"> prev</w:t>
      </w:r>
      <w:r>
        <w:rPr>
          <w:lang w:val="en-GB"/>
        </w:rPr>
        <w:t xml:space="preserve">ious study carried out by Hossain et al. (2014) demonstrated a global explosivity enhancement when the powder was pre-wetted. This evolution depended on the fuels nature (solid and liquid) and on the method of admixture. A slight decrease of the maximum explosion pressure was notably observed for </w:t>
      </w:r>
      <w:r w:rsidRPr="00F04CD9">
        <w:rPr>
          <w:lang w:val="en-GB"/>
        </w:rPr>
        <w:t>microcrystalline cellulose</w:t>
      </w:r>
      <w:r>
        <w:rPr>
          <w:lang w:val="en-GB"/>
        </w:rPr>
        <w:t>/solvents mixtures, b</w:t>
      </w:r>
      <w:r w:rsidRPr="00F04CD9">
        <w:rPr>
          <w:lang w:val="en-GB"/>
        </w:rPr>
        <w:t>ut the phenomenological reason for these developments, whether negative or positive, has not been developed.</w:t>
      </w:r>
      <w:r>
        <w:rPr>
          <w:lang w:val="en-GB"/>
        </w:rPr>
        <w:t xml:space="preserve"> Moreover, </w:t>
      </w:r>
      <w:r w:rsidR="0024061F">
        <w:rPr>
          <w:lang w:val="en-GB"/>
        </w:rPr>
        <w:t xml:space="preserve">tests were only performed with a fixed solvent concentration (set at 80 % of the lower explosive limit) and </w:t>
      </w:r>
      <w:r w:rsidR="0024061F" w:rsidRPr="0024061F">
        <w:rPr>
          <w:lang w:val="en-GB"/>
        </w:rPr>
        <w:t>the impact of solvent concentration still needs to be assessed.</w:t>
      </w:r>
      <w:r w:rsidR="00D977A6" w:rsidRPr="00D977A6">
        <w:t xml:space="preserve"> </w:t>
      </w:r>
      <w:r w:rsidR="00D977A6">
        <w:t xml:space="preserve">Indeed, </w:t>
      </w:r>
      <w:r w:rsidR="00D977A6">
        <w:rPr>
          <w:lang w:val="en-GB"/>
        </w:rPr>
        <w:t>t</w:t>
      </w:r>
      <w:r w:rsidR="00D977A6" w:rsidRPr="00D977A6">
        <w:rPr>
          <w:lang w:val="en-GB"/>
        </w:rPr>
        <w:t xml:space="preserve">he addition of solvent can play several contradictory roles: i) it provides a fuel that is generally easier to vaporise than the powder, thus helping to reach the LEL and reducing the diffusional limitation of oxygen, ii) because of its enthalpy of vaporisation, it acts as a heat sink during the ignition phase, iii) it modifies the morphology of the powder, requiring more energy to disperse it and </w:t>
      </w:r>
      <w:r w:rsidR="00D977A6">
        <w:rPr>
          <w:lang w:val="en-GB"/>
        </w:rPr>
        <w:t xml:space="preserve">iv) </w:t>
      </w:r>
      <w:r w:rsidR="00D977A6" w:rsidRPr="00D977A6">
        <w:rPr>
          <w:lang w:val="en-GB"/>
        </w:rPr>
        <w:t>limiting the accessibility of oxygen to the surface of the agglomerates</w:t>
      </w:r>
      <w:r w:rsidR="00D977A6">
        <w:rPr>
          <w:lang w:val="en-GB"/>
        </w:rPr>
        <w:t xml:space="preserve"> before their breakage.</w:t>
      </w:r>
      <w:r w:rsidR="00C24BF9">
        <w:rPr>
          <w:lang w:val="en-GB"/>
        </w:rPr>
        <w:t xml:space="preserve"> </w:t>
      </w:r>
    </w:p>
    <w:p w14:paraId="1DB16514" w14:textId="506C88F2" w:rsidR="009B692E" w:rsidRDefault="009818B6" w:rsidP="009003DD">
      <w:pPr>
        <w:pStyle w:val="CETBodytext"/>
        <w:rPr>
          <w:lang w:val="en-GB"/>
        </w:rPr>
      </w:pPr>
      <w:r w:rsidRPr="009818B6">
        <w:rPr>
          <w:lang w:val="en-GB"/>
        </w:rPr>
        <w:t xml:space="preserve">Given the small number of studies carried out on these mixtures, </w:t>
      </w:r>
      <w:r w:rsidR="009003DD" w:rsidRPr="009003DD">
        <w:rPr>
          <w:lang w:val="en-GB"/>
        </w:rPr>
        <w:t>several mixtures of powders (e.g. cellulose</w:t>
      </w:r>
      <w:r w:rsidR="0024061F">
        <w:rPr>
          <w:lang w:val="en-GB"/>
        </w:rPr>
        <w:t xml:space="preserve">, </w:t>
      </w:r>
      <w:r w:rsidR="009003DD" w:rsidRPr="009003DD">
        <w:rPr>
          <w:lang w:val="en-GB"/>
        </w:rPr>
        <w:t>carbon black) pre</w:t>
      </w:r>
      <w:r w:rsidR="0024061F">
        <w:rPr>
          <w:lang w:val="en-GB"/>
        </w:rPr>
        <w:t>-</w:t>
      </w:r>
      <w:r w:rsidR="009003DD" w:rsidRPr="009003DD">
        <w:rPr>
          <w:lang w:val="en-GB"/>
        </w:rPr>
        <w:t>wetted with solvents (e.g. ethanol, water) were tested</w:t>
      </w:r>
      <w:r>
        <w:rPr>
          <w:lang w:val="en-GB"/>
        </w:rPr>
        <w:t xml:space="preserve"> in this work</w:t>
      </w:r>
      <w:r w:rsidR="009003DD" w:rsidRPr="009003DD">
        <w:rPr>
          <w:lang w:val="en-GB"/>
        </w:rPr>
        <w:t xml:space="preserve">. </w:t>
      </w:r>
      <w:r w:rsidR="0024061F" w:rsidRPr="0024061F">
        <w:rPr>
          <w:lang w:val="en-GB"/>
        </w:rPr>
        <w:t xml:space="preserve">Two mixing methods were tested: dry powder dispersed in air containing solvent vapour, or powder mixed directly with the solvent before </w:t>
      </w:r>
      <w:r w:rsidR="0024061F">
        <w:rPr>
          <w:lang w:val="en-GB"/>
        </w:rPr>
        <w:t xml:space="preserve">its dispersion. </w:t>
      </w:r>
      <w:r w:rsidR="009003DD" w:rsidRPr="009003DD">
        <w:rPr>
          <w:lang w:val="en-GB"/>
        </w:rPr>
        <w:t>Both explosion severity and Minimum Ignition Temperature (MIT) were determined</w:t>
      </w:r>
      <w:r w:rsidR="009B692E">
        <w:rPr>
          <w:lang w:val="en-GB"/>
        </w:rPr>
        <w:t>. T</w:t>
      </w:r>
      <w:r w:rsidR="00D977A6" w:rsidRPr="00D977A6">
        <w:rPr>
          <w:lang w:val="en-GB"/>
        </w:rPr>
        <w:t xml:space="preserve">he aim of this work is to determine the optimum conditions for testing this type of </w:t>
      </w:r>
      <w:r w:rsidR="00D977A6">
        <w:rPr>
          <w:lang w:val="en-GB"/>
        </w:rPr>
        <w:t>ad</w:t>
      </w:r>
      <w:r w:rsidR="00D977A6" w:rsidRPr="00D977A6">
        <w:rPr>
          <w:lang w:val="en-GB"/>
        </w:rPr>
        <w:t xml:space="preserve">mixture to obtain the most relevant results from an industrial point of view or the most conservative results from a process safety </w:t>
      </w:r>
      <w:r w:rsidR="00D977A6">
        <w:rPr>
          <w:lang w:val="en-GB"/>
        </w:rPr>
        <w:t>perspective</w:t>
      </w:r>
      <w:r w:rsidR="00D977A6" w:rsidRPr="00D977A6">
        <w:rPr>
          <w:lang w:val="en-GB"/>
        </w:rPr>
        <w:t>.</w:t>
      </w:r>
    </w:p>
    <w:p w14:paraId="5741900F" w14:textId="034615DE" w:rsidR="00453E24" w:rsidRDefault="00A40AB5" w:rsidP="00453E24">
      <w:pPr>
        <w:pStyle w:val="CETHeading1"/>
      </w:pPr>
      <w:r>
        <w:lastRenderedPageBreak/>
        <w:t>Materials and methods</w:t>
      </w:r>
    </w:p>
    <w:p w14:paraId="365557C6" w14:textId="4F0230FC" w:rsidR="0024061F" w:rsidRDefault="00594D71" w:rsidP="00453E24">
      <w:pPr>
        <w:pStyle w:val="CETBodytext"/>
      </w:pPr>
      <w:r>
        <w:t xml:space="preserve">Although this study was based on theoretical considerations, the mixtures considered were chosen to be consistent with actual applications in the pharmaceutical, paint or waste treament industries.  </w:t>
      </w:r>
    </w:p>
    <w:p w14:paraId="0636B784" w14:textId="6C316A69" w:rsidR="00453E24" w:rsidRDefault="00A40AB5" w:rsidP="00F1297D">
      <w:pPr>
        <w:pStyle w:val="CETheadingx"/>
      </w:pPr>
      <w:r>
        <w:t>Powders</w:t>
      </w:r>
      <w:r w:rsidR="00394089">
        <w:t>,</w:t>
      </w:r>
      <w:r>
        <w:t xml:space="preserve"> solvent</w:t>
      </w:r>
      <w:r w:rsidR="00394089">
        <w:t xml:space="preserve"> and granulation</w:t>
      </w:r>
      <w:r w:rsidR="00775A6D">
        <w:t xml:space="preserve"> method</w:t>
      </w:r>
    </w:p>
    <w:p w14:paraId="014F298C" w14:textId="436E5B2C" w:rsidR="00F13428" w:rsidRDefault="00394089" w:rsidP="00594D71">
      <w:pPr>
        <w:pStyle w:val="CETBodytext"/>
      </w:pPr>
      <w:r>
        <w:t xml:space="preserve">Three powders were chosen with regard to their </w:t>
      </w:r>
      <w:r w:rsidR="00F13428">
        <w:t xml:space="preserve">different particle size and physical interactions with the solvents: cellulose (Avicel PH-101), carbon black and a sample of soil </w:t>
      </w:r>
      <w:r w:rsidR="00F13428" w:rsidRPr="00C72948">
        <w:t>extracted from a polluted site</w:t>
      </w:r>
      <w:r w:rsidR="008C7168">
        <w:t xml:space="preserve"> </w:t>
      </w:r>
      <w:r w:rsidR="008C7168" w:rsidRPr="009003DD">
        <w:rPr>
          <w:lang w:val="en-GB"/>
        </w:rPr>
        <w:t>(Dufaud et al., 2022)</w:t>
      </w:r>
      <w:r w:rsidR="00F13428">
        <w:t xml:space="preserve">. The characteristic diameters of their particle size distribution </w:t>
      </w:r>
      <w:r w:rsidR="00A775F0">
        <w:t xml:space="preserve">(PSD) were determined ex-situ by dry measurement (Malvern Mastersizer 3000 - Aero S dry dispersion unit 2-bar) and </w:t>
      </w:r>
      <w:r w:rsidR="00F13428">
        <w:t xml:space="preserve">are presented in Table 1. </w:t>
      </w:r>
      <w:r w:rsidR="008C7168">
        <w:t xml:space="preserve">Ethanol, diesel and water were used as solvent. It should be highlighted that some </w:t>
      </w:r>
      <w:r w:rsidR="008C7168" w:rsidRPr="00F04CD9">
        <w:rPr>
          <w:lang w:val="en-GB"/>
        </w:rPr>
        <w:t>microcrystalline cellulose</w:t>
      </w:r>
      <w:r w:rsidR="008C7168">
        <w:rPr>
          <w:lang w:val="en-GB"/>
        </w:rPr>
        <w:t>/ethanol mixtures</w:t>
      </w:r>
      <w:r w:rsidR="008C7168">
        <w:t xml:space="preserve"> were already studied by </w:t>
      </w:r>
      <w:r w:rsidR="008C7168" w:rsidRPr="009003DD">
        <w:rPr>
          <w:lang w:val="en-GB"/>
        </w:rPr>
        <w:t xml:space="preserve">Hossain et al. </w:t>
      </w:r>
      <w:r w:rsidR="008C7168">
        <w:rPr>
          <w:lang w:val="en-GB"/>
        </w:rPr>
        <w:t>(</w:t>
      </w:r>
      <w:r w:rsidR="008C7168" w:rsidRPr="009003DD">
        <w:rPr>
          <w:lang w:val="en-GB"/>
        </w:rPr>
        <w:t>2014</w:t>
      </w:r>
      <w:r w:rsidR="008C7168">
        <w:rPr>
          <w:lang w:val="en-GB"/>
        </w:rPr>
        <w:t xml:space="preserve">), which will give a comparison basis. </w:t>
      </w:r>
    </w:p>
    <w:p w14:paraId="780570D9" w14:textId="0DD5ED92" w:rsidR="00EF6641" w:rsidRPr="00B57B36" w:rsidRDefault="00EF6641" w:rsidP="00EF6641">
      <w:pPr>
        <w:pStyle w:val="CETTabletitle"/>
      </w:pPr>
      <w:r w:rsidRPr="00B57B36">
        <w:t xml:space="preserve">Table 1: </w:t>
      </w:r>
      <w:r w:rsidR="00A775F0">
        <w:t>Characteristic diameters of the particle size distribution of the powders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8"/>
        <w:gridCol w:w="1418"/>
        <w:gridCol w:w="1189"/>
        <w:gridCol w:w="1304"/>
      </w:tblGrid>
      <w:tr w:rsidR="00A40AB5" w:rsidRPr="00B57B36" w14:paraId="1DC600DA" w14:textId="77777777" w:rsidTr="00A775F0">
        <w:tc>
          <w:tcPr>
            <w:tcW w:w="2268" w:type="dxa"/>
            <w:tcBorders>
              <w:top w:val="single" w:sz="12" w:space="0" w:color="008000"/>
              <w:bottom w:val="single" w:sz="6" w:space="0" w:color="008000"/>
              <w:tl2br w:val="single" w:sz="12" w:space="0" w:color="008000"/>
            </w:tcBorders>
            <w:shd w:val="clear" w:color="auto" w:fill="FFFFFF"/>
          </w:tcPr>
          <w:p w14:paraId="03C72275" w14:textId="316229A9" w:rsidR="00A40AB5" w:rsidRDefault="00A40AB5" w:rsidP="002F4DA5">
            <w:pPr>
              <w:pStyle w:val="CETBodytext"/>
              <w:rPr>
                <w:lang w:val="en-GB"/>
              </w:rPr>
            </w:pPr>
            <w:r>
              <w:rPr>
                <w:lang w:val="en-GB"/>
              </w:rPr>
              <w:t xml:space="preserve">                      Diameters </w:t>
            </w:r>
          </w:p>
          <w:p w14:paraId="09818C18" w14:textId="75372555" w:rsidR="00A40AB5" w:rsidRPr="00B57B36" w:rsidRDefault="00A40AB5" w:rsidP="002F4DA5">
            <w:pPr>
              <w:pStyle w:val="CETBodytext"/>
              <w:rPr>
                <w:lang w:val="en-GB"/>
              </w:rPr>
            </w:pPr>
            <w:r>
              <w:rPr>
                <w:lang w:val="en-GB"/>
              </w:rPr>
              <w:t>Powder</w:t>
            </w:r>
            <w:r w:rsidRPr="00B57B36">
              <w:rPr>
                <w:lang w:val="en-GB"/>
              </w:rPr>
              <w:t xml:space="preserve"> </w:t>
            </w:r>
          </w:p>
        </w:tc>
        <w:tc>
          <w:tcPr>
            <w:tcW w:w="1418" w:type="dxa"/>
            <w:tcBorders>
              <w:top w:val="single" w:sz="12" w:space="0" w:color="008000"/>
              <w:bottom w:val="single" w:sz="6" w:space="0" w:color="008000"/>
            </w:tcBorders>
            <w:shd w:val="clear" w:color="auto" w:fill="FFFFFF"/>
          </w:tcPr>
          <w:p w14:paraId="49E820ED" w14:textId="4F8AB3A4" w:rsidR="00A40AB5" w:rsidRPr="00B57B36" w:rsidRDefault="00A40AB5" w:rsidP="002F4DA5">
            <w:pPr>
              <w:pStyle w:val="CETBodytext"/>
              <w:rPr>
                <w:lang w:val="en-GB"/>
              </w:rPr>
            </w:pPr>
            <w:r w:rsidRPr="006D4376">
              <w:rPr>
                <w:lang w:val="en-GB"/>
              </w:rPr>
              <w:t>d</w:t>
            </w:r>
            <w:r>
              <w:rPr>
                <w:vertAlign w:val="subscript"/>
                <w:lang w:val="en-GB"/>
              </w:rPr>
              <w:t>10</w:t>
            </w:r>
            <w:r w:rsidRPr="006D4376">
              <w:rPr>
                <w:vertAlign w:val="subscript"/>
                <w:lang w:val="en-GB"/>
              </w:rPr>
              <w:t xml:space="preserve">,ini </w:t>
            </w:r>
            <w:r w:rsidRPr="006D4376">
              <w:rPr>
                <w:lang w:val="en-GB"/>
              </w:rPr>
              <w:t>(µm)</w:t>
            </w:r>
          </w:p>
        </w:tc>
        <w:tc>
          <w:tcPr>
            <w:tcW w:w="1189" w:type="dxa"/>
            <w:tcBorders>
              <w:top w:val="single" w:sz="12" w:space="0" w:color="008000"/>
              <w:bottom w:val="single" w:sz="6" w:space="0" w:color="008000"/>
            </w:tcBorders>
            <w:shd w:val="clear" w:color="auto" w:fill="FFFFFF"/>
          </w:tcPr>
          <w:p w14:paraId="69440461" w14:textId="519EC306" w:rsidR="00A40AB5" w:rsidRPr="00B57B36" w:rsidRDefault="00A40AB5" w:rsidP="002F4DA5">
            <w:pPr>
              <w:pStyle w:val="CETBodytext"/>
              <w:rPr>
                <w:lang w:val="en-GB"/>
              </w:rPr>
            </w:pPr>
            <w:r>
              <w:rPr>
                <w:lang w:val="en-GB"/>
              </w:rPr>
              <w:t>d</w:t>
            </w:r>
            <w:r>
              <w:rPr>
                <w:vertAlign w:val="subscript"/>
                <w:lang w:val="en-GB"/>
              </w:rPr>
              <w:t>50,</w:t>
            </w:r>
            <w:r w:rsidRPr="006D4376">
              <w:rPr>
                <w:vertAlign w:val="subscript"/>
                <w:lang w:val="en-GB"/>
              </w:rPr>
              <w:t xml:space="preserve">ini </w:t>
            </w:r>
            <w:r w:rsidRPr="006D4376">
              <w:rPr>
                <w:lang w:val="en-GB"/>
              </w:rPr>
              <w:t>(µm)</w:t>
            </w:r>
          </w:p>
        </w:tc>
        <w:tc>
          <w:tcPr>
            <w:tcW w:w="1304" w:type="dxa"/>
            <w:tcBorders>
              <w:top w:val="single" w:sz="12" w:space="0" w:color="008000"/>
              <w:bottom w:val="single" w:sz="6" w:space="0" w:color="008000"/>
            </w:tcBorders>
            <w:shd w:val="clear" w:color="auto" w:fill="FFFFFF"/>
          </w:tcPr>
          <w:p w14:paraId="6068B0E8" w14:textId="44BF8EBE" w:rsidR="00A40AB5" w:rsidRPr="006D4376" w:rsidRDefault="00A40AB5" w:rsidP="002F4DA5">
            <w:pPr>
              <w:pStyle w:val="CETBodytext"/>
              <w:ind w:right="-1"/>
              <w:rPr>
                <w:lang w:val="en-GB"/>
              </w:rPr>
            </w:pPr>
            <w:r w:rsidRPr="006D4376">
              <w:rPr>
                <w:lang w:val="en-GB"/>
              </w:rPr>
              <w:t>d</w:t>
            </w:r>
            <w:r>
              <w:rPr>
                <w:vertAlign w:val="subscript"/>
                <w:lang w:val="en-GB"/>
              </w:rPr>
              <w:t>9</w:t>
            </w:r>
            <w:r w:rsidRPr="006D4376">
              <w:rPr>
                <w:vertAlign w:val="subscript"/>
                <w:lang w:val="en-GB"/>
              </w:rPr>
              <w:t xml:space="preserve">0,ini </w:t>
            </w:r>
            <w:r w:rsidRPr="006D4376">
              <w:rPr>
                <w:lang w:val="en-GB"/>
              </w:rPr>
              <w:t>(µm)</w:t>
            </w:r>
          </w:p>
        </w:tc>
      </w:tr>
      <w:tr w:rsidR="00A40AB5" w:rsidRPr="00B57B36" w14:paraId="143B6666" w14:textId="77777777" w:rsidTr="00A775F0">
        <w:tc>
          <w:tcPr>
            <w:tcW w:w="2268" w:type="dxa"/>
            <w:shd w:val="clear" w:color="auto" w:fill="FFFFFF"/>
          </w:tcPr>
          <w:p w14:paraId="501B6DE1" w14:textId="03280D76" w:rsidR="00A40AB5" w:rsidRPr="00B57B36" w:rsidRDefault="00A40AB5" w:rsidP="002F4DA5">
            <w:pPr>
              <w:pStyle w:val="CETBodytext"/>
              <w:rPr>
                <w:lang w:val="en-GB"/>
              </w:rPr>
            </w:pPr>
            <w:r>
              <w:rPr>
                <w:lang w:val="en-GB"/>
              </w:rPr>
              <w:t>Cellulose PH-101</w:t>
            </w:r>
          </w:p>
        </w:tc>
        <w:tc>
          <w:tcPr>
            <w:tcW w:w="1418" w:type="dxa"/>
            <w:shd w:val="clear" w:color="auto" w:fill="FFFFFF"/>
          </w:tcPr>
          <w:p w14:paraId="475343E7" w14:textId="328C1BC2" w:rsidR="00A40AB5" w:rsidRPr="00A775F0" w:rsidRDefault="00A775F0" w:rsidP="002F4DA5">
            <w:pPr>
              <w:pStyle w:val="CETBodytext"/>
              <w:rPr>
                <w:lang w:val="en-GB"/>
              </w:rPr>
            </w:pPr>
            <w:r w:rsidRPr="00A775F0">
              <w:rPr>
                <w:lang w:val="en-GB"/>
              </w:rPr>
              <w:t>21</w:t>
            </w:r>
          </w:p>
        </w:tc>
        <w:tc>
          <w:tcPr>
            <w:tcW w:w="1189" w:type="dxa"/>
            <w:shd w:val="clear" w:color="auto" w:fill="FFFFFF"/>
          </w:tcPr>
          <w:p w14:paraId="6060D5B9" w14:textId="173C805D" w:rsidR="00A40AB5" w:rsidRPr="00A775F0" w:rsidRDefault="00A775F0" w:rsidP="002F4DA5">
            <w:pPr>
              <w:pStyle w:val="CETBodytext"/>
              <w:rPr>
                <w:lang w:val="en-GB"/>
              </w:rPr>
            </w:pPr>
            <w:r w:rsidRPr="00A775F0">
              <w:rPr>
                <w:lang w:val="en-GB"/>
              </w:rPr>
              <w:t>59</w:t>
            </w:r>
          </w:p>
        </w:tc>
        <w:tc>
          <w:tcPr>
            <w:tcW w:w="1304" w:type="dxa"/>
            <w:shd w:val="clear" w:color="auto" w:fill="FFFFFF"/>
          </w:tcPr>
          <w:p w14:paraId="7DF40E1E" w14:textId="783CEA83" w:rsidR="00A40AB5" w:rsidRPr="00A775F0" w:rsidRDefault="00A775F0" w:rsidP="002F4DA5">
            <w:pPr>
              <w:pStyle w:val="CETBodytext"/>
              <w:ind w:right="-1"/>
              <w:rPr>
                <w:lang w:val="en-GB"/>
              </w:rPr>
            </w:pPr>
            <w:r w:rsidRPr="00A775F0">
              <w:rPr>
                <w:lang w:val="en-GB"/>
              </w:rPr>
              <w:t>140</w:t>
            </w:r>
          </w:p>
        </w:tc>
      </w:tr>
      <w:tr w:rsidR="00A40AB5" w:rsidRPr="00B57B36" w14:paraId="5E931619" w14:textId="77777777" w:rsidTr="00A775F0">
        <w:tc>
          <w:tcPr>
            <w:tcW w:w="2268" w:type="dxa"/>
            <w:shd w:val="clear" w:color="auto" w:fill="FFFFFF"/>
          </w:tcPr>
          <w:p w14:paraId="45D424E8" w14:textId="32992B14" w:rsidR="00A40AB5" w:rsidRPr="00B57B36" w:rsidRDefault="00A40AB5" w:rsidP="002F4DA5">
            <w:pPr>
              <w:pStyle w:val="CETBodytext"/>
              <w:rPr>
                <w:lang w:val="en-GB"/>
              </w:rPr>
            </w:pPr>
            <w:r w:rsidRPr="006D4376">
              <w:rPr>
                <w:lang w:val="en-GB"/>
              </w:rPr>
              <w:t xml:space="preserve">Carbon black </w:t>
            </w:r>
          </w:p>
        </w:tc>
        <w:tc>
          <w:tcPr>
            <w:tcW w:w="1418" w:type="dxa"/>
            <w:shd w:val="clear" w:color="auto" w:fill="FFFFFF"/>
          </w:tcPr>
          <w:p w14:paraId="7698A78D" w14:textId="2B5B1CFF" w:rsidR="00A40AB5" w:rsidRPr="00A775F0" w:rsidRDefault="00A775F0" w:rsidP="002F4DA5">
            <w:pPr>
              <w:pStyle w:val="CETBodytext"/>
              <w:rPr>
                <w:lang w:val="en-GB"/>
              </w:rPr>
            </w:pPr>
            <w:r w:rsidRPr="00A775F0">
              <w:rPr>
                <w:lang w:val="en-GB"/>
              </w:rPr>
              <w:t>3</w:t>
            </w:r>
          </w:p>
        </w:tc>
        <w:tc>
          <w:tcPr>
            <w:tcW w:w="1189" w:type="dxa"/>
            <w:shd w:val="clear" w:color="auto" w:fill="FFFFFF"/>
          </w:tcPr>
          <w:p w14:paraId="5960D32B" w14:textId="7B2F60CD" w:rsidR="00A40AB5" w:rsidRPr="00A775F0" w:rsidRDefault="00A775F0" w:rsidP="002F4DA5">
            <w:pPr>
              <w:pStyle w:val="CETBodytext"/>
              <w:rPr>
                <w:lang w:val="en-GB"/>
              </w:rPr>
            </w:pPr>
            <w:r w:rsidRPr="00A775F0">
              <w:rPr>
                <w:lang w:val="en-GB"/>
              </w:rPr>
              <w:t>9</w:t>
            </w:r>
          </w:p>
        </w:tc>
        <w:tc>
          <w:tcPr>
            <w:tcW w:w="1304" w:type="dxa"/>
            <w:shd w:val="clear" w:color="auto" w:fill="FFFFFF"/>
          </w:tcPr>
          <w:p w14:paraId="7291F7B4" w14:textId="448CEA5E" w:rsidR="00A40AB5" w:rsidRPr="00A775F0" w:rsidRDefault="00A775F0" w:rsidP="002F4DA5">
            <w:pPr>
              <w:pStyle w:val="CETBodytext"/>
              <w:ind w:right="-1"/>
              <w:rPr>
                <w:lang w:val="en-GB"/>
              </w:rPr>
            </w:pPr>
            <w:r w:rsidRPr="00A775F0">
              <w:rPr>
                <w:lang w:val="en-GB"/>
              </w:rPr>
              <w:t>64</w:t>
            </w:r>
          </w:p>
        </w:tc>
      </w:tr>
      <w:tr w:rsidR="00A40AB5" w:rsidRPr="00B57B36" w14:paraId="6BC2F589" w14:textId="77777777" w:rsidTr="00A775F0">
        <w:tc>
          <w:tcPr>
            <w:tcW w:w="2268" w:type="dxa"/>
            <w:shd w:val="clear" w:color="auto" w:fill="FFFFFF"/>
          </w:tcPr>
          <w:p w14:paraId="4BC39EDD" w14:textId="232701D5" w:rsidR="00A40AB5" w:rsidRPr="006D4376" w:rsidRDefault="00A40AB5" w:rsidP="002F4DA5">
            <w:pPr>
              <w:pStyle w:val="CETBodytext"/>
              <w:rPr>
                <w:lang w:val="en-GB"/>
              </w:rPr>
            </w:pPr>
            <w:r w:rsidRPr="006D4376">
              <w:rPr>
                <w:lang w:val="en-GB"/>
              </w:rPr>
              <w:t xml:space="preserve">Polluted soil </w:t>
            </w:r>
          </w:p>
        </w:tc>
        <w:tc>
          <w:tcPr>
            <w:tcW w:w="1418" w:type="dxa"/>
            <w:shd w:val="clear" w:color="auto" w:fill="FFFFFF"/>
          </w:tcPr>
          <w:p w14:paraId="2AB25FB3" w14:textId="68283C36" w:rsidR="00A40AB5" w:rsidRPr="00A775F0" w:rsidRDefault="00A775F0" w:rsidP="002F4DA5">
            <w:pPr>
              <w:pStyle w:val="CETBodytext"/>
              <w:rPr>
                <w:lang w:val="en-GB"/>
              </w:rPr>
            </w:pPr>
            <w:r w:rsidRPr="00A775F0">
              <w:rPr>
                <w:lang w:val="en-GB"/>
              </w:rPr>
              <w:t>81</w:t>
            </w:r>
          </w:p>
        </w:tc>
        <w:tc>
          <w:tcPr>
            <w:tcW w:w="1189" w:type="dxa"/>
            <w:shd w:val="clear" w:color="auto" w:fill="FFFFFF"/>
          </w:tcPr>
          <w:p w14:paraId="180E2095" w14:textId="335255B3" w:rsidR="00A40AB5" w:rsidRPr="00A775F0" w:rsidRDefault="00A775F0" w:rsidP="002F4DA5">
            <w:pPr>
              <w:pStyle w:val="CETBodytext"/>
              <w:ind w:right="-1"/>
              <w:rPr>
                <w:lang w:val="en-GB"/>
              </w:rPr>
            </w:pPr>
            <w:r w:rsidRPr="00A775F0">
              <w:rPr>
                <w:lang w:val="en-GB"/>
              </w:rPr>
              <w:t>225</w:t>
            </w:r>
          </w:p>
        </w:tc>
        <w:tc>
          <w:tcPr>
            <w:tcW w:w="1304" w:type="dxa"/>
            <w:shd w:val="clear" w:color="auto" w:fill="FFFFFF"/>
          </w:tcPr>
          <w:p w14:paraId="7104C3B3" w14:textId="1983B810" w:rsidR="00A40AB5" w:rsidRPr="00A775F0" w:rsidRDefault="00A775F0" w:rsidP="002F4DA5">
            <w:pPr>
              <w:pStyle w:val="CETBodytext"/>
              <w:ind w:right="-1"/>
              <w:rPr>
                <w:lang w:val="en-GB"/>
              </w:rPr>
            </w:pPr>
            <w:r w:rsidRPr="00A775F0">
              <w:rPr>
                <w:lang w:val="en-GB"/>
              </w:rPr>
              <w:t>472</w:t>
            </w:r>
          </w:p>
        </w:tc>
      </w:tr>
    </w:tbl>
    <w:p w14:paraId="2F234B1D" w14:textId="77777777" w:rsidR="00EF6641" w:rsidRDefault="00EF6641" w:rsidP="00453E24">
      <w:pPr>
        <w:pStyle w:val="CETBodytext"/>
      </w:pPr>
    </w:p>
    <w:p w14:paraId="40688FA5" w14:textId="3D057EF5" w:rsidR="00A775F0" w:rsidRDefault="00E82679" w:rsidP="00F13016">
      <w:pPr>
        <w:pStyle w:val="CETBodytext"/>
      </w:pPr>
      <w:r>
        <w:t xml:space="preserve">Admixtures were prepared by </w:t>
      </w:r>
      <w:r w:rsidRPr="00E82679">
        <w:t>sprayed fluidized-bed granulation</w:t>
      </w:r>
      <w:r>
        <w:t xml:space="preserve"> (Singh et al., 2022). In order to ensure the homogeneity of the samples, they were mixed during one hour in a chaotic stirrer (Turbula) before testing. </w:t>
      </w:r>
      <w:r w:rsidR="00290C02">
        <w:t xml:space="preserve">Figure 1 shows the morphological evolution of the pre-wetted powders (cellulose/ethanol) </w:t>
      </w:r>
      <w:r w:rsidR="00F06518">
        <w:t>as a function of the solvent content</w:t>
      </w:r>
      <w:r w:rsidR="00672327">
        <w:t xml:space="preserve">. </w:t>
      </w:r>
      <w:r w:rsidR="000B354C">
        <w:t>If s</w:t>
      </w:r>
      <w:r w:rsidR="00672327">
        <w:t xml:space="preserve">light changes are </w:t>
      </w:r>
      <w:r w:rsidR="000B354C">
        <w:t>notice</w:t>
      </w:r>
      <w:r w:rsidR="00672327">
        <w:t xml:space="preserve">d from 0 to 5 vol%, </w:t>
      </w:r>
      <w:r w:rsidR="000B354C">
        <w:t>no agglomerates or macroscopic granules are visible. However, cohesive interactions are clearly observed for solvent contents greater than 10 vol%.</w:t>
      </w:r>
    </w:p>
    <w:p w14:paraId="424081CE" w14:textId="77777777" w:rsidR="00290C02" w:rsidRPr="00B57B36" w:rsidRDefault="00290C02" w:rsidP="00290C02">
      <w:pPr>
        <w:pStyle w:val="CETCaption"/>
      </w:pPr>
      <w:r>
        <w:rPr>
          <w:noProof/>
        </w:rPr>
        <w:drawing>
          <wp:inline distT="0" distB="0" distL="0" distR="0" wp14:anchorId="5BC4ADCD" wp14:editId="09FC7878">
            <wp:extent cx="5058000" cy="1440000"/>
            <wp:effectExtent l="0" t="0" r="0" b="0"/>
            <wp:docPr id="1185347414" name="Image 1" descr="Une image contenant menthe, argent,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47414" name="Image 1" descr="Une image contenant menthe, argent, pièce&#10;&#10;Description générée automatiquement"/>
                    <pic:cNvPicPr/>
                  </pic:nvPicPr>
                  <pic:blipFill rotWithShape="1">
                    <a:blip r:embed="rId10"/>
                    <a:srcRect/>
                    <a:stretch/>
                  </pic:blipFill>
                  <pic:spPr bwMode="auto">
                    <a:xfrm>
                      <a:off x="0" y="0"/>
                      <a:ext cx="5058000" cy="1440000"/>
                    </a:xfrm>
                    <a:prstGeom prst="rect">
                      <a:avLst/>
                    </a:prstGeom>
                    <a:ln>
                      <a:noFill/>
                    </a:ln>
                    <a:extLst>
                      <a:ext uri="{53640926-AAD7-44D8-BBD7-CCE9431645EC}">
                        <a14:shadowObscured xmlns:a14="http://schemas.microsoft.com/office/drawing/2010/main"/>
                      </a:ext>
                    </a:extLst>
                  </pic:spPr>
                </pic:pic>
              </a:graphicData>
            </a:graphic>
          </wp:inline>
        </w:drawing>
      </w:r>
    </w:p>
    <w:p w14:paraId="5E5BC9E0" w14:textId="16E443E4" w:rsidR="00290C02" w:rsidRDefault="00290C02" w:rsidP="000B354C">
      <w:pPr>
        <w:pStyle w:val="CETCaption"/>
      </w:pPr>
      <w:r w:rsidRPr="00BD077D">
        <w:rPr>
          <w:rStyle w:val="CETCaptionCarattere"/>
          <w:i/>
        </w:rPr>
        <w:t>Figure 1:</w:t>
      </w:r>
      <w:r>
        <w:rPr>
          <w:rStyle w:val="CETCaptionCarattere"/>
          <w:i/>
        </w:rPr>
        <w:t xml:space="preserve"> M</w:t>
      </w:r>
      <w:r w:rsidRPr="008120D0">
        <w:rPr>
          <w:rStyle w:val="CETCaptionCarattere"/>
          <w:i/>
        </w:rPr>
        <w:t xml:space="preserve">acroscopic observation of </w:t>
      </w:r>
      <w:r>
        <w:rPr>
          <w:rStyle w:val="CETCaptionCarattere"/>
          <w:i/>
        </w:rPr>
        <w:t xml:space="preserve">particle size </w:t>
      </w:r>
      <w:r w:rsidRPr="008120D0">
        <w:rPr>
          <w:rStyle w:val="CETCaptionCarattere"/>
          <w:i/>
        </w:rPr>
        <w:t>changes due to granulation</w:t>
      </w:r>
      <w:r w:rsidRPr="00BD077D">
        <w:t xml:space="preserve"> </w:t>
      </w:r>
      <w:r w:rsidR="00F06518">
        <w:t>(Avicel PH-101/Ethanol)</w:t>
      </w:r>
    </w:p>
    <w:p w14:paraId="18BAFA6F" w14:textId="747DF109" w:rsidR="00453E24" w:rsidRPr="00B57B36" w:rsidRDefault="000B354C" w:rsidP="00F1297D">
      <w:pPr>
        <w:pStyle w:val="CETheadingx"/>
      </w:pPr>
      <w:r>
        <w:t>Explosion severity and minimum ignition temperature</w:t>
      </w:r>
    </w:p>
    <w:p w14:paraId="39E06FBA" w14:textId="2EE0B48D" w:rsidR="00625528" w:rsidRPr="009A38DE" w:rsidRDefault="00DB36C5" w:rsidP="008622E0">
      <w:pPr>
        <w:pStyle w:val="CETBodytext"/>
      </w:pPr>
      <w:r>
        <w:rPr>
          <w:lang w:val="en-GB"/>
        </w:rPr>
        <w:t>The explosion severity of the raw products and admixtures was determined using a 20L sphere</w:t>
      </w:r>
      <w:r w:rsidR="0049293D">
        <w:rPr>
          <w:lang w:val="en-GB"/>
        </w:rPr>
        <w:t>,</w:t>
      </w:r>
      <w:r>
        <w:rPr>
          <w:lang w:val="en-GB"/>
        </w:rPr>
        <w:t xml:space="preserve"> according to </w:t>
      </w:r>
      <w:r w:rsidR="00975B84" w:rsidRPr="0083505C">
        <w:t>ISO/IEC 80079-20-2, 2016.</w:t>
      </w:r>
      <w:r w:rsidR="00CE0CC0">
        <w:t xml:space="preserve"> Two methods were used to </w:t>
      </w:r>
      <w:r w:rsidR="00FE1F7A">
        <w:t>inject the fuels: i) the pre-wetted powder is directly put in the dust canister and injected through the dispersion nozzle in pure air</w:t>
      </w:r>
      <w:r w:rsidR="001D14E0">
        <w:t xml:space="preserve"> (20 barg)</w:t>
      </w:r>
      <w:r w:rsidR="00FE1F7A">
        <w:t xml:space="preserve">, or ii) the dry powder is injected in the sphere </w:t>
      </w:r>
      <w:r w:rsidR="001D14E0">
        <w:t xml:space="preserve">(20 barg) </w:t>
      </w:r>
      <w:r w:rsidR="00FE1F7A">
        <w:t>where a certain amount of solvent has previously been vaporized</w:t>
      </w:r>
      <w:r w:rsidR="001D14E0">
        <w:t xml:space="preserve"> in air to reach 0.4 barg</w:t>
      </w:r>
      <w:r w:rsidR="00FE1F7A">
        <w:t xml:space="preserve"> (Heilmann et al., 2024). </w:t>
      </w:r>
      <w:r w:rsidR="003C65A5">
        <w:t>Two 5kJ chemical igniters were used as ignition source</w:t>
      </w:r>
      <w:r w:rsidR="001D14E0">
        <w:t>,</w:t>
      </w:r>
      <w:r w:rsidR="003C65A5">
        <w:t xml:space="preserve"> the ignition delay time was set at 60 ms</w:t>
      </w:r>
      <w:r w:rsidR="001D14E0">
        <w:t xml:space="preserve"> and </w:t>
      </w:r>
      <w:r w:rsidR="001D14E0" w:rsidRPr="001D14E0">
        <w:t>pre-ignition pressure rise</w:t>
      </w:r>
      <w:r w:rsidR="001D14E0">
        <w:t xml:space="preserve"> at 0.64</w:t>
      </w:r>
      <w:r w:rsidR="001D14E0">
        <w:sym w:font="Symbol" w:char="F020"/>
      </w:r>
      <w:r w:rsidR="001D14E0">
        <w:sym w:font="Symbol" w:char="F0B1"/>
      </w:r>
      <w:r w:rsidR="001D14E0">
        <w:t xml:space="preserve"> 0.02 bar</w:t>
      </w:r>
      <w:r w:rsidR="003C65A5">
        <w:t>. Most of the experiments were carried out using a rebound nozzle, but a standardized mushroom nozzle was also used for a few tests to place the powder directly in the sphere, avoid</w:t>
      </w:r>
      <w:r w:rsidR="0049293D">
        <w:t>ing</w:t>
      </w:r>
      <w:r w:rsidR="003C65A5">
        <w:t xml:space="preserve"> its fragmentation due to shear stresses.</w:t>
      </w:r>
      <w:r w:rsidR="001D14E0">
        <w:t xml:space="preserve"> </w:t>
      </w:r>
      <w:r w:rsidR="0049293D">
        <w:t xml:space="preserve">The minimum ignition energy (MIT) of pre-wetted admixtures was determined using a </w:t>
      </w:r>
      <w:r w:rsidR="0049293D" w:rsidRPr="009003DD">
        <w:rPr>
          <w:lang w:val="en-GB"/>
        </w:rPr>
        <w:t>Godbert-Greenwald oven</w:t>
      </w:r>
      <w:r w:rsidR="0049293D">
        <w:rPr>
          <w:lang w:val="en-GB"/>
        </w:rPr>
        <w:t xml:space="preserve">, according to </w:t>
      </w:r>
      <w:r w:rsidR="0049293D" w:rsidRPr="0083505C">
        <w:t>ISO/IEC 80079-20-2</w:t>
      </w:r>
      <w:r w:rsidR="0049293D">
        <w:t>. The dispersion pressure was varied over a 0.3 to 0.5</w:t>
      </w:r>
      <w:r w:rsidR="001D14E0">
        <w:t> </w:t>
      </w:r>
      <w:r w:rsidR="0049293D">
        <w:t>barg range</w:t>
      </w:r>
      <w:r w:rsidR="005D1363">
        <w:t xml:space="preserve"> and the mass introduced was 0.2 to 0.5 g.</w:t>
      </w:r>
    </w:p>
    <w:p w14:paraId="1789CDF7" w14:textId="43AF5A02" w:rsidR="000B354C" w:rsidRPr="00B57B36" w:rsidRDefault="000B354C" w:rsidP="00F1297D">
      <w:pPr>
        <w:pStyle w:val="CETheadingx"/>
      </w:pPr>
      <w:r>
        <w:t>In-situ particle size measurement</w:t>
      </w:r>
    </w:p>
    <w:p w14:paraId="140ACC8E" w14:textId="7D561D94" w:rsidR="0080318C" w:rsidRPr="0080318C" w:rsidRDefault="006D0E21" w:rsidP="0080318C">
      <w:pPr>
        <w:pStyle w:val="CETBodytext"/>
        <w:rPr>
          <w:lang w:val="en-GB"/>
        </w:rPr>
      </w:pPr>
      <w:r>
        <w:rPr>
          <w:lang w:val="en-GB"/>
        </w:rPr>
        <w:t xml:space="preserve">As the standard 20L sphere does not allow the visualization of the dust dispersion, a </w:t>
      </w:r>
      <w:r w:rsidRPr="006D0E21">
        <w:rPr>
          <w:lang w:val="en-GB"/>
        </w:rPr>
        <w:t xml:space="preserve">20 L sphere </w:t>
      </w:r>
      <w:r w:rsidR="00B01451">
        <w:rPr>
          <w:lang w:val="en-GB"/>
        </w:rPr>
        <w:t>provide</w:t>
      </w:r>
      <w:r w:rsidRPr="006D0E21">
        <w:rPr>
          <w:lang w:val="en-GB"/>
        </w:rPr>
        <w:t xml:space="preserve">d with </w:t>
      </w:r>
      <w:r>
        <w:rPr>
          <w:lang w:val="en-GB"/>
        </w:rPr>
        <w:t xml:space="preserve">five </w:t>
      </w:r>
      <w:r w:rsidRPr="006D0E21">
        <w:rPr>
          <w:lang w:val="en-GB"/>
        </w:rPr>
        <w:t>windows</w:t>
      </w:r>
      <w:r>
        <w:rPr>
          <w:lang w:val="en-GB"/>
        </w:rPr>
        <w:t xml:space="preserve"> was used to record the evolution of the PSD during the injection of the admixtures. Measurements</w:t>
      </w:r>
      <w:r w:rsidR="00B01451">
        <w:rPr>
          <w:lang w:val="en-GB"/>
        </w:rPr>
        <w:t>, from 1 to 875 µm,</w:t>
      </w:r>
      <w:r>
        <w:rPr>
          <w:lang w:val="en-GB"/>
        </w:rPr>
        <w:t xml:space="preserve"> were carried out with </w:t>
      </w:r>
      <w:r>
        <w:t xml:space="preserve">a </w:t>
      </w:r>
      <w:r w:rsidR="000B354C" w:rsidRPr="006D0E21">
        <w:t xml:space="preserve">laser diffraction sensor </w:t>
      </w:r>
      <w:r w:rsidR="00B01451">
        <w:t xml:space="preserve">equipped with R5 lens </w:t>
      </w:r>
      <w:r w:rsidR="000B354C" w:rsidRPr="006D0E21">
        <w:t>(</w:t>
      </w:r>
      <w:r>
        <w:t xml:space="preserve">Helos </w:t>
      </w:r>
      <w:r w:rsidR="00B01451">
        <w:t>-</w:t>
      </w:r>
      <w:r>
        <w:t xml:space="preserve"> </w:t>
      </w:r>
      <w:r w:rsidR="000B354C" w:rsidRPr="006D0E21">
        <w:t>Sympatec</w:t>
      </w:r>
      <w:r>
        <w:t>)</w:t>
      </w:r>
      <w:r w:rsidR="00B01451">
        <w:t xml:space="preserve">. </w:t>
      </w:r>
      <w:r w:rsidR="0080318C">
        <w:t xml:space="preserve">The same diffraction sensor was used to measure the PSD at the exit of the </w:t>
      </w:r>
      <w:r w:rsidR="0080318C" w:rsidRPr="009003DD">
        <w:rPr>
          <w:lang w:val="en-GB"/>
        </w:rPr>
        <w:t>Godbert-Greenwald oven</w:t>
      </w:r>
      <w:r w:rsidR="0080318C">
        <w:rPr>
          <w:lang w:val="en-GB"/>
        </w:rPr>
        <w:t xml:space="preserve">, as a function of the dispersion pressure and solvent content. </w:t>
      </w:r>
    </w:p>
    <w:p w14:paraId="677EBFF0" w14:textId="0291B920" w:rsidR="00600535" w:rsidRPr="00B57B36" w:rsidRDefault="008525E5" w:rsidP="00600535">
      <w:pPr>
        <w:pStyle w:val="CETHeading1"/>
        <w:tabs>
          <w:tab w:val="right" w:pos="7100"/>
        </w:tabs>
        <w:jc w:val="both"/>
        <w:rPr>
          <w:lang w:val="en-GB"/>
        </w:rPr>
      </w:pPr>
      <w:r>
        <w:rPr>
          <w:lang w:val="en-GB"/>
        </w:rPr>
        <w:lastRenderedPageBreak/>
        <w:t xml:space="preserve">Results and </w:t>
      </w:r>
      <w:r w:rsidR="00F21285">
        <w:rPr>
          <w:lang w:val="en-GB"/>
        </w:rPr>
        <w:t>discussion</w:t>
      </w:r>
    </w:p>
    <w:p w14:paraId="6C1160A3" w14:textId="249FEF9F" w:rsidR="00F1297D" w:rsidRPr="00F1297D" w:rsidRDefault="00F1297D" w:rsidP="00F1297D">
      <w:pPr>
        <w:pStyle w:val="CETheadingx"/>
      </w:pPr>
      <w:r>
        <w:t>Explosion severity: influence of the solvent content and mixing method</w:t>
      </w:r>
    </w:p>
    <w:p w14:paraId="5EB0377F" w14:textId="5DE7BBCA" w:rsidR="00EF6641" w:rsidRDefault="001C041E" w:rsidP="00EF6641">
      <w:pPr>
        <w:pStyle w:val="CETBodytext"/>
        <w:rPr>
          <w:lang w:val="en-GB"/>
        </w:rPr>
      </w:pPr>
      <w:r>
        <w:rPr>
          <w:lang w:val="en-GB"/>
        </w:rPr>
        <w:t>Figure 2 shows the results obtained for cellulose/ethanol mixtures, for two different mixing modes: i) pre-wetted powder (purple crosses) and ii) dry powder mixed with ethanol vapour (yellow triangles).</w:t>
      </w:r>
      <w:r w:rsidR="00747ED5">
        <w:rPr>
          <w:lang w:val="en-GB"/>
        </w:rPr>
        <w:t xml:space="preserve"> It appears </w:t>
      </w:r>
      <w:r w:rsidR="00C70893">
        <w:rPr>
          <w:lang w:val="en-GB"/>
        </w:rPr>
        <w:t>that, from 0 to 7 wt.% ethanol, the explosion severity of both kinds of mixtures is the same. Around 8.5 wt.% ethanol, an increase of both the maximum explosion pressure P</w:t>
      </w:r>
      <w:r w:rsidR="00C70893" w:rsidRPr="00C70893">
        <w:rPr>
          <w:vertAlign w:val="subscript"/>
          <w:lang w:val="en-GB"/>
        </w:rPr>
        <w:t>m</w:t>
      </w:r>
      <w:r w:rsidR="00C70893">
        <w:rPr>
          <w:lang w:val="en-GB"/>
        </w:rPr>
        <w:t xml:space="preserve"> and maximum rate of pressure rise dP/dt</w:t>
      </w:r>
      <w:r w:rsidR="00C70893" w:rsidRPr="00C70893">
        <w:rPr>
          <w:vertAlign w:val="subscript"/>
          <w:lang w:val="en-GB"/>
        </w:rPr>
        <w:t>m</w:t>
      </w:r>
      <w:r w:rsidR="00C70893">
        <w:rPr>
          <w:lang w:val="en-GB"/>
        </w:rPr>
        <w:t xml:space="preserve"> is noticeable, especially for the prewetted powder. From 10 to 30 wt.% ethanol, </w:t>
      </w:r>
      <w:r w:rsidR="000C08A3">
        <w:rPr>
          <w:lang w:val="en-GB"/>
        </w:rPr>
        <w:t>the explosion severity of the pre-wetted admixture is significantly reduced with regard to that of the dry dust dispersed in the vapour/air atmosphere. This trend is especially visible for the maximum rate of pressure rise, due to the marked decrease of dP/dt</w:t>
      </w:r>
      <w:r w:rsidR="000C08A3" w:rsidRPr="000C08A3">
        <w:rPr>
          <w:vertAlign w:val="subscript"/>
          <w:lang w:val="en-GB"/>
        </w:rPr>
        <w:t>m</w:t>
      </w:r>
      <w:r w:rsidR="000C08A3">
        <w:rPr>
          <w:lang w:val="en-GB"/>
        </w:rPr>
        <w:t xml:space="preserve"> for the pre-wetted powder. It should be noted that such evolution is consistent with the morphological changes observed in Figure 1 at high solvent contents.</w:t>
      </w:r>
      <w:r w:rsidR="00720494">
        <w:rPr>
          <w:lang w:val="en-GB"/>
        </w:rPr>
        <w:t xml:space="preserve"> </w:t>
      </w:r>
      <w:r w:rsidR="00A41059">
        <w:rPr>
          <w:lang w:val="en-GB"/>
        </w:rPr>
        <w:t xml:space="preserve">A few tests were performed by placing the pre-wetted cellulose directly within the sphere in a standard mushroom nozzle. </w:t>
      </w:r>
      <w:r w:rsidR="00DC69C8">
        <w:rPr>
          <w:lang w:val="en-GB"/>
        </w:rPr>
        <w:t>Even for the pure dust, both P</w:t>
      </w:r>
      <w:r w:rsidR="00DC69C8" w:rsidRPr="00DC69C8">
        <w:rPr>
          <w:vertAlign w:val="subscript"/>
          <w:lang w:val="en-GB"/>
        </w:rPr>
        <w:t>m</w:t>
      </w:r>
      <w:r w:rsidR="00DC69C8">
        <w:rPr>
          <w:lang w:val="en-GB"/>
        </w:rPr>
        <w:t xml:space="preserve"> and dP/dt</w:t>
      </w:r>
      <w:r w:rsidR="00DC69C8" w:rsidRPr="00DC69C8">
        <w:rPr>
          <w:vertAlign w:val="subscript"/>
          <w:lang w:val="en-GB"/>
        </w:rPr>
        <w:t>m</w:t>
      </w:r>
      <w:r w:rsidR="00DC69C8">
        <w:rPr>
          <w:lang w:val="en-GB"/>
        </w:rPr>
        <w:t xml:space="preserve"> were lower than those obtained using the rebound nozzle and injecting the dust through the pressurised canister. If in-situ PSD measurements confirmed that the powders are much more fragmented </w:t>
      </w:r>
      <w:r w:rsidR="00854C1B">
        <w:rPr>
          <w:lang w:val="en-GB"/>
        </w:rPr>
        <w:t>with the</w:t>
      </w:r>
      <w:r w:rsidR="00DC69C8">
        <w:rPr>
          <w:lang w:val="en-GB"/>
        </w:rPr>
        <w:t xml:space="preserve"> rebound nozzle, </w:t>
      </w:r>
      <w:r w:rsidR="00854C1B" w:rsidRPr="00854C1B">
        <w:rPr>
          <w:lang w:val="en-GB"/>
        </w:rPr>
        <w:t xml:space="preserve">which suggests that the size-increasing effect of granulation is not as great </w:t>
      </w:r>
      <w:r w:rsidR="00854C1B">
        <w:rPr>
          <w:lang w:val="en-GB"/>
        </w:rPr>
        <w:t xml:space="preserve">as expected </w:t>
      </w:r>
      <w:r w:rsidR="00854C1B" w:rsidRPr="00854C1B">
        <w:rPr>
          <w:lang w:val="en-GB"/>
        </w:rPr>
        <w:t>when the powder is injected in</w:t>
      </w:r>
      <w:r w:rsidR="00854C1B">
        <w:rPr>
          <w:lang w:val="en-GB"/>
        </w:rPr>
        <w:t>to</w:t>
      </w:r>
      <w:r w:rsidR="00854C1B" w:rsidRPr="00854C1B">
        <w:rPr>
          <w:lang w:val="en-GB"/>
        </w:rPr>
        <w:t xml:space="preserve"> the sphere,</w:t>
      </w:r>
      <w:r w:rsidR="00854C1B">
        <w:rPr>
          <w:lang w:val="en-GB"/>
        </w:rPr>
        <w:t xml:space="preserve"> </w:t>
      </w:r>
      <w:r w:rsidR="00854C1B" w:rsidRPr="00854C1B">
        <w:rPr>
          <w:lang w:val="en-GB"/>
        </w:rPr>
        <w:t xml:space="preserve">the </w:t>
      </w:r>
      <w:r w:rsidR="00854C1B">
        <w:rPr>
          <w:lang w:val="en-GB"/>
        </w:rPr>
        <w:t xml:space="preserve">sole </w:t>
      </w:r>
      <w:r w:rsidR="00854C1B" w:rsidRPr="00854C1B">
        <w:rPr>
          <w:lang w:val="en-GB"/>
        </w:rPr>
        <w:t xml:space="preserve">difference </w:t>
      </w:r>
      <w:r w:rsidR="007649B1">
        <w:rPr>
          <w:lang w:val="en-GB"/>
        </w:rPr>
        <w:t>oxygen accessibility</w:t>
      </w:r>
      <w:r w:rsidR="00854C1B" w:rsidRPr="00854C1B">
        <w:rPr>
          <w:lang w:val="en-GB"/>
        </w:rPr>
        <w:t xml:space="preserve"> cannot explain the </w:t>
      </w:r>
      <w:r w:rsidR="00854C1B">
        <w:rPr>
          <w:lang w:val="en-GB"/>
        </w:rPr>
        <w:t>P</w:t>
      </w:r>
      <w:r w:rsidR="00854C1B" w:rsidRPr="00854C1B">
        <w:rPr>
          <w:vertAlign w:val="subscript"/>
          <w:lang w:val="en-GB"/>
        </w:rPr>
        <w:t>m</w:t>
      </w:r>
      <w:r w:rsidR="00854C1B">
        <w:rPr>
          <w:lang w:val="en-GB"/>
        </w:rPr>
        <w:t xml:space="preserve"> </w:t>
      </w:r>
      <w:r w:rsidR="00854C1B" w:rsidRPr="00854C1B">
        <w:rPr>
          <w:lang w:val="en-GB"/>
        </w:rPr>
        <w:t>reduction.</w:t>
      </w:r>
      <w:r w:rsidR="007649B1">
        <w:rPr>
          <w:lang w:val="en-GB"/>
        </w:rPr>
        <w:t xml:space="preserve"> </w:t>
      </w:r>
      <w:r w:rsidR="007649B1" w:rsidRPr="007649B1">
        <w:rPr>
          <w:lang w:val="en-GB"/>
        </w:rPr>
        <w:t>The heat sink effect due to solvent vaporisation for large granules could potentially explain the reduction in combustion efficiency.</w:t>
      </w:r>
    </w:p>
    <w:p w14:paraId="317D2543" w14:textId="435F7523" w:rsidR="00EF6641" w:rsidRPr="00B57B36" w:rsidRDefault="001E1CB1" w:rsidP="00EF6641">
      <w:pPr>
        <w:pStyle w:val="CETCaption"/>
      </w:pPr>
      <w:r>
        <w:rPr>
          <w:noProof/>
        </w:rPr>
        <w:drawing>
          <wp:inline distT="0" distB="0" distL="0" distR="0" wp14:anchorId="401D9F2C" wp14:editId="478B7DC3">
            <wp:extent cx="5562000" cy="3600000"/>
            <wp:effectExtent l="0" t="0" r="635" b="0"/>
            <wp:docPr id="874441179" name="Image 2" descr="Une image contenant texte, lign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41179" name="Image 2" descr="Une image contenant texte, ligne, capture d’écran, diagramme&#10;&#10;Description générée automatiquement"/>
                    <pic:cNvPicPr/>
                  </pic:nvPicPr>
                  <pic:blipFill rotWithShape="1">
                    <a:blip r:embed="rId11"/>
                    <a:srcRect l="7380" t="4022" r="8174" b="3484"/>
                    <a:stretch/>
                  </pic:blipFill>
                  <pic:spPr bwMode="auto">
                    <a:xfrm>
                      <a:off x="0" y="0"/>
                      <a:ext cx="5562000" cy="3600000"/>
                    </a:xfrm>
                    <a:prstGeom prst="rect">
                      <a:avLst/>
                    </a:prstGeom>
                    <a:ln>
                      <a:noFill/>
                    </a:ln>
                    <a:extLst>
                      <a:ext uri="{53640926-AAD7-44D8-BBD7-CCE9431645EC}">
                        <a14:shadowObscured xmlns:a14="http://schemas.microsoft.com/office/drawing/2010/main"/>
                      </a:ext>
                    </a:extLst>
                  </pic:spPr>
                </pic:pic>
              </a:graphicData>
            </a:graphic>
          </wp:inline>
        </w:drawing>
      </w:r>
    </w:p>
    <w:p w14:paraId="1F4C9BCF" w14:textId="779F23F5" w:rsidR="000C08A3" w:rsidRDefault="00EF6641" w:rsidP="000C08A3">
      <w:pPr>
        <w:pStyle w:val="CETCaption"/>
      </w:pPr>
      <w:r w:rsidRPr="00E41A26">
        <w:t xml:space="preserve">Figure </w:t>
      </w:r>
      <w:r w:rsidR="00BD1C7E">
        <w:t>2</w:t>
      </w:r>
      <w:r w:rsidRPr="00E41A26">
        <w:t xml:space="preserve">: </w:t>
      </w:r>
      <w:r w:rsidR="00E41A26" w:rsidRPr="00E41A26">
        <w:t>Effect of ethanol content</w:t>
      </w:r>
      <w:r w:rsidR="00E41A26">
        <w:t xml:space="preserve">, </w:t>
      </w:r>
      <w:r w:rsidR="00E41A26" w:rsidRPr="00E41A26">
        <w:t>mixing modes</w:t>
      </w:r>
      <w:r w:rsidR="00E41A26">
        <w:t xml:space="preserve"> and nozzles</w:t>
      </w:r>
      <w:r w:rsidR="00E41A26" w:rsidRPr="00E41A26">
        <w:t xml:space="preserve"> o</w:t>
      </w:r>
      <w:r w:rsidR="00E41A26">
        <w:t>n</w:t>
      </w:r>
      <w:r w:rsidR="00E41A26" w:rsidRPr="00E41A26">
        <w:t xml:space="preserve"> the a) maximum pressure </w:t>
      </w:r>
      <w:r w:rsidR="00C70893">
        <w:t>P</w:t>
      </w:r>
      <w:r w:rsidR="00C70893" w:rsidRPr="00C70893">
        <w:rPr>
          <w:vertAlign w:val="subscript"/>
        </w:rPr>
        <w:t>m</w:t>
      </w:r>
      <w:r w:rsidR="00C70893">
        <w:t xml:space="preserve"> </w:t>
      </w:r>
      <w:r w:rsidR="00E41A26" w:rsidRPr="00E41A26">
        <w:t xml:space="preserve">and b) maximum rate of pressure rise </w:t>
      </w:r>
      <w:r w:rsidR="00C70893">
        <w:t>dP/dt</w:t>
      </w:r>
      <w:r w:rsidR="00C70893" w:rsidRPr="00C70893">
        <w:rPr>
          <w:vertAlign w:val="subscript"/>
        </w:rPr>
        <w:t>m</w:t>
      </w:r>
      <w:r w:rsidR="00C70893">
        <w:t xml:space="preserve"> </w:t>
      </w:r>
      <w:r w:rsidR="00E41A26" w:rsidRPr="00E41A26">
        <w:t xml:space="preserve">of </w:t>
      </w:r>
      <w:r w:rsidR="00E41A26">
        <w:t>Avicel PH-101</w:t>
      </w:r>
      <w:r w:rsidR="00AE76CB">
        <w:t>/ethanol mixtures</w:t>
      </w:r>
      <w:r w:rsidR="00BD1C7E">
        <w:t xml:space="preserve">. </w:t>
      </w:r>
      <w:r w:rsidR="00BD1C7E">
        <w:rPr>
          <w:rStyle w:val="CETCaptionCarattere"/>
          <w:i/>
        </w:rPr>
        <w:t>Constant fuel moles: 0.062 mol.</w:t>
      </w:r>
    </w:p>
    <w:p w14:paraId="355C9FE9" w14:textId="12638DC3" w:rsidR="001C63A1" w:rsidRPr="00E41A26" w:rsidRDefault="00EE15DD" w:rsidP="001C63A1">
      <w:pPr>
        <w:pStyle w:val="CETBodytext"/>
      </w:pPr>
      <w:r>
        <w:rPr>
          <w:rStyle w:val="CETCaptionCarattere"/>
          <w:i w:val="0"/>
          <w:lang w:val="en-US"/>
        </w:rPr>
        <w:t>Maximum values of P</w:t>
      </w:r>
      <w:r w:rsidRPr="00EE15DD">
        <w:rPr>
          <w:rStyle w:val="CETCaptionCarattere"/>
          <w:i w:val="0"/>
          <w:vertAlign w:val="subscript"/>
          <w:lang w:val="en-US"/>
        </w:rPr>
        <w:t>m</w:t>
      </w:r>
      <w:r>
        <w:rPr>
          <w:rStyle w:val="CETCaptionCarattere"/>
          <w:i w:val="0"/>
          <w:lang w:val="en-US"/>
        </w:rPr>
        <w:t xml:space="preserve"> and dP/dt</w:t>
      </w:r>
      <w:r w:rsidRPr="00EE15DD">
        <w:rPr>
          <w:rStyle w:val="CETCaptionCarattere"/>
          <w:i w:val="0"/>
          <w:vertAlign w:val="subscript"/>
          <w:lang w:val="en-US"/>
        </w:rPr>
        <w:t>m</w:t>
      </w:r>
      <w:r>
        <w:rPr>
          <w:rStyle w:val="CETCaptionCarattere"/>
          <w:i w:val="0"/>
          <w:lang w:val="en-US"/>
        </w:rPr>
        <w:t xml:space="preserve"> are 8.5 bar and 405 bar.s</w:t>
      </w:r>
      <w:r w:rsidRPr="00EE15DD">
        <w:rPr>
          <w:rStyle w:val="CETCaptionCarattere"/>
          <w:i w:val="0"/>
          <w:vertAlign w:val="superscript"/>
          <w:lang w:val="en-US"/>
        </w:rPr>
        <w:t>-1</w:t>
      </w:r>
      <w:r>
        <w:rPr>
          <w:rStyle w:val="CETCaptionCarattere"/>
          <w:i w:val="0"/>
          <w:lang w:val="en-US"/>
        </w:rPr>
        <w:t>, respectively, which corresponds to a Kst of 110 bar.m.s</w:t>
      </w:r>
      <w:r w:rsidRPr="00EE15DD">
        <w:rPr>
          <w:rStyle w:val="CETCaptionCarattere"/>
          <w:i w:val="0"/>
          <w:vertAlign w:val="superscript"/>
          <w:lang w:val="en-US"/>
        </w:rPr>
        <w:t>-1</w:t>
      </w:r>
      <w:r>
        <w:rPr>
          <w:rStyle w:val="CETCaptionCarattere"/>
          <w:i w:val="0"/>
          <w:lang w:val="en-US"/>
        </w:rPr>
        <w:t xml:space="preserve">. These results are consistent with the values obtained by </w:t>
      </w:r>
      <w:r w:rsidRPr="009003DD">
        <w:rPr>
          <w:lang w:val="en-GB"/>
        </w:rPr>
        <w:t>Hossain et al.</w:t>
      </w:r>
      <w:r>
        <w:rPr>
          <w:lang w:val="en-GB"/>
        </w:rPr>
        <w:t xml:space="preserve"> (</w:t>
      </w:r>
      <w:r w:rsidRPr="009003DD">
        <w:rPr>
          <w:lang w:val="en-GB"/>
        </w:rPr>
        <w:t>2014</w:t>
      </w:r>
      <w:r>
        <w:rPr>
          <w:lang w:val="en-GB"/>
        </w:rPr>
        <w:t xml:space="preserve">), i.e. </w:t>
      </w:r>
      <w:r>
        <w:rPr>
          <w:rStyle w:val="CETCaptionCarattere"/>
          <w:i w:val="0"/>
          <w:lang w:val="en-US"/>
        </w:rPr>
        <w:t>7.8 bar and and 117 bar.m.s</w:t>
      </w:r>
      <w:r w:rsidRPr="00EE15DD">
        <w:rPr>
          <w:rStyle w:val="CETCaptionCarattere"/>
          <w:i w:val="0"/>
          <w:vertAlign w:val="superscript"/>
          <w:lang w:val="en-US"/>
        </w:rPr>
        <w:t>-1</w:t>
      </w:r>
      <w:r w:rsidR="001C63A1">
        <w:rPr>
          <w:rStyle w:val="CETCaptionCarattere"/>
          <w:i w:val="0"/>
          <w:lang w:val="en-US"/>
        </w:rPr>
        <w:t xml:space="preserve">. </w:t>
      </w:r>
      <w:r w:rsidR="007649B1">
        <w:rPr>
          <w:rStyle w:val="CETCaptionCarattere"/>
          <w:i w:val="0"/>
          <w:lang w:val="en-US"/>
        </w:rPr>
        <w:t xml:space="preserve">It should be stressed that </w:t>
      </w:r>
      <w:r w:rsidR="00286A52">
        <w:rPr>
          <w:rStyle w:val="CETCaptionCarattere"/>
          <w:i w:val="0"/>
          <w:lang w:val="en-US"/>
        </w:rPr>
        <w:t>t</w:t>
      </w:r>
      <w:r w:rsidR="002B7125">
        <w:rPr>
          <w:rStyle w:val="CETCaptionCarattere"/>
          <w:i w:val="0"/>
          <w:lang w:val="en-US"/>
        </w:rPr>
        <w:t xml:space="preserve">he experiments were performed by keeping </w:t>
      </w:r>
      <w:r w:rsidR="002B7125" w:rsidRPr="002B7125">
        <w:rPr>
          <w:rStyle w:val="CETCaptionCarattere"/>
          <w:i w:val="0"/>
          <w:lang w:val="en-US"/>
        </w:rPr>
        <w:t>the number of fuel moles constant</w:t>
      </w:r>
      <w:r w:rsidR="002B7125">
        <w:rPr>
          <w:rStyle w:val="CETCaptionCarattere"/>
          <w:i w:val="0"/>
          <w:lang w:val="en-US"/>
        </w:rPr>
        <w:t xml:space="preserve"> at 0.062 mol, considering both </w:t>
      </w:r>
      <w:r w:rsidR="00623360">
        <w:rPr>
          <w:rStyle w:val="CETCaptionCarattere"/>
          <w:i w:val="0"/>
          <w:lang w:val="en-US"/>
        </w:rPr>
        <w:t>powder</w:t>
      </w:r>
      <w:r w:rsidR="002B7125">
        <w:rPr>
          <w:rStyle w:val="CETCaptionCarattere"/>
          <w:i w:val="0"/>
          <w:lang w:val="en-US"/>
        </w:rPr>
        <w:t xml:space="preserve"> and </w:t>
      </w:r>
      <w:r w:rsidR="00623360">
        <w:rPr>
          <w:rStyle w:val="CETCaptionCarattere"/>
          <w:i w:val="0"/>
          <w:lang w:val="en-US"/>
        </w:rPr>
        <w:t>solvent</w:t>
      </w:r>
      <w:r w:rsidR="002B7125">
        <w:rPr>
          <w:rStyle w:val="CETCaptionCarattere"/>
          <w:i w:val="0"/>
          <w:lang w:val="en-US"/>
        </w:rPr>
        <w:t xml:space="preserve"> contribution. </w:t>
      </w:r>
      <w:r w:rsidR="00623360">
        <w:rPr>
          <w:rStyle w:val="CETCaptionCarattere"/>
          <w:i w:val="0"/>
          <w:lang w:val="en-US"/>
        </w:rPr>
        <w:t>H</w:t>
      </w:r>
      <w:r w:rsidR="00623360" w:rsidRPr="00623360">
        <w:rPr>
          <w:rStyle w:val="CETCaptionCarattere"/>
          <w:i w:val="0"/>
          <w:lang w:val="en-US"/>
        </w:rPr>
        <w:t xml:space="preserve">owever, another approach is possible, </w:t>
      </w:r>
      <w:r w:rsidR="00623360">
        <w:rPr>
          <w:rStyle w:val="CETCaptionCarattere"/>
          <w:i w:val="0"/>
          <w:lang w:val="en-US"/>
        </w:rPr>
        <w:t xml:space="preserve">as the </w:t>
      </w:r>
      <w:r w:rsidR="00623360" w:rsidRPr="00623360">
        <w:t>stoichiometric air fuel ratio</w:t>
      </w:r>
      <w:r w:rsidR="00623360">
        <w:t xml:space="preserve"> differ from cellulose to ethanol.</w:t>
      </w:r>
    </w:p>
    <w:p w14:paraId="3D6F83BD" w14:textId="77777777" w:rsidR="001C63A1" w:rsidRPr="00F1297D" w:rsidRDefault="001C63A1" w:rsidP="001C63A1">
      <w:pPr>
        <w:pStyle w:val="CETheadingx"/>
      </w:pPr>
      <w:r>
        <w:t>Explosion severity: tests at constant fuel equivalence ratio</w:t>
      </w:r>
    </w:p>
    <w:p w14:paraId="6E8C2E12" w14:textId="275C996F" w:rsidR="001C041E" w:rsidRPr="001C041E" w:rsidRDefault="002F311D" w:rsidP="001C041E">
      <w:pPr>
        <w:pStyle w:val="CETBodytext"/>
      </w:pPr>
      <w:r>
        <w:t xml:space="preserve">Similar experiments were carried out, this time by keeping the fuel equivalence ratio </w:t>
      </w:r>
      <w:r w:rsidR="006C64CF">
        <w:t xml:space="preserve">(FER) </w:t>
      </w:r>
      <w:r>
        <w:t xml:space="preserve">constant (Lin et al., 2021), therefore leading to the increase of the total number of fuel moles when increasing the solvent concentration (Figure 3). </w:t>
      </w:r>
      <w:r w:rsidR="006C64CF" w:rsidRPr="006C64CF">
        <w:t xml:space="preserve">FER </w:t>
      </w:r>
      <w:r w:rsidR="006C64CF">
        <w:t xml:space="preserve">was </w:t>
      </w:r>
      <w:r w:rsidR="006C64CF" w:rsidRPr="006C64CF">
        <w:t>set at 2</w:t>
      </w:r>
      <w:r w:rsidR="006C64CF">
        <w:t>.25</w:t>
      </w:r>
      <w:r w:rsidR="006C64CF" w:rsidRPr="006C64CF">
        <w:t xml:space="preserve">, corresponding to a cellulose </w:t>
      </w:r>
      <w:r w:rsidR="006C64CF">
        <w:t>mass</w:t>
      </w:r>
      <w:r w:rsidR="006C64CF" w:rsidRPr="006C64CF">
        <w:t xml:space="preserve"> of </w:t>
      </w:r>
      <w:r w:rsidR="006C64CF">
        <w:t>1</w:t>
      </w:r>
      <w:r w:rsidR="006C64CF" w:rsidRPr="006C64CF">
        <w:t>0 g</w:t>
      </w:r>
      <w:r w:rsidR="006C64CF">
        <w:t>.</w:t>
      </w:r>
      <w:r>
        <w:t xml:space="preserve"> </w:t>
      </w:r>
    </w:p>
    <w:p w14:paraId="47D3D6B5" w14:textId="0287728B" w:rsidR="00BB539C" w:rsidRPr="00F61416" w:rsidRDefault="00F61416" w:rsidP="00BB539C">
      <w:pPr>
        <w:pStyle w:val="CETCaption"/>
        <w:rPr>
          <w:lang w:val="en-US"/>
        </w:rPr>
      </w:pPr>
      <w:r>
        <w:rPr>
          <w:noProof/>
          <w:lang w:val="en-US"/>
        </w:rPr>
        <w:lastRenderedPageBreak/>
        <w:drawing>
          <wp:inline distT="0" distB="0" distL="0" distR="0" wp14:anchorId="2141FE90" wp14:editId="4D646CD8">
            <wp:extent cx="5644800" cy="3600000"/>
            <wp:effectExtent l="0" t="0" r="0" b="0"/>
            <wp:docPr id="2133445840" name="Image 3" descr="Une image contenant texte, ligne, Tracé,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45840" name="Image 3" descr="Une image contenant texte, ligne, Tracé, diagramme&#10;&#10;Description générée automatiquement"/>
                    <pic:cNvPicPr/>
                  </pic:nvPicPr>
                  <pic:blipFill rotWithShape="1">
                    <a:blip r:embed="rId12"/>
                    <a:srcRect l="6631" t="3809" r="7914" b="3931"/>
                    <a:stretch/>
                  </pic:blipFill>
                  <pic:spPr bwMode="auto">
                    <a:xfrm>
                      <a:off x="0" y="0"/>
                      <a:ext cx="5644800" cy="3600000"/>
                    </a:xfrm>
                    <a:prstGeom prst="rect">
                      <a:avLst/>
                    </a:prstGeom>
                    <a:ln>
                      <a:noFill/>
                    </a:ln>
                    <a:extLst>
                      <a:ext uri="{53640926-AAD7-44D8-BBD7-CCE9431645EC}">
                        <a14:shadowObscured xmlns:a14="http://schemas.microsoft.com/office/drawing/2010/main"/>
                      </a:ext>
                    </a:extLst>
                  </pic:spPr>
                </pic:pic>
              </a:graphicData>
            </a:graphic>
          </wp:inline>
        </w:drawing>
      </w:r>
    </w:p>
    <w:p w14:paraId="1917B770" w14:textId="5B8032EE" w:rsidR="00BD1C7E" w:rsidRPr="00E41A26" w:rsidRDefault="00BB539C" w:rsidP="00BD1C7E">
      <w:pPr>
        <w:pStyle w:val="CETCaption"/>
      </w:pPr>
      <w:r w:rsidRPr="00F1297D">
        <w:rPr>
          <w:rStyle w:val="CETCaptionCarattere"/>
          <w:lang w:val="en-US"/>
        </w:rPr>
        <w:t xml:space="preserve">Figure </w:t>
      </w:r>
      <w:r w:rsidR="002F311D">
        <w:rPr>
          <w:rStyle w:val="CETCaptionCarattere"/>
          <w:lang w:val="en-US"/>
        </w:rPr>
        <w:t>3</w:t>
      </w:r>
      <w:r w:rsidRPr="00F1297D">
        <w:rPr>
          <w:rStyle w:val="CETCaptionCarattere"/>
          <w:lang w:val="en-US"/>
        </w:rPr>
        <w:t xml:space="preserve">: </w:t>
      </w:r>
      <w:r w:rsidR="00BD1C7E" w:rsidRPr="00E41A26">
        <w:t>Effect of ethanol content</w:t>
      </w:r>
      <w:r w:rsidR="00BD1C7E">
        <w:t xml:space="preserve">, </w:t>
      </w:r>
      <w:r w:rsidR="00BD1C7E" w:rsidRPr="00E41A26">
        <w:t>mixing modes</w:t>
      </w:r>
      <w:r w:rsidR="00BD1C7E">
        <w:t xml:space="preserve"> and nozzles</w:t>
      </w:r>
      <w:r w:rsidR="00BD1C7E" w:rsidRPr="00E41A26">
        <w:t xml:space="preserve"> o</w:t>
      </w:r>
      <w:r w:rsidR="00BD1C7E">
        <w:t>n</w:t>
      </w:r>
      <w:r w:rsidR="00BD1C7E" w:rsidRPr="00E41A26">
        <w:t xml:space="preserve"> the a) maximum pressure and b) maximum rate of pressure rise of </w:t>
      </w:r>
      <w:r w:rsidR="00BD1C7E">
        <w:t>Avicel PH-101</w:t>
      </w:r>
      <w:r w:rsidR="00AE76CB">
        <w:t>/ethanol mixtures</w:t>
      </w:r>
      <w:r w:rsidR="00BD1C7E">
        <w:t xml:space="preserve">. </w:t>
      </w:r>
      <w:r w:rsidR="00BD1C7E">
        <w:rPr>
          <w:rStyle w:val="CETCaptionCarattere"/>
          <w:i/>
        </w:rPr>
        <w:t>Constant fuel equivalence ratio: 2.25</w:t>
      </w:r>
    </w:p>
    <w:p w14:paraId="021BDAED" w14:textId="78AB45F1" w:rsidR="006E50C8" w:rsidRDefault="006E50C8" w:rsidP="00BB539C">
      <w:pPr>
        <w:pStyle w:val="CETBodytext"/>
      </w:pPr>
      <w:r w:rsidRPr="006E50C8">
        <w:t xml:space="preserve">What is immediately noticeable in Figure </w:t>
      </w:r>
      <w:r w:rsidR="009C4CCB">
        <w:t>3a</w:t>
      </w:r>
      <w:r w:rsidRPr="006E50C8">
        <w:t xml:space="preserve"> is that the maximum pressure varies very little as a function of the</w:t>
      </w:r>
      <w:r>
        <w:t xml:space="preserve"> solvent content, whether it is introduced in the powder or in gaseous phase, which suggests that keeping the fuel equivalence ratio constant </w:t>
      </w:r>
      <w:r w:rsidR="00807AC6">
        <w:t xml:space="preserve">will enable a better assessment of the solvent role. </w:t>
      </w:r>
      <w:r w:rsidR="009C4CCB">
        <w:t>O</w:t>
      </w:r>
      <w:r w:rsidR="009C4CCB" w:rsidRPr="009C4CCB">
        <w:t xml:space="preserve">nce again, the difference between the two mixing methods is not </w:t>
      </w:r>
      <w:r w:rsidR="009C4CCB">
        <w:t>significant</w:t>
      </w:r>
      <w:r w:rsidR="009C4CCB" w:rsidRPr="009C4CCB">
        <w:t xml:space="preserve"> at low </w:t>
      </w:r>
      <w:r w:rsidR="009C4CCB">
        <w:t xml:space="preserve">solvent </w:t>
      </w:r>
      <w:r w:rsidR="009C4CCB" w:rsidRPr="009C4CCB">
        <w:t>concentrations</w:t>
      </w:r>
      <w:r w:rsidR="009C4CCB">
        <w:t>. However, from 8.5 wt.% ethanol, the maximum rate of pressure rise of dry powders dispersed in an atmosphere enriched with ethanol vapor is considerably higher than that of the pre-wetted powder containing the same amount of solvent (Figure 3b).</w:t>
      </w:r>
      <w:r w:rsidR="00D60A5C">
        <w:t xml:space="preserve"> </w:t>
      </w:r>
      <w:r w:rsidR="00971069">
        <w:t>Indeed, for a mixture of 70 wt.% cellulose/30 wt.% ethanol, dP/dt</w:t>
      </w:r>
      <w:r w:rsidR="00971069" w:rsidRPr="00245475">
        <w:rPr>
          <w:vertAlign w:val="subscript"/>
        </w:rPr>
        <w:t>m</w:t>
      </w:r>
      <w:r w:rsidR="00971069">
        <w:t xml:space="preserve"> varies from 473 to 1099 bar.s</w:t>
      </w:r>
      <w:r w:rsidR="00971069" w:rsidRPr="00971069">
        <w:rPr>
          <w:vertAlign w:val="superscript"/>
        </w:rPr>
        <w:t>-1</w:t>
      </w:r>
      <w:r w:rsidR="00971069">
        <w:t xml:space="preserve"> as a function of the mixing mode. </w:t>
      </w:r>
      <w:r w:rsidR="009C4CCB">
        <w:t xml:space="preserve"> </w:t>
      </w:r>
    </w:p>
    <w:p w14:paraId="7EFE9BCE" w14:textId="492D5ADF" w:rsidR="00C95381" w:rsidRDefault="00164D17" w:rsidP="001C63A1">
      <w:pPr>
        <w:pStyle w:val="CETBodytext"/>
      </w:pPr>
      <w:r>
        <w:t xml:space="preserve">A substantial increase of the admixtures’ explosivity is then observed when the solvent content increases but, </w:t>
      </w:r>
      <w:r w:rsidR="00245475">
        <w:t>a</w:t>
      </w:r>
      <w:r w:rsidR="00245475" w:rsidRPr="00245475">
        <w:t xml:space="preserve">t high </w:t>
      </w:r>
      <w:r w:rsidR="00245475">
        <w:t xml:space="preserve">solvent </w:t>
      </w:r>
      <w:r w:rsidR="00245475" w:rsidRPr="00245475">
        <w:t>concentrations, this positive effect is counterbalanced by an increase in PSD</w:t>
      </w:r>
      <w:r w:rsidR="00245475">
        <w:t xml:space="preserve">. Such particle-size evolution </w:t>
      </w:r>
      <w:r w:rsidR="00245475" w:rsidRPr="00245475">
        <w:t xml:space="preserve">not only modifies the energy required to disperse the powder, but can also, during </w:t>
      </w:r>
      <w:r w:rsidR="00245475">
        <w:t xml:space="preserve">the </w:t>
      </w:r>
      <w:r w:rsidR="00245475" w:rsidRPr="00245475">
        <w:t>vapori</w:t>
      </w:r>
      <w:r w:rsidR="00245475">
        <w:t>z</w:t>
      </w:r>
      <w:r w:rsidR="00245475" w:rsidRPr="00245475">
        <w:t xml:space="preserve">ation </w:t>
      </w:r>
      <w:r w:rsidR="00245475">
        <w:t>of the liquid bridge</w:t>
      </w:r>
      <w:r w:rsidR="00245475" w:rsidRPr="00245475">
        <w:t>, create particle-particle interactions modify</w:t>
      </w:r>
      <w:r w:rsidR="00245475">
        <w:t>ing</w:t>
      </w:r>
      <w:r w:rsidR="00245475" w:rsidRPr="00245475">
        <w:t xml:space="preserve"> their reactivity.</w:t>
      </w:r>
    </w:p>
    <w:p w14:paraId="412C2348" w14:textId="55526197" w:rsidR="00B83333" w:rsidRPr="00245475" w:rsidRDefault="0008720D" w:rsidP="001C63A1">
      <w:pPr>
        <w:pStyle w:val="CETBodytext"/>
      </w:pPr>
      <w:r>
        <w:t>A</w:t>
      </w:r>
      <w:r w:rsidRPr="0008720D">
        <w:t xml:space="preserve"> similar approach was followed to </w:t>
      </w:r>
      <w:r>
        <w:t>determine the explosion severity of carbon black/ethanol admixtures at constant fuel equivalence ratio (FER = 1.25).</w:t>
      </w:r>
      <w:r w:rsidR="002975D6">
        <w:t xml:space="preserve"> Figure 4 shows </w:t>
      </w:r>
      <w:r w:rsidR="002975D6" w:rsidRPr="002975D6">
        <w:t xml:space="preserve">a completely different behavior </w:t>
      </w:r>
      <w:r w:rsidR="002975D6">
        <w:t xml:space="preserve">than </w:t>
      </w:r>
      <w:r w:rsidR="002975D6" w:rsidRPr="002975D6">
        <w:t>that observed previously</w:t>
      </w:r>
      <w:r w:rsidR="002975D6">
        <w:t xml:space="preserve"> for cellulose. A</w:t>
      </w:r>
      <w:r w:rsidR="002975D6" w:rsidRPr="002975D6">
        <w:t>lthough a slight increase in explosi</w:t>
      </w:r>
      <w:r w:rsidR="002975D6">
        <w:t>on severity</w:t>
      </w:r>
      <w:r w:rsidR="002975D6" w:rsidRPr="002975D6">
        <w:t xml:space="preserve"> noted between 5 and 20</w:t>
      </w:r>
      <w:r w:rsidR="002975D6">
        <w:t xml:space="preserve"> wt.</w:t>
      </w:r>
      <w:r w:rsidR="002975D6" w:rsidRPr="002975D6">
        <w:t>% solvent for vapor injection, this benefit is no longer visible at high concentrations</w:t>
      </w:r>
      <w:r w:rsidR="002975D6">
        <w:t>.</w:t>
      </w:r>
      <w:r w:rsidR="008879D8">
        <w:t xml:space="preserve"> T</w:t>
      </w:r>
      <w:r w:rsidR="008879D8" w:rsidRPr="008879D8">
        <w:t xml:space="preserve">he </w:t>
      </w:r>
      <w:r w:rsidR="008879D8">
        <w:t xml:space="preserve">magnitude of the </w:t>
      </w:r>
      <w:r w:rsidR="008879D8" w:rsidRPr="008879D8">
        <w:t xml:space="preserve">effects </w:t>
      </w:r>
      <w:r w:rsidR="008879D8">
        <w:t>is</w:t>
      </w:r>
      <w:r w:rsidR="008879D8" w:rsidRPr="008879D8">
        <w:t xml:space="preserve"> therefore highly dependent on the powder-solvent combination and </w:t>
      </w:r>
      <w:r w:rsidR="008879D8">
        <w:t xml:space="preserve">on </w:t>
      </w:r>
      <w:r w:rsidR="008879D8" w:rsidRPr="008879D8">
        <w:t>their interactions</w:t>
      </w:r>
      <w:r w:rsidR="008879D8">
        <w:t>.</w:t>
      </w:r>
    </w:p>
    <w:p w14:paraId="5286F6F0" w14:textId="77777777" w:rsidR="00C95381" w:rsidRPr="00B57B36" w:rsidRDefault="00C95381" w:rsidP="00C95381">
      <w:pPr>
        <w:pStyle w:val="CETheadingx"/>
        <w:numPr>
          <w:ilvl w:val="0"/>
          <w:numId w:val="0"/>
        </w:numPr>
      </w:pPr>
      <w:r>
        <w:t>3.3 Minimum Ignition Temperature: influence of the solvent content and nature</w:t>
      </w:r>
    </w:p>
    <w:p w14:paraId="1EBC2FEE" w14:textId="62875E0D" w:rsidR="00C95381" w:rsidRDefault="00C95381" w:rsidP="00C95381">
      <w:pPr>
        <w:pStyle w:val="CETBodytext"/>
        <w:rPr>
          <w:lang w:val="en-GB"/>
        </w:rPr>
      </w:pPr>
      <w:r>
        <w:rPr>
          <w:lang w:val="en-GB"/>
        </w:rPr>
        <w:t>R</w:t>
      </w:r>
      <w:r w:rsidRPr="009003DD">
        <w:rPr>
          <w:lang w:val="en-GB"/>
        </w:rPr>
        <w:t xml:space="preserve">esults in Table </w:t>
      </w:r>
      <w:r w:rsidR="008879D8">
        <w:rPr>
          <w:lang w:val="en-GB"/>
        </w:rPr>
        <w:t>2</w:t>
      </w:r>
      <w:r w:rsidRPr="009003DD">
        <w:rPr>
          <w:lang w:val="en-GB"/>
        </w:rPr>
        <w:t xml:space="preserve"> show that</w:t>
      </w:r>
      <w:r w:rsidR="008879D8">
        <w:rPr>
          <w:lang w:val="en-GB"/>
        </w:rPr>
        <w:t xml:space="preserve"> </w:t>
      </w:r>
      <w:r w:rsidRPr="009003DD">
        <w:rPr>
          <w:lang w:val="en-GB"/>
        </w:rPr>
        <w:t xml:space="preserve">the MIT decreases </w:t>
      </w:r>
      <w:r w:rsidR="008879D8">
        <w:rPr>
          <w:lang w:val="en-GB"/>
        </w:rPr>
        <w:t xml:space="preserve">globally </w:t>
      </w:r>
      <w:r w:rsidRPr="009003DD">
        <w:rPr>
          <w:lang w:val="en-GB"/>
        </w:rPr>
        <w:t>with the addition of solvent</w:t>
      </w:r>
      <w:r w:rsidR="008879D8">
        <w:rPr>
          <w:lang w:val="en-GB"/>
        </w:rPr>
        <w:t>. Nevertheless,</w:t>
      </w:r>
      <w:r w:rsidRPr="009003DD">
        <w:rPr>
          <w:lang w:val="en-GB"/>
        </w:rPr>
        <w:t xml:space="preserve"> the variations depend greatly on the nature of the </w:t>
      </w:r>
      <w:r w:rsidR="008879D8">
        <w:rPr>
          <w:lang w:val="en-GB"/>
        </w:rPr>
        <w:t>compounds</w:t>
      </w:r>
      <w:r w:rsidRPr="009003DD">
        <w:rPr>
          <w:lang w:val="en-GB"/>
        </w:rPr>
        <w:t xml:space="preserve"> and the liquid concentration. Lower solvent contents (2 to </w:t>
      </w:r>
      <w:r w:rsidR="007D6846">
        <w:rPr>
          <w:lang w:val="en-GB"/>
        </w:rPr>
        <w:t>8 </w:t>
      </w:r>
      <w:r w:rsidRPr="009003DD">
        <w:rPr>
          <w:lang w:val="en-GB"/>
        </w:rPr>
        <w:t xml:space="preserve">wt%) were also tested leading to less significant decrease of the MIT. </w:t>
      </w:r>
    </w:p>
    <w:p w14:paraId="4AD39B0F" w14:textId="1D8B7607" w:rsidR="00C95381" w:rsidRPr="00B57B36" w:rsidRDefault="00C95381" w:rsidP="00C95381">
      <w:pPr>
        <w:pStyle w:val="CETTabletitle"/>
      </w:pPr>
      <w:r w:rsidRPr="00B57B36">
        <w:t xml:space="preserve">Table </w:t>
      </w:r>
      <w:r w:rsidR="008879D8">
        <w:t>2</w:t>
      </w:r>
      <w:r w:rsidRPr="00B57B36">
        <w:t xml:space="preserve">: </w:t>
      </w:r>
      <w:r w:rsidRPr="009003DD">
        <w:t>Minimum ignition temperature (°C) of prewetted powders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52"/>
        <w:gridCol w:w="1311"/>
        <w:gridCol w:w="1311"/>
        <w:gridCol w:w="1311"/>
        <w:gridCol w:w="1312"/>
      </w:tblGrid>
      <w:tr w:rsidR="00C95381" w:rsidRPr="00B57B36" w14:paraId="298D2F84" w14:textId="77777777" w:rsidTr="009144C6">
        <w:tc>
          <w:tcPr>
            <w:tcW w:w="2552" w:type="dxa"/>
            <w:tcBorders>
              <w:top w:val="single" w:sz="12" w:space="0" w:color="008000"/>
              <w:bottom w:val="single" w:sz="6" w:space="0" w:color="008000"/>
              <w:tl2br w:val="single" w:sz="12" w:space="0" w:color="008000"/>
            </w:tcBorders>
            <w:shd w:val="clear" w:color="auto" w:fill="FFFFFF"/>
          </w:tcPr>
          <w:p w14:paraId="32F0612C" w14:textId="77777777" w:rsidR="00C95381" w:rsidRDefault="00C95381" w:rsidP="009144C6">
            <w:pPr>
              <w:pStyle w:val="CETBodytext"/>
              <w:rPr>
                <w:lang w:val="en-GB"/>
              </w:rPr>
            </w:pPr>
            <w:r>
              <w:rPr>
                <w:lang w:val="en-GB"/>
              </w:rPr>
              <w:t xml:space="preserve">                       Solvent wt%</w:t>
            </w:r>
          </w:p>
          <w:p w14:paraId="4ACC9CD7" w14:textId="77777777" w:rsidR="00C95381" w:rsidRPr="00B57B36" w:rsidRDefault="00C95381" w:rsidP="009144C6">
            <w:pPr>
              <w:pStyle w:val="CETBodytext"/>
              <w:rPr>
                <w:lang w:val="en-GB"/>
              </w:rPr>
            </w:pPr>
            <w:r>
              <w:rPr>
                <w:lang w:val="en-GB"/>
              </w:rPr>
              <w:t>Powder/solvent</w:t>
            </w:r>
            <w:r w:rsidRPr="00B57B36">
              <w:rPr>
                <w:lang w:val="en-GB"/>
              </w:rPr>
              <w:t xml:space="preserve"> </w:t>
            </w:r>
          </w:p>
        </w:tc>
        <w:tc>
          <w:tcPr>
            <w:tcW w:w="1311" w:type="dxa"/>
            <w:tcBorders>
              <w:top w:val="single" w:sz="12" w:space="0" w:color="008000"/>
              <w:bottom w:val="single" w:sz="6" w:space="0" w:color="008000"/>
            </w:tcBorders>
            <w:shd w:val="clear" w:color="auto" w:fill="FFFFFF"/>
          </w:tcPr>
          <w:p w14:paraId="26A9C55D" w14:textId="77777777" w:rsidR="00C95381" w:rsidRPr="00B57B36" w:rsidRDefault="00C95381" w:rsidP="009144C6">
            <w:pPr>
              <w:pStyle w:val="CETBodytext"/>
              <w:rPr>
                <w:lang w:val="en-GB"/>
              </w:rPr>
            </w:pPr>
            <w:r w:rsidRPr="006D4376">
              <w:rPr>
                <w:lang w:val="en-GB"/>
              </w:rPr>
              <w:t>+ 0 wt%</w:t>
            </w:r>
          </w:p>
        </w:tc>
        <w:tc>
          <w:tcPr>
            <w:tcW w:w="1311" w:type="dxa"/>
            <w:tcBorders>
              <w:top w:val="single" w:sz="12" w:space="0" w:color="008000"/>
              <w:bottom w:val="single" w:sz="6" w:space="0" w:color="008000"/>
            </w:tcBorders>
            <w:shd w:val="clear" w:color="auto" w:fill="FFFFFF"/>
          </w:tcPr>
          <w:p w14:paraId="5A0551C8" w14:textId="77777777" w:rsidR="00C95381" w:rsidRPr="006D4376" w:rsidRDefault="00C95381" w:rsidP="009144C6">
            <w:pPr>
              <w:pStyle w:val="CETBodytext"/>
              <w:ind w:right="-1"/>
              <w:rPr>
                <w:lang w:val="en-GB"/>
              </w:rPr>
            </w:pPr>
            <w:r w:rsidRPr="006D4376">
              <w:rPr>
                <w:lang w:val="en-GB"/>
              </w:rPr>
              <w:t>+ 25 wt%</w:t>
            </w:r>
          </w:p>
          <w:p w14:paraId="191F4D0F" w14:textId="77777777" w:rsidR="00C95381" w:rsidRPr="006D4376" w:rsidRDefault="00C95381" w:rsidP="009144C6">
            <w:pPr>
              <w:pStyle w:val="CETBodytext"/>
              <w:ind w:right="-1"/>
              <w:rPr>
                <w:lang w:val="en-GB"/>
              </w:rPr>
            </w:pPr>
            <w:r w:rsidRPr="006D4376">
              <w:rPr>
                <w:lang w:val="en-GB"/>
              </w:rPr>
              <w:t>solvent</w:t>
            </w:r>
          </w:p>
        </w:tc>
        <w:tc>
          <w:tcPr>
            <w:tcW w:w="1311" w:type="dxa"/>
            <w:tcBorders>
              <w:top w:val="single" w:sz="12" w:space="0" w:color="008000"/>
              <w:bottom w:val="single" w:sz="6" w:space="0" w:color="008000"/>
            </w:tcBorders>
            <w:shd w:val="clear" w:color="auto" w:fill="FFFFFF"/>
          </w:tcPr>
          <w:p w14:paraId="60DC0566" w14:textId="77777777" w:rsidR="00C95381" w:rsidRPr="006D4376" w:rsidRDefault="00C95381" w:rsidP="009144C6">
            <w:pPr>
              <w:pStyle w:val="CETBodytext"/>
              <w:ind w:right="-1"/>
              <w:rPr>
                <w:lang w:val="en-GB"/>
              </w:rPr>
            </w:pPr>
            <w:r w:rsidRPr="006D4376">
              <w:rPr>
                <w:lang w:val="en-GB"/>
              </w:rPr>
              <w:t>+30wt%</w:t>
            </w:r>
          </w:p>
          <w:p w14:paraId="73C808CC" w14:textId="77777777" w:rsidR="00C95381" w:rsidRPr="006D4376" w:rsidRDefault="00C95381" w:rsidP="009144C6">
            <w:pPr>
              <w:pStyle w:val="CETBodytext"/>
              <w:ind w:right="-1"/>
              <w:rPr>
                <w:lang w:val="en-GB"/>
              </w:rPr>
            </w:pPr>
            <w:r w:rsidRPr="006D4376">
              <w:rPr>
                <w:lang w:val="en-GB"/>
              </w:rPr>
              <w:t>solvent</w:t>
            </w:r>
          </w:p>
        </w:tc>
        <w:tc>
          <w:tcPr>
            <w:tcW w:w="1312" w:type="dxa"/>
            <w:tcBorders>
              <w:top w:val="single" w:sz="12" w:space="0" w:color="008000"/>
              <w:bottom w:val="single" w:sz="6" w:space="0" w:color="008000"/>
            </w:tcBorders>
            <w:shd w:val="clear" w:color="auto" w:fill="FFFFFF"/>
          </w:tcPr>
          <w:p w14:paraId="5C0665C8" w14:textId="77777777" w:rsidR="00C95381" w:rsidRPr="006D4376" w:rsidRDefault="00C95381" w:rsidP="009144C6">
            <w:pPr>
              <w:pStyle w:val="CETBodytext"/>
              <w:ind w:right="-1"/>
              <w:rPr>
                <w:lang w:val="en-GB"/>
              </w:rPr>
            </w:pPr>
            <w:r w:rsidRPr="006D4376">
              <w:rPr>
                <w:lang w:val="en-GB"/>
              </w:rPr>
              <w:t>+ 30 wt%</w:t>
            </w:r>
          </w:p>
          <w:p w14:paraId="7C7B843E" w14:textId="77777777" w:rsidR="00C95381" w:rsidRPr="006D4376" w:rsidRDefault="00C95381" w:rsidP="009144C6">
            <w:pPr>
              <w:pStyle w:val="CETBodytext"/>
              <w:ind w:right="-1"/>
              <w:rPr>
                <w:lang w:val="en-GB"/>
              </w:rPr>
            </w:pPr>
            <w:r w:rsidRPr="006D4376">
              <w:rPr>
                <w:lang w:val="en-GB"/>
              </w:rPr>
              <w:t>water</w:t>
            </w:r>
          </w:p>
        </w:tc>
      </w:tr>
      <w:tr w:rsidR="00C95381" w:rsidRPr="00B57B36" w14:paraId="32C2E90E" w14:textId="77777777" w:rsidTr="009144C6">
        <w:tc>
          <w:tcPr>
            <w:tcW w:w="2552" w:type="dxa"/>
            <w:shd w:val="clear" w:color="auto" w:fill="FFFFFF"/>
          </w:tcPr>
          <w:p w14:paraId="2864B17F" w14:textId="77777777" w:rsidR="00C95381" w:rsidRPr="00B57B36" w:rsidRDefault="00C95381" w:rsidP="009144C6">
            <w:pPr>
              <w:pStyle w:val="CETBodytext"/>
              <w:rPr>
                <w:lang w:val="en-GB"/>
              </w:rPr>
            </w:pPr>
            <w:r w:rsidRPr="006D4376">
              <w:rPr>
                <w:lang w:val="en-GB"/>
              </w:rPr>
              <w:t>Cellulose / ethanol</w:t>
            </w:r>
          </w:p>
        </w:tc>
        <w:tc>
          <w:tcPr>
            <w:tcW w:w="1311" w:type="dxa"/>
            <w:shd w:val="clear" w:color="auto" w:fill="FFFFFF"/>
          </w:tcPr>
          <w:p w14:paraId="39FA271C" w14:textId="77777777" w:rsidR="00C95381" w:rsidRPr="00B57B36" w:rsidRDefault="00C95381" w:rsidP="009144C6">
            <w:pPr>
              <w:pStyle w:val="CETBodytext"/>
              <w:rPr>
                <w:lang w:val="en-GB"/>
              </w:rPr>
            </w:pPr>
            <w:r w:rsidRPr="006D4376">
              <w:rPr>
                <w:lang w:val="en-GB"/>
              </w:rPr>
              <w:t>440</w:t>
            </w:r>
          </w:p>
        </w:tc>
        <w:tc>
          <w:tcPr>
            <w:tcW w:w="1311" w:type="dxa"/>
            <w:shd w:val="clear" w:color="auto" w:fill="FFFFFF"/>
          </w:tcPr>
          <w:p w14:paraId="4CBB2C12" w14:textId="77777777" w:rsidR="00C95381" w:rsidRPr="006D4376" w:rsidRDefault="00C95381" w:rsidP="009144C6">
            <w:pPr>
              <w:pStyle w:val="CETBodytext"/>
              <w:ind w:right="-1"/>
              <w:rPr>
                <w:lang w:val="en-GB"/>
              </w:rPr>
            </w:pPr>
            <w:r w:rsidRPr="006D4376">
              <w:rPr>
                <w:lang w:val="en-GB"/>
              </w:rPr>
              <w:t>430</w:t>
            </w:r>
          </w:p>
        </w:tc>
        <w:tc>
          <w:tcPr>
            <w:tcW w:w="1311" w:type="dxa"/>
            <w:shd w:val="clear" w:color="auto" w:fill="FFFFFF"/>
          </w:tcPr>
          <w:p w14:paraId="439692A5" w14:textId="77777777" w:rsidR="00C95381" w:rsidRPr="006D4376" w:rsidRDefault="00C95381" w:rsidP="009144C6">
            <w:pPr>
              <w:pStyle w:val="CETBodytext"/>
              <w:ind w:right="-1"/>
              <w:rPr>
                <w:lang w:val="en-GB"/>
              </w:rPr>
            </w:pPr>
            <w:r w:rsidRPr="006D4376">
              <w:rPr>
                <w:lang w:val="en-GB"/>
              </w:rPr>
              <w:t>400</w:t>
            </w:r>
          </w:p>
        </w:tc>
        <w:tc>
          <w:tcPr>
            <w:tcW w:w="1312" w:type="dxa"/>
            <w:shd w:val="clear" w:color="auto" w:fill="FFFFFF"/>
          </w:tcPr>
          <w:p w14:paraId="02849132" w14:textId="77777777" w:rsidR="00C95381" w:rsidRPr="006D4376" w:rsidRDefault="00C95381" w:rsidP="009144C6">
            <w:pPr>
              <w:pStyle w:val="CETBodytext"/>
              <w:ind w:right="-1"/>
              <w:rPr>
                <w:lang w:val="en-GB"/>
              </w:rPr>
            </w:pPr>
            <w:r w:rsidRPr="006D4376">
              <w:rPr>
                <w:lang w:val="en-GB"/>
              </w:rPr>
              <w:t>460</w:t>
            </w:r>
          </w:p>
        </w:tc>
      </w:tr>
      <w:tr w:rsidR="00C95381" w:rsidRPr="00B57B36" w14:paraId="1B66F238" w14:textId="77777777" w:rsidTr="009144C6">
        <w:tc>
          <w:tcPr>
            <w:tcW w:w="2552" w:type="dxa"/>
            <w:shd w:val="clear" w:color="auto" w:fill="FFFFFF"/>
          </w:tcPr>
          <w:p w14:paraId="7A739946" w14:textId="77777777" w:rsidR="00C95381" w:rsidRPr="00B57B36" w:rsidRDefault="00C95381" w:rsidP="009144C6">
            <w:pPr>
              <w:pStyle w:val="CETBodytext"/>
              <w:rPr>
                <w:lang w:val="en-GB"/>
              </w:rPr>
            </w:pPr>
            <w:r w:rsidRPr="006D4376">
              <w:rPr>
                <w:lang w:val="en-GB"/>
              </w:rPr>
              <w:t>Carbon black / ethanol</w:t>
            </w:r>
          </w:p>
        </w:tc>
        <w:tc>
          <w:tcPr>
            <w:tcW w:w="1311" w:type="dxa"/>
            <w:shd w:val="clear" w:color="auto" w:fill="FFFFFF"/>
          </w:tcPr>
          <w:p w14:paraId="3FCC0572" w14:textId="77777777" w:rsidR="00C95381" w:rsidRPr="00B57B36" w:rsidRDefault="00C95381" w:rsidP="009144C6">
            <w:pPr>
              <w:pStyle w:val="CETBodytext"/>
              <w:rPr>
                <w:lang w:val="en-GB"/>
              </w:rPr>
            </w:pPr>
            <w:r w:rsidRPr="006D4376">
              <w:rPr>
                <w:lang w:val="en-GB"/>
              </w:rPr>
              <w:t>690</w:t>
            </w:r>
          </w:p>
        </w:tc>
        <w:tc>
          <w:tcPr>
            <w:tcW w:w="1311" w:type="dxa"/>
            <w:shd w:val="clear" w:color="auto" w:fill="FFFFFF"/>
          </w:tcPr>
          <w:p w14:paraId="10F9B95D" w14:textId="77777777" w:rsidR="00C95381" w:rsidRPr="006D4376" w:rsidRDefault="00C95381" w:rsidP="009144C6">
            <w:pPr>
              <w:pStyle w:val="CETBodytext"/>
              <w:ind w:right="-1"/>
              <w:rPr>
                <w:lang w:val="en-GB"/>
              </w:rPr>
            </w:pPr>
            <w:r w:rsidRPr="006D4376">
              <w:rPr>
                <w:lang w:val="en-GB"/>
              </w:rPr>
              <w:t>450</w:t>
            </w:r>
          </w:p>
        </w:tc>
        <w:tc>
          <w:tcPr>
            <w:tcW w:w="1311" w:type="dxa"/>
            <w:shd w:val="clear" w:color="auto" w:fill="FFFFFF"/>
          </w:tcPr>
          <w:p w14:paraId="5748DB2F" w14:textId="77777777" w:rsidR="00C95381" w:rsidRPr="006D4376" w:rsidRDefault="00C95381" w:rsidP="009144C6">
            <w:pPr>
              <w:pStyle w:val="CETBodytext"/>
              <w:ind w:right="-1"/>
              <w:rPr>
                <w:lang w:val="en-GB"/>
              </w:rPr>
            </w:pPr>
            <w:r w:rsidRPr="006D4376">
              <w:rPr>
                <w:lang w:val="en-GB"/>
              </w:rPr>
              <w:t>420</w:t>
            </w:r>
          </w:p>
        </w:tc>
        <w:tc>
          <w:tcPr>
            <w:tcW w:w="1312" w:type="dxa"/>
            <w:shd w:val="clear" w:color="auto" w:fill="FFFFFF"/>
          </w:tcPr>
          <w:p w14:paraId="210D6EF8" w14:textId="77777777" w:rsidR="00C95381" w:rsidRPr="006D4376" w:rsidRDefault="00C95381" w:rsidP="009144C6">
            <w:pPr>
              <w:pStyle w:val="CETBodytext"/>
              <w:ind w:right="-1"/>
              <w:rPr>
                <w:lang w:val="en-GB"/>
              </w:rPr>
            </w:pPr>
            <w:r w:rsidRPr="006D4376">
              <w:rPr>
                <w:lang w:val="en-GB"/>
              </w:rPr>
              <w:t>&gt; 750</w:t>
            </w:r>
          </w:p>
        </w:tc>
      </w:tr>
      <w:tr w:rsidR="00C95381" w:rsidRPr="00B57B36" w14:paraId="4BC550AD" w14:textId="77777777" w:rsidTr="009144C6">
        <w:tc>
          <w:tcPr>
            <w:tcW w:w="2552" w:type="dxa"/>
            <w:shd w:val="clear" w:color="auto" w:fill="FFFFFF"/>
          </w:tcPr>
          <w:p w14:paraId="576704D1" w14:textId="77777777" w:rsidR="00C95381" w:rsidRPr="006D4376" w:rsidRDefault="00C95381" w:rsidP="009144C6">
            <w:pPr>
              <w:pStyle w:val="CETBodytext"/>
              <w:rPr>
                <w:lang w:val="en-GB"/>
              </w:rPr>
            </w:pPr>
            <w:r w:rsidRPr="006D4376">
              <w:rPr>
                <w:lang w:val="en-GB"/>
              </w:rPr>
              <w:t>Polluted soil / diesel</w:t>
            </w:r>
          </w:p>
        </w:tc>
        <w:tc>
          <w:tcPr>
            <w:tcW w:w="1311" w:type="dxa"/>
            <w:shd w:val="clear" w:color="auto" w:fill="FFFFFF"/>
          </w:tcPr>
          <w:p w14:paraId="2630A1CA" w14:textId="77777777" w:rsidR="00C95381" w:rsidRPr="006D4376" w:rsidRDefault="00C95381" w:rsidP="009144C6">
            <w:pPr>
              <w:pStyle w:val="CETBodytext"/>
              <w:ind w:right="-1"/>
              <w:rPr>
                <w:lang w:val="en-GB"/>
              </w:rPr>
            </w:pPr>
            <w:r w:rsidRPr="006D4376">
              <w:rPr>
                <w:lang w:val="en-GB"/>
              </w:rPr>
              <w:t>&gt; 1000</w:t>
            </w:r>
          </w:p>
        </w:tc>
        <w:tc>
          <w:tcPr>
            <w:tcW w:w="1311" w:type="dxa"/>
            <w:shd w:val="clear" w:color="auto" w:fill="FFFFFF"/>
          </w:tcPr>
          <w:p w14:paraId="32BB9062" w14:textId="77777777" w:rsidR="00C95381" w:rsidRPr="006D4376" w:rsidRDefault="00C95381" w:rsidP="009144C6">
            <w:pPr>
              <w:pStyle w:val="CETBodytext"/>
              <w:ind w:right="-1"/>
              <w:rPr>
                <w:lang w:val="en-GB"/>
              </w:rPr>
            </w:pPr>
            <w:r w:rsidRPr="006D4376">
              <w:rPr>
                <w:lang w:val="en-GB"/>
              </w:rPr>
              <w:t>600</w:t>
            </w:r>
          </w:p>
        </w:tc>
        <w:tc>
          <w:tcPr>
            <w:tcW w:w="1311" w:type="dxa"/>
            <w:shd w:val="clear" w:color="auto" w:fill="FFFFFF"/>
          </w:tcPr>
          <w:p w14:paraId="609EDCD0" w14:textId="77777777" w:rsidR="00C95381" w:rsidRPr="006D4376" w:rsidRDefault="00C95381" w:rsidP="009144C6">
            <w:pPr>
              <w:pStyle w:val="CETBodytext"/>
              <w:ind w:right="-1"/>
              <w:rPr>
                <w:lang w:val="en-GB"/>
              </w:rPr>
            </w:pPr>
            <w:r w:rsidRPr="006D4376">
              <w:rPr>
                <w:lang w:val="en-GB"/>
              </w:rPr>
              <w:t>610</w:t>
            </w:r>
          </w:p>
        </w:tc>
        <w:tc>
          <w:tcPr>
            <w:tcW w:w="1312" w:type="dxa"/>
            <w:shd w:val="clear" w:color="auto" w:fill="FFFFFF"/>
          </w:tcPr>
          <w:p w14:paraId="4989EFE7" w14:textId="5D67A79C" w:rsidR="00C95381" w:rsidRPr="006D4376" w:rsidRDefault="001B742D" w:rsidP="009144C6">
            <w:pPr>
              <w:pStyle w:val="CETBodytext"/>
              <w:ind w:right="-1"/>
              <w:rPr>
                <w:lang w:val="en-GB"/>
              </w:rPr>
            </w:pPr>
            <w:r>
              <w:rPr>
                <w:lang w:val="en-GB"/>
              </w:rPr>
              <w:t xml:space="preserve">&gt; </w:t>
            </w:r>
            <w:r w:rsidR="00F01705">
              <w:rPr>
                <w:lang w:val="en-GB"/>
              </w:rPr>
              <w:t>750</w:t>
            </w:r>
          </w:p>
        </w:tc>
      </w:tr>
    </w:tbl>
    <w:p w14:paraId="742C1158" w14:textId="77777777" w:rsidR="00F60C28" w:rsidRPr="00B57B36" w:rsidRDefault="00F60C28" w:rsidP="00F60C28">
      <w:pPr>
        <w:pStyle w:val="CETCaption"/>
      </w:pPr>
      <w:r>
        <w:rPr>
          <w:noProof/>
        </w:rPr>
        <w:lastRenderedPageBreak/>
        <w:drawing>
          <wp:inline distT="0" distB="0" distL="0" distR="0" wp14:anchorId="45CEA7DE" wp14:editId="6D14250D">
            <wp:extent cx="5428800" cy="3528000"/>
            <wp:effectExtent l="0" t="0" r="0" b="3175"/>
            <wp:docPr id="1902968122" name="Image 1"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68122" name="Image 1" descr="Une image contenant texte, ligne, diagramme, Tracé&#10;&#10;Description générée automatiquement"/>
                    <pic:cNvPicPr/>
                  </pic:nvPicPr>
                  <pic:blipFill rotWithShape="1">
                    <a:blip r:embed="rId13"/>
                    <a:srcRect l="7507" t="3809" r="8173" b="3483"/>
                    <a:stretch/>
                  </pic:blipFill>
                  <pic:spPr bwMode="auto">
                    <a:xfrm>
                      <a:off x="0" y="0"/>
                      <a:ext cx="5428800" cy="3528000"/>
                    </a:xfrm>
                    <a:prstGeom prst="rect">
                      <a:avLst/>
                    </a:prstGeom>
                    <a:ln>
                      <a:noFill/>
                    </a:ln>
                    <a:extLst>
                      <a:ext uri="{53640926-AAD7-44D8-BBD7-CCE9431645EC}">
                        <a14:shadowObscured xmlns:a14="http://schemas.microsoft.com/office/drawing/2010/main"/>
                      </a:ext>
                    </a:extLst>
                  </pic:spPr>
                </pic:pic>
              </a:graphicData>
            </a:graphic>
          </wp:inline>
        </w:drawing>
      </w:r>
    </w:p>
    <w:p w14:paraId="59A26377" w14:textId="77777777" w:rsidR="00F60C28" w:rsidRPr="00E41A26" w:rsidRDefault="00F60C28" w:rsidP="00F60C28">
      <w:pPr>
        <w:pStyle w:val="CETCaption"/>
      </w:pPr>
      <w:r w:rsidRPr="00BD077D">
        <w:rPr>
          <w:rStyle w:val="CETCaptionCarattere"/>
          <w:i/>
        </w:rPr>
        <w:t xml:space="preserve">Figure </w:t>
      </w:r>
      <w:r>
        <w:rPr>
          <w:rStyle w:val="CETCaptionCarattere"/>
          <w:i/>
        </w:rPr>
        <w:t>4</w:t>
      </w:r>
      <w:r w:rsidRPr="00BD077D">
        <w:rPr>
          <w:rStyle w:val="CETCaptionCarattere"/>
          <w:i/>
        </w:rPr>
        <w:t xml:space="preserve">: </w:t>
      </w:r>
      <w:r>
        <w:rPr>
          <w:rStyle w:val="CETCaptionCarattere"/>
          <w:i/>
        </w:rPr>
        <w:t>Effect of ethanol content and mixing modes on the a) maximum pressure and b) maximum rate of pressure rise of carbon black/ethanol mixtures. Constant fuel equivalence ratio: 1.25</w:t>
      </w:r>
    </w:p>
    <w:p w14:paraId="00D80D81" w14:textId="248B74BB" w:rsidR="007D6846" w:rsidRPr="00FA15DC" w:rsidRDefault="007D6846" w:rsidP="001C63A1">
      <w:pPr>
        <w:pStyle w:val="CETBodytext"/>
      </w:pPr>
      <w:r w:rsidRPr="007D6846">
        <w:t>Once again, the behavior</w:t>
      </w:r>
      <w:r>
        <w:t>s</w:t>
      </w:r>
      <w:r w:rsidRPr="007D6846">
        <w:t xml:space="preserve"> of </w:t>
      </w:r>
      <w:r>
        <w:t xml:space="preserve">cellulose and carbon black mixed with ethanol are strongly different: the MIT of cellulose decreases slightly </w:t>
      </w:r>
      <w:r w:rsidR="001B742D">
        <w:t xml:space="preserve">from 440 to 430 °C </w:t>
      </w:r>
      <w:r>
        <w:t>when 25 wt.% solvent is added, whereas the MIT of carbon black</w:t>
      </w:r>
      <w:r w:rsidR="001B742D">
        <w:t xml:space="preserve"> drops from 690 to 450 °C with the same addition. A similar trend is observed for soil/diesel mixtures. </w:t>
      </w:r>
      <w:r w:rsidR="00365835">
        <w:t>T</w:t>
      </w:r>
      <w:r w:rsidR="00365835" w:rsidRPr="00365835">
        <w:t>he dec</w:t>
      </w:r>
      <w:r w:rsidR="00365835">
        <w:t>ay</w:t>
      </w:r>
      <w:r w:rsidR="00365835" w:rsidRPr="00365835">
        <w:t xml:space="preserve"> is non-linear and tapers off at higher concentrations</w:t>
      </w:r>
      <w:r w:rsidR="00365835">
        <w:t xml:space="preserve">, which is probably related to powders agglomeration. </w:t>
      </w:r>
      <w:r w:rsidR="00750386">
        <w:t>H</w:t>
      </w:r>
      <w:r w:rsidR="00750386" w:rsidRPr="00750386">
        <w:t xml:space="preserve">owever, </w:t>
      </w:r>
      <w:r w:rsidR="00750386">
        <w:t xml:space="preserve">it should be noted that </w:t>
      </w:r>
      <w:r w:rsidR="00750386" w:rsidRPr="00750386">
        <w:t xml:space="preserve">the MIT </w:t>
      </w:r>
      <w:r w:rsidR="00750386">
        <w:t xml:space="preserve">changes as function of </w:t>
      </w:r>
      <w:r w:rsidR="00750386" w:rsidRPr="00750386">
        <w:t xml:space="preserve"> </w:t>
      </w:r>
      <w:r w:rsidR="00750386">
        <w:t xml:space="preserve">the </w:t>
      </w:r>
      <w:r w:rsidR="00750386" w:rsidRPr="00750386">
        <w:t>dispersion pressure</w:t>
      </w:r>
      <w:r w:rsidR="00750386">
        <w:t xml:space="preserve">. </w:t>
      </w:r>
      <w:r w:rsidR="001B742D">
        <w:t xml:space="preserve">A few tests were performed with water, </w:t>
      </w:r>
      <w:r w:rsidR="001B742D" w:rsidRPr="001B742D">
        <w:t>obviously leading to an increase in MIT</w:t>
      </w:r>
      <w:r w:rsidR="001B742D">
        <w:t xml:space="preserve">. </w:t>
      </w:r>
      <w:r w:rsidR="000B16D0">
        <w:t>It is interesting to note</w:t>
      </w:r>
      <w:r w:rsidR="000B16D0" w:rsidRPr="000B16D0">
        <w:t xml:space="preserve"> that this increase is generally of the same magnitude as the decrease </w:t>
      </w:r>
      <w:r w:rsidR="000B16D0" w:rsidRPr="00FA15DC">
        <w:t>observed when solvent is added.</w:t>
      </w:r>
    </w:p>
    <w:p w14:paraId="38312F31" w14:textId="045C6738" w:rsidR="00E41A26" w:rsidRDefault="0038305C" w:rsidP="00BB539C">
      <w:pPr>
        <w:pStyle w:val="CETBodytext"/>
      </w:pPr>
      <w:r w:rsidRPr="00FA15DC">
        <w:t xml:space="preserve">Figure 5a shows </w:t>
      </w:r>
      <w:r w:rsidR="008F27AC" w:rsidRPr="00FA15DC">
        <w:t xml:space="preserve">that the PSD of pure cellulose </w:t>
      </w:r>
      <w:r w:rsidR="009A7242" w:rsidRPr="00FA15DC">
        <w:t>slightly increases</w:t>
      </w:r>
      <w:r w:rsidR="008F27AC" w:rsidRPr="00FA15DC">
        <w:t xml:space="preserve"> </w:t>
      </w:r>
      <w:r w:rsidR="00FA15DC" w:rsidRPr="00FA15DC">
        <w:t xml:space="preserve">when injected in a Godbert-Greenwald oven </w:t>
      </w:r>
      <w:r w:rsidR="00FA15DC">
        <w:t>compared to</w:t>
      </w:r>
      <w:r w:rsidR="00FA15DC" w:rsidRPr="00FA15DC">
        <w:t xml:space="preserve"> its initial PSD shown in Table 1, which was already</w:t>
      </w:r>
      <w:r w:rsidR="00FA15DC">
        <w:t xml:space="preserve"> highlighted by </w:t>
      </w:r>
      <w:r w:rsidR="00CC07AE">
        <w:t>Pietraccini et al., 2024.</w:t>
      </w:r>
      <w:r w:rsidR="00FA15DC">
        <w:t xml:space="preserve"> It also demonstrates that the pre-wetting of the cellulose strongly increases its PSD, especially at low dispersion pressures. Pre-wetted cellulose containing 30 wt.% ethanol and dispersed at 0.5 barg has a PSD comparable to that of pure cellulose dispersed at 0.5 barg, which confirms that the minimum ignition temperature can be found at different dispersion pressures as a function of the solvent content.  </w:t>
      </w:r>
    </w:p>
    <w:p w14:paraId="09A0BE88" w14:textId="40D79840" w:rsidR="00365835" w:rsidRDefault="00157502" w:rsidP="00BB539C">
      <w:pPr>
        <w:pStyle w:val="CETBodytext"/>
      </w:pPr>
      <w:r>
        <w:t xml:space="preserve">A similar PSD change is observable for carbon black. However, it is worth noting that carbon black is initially a very fine powder prone to agglomeration, due to the presence of strong Van der Waals interactions between particles. Such phenomena can explain the significant PSD difference observed between 0.3 and 0.5 barg for pure carbon black. Even pre-wetted with 30 wt.% ethanol, the presence of fine particles is still noticeable at high dispersion pressures. </w:t>
      </w:r>
    </w:p>
    <w:p w14:paraId="438C1552" w14:textId="401D3E63" w:rsidR="00C24BF9" w:rsidRDefault="00157502" w:rsidP="00BB539C">
      <w:pPr>
        <w:pStyle w:val="CETBodytext"/>
      </w:pPr>
      <w:r>
        <w:t xml:space="preserve">Thus, pre-wetting a powder with a flammable solvent </w:t>
      </w:r>
      <w:r w:rsidR="0047193C">
        <w:t>changes</w:t>
      </w:r>
      <w:r>
        <w:t xml:space="preserve"> its PSD</w:t>
      </w:r>
      <w:r w:rsidR="00B82A86">
        <w:t xml:space="preserve">, which impacts both its residence time in the Godbert-Greenwald oven and </w:t>
      </w:r>
      <w:r w:rsidR="009451DB">
        <w:t xml:space="preserve">its </w:t>
      </w:r>
      <w:r w:rsidR="00B82A86">
        <w:t xml:space="preserve">heating </w:t>
      </w:r>
      <w:r w:rsidR="009451DB">
        <w:t xml:space="preserve">characteristic time. </w:t>
      </w:r>
    </w:p>
    <w:p w14:paraId="4AFA6826" w14:textId="77777777" w:rsidR="0008720D" w:rsidRPr="00B57B36" w:rsidRDefault="0008720D" w:rsidP="0008720D">
      <w:pPr>
        <w:pStyle w:val="CETHeading1"/>
        <w:rPr>
          <w:lang w:val="en-GB"/>
        </w:rPr>
      </w:pPr>
      <w:r w:rsidRPr="00B57B36">
        <w:rPr>
          <w:lang w:val="en-GB"/>
        </w:rPr>
        <w:t>Conclusions</w:t>
      </w:r>
    </w:p>
    <w:p w14:paraId="443176F6" w14:textId="5BC70681" w:rsidR="009C5A7F" w:rsidRDefault="00475B78" w:rsidP="00C24BF9">
      <w:pPr>
        <w:pStyle w:val="CETBodytext"/>
      </w:pPr>
      <w:r>
        <w:rPr>
          <w:lang w:val="en-GB"/>
        </w:rPr>
        <w:t xml:space="preserve">Both explosion severity and minimum ignition temperature can be significantly </w:t>
      </w:r>
      <w:r w:rsidR="0047193C">
        <w:rPr>
          <w:lang w:val="en-GB"/>
        </w:rPr>
        <w:t>modified</w:t>
      </w:r>
      <w:r>
        <w:rPr>
          <w:lang w:val="en-GB"/>
        </w:rPr>
        <w:t xml:space="preserve"> when pre-wetting a powder. </w:t>
      </w:r>
      <w:r w:rsidR="0047193C">
        <w:rPr>
          <w:lang w:val="en-GB"/>
        </w:rPr>
        <w:t xml:space="preserve">In terms of risk assessment, </w:t>
      </w:r>
      <w:r w:rsidR="0047193C" w:rsidRPr="0047193C">
        <w:rPr>
          <w:lang w:val="en-GB"/>
        </w:rPr>
        <w:t xml:space="preserve">it is not possible to consider this type of </w:t>
      </w:r>
      <w:r w:rsidR="004207DF">
        <w:rPr>
          <w:lang w:val="en-GB"/>
        </w:rPr>
        <w:t>ad</w:t>
      </w:r>
      <w:r w:rsidR="0047193C" w:rsidRPr="0047193C">
        <w:rPr>
          <w:lang w:val="en-GB"/>
        </w:rPr>
        <w:t>mixture to be equivalent to a hybrid gas/solid mixture of the same composition.</w:t>
      </w:r>
      <w:r w:rsidR="0047193C" w:rsidRPr="0047193C">
        <w:t xml:space="preserve"> </w:t>
      </w:r>
      <w:r w:rsidR="0047193C" w:rsidRPr="0047193C">
        <w:rPr>
          <w:lang w:val="en-GB"/>
        </w:rPr>
        <w:t xml:space="preserve">Changes in PSD, </w:t>
      </w:r>
      <w:r w:rsidR="0047193C">
        <w:rPr>
          <w:lang w:val="en-GB"/>
        </w:rPr>
        <w:t xml:space="preserve">in dust cloud turbulence, </w:t>
      </w:r>
      <w:r w:rsidR="0047193C" w:rsidRPr="0047193C">
        <w:rPr>
          <w:lang w:val="en-GB"/>
        </w:rPr>
        <w:t xml:space="preserve">as well as the effect of solvent vaporisation on powder heating kinetics, need to be </w:t>
      </w:r>
      <w:r w:rsidR="009C5A7F">
        <w:rPr>
          <w:lang w:val="en-GB"/>
        </w:rPr>
        <w:t>considered</w:t>
      </w:r>
      <w:r w:rsidR="0047193C" w:rsidRPr="0047193C">
        <w:rPr>
          <w:lang w:val="en-GB"/>
        </w:rPr>
        <w:t>.</w:t>
      </w:r>
      <w:r w:rsidR="0047193C">
        <w:rPr>
          <w:lang w:val="en-GB"/>
        </w:rPr>
        <w:t xml:space="preserve"> </w:t>
      </w:r>
      <w:r w:rsidR="004207DF" w:rsidRPr="004207DF">
        <w:rPr>
          <w:lang w:val="en-GB"/>
        </w:rPr>
        <w:t xml:space="preserve">However, it appears that the increase in PSD </w:t>
      </w:r>
      <w:r w:rsidR="004207DF">
        <w:rPr>
          <w:lang w:val="en-GB"/>
        </w:rPr>
        <w:t>due</w:t>
      </w:r>
      <w:r w:rsidR="004207DF" w:rsidRPr="004207DF">
        <w:rPr>
          <w:lang w:val="en-GB"/>
        </w:rPr>
        <w:t xml:space="preserve"> to granulation </w:t>
      </w:r>
      <w:r w:rsidR="004207DF">
        <w:rPr>
          <w:lang w:val="en-GB"/>
        </w:rPr>
        <w:t>generally has</w:t>
      </w:r>
      <w:r w:rsidR="004207DF" w:rsidRPr="004207DF">
        <w:rPr>
          <w:lang w:val="en-GB"/>
        </w:rPr>
        <w:t xml:space="preserve"> a negative </w:t>
      </w:r>
      <w:r w:rsidR="004207DF">
        <w:rPr>
          <w:lang w:val="en-GB"/>
        </w:rPr>
        <w:t>impact</w:t>
      </w:r>
      <w:r w:rsidR="004207DF" w:rsidRPr="004207DF">
        <w:rPr>
          <w:lang w:val="en-GB"/>
        </w:rPr>
        <w:t xml:space="preserve"> on the ex</w:t>
      </w:r>
      <w:r w:rsidR="004207DF">
        <w:rPr>
          <w:lang w:val="en-GB"/>
        </w:rPr>
        <w:t>plosion severity</w:t>
      </w:r>
      <w:r w:rsidR="004207DF" w:rsidRPr="004207DF">
        <w:rPr>
          <w:lang w:val="en-GB"/>
        </w:rPr>
        <w:t xml:space="preserve"> of the </w:t>
      </w:r>
      <w:r w:rsidR="004207DF">
        <w:rPr>
          <w:lang w:val="en-GB"/>
        </w:rPr>
        <w:t>ad</w:t>
      </w:r>
      <w:r w:rsidR="004207DF" w:rsidRPr="004207DF">
        <w:rPr>
          <w:lang w:val="en-GB"/>
        </w:rPr>
        <w:t>mixture</w:t>
      </w:r>
      <w:r w:rsidR="004207DF">
        <w:rPr>
          <w:lang w:val="en-GB"/>
        </w:rPr>
        <w:t xml:space="preserve"> at high solvent concentrations.</w:t>
      </w:r>
      <w:r w:rsidR="00B83333" w:rsidRPr="00B83333">
        <w:t xml:space="preserve"> </w:t>
      </w:r>
      <w:r w:rsidR="009C5A7F">
        <w:rPr>
          <w:lang w:val="en-GB"/>
        </w:rPr>
        <w:t>The p</w:t>
      </w:r>
      <w:r w:rsidR="009C5A7F" w:rsidRPr="0047193C">
        <w:rPr>
          <w:lang w:val="en-GB"/>
        </w:rPr>
        <w:t>romotional effects of flammable solvents depend greatly on the nature of the powde</w:t>
      </w:r>
      <w:r w:rsidR="009C5A7F">
        <w:rPr>
          <w:lang w:val="en-GB"/>
        </w:rPr>
        <w:t>r</w:t>
      </w:r>
      <w:r w:rsidR="003D2622">
        <w:rPr>
          <w:lang w:val="en-GB"/>
        </w:rPr>
        <w:t xml:space="preserve">: </w:t>
      </w:r>
      <w:r w:rsidR="009C5A7F" w:rsidRPr="009C5A7F">
        <w:t xml:space="preserve">its shape (fiber for cellulose, sphere for carbon black), its </w:t>
      </w:r>
      <w:r w:rsidR="00E43503">
        <w:t xml:space="preserve">solvent </w:t>
      </w:r>
      <w:r w:rsidR="009C5A7F" w:rsidRPr="009C5A7F">
        <w:t xml:space="preserve">affinity (e.g. swelling of cellulose </w:t>
      </w:r>
      <w:r w:rsidR="009C5A7F" w:rsidRPr="009C5A7F">
        <w:lastRenderedPageBreak/>
        <w:t>in ethanol), its size, its porosity, its calorific capacity (low for carbon black) or its chemical composition (e.g. presence of oxygen in cellulose unlike carbon).</w:t>
      </w:r>
    </w:p>
    <w:p w14:paraId="11CF9C34" w14:textId="68C5DF18" w:rsidR="004207DF" w:rsidRPr="004C3F17" w:rsidRDefault="00B83333" w:rsidP="00C24BF9">
      <w:pPr>
        <w:pStyle w:val="CETBodytext"/>
        <w:rPr>
          <w:lang w:val="en-GB"/>
        </w:rPr>
      </w:pPr>
      <w:r>
        <w:rPr>
          <w:lang w:val="en-GB"/>
        </w:rPr>
        <w:t>T</w:t>
      </w:r>
      <w:r w:rsidRPr="00B83333">
        <w:rPr>
          <w:lang w:val="en-GB"/>
        </w:rPr>
        <w:t xml:space="preserve">he state of the mixture and the concentration of solvent being variable throughout the process, this study improves the identification of </w:t>
      </w:r>
      <w:r>
        <w:rPr>
          <w:lang w:val="en-GB"/>
        </w:rPr>
        <w:t>zones</w:t>
      </w:r>
      <w:r w:rsidRPr="00B83333">
        <w:rPr>
          <w:lang w:val="en-GB"/>
        </w:rPr>
        <w:t xml:space="preserve"> at high</w:t>
      </w:r>
      <w:r>
        <w:rPr>
          <w:lang w:val="en-GB"/>
        </w:rPr>
        <w:t>er explosion</w:t>
      </w:r>
      <w:r w:rsidRPr="00B83333">
        <w:rPr>
          <w:lang w:val="en-GB"/>
        </w:rPr>
        <w:t xml:space="preserve"> risk</w:t>
      </w:r>
      <w:r>
        <w:rPr>
          <w:lang w:val="en-GB"/>
        </w:rPr>
        <w:t>.</w:t>
      </w:r>
    </w:p>
    <w:p w14:paraId="68952AF4" w14:textId="4975380D" w:rsidR="00BB539C" w:rsidRPr="00B57B36" w:rsidRDefault="00FA15DC" w:rsidP="00BB539C">
      <w:pPr>
        <w:pStyle w:val="CETCaption"/>
      </w:pPr>
      <w:r>
        <w:rPr>
          <w:noProof/>
        </w:rPr>
        <w:drawing>
          <wp:inline distT="0" distB="0" distL="0" distR="0" wp14:anchorId="30F41EDE" wp14:editId="79B9EF09">
            <wp:extent cx="5263200" cy="3528000"/>
            <wp:effectExtent l="0" t="0" r="0" b="3175"/>
            <wp:docPr id="1219692631" name="Image 6" descr="Une image contenant texte, ligne, diagramm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92631" name="Image 6" descr="Une image contenant texte, ligne, diagramme, Tracé&#10;&#10;Description générée automatiquement"/>
                    <pic:cNvPicPr/>
                  </pic:nvPicPr>
                  <pic:blipFill rotWithShape="1">
                    <a:blip r:embed="rId14"/>
                    <a:srcRect l="9607" t="4205" r="8774" b="3243"/>
                    <a:stretch/>
                  </pic:blipFill>
                  <pic:spPr bwMode="auto">
                    <a:xfrm>
                      <a:off x="0" y="0"/>
                      <a:ext cx="5263200" cy="3528000"/>
                    </a:xfrm>
                    <a:prstGeom prst="rect">
                      <a:avLst/>
                    </a:prstGeom>
                    <a:ln>
                      <a:noFill/>
                    </a:ln>
                    <a:extLst>
                      <a:ext uri="{53640926-AAD7-44D8-BBD7-CCE9431645EC}">
                        <a14:shadowObscured xmlns:a14="http://schemas.microsoft.com/office/drawing/2010/main"/>
                      </a:ext>
                    </a:extLst>
                  </pic:spPr>
                </pic:pic>
              </a:graphicData>
            </a:graphic>
          </wp:inline>
        </w:drawing>
      </w:r>
    </w:p>
    <w:p w14:paraId="6F92ABBA" w14:textId="5FC72E4B" w:rsidR="00BB539C" w:rsidRPr="00F60C28" w:rsidRDefault="00BB539C" w:rsidP="00BB539C">
      <w:pPr>
        <w:pStyle w:val="CETBodytext"/>
      </w:pPr>
      <w:r w:rsidRPr="00F60C28">
        <w:rPr>
          <w:rStyle w:val="CETCaptionCarattere"/>
          <w:lang w:val="en-US"/>
        </w:rPr>
        <w:t xml:space="preserve">Figure 5: </w:t>
      </w:r>
      <w:r w:rsidR="00F60C28">
        <w:rPr>
          <w:rStyle w:val="CETCaptionCarattere"/>
          <w:lang w:val="en-US"/>
        </w:rPr>
        <w:t>PSD</w:t>
      </w:r>
      <w:r w:rsidR="00F60C28" w:rsidRPr="00F60C28">
        <w:rPr>
          <w:rStyle w:val="CETCaptionCarattere"/>
          <w:lang w:val="en-US"/>
        </w:rPr>
        <w:t xml:space="preserve"> evol</w:t>
      </w:r>
      <w:r w:rsidR="00F60C28">
        <w:rPr>
          <w:rStyle w:val="CETCaptionCarattere"/>
          <w:lang w:val="en-US"/>
        </w:rPr>
        <w:t xml:space="preserve">ution of pure dusts and powder/solvent admixtures at the exit of a Godbert-Greenwald oven as a function of the dispersion pressure </w:t>
      </w:r>
    </w:p>
    <w:p w14:paraId="4F1327F8" w14:textId="77777777" w:rsidR="00600535" w:rsidRPr="00B57B36" w:rsidRDefault="00600535" w:rsidP="00600535">
      <w:pPr>
        <w:pStyle w:val="CETReference"/>
      </w:pPr>
      <w:r w:rsidRPr="00B57B36">
        <w:t>References</w:t>
      </w:r>
    </w:p>
    <w:p w14:paraId="4A8BA5BC" w14:textId="766CA235" w:rsidR="009003DD" w:rsidRPr="00A3745D" w:rsidRDefault="009003DD" w:rsidP="009003DD">
      <w:pPr>
        <w:pStyle w:val="CETReferencetext"/>
      </w:pPr>
      <w:r>
        <w:t xml:space="preserve">Dufaud O., Janes A., Henrion J., Sigot L., Laubie B., Simonnot M.-O., </w:t>
      </w:r>
      <w:r w:rsidR="00A22662">
        <w:t xml:space="preserve">2022, </w:t>
      </w:r>
      <w:r>
        <w:t>Ignition and self-heating risk assessment of hydrocarbon polluted soils</w:t>
      </w:r>
      <w:r w:rsidR="00A22662">
        <w:t xml:space="preserve">, </w:t>
      </w:r>
      <w:r w:rsidRPr="00B42DED">
        <w:t>Chem</w:t>
      </w:r>
      <w:r>
        <w:t>.</w:t>
      </w:r>
      <w:r w:rsidRPr="00B42DED">
        <w:t xml:space="preserve"> Eng</w:t>
      </w:r>
      <w:r>
        <w:t>.</w:t>
      </w:r>
      <w:r w:rsidRPr="00B42DED">
        <w:t xml:space="preserve"> Tran</w:t>
      </w:r>
      <w:r>
        <w:t>s., 90, 73</w:t>
      </w:r>
      <w:r w:rsidR="00A22662">
        <w:t>-</w:t>
      </w:r>
      <w:r>
        <w:t>78, doi:10.3303/CET2290013.</w:t>
      </w:r>
    </w:p>
    <w:p w14:paraId="6A61FCFA" w14:textId="77777777" w:rsidR="009003DD" w:rsidRDefault="009003DD" w:rsidP="009003DD">
      <w:pPr>
        <w:pStyle w:val="CETReferencetext"/>
      </w:pPr>
      <w:r w:rsidRPr="00B42DED">
        <w:t>Gabel D., Krause U., Minimum ignition temperature of hybrid mixtures</w:t>
      </w:r>
      <w:r>
        <w:t xml:space="preserve"> (2019)</w:t>
      </w:r>
      <w:r w:rsidRPr="00B42DED">
        <w:t xml:space="preserve"> Chem</w:t>
      </w:r>
      <w:r>
        <w:t>.</w:t>
      </w:r>
      <w:r w:rsidRPr="00B42DED">
        <w:t xml:space="preserve"> Eng</w:t>
      </w:r>
      <w:r>
        <w:t>.</w:t>
      </w:r>
      <w:r w:rsidRPr="00B42DED">
        <w:t xml:space="preserve"> Tran</w:t>
      </w:r>
      <w:r>
        <w:t>s.</w:t>
      </w:r>
      <w:r w:rsidRPr="00B42DED">
        <w:t>, 77, 187-192</w:t>
      </w:r>
      <w:r>
        <w:t>,</w:t>
      </w:r>
      <w:r w:rsidRPr="00B42DED">
        <w:t xml:space="preserve"> </w:t>
      </w:r>
      <w:r>
        <w:t>doi</w:t>
      </w:r>
      <w:r w:rsidRPr="00B42DED">
        <w:t>:10.3303/</w:t>
      </w:r>
      <w:r>
        <w:t>CET</w:t>
      </w:r>
      <w:r w:rsidRPr="00B42DED">
        <w:t>1977032</w:t>
      </w:r>
      <w:r>
        <w:t>.</w:t>
      </w:r>
    </w:p>
    <w:p w14:paraId="4C33014D" w14:textId="6ACBFBF1" w:rsidR="009003DD" w:rsidRDefault="009003DD" w:rsidP="009003DD">
      <w:pPr>
        <w:pStyle w:val="CETReferencetext"/>
      </w:pPr>
      <w:r>
        <w:t xml:space="preserve">Hossain M.N., Amyotte P., Abuswer M., Dastidar A., Khan F., Eckhoff R., Chunmiao Y., </w:t>
      </w:r>
      <w:r w:rsidR="00A22662">
        <w:t xml:space="preserve">2014, </w:t>
      </w:r>
      <w:r>
        <w:t>Influence of liquid and vapourized solvents on explosibility of pharmaceutical excipient dusts</w:t>
      </w:r>
      <w:r w:rsidR="00A22662">
        <w:t xml:space="preserve">, </w:t>
      </w:r>
      <w:r>
        <w:t>Process Saf. Prog., 33 (4), 374 – 379, doi:10.1002/prs.11673.</w:t>
      </w:r>
    </w:p>
    <w:p w14:paraId="73D25159" w14:textId="081EAADB" w:rsidR="00294070" w:rsidRDefault="00294070" w:rsidP="004B663D">
      <w:pPr>
        <w:pStyle w:val="CETReferencetext"/>
      </w:pPr>
      <w:r>
        <w:t>Heilmann V., Spitzer S., Dufaud O., Hohenberger M., Jankuj V., Prodan M., Zakel S.,</w:t>
      </w:r>
      <w:r w:rsidR="004B663D">
        <w:t xml:space="preserve"> 2024, </w:t>
      </w:r>
      <w:r>
        <w:t>European round robin on safety characteristics of hybrid mixtures from vapors and dusts,</w:t>
      </w:r>
      <w:r w:rsidR="004B663D">
        <w:t xml:space="preserve"> </w:t>
      </w:r>
      <w:r>
        <w:t>Journal of Loss Prevention in the Process Industries,</w:t>
      </w:r>
      <w:r w:rsidR="004B663D">
        <w:t xml:space="preserve"> </w:t>
      </w:r>
      <w:r>
        <w:t>88,</w:t>
      </w:r>
      <w:r w:rsidR="004B663D">
        <w:t xml:space="preserve"> </w:t>
      </w:r>
      <w:r>
        <w:t>105273,</w:t>
      </w:r>
      <w:r w:rsidR="004B663D">
        <w:t xml:space="preserve"> doi:</w:t>
      </w:r>
      <w:r>
        <w:t>10.1016/j.jlp.2024.105273.</w:t>
      </w:r>
    </w:p>
    <w:p w14:paraId="781D4BE6" w14:textId="01E7AA41" w:rsidR="0083505C" w:rsidRDefault="0083505C" w:rsidP="009003DD">
      <w:pPr>
        <w:pStyle w:val="CETReferencetext"/>
      </w:pPr>
      <w:r w:rsidRPr="0083505C">
        <w:t>ISO</w:t>
      </w:r>
      <w:r w:rsidR="00625528">
        <w:t xml:space="preserve">/IEC </w:t>
      </w:r>
      <w:r w:rsidRPr="0083505C">
        <w:t xml:space="preserve">80079-20-2, 2016. Explosive atmospheres: Material characteristics </w:t>
      </w:r>
      <w:r w:rsidR="00A22662">
        <w:t>-</w:t>
      </w:r>
      <w:r w:rsidRPr="0083505C">
        <w:t xml:space="preserve"> Combustible dust test methods.</w:t>
      </w:r>
    </w:p>
    <w:p w14:paraId="63DA2C6E" w14:textId="76C72F6A" w:rsidR="00A22662" w:rsidRDefault="00A22662" w:rsidP="00243CBF">
      <w:pPr>
        <w:pStyle w:val="CETReferencetext"/>
      </w:pPr>
      <w:r>
        <w:t>Lin S., Liu Z., Qian J., Chu X., Gu Z., 2021, Experimental research on the co-deflagration characteristics of a mixture of coal powder and corn starch in an air/methane atmosphere, Combustion Science and Technology, doi:10.1080/00102202.2021.1978989.</w:t>
      </w:r>
    </w:p>
    <w:p w14:paraId="452F7BA7" w14:textId="32B0D883" w:rsidR="009A7242" w:rsidRPr="009A7242" w:rsidRDefault="009A7242" w:rsidP="009A7242">
      <w:pPr>
        <w:pStyle w:val="CETReferencetext"/>
        <w:rPr>
          <w:lang w:val="en-US"/>
        </w:rPr>
      </w:pPr>
      <w:r w:rsidRPr="009A7242">
        <w:rPr>
          <w:lang w:val="en-US"/>
        </w:rPr>
        <w:t xml:space="preserve">Pietraccini M., Glaude P.A., Dufour A., Marmo L., Danzi E., Dufaud O., 2024, </w:t>
      </w:r>
      <w:r>
        <w:t>A journey through space and time in the Godbert-Greenwald furnace: The evolution of a dust cloud particle size distribution,</w:t>
      </w:r>
      <w:r>
        <w:rPr>
          <w:lang w:val="en-US"/>
        </w:rPr>
        <w:t xml:space="preserve"> </w:t>
      </w:r>
      <w:r>
        <w:t>Process Safety and Environmental Protection,</w:t>
      </w:r>
      <w:r>
        <w:rPr>
          <w:lang w:val="en-US"/>
        </w:rPr>
        <w:t xml:space="preserve"> </w:t>
      </w:r>
      <w:r w:rsidRPr="009A7242">
        <w:rPr>
          <w:lang w:val="en-US"/>
        </w:rPr>
        <w:t>182,</w:t>
      </w:r>
      <w:r>
        <w:rPr>
          <w:lang w:val="en-US"/>
        </w:rPr>
        <w:t xml:space="preserve"> </w:t>
      </w:r>
      <w:r w:rsidRPr="009A7242">
        <w:rPr>
          <w:lang w:val="en-US"/>
        </w:rPr>
        <w:t>509-526,</w:t>
      </w:r>
      <w:r>
        <w:rPr>
          <w:lang w:val="en-US"/>
        </w:rPr>
        <w:t xml:space="preserve"> d</w:t>
      </w:r>
      <w:r w:rsidRPr="009A7242">
        <w:rPr>
          <w:lang w:val="en-US"/>
        </w:rPr>
        <w:t>oi :10.1016/j.psep.2023.11.083.</w:t>
      </w:r>
    </w:p>
    <w:p w14:paraId="00BA3D4F" w14:textId="2F554F12" w:rsidR="00C52C3C" w:rsidRDefault="00243CBF" w:rsidP="00243CBF">
      <w:pPr>
        <w:pStyle w:val="CETReferencetext"/>
      </w:pPr>
      <w:r>
        <w:t>Singh M., Shirazian S., Ranade V., Walker G.M., Kumar A., 2022, Challenges and opportunities in modelling wet granulation in pharmaceutical industry – A critical review, Powder Technology, 403, 117380, doi:10.1016/j.powtec.2022.117380.</w:t>
      </w:r>
    </w:p>
    <w:p w14:paraId="346D08B0" w14:textId="55F31051" w:rsidR="00B83333" w:rsidRDefault="00144FE1" w:rsidP="00B83333">
      <w:pPr>
        <w:pStyle w:val="CETReferencetext"/>
      </w:pPr>
      <w:r>
        <w:t>Wu D., Zhao P., Spitzer S.H., Krietsch A., Amyotte P., Krause U., 2023, A review on hybrid mixture explosions: Safety parameters, explosion regimes and criteria, flame characteristics, Journal of Loss Prevention in the Process Industries, 82, 104969, doi:10.1016/j.jlp.2022.104969.</w:t>
      </w:r>
    </w:p>
    <w:sectPr w:rsidR="00B83333"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4FE09" w14:textId="77777777" w:rsidR="00C6517D" w:rsidRDefault="00C6517D" w:rsidP="004F5E36">
      <w:r>
        <w:separator/>
      </w:r>
    </w:p>
  </w:endnote>
  <w:endnote w:type="continuationSeparator" w:id="0">
    <w:p w14:paraId="21743A07" w14:textId="77777777" w:rsidR="00C6517D" w:rsidRDefault="00C6517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C345F" w14:textId="77777777" w:rsidR="00C6517D" w:rsidRDefault="00C6517D" w:rsidP="004F5E36">
      <w:r>
        <w:separator/>
      </w:r>
    </w:p>
  </w:footnote>
  <w:footnote w:type="continuationSeparator" w:id="0">
    <w:p w14:paraId="47896E30" w14:textId="77777777" w:rsidR="00C6517D" w:rsidRDefault="00C6517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3650A0"/>
    <w:multiLevelType w:val="multilevel"/>
    <w:tmpl w:val="D758FD90"/>
    <w:styleLink w:val="Listeactuelle2"/>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0AF87EA7"/>
    <w:multiLevelType w:val="multilevel"/>
    <w:tmpl w:val="D758FD90"/>
    <w:styleLink w:val="Listeactuelle1"/>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438217E"/>
    <w:multiLevelType w:val="multilevel"/>
    <w:tmpl w:val="9C862EA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3"/>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5"/>
  </w:num>
  <w:num w:numId="14" w16cid:durableId="145903400">
    <w:abstractNumId w:val="21"/>
  </w:num>
  <w:num w:numId="15" w16cid:durableId="19162326">
    <w:abstractNumId w:val="23"/>
  </w:num>
  <w:num w:numId="16" w16cid:durableId="1977102699">
    <w:abstractNumId w:val="22"/>
  </w:num>
  <w:num w:numId="17" w16cid:durableId="860774865">
    <w:abstractNumId w:val="14"/>
  </w:num>
  <w:num w:numId="18" w16cid:durableId="313221457">
    <w:abstractNumId w:val="15"/>
    <w:lvlOverride w:ilvl="0">
      <w:startOverride w:val="1"/>
    </w:lvlOverride>
  </w:num>
  <w:num w:numId="19" w16cid:durableId="534971577">
    <w:abstractNumId w:val="19"/>
  </w:num>
  <w:num w:numId="20" w16cid:durableId="1150947773">
    <w:abstractNumId w:val="18"/>
  </w:num>
  <w:num w:numId="21" w16cid:durableId="124660497">
    <w:abstractNumId w:val="17"/>
  </w:num>
  <w:num w:numId="22" w16cid:durableId="2099861471">
    <w:abstractNumId w:val="16"/>
  </w:num>
  <w:num w:numId="23" w16cid:durableId="84351335">
    <w:abstractNumId w:val="12"/>
  </w:num>
  <w:num w:numId="24" w16cid:durableId="1884638554">
    <w:abstractNumId w:val="13"/>
    <w:lvlOverride w:ilvl="0">
      <w:startOverride w:val="1"/>
    </w:lvlOverride>
    <w:lvlOverride w:ilvl="1">
      <w:startOverride w:val="3"/>
    </w:lvlOverride>
    <w:lvlOverride w:ilvl="2">
      <w:startOverride w:val="3"/>
    </w:lvlOverride>
  </w:num>
  <w:num w:numId="25" w16cid:durableId="486021505">
    <w:abstractNumId w:val="11"/>
  </w:num>
  <w:num w:numId="26" w16cid:durableId="1854100481">
    <w:abstractNumId w:val="13"/>
    <w:lvlOverride w:ilvl="0">
      <w:startOverride w:val="1"/>
    </w:lvlOverride>
    <w:lvlOverride w:ilvl="1">
      <w:startOverride w:val="3"/>
    </w:lvlOverride>
    <w:lvlOverride w:ilvl="2">
      <w:startOverride w:val="3"/>
    </w:lvlOverride>
  </w:num>
  <w:num w:numId="27" w16cid:durableId="11223874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218C7"/>
    <w:rsid w:val="0003148D"/>
    <w:rsid w:val="00031EEC"/>
    <w:rsid w:val="000501F1"/>
    <w:rsid w:val="00051566"/>
    <w:rsid w:val="000562A9"/>
    <w:rsid w:val="00062A9A"/>
    <w:rsid w:val="00065058"/>
    <w:rsid w:val="00086C39"/>
    <w:rsid w:val="0008720D"/>
    <w:rsid w:val="000A03B2"/>
    <w:rsid w:val="000B16D0"/>
    <w:rsid w:val="000B354C"/>
    <w:rsid w:val="000C08A3"/>
    <w:rsid w:val="000C775A"/>
    <w:rsid w:val="000D0268"/>
    <w:rsid w:val="000D34BE"/>
    <w:rsid w:val="000E0B3C"/>
    <w:rsid w:val="000E102F"/>
    <w:rsid w:val="000E3540"/>
    <w:rsid w:val="000E36F1"/>
    <w:rsid w:val="000E3A73"/>
    <w:rsid w:val="000E414A"/>
    <w:rsid w:val="000E75FD"/>
    <w:rsid w:val="000F093C"/>
    <w:rsid w:val="000F787B"/>
    <w:rsid w:val="0012091F"/>
    <w:rsid w:val="00126BC2"/>
    <w:rsid w:val="001308B6"/>
    <w:rsid w:val="0013121F"/>
    <w:rsid w:val="00131FE6"/>
    <w:rsid w:val="0013263F"/>
    <w:rsid w:val="001331DF"/>
    <w:rsid w:val="00134DE4"/>
    <w:rsid w:val="00134FE3"/>
    <w:rsid w:val="001360F9"/>
    <w:rsid w:val="0014034D"/>
    <w:rsid w:val="00140FE3"/>
    <w:rsid w:val="00144D16"/>
    <w:rsid w:val="00144FE1"/>
    <w:rsid w:val="00150E59"/>
    <w:rsid w:val="00152DE3"/>
    <w:rsid w:val="00157502"/>
    <w:rsid w:val="00164CF9"/>
    <w:rsid w:val="00164D17"/>
    <w:rsid w:val="001667A6"/>
    <w:rsid w:val="00167DC2"/>
    <w:rsid w:val="0018171E"/>
    <w:rsid w:val="00184AD6"/>
    <w:rsid w:val="001A4AF7"/>
    <w:rsid w:val="001A733C"/>
    <w:rsid w:val="001B0349"/>
    <w:rsid w:val="001B1E93"/>
    <w:rsid w:val="001B65C1"/>
    <w:rsid w:val="001B742D"/>
    <w:rsid w:val="001C041E"/>
    <w:rsid w:val="001C260F"/>
    <w:rsid w:val="001C5C3A"/>
    <w:rsid w:val="001C63A1"/>
    <w:rsid w:val="001C684B"/>
    <w:rsid w:val="001D0CFB"/>
    <w:rsid w:val="001D14E0"/>
    <w:rsid w:val="001D21AF"/>
    <w:rsid w:val="001D53FC"/>
    <w:rsid w:val="001E1CB1"/>
    <w:rsid w:val="001E4098"/>
    <w:rsid w:val="001F42A5"/>
    <w:rsid w:val="001F7B9D"/>
    <w:rsid w:val="00201C93"/>
    <w:rsid w:val="002224B4"/>
    <w:rsid w:val="00236982"/>
    <w:rsid w:val="0024061F"/>
    <w:rsid w:val="00243CBF"/>
    <w:rsid w:val="002447EF"/>
    <w:rsid w:val="00245475"/>
    <w:rsid w:val="00247776"/>
    <w:rsid w:val="00251550"/>
    <w:rsid w:val="00260B06"/>
    <w:rsid w:val="00263B05"/>
    <w:rsid w:val="0027221A"/>
    <w:rsid w:val="00275B61"/>
    <w:rsid w:val="00280FAF"/>
    <w:rsid w:val="00282656"/>
    <w:rsid w:val="00286A52"/>
    <w:rsid w:val="00290C02"/>
    <w:rsid w:val="00294070"/>
    <w:rsid w:val="00296B83"/>
    <w:rsid w:val="002975D6"/>
    <w:rsid w:val="002B4015"/>
    <w:rsid w:val="002B7125"/>
    <w:rsid w:val="002B78CE"/>
    <w:rsid w:val="002C2FB6"/>
    <w:rsid w:val="002D2037"/>
    <w:rsid w:val="002E5FA7"/>
    <w:rsid w:val="002E7396"/>
    <w:rsid w:val="002F311D"/>
    <w:rsid w:val="002F3309"/>
    <w:rsid w:val="003008CE"/>
    <w:rsid w:val="003009B7"/>
    <w:rsid w:val="00300E56"/>
    <w:rsid w:val="0030152C"/>
    <w:rsid w:val="00303CD7"/>
    <w:rsid w:val="0030469C"/>
    <w:rsid w:val="00321CA6"/>
    <w:rsid w:val="00323763"/>
    <w:rsid w:val="00323C5F"/>
    <w:rsid w:val="00334C09"/>
    <w:rsid w:val="003558D2"/>
    <w:rsid w:val="00365835"/>
    <w:rsid w:val="003723D4"/>
    <w:rsid w:val="00381905"/>
    <w:rsid w:val="0038305C"/>
    <w:rsid w:val="00383B9F"/>
    <w:rsid w:val="00384CC8"/>
    <w:rsid w:val="003871FD"/>
    <w:rsid w:val="00394089"/>
    <w:rsid w:val="003A1E30"/>
    <w:rsid w:val="003A2829"/>
    <w:rsid w:val="003A7D1C"/>
    <w:rsid w:val="003B304B"/>
    <w:rsid w:val="003B3146"/>
    <w:rsid w:val="003B49CD"/>
    <w:rsid w:val="003B7506"/>
    <w:rsid w:val="003C65A5"/>
    <w:rsid w:val="003C7C78"/>
    <w:rsid w:val="003D1E02"/>
    <w:rsid w:val="003D2622"/>
    <w:rsid w:val="003F015E"/>
    <w:rsid w:val="003F2DCD"/>
    <w:rsid w:val="00400414"/>
    <w:rsid w:val="00402995"/>
    <w:rsid w:val="0041446B"/>
    <w:rsid w:val="004207DF"/>
    <w:rsid w:val="0044071E"/>
    <w:rsid w:val="0044329C"/>
    <w:rsid w:val="00453E24"/>
    <w:rsid w:val="00457456"/>
    <w:rsid w:val="004577FE"/>
    <w:rsid w:val="00457B9C"/>
    <w:rsid w:val="0046164A"/>
    <w:rsid w:val="004628D2"/>
    <w:rsid w:val="00462DCD"/>
    <w:rsid w:val="004648AD"/>
    <w:rsid w:val="004703A9"/>
    <w:rsid w:val="0047193C"/>
    <w:rsid w:val="00475B78"/>
    <w:rsid w:val="004760DE"/>
    <w:rsid w:val="004763D7"/>
    <w:rsid w:val="0049293D"/>
    <w:rsid w:val="004A004E"/>
    <w:rsid w:val="004A24CF"/>
    <w:rsid w:val="004A78FB"/>
    <w:rsid w:val="004B663D"/>
    <w:rsid w:val="004C3D1D"/>
    <w:rsid w:val="004C3D84"/>
    <w:rsid w:val="004C3F17"/>
    <w:rsid w:val="004C7913"/>
    <w:rsid w:val="004E4DD6"/>
    <w:rsid w:val="004F5E36"/>
    <w:rsid w:val="00507B47"/>
    <w:rsid w:val="00507BEF"/>
    <w:rsid w:val="00507CC9"/>
    <w:rsid w:val="005119A5"/>
    <w:rsid w:val="00525167"/>
    <w:rsid w:val="00526B75"/>
    <w:rsid w:val="005278B7"/>
    <w:rsid w:val="00532016"/>
    <w:rsid w:val="005346C8"/>
    <w:rsid w:val="005424FC"/>
    <w:rsid w:val="00543A56"/>
    <w:rsid w:val="00543E7D"/>
    <w:rsid w:val="00547A68"/>
    <w:rsid w:val="005531C9"/>
    <w:rsid w:val="00554879"/>
    <w:rsid w:val="00570C43"/>
    <w:rsid w:val="00592274"/>
    <w:rsid w:val="00593F59"/>
    <w:rsid w:val="00594D71"/>
    <w:rsid w:val="005A0AAB"/>
    <w:rsid w:val="005B2110"/>
    <w:rsid w:val="005B350B"/>
    <w:rsid w:val="005B61E6"/>
    <w:rsid w:val="005C067E"/>
    <w:rsid w:val="005C77E1"/>
    <w:rsid w:val="005D1363"/>
    <w:rsid w:val="005D668A"/>
    <w:rsid w:val="005D6A2F"/>
    <w:rsid w:val="005D772D"/>
    <w:rsid w:val="005E0592"/>
    <w:rsid w:val="005E1A82"/>
    <w:rsid w:val="005E4846"/>
    <w:rsid w:val="005E794C"/>
    <w:rsid w:val="005F0A28"/>
    <w:rsid w:val="005F0E5E"/>
    <w:rsid w:val="00600535"/>
    <w:rsid w:val="00610CD6"/>
    <w:rsid w:val="00620DEE"/>
    <w:rsid w:val="00621F92"/>
    <w:rsid w:val="0062280A"/>
    <w:rsid w:val="006231E1"/>
    <w:rsid w:val="00623360"/>
    <w:rsid w:val="00625528"/>
    <w:rsid w:val="00625639"/>
    <w:rsid w:val="00631B33"/>
    <w:rsid w:val="0064184D"/>
    <w:rsid w:val="006422CC"/>
    <w:rsid w:val="00651D18"/>
    <w:rsid w:val="00660E3E"/>
    <w:rsid w:val="00662E74"/>
    <w:rsid w:val="00672327"/>
    <w:rsid w:val="00680C23"/>
    <w:rsid w:val="00683E23"/>
    <w:rsid w:val="00692BB9"/>
    <w:rsid w:val="00693766"/>
    <w:rsid w:val="006A3281"/>
    <w:rsid w:val="006A6DE5"/>
    <w:rsid w:val="006B4888"/>
    <w:rsid w:val="006C2E45"/>
    <w:rsid w:val="006C359C"/>
    <w:rsid w:val="006C5579"/>
    <w:rsid w:val="006C64CF"/>
    <w:rsid w:val="006D0E21"/>
    <w:rsid w:val="006D4376"/>
    <w:rsid w:val="006D459D"/>
    <w:rsid w:val="006D6E8B"/>
    <w:rsid w:val="006D7209"/>
    <w:rsid w:val="006E50C8"/>
    <w:rsid w:val="006E737D"/>
    <w:rsid w:val="00707DD1"/>
    <w:rsid w:val="00713973"/>
    <w:rsid w:val="00720494"/>
    <w:rsid w:val="00720A24"/>
    <w:rsid w:val="00725DF0"/>
    <w:rsid w:val="00732386"/>
    <w:rsid w:val="0073514D"/>
    <w:rsid w:val="00742CF1"/>
    <w:rsid w:val="007447F3"/>
    <w:rsid w:val="00747ED5"/>
    <w:rsid w:val="00750386"/>
    <w:rsid w:val="0075499F"/>
    <w:rsid w:val="007649B1"/>
    <w:rsid w:val="007661C8"/>
    <w:rsid w:val="0077098D"/>
    <w:rsid w:val="00775A6D"/>
    <w:rsid w:val="00782B38"/>
    <w:rsid w:val="00785BF9"/>
    <w:rsid w:val="007931FA"/>
    <w:rsid w:val="007A4861"/>
    <w:rsid w:val="007A7BBA"/>
    <w:rsid w:val="007B0C50"/>
    <w:rsid w:val="007B48F9"/>
    <w:rsid w:val="007C1A43"/>
    <w:rsid w:val="007C7583"/>
    <w:rsid w:val="007D0951"/>
    <w:rsid w:val="007D610D"/>
    <w:rsid w:val="007D6846"/>
    <w:rsid w:val="0080013E"/>
    <w:rsid w:val="00801759"/>
    <w:rsid w:val="0080220C"/>
    <w:rsid w:val="0080318C"/>
    <w:rsid w:val="00807AC6"/>
    <w:rsid w:val="008120D0"/>
    <w:rsid w:val="00813288"/>
    <w:rsid w:val="008168FC"/>
    <w:rsid w:val="00830996"/>
    <w:rsid w:val="008345F1"/>
    <w:rsid w:val="0083505C"/>
    <w:rsid w:val="008525E5"/>
    <w:rsid w:val="00854C1B"/>
    <w:rsid w:val="008622E0"/>
    <w:rsid w:val="00865B07"/>
    <w:rsid w:val="008667EA"/>
    <w:rsid w:val="0087637F"/>
    <w:rsid w:val="00884196"/>
    <w:rsid w:val="008879D8"/>
    <w:rsid w:val="00892AD5"/>
    <w:rsid w:val="008A1512"/>
    <w:rsid w:val="008C7168"/>
    <w:rsid w:val="008D32B9"/>
    <w:rsid w:val="008D433B"/>
    <w:rsid w:val="008D4A16"/>
    <w:rsid w:val="008E5401"/>
    <w:rsid w:val="008E566E"/>
    <w:rsid w:val="008F27AC"/>
    <w:rsid w:val="009003DD"/>
    <w:rsid w:val="0090161A"/>
    <w:rsid w:val="00901EB6"/>
    <w:rsid w:val="009041F8"/>
    <w:rsid w:val="00904C62"/>
    <w:rsid w:val="00922BA8"/>
    <w:rsid w:val="00924DAC"/>
    <w:rsid w:val="00927058"/>
    <w:rsid w:val="00942750"/>
    <w:rsid w:val="009450CE"/>
    <w:rsid w:val="009451DB"/>
    <w:rsid w:val="009459BB"/>
    <w:rsid w:val="00947179"/>
    <w:rsid w:val="0095164B"/>
    <w:rsid w:val="00954090"/>
    <w:rsid w:val="009573E7"/>
    <w:rsid w:val="00963E05"/>
    <w:rsid w:val="00964A45"/>
    <w:rsid w:val="0096612D"/>
    <w:rsid w:val="00967843"/>
    <w:rsid w:val="00967D54"/>
    <w:rsid w:val="00971028"/>
    <w:rsid w:val="00971069"/>
    <w:rsid w:val="009747CC"/>
    <w:rsid w:val="00975B84"/>
    <w:rsid w:val="009818B6"/>
    <w:rsid w:val="00993B84"/>
    <w:rsid w:val="00994C6A"/>
    <w:rsid w:val="00996483"/>
    <w:rsid w:val="00996F5A"/>
    <w:rsid w:val="009A38DE"/>
    <w:rsid w:val="009A7242"/>
    <w:rsid w:val="009B041A"/>
    <w:rsid w:val="009B692E"/>
    <w:rsid w:val="009C2C03"/>
    <w:rsid w:val="009C37C3"/>
    <w:rsid w:val="009C4CCB"/>
    <w:rsid w:val="009C5A7F"/>
    <w:rsid w:val="009C7C86"/>
    <w:rsid w:val="009D2FF7"/>
    <w:rsid w:val="009E7884"/>
    <w:rsid w:val="009E788A"/>
    <w:rsid w:val="009F0E08"/>
    <w:rsid w:val="00A079AE"/>
    <w:rsid w:val="00A156EF"/>
    <w:rsid w:val="00A1763D"/>
    <w:rsid w:val="00A17CEC"/>
    <w:rsid w:val="00A22662"/>
    <w:rsid w:val="00A27EF0"/>
    <w:rsid w:val="00A40AB5"/>
    <w:rsid w:val="00A41059"/>
    <w:rsid w:val="00A42361"/>
    <w:rsid w:val="00A50B20"/>
    <w:rsid w:val="00A51390"/>
    <w:rsid w:val="00A60D13"/>
    <w:rsid w:val="00A7223D"/>
    <w:rsid w:val="00A72745"/>
    <w:rsid w:val="00A76EFC"/>
    <w:rsid w:val="00A775F0"/>
    <w:rsid w:val="00A86C88"/>
    <w:rsid w:val="00A87D50"/>
    <w:rsid w:val="00A91010"/>
    <w:rsid w:val="00A97F29"/>
    <w:rsid w:val="00AA702E"/>
    <w:rsid w:val="00AA7D26"/>
    <w:rsid w:val="00AB0964"/>
    <w:rsid w:val="00AB3F7E"/>
    <w:rsid w:val="00AB5011"/>
    <w:rsid w:val="00AC7368"/>
    <w:rsid w:val="00AD16B9"/>
    <w:rsid w:val="00AE377D"/>
    <w:rsid w:val="00AE76CB"/>
    <w:rsid w:val="00AF0EBA"/>
    <w:rsid w:val="00AF2463"/>
    <w:rsid w:val="00B01451"/>
    <w:rsid w:val="00B02C8A"/>
    <w:rsid w:val="00B17FBD"/>
    <w:rsid w:val="00B2374B"/>
    <w:rsid w:val="00B315A6"/>
    <w:rsid w:val="00B31813"/>
    <w:rsid w:val="00B33365"/>
    <w:rsid w:val="00B566C5"/>
    <w:rsid w:val="00B57B36"/>
    <w:rsid w:val="00B57E6F"/>
    <w:rsid w:val="00B67909"/>
    <w:rsid w:val="00B82A86"/>
    <w:rsid w:val="00B83333"/>
    <w:rsid w:val="00B8686D"/>
    <w:rsid w:val="00B93F69"/>
    <w:rsid w:val="00BB1DDC"/>
    <w:rsid w:val="00BB539C"/>
    <w:rsid w:val="00BB66A4"/>
    <w:rsid w:val="00BC30C9"/>
    <w:rsid w:val="00BC62EA"/>
    <w:rsid w:val="00BD077D"/>
    <w:rsid w:val="00BD1C7E"/>
    <w:rsid w:val="00BE0C04"/>
    <w:rsid w:val="00BE24B8"/>
    <w:rsid w:val="00BE3E58"/>
    <w:rsid w:val="00BF13CE"/>
    <w:rsid w:val="00C01616"/>
    <w:rsid w:val="00C0162B"/>
    <w:rsid w:val="00C068ED"/>
    <w:rsid w:val="00C22E0C"/>
    <w:rsid w:val="00C24BF9"/>
    <w:rsid w:val="00C345B1"/>
    <w:rsid w:val="00C40142"/>
    <w:rsid w:val="00C43361"/>
    <w:rsid w:val="00C52C3C"/>
    <w:rsid w:val="00C57182"/>
    <w:rsid w:val="00C57863"/>
    <w:rsid w:val="00C640AF"/>
    <w:rsid w:val="00C6517D"/>
    <w:rsid w:val="00C655FD"/>
    <w:rsid w:val="00C70893"/>
    <w:rsid w:val="00C75407"/>
    <w:rsid w:val="00C841C6"/>
    <w:rsid w:val="00C870A8"/>
    <w:rsid w:val="00C94434"/>
    <w:rsid w:val="00C95381"/>
    <w:rsid w:val="00CA0D75"/>
    <w:rsid w:val="00CA1C95"/>
    <w:rsid w:val="00CA5A9C"/>
    <w:rsid w:val="00CA626F"/>
    <w:rsid w:val="00CC07AE"/>
    <w:rsid w:val="00CC4C20"/>
    <w:rsid w:val="00CD3517"/>
    <w:rsid w:val="00CD5FE2"/>
    <w:rsid w:val="00CD7473"/>
    <w:rsid w:val="00CE0CC0"/>
    <w:rsid w:val="00CE7C68"/>
    <w:rsid w:val="00D02B4C"/>
    <w:rsid w:val="00D040C4"/>
    <w:rsid w:val="00D16EE6"/>
    <w:rsid w:val="00D20AD1"/>
    <w:rsid w:val="00D211F3"/>
    <w:rsid w:val="00D2582C"/>
    <w:rsid w:val="00D46B7E"/>
    <w:rsid w:val="00D57C84"/>
    <w:rsid w:val="00D6057D"/>
    <w:rsid w:val="00D60A5C"/>
    <w:rsid w:val="00D71640"/>
    <w:rsid w:val="00D836C5"/>
    <w:rsid w:val="00D84576"/>
    <w:rsid w:val="00D977A6"/>
    <w:rsid w:val="00DA1399"/>
    <w:rsid w:val="00DA24C6"/>
    <w:rsid w:val="00DA4D7B"/>
    <w:rsid w:val="00DB36C5"/>
    <w:rsid w:val="00DC2840"/>
    <w:rsid w:val="00DC69C8"/>
    <w:rsid w:val="00DC73EE"/>
    <w:rsid w:val="00DD271C"/>
    <w:rsid w:val="00DE264A"/>
    <w:rsid w:val="00DF5072"/>
    <w:rsid w:val="00E02D18"/>
    <w:rsid w:val="00E041E7"/>
    <w:rsid w:val="00E21C25"/>
    <w:rsid w:val="00E23CA1"/>
    <w:rsid w:val="00E24B66"/>
    <w:rsid w:val="00E409A8"/>
    <w:rsid w:val="00E41A26"/>
    <w:rsid w:val="00E43503"/>
    <w:rsid w:val="00E43CBE"/>
    <w:rsid w:val="00E50C12"/>
    <w:rsid w:val="00E65B91"/>
    <w:rsid w:val="00E7209D"/>
    <w:rsid w:val="00E72EAD"/>
    <w:rsid w:val="00E77223"/>
    <w:rsid w:val="00E82679"/>
    <w:rsid w:val="00E8528B"/>
    <w:rsid w:val="00E85B94"/>
    <w:rsid w:val="00E978D0"/>
    <w:rsid w:val="00EA4613"/>
    <w:rsid w:val="00EA7F91"/>
    <w:rsid w:val="00EB1523"/>
    <w:rsid w:val="00EB4C5E"/>
    <w:rsid w:val="00EB7CCC"/>
    <w:rsid w:val="00EC0E49"/>
    <w:rsid w:val="00EC101F"/>
    <w:rsid w:val="00EC1D9F"/>
    <w:rsid w:val="00EE0131"/>
    <w:rsid w:val="00EE15DD"/>
    <w:rsid w:val="00EE17B0"/>
    <w:rsid w:val="00EF06D9"/>
    <w:rsid w:val="00EF6641"/>
    <w:rsid w:val="00F01705"/>
    <w:rsid w:val="00F04CD9"/>
    <w:rsid w:val="00F06518"/>
    <w:rsid w:val="00F10755"/>
    <w:rsid w:val="00F1297D"/>
    <w:rsid w:val="00F13016"/>
    <w:rsid w:val="00F13428"/>
    <w:rsid w:val="00F21285"/>
    <w:rsid w:val="00F212E0"/>
    <w:rsid w:val="00F27EE4"/>
    <w:rsid w:val="00F3049E"/>
    <w:rsid w:val="00F30C64"/>
    <w:rsid w:val="00F32BA2"/>
    <w:rsid w:val="00F32CDB"/>
    <w:rsid w:val="00F3740F"/>
    <w:rsid w:val="00F41168"/>
    <w:rsid w:val="00F41EE4"/>
    <w:rsid w:val="00F565FE"/>
    <w:rsid w:val="00F60C28"/>
    <w:rsid w:val="00F61416"/>
    <w:rsid w:val="00F63A70"/>
    <w:rsid w:val="00F63D8C"/>
    <w:rsid w:val="00F7534E"/>
    <w:rsid w:val="00F8592C"/>
    <w:rsid w:val="00F93EDF"/>
    <w:rsid w:val="00FA15DC"/>
    <w:rsid w:val="00FA1802"/>
    <w:rsid w:val="00FA21D0"/>
    <w:rsid w:val="00FA5F5F"/>
    <w:rsid w:val="00FB730C"/>
    <w:rsid w:val="00FC2695"/>
    <w:rsid w:val="00FC2C38"/>
    <w:rsid w:val="00FC3E03"/>
    <w:rsid w:val="00FC3FC1"/>
    <w:rsid w:val="00FE1F7A"/>
    <w:rsid w:val="00FE49DD"/>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1297D"/>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1297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numbering" w:customStyle="1" w:styleId="Listeactuelle1">
    <w:name w:val="Liste actuelle1"/>
    <w:uiPriority w:val="99"/>
    <w:rsid w:val="00F1297D"/>
    <w:pPr>
      <w:numPr>
        <w:numId w:val="25"/>
      </w:numPr>
    </w:pPr>
  </w:style>
  <w:style w:type="numbering" w:customStyle="1" w:styleId="Listeactuelle2">
    <w:name w:val="Liste actuelle2"/>
    <w:uiPriority w:val="99"/>
    <w:rsid w:val="00F1297D"/>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104159864">
      <w:bodyDiv w:val="1"/>
      <w:marLeft w:val="0"/>
      <w:marRight w:val="0"/>
      <w:marTop w:val="0"/>
      <w:marBottom w:val="0"/>
      <w:divBdr>
        <w:top w:val="none" w:sz="0" w:space="0" w:color="auto"/>
        <w:left w:val="none" w:sz="0" w:space="0" w:color="auto"/>
        <w:bottom w:val="none" w:sz="0" w:space="0" w:color="auto"/>
        <w:right w:val="none" w:sz="0" w:space="0" w:color="auto"/>
      </w:divBdr>
      <w:divsChild>
        <w:div w:id="513305591">
          <w:marLeft w:val="0"/>
          <w:marRight w:val="0"/>
          <w:marTop w:val="0"/>
          <w:marBottom w:val="0"/>
          <w:divBdr>
            <w:top w:val="none" w:sz="0" w:space="0" w:color="auto"/>
            <w:left w:val="none" w:sz="0" w:space="0" w:color="auto"/>
            <w:bottom w:val="none" w:sz="0" w:space="0" w:color="auto"/>
            <w:right w:val="none" w:sz="0" w:space="0" w:color="auto"/>
          </w:divBdr>
          <w:divsChild>
            <w:div w:id="1492940489">
              <w:marLeft w:val="0"/>
              <w:marRight w:val="0"/>
              <w:marTop w:val="0"/>
              <w:marBottom w:val="0"/>
              <w:divBdr>
                <w:top w:val="none" w:sz="0" w:space="0" w:color="auto"/>
                <w:left w:val="none" w:sz="0" w:space="0" w:color="auto"/>
                <w:bottom w:val="none" w:sz="0" w:space="0" w:color="auto"/>
                <w:right w:val="none" w:sz="0" w:space="0" w:color="auto"/>
              </w:divBdr>
              <w:divsChild>
                <w:div w:id="3212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0885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48686">
      <w:bodyDiv w:val="1"/>
      <w:marLeft w:val="0"/>
      <w:marRight w:val="0"/>
      <w:marTop w:val="0"/>
      <w:marBottom w:val="0"/>
      <w:divBdr>
        <w:top w:val="none" w:sz="0" w:space="0" w:color="auto"/>
        <w:left w:val="none" w:sz="0" w:space="0" w:color="auto"/>
        <w:bottom w:val="none" w:sz="0" w:space="0" w:color="auto"/>
        <w:right w:val="none" w:sz="0" w:space="0" w:color="auto"/>
      </w:divBdr>
      <w:divsChild>
        <w:div w:id="1879202917">
          <w:marLeft w:val="0"/>
          <w:marRight w:val="0"/>
          <w:marTop w:val="0"/>
          <w:marBottom w:val="0"/>
          <w:divBdr>
            <w:top w:val="none" w:sz="0" w:space="0" w:color="auto"/>
            <w:left w:val="none" w:sz="0" w:space="0" w:color="auto"/>
            <w:bottom w:val="none" w:sz="0" w:space="0" w:color="auto"/>
            <w:right w:val="none" w:sz="0" w:space="0" w:color="auto"/>
          </w:divBdr>
          <w:divsChild>
            <w:div w:id="1940869529">
              <w:marLeft w:val="0"/>
              <w:marRight w:val="0"/>
              <w:marTop w:val="0"/>
              <w:marBottom w:val="0"/>
              <w:divBdr>
                <w:top w:val="none" w:sz="0" w:space="0" w:color="auto"/>
                <w:left w:val="none" w:sz="0" w:space="0" w:color="auto"/>
                <w:bottom w:val="none" w:sz="0" w:space="0" w:color="auto"/>
                <w:right w:val="none" w:sz="0" w:space="0" w:color="auto"/>
              </w:divBdr>
              <w:divsChild>
                <w:div w:id="9801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02124">
      <w:bodyDiv w:val="1"/>
      <w:marLeft w:val="0"/>
      <w:marRight w:val="0"/>
      <w:marTop w:val="0"/>
      <w:marBottom w:val="0"/>
      <w:divBdr>
        <w:top w:val="none" w:sz="0" w:space="0" w:color="auto"/>
        <w:left w:val="none" w:sz="0" w:space="0" w:color="auto"/>
        <w:bottom w:val="none" w:sz="0" w:space="0" w:color="auto"/>
        <w:right w:val="none" w:sz="0" w:space="0" w:color="auto"/>
      </w:divBdr>
      <w:divsChild>
        <w:div w:id="1143082971">
          <w:marLeft w:val="0"/>
          <w:marRight w:val="0"/>
          <w:marTop w:val="0"/>
          <w:marBottom w:val="0"/>
          <w:divBdr>
            <w:top w:val="none" w:sz="0" w:space="0" w:color="auto"/>
            <w:left w:val="none" w:sz="0" w:space="0" w:color="auto"/>
            <w:bottom w:val="none" w:sz="0" w:space="0" w:color="auto"/>
            <w:right w:val="none" w:sz="0" w:space="0" w:color="auto"/>
          </w:divBdr>
          <w:divsChild>
            <w:div w:id="12023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18153">
      <w:bodyDiv w:val="1"/>
      <w:marLeft w:val="0"/>
      <w:marRight w:val="0"/>
      <w:marTop w:val="0"/>
      <w:marBottom w:val="0"/>
      <w:divBdr>
        <w:top w:val="none" w:sz="0" w:space="0" w:color="auto"/>
        <w:left w:val="none" w:sz="0" w:space="0" w:color="auto"/>
        <w:bottom w:val="none" w:sz="0" w:space="0" w:color="auto"/>
        <w:right w:val="none" w:sz="0" w:space="0" w:color="auto"/>
      </w:divBdr>
      <w:divsChild>
        <w:div w:id="348991796">
          <w:marLeft w:val="0"/>
          <w:marRight w:val="0"/>
          <w:marTop w:val="0"/>
          <w:marBottom w:val="0"/>
          <w:divBdr>
            <w:top w:val="none" w:sz="0" w:space="0" w:color="auto"/>
            <w:left w:val="none" w:sz="0" w:space="0" w:color="auto"/>
            <w:bottom w:val="none" w:sz="0" w:space="0" w:color="auto"/>
            <w:right w:val="none" w:sz="0" w:space="0" w:color="auto"/>
          </w:divBdr>
          <w:divsChild>
            <w:div w:id="1224222016">
              <w:marLeft w:val="0"/>
              <w:marRight w:val="0"/>
              <w:marTop w:val="0"/>
              <w:marBottom w:val="0"/>
              <w:divBdr>
                <w:top w:val="none" w:sz="0" w:space="0" w:color="auto"/>
                <w:left w:val="none" w:sz="0" w:space="0" w:color="auto"/>
                <w:bottom w:val="none" w:sz="0" w:space="0" w:color="auto"/>
                <w:right w:val="none" w:sz="0" w:space="0" w:color="auto"/>
              </w:divBdr>
              <w:divsChild>
                <w:div w:id="19947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31070">
      <w:bodyDiv w:val="1"/>
      <w:marLeft w:val="0"/>
      <w:marRight w:val="0"/>
      <w:marTop w:val="0"/>
      <w:marBottom w:val="0"/>
      <w:divBdr>
        <w:top w:val="none" w:sz="0" w:space="0" w:color="auto"/>
        <w:left w:val="none" w:sz="0" w:space="0" w:color="auto"/>
        <w:bottom w:val="none" w:sz="0" w:space="0" w:color="auto"/>
        <w:right w:val="none" w:sz="0" w:space="0" w:color="auto"/>
      </w:divBdr>
      <w:divsChild>
        <w:div w:id="1390615759">
          <w:marLeft w:val="0"/>
          <w:marRight w:val="0"/>
          <w:marTop w:val="0"/>
          <w:marBottom w:val="0"/>
          <w:divBdr>
            <w:top w:val="none" w:sz="0" w:space="0" w:color="auto"/>
            <w:left w:val="none" w:sz="0" w:space="0" w:color="auto"/>
            <w:bottom w:val="none" w:sz="0" w:space="0" w:color="auto"/>
            <w:right w:val="none" w:sz="0" w:space="0" w:color="auto"/>
          </w:divBdr>
          <w:divsChild>
            <w:div w:id="617564087">
              <w:marLeft w:val="0"/>
              <w:marRight w:val="0"/>
              <w:marTop w:val="0"/>
              <w:marBottom w:val="0"/>
              <w:divBdr>
                <w:top w:val="none" w:sz="0" w:space="0" w:color="auto"/>
                <w:left w:val="none" w:sz="0" w:space="0" w:color="auto"/>
                <w:bottom w:val="none" w:sz="0" w:space="0" w:color="auto"/>
                <w:right w:val="none" w:sz="0" w:space="0" w:color="auto"/>
              </w:divBdr>
              <w:divsChild>
                <w:div w:id="3206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79221">
      <w:bodyDiv w:val="1"/>
      <w:marLeft w:val="0"/>
      <w:marRight w:val="0"/>
      <w:marTop w:val="0"/>
      <w:marBottom w:val="0"/>
      <w:divBdr>
        <w:top w:val="none" w:sz="0" w:space="0" w:color="auto"/>
        <w:left w:val="none" w:sz="0" w:space="0" w:color="auto"/>
        <w:bottom w:val="none" w:sz="0" w:space="0" w:color="auto"/>
        <w:right w:val="none" w:sz="0" w:space="0" w:color="auto"/>
      </w:divBdr>
    </w:div>
    <w:div w:id="1305156933">
      <w:bodyDiv w:val="1"/>
      <w:marLeft w:val="0"/>
      <w:marRight w:val="0"/>
      <w:marTop w:val="0"/>
      <w:marBottom w:val="0"/>
      <w:divBdr>
        <w:top w:val="none" w:sz="0" w:space="0" w:color="auto"/>
        <w:left w:val="none" w:sz="0" w:space="0" w:color="auto"/>
        <w:bottom w:val="none" w:sz="0" w:space="0" w:color="auto"/>
        <w:right w:val="none" w:sz="0" w:space="0" w:color="auto"/>
      </w:divBdr>
      <w:divsChild>
        <w:div w:id="1490440967">
          <w:marLeft w:val="0"/>
          <w:marRight w:val="0"/>
          <w:marTop w:val="0"/>
          <w:marBottom w:val="0"/>
          <w:divBdr>
            <w:top w:val="none" w:sz="0" w:space="0" w:color="auto"/>
            <w:left w:val="none" w:sz="0" w:space="0" w:color="auto"/>
            <w:bottom w:val="none" w:sz="0" w:space="0" w:color="auto"/>
            <w:right w:val="none" w:sz="0" w:space="0" w:color="auto"/>
          </w:divBdr>
          <w:divsChild>
            <w:div w:id="1147165805">
              <w:marLeft w:val="0"/>
              <w:marRight w:val="0"/>
              <w:marTop w:val="0"/>
              <w:marBottom w:val="0"/>
              <w:divBdr>
                <w:top w:val="none" w:sz="0" w:space="0" w:color="auto"/>
                <w:left w:val="none" w:sz="0" w:space="0" w:color="auto"/>
                <w:bottom w:val="none" w:sz="0" w:space="0" w:color="auto"/>
                <w:right w:val="none" w:sz="0" w:space="0" w:color="auto"/>
              </w:divBdr>
              <w:divsChild>
                <w:div w:id="14456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6268">
      <w:bodyDiv w:val="1"/>
      <w:marLeft w:val="0"/>
      <w:marRight w:val="0"/>
      <w:marTop w:val="0"/>
      <w:marBottom w:val="0"/>
      <w:divBdr>
        <w:top w:val="none" w:sz="0" w:space="0" w:color="auto"/>
        <w:left w:val="none" w:sz="0" w:space="0" w:color="auto"/>
        <w:bottom w:val="none" w:sz="0" w:space="0" w:color="auto"/>
        <w:right w:val="none" w:sz="0" w:space="0" w:color="auto"/>
      </w:divBdr>
      <w:divsChild>
        <w:div w:id="653799206">
          <w:marLeft w:val="0"/>
          <w:marRight w:val="0"/>
          <w:marTop w:val="0"/>
          <w:marBottom w:val="0"/>
          <w:divBdr>
            <w:top w:val="none" w:sz="0" w:space="0" w:color="auto"/>
            <w:left w:val="none" w:sz="0" w:space="0" w:color="auto"/>
            <w:bottom w:val="none" w:sz="0" w:space="0" w:color="auto"/>
            <w:right w:val="none" w:sz="0" w:space="0" w:color="auto"/>
          </w:divBdr>
          <w:divsChild>
            <w:div w:id="88505464">
              <w:marLeft w:val="0"/>
              <w:marRight w:val="0"/>
              <w:marTop w:val="0"/>
              <w:marBottom w:val="0"/>
              <w:divBdr>
                <w:top w:val="none" w:sz="0" w:space="0" w:color="auto"/>
                <w:left w:val="none" w:sz="0" w:space="0" w:color="auto"/>
                <w:bottom w:val="none" w:sz="0" w:space="0" w:color="auto"/>
                <w:right w:val="none" w:sz="0" w:space="0" w:color="auto"/>
              </w:divBdr>
              <w:divsChild>
                <w:div w:id="20611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072149706">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2807</Words>
  <Characters>16000</Characters>
  <Application>Microsoft Office Word</Application>
  <DocSecurity>0</DocSecurity>
  <Lines>133</Lines>
  <Paragraphs>37</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Sauro Pierucci</cp:lastModifiedBy>
  <cp:revision>4</cp:revision>
  <cp:lastPrinted>2015-05-12T18:31:00Z</cp:lastPrinted>
  <dcterms:created xsi:type="dcterms:W3CDTF">2025-02-10T21:57:00Z</dcterms:created>
  <dcterms:modified xsi:type="dcterms:W3CDTF">2025-04-16T11:42:00Z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