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30F07041" w14:textId="11182ABA" w:rsidR="00F27EE4" w:rsidRPr="00F27EE4" w:rsidRDefault="00AA7D26" w:rsidP="00F27EE4">
            <w:pPr>
              <w:ind w:left="-107"/>
              <w:rPr>
                <w:rFonts w:ascii="Tahoma" w:hAnsi="Tahoma" w:cs="Tahoma"/>
                <w:b/>
                <w:bCs/>
                <w:color w:val="000000"/>
                <w:sz w:val="14"/>
                <w:szCs w:val="14"/>
                <w:shd w:val="clear" w:color="auto" w:fill="FFFFFF"/>
                <w:lang w:val="it-IT"/>
              </w:rPr>
            </w:pPr>
            <w:r w:rsidRPr="00F27EE4">
              <w:rPr>
                <w:rFonts w:ascii="Tahoma" w:hAnsi="Tahoma" w:cs="Tahoma"/>
                <w:iCs/>
                <w:color w:val="333333"/>
                <w:sz w:val="14"/>
                <w:szCs w:val="14"/>
                <w:lang w:val="it-IT" w:eastAsia="it-IT"/>
              </w:rPr>
              <w:t>Guest Editors:</w:t>
            </w:r>
            <w:r w:rsidR="007D610D" w:rsidRPr="00F27EE4">
              <w:rPr>
                <w:rFonts w:ascii="Aptos" w:eastAsiaTheme="minorHAnsi" w:hAnsi="Aptos" w:cs="Aptos"/>
                <w:sz w:val="22"/>
                <w:szCs w:val="22"/>
                <w:lang w:val="it-IT"/>
                <w14:ligatures w14:val="standardContextual"/>
              </w:rPr>
              <w:t xml:space="preserve"> </w:t>
            </w:r>
            <w:r w:rsidR="00F27EE4" w:rsidRPr="00F27EE4">
              <w:rPr>
                <w:rFonts w:ascii="Tahoma" w:hAnsi="Tahoma" w:cs="Tahoma"/>
                <w:color w:val="000000"/>
                <w:sz w:val="14"/>
                <w:szCs w:val="14"/>
                <w:shd w:val="clear" w:color="auto" w:fill="FFFFFF"/>
                <w:lang w:val="it-IT"/>
              </w:rPr>
              <w:t>Bruno Fabiano, Va</w:t>
            </w:r>
            <w:r w:rsidR="00F27EE4">
              <w:rPr>
                <w:rFonts w:ascii="Tahoma" w:hAnsi="Tahoma" w:cs="Tahoma"/>
                <w:color w:val="000000"/>
                <w:sz w:val="14"/>
                <w:szCs w:val="14"/>
                <w:shd w:val="clear" w:color="auto" w:fill="FFFFFF"/>
                <w:lang w:val="it-IT"/>
              </w:rPr>
              <w:t>lerio Cozzani</w:t>
            </w:r>
          </w:p>
          <w:p w14:paraId="1B0F1814" w14:textId="2DB8A072"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F27EE4">
              <w:rPr>
                <w:rFonts w:ascii="Tahoma" w:hAnsi="Tahoma" w:cs="Tahoma"/>
                <w:sz w:val="14"/>
                <w:szCs w:val="14"/>
              </w:rPr>
              <w:t>xx-y</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63153A1E" w:rsidR="00E978D0" w:rsidRPr="00B57B36" w:rsidRDefault="00600535" w:rsidP="00E978D0">
      <w:pPr>
        <w:pStyle w:val="CETTitle"/>
      </w:pPr>
      <w:r w:rsidRPr="00B57B36">
        <w:t>I</w:t>
      </w:r>
      <w:r w:rsidR="00344EE7">
        <w:t>dentification and Control of Combustible Dust Hazards</w:t>
      </w:r>
    </w:p>
    <w:p w14:paraId="0488FED2" w14:textId="40A63B51" w:rsidR="00B57E6F" w:rsidRPr="00B57B36" w:rsidRDefault="00344EE7" w:rsidP="00B57E6F">
      <w:pPr>
        <w:pStyle w:val="CETAuthors"/>
      </w:pPr>
      <w:r>
        <w:t>Paul Amyotte</w:t>
      </w:r>
      <w:r w:rsidR="00B57E6F" w:rsidRPr="00B57B36">
        <w:rPr>
          <w:vertAlign w:val="superscript"/>
        </w:rPr>
        <w:t>a</w:t>
      </w:r>
      <w:r>
        <w:rPr>
          <w:vertAlign w:val="superscript"/>
        </w:rPr>
        <w:t>,</w:t>
      </w:r>
      <w:r w:rsidRPr="00B57B36">
        <w:t>*</w:t>
      </w:r>
      <w:r w:rsidR="00B57E6F" w:rsidRPr="00B57B36">
        <w:t>,</w:t>
      </w:r>
      <w:r>
        <w:t xml:space="preserve"> Mohammad Alauddin</w:t>
      </w:r>
      <w:r>
        <w:rPr>
          <w:vertAlign w:val="superscript"/>
        </w:rPr>
        <w:t>a</w:t>
      </w:r>
      <w:r w:rsidR="00B57E6F" w:rsidRPr="00B57B36">
        <w:t>,</w:t>
      </w:r>
      <w:r>
        <w:t xml:space="preserve"> Chris Cloney</w:t>
      </w:r>
      <w:r>
        <w:rPr>
          <w:vertAlign w:val="superscript"/>
        </w:rPr>
        <w:t>b</w:t>
      </w:r>
      <w:r w:rsidRPr="00B57B36">
        <w:t>,</w:t>
      </w:r>
      <w:r>
        <w:t xml:space="preserve"> Christina Clarke</w:t>
      </w:r>
      <w:r>
        <w:rPr>
          <w:vertAlign w:val="superscript"/>
        </w:rPr>
        <w:t>c</w:t>
      </w:r>
      <w:r w:rsidRPr="00B57B36">
        <w:t>,</w:t>
      </w:r>
      <w:r>
        <w:t xml:space="preserve"> Kayleigh Rayner Brown</w:t>
      </w:r>
      <w:r>
        <w:rPr>
          <w:vertAlign w:val="superscript"/>
        </w:rPr>
        <w:t>d</w:t>
      </w:r>
    </w:p>
    <w:tbl>
      <w:tblPr>
        <w:tblStyle w:val="TableGrid"/>
        <w:tblW w:w="8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40" w:type="dxa"/>
        </w:tblCellMar>
        <w:tblLook w:val="04A0" w:firstRow="1" w:lastRow="0" w:firstColumn="1" w:lastColumn="0" w:noHBand="0" w:noVBand="1"/>
      </w:tblPr>
      <w:tblGrid>
        <w:gridCol w:w="96"/>
        <w:gridCol w:w="8738"/>
      </w:tblGrid>
      <w:tr w:rsidR="00344EE7" w:rsidRPr="00E26A24" w14:paraId="1B439A61" w14:textId="77777777" w:rsidTr="00660A59">
        <w:tc>
          <w:tcPr>
            <w:tcW w:w="96" w:type="dxa"/>
          </w:tcPr>
          <w:p w14:paraId="753FDD4A" w14:textId="77777777" w:rsidR="00344EE7" w:rsidRPr="00E26A24" w:rsidRDefault="00344EE7" w:rsidP="00660A59">
            <w:pPr>
              <w:pStyle w:val="CETAddress"/>
              <w:rPr>
                <w:vertAlign w:val="superscript"/>
              </w:rPr>
            </w:pPr>
            <w:r w:rsidRPr="00E26A24">
              <w:rPr>
                <w:vertAlign w:val="superscript"/>
              </w:rPr>
              <w:t>a</w:t>
            </w:r>
          </w:p>
        </w:tc>
        <w:tc>
          <w:tcPr>
            <w:tcW w:w="8738" w:type="dxa"/>
          </w:tcPr>
          <w:p w14:paraId="2E194A49" w14:textId="30A52BC5" w:rsidR="00344EE7" w:rsidRPr="00E26A24" w:rsidRDefault="00344EE7" w:rsidP="00660A59">
            <w:pPr>
              <w:pStyle w:val="CETAddress"/>
            </w:pPr>
            <w:r>
              <w:t xml:space="preserve">Department of Process Engineering </w:t>
            </w:r>
            <w:r w:rsidR="00DB5D6D">
              <w:t>and</w:t>
            </w:r>
            <w:r>
              <w:t xml:space="preserve"> Applied Science, Dalhousie University, Halifax, NS, Canada</w:t>
            </w:r>
          </w:p>
        </w:tc>
      </w:tr>
      <w:tr w:rsidR="00344EE7" w:rsidRPr="00E26A24" w14:paraId="057048BD" w14:textId="77777777" w:rsidTr="00660A59">
        <w:tc>
          <w:tcPr>
            <w:tcW w:w="96" w:type="dxa"/>
          </w:tcPr>
          <w:p w14:paraId="0B863623" w14:textId="77777777" w:rsidR="00344EE7" w:rsidRPr="00E26A24" w:rsidRDefault="00344EE7" w:rsidP="00660A59">
            <w:pPr>
              <w:pStyle w:val="CETAddress"/>
              <w:rPr>
                <w:vertAlign w:val="superscript"/>
              </w:rPr>
            </w:pPr>
            <w:r w:rsidRPr="00E26A24">
              <w:rPr>
                <w:vertAlign w:val="superscript"/>
              </w:rPr>
              <w:t>b</w:t>
            </w:r>
          </w:p>
        </w:tc>
        <w:tc>
          <w:tcPr>
            <w:tcW w:w="8738" w:type="dxa"/>
          </w:tcPr>
          <w:p w14:paraId="36D7875A" w14:textId="38F1B1A0" w:rsidR="00344EE7" w:rsidRPr="00E26A24" w:rsidRDefault="00344EE7" w:rsidP="00660A59">
            <w:pPr>
              <w:pStyle w:val="CETAddress"/>
            </w:pPr>
            <w:r>
              <w:t>D</w:t>
            </w:r>
            <w:r w:rsidR="002A55F0">
              <w:t>ust</w:t>
            </w:r>
            <w:r w:rsidR="004F0C21">
              <w:t xml:space="preserve"> </w:t>
            </w:r>
            <w:r w:rsidR="002A55F0">
              <w:t>Safety</w:t>
            </w:r>
            <w:r w:rsidR="004F0C21">
              <w:t xml:space="preserve"> </w:t>
            </w:r>
            <w:r w:rsidR="002A55F0">
              <w:t>Science, Halifax, NS, Canada</w:t>
            </w:r>
          </w:p>
        </w:tc>
      </w:tr>
      <w:tr w:rsidR="00344EE7" w:rsidRPr="00E26A24" w14:paraId="49D17829" w14:textId="77777777" w:rsidTr="00660A59">
        <w:tc>
          <w:tcPr>
            <w:tcW w:w="96" w:type="dxa"/>
          </w:tcPr>
          <w:p w14:paraId="3FA32140" w14:textId="77777777" w:rsidR="00344EE7" w:rsidRPr="00E26A24" w:rsidRDefault="00344EE7" w:rsidP="00660A59">
            <w:pPr>
              <w:pStyle w:val="CETAddress"/>
              <w:rPr>
                <w:vertAlign w:val="superscript"/>
              </w:rPr>
            </w:pPr>
            <w:r w:rsidRPr="00E26A24">
              <w:rPr>
                <w:vertAlign w:val="superscript"/>
              </w:rPr>
              <w:t>c</w:t>
            </w:r>
          </w:p>
        </w:tc>
        <w:tc>
          <w:tcPr>
            <w:tcW w:w="8738" w:type="dxa"/>
          </w:tcPr>
          <w:p w14:paraId="703F5CA1" w14:textId="763A584C" w:rsidR="00344EE7" w:rsidRPr="00E26A24" w:rsidRDefault="00693617" w:rsidP="00660A59">
            <w:pPr>
              <w:pStyle w:val="CETAddress"/>
            </w:pPr>
            <w:r>
              <w:t>Coastal Process Safety, Dartmouth, NS, Canada</w:t>
            </w:r>
          </w:p>
        </w:tc>
      </w:tr>
      <w:tr w:rsidR="00344EE7" w:rsidRPr="004F244B" w14:paraId="25C92F4D" w14:textId="77777777" w:rsidTr="00660A59">
        <w:tc>
          <w:tcPr>
            <w:tcW w:w="96" w:type="dxa"/>
          </w:tcPr>
          <w:p w14:paraId="03FB977D" w14:textId="77777777" w:rsidR="00344EE7" w:rsidRPr="00E26A24" w:rsidRDefault="00344EE7" w:rsidP="00660A59">
            <w:pPr>
              <w:pStyle w:val="CETemail"/>
              <w:rPr>
                <w:vertAlign w:val="superscript"/>
              </w:rPr>
            </w:pPr>
            <w:r>
              <w:rPr>
                <w:vertAlign w:val="superscript"/>
              </w:rPr>
              <w:t>d</w:t>
            </w:r>
          </w:p>
        </w:tc>
        <w:tc>
          <w:tcPr>
            <w:tcW w:w="8738" w:type="dxa"/>
          </w:tcPr>
          <w:p w14:paraId="65EF3AAC" w14:textId="5710E821" w:rsidR="00344EE7" w:rsidRDefault="00693617" w:rsidP="00660A59">
            <w:pPr>
              <w:pStyle w:val="CETemail"/>
              <w:spacing w:after="0"/>
            </w:pPr>
            <w:r>
              <w:t>Jensen Hughes</w:t>
            </w:r>
            <w:r w:rsidR="00344EE7">
              <w:t xml:space="preserve">, </w:t>
            </w:r>
            <w:r>
              <w:t>Dartmouth</w:t>
            </w:r>
            <w:r w:rsidR="00344EE7">
              <w:t>, NS, Canada</w:t>
            </w:r>
          </w:p>
          <w:p w14:paraId="25AAD564" w14:textId="77777777" w:rsidR="00344EE7" w:rsidRPr="004F244B" w:rsidRDefault="00344EE7" w:rsidP="00660A59">
            <w:pPr>
              <w:pStyle w:val="CETBodytext"/>
              <w:spacing w:after="240"/>
              <w:rPr>
                <w:sz w:val="16"/>
                <w:szCs w:val="16"/>
                <w:lang w:val="en-GB"/>
              </w:rPr>
            </w:pPr>
            <w:r>
              <w:rPr>
                <w:sz w:val="16"/>
                <w:szCs w:val="16"/>
                <w:lang w:val="en-GB"/>
              </w:rPr>
              <w:t>p</w:t>
            </w:r>
            <w:r w:rsidRPr="004F244B">
              <w:rPr>
                <w:sz w:val="16"/>
                <w:szCs w:val="16"/>
                <w:lang w:val="en-GB"/>
              </w:rPr>
              <w:t>aul.</w:t>
            </w:r>
            <w:r>
              <w:rPr>
                <w:sz w:val="16"/>
                <w:szCs w:val="16"/>
                <w:lang w:val="en-GB"/>
              </w:rPr>
              <w:t>amyotte@dal.ca</w:t>
            </w:r>
          </w:p>
        </w:tc>
      </w:tr>
    </w:tbl>
    <w:p w14:paraId="3C1EA062" w14:textId="451C63E5" w:rsidR="00C311A0" w:rsidRPr="00AB624F" w:rsidRDefault="00AB624F" w:rsidP="00C1289A">
      <w:pPr>
        <w:rPr>
          <w:rFonts w:cs="Arial"/>
          <w:szCs w:val="18"/>
        </w:rPr>
      </w:pPr>
      <w:r>
        <w:rPr>
          <w:rFonts w:cs="Arial"/>
          <w:szCs w:val="18"/>
        </w:rPr>
        <w:t>Th</w:t>
      </w:r>
      <w:r w:rsidR="006F4B15">
        <w:rPr>
          <w:rFonts w:cs="Arial"/>
          <w:szCs w:val="18"/>
        </w:rPr>
        <w:t xml:space="preserve">is </w:t>
      </w:r>
      <w:r>
        <w:rPr>
          <w:rFonts w:cs="Arial"/>
          <w:szCs w:val="18"/>
        </w:rPr>
        <w:t>paper describes application of a Plan/Do/Check/Act</w:t>
      </w:r>
      <w:r w:rsidR="00C311A0">
        <w:rPr>
          <w:rFonts w:cs="Arial"/>
          <w:szCs w:val="18"/>
        </w:rPr>
        <w:t xml:space="preserve"> </w:t>
      </w:r>
      <w:r>
        <w:rPr>
          <w:rFonts w:cs="Arial"/>
          <w:szCs w:val="18"/>
        </w:rPr>
        <w:t>training scheme to the identification</w:t>
      </w:r>
      <w:r w:rsidR="00C311A0">
        <w:rPr>
          <w:rFonts w:cs="Arial"/>
          <w:szCs w:val="18"/>
        </w:rPr>
        <w:t xml:space="preserve"> of combustible dust hazards and the prevention and mitigation of combustible dust fire and explosion risks</w:t>
      </w:r>
      <w:r>
        <w:rPr>
          <w:rFonts w:cs="Arial"/>
          <w:szCs w:val="18"/>
        </w:rPr>
        <w:t xml:space="preserve">. The geographical focus of the research </w:t>
      </w:r>
      <w:r w:rsidR="00C311A0">
        <w:rPr>
          <w:rFonts w:cs="Arial"/>
          <w:szCs w:val="18"/>
        </w:rPr>
        <w:t xml:space="preserve">is the eastern Canadian province of Nova Scotia. It was determined that over the 20-year period from 2003 – 2023, wood, paper, and grain processing industries contributed significantly to the data base of combustible dust incidents (in addition to several coal mine explosions in prior years). This finding, along with the results of a combustible dust regulatory </w:t>
      </w:r>
      <w:r w:rsidR="00E03FC0">
        <w:rPr>
          <w:rFonts w:cs="Arial"/>
          <w:szCs w:val="18"/>
        </w:rPr>
        <w:t>analysis</w:t>
      </w:r>
      <w:r w:rsidR="00C311A0">
        <w:rPr>
          <w:rFonts w:cs="Arial"/>
          <w:szCs w:val="18"/>
        </w:rPr>
        <w:t>, formed the basis for development of eight training modules and three</w:t>
      </w:r>
      <w:r w:rsidR="0088377E">
        <w:rPr>
          <w:rFonts w:cs="Arial"/>
          <w:szCs w:val="18"/>
        </w:rPr>
        <w:t xml:space="preserve"> one-page</w:t>
      </w:r>
      <w:r w:rsidR="00C311A0">
        <w:rPr>
          <w:rFonts w:cs="Arial"/>
          <w:szCs w:val="18"/>
        </w:rPr>
        <w:t xml:space="preserve"> guidesheets centred on the fundamental rights of frontline workers to know about hazards, participate in </w:t>
      </w:r>
      <w:r w:rsidR="006F4B15">
        <w:rPr>
          <w:rFonts w:cs="Arial"/>
          <w:szCs w:val="18"/>
        </w:rPr>
        <w:t>hazard remediation, and refuse work with unacceptable risk</w:t>
      </w:r>
      <w:r w:rsidR="0088377E">
        <w:rPr>
          <w:rFonts w:cs="Arial"/>
          <w:szCs w:val="18"/>
        </w:rPr>
        <w:t xml:space="preserve"> – all </w:t>
      </w:r>
      <w:r w:rsidR="006F4B15">
        <w:rPr>
          <w:rFonts w:cs="Arial"/>
          <w:szCs w:val="18"/>
        </w:rPr>
        <w:t>in relation to combustible dusts.</w:t>
      </w:r>
    </w:p>
    <w:p w14:paraId="476B2F2E" w14:textId="52B36035" w:rsidR="00600535" w:rsidRDefault="00600535" w:rsidP="00B45C29">
      <w:pPr>
        <w:pStyle w:val="CETHeading1"/>
        <w:spacing w:line="264" w:lineRule="auto"/>
        <w:rPr>
          <w:lang w:val="en-GB"/>
        </w:rPr>
      </w:pPr>
      <w:r w:rsidRPr="00B57B36">
        <w:rPr>
          <w:lang w:val="en-GB"/>
        </w:rPr>
        <w:t>Introduction</w:t>
      </w:r>
    </w:p>
    <w:p w14:paraId="09277513" w14:textId="533D4786" w:rsidR="00925054" w:rsidRPr="00925054" w:rsidRDefault="00925054" w:rsidP="00B45C29">
      <w:pPr>
        <w:rPr>
          <w:rFonts w:cs="Arial"/>
          <w:bCs/>
          <w:color w:val="000000"/>
          <w:szCs w:val="18"/>
        </w:rPr>
      </w:pPr>
      <w:r w:rsidRPr="00925054">
        <w:rPr>
          <w:rFonts w:cs="Arial"/>
          <w:bCs/>
          <w:color w:val="000000"/>
          <w:szCs w:val="18"/>
        </w:rPr>
        <w:t>A comprehensive</w:t>
      </w:r>
      <w:r>
        <w:rPr>
          <w:rFonts w:cs="Arial"/>
          <w:bCs/>
          <w:color w:val="000000"/>
          <w:szCs w:val="18"/>
        </w:rPr>
        <w:t xml:space="preserve"> </w:t>
      </w:r>
      <w:r w:rsidRPr="00925054">
        <w:rPr>
          <w:rFonts w:cs="Arial"/>
          <w:bCs/>
          <w:color w:val="000000"/>
          <w:szCs w:val="18"/>
        </w:rPr>
        <w:t>research project</w:t>
      </w:r>
      <w:r w:rsidR="00C228CB">
        <w:rPr>
          <w:rFonts w:cs="Arial"/>
          <w:bCs/>
          <w:color w:val="000000"/>
          <w:szCs w:val="18"/>
        </w:rPr>
        <w:t xml:space="preserve"> </w:t>
      </w:r>
      <w:r w:rsidRPr="00925054">
        <w:rPr>
          <w:rFonts w:cs="Arial"/>
          <w:bCs/>
          <w:color w:val="000000"/>
          <w:szCs w:val="18"/>
        </w:rPr>
        <w:t xml:space="preserve">has been undertaken to address the occurrence of dust </w:t>
      </w:r>
      <w:r w:rsidR="00AB624F">
        <w:rPr>
          <w:rFonts w:cs="Arial"/>
          <w:bCs/>
          <w:color w:val="000000"/>
          <w:szCs w:val="18"/>
        </w:rPr>
        <w:t xml:space="preserve">fires and </w:t>
      </w:r>
      <w:r w:rsidRPr="00925054">
        <w:rPr>
          <w:rFonts w:cs="Arial"/>
          <w:bCs/>
          <w:color w:val="000000"/>
          <w:szCs w:val="18"/>
        </w:rPr>
        <w:t>explosions in industrial enterprises located in the province of Nova Scotia</w:t>
      </w:r>
      <w:r w:rsidR="00BB257D">
        <w:rPr>
          <w:rFonts w:cs="Arial"/>
          <w:bCs/>
          <w:color w:val="000000"/>
          <w:szCs w:val="18"/>
        </w:rPr>
        <w:t>, Canada</w:t>
      </w:r>
      <w:r w:rsidRPr="00925054">
        <w:rPr>
          <w:rFonts w:cs="Arial"/>
          <w:bCs/>
          <w:color w:val="000000"/>
          <w:szCs w:val="18"/>
        </w:rPr>
        <w:t>.</w:t>
      </w:r>
      <w:r>
        <w:rPr>
          <w:rFonts w:cs="Arial"/>
          <w:bCs/>
          <w:color w:val="000000"/>
          <w:szCs w:val="18"/>
        </w:rPr>
        <w:t xml:space="preserve"> </w:t>
      </w:r>
      <w:r w:rsidRPr="00925054">
        <w:rPr>
          <w:rFonts w:cs="Arial"/>
          <w:bCs/>
          <w:color w:val="000000"/>
          <w:szCs w:val="18"/>
        </w:rPr>
        <w:t>The primary</w:t>
      </w:r>
      <w:r w:rsidR="00C228CB">
        <w:rPr>
          <w:rFonts w:cs="Arial"/>
          <w:bCs/>
          <w:color w:val="000000"/>
          <w:szCs w:val="18"/>
        </w:rPr>
        <w:t xml:space="preserve"> goal</w:t>
      </w:r>
      <w:r w:rsidRPr="00925054">
        <w:rPr>
          <w:rFonts w:cs="Arial"/>
          <w:bCs/>
          <w:color w:val="000000"/>
          <w:szCs w:val="18"/>
        </w:rPr>
        <w:t xml:space="preserve"> is to provide the local workforce with up-to-date guidance on the identification of combustible dust hazards and appropriate control measures to prevent dust fires and explosions. We also aim to facilitate protection of</w:t>
      </w:r>
      <w:r w:rsidR="00BB257D">
        <w:rPr>
          <w:rFonts w:cs="Arial"/>
          <w:bCs/>
          <w:color w:val="000000"/>
          <w:szCs w:val="18"/>
        </w:rPr>
        <w:t xml:space="preserve"> </w:t>
      </w:r>
      <w:r w:rsidRPr="00925054">
        <w:rPr>
          <w:rFonts w:cs="Arial"/>
          <w:bCs/>
          <w:color w:val="000000"/>
          <w:szCs w:val="18"/>
        </w:rPr>
        <w:t xml:space="preserve">workers from the consequences of dust fires and explosions, which </w:t>
      </w:r>
      <w:r w:rsidRPr="00925054">
        <w:rPr>
          <w:rFonts w:eastAsia="Calibri" w:cs="Arial"/>
          <w:color w:val="0E0E0E"/>
          <w:w w:val="105"/>
          <w:szCs w:val="18"/>
          <w:lang w:eastAsia="zh-CN"/>
        </w:rPr>
        <w:t>are</w:t>
      </w:r>
      <w:r w:rsidRPr="00925054">
        <w:rPr>
          <w:rFonts w:eastAsia="Calibri" w:cs="Arial"/>
          <w:color w:val="0E0E0E"/>
          <w:spacing w:val="-15"/>
          <w:w w:val="105"/>
          <w:szCs w:val="18"/>
          <w:lang w:eastAsia="zh-CN"/>
        </w:rPr>
        <w:t xml:space="preserve"> </w:t>
      </w:r>
      <w:r>
        <w:rPr>
          <w:rFonts w:eastAsia="Calibri" w:cs="Arial"/>
          <w:color w:val="0E0E0E"/>
          <w:w w:val="105"/>
          <w:szCs w:val="18"/>
          <w:lang w:eastAsia="zh-CN"/>
        </w:rPr>
        <w:t>typically</w:t>
      </w:r>
      <w:r w:rsidRPr="00925054">
        <w:rPr>
          <w:rFonts w:eastAsia="Calibri" w:cs="Arial"/>
          <w:color w:val="0E0E0E"/>
          <w:spacing w:val="-2"/>
          <w:w w:val="105"/>
          <w:szCs w:val="18"/>
          <w:lang w:eastAsia="zh-CN"/>
        </w:rPr>
        <w:t xml:space="preserve"> </w:t>
      </w:r>
      <w:r w:rsidRPr="00925054">
        <w:rPr>
          <w:rFonts w:eastAsia="Calibri" w:cs="Arial"/>
          <w:color w:val="0E0E0E"/>
          <w:w w:val="105"/>
          <w:szCs w:val="18"/>
          <w:lang w:eastAsia="zh-CN"/>
        </w:rPr>
        <w:t>viewed</w:t>
      </w:r>
      <w:r w:rsidRPr="00925054">
        <w:rPr>
          <w:rFonts w:eastAsia="Calibri" w:cs="Arial"/>
          <w:color w:val="0E0E0E"/>
          <w:spacing w:val="-5"/>
          <w:w w:val="105"/>
          <w:szCs w:val="18"/>
          <w:lang w:eastAsia="zh-CN"/>
        </w:rPr>
        <w:t xml:space="preserve"> </w:t>
      </w:r>
      <w:r w:rsidRPr="00925054">
        <w:rPr>
          <w:rFonts w:eastAsia="Calibri" w:cs="Arial"/>
          <w:color w:val="0E0E0E"/>
          <w:w w:val="105"/>
          <w:szCs w:val="18"/>
          <w:lang w:eastAsia="zh-CN"/>
        </w:rPr>
        <w:t>as</w:t>
      </w:r>
      <w:r w:rsidRPr="00925054">
        <w:rPr>
          <w:rFonts w:eastAsia="Calibri" w:cs="Arial"/>
          <w:color w:val="0E0E0E"/>
          <w:spacing w:val="-13"/>
          <w:w w:val="105"/>
          <w:szCs w:val="18"/>
          <w:lang w:eastAsia="zh-CN"/>
        </w:rPr>
        <w:t xml:space="preserve"> </w:t>
      </w:r>
      <w:r w:rsidRPr="00925054">
        <w:rPr>
          <w:rFonts w:eastAsia="Calibri" w:cs="Arial"/>
          <w:color w:val="0E0E0E"/>
          <w:w w:val="105"/>
          <w:szCs w:val="18"/>
          <w:lang w:eastAsia="zh-CN"/>
        </w:rPr>
        <w:t>process</w:t>
      </w:r>
      <w:r w:rsidRPr="00925054">
        <w:rPr>
          <w:rFonts w:eastAsia="Calibri" w:cs="Arial"/>
          <w:color w:val="0E0E0E"/>
          <w:spacing w:val="-3"/>
          <w:w w:val="105"/>
          <w:szCs w:val="18"/>
          <w:lang w:eastAsia="zh-CN"/>
        </w:rPr>
        <w:t xml:space="preserve"> </w:t>
      </w:r>
      <w:r w:rsidR="00BB257D">
        <w:rPr>
          <w:rFonts w:eastAsia="Calibri" w:cs="Arial"/>
          <w:color w:val="0E0E0E"/>
          <w:w w:val="105"/>
          <w:szCs w:val="18"/>
          <w:lang w:eastAsia="zh-CN"/>
        </w:rPr>
        <w:t xml:space="preserve">safety </w:t>
      </w:r>
      <w:r w:rsidRPr="00925054">
        <w:rPr>
          <w:rFonts w:eastAsia="Calibri" w:cs="Arial"/>
          <w:color w:val="0E0E0E"/>
          <w:w w:val="105"/>
          <w:szCs w:val="18"/>
          <w:lang w:eastAsia="zh-CN"/>
        </w:rPr>
        <w:t>incident</w:t>
      </w:r>
      <w:r w:rsidR="00C228CB">
        <w:rPr>
          <w:rFonts w:eastAsia="Calibri" w:cs="Arial"/>
          <w:color w:val="0E0E0E"/>
          <w:w w:val="105"/>
          <w:szCs w:val="18"/>
          <w:lang w:eastAsia="zh-CN"/>
        </w:rPr>
        <w:t xml:space="preserve">s arising due to </w:t>
      </w:r>
      <w:r w:rsidR="00BB257D">
        <w:rPr>
          <w:rFonts w:eastAsia="Calibri" w:cs="Arial"/>
          <w:color w:val="0E0E0E"/>
          <w:w w:val="105"/>
          <w:szCs w:val="18"/>
          <w:lang w:eastAsia="zh-CN"/>
        </w:rPr>
        <w:t xml:space="preserve">completion </w:t>
      </w:r>
      <w:r w:rsidR="00C228CB">
        <w:rPr>
          <w:rFonts w:eastAsia="Calibri" w:cs="Arial"/>
          <w:color w:val="0E0E0E"/>
          <w:w w:val="105"/>
          <w:szCs w:val="18"/>
          <w:lang w:eastAsia="zh-CN"/>
        </w:rPr>
        <w:t>of the explosion pentagon</w:t>
      </w:r>
      <w:r w:rsidR="00BB257D">
        <w:rPr>
          <w:rFonts w:eastAsia="Calibri" w:cs="Arial"/>
          <w:color w:val="0E0E0E"/>
          <w:w w:val="105"/>
          <w:szCs w:val="18"/>
          <w:lang w:eastAsia="zh-CN"/>
        </w:rPr>
        <w:t xml:space="preserve"> (</w:t>
      </w:r>
      <w:r w:rsidR="00C228CB">
        <w:rPr>
          <w:rFonts w:eastAsia="Calibri" w:cs="Arial"/>
          <w:color w:val="0E0E0E"/>
          <w:w w:val="105"/>
          <w:szCs w:val="18"/>
          <w:lang w:eastAsia="zh-CN"/>
        </w:rPr>
        <w:t>Figure 1</w:t>
      </w:r>
      <w:r w:rsidR="00BB257D">
        <w:rPr>
          <w:rFonts w:eastAsia="Calibri" w:cs="Arial"/>
          <w:color w:val="0E0E0E"/>
          <w:w w:val="105"/>
          <w:szCs w:val="18"/>
          <w:lang w:eastAsia="zh-CN"/>
        </w:rPr>
        <w:t>)</w:t>
      </w:r>
      <w:r w:rsidR="00C228CB">
        <w:rPr>
          <w:rFonts w:eastAsia="Calibri" w:cs="Arial"/>
          <w:color w:val="0E0E0E"/>
          <w:w w:val="105"/>
          <w:szCs w:val="18"/>
          <w:lang w:eastAsia="zh-CN"/>
        </w:rPr>
        <w:t xml:space="preserve">. Although </w:t>
      </w:r>
      <w:r w:rsidRPr="00925054">
        <w:rPr>
          <w:rFonts w:eastAsia="Calibri" w:cs="Arial"/>
          <w:color w:val="0E0E0E"/>
          <w:w w:val="105"/>
          <w:szCs w:val="18"/>
          <w:lang w:eastAsia="zh-CN"/>
        </w:rPr>
        <w:t>most</w:t>
      </w:r>
      <w:r w:rsidRPr="00925054">
        <w:rPr>
          <w:rFonts w:eastAsia="Calibri" w:cs="Arial"/>
          <w:color w:val="0E0E0E"/>
          <w:spacing w:val="-6"/>
          <w:w w:val="105"/>
          <w:szCs w:val="18"/>
          <w:lang w:eastAsia="zh-CN"/>
        </w:rPr>
        <w:t xml:space="preserve"> </w:t>
      </w:r>
      <w:r w:rsidRPr="00925054">
        <w:rPr>
          <w:rFonts w:eastAsia="Calibri" w:cs="Arial"/>
          <w:color w:val="0E0E0E"/>
          <w:w w:val="105"/>
          <w:szCs w:val="18"/>
          <w:lang w:eastAsia="zh-CN"/>
        </w:rPr>
        <w:t>effectively</w:t>
      </w:r>
      <w:r w:rsidRPr="00925054">
        <w:rPr>
          <w:rFonts w:eastAsia="Calibri" w:cs="Arial"/>
          <w:color w:val="0E0E0E"/>
          <w:spacing w:val="-1"/>
          <w:w w:val="105"/>
          <w:szCs w:val="18"/>
          <w:lang w:eastAsia="zh-CN"/>
        </w:rPr>
        <w:t xml:space="preserve"> </w:t>
      </w:r>
      <w:r w:rsidRPr="00925054">
        <w:rPr>
          <w:rFonts w:eastAsia="Calibri" w:cs="Arial"/>
          <w:color w:val="0E0E0E"/>
          <w:w w:val="105"/>
          <w:szCs w:val="18"/>
          <w:lang w:eastAsia="zh-CN"/>
        </w:rPr>
        <w:t>addressed</w:t>
      </w:r>
      <w:r w:rsidRPr="00925054">
        <w:rPr>
          <w:rFonts w:eastAsia="Calibri" w:cs="Arial"/>
          <w:color w:val="0E0E0E"/>
          <w:spacing w:val="-3"/>
          <w:w w:val="105"/>
          <w:szCs w:val="18"/>
          <w:lang w:eastAsia="zh-CN"/>
        </w:rPr>
        <w:t xml:space="preserve"> </w:t>
      </w:r>
      <w:r w:rsidR="00BB257D">
        <w:rPr>
          <w:rFonts w:eastAsia="Calibri" w:cs="Arial"/>
          <w:color w:val="0E0E0E"/>
          <w:w w:val="105"/>
          <w:szCs w:val="18"/>
          <w:lang w:eastAsia="zh-CN"/>
        </w:rPr>
        <w:t>by</w:t>
      </w:r>
      <w:r w:rsidRPr="00925054">
        <w:rPr>
          <w:rFonts w:eastAsia="Calibri" w:cs="Arial"/>
          <w:color w:val="0E0E0E"/>
          <w:w w:val="105"/>
          <w:szCs w:val="18"/>
          <w:lang w:eastAsia="zh-CN"/>
        </w:rPr>
        <w:t xml:space="preserve"> a</w:t>
      </w:r>
      <w:r w:rsidRPr="00925054">
        <w:rPr>
          <w:rFonts w:eastAsia="Calibri" w:cs="Arial"/>
          <w:color w:val="0E0E0E"/>
          <w:spacing w:val="-14"/>
          <w:w w:val="105"/>
          <w:szCs w:val="18"/>
          <w:lang w:eastAsia="zh-CN"/>
        </w:rPr>
        <w:t xml:space="preserve"> </w:t>
      </w:r>
      <w:r w:rsidRPr="00925054">
        <w:rPr>
          <w:rFonts w:eastAsia="Calibri" w:cs="Arial"/>
          <w:color w:val="0E0E0E"/>
          <w:w w:val="105"/>
          <w:szCs w:val="18"/>
          <w:lang w:eastAsia="zh-CN"/>
        </w:rPr>
        <w:t>safety</w:t>
      </w:r>
      <w:r w:rsidRPr="00925054">
        <w:rPr>
          <w:rFonts w:eastAsia="Calibri" w:cs="Arial"/>
          <w:color w:val="0E0E0E"/>
          <w:spacing w:val="-5"/>
          <w:w w:val="105"/>
          <w:szCs w:val="18"/>
          <w:lang w:eastAsia="zh-CN"/>
        </w:rPr>
        <w:t xml:space="preserve"> </w:t>
      </w:r>
      <w:r w:rsidRPr="00925054">
        <w:rPr>
          <w:rFonts w:eastAsia="Calibri" w:cs="Arial"/>
          <w:color w:val="0E0E0E"/>
          <w:w w:val="105"/>
          <w:szCs w:val="18"/>
          <w:lang w:eastAsia="zh-CN"/>
        </w:rPr>
        <w:t>management</w:t>
      </w:r>
      <w:r w:rsidRPr="00925054">
        <w:rPr>
          <w:rFonts w:eastAsia="Calibri" w:cs="Arial"/>
          <w:color w:val="0E0E0E"/>
          <w:spacing w:val="9"/>
          <w:w w:val="105"/>
          <w:szCs w:val="18"/>
          <w:lang w:eastAsia="zh-CN"/>
        </w:rPr>
        <w:t xml:space="preserve"> </w:t>
      </w:r>
      <w:r w:rsidRPr="00925054">
        <w:rPr>
          <w:rFonts w:eastAsia="Calibri" w:cs="Arial"/>
          <w:color w:val="0E0E0E"/>
          <w:w w:val="105"/>
          <w:szCs w:val="18"/>
          <w:lang w:eastAsia="zh-CN"/>
        </w:rPr>
        <w:t>system</w:t>
      </w:r>
      <w:r w:rsidRPr="00925054">
        <w:rPr>
          <w:rFonts w:eastAsia="Calibri" w:cs="Arial"/>
          <w:color w:val="0E0E0E"/>
          <w:spacing w:val="-13"/>
          <w:w w:val="105"/>
          <w:szCs w:val="18"/>
          <w:lang w:eastAsia="zh-CN"/>
        </w:rPr>
        <w:t xml:space="preserve"> </w:t>
      </w:r>
      <w:r w:rsidRPr="00925054">
        <w:rPr>
          <w:rFonts w:eastAsia="Calibri" w:cs="Arial"/>
          <w:color w:val="0E0E0E"/>
          <w:w w:val="105"/>
          <w:szCs w:val="18"/>
          <w:lang w:eastAsia="zh-CN"/>
        </w:rPr>
        <w:t>approach,</w:t>
      </w:r>
      <w:r w:rsidR="00C228CB">
        <w:rPr>
          <w:rFonts w:eastAsia="Calibri" w:cs="Arial"/>
          <w:color w:val="0E0E0E"/>
          <w:w w:val="105"/>
          <w:szCs w:val="18"/>
          <w:lang w:eastAsia="zh-CN"/>
        </w:rPr>
        <w:t xml:space="preserve"> there remains</w:t>
      </w:r>
      <w:r w:rsidRPr="00925054">
        <w:rPr>
          <w:rFonts w:eastAsia="Calibri" w:cs="Arial"/>
          <w:color w:val="0E0E0E"/>
          <w:spacing w:val="-4"/>
          <w:w w:val="105"/>
          <w:szCs w:val="18"/>
          <w:lang w:eastAsia="zh-CN"/>
        </w:rPr>
        <w:t xml:space="preserve"> </w:t>
      </w:r>
      <w:r w:rsidRPr="00925054">
        <w:rPr>
          <w:rFonts w:eastAsia="Calibri" w:cs="Arial"/>
          <w:color w:val="0E0E0E"/>
          <w:w w:val="105"/>
          <w:szCs w:val="18"/>
          <w:lang w:eastAsia="zh-CN"/>
        </w:rPr>
        <w:t>a</w:t>
      </w:r>
      <w:r w:rsidRPr="00925054">
        <w:rPr>
          <w:rFonts w:eastAsia="Calibri" w:cs="Arial"/>
          <w:color w:val="0E0E0E"/>
          <w:spacing w:val="-14"/>
          <w:w w:val="105"/>
          <w:szCs w:val="18"/>
          <w:lang w:eastAsia="zh-CN"/>
        </w:rPr>
        <w:t xml:space="preserve"> </w:t>
      </w:r>
      <w:r w:rsidRPr="00925054">
        <w:rPr>
          <w:rFonts w:eastAsia="Calibri" w:cs="Arial"/>
          <w:color w:val="0E0E0E"/>
          <w:w w:val="105"/>
          <w:szCs w:val="18"/>
          <w:lang w:eastAsia="zh-CN"/>
        </w:rPr>
        <w:t>strong</w:t>
      </w:r>
      <w:r w:rsidRPr="00925054">
        <w:rPr>
          <w:rFonts w:eastAsia="Calibri" w:cs="Arial"/>
          <w:color w:val="0E0E0E"/>
          <w:spacing w:val="-8"/>
          <w:w w:val="105"/>
          <w:szCs w:val="18"/>
          <w:lang w:eastAsia="zh-CN"/>
        </w:rPr>
        <w:t xml:space="preserve"> </w:t>
      </w:r>
      <w:r w:rsidRPr="00925054">
        <w:rPr>
          <w:rFonts w:eastAsia="Calibri" w:cs="Arial"/>
          <w:color w:val="0E0E0E"/>
          <w:w w:val="105"/>
          <w:szCs w:val="18"/>
          <w:lang w:eastAsia="zh-CN"/>
        </w:rPr>
        <w:t>occupational</w:t>
      </w:r>
      <w:r w:rsidR="00C228CB">
        <w:rPr>
          <w:rFonts w:eastAsia="Calibri" w:cs="Arial"/>
          <w:color w:val="0E0E0E"/>
          <w:w w:val="105"/>
          <w:szCs w:val="18"/>
          <w:lang w:eastAsia="zh-CN"/>
        </w:rPr>
        <w:t xml:space="preserve"> </w:t>
      </w:r>
      <w:r w:rsidRPr="00925054">
        <w:rPr>
          <w:rFonts w:eastAsia="Calibri" w:cs="Arial"/>
          <w:color w:val="0E0E0E"/>
          <w:w w:val="105"/>
          <w:szCs w:val="18"/>
          <w:lang w:eastAsia="zh-CN"/>
        </w:rPr>
        <w:t>safety</w:t>
      </w:r>
      <w:r w:rsidRPr="00925054">
        <w:rPr>
          <w:rFonts w:eastAsia="Calibri" w:cs="Arial"/>
          <w:color w:val="0E0E0E"/>
          <w:spacing w:val="-10"/>
          <w:w w:val="105"/>
          <w:szCs w:val="18"/>
          <w:lang w:eastAsia="zh-CN"/>
        </w:rPr>
        <w:t xml:space="preserve"> </w:t>
      </w:r>
      <w:r w:rsidRPr="00925054">
        <w:rPr>
          <w:rFonts w:eastAsia="Calibri" w:cs="Arial"/>
          <w:color w:val="0E0E0E"/>
          <w:w w:val="105"/>
          <w:szCs w:val="18"/>
          <w:lang w:eastAsia="zh-CN"/>
        </w:rPr>
        <w:t>component to</w:t>
      </w:r>
      <w:r w:rsidRPr="00925054">
        <w:rPr>
          <w:rFonts w:eastAsia="Calibri" w:cs="Arial"/>
          <w:color w:val="0E0E0E"/>
          <w:spacing w:val="-11"/>
          <w:w w:val="105"/>
          <w:szCs w:val="18"/>
          <w:lang w:eastAsia="zh-CN"/>
        </w:rPr>
        <w:t xml:space="preserve"> </w:t>
      </w:r>
      <w:r w:rsidRPr="00925054">
        <w:rPr>
          <w:rFonts w:eastAsia="Calibri" w:cs="Arial"/>
          <w:color w:val="0E0E0E"/>
          <w:w w:val="105"/>
          <w:szCs w:val="18"/>
          <w:lang w:eastAsia="zh-CN"/>
        </w:rPr>
        <w:t>reducing</w:t>
      </w:r>
      <w:r w:rsidRPr="00925054">
        <w:rPr>
          <w:rFonts w:eastAsia="Calibri" w:cs="Arial"/>
          <w:color w:val="0E0E0E"/>
          <w:spacing w:val="-5"/>
          <w:w w:val="105"/>
          <w:szCs w:val="18"/>
          <w:lang w:eastAsia="zh-CN"/>
        </w:rPr>
        <w:t xml:space="preserve"> </w:t>
      </w:r>
      <w:r w:rsidRPr="00925054">
        <w:rPr>
          <w:rFonts w:eastAsia="Calibri" w:cs="Arial"/>
          <w:color w:val="0E0E0E"/>
          <w:w w:val="105"/>
          <w:szCs w:val="18"/>
          <w:lang w:eastAsia="zh-CN"/>
        </w:rPr>
        <w:t>the</w:t>
      </w:r>
      <w:r w:rsidRPr="00925054">
        <w:rPr>
          <w:rFonts w:eastAsia="Calibri" w:cs="Arial"/>
          <w:color w:val="0E0E0E"/>
          <w:spacing w:val="-12"/>
          <w:w w:val="105"/>
          <w:szCs w:val="18"/>
          <w:lang w:eastAsia="zh-CN"/>
        </w:rPr>
        <w:t xml:space="preserve"> </w:t>
      </w:r>
      <w:r w:rsidRPr="00925054">
        <w:rPr>
          <w:rFonts w:eastAsia="Calibri" w:cs="Arial"/>
          <w:color w:val="0E0E0E"/>
          <w:w w:val="105"/>
          <w:szCs w:val="18"/>
          <w:lang w:eastAsia="zh-CN"/>
        </w:rPr>
        <w:t>risk</w:t>
      </w:r>
      <w:r w:rsidRPr="00925054">
        <w:rPr>
          <w:rFonts w:eastAsia="Calibri" w:cs="Arial"/>
          <w:color w:val="0E0E0E"/>
          <w:spacing w:val="-5"/>
          <w:w w:val="105"/>
          <w:szCs w:val="18"/>
          <w:lang w:eastAsia="zh-CN"/>
        </w:rPr>
        <w:t xml:space="preserve"> </w:t>
      </w:r>
      <w:r w:rsidRPr="00925054">
        <w:rPr>
          <w:rFonts w:eastAsia="Calibri" w:cs="Arial"/>
          <w:color w:val="0E0E0E"/>
          <w:w w:val="105"/>
          <w:szCs w:val="18"/>
          <w:lang w:eastAsia="zh-CN"/>
        </w:rPr>
        <w:t>from</w:t>
      </w:r>
      <w:r w:rsidRPr="00925054">
        <w:rPr>
          <w:rFonts w:eastAsia="Calibri" w:cs="Arial"/>
          <w:color w:val="0E0E0E"/>
          <w:spacing w:val="-13"/>
          <w:w w:val="105"/>
          <w:szCs w:val="18"/>
          <w:lang w:eastAsia="zh-CN"/>
        </w:rPr>
        <w:t xml:space="preserve"> </w:t>
      </w:r>
      <w:r w:rsidRPr="00925054">
        <w:rPr>
          <w:rFonts w:eastAsia="Calibri" w:cs="Arial"/>
          <w:color w:val="0E0E0E"/>
          <w:w w:val="105"/>
          <w:szCs w:val="18"/>
          <w:lang w:eastAsia="zh-CN"/>
        </w:rPr>
        <w:t>combustible</w:t>
      </w:r>
      <w:r w:rsidRPr="00925054">
        <w:rPr>
          <w:rFonts w:eastAsia="Calibri" w:cs="Arial"/>
          <w:color w:val="0E0E0E"/>
          <w:spacing w:val="-1"/>
          <w:w w:val="105"/>
          <w:szCs w:val="18"/>
          <w:lang w:eastAsia="zh-CN"/>
        </w:rPr>
        <w:t xml:space="preserve"> </w:t>
      </w:r>
      <w:r w:rsidRPr="00925054">
        <w:rPr>
          <w:rFonts w:eastAsia="Calibri" w:cs="Arial"/>
          <w:color w:val="0E0E0E"/>
          <w:w w:val="105"/>
          <w:szCs w:val="18"/>
          <w:lang w:eastAsia="zh-CN"/>
        </w:rPr>
        <w:t>dust</w:t>
      </w:r>
      <w:r w:rsidRPr="00925054">
        <w:rPr>
          <w:rFonts w:eastAsia="Calibri" w:cs="Arial"/>
          <w:color w:val="0E0E0E"/>
          <w:spacing w:val="-8"/>
          <w:w w:val="105"/>
          <w:szCs w:val="18"/>
          <w:lang w:eastAsia="zh-CN"/>
        </w:rPr>
        <w:t xml:space="preserve"> </w:t>
      </w:r>
      <w:r w:rsidRPr="00925054">
        <w:rPr>
          <w:rFonts w:eastAsia="Calibri" w:cs="Arial"/>
          <w:color w:val="0E0E0E"/>
          <w:w w:val="105"/>
          <w:szCs w:val="18"/>
          <w:lang w:eastAsia="zh-CN"/>
        </w:rPr>
        <w:t>hazards.</w:t>
      </w:r>
      <w:r w:rsidRPr="00925054">
        <w:rPr>
          <w:rFonts w:eastAsia="Calibri" w:cs="Arial"/>
          <w:color w:val="0E0E0E"/>
          <w:spacing w:val="-6"/>
          <w:w w:val="105"/>
          <w:szCs w:val="18"/>
          <w:lang w:eastAsia="zh-CN"/>
        </w:rPr>
        <w:t xml:space="preserve"> </w:t>
      </w:r>
      <w:r w:rsidRPr="00925054">
        <w:rPr>
          <w:rFonts w:eastAsia="Calibri" w:cs="Arial"/>
          <w:color w:val="0E0E0E"/>
          <w:w w:val="105"/>
          <w:szCs w:val="18"/>
          <w:lang w:eastAsia="zh-CN"/>
        </w:rPr>
        <w:t>The</w:t>
      </w:r>
      <w:r w:rsidRPr="00925054">
        <w:rPr>
          <w:rFonts w:eastAsia="Calibri" w:cs="Arial"/>
          <w:color w:val="0E0E0E"/>
          <w:spacing w:val="-8"/>
          <w:w w:val="105"/>
          <w:szCs w:val="18"/>
          <w:lang w:eastAsia="zh-CN"/>
        </w:rPr>
        <w:t xml:space="preserve"> </w:t>
      </w:r>
      <w:r w:rsidRPr="00925054">
        <w:rPr>
          <w:rFonts w:eastAsia="Calibri" w:cs="Arial"/>
          <w:color w:val="0E0E0E"/>
          <w:w w:val="105"/>
          <w:szCs w:val="18"/>
          <w:lang w:eastAsia="zh-CN"/>
        </w:rPr>
        <w:t>current project</w:t>
      </w:r>
      <w:r w:rsidRPr="00925054">
        <w:rPr>
          <w:rFonts w:eastAsia="Calibri" w:cs="Arial"/>
          <w:color w:val="0E0E0E"/>
          <w:spacing w:val="-3"/>
          <w:w w:val="105"/>
          <w:szCs w:val="18"/>
          <w:lang w:eastAsia="zh-CN"/>
        </w:rPr>
        <w:t xml:space="preserve"> </w:t>
      </w:r>
      <w:r w:rsidRPr="00925054">
        <w:rPr>
          <w:rFonts w:eastAsia="Calibri" w:cs="Arial"/>
          <w:color w:val="0E0E0E"/>
          <w:w w:val="105"/>
          <w:szCs w:val="18"/>
          <w:lang w:eastAsia="zh-CN"/>
        </w:rPr>
        <w:t>is</w:t>
      </w:r>
      <w:r w:rsidRPr="00925054">
        <w:rPr>
          <w:rFonts w:eastAsia="Calibri" w:cs="Arial"/>
          <w:color w:val="0E0E0E"/>
          <w:spacing w:val="-13"/>
          <w:w w:val="105"/>
          <w:szCs w:val="18"/>
          <w:lang w:eastAsia="zh-CN"/>
        </w:rPr>
        <w:t xml:space="preserve"> </w:t>
      </w:r>
      <w:r w:rsidR="00BB257D">
        <w:rPr>
          <w:rFonts w:eastAsia="Calibri" w:cs="Arial"/>
          <w:color w:val="0E0E0E"/>
          <w:w w:val="105"/>
          <w:szCs w:val="18"/>
          <w:lang w:eastAsia="zh-CN"/>
        </w:rPr>
        <w:t>therefore focussed largely on personal safety</w:t>
      </w:r>
      <w:r w:rsidRPr="00925054">
        <w:rPr>
          <w:rFonts w:eastAsia="Calibri" w:cs="Arial"/>
          <w:color w:val="0E0E0E"/>
          <w:w w:val="105"/>
          <w:szCs w:val="18"/>
          <w:lang w:eastAsia="zh-CN"/>
        </w:rPr>
        <w:t>.</w:t>
      </w:r>
    </w:p>
    <w:p w14:paraId="4513DD0D" w14:textId="2443FA16" w:rsidR="00C228CB" w:rsidRDefault="00C228CB" w:rsidP="00B45C29">
      <w:pPr>
        <w:rPr>
          <w:rFonts w:cs="Arial"/>
          <w:bCs/>
          <w:color w:val="000000"/>
          <w:szCs w:val="18"/>
        </w:rPr>
      </w:pPr>
      <w:r>
        <w:rPr>
          <w:rFonts w:cs="Arial"/>
          <w:bCs/>
          <w:color w:val="000000"/>
          <w:szCs w:val="18"/>
        </w:rPr>
        <w:t>T</w:t>
      </w:r>
      <w:r w:rsidR="00925054" w:rsidRPr="00925054">
        <w:rPr>
          <w:rFonts w:cs="Arial"/>
          <w:bCs/>
          <w:color w:val="000000"/>
          <w:szCs w:val="18"/>
        </w:rPr>
        <w:t xml:space="preserve">he project results will </w:t>
      </w:r>
      <w:r>
        <w:rPr>
          <w:rFonts w:cs="Arial"/>
          <w:bCs/>
          <w:color w:val="000000"/>
          <w:szCs w:val="18"/>
        </w:rPr>
        <w:t xml:space="preserve">also </w:t>
      </w:r>
      <w:r w:rsidR="00925054" w:rsidRPr="00925054">
        <w:rPr>
          <w:rFonts w:cs="Arial"/>
          <w:bCs/>
          <w:color w:val="000000"/>
          <w:szCs w:val="18"/>
        </w:rPr>
        <w:t>be beneficial for dust explosion risk reduction on a global basis, given that the research methodology is grounded in the best</w:t>
      </w:r>
      <w:r w:rsidR="003218BB">
        <w:rPr>
          <w:rFonts w:cs="Arial"/>
          <w:bCs/>
          <w:color w:val="000000"/>
          <w:szCs w:val="18"/>
        </w:rPr>
        <w:t>-</w:t>
      </w:r>
      <w:r w:rsidR="00925054" w:rsidRPr="00925054">
        <w:rPr>
          <w:rFonts w:cs="Arial"/>
          <w:bCs/>
          <w:color w:val="000000"/>
          <w:szCs w:val="18"/>
        </w:rPr>
        <w:t xml:space="preserve">practice cycle of Plan/Do/Check/Act </w:t>
      </w:r>
      <w:r w:rsidR="003218BB">
        <w:rPr>
          <w:rFonts w:cs="Arial"/>
          <w:bCs/>
          <w:color w:val="000000"/>
          <w:szCs w:val="18"/>
        </w:rPr>
        <w:t xml:space="preserve">(PDCA) </w:t>
      </w:r>
      <w:r w:rsidR="00925054" w:rsidRPr="00925054">
        <w:rPr>
          <w:rFonts w:cs="Arial"/>
          <w:bCs/>
          <w:color w:val="000000"/>
          <w:szCs w:val="18"/>
        </w:rPr>
        <w:t>found in comprehensive safety training schemes worldwide</w:t>
      </w:r>
      <w:r w:rsidR="007F418C">
        <w:rPr>
          <w:rFonts w:cs="Arial"/>
          <w:bCs/>
          <w:color w:val="000000"/>
          <w:szCs w:val="18"/>
        </w:rPr>
        <w:t xml:space="preserve"> (DiBeradinis, 1999)</w:t>
      </w:r>
      <w:r w:rsidR="00925054" w:rsidRPr="00925054">
        <w:rPr>
          <w:rFonts w:cs="Arial"/>
          <w:bCs/>
          <w:color w:val="000000"/>
          <w:szCs w:val="18"/>
        </w:rPr>
        <w:t>: (i) conducting a needs analysis, (ii) setting appropriate learning o</w:t>
      </w:r>
      <w:r w:rsidR="00CD552B">
        <w:rPr>
          <w:rFonts w:cs="Arial"/>
          <w:bCs/>
          <w:color w:val="000000"/>
          <w:szCs w:val="18"/>
        </w:rPr>
        <w:t>bjectives</w:t>
      </w:r>
      <w:r w:rsidR="00925054" w:rsidRPr="00925054">
        <w:rPr>
          <w:rFonts w:cs="Arial"/>
          <w:bCs/>
          <w:color w:val="000000"/>
          <w:szCs w:val="18"/>
        </w:rPr>
        <w:t>, (iii) deciding on presentation styles and preparing presentation materials, (iv) evaluating instruction, and (v) providing feedback on instruction. These steps are evident in the</w:t>
      </w:r>
      <w:r>
        <w:rPr>
          <w:rFonts w:cs="Arial"/>
          <w:bCs/>
          <w:color w:val="000000"/>
          <w:szCs w:val="18"/>
        </w:rPr>
        <w:t xml:space="preserve"> </w:t>
      </w:r>
      <w:r w:rsidR="00925054" w:rsidRPr="00925054">
        <w:rPr>
          <w:rFonts w:cs="Arial"/>
          <w:bCs/>
          <w:color w:val="000000"/>
          <w:szCs w:val="18"/>
        </w:rPr>
        <w:t>specific project objectives</w:t>
      </w:r>
      <w:r>
        <w:rPr>
          <w:rFonts w:cs="Arial"/>
          <w:bCs/>
          <w:color w:val="000000"/>
          <w:szCs w:val="18"/>
        </w:rPr>
        <w:t xml:space="preserve"> </w:t>
      </w:r>
      <w:r w:rsidR="00925054" w:rsidRPr="00925054">
        <w:rPr>
          <w:rFonts w:cs="Arial"/>
          <w:bCs/>
          <w:color w:val="000000"/>
          <w:szCs w:val="18"/>
        </w:rPr>
        <w:t>discussed in detail</w:t>
      </w:r>
      <w:r>
        <w:rPr>
          <w:rFonts w:cs="Arial"/>
          <w:bCs/>
          <w:color w:val="000000"/>
          <w:szCs w:val="18"/>
        </w:rPr>
        <w:t xml:space="preserve">, </w:t>
      </w:r>
      <w:r w:rsidR="00925054" w:rsidRPr="00925054">
        <w:rPr>
          <w:rFonts w:cs="Arial"/>
          <w:bCs/>
          <w:color w:val="000000"/>
          <w:szCs w:val="18"/>
        </w:rPr>
        <w:t>along with the project findings</w:t>
      </w:r>
      <w:r>
        <w:rPr>
          <w:rFonts w:cs="Arial"/>
          <w:bCs/>
          <w:color w:val="000000"/>
          <w:szCs w:val="18"/>
        </w:rPr>
        <w:t xml:space="preserve">, in </w:t>
      </w:r>
      <w:r w:rsidR="002D4A01">
        <w:rPr>
          <w:rFonts w:cs="Arial"/>
          <w:bCs/>
          <w:color w:val="000000"/>
          <w:szCs w:val="18"/>
        </w:rPr>
        <w:t>Sections 2, 3, and 4</w:t>
      </w:r>
      <w:r>
        <w:rPr>
          <w:rFonts w:cs="Arial"/>
          <w:bCs/>
          <w:color w:val="000000"/>
          <w:szCs w:val="18"/>
        </w:rPr>
        <w:t>.</w:t>
      </w:r>
    </w:p>
    <w:p w14:paraId="37D0C03A" w14:textId="77777777" w:rsidR="005A6CC9" w:rsidRDefault="005A6CC9" w:rsidP="00B45C29">
      <w:pPr>
        <w:rPr>
          <w:rFonts w:cs="Arial"/>
          <w:bCs/>
          <w:color w:val="000000"/>
          <w:szCs w:val="18"/>
        </w:rPr>
      </w:pPr>
    </w:p>
    <w:p w14:paraId="087314A6" w14:textId="77777777" w:rsidR="00B45C29" w:rsidRDefault="00B45C29" w:rsidP="00B45C29">
      <w:pPr>
        <w:spacing w:line="240" w:lineRule="auto"/>
        <w:jc w:val="left"/>
        <w:rPr>
          <w:rStyle w:val="CETCaptionCarattere"/>
        </w:rPr>
      </w:pPr>
      <w:r>
        <w:rPr>
          <w:noProof/>
        </w:rPr>
        <w:drawing>
          <wp:inline distT="0" distB="0" distL="0" distR="0" wp14:anchorId="4E4D0916" wp14:editId="11D927B4">
            <wp:extent cx="1651379" cy="1588763"/>
            <wp:effectExtent l="0" t="0" r="6350" b="0"/>
            <wp:docPr id="463389881" name="Picture 1" descr="A hexagon shaped structure with red and yellow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389881" name="Picture 1" descr="A hexagon shaped structure with red and yellow gradien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2566" cy="1695734"/>
                    </a:xfrm>
                    <a:prstGeom prst="rect">
                      <a:avLst/>
                    </a:prstGeom>
                    <a:noFill/>
                  </pic:spPr>
                </pic:pic>
              </a:graphicData>
            </a:graphic>
          </wp:inline>
        </w:drawing>
      </w:r>
    </w:p>
    <w:p w14:paraId="7AF61353" w14:textId="66934239" w:rsidR="00943BB4" w:rsidRPr="00BB257D" w:rsidRDefault="00B45C29" w:rsidP="00BB257D">
      <w:pPr>
        <w:spacing w:line="240" w:lineRule="auto"/>
        <w:rPr>
          <w:rFonts w:cs="Arial"/>
          <w:bCs/>
          <w:color w:val="000000"/>
          <w:szCs w:val="18"/>
        </w:rPr>
      </w:pPr>
      <w:r w:rsidRPr="00BD077D">
        <w:rPr>
          <w:rStyle w:val="CETCaptionCarattere"/>
        </w:rPr>
        <w:t xml:space="preserve">Figure 1: </w:t>
      </w:r>
      <w:r w:rsidR="00282A81">
        <w:rPr>
          <w:rStyle w:val="CETCaptionCarattere"/>
        </w:rPr>
        <w:t>Explosion pentagon consisting of the five essential elements for a dust explosion (Amyotte et al., 2019)</w:t>
      </w:r>
      <w:r w:rsidRPr="00BD077D">
        <w:t xml:space="preserve"> </w:t>
      </w:r>
    </w:p>
    <w:p w14:paraId="5741900F" w14:textId="07F193CF" w:rsidR="00453E24" w:rsidRDefault="00943BB4" w:rsidP="00453E24">
      <w:pPr>
        <w:pStyle w:val="CETHeading1"/>
      </w:pPr>
      <w:r>
        <w:lastRenderedPageBreak/>
        <w:t>Combustible Dust Loss History</w:t>
      </w:r>
    </w:p>
    <w:p w14:paraId="194B30AE" w14:textId="071CAEB8" w:rsidR="003218BB" w:rsidRDefault="00B45C29" w:rsidP="00FF7955">
      <w:pPr>
        <w:pStyle w:val="ListParagraph"/>
        <w:tabs>
          <w:tab w:val="clear" w:pos="7100"/>
        </w:tabs>
        <w:ind w:left="0"/>
        <w:rPr>
          <w:rFonts w:cs="Arial"/>
          <w:szCs w:val="18"/>
        </w:rPr>
      </w:pPr>
      <w:r w:rsidRPr="00925054">
        <w:rPr>
          <w:rFonts w:cs="Arial"/>
          <w:szCs w:val="18"/>
        </w:rPr>
        <w:t>Identification of the loss history in Nova Scotia with respect to fires and explosions involving combustible dusts</w:t>
      </w:r>
      <w:r w:rsidR="003218BB">
        <w:rPr>
          <w:rFonts w:cs="Arial"/>
          <w:szCs w:val="18"/>
        </w:rPr>
        <w:t xml:space="preserve"> was undertaken as</w:t>
      </w:r>
      <w:r w:rsidR="00D2200A">
        <w:rPr>
          <w:rFonts w:cs="Arial"/>
          <w:szCs w:val="18"/>
        </w:rPr>
        <w:t xml:space="preserve"> a component of the</w:t>
      </w:r>
      <w:r w:rsidR="003218BB">
        <w:rPr>
          <w:rFonts w:cs="Arial"/>
          <w:szCs w:val="18"/>
        </w:rPr>
        <w:t xml:space="preserve"> first PDCA step (conducing a needs analysis)</w:t>
      </w:r>
      <w:r w:rsidR="009E7E5D">
        <w:rPr>
          <w:rFonts w:cs="Arial"/>
          <w:szCs w:val="18"/>
        </w:rPr>
        <w:t xml:space="preserve"> by:</w:t>
      </w:r>
      <w:r w:rsidR="00BE666C">
        <w:rPr>
          <w:rFonts w:cs="Arial"/>
          <w:szCs w:val="18"/>
        </w:rPr>
        <w:t xml:space="preserve"> </w:t>
      </w:r>
      <w:r w:rsidR="009E7E5D">
        <w:rPr>
          <w:rFonts w:cs="Arial"/>
          <w:szCs w:val="18"/>
        </w:rPr>
        <w:t>(i) reviewing legal cases and regulations, (ii) searching newspapers and other publications, (iii) conducting outreach to local museums and other archival institutions, and (iv) contacting local police</w:t>
      </w:r>
      <w:r w:rsidR="00D2200A">
        <w:rPr>
          <w:rFonts w:cs="Arial"/>
          <w:szCs w:val="18"/>
        </w:rPr>
        <w:t>/</w:t>
      </w:r>
      <w:r w:rsidR="009E7E5D">
        <w:rPr>
          <w:rFonts w:cs="Arial"/>
          <w:szCs w:val="18"/>
        </w:rPr>
        <w:t>fire departments as well as union offices.</w:t>
      </w:r>
      <w:r w:rsidR="000E188C">
        <w:rPr>
          <w:rFonts w:cs="Arial"/>
          <w:szCs w:val="18"/>
        </w:rPr>
        <w:t xml:space="preserve"> </w:t>
      </w:r>
      <w:r w:rsidR="000E188C" w:rsidRPr="00925054">
        <w:rPr>
          <w:rFonts w:cs="Arial"/>
          <w:szCs w:val="18"/>
        </w:rPr>
        <w:t>During this work, the project team identified the need for verification of all incidents by independent means. AI systems such as ChatGPT were found to report numerous incidents that did not actually occur.</w:t>
      </w:r>
    </w:p>
    <w:p w14:paraId="730B3C49" w14:textId="6F934612" w:rsidR="000E188C" w:rsidRDefault="00BE666C" w:rsidP="00FF7955">
      <w:pPr>
        <w:pStyle w:val="ListParagraph"/>
        <w:tabs>
          <w:tab w:val="clear" w:pos="7100"/>
        </w:tabs>
        <w:ind w:left="0"/>
        <w:rPr>
          <w:rFonts w:cs="Arial"/>
          <w:szCs w:val="18"/>
        </w:rPr>
      </w:pPr>
      <w:r>
        <w:rPr>
          <w:rFonts w:cs="Arial"/>
          <w:szCs w:val="18"/>
        </w:rPr>
        <w:t>The analysis was focused on the previous two decades, with the exception of an initial historical review</w:t>
      </w:r>
      <w:r w:rsidR="000E188C">
        <w:rPr>
          <w:rFonts w:cs="Arial"/>
          <w:szCs w:val="18"/>
        </w:rPr>
        <w:t xml:space="preserve"> of explosions</w:t>
      </w:r>
      <w:r>
        <w:rPr>
          <w:rFonts w:cs="Arial"/>
          <w:szCs w:val="18"/>
        </w:rPr>
        <w:t xml:space="preserve"> in Nova Scotia coal mines. Figure 2 illustrates</w:t>
      </w:r>
      <w:r w:rsidR="000E188C">
        <w:rPr>
          <w:rFonts w:cs="Arial"/>
          <w:szCs w:val="18"/>
        </w:rPr>
        <w:t xml:space="preserve"> that the majority of non-coal related incidents during the period 2003 – 2023 occurred in industries dealing with wood, paper, and grain processing. The prevalence of </w:t>
      </w:r>
      <w:r w:rsidR="00AE62E8">
        <w:rPr>
          <w:rFonts w:cs="Arial"/>
          <w:szCs w:val="18"/>
        </w:rPr>
        <w:t xml:space="preserve">the industrial hazards presented by </w:t>
      </w:r>
      <w:r w:rsidR="000E188C">
        <w:rPr>
          <w:rFonts w:cs="Arial"/>
          <w:szCs w:val="18"/>
        </w:rPr>
        <w:t>wood and grain dust</w:t>
      </w:r>
      <w:r w:rsidR="00AE62E8">
        <w:rPr>
          <w:rFonts w:cs="Arial"/>
          <w:szCs w:val="18"/>
        </w:rPr>
        <w:t xml:space="preserve"> in particular </w:t>
      </w:r>
      <w:r w:rsidR="000E188C">
        <w:rPr>
          <w:rFonts w:cs="Arial"/>
          <w:szCs w:val="18"/>
        </w:rPr>
        <w:t xml:space="preserve">is consistent with global trends identified in the 2023 </w:t>
      </w:r>
      <w:r w:rsidR="00B70B49">
        <w:rPr>
          <w:rFonts w:cs="Arial"/>
          <w:szCs w:val="18"/>
        </w:rPr>
        <w:t>Combustible Dust Incident Report compiled by Dust Safety Science (Cloney, 2023).</w:t>
      </w:r>
    </w:p>
    <w:p w14:paraId="3FF643EF" w14:textId="77777777" w:rsidR="005A6CC9" w:rsidRDefault="005A6CC9" w:rsidP="00BB257D">
      <w:pPr>
        <w:pStyle w:val="ListParagraph"/>
        <w:tabs>
          <w:tab w:val="clear" w:pos="7100"/>
        </w:tabs>
        <w:ind w:left="0"/>
        <w:rPr>
          <w:rFonts w:cs="Arial"/>
          <w:szCs w:val="18"/>
        </w:rPr>
      </w:pPr>
    </w:p>
    <w:p w14:paraId="683B4BFD" w14:textId="45DF0958" w:rsidR="005A6CC9" w:rsidRDefault="005A6CC9" w:rsidP="00CC1909">
      <w:pPr>
        <w:pStyle w:val="ListParagraph"/>
        <w:tabs>
          <w:tab w:val="clear" w:pos="7100"/>
        </w:tabs>
        <w:ind w:left="0"/>
        <w:jc w:val="left"/>
        <w:rPr>
          <w:rFonts w:cs="Arial"/>
          <w:szCs w:val="18"/>
        </w:rPr>
      </w:pPr>
      <w:r>
        <w:rPr>
          <w:noProof/>
        </w:rPr>
        <w:drawing>
          <wp:inline distT="114300" distB="114300" distL="114300" distR="114300" wp14:anchorId="1876460B" wp14:editId="41AA439A">
            <wp:extent cx="5579745" cy="2205355"/>
            <wp:effectExtent l="0" t="0" r="1905" b="4445"/>
            <wp:docPr id="228535611" name="image1.png" descr="A graph of a bar chart"/>
            <wp:cNvGraphicFramePr/>
            <a:graphic xmlns:a="http://schemas.openxmlformats.org/drawingml/2006/main">
              <a:graphicData uri="http://schemas.openxmlformats.org/drawingml/2006/picture">
                <pic:pic xmlns:pic="http://schemas.openxmlformats.org/drawingml/2006/picture">
                  <pic:nvPicPr>
                    <pic:cNvPr id="228535611" name="image1.png" descr="A graph of a bar chart"/>
                    <pic:cNvPicPr preferRelativeResize="0"/>
                  </pic:nvPicPr>
                  <pic:blipFill>
                    <a:blip r:embed="rId11"/>
                    <a:srcRect/>
                    <a:stretch>
                      <a:fillRect/>
                    </a:stretch>
                  </pic:blipFill>
                  <pic:spPr>
                    <a:xfrm>
                      <a:off x="0" y="0"/>
                      <a:ext cx="5579745" cy="2205355"/>
                    </a:xfrm>
                    <a:prstGeom prst="rect">
                      <a:avLst/>
                    </a:prstGeom>
                    <a:ln/>
                  </pic:spPr>
                </pic:pic>
              </a:graphicData>
            </a:graphic>
          </wp:inline>
        </w:drawing>
      </w:r>
    </w:p>
    <w:p w14:paraId="08C031E2" w14:textId="57F26373" w:rsidR="00CC1909" w:rsidRDefault="00CC1909" w:rsidP="00CC1909">
      <w:pPr>
        <w:spacing w:line="240" w:lineRule="auto"/>
      </w:pPr>
      <w:r w:rsidRPr="00BD077D">
        <w:rPr>
          <w:rStyle w:val="CETCaptionCarattere"/>
        </w:rPr>
        <w:t xml:space="preserve">Figure </w:t>
      </w:r>
      <w:r>
        <w:rPr>
          <w:rStyle w:val="CETCaptionCarattere"/>
        </w:rPr>
        <w:t>2</w:t>
      </w:r>
      <w:r w:rsidRPr="00BD077D">
        <w:rPr>
          <w:rStyle w:val="CETCaptionCarattere"/>
        </w:rPr>
        <w:t xml:space="preserve">: </w:t>
      </w:r>
      <w:r>
        <w:rPr>
          <w:rStyle w:val="CETCaptionCarattere"/>
        </w:rPr>
        <w:t>Verified dust explosion incidents (quantitative count by year and industry)</w:t>
      </w:r>
    </w:p>
    <w:p w14:paraId="48C50483" w14:textId="77777777" w:rsidR="00B70B49" w:rsidRDefault="00B70B49" w:rsidP="00CC1909">
      <w:pPr>
        <w:spacing w:line="240" w:lineRule="auto"/>
      </w:pPr>
    </w:p>
    <w:p w14:paraId="6FB10646" w14:textId="6B6BDB11" w:rsidR="000C2183" w:rsidRDefault="00AE62E8" w:rsidP="00FF7955">
      <w:r>
        <w:t xml:space="preserve">Nova Scotia has a rich history </w:t>
      </w:r>
      <w:r w:rsidR="00084C2E">
        <w:t xml:space="preserve">of coal mining activity carrying with it an unfortunate legacy of major fires and explosions underground. (The industry continues to this day, although on a much-reduced scale.) The events shown in Figure 2 for the years 1956 (Springhill Mine), 1979 (No. 26 Colliery), and 1992 (Westray Mine) claimed 39, 12, and 26 lives, respectively. Figure 3 </w:t>
      </w:r>
      <w:r w:rsidR="00FF7955">
        <w:t xml:space="preserve">(left) shows surface damage at the Westray site in Plymouth, Nova Scotia, which is indicative of the destructive overpressures generated in the mine workings. Figure 3 (right) also </w:t>
      </w:r>
      <w:r w:rsidR="000C2183">
        <w:t>illustrates</w:t>
      </w:r>
      <w:r w:rsidR="00FF7955">
        <w:t xml:space="preserve"> the personal</w:t>
      </w:r>
      <w:r w:rsidR="000C2183">
        <w:t xml:space="preserve"> tragedy that often accompanies an industrial dust explosion.</w:t>
      </w:r>
    </w:p>
    <w:p w14:paraId="5D5B18AD" w14:textId="77A789AF" w:rsidR="002D4A01" w:rsidRDefault="000C2183" w:rsidP="00FF7955">
      <w:r>
        <w:t>Of all the incidents r</w:t>
      </w:r>
      <w:r w:rsidR="002D4A01">
        <w:t>eviewed</w:t>
      </w:r>
      <w:r>
        <w:t xml:space="preserve"> in the current work, the Westray disaster has had the most significant impact on safety legislation in the province. The current Nova Scotia Occupational Health and Safety</w:t>
      </w:r>
      <w:r w:rsidR="00BD6C87">
        <w:t xml:space="preserve"> </w:t>
      </w:r>
      <w:r>
        <w:t xml:space="preserve">Act </w:t>
      </w:r>
      <w:r w:rsidR="00BD6C87">
        <w:t xml:space="preserve">(OHS, 2024) </w:t>
      </w:r>
      <w:r>
        <w:t>has been shaped to a large extent by Westray – in particular</w:t>
      </w:r>
      <w:r w:rsidR="002D4A01">
        <w:t xml:space="preserve">, </w:t>
      </w:r>
      <w:r>
        <w:t>formalization in the Act of workers’ rights to: (i) know about the hazards they might encounter while performing their work, (ii) participate in making safety-related decisions in the workplace, and (iii) refuse to perform work they consider to be unsafe</w:t>
      </w:r>
      <w:r w:rsidR="00691E27">
        <w:t>.</w:t>
      </w:r>
      <w:r w:rsidR="002D4A01">
        <w:t xml:space="preserve"> (</w:t>
      </w:r>
      <w:r w:rsidR="00691E27">
        <w:t xml:space="preserve">See also </w:t>
      </w:r>
      <w:r w:rsidR="002D4A01">
        <w:t>Section 4).</w:t>
      </w:r>
    </w:p>
    <w:p w14:paraId="306C971C" w14:textId="77777777" w:rsidR="00B70B49" w:rsidRDefault="00B70B49" w:rsidP="00CC1909">
      <w:pPr>
        <w:spacing w:line="240" w:lineRule="auto"/>
      </w:pPr>
    </w:p>
    <w:p w14:paraId="36148C09" w14:textId="10883291" w:rsidR="00CC1909" w:rsidRDefault="00CC1909" w:rsidP="00CC1909">
      <w:pPr>
        <w:spacing w:line="240" w:lineRule="auto"/>
        <w:rPr>
          <w:noProof/>
          <w:lang w:val="en-CA"/>
        </w:rPr>
      </w:pPr>
      <w:r>
        <w:rPr>
          <w:noProof/>
        </w:rPr>
        <w:drawing>
          <wp:inline distT="0" distB="0" distL="0" distR="0" wp14:anchorId="1D38BA27" wp14:editId="244A29B6">
            <wp:extent cx="2944368" cy="1828800"/>
            <wp:effectExtent l="0" t="0" r="8890" b="0"/>
            <wp:docPr id="6147" name="Picture 3" descr="portalW1">
              <a:extLst xmlns:a="http://schemas.openxmlformats.org/drawingml/2006/main">
                <a:ext uri="{FF2B5EF4-FFF2-40B4-BE49-F238E27FC236}">
                  <a16:creationId xmlns:a16="http://schemas.microsoft.com/office/drawing/2014/main" id="{0C214378-C00E-4F32-8BDD-516D1C50E0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portalW1">
                      <a:extLst>
                        <a:ext uri="{FF2B5EF4-FFF2-40B4-BE49-F238E27FC236}">
                          <a16:creationId xmlns:a16="http://schemas.microsoft.com/office/drawing/2014/main" id="{0C214378-C00E-4F32-8BDD-516D1C50E0A3}"/>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4368" cy="1828800"/>
                    </a:xfrm>
                    <a:prstGeom prst="rect">
                      <a:avLst/>
                    </a:prstGeom>
                    <a:noFill/>
                    <a:ln>
                      <a:noFill/>
                    </a:ln>
                  </pic:spPr>
                </pic:pic>
              </a:graphicData>
            </a:graphic>
          </wp:inline>
        </w:drawing>
      </w:r>
      <w:r w:rsidRPr="00CC1909">
        <w:rPr>
          <w:noProof/>
          <w:lang w:val="en-CA"/>
        </w:rPr>
        <w:t xml:space="preserve"> </w:t>
      </w:r>
      <w:r w:rsidRPr="00F06495">
        <w:rPr>
          <w:noProof/>
          <w:lang w:val="en-CA"/>
        </w:rPr>
        <w:drawing>
          <wp:inline distT="0" distB="0" distL="0" distR="0" wp14:anchorId="278647B6" wp14:editId="6579E662">
            <wp:extent cx="2441448" cy="1828800"/>
            <wp:effectExtent l="0" t="0" r="0" b="0"/>
            <wp:docPr id="325554345" name="Picture 4" descr="A memorial with many candles and a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554345" name="Picture 4" descr="A memorial with many candles and a bann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p>
    <w:p w14:paraId="3FF45B1C" w14:textId="1C5811CC" w:rsidR="002D4A01" w:rsidRPr="00FF7955" w:rsidRDefault="00CC1909" w:rsidP="00BE666C">
      <w:pPr>
        <w:spacing w:line="240" w:lineRule="auto"/>
        <w:rPr>
          <w:i/>
        </w:rPr>
      </w:pPr>
      <w:r w:rsidRPr="00BD077D">
        <w:rPr>
          <w:rStyle w:val="CETCaptionCarattere"/>
        </w:rPr>
        <w:t xml:space="preserve">Figure </w:t>
      </w:r>
      <w:r>
        <w:rPr>
          <w:rStyle w:val="CETCaptionCarattere"/>
        </w:rPr>
        <w:t>3</w:t>
      </w:r>
      <w:r w:rsidRPr="00BD077D">
        <w:rPr>
          <w:rStyle w:val="CETCaptionCarattere"/>
        </w:rPr>
        <w:t xml:space="preserve">: </w:t>
      </w:r>
      <w:r>
        <w:rPr>
          <w:rStyle w:val="CETCaptionCarattere"/>
        </w:rPr>
        <w:t>Left – Damage to portal at No. 1 main</w:t>
      </w:r>
      <w:r w:rsidR="00054D5F">
        <w:rPr>
          <w:rStyle w:val="CETCaptionCarattere"/>
        </w:rPr>
        <w:t xml:space="preserve">, Westray mine (Richard, 1997); Right – Westray memorial with rays of light from a miner’s lamp showing the names and ages of the 26 </w:t>
      </w:r>
      <w:r w:rsidR="00BE666C">
        <w:rPr>
          <w:rStyle w:val="CETCaptionCarattere"/>
        </w:rPr>
        <w:t>deceased miners (Di Menna, 2012; photograph by Peter Boyle, courtesy of United Steelworkers)</w:t>
      </w:r>
    </w:p>
    <w:p w14:paraId="677EBFF0" w14:textId="0DEBB6A5" w:rsidR="00600535" w:rsidRDefault="00943BB4" w:rsidP="00943BB4">
      <w:pPr>
        <w:pStyle w:val="CETHeading1"/>
        <w:tabs>
          <w:tab w:val="clear" w:pos="360"/>
          <w:tab w:val="right" w:pos="7100"/>
        </w:tabs>
        <w:jc w:val="both"/>
        <w:rPr>
          <w:lang w:val="en-GB"/>
        </w:rPr>
      </w:pPr>
      <w:r>
        <w:rPr>
          <w:lang w:val="en-GB"/>
        </w:rPr>
        <w:lastRenderedPageBreak/>
        <w:t>Combustible Dust Regulations and Standards</w:t>
      </w:r>
    </w:p>
    <w:p w14:paraId="0535D25B" w14:textId="046F5537" w:rsidR="00D2200A" w:rsidRDefault="00B45C29" w:rsidP="00D742F2">
      <w:pPr>
        <w:tabs>
          <w:tab w:val="clear" w:pos="7100"/>
        </w:tabs>
        <w:rPr>
          <w:rFonts w:cs="Arial"/>
          <w:szCs w:val="18"/>
        </w:rPr>
      </w:pPr>
      <w:r w:rsidRPr="00B45C29">
        <w:rPr>
          <w:rFonts w:cs="Arial"/>
          <w:szCs w:val="18"/>
        </w:rPr>
        <w:t xml:space="preserve">Determination of the status of provincial, national, and international safety </w:t>
      </w:r>
      <w:r w:rsidR="00D2200A">
        <w:rPr>
          <w:rFonts w:cs="Arial"/>
          <w:szCs w:val="18"/>
        </w:rPr>
        <w:t>regulations</w:t>
      </w:r>
      <w:r w:rsidRPr="00B45C29">
        <w:rPr>
          <w:rFonts w:cs="Arial"/>
          <w:szCs w:val="18"/>
        </w:rPr>
        <w:t xml:space="preserve"> and </w:t>
      </w:r>
      <w:r w:rsidR="00D2200A">
        <w:rPr>
          <w:rFonts w:cs="Arial"/>
          <w:szCs w:val="18"/>
        </w:rPr>
        <w:t>standards</w:t>
      </w:r>
      <w:r w:rsidR="00D742F2">
        <w:rPr>
          <w:rFonts w:cs="Arial"/>
          <w:szCs w:val="18"/>
        </w:rPr>
        <w:t xml:space="preserve"> addressing </w:t>
      </w:r>
      <w:r w:rsidRPr="00B45C29">
        <w:rPr>
          <w:rFonts w:cs="Arial"/>
          <w:szCs w:val="18"/>
        </w:rPr>
        <w:t>the hazards of combustible dusts</w:t>
      </w:r>
      <w:r w:rsidR="00D2200A">
        <w:rPr>
          <w:rFonts w:cs="Arial"/>
          <w:szCs w:val="18"/>
        </w:rPr>
        <w:t xml:space="preserve"> was also undertaken as a component of the first PDCA step (conduc</w:t>
      </w:r>
      <w:r w:rsidR="007546A2">
        <w:rPr>
          <w:rFonts w:cs="Arial"/>
          <w:szCs w:val="18"/>
        </w:rPr>
        <w:t>t</w:t>
      </w:r>
      <w:r w:rsidR="00D2200A">
        <w:rPr>
          <w:rFonts w:cs="Arial"/>
          <w:szCs w:val="18"/>
        </w:rPr>
        <w:t>ing a needs analysis).</w:t>
      </w:r>
      <w:r w:rsidR="00871383">
        <w:rPr>
          <w:rFonts w:cs="Arial"/>
          <w:szCs w:val="18"/>
        </w:rPr>
        <w:t xml:space="preserve"> As discussed by Amyotte &amp; Lupien</w:t>
      </w:r>
      <w:r w:rsidR="009008A9">
        <w:rPr>
          <w:rFonts w:cs="Arial"/>
          <w:szCs w:val="18"/>
        </w:rPr>
        <w:t xml:space="preserve"> (2017), an</w:t>
      </w:r>
      <w:r w:rsidR="00871383">
        <w:rPr>
          <w:rFonts w:cs="Arial"/>
          <w:szCs w:val="18"/>
        </w:rPr>
        <w:t xml:space="preserve"> inescapable factor in </w:t>
      </w:r>
      <w:r w:rsidR="00E93520">
        <w:rPr>
          <w:rFonts w:cs="Arial"/>
          <w:szCs w:val="18"/>
        </w:rPr>
        <w:t>such</w:t>
      </w:r>
      <w:r w:rsidR="00871383">
        <w:rPr>
          <w:rFonts w:cs="Arial"/>
          <w:szCs w:val="18"/>
        </w:rPr>
        <w:t xml:space="preserve"> work is the nature of process safety and occupational safety regulation in Canada.</w:t>
      </w:r>
      <w:r w:rsidR="00D742F2">
        <w:rPr>
          <w:rFonts w:cs="Arial"/>
          <w:szCs w:val="18"/>
        </w:rPr>
        <w:t xml:space="preserve"> C</w:t>
      </w:r>
      <w:r w:rsidR="00D742F2">
        <w:t xml:space="preserve">onstitutional authority over most process industry plants rests with the provinces and territories rather than the federal government; further, the vast majority of safety regulation performed at the provincial/territorial level by the governing bodies listed in Table 1 deals explicitly only with occupational </w:t>
      </w:r>
      <w:r w:rsidR="00E93520">
        <w:t xml:space="preserve">health and </w:t>
      </w:r>
      <w:r w:rsidR="00D742F2">
        <w:t>safety</w:t>
      </w:r>
      <w:r w:rsidR="00E93520">
        <w:t xml:space="preserve"> (OHS)</w:t>
      </w:r>
      <w:r w:rsidR="00D742F2">
        <w:t>.</w:t>
      </w:r>
    </w:p>
    <w:p w14:paraId="6A5167CF" w14:textId="0CD01B34" w:rsidR="00600535" w:rsidRPr="00B57B36" w:rsidRDefault="00600535" w:rsidP="00BE71A2">
      <w:pPr>
        <w:pStyle w:val="CETTabletitle"/>
        <w:spacing w:line="264" w:lineRule="auto"/>
      </w:pPr>
      <w:r w:rsidRPr="00B57B36">
        <w:t xml:space="preserve">Table 1: </w:t>
      </w:r>
      <w:r w:rsidR="00C1289A">
        <w:t>Provincial and territorial safety governing bodies in Canada</w:t>
      </w:r>
    </w:p>
    <w:tbl>
      <w:tblPr>
        <w:tblW w:w="8080"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835"/>
        <w:gridCol w:w="5245"/>
      </w:tblGrid>
      <w:tr w:rsidR="00C1289A" w:rsidRPr="00B57B36" w14:paraId="4B29AA51" w14:textId="77777777" w:rsidTr="00702895">
        <w:tc>
          <w:tcPr>
            <w:tcW w:w="2835" w:type="dxa"/>
            <w:tcBorders>
              <w:top w:val="single" w:sz="12" w:space="0" w:color="008000"/>
              <w:bottom w:val="single" w:sz="6" w:space="0" w:color="008000"/>
            </w:tcBorders>
            <w:shd w:val="clear" w:color="auto" w:fill="FFFFFF"/>
          </w:tcPr>
          <w:p w14:paraId="500859EC" w14:textId="19D9B994" w:rsidR="00C1289A" w:rsidRPr="00B57B36" w:rsidRDefault="00C1289A" w:rsidP="00BE71A2">
            <w:pPr>
              <w:pStyle w:val="CETBodytext"/>
              <w:rPr>
                <w:lang w:val="en-GB"/>
              </w:rPr>
            </w:pPr>
            <w:r>
              <w:rPr>
                <w:lang w:val="en-GB"/>
              </w:rPr>
              <w:t>Jurisdiction</w:t>
            </w:r>
          </w:p>
        </w:tc>
        <w:tc>
          <w:tcPr>
            <w:tcW w:w="5245" w:type="dxa"/>
            <w:tcBorders>
              <w:top w:val="single" w:sz="12" w:space="0" w:color="008000"/>
              <w:bottom w:val="single" w:sz="6" w:space="0" w:color="008000"/>
            </w:tcBorders>
            <w:shd w:val="clear" w:color="auto" w:fill="FFFFFF"/>
          </w:tcPr>
          <w:p w14:paraId="6B6E97E3" w14:textId="181CD546" w:rsidR="00C1289A" w:rsidRPr="00B57B36" w:rsidRDefault="00C1289A" w:rsidP="00BE71A2">
            <w:pPr>
              <w:pStyle w:val="CETBodytext"/>
              <w:rPr>
                <w:lang w:val="en-GB"/>
              </w:rPr>
            </w:pPr>
            <w:r>
              <w:rPr>
                <w:lang w:val="en-GB"/>
              </w:rPr>
              <w:t>Governing Body</w:t>
            </w:r>
          </w:p>
        </w:tc>
      </w:tr>
      <w:tr w:rsidR="00C1289A" w:rsidRPr="00B57B36" w14:paraId="18FA68DB" w14:textId="77777777" w:rsidTr="00702895">
        <w:tc>
          <w:tcPr>
            <w:tcW w:w="2835" w:type="dxa"/>
            <w:shd w:val="clear" w:color="auto" w:fill="FFFFFF"/>
          </w:tcPr>
          <w:p w14:paraId="1877D42D" w14:textId="2DB0F219" w:rsidR="00C1289A" w:rsidRPr="00B57B36" w:rsidRDefault="00BE71A2" w:rsidP="00BE71A2">
            <w:pPr>
              <w:pStyle w:val="CETBodytext"/>
              <w:rPr>
                <w:lang w:val="en-GB"/>
              </w:rPr>
            </w:pPr>
            <w:r>
              <w:rPr>
                <w:lang w:val="en-GB"/>
              </w:rPr>
              <w:t>Alberta</w:t>
            </w:r>
          </w:p>
        </w:tc>
        <w:tc>
          <w:tcPr>
            <w:tcW w:w="5245" w:type="dxa"/>
            <w:shd w:val="clear" w:color="auto" w:fill="FFFFFF"/>
          </w:tcPr>
          <w:p w14:paraId="48136FAE" w14:textId="556EAA35" w:rsidR="00C1289A" w:rsidRPr="00B57B36" w:rsidRDefault="00BE71A2" w:rsidP="00BE71A2">
            <w:pPr>
              <w:pStyle w:val="CETBodytext"/>
              <w:rPr>
                <w:lang w:val="en-GB"/>
              </w:rPr>
            </w:pPr>
            <w:r>
              <w:rPr>
                <w:lang w:val="en-GB"/>
              </w:rPr>
              <w:t>Occupational Health and Safety, Alberta Labour</w:t>
            </w:r>
          </w:p>
        </w:tc>
      </w:tr>
      <w:tr w:rsidR="00C1289A" w:rsidRPr="00B57B36" w14:paraId="1777C522" w14:textId="77777777" w:rsidTr="00702895">
        <w:tc>
          <w:tcPr>
            <w:tcW w:w="2835" w:type="dxa"/>
            <w:shd w:val="clear" w:color="auto" w:fill="FFFFFF"/>
          </w:tcPr>
          <w:p w14:paraId="59954EC2" w14:textId="46059C6E" w:rsidR="00BE71A2" w:rsidRPr="00B57B36" w:rsidRDefault="00BE71A2" w:rsidP="00BE71A2">
            <w:pPr>
              <w:pStyle w:val="CETBodytext"/>
              <w:ind w:right="-1"/>
              <w:rPr>
                <w:rFonts w:cs="Arial"/>
                <w:szCs w:val="18"/>
                <w:lang w:val="en-GB"/>
              </w:rPr>
            </w:pPr>
            <w:r>
              <w:rPr>
                <w:rFonts w:cs="Arial"/>
                <w:szCs w:val="18"/>
                <w:lang w:val="en-GB"/>
              </w:rPr>
              <w:t>British Columbia</w:t>
            </w:r>
          </w:p>
        </w:tc>
        <w:tc>
          <w:tcPr>
            <w:tcW w:w="5245" w:type="dxa"/>
            <w:shd w:val="clear" w:color="auto" w:fill="FFFFFF"/>
          </w:tcPr>
          <w:p w14:paraId="4FFB40F7" w14:textId="484D4A23" w:rsidR="00C1289A" w:rsidRPr="00B57B36" w:rsidRDefault="00BE71A2" w:rsidP="00BE71A2">
            <w:pPr>
              <w:pStyle w:val="CETBodytext"/>
              <w:ind w:right="-1"/>
              <w:rPr>
                <w:rFonts w:cs="Arial"/>
                <w:szCs w:val="18"/>
                <w:lang w:val="en-GB"/>
              </w:rPr>
            </w:pPr>
            <w:r>
              <w:rPr>
                <w:rFonts w:cs="Arial"/>
                <w:szCs w:val="18"/>
                <w:lang w:val="en-GB"/>
              </w:rPr>
              <w:t>WorkSafeBC</w:t>
            </w:r>
          </w:p>
        </w:tc>
      </w:tr>
      <w:tr w:rsidR="00BE71A2" w:rsidRPr="00B57B36" w14:paraId="1A0C15EC" w14:textId="77777777" w:rsidTr="00702895">
        <w:tc>
          <w:tcPr>
            <w:tcW w:w="2835" w:type="dxa"/>
            <w:shd w:val="clear" w:color="auto" w:fill="FFFFFF"/>
          </w:tcPr>
          <w:p w14:paraId="71C247C9" w14:textId="145177E3" w:rsidR="00BE71A2" w:rsidRDefault="00BE71A2" w:rsidP="00BE71A2">
            <w:pPr>
              <w:pStyle w:val="CETBodytext"/>
              <w:ind w:right="-1"/>
              <w:rPr>
                <w:rFonts w:cs="Arial"/>
                <w:szCs w:val="18"/>
                <w:lang w:val="en-GB"/>
              </w:rPr>
            </w:pPr>
            <w:r>
              <w:rPr>
                <w:rFonts w:cs="Arial"/>
                <w:szCs w:val="18"/>
                <w:lang w:val="en-GB"/>
              </w:rPr>
              <w:t>Manitoba</w:t>
            </w:r>
          </w:p>
        </w:tc>
        <w:tc>
          <w:tcPr>
            <w:tcW w:w="5245" w:type="dxa"/>
            <w:shd w:val="clear" w:color="auto" w:fill="FFFFFF"/>
          </w:tcPr>
          <w:p w14:paraId="4548EF2B" w14:textId="15602167" w:rsidR="00BE71A2" w:rsidRPr="00B57B36" w:rsidRDefault="00BE71A2" w:rsidP="00BE71A2">
            <w:pPr>
              <w:pStyle w:val="CETBodytext"/>
              <w:ind w:right="-1"/>
              <w:rPr>
                <w:rFonts w:cs="Arial"/>
                <w:szCs w:val="18"/>
                <w:lang w:val="en-GB"/>
              </w:rPr>
            </w:pPr>
            <w:r>
              <w:rPr>
                <w:rFonts w:cs="Arial"/>
                <w:szCs w:val="18"/>
                <w:lang w:val="en-GB"/>
              </w:rPr>
              <w:t>Workplace Safety and Health Branch (WSH), Department of Labour, Consumer Protection and Government Services</w:t>
            </w:r>
          </w:p>
        </w:tc>
      </w:tr>
      <w:tr w:rsidR="00BE71A2" w:rsidRPr="00B57B36" w14:paraId="6F58322E" w14:textId="77777777" w:rsidTr="00702895">
        <w:tc>
          <w:tcPr>
            <w:tcW w:w="2835" w:type="dxa"/>
            <w:shd w:val="clear" w:color="auto" w:fill="FFFFFF"/>
          </w:tcPr>
          <w:p w14:paraId="0241E81A" w14:textId="214965C1" w:rsidR="00BE71A2" w:rsidRPr="00B57B36" w:rsidRDefault="00BE71A2" w:rsidP="00BE71A2">
            <w:pPr>
              <w:pStyle w:val="CETBodytext"/>
              <w:ind w:right="-1"/>
              <w:rPr>
                <w:rFonts w:cs="Arial"/>
                <w:szCs w:val="18"/>
                <w:lang w:val="en-GB"/>
              </w:rPr>
            </w:pPr>
            <w:r>
              <w:rPr>
                <w:rFonts w:cs="Arial"/>
                <w:szCs w:val="18"/>
                <w:lang w:val="en-GB"/>
              </w:rPr>
              <w:t>New Brunswick</w:t>
            </w:r>
          </w:p>
        </w:tc>
        <w:tc>
          <w:tcPr>
            <w:tcW w:w="5245" w:type="dxa"/>
            <w:shd w:val="clear" w:color="auto" w:fill="FFFFFF"/>
          </w:tcPr>
          <w:p w14:paraId="3571F1DB" w14:textId="269B51BF" w:rsidR="00BE71A2" w:rsidRPr="00B57B36" w:rsidRDefault="00BE71A2" w:rsidP="00BE71A2">
            <w:pPr>
              <w:pStyle w:val="CETBodytext"/>
              <w:ind w:right="-1"/>
              <w:rPr>
                <w:rFonts w:cs="Arial"/>
                <w:szCs w:val="18"/>
                <w:lang w:val="en-GB"/>
              </w:rPr>
            </w:pPr>
            <w:r>
              <w:rPr>
                <w:rFonts w:cs="Arial"/>
                <w:szCs w:val="18"/>
                <w:lang w:val="en-GB"/>
              </w:rPr>
              <w:t>WorkSafeNB</w:t>
            </w:r>
          </w:p>
        </w:tc>
      </w:tr>
      <w:tr w:rsidR="00BE71A2" w:rsidRPr="00B57B36" w14:paraId="771A48E2" w14:textId="77777777" w:rsidTr="00702895">
        <w:tc>
          <w:tcPr>
            <w:tcW w:w="2835" w:type="dxa"/>
            <w:shd w:val="clear" w:color="auto" w:fill="FFFFFF"/>
          </w:tcPr>
          <w:p w14:paraId="5FC0C0F0" w14:textId="111721B7" w:rsidR="00BE71A2" w:rsidRPr="00B57B36" w:rsidRDefault="00BE71A2" w:rsidP="00BE71A2">
            <w:pPr>
              <w:pStyle w:val="CETBodytext"/>
              <w:ind w:right="-1"/>
              <w:rPr>
                <w:rFonts w:cs="Arial"/>
                <w:szCs w:val="18"/>
                <w:lang w:val="en-GB"/>
              </w:rPr>
            </w:pPr>
            <w:r>
              <w:rPr>
                <w:rFonts w:cs="Arial"/>
                <w:szCs w:val="18"/>
                <w:lang w:val="en-GB"/>
              </w:rPr>
              <w:t>Newfoundland and Labrador</w:t>
            </w:r>
          </w:p>
        </w:tc>
        <w:tc>
          <w:tcPr>
            <w:tcW w:w="5245" w:type="dxa"/>
            <w:shd w:val="clear" w:color="auto" w:fill="FFFFFF"/>
          </w:tcPr>
          <w:p w14:paraId="00B69261" w14:textId="65C80C95" w:rsidR="00BE71A2" w:rsidRPr="00B57B36" w:rsidRDefault="00702895" w:rsidP="00BE71A2">
            <w:pPr>
              <w:pStyle w:val="CETBodytext"/>
              <w:ind w:right="-1"/>
              <w:rPr>
                <w:rFonts w:cs="Arial"/>
                <w:szCs w:val="18"/>
                <w:lang w:val="en-GB"/>
              </w:rPr>
            </w:pPr>
            <w:r>
              <w:rPr>
                <w:rFonts w:cs="Arial"/>
                <w:szCs w:val="18"/>
                <w:lang w:val="en-GB"/>
              </w:rPr>
              <w:t>WorkplaceNL</w:t>
            </w:r>
          </w:p>
        </w:tc>
      </w:tr>
      <w:tr w:rsidR="00BE71A2" w:rsidRPr="00B57B36" w14:paraId="26C9F437" w14:textId="77777777" w:rsidTr="00702895">
        <w:tc>
          <w:tcPr>
            <w:tcW w:w="2835" w:type="dxa"/>
            <w:shd w:val="clear" w:color="auto" w:fill="FFFFFF"/>
          </w:tcPr>
          <w:p w14:paraId="6F273702" w14:textId="7B184567" w:rsidR="00BE71A2" w:rsidRPr="00B57B36" w:rsidRDefault="00BE71A2" w:rsidP="00BE71A2">
            <w:pPr>
              <w:pStyle w:val="CETBodytext"/>
              <w:ind w:right="-1"/>
              <w:rPr>
                <w:rFonts w:cs="Arial"/>
                <w:szCs w:val="18"/>
                <w:lang w:val="en-GB"/>
              </w:rPr>
            </w:pPr>
            <w:r>
              <w:rPr>
                <w:rFonts w:cs="Arial"/>
                <w:szCs w:val="18"/>
                <w:lang w:val="en-GB"/>
              </w:rPr>
              <w:t>Northwest Territories</w:t>
            </w:r>
            <w:r w:rsidR="00702895">
              <w:rPr>
                <w:rFonts w:cs="Arial"/>
                <w:szCs w:val="18"/>
                <w:lang w:val="en-GB"/>
              </w:rPr>
              <w:t xml:space="preserve">; </w:t>
            </w:r>
            <w:r>
              <w:rPr>
                <w:rFonts w:cs="Arial"/>
                <w:szCs w:val="18"/>
                <w:lang w:val="en-GB"/>
              </w:rPr>
              <w:t>Nunavut</w:t>
            </w:r>
          </w:p>
        </w:tc>
        <w:tc>
          <w:tcPr>
            <w:tcW w:w="5245" w:type="dxa"/>
            <w:shd w:val="clear" w:color="auto" w:fill="FFFFFF"/>
          </w:tcPr>
          <w:p w14:paraId="4E762DDA" w14:textId="058AB965" w:rsidR="00BE71A2" w:rsidRPr="00B57B36" w:rsidRDefault="00702895" w:rsidP="00BE71A2">
            <w:pPr>
              <w:pStyle w:val="CETBodytext"/>
              <w:ind w:right="-1"/>
              <w:rPr>
                <w:rFonts w:cs="Arial"/>
                <w:szCs w:val="18"/>
                <w:lang w:val="en-GB"/>
              </w:rPr>
            </w:pPr>
            <w:r>
              <w:rPr>
                <w:rFonts w:cs="Arial"/>
                <w:szCs w:val="18"/>
                <w:lang w:val="en-GB"/>
              </w:rPr>
              <w:t>Workers’ Safety and Compensation Commission of the Northwest Territories and Nunavut</w:t>
            </w:r>
          </w:p>
        </w:tc>
      </w:tr>
      <w:tr w:rsidR="00BE71A2" w:rsidRPr="00B57B36" w14:paraId="6EA87BA4" w14:textId="77777777" w:rsidTr="00702895">
        <w:tc>
          <w:tcPr>
            <w:tcW w:w="2835" w:type="dxa"/>
            <w:shd w:val="clear" w:color="auto" w:fill="FFFFFF"/>
          </w:tcPr>
          <w:p w14:paraId="0B3D55CC" w14:textId="632FE259" w:rsidR="00BE71A2" w:rsidRPr="00B57B36" w:rsidRDefault="00BE71A2" w:rsidP="00BE71A2">
            <w:pPr>
              <w:pStyle w:val="CETBodytext"/>
              <w:ind w:right="-1"/>
              <w:rPr>
                <w:rFonts w:cs="Arial"/>
                <w:szCs w:val="18"/>
                <w:lang w:val="en-GB"/>
              </w:rPr>
            </w:pPr>
            <w:r>
              <w:rPr>
                <w:rFonts w:cs="Arial"/>
                <w:szCs w:val="18"/>
                <w:lang w:val="en-GB"/>
              </w:rPr>
              <w:t>Nova Scotia</w:t>
            </w:r>
          </w:p>
        </w:tc>
        <w:tc>
          <w:tcPr>
            <w:tcW w:w="5245" w:type="dxa"/>
            <w:shd w:val="clear" w:color="auto" w:fill="FFFFFF"/>
          </w:tcPr>
          <w:p w14:paraId="4B113845" w14:textId="51780E0F" w:rsidR="00BE71A2" w:rsidRPr="00B57B36" w:rsidRDefault="00702895" w:rsidP="00BE71A2">
            <w:pPr>
              <w:pStyle w:val="CETBodytext"/>
              <w:ind w:right="-1"/>
              <w:rPr>
                <w:rFonts w:cs="Arial"/>
                <w:szCs w:val="18"/>
                <w:lang w:val="en-GB"/>
              </w:rPr>
            </w:pPr>
            <w:r>
              <w:rPr>
                <w:rFonts w:cs="Arial"/>
                <w:szCs w:val="18"/>
                <w:lang w:val="en-GB"/>
              </w:rPr>
              <w:t>Occupational Health and Safety Division, Department of Labour, Skills and Immigration</w:t>
            </w:r>
          </w:p>
        </w:tc>
      </w:tr>
      <w:tr w:rsidR="00BE71A2" w:rsidRPr="00B57B36" w14:paraId="7E35218C" w14:textId="77777777" w:rsidTr="00702895">
        <w:tc>
          <w:tcPr>
            <w:tcW w:w="2835" w:type="dxa"/>
            <w:shd w:val="clear" w:color="auto" w:fill="FFFFFF"/>
          </w:tcPr>
          <w:p w14:paraId="19E4941D" w14:textId="3C8EED9F" w:rsidR="00BE71A2" w:rsidRPr="00B57B36" w:rsidRDefault="00BE71A2" w:rsidP="00BE71A2">
            <w:pPr>
              <w:pStyle w:val="CETBodytext"/>
              <w:ind w:right="-1"/>
              <w:rPr>
                <w:rFonts w:cs="Arial"/>
                <w:szCs w:val="18"/>
                <w:lang w:val="en-GB"/>
              </w:rPr>
            </w:pPr>
            <w:r>
              <w:rPr>
                <w:rFonts w:cs="Arial"/>
                <w:szCs w:val="18"/>
                <w:lang w:val="en-GB"/>
              </w:rPr>
              <w:t>Ontario</w:t>
            </w:r>
          </w:p>
        </w:tc>
        <w:tc>
          <w:tcPr>
            <w:tcW w:w="5245" w:type="dxa"/>
            <w:shd w:val="clear" w:color="auto" w:fill="FFFFFF"/>
          </w:tcPr>
          <w:p w14:paraId="7112EDAE" w14:textId="10032E29" w:rsidR="00BE71A2" w:rsidRPr="00B57B36" w:rsidRDefault="00702895" w:rsidP="00BE71A2">
            <w:pPr>
              <w:pStyle w:val="CETBodytext"/>
              <w:ind w:right="-1"/>
              <w:rPr>
                <w:rFonts w:cs="Arial"/>
                <w:szCs w:val="18"/>
                <w:lang w:val="en-GB"/>
              </w:rPr>
            </w:pPr>
            <w:r>
              <w:rPr>
                <w:rFonts w:cs="Arial"/>
                <w:szCs w:val="18"/>
                <w:lang w:val="en-GB"/>
              </w:rPr>
              <w:t>Ministry of Labour, Training and Skills Development</w:t>
            </w:r>
          </w:p>
        </w:tc>
      </w:tr>
      <w:tr w:rsidR="00BE71A2" w:rsidRPr="00B57B36" w14:paraId="69E7C462" w14:textId="77777777" w:rsidTr="00702895">
        <w:tc>
          <w:tcPr>
            <w:tcW w:w="2835" w:type="dxa"/>
            <w:shd w:val="clear" w:color="auto" w:fill="FFFFFF"/>
          </w:tcPr>
          <w:p w14:paraId="699E2FEB" w14:textId="6251AE78" w:rsidR="00BE71A2" w:rsidRPr="00702895" w:rsidRDefault="00BE71A2" w:rsidP="00702895">
            <w:pPr>
              <w:pStyle w:val="CETBodytext"/>
              <w:rPr>
                <w:rFonts w:cs="Arial"/>
                <w:szCs w:val="18"/>
                <w:lang w:val="en-GB"/>
              </w:rPr>
            </w:pPr>
            <w:r w:rsidRPr="00702895">
              <w:rPr>
                <w:rFonts w:cs="Arial"/>
                <w:szCs w:val="18"/>
                <w:lang w:val="en-GB"/>
              </w:rPr>
              <w:t>Prince Edward Island</w:t>
            </w:r>
          </w:p>
        </w:tc>
        <w:tc>
          <w:tcPr>
            <w:tcW w:w="5245" w:type="dxa"/>
            <w:shd w:val="clear" w:color="auto" w:fill="FFFFFF"/>
          </w:tcPr>
          <w:p w14:paraId="74A1452D" w14:textId="062E27DB" w:rsidR="00BE71A2" w:rsidRPr="00702895" w:rsidRDefault="00702895" w:rsidP="00702895">
            <w:pPr>
              <w:pStyle w:val="CETBodytext"/>
              <w:rPr>
                <w:rFonts w:cs="Arial"/>
                <w:szCs w:val="18"/>
                <w:lang w:val="en-GB"/>
              </w:rPr>
            </w:pPr>
            <w:r w:rsidRPr="00702895">
              <w:rPr>
                <w:rFonts w:cs="Arial"/>
                <w:szCs w:val="18"/>
                <w:lang w:val="en-GB"/>
              </w:rPr>
              <w:t>Workers’ Compensation Board</w:t>
            </w:r>
          </w:p>
        </w:tc>
      </w:tr>
      <w:tr w:rsidR="00BE71A2" w:rsidRPr="00B57B36" w14:paraId="4A823800" w14:textId="77777777" w:rsidTr="00702895">
        <w:tc>
          <w:tcPr>
            <w:tcW w:w="2835" w:type="dxa"/>
            <w:shd w:val="clear" w:color="auto" w:fill="FFFFFF"/>
          </w:tcPr>
          <w:p w14:paraId="20339713" w14:textId="004F5D2C" w:rsidR="00BE71A2" w:rsidRPr="00702895" w:rsidRDefault="00BE71A2" w:rsidP="00702895">
            <w:pPr>
              <w:pStyle w:val="CETBodytext"/>
              <w:rPr>
                <w:rFonts w:cs="Arial"/>
                <w:szCs w:val="18"/>
                <w:lang w:val="en-GB"/>
              </w:rPr>
            </w:pPr>
            <w:r w:rsidRPr="00702895">
              <w:rPr>
                <w:rFonts w:cs="Arial"/>
                <w:szCs w:val="18"/>
                <w:lang w:val="en-GB"/>
              </w:rPr>
              <w:t>Quebec</w:t>
            </w:r>
          </w:p>
        </w:tc>
        <w:tc>
          <w:tcPr>
            <w:tcW w:w="5245" w:type="dxa"/>
            <w:shd w:val="clear" w:color="auto" w:fill="FFFFFF"/>
          </w:tcPr>
          <w:p w14:paraId="763781FA" w14:textId="0320A625" w:rsidR="00BE71A2" w:rsidRPr="00702895" w:rsidRDefault="00702895" w:rsidP="00702895">
            <w:pPr>
              <w:pStyle w:val="CETBodytext"/>
              <w:rPr>
                <w:rFonts w:cs="Arial"/>
                <w:szCs w:val="18"/>
                <w:lang w:val="en-GB"/>
              </w:rPr>
            </w:pPr>
            <w:r w:rsidRPr="00702895">
              <w:rPr>
                <w:rFonts w:cs="Arial"/>
                <w:lang w:eastAsia="en-CA"/>
              </w:rPr>
              <w:t>Commission des normes, de l'équité, de la santé et de la sécurité du travail (CNESST)</w:t>
            </w:r>
          </w:p>
        </w:tc>
      </w:tr>
      <w:tr w:rsidR="00BE71A2" w:rsidRPr="00B57B36" w14:paraId="72BF0B21" w14:textId="77777777" w:rsidTr="00702895">
        <w:tc>
          <w:tcPr>
            <w:tcW w:w="2835" w:type="dxa"/>
            <w:shd w:val="clear" w:color="auto" w:fill="FFFFFF"/>
          </w:tcPr>
          <w:p w14:paraId="4218CDC6" w14:textId="01E59002" w:rsidR="00BE71A2" w:rsidRPr="00B57B36" w:rsidRDefault="00BE71A2" w:rsidP="00BE71A2">
            <w:pPr>
              <w:pStyle w:val="CETBodytext"/>
              <w:ind w:right="-1"/>
              <w:rPr>
                <w:rFonts w:cs="Arial"/>
                <w:szCs w:val="18"/>
                <w:lang w:val="en-GB"/>
              </w:rPr>
            </w:pPr>
            <w:r>
              <w:rPr>
                <w:rFonts w:cs="Arial"/>
                <w:szCs w:val="18"/>
                <w:lang w:val="en-GB"/>
              </w:rPr>
              <w:t>Saskatchewan</w:t>
            </w:r>
          </w:p>
        </w:tc>
        <w:tc>
          <w:tcPr>
            <w:tcW w:w="5245" w:type="dxa"/>
            <w:shd w:val="clear" w:color="auto" w:fill="FFFFFF"/>
          </w:tcPr>
          <w:p w14:paraId="4C9B0942" w14:textId="051CB55D" w:rsidR="00BE71A2" w:rsidRPr="00B57B36" w:rsidRDefault="00702895" w:rsidP="00BE71A2">
            <w:pPr>
              <w:pStyle w:val="CETBodytext"/>
              <w:ind w:right="-1"/>
              <w:rPr>
                <w:rFonts w:cs="Arial"/>
                <w:szCs w:val="18"/>
                <w:lang w:val="en-GB"/>
              </w:rPr>
            </w:pPr>
            <w:r>
              <w:rPr>
                <w:rFonts w:cs="Arial"/>
                <w:szCs w:val="18"/>
                <w:lang w:val="en-GB"/>
              </w:rPr>
              <w:t>WorkSafe Saskatchewan</w:t>
            </w:r>
          </w:p>
        </w:tc>
      </w:tr>
      <w:tr w:rsidR="00BE71A2" w:rsidRPr="00B57B36" w14:paraId="40F45F50" w14:textId="77777777" w:rsidTr="00702895">
        <w:tc>
          <w:tcPr>
            <w:tcW w:w="2835" w:type="dxa"/>
            <w:shd w:val="clear" w:color="auto" w:fill="FFFFFF"/>
          </w:tcPr>
          <w:p w14:paraId="5A78380F" w14:textId="43A95813" w:rsidR="00BE71A2" w:rsidRPr="00B57B36" w:rsidRDefault="00BE71A2" w:rsidP="00BE71A2">
            <w:pPr>
              <w:pStyle w:val="CETBodytext"/>
              <w:ind w:right="-1"/>
              <w:rPr>
                <w:rFonts w:cs="Arial"/>
                <w:szCs w:val="18"/>
                <w:lang w:val="en-GB"/>
              </w:rPr>
            </w:pPr>
            <w:r>
              <w:rPr>
                <w:rFonts w:cs="Arial"/>
                <w:szCs w:val="18"/>
                <w:lang w:val="en-GB"/>
              </w:rPr>
              <w:t>Yukon</w:t>
            </w:r>
          </w:p>
        </w:tc>
        <w:tc>
          <w:tcPr>
            <w:tcW w:w="5245" w:type="dxa"/>
            <w:shd w:val="clear" w:color="auto" w:fill="FFFFFF"/>
          </w:tcPr>
          <w:p w14:paraId="510B7E2D" w14:textId="06B90BFB" w:rsidR="00BE71A2" w:rsidRPr="00702895" w:rsidRDefault="00702895" w:rsidP="00702895">
            <w:pPr>
              <w:pStyle w:val="CETBodytext"/>
              <w:rPr>
                <w:rFonts w:cs="Arial"/>
                <w:szCs w:val="18"/>
                <w:lang w:val="en-GB"/>
              </w:rPr>
            </w:pPr>
            <w:r w:rsidRPr="00702895">
              <w:rPr>
                <w:rFonts w:cs="Arial"/>
                <w:lang w:eastAsia="en-CA"/>
              </w:rPr>
              <w:t>Occupational Health and Safety Branch</w:t>
            </w:r>
            <w:r>
              <w:rPr>
                <w:rFonts w:cs="Arial"/>
                <w:lang w:eastAsia="en-CA"/>
              </w:rPr>
              <w:t xml:space="preserve">, </w:t>
            </w:r>
            <w:r w:rsidRPr="00702895">
              <w:rPr>
                <w:rFonts w:cs="Arial"/>
                <w:lang w:eastAsia="en-CA"/>
              </w:rPr>
              <w:t>Yukon Workers' Compensation, Health and Safety Board</w:t>
            </w:r>
          </w:p>
        </w:tc>
      </w:tr>
    </w:tbl>
    <w:p w14:paraId="49B8EDF3" w14:textId="77777777" w:rsidR="00D742F2" w:rsidRDefault="00D742F2" w:rsidP="00D742F2">
      <w:pPr>
        <w:contextualSpacing/>
        <w:rPr>
          <w:rFonts w:cs="Arial"/>
          <w:lang w:eastAsia="en-CA"/>
        </w:rPr>
      </w:pPr>
    </w:p>
    <w:p w14:paraId="230332C7" w14:textId="1E99427F" w:rsidR="00D742F2" w:rsidRPr="00D742F2" w:rsidRDefault="00D742F2" w:rsidP="00D742F2">
      <w:pPr>
        <w:contextualSpacing/>
        <w:rPr>
          <w:rFonts w:cs="Arial"/>
          <w:lang w:eastAsia="en-CA"/>
        </w:rPr>
      </w:pPr>
      <w:r w:rsidRPr="00D742F2">
        <w:rPr>
          <w:rFonts w:cs="Arial"/>
          <w:lang w:eastAsia="en-CA"/>
        </w:rPr>
        <w:t>Legislative frameworks for O</w:t>
      </w:r>
      <w:r w:rsidR="00E93520">
        <w:rPr>
          <w:rFonts w:cs="Arial"/>
          <w:lang w:eastAsia="en-CA"/>
        </w:rPr>
        <w:t xml:space="preserve">HS </w:t>
      </w:r>
      <w:r w:rsidRPr="00D742F2">
        <w:rPr>
          <w:rFonts w:cs="Arial"/>
          <w:lang w:eastAsia="en-CA"/>
        </w:rPr>
        <w:t xml:space="preserve">typically adopt a hierarchical structure, with Acts representing the highest level. Acts, encompassing broad mandates such as </w:t>
      </w:r>
      <w:r w:rsidR="00E93520">
        <w:rPr>
          <w:rFonts w:cs="Arial"/>
          <w:lang w:eastAsia="en-CA"/>
        </w:rPr>
        <w:t>a</w:t>
      </w:r>
      <w:r w:rsidRPr="00D742F2">
        <w:rPr>
          <w:rFonts w:cs="Arial"/>
          <w:lang w:eastAsia="en-CA"/>
        </w:rPr>
        <w:t xml:space="preserve"> general duty clause, refrain from elaborating on specific hazards such as combustible dust. Falling under the Acts, regulations, codes, and guidelines provide specific criteria and guidance on how to achieve compliance. Most provinces and territories </w:t>
      </w:r>
      <w:r w:rsidR="00E93520">
        <w:rPr>
          <w:rFonts w:cs="Arial"/>
          <w:lang w:eastAsia="en-CA"/>
        </w:rPr>
        <w:t xml:space="preserve">in Canada </w:t>
      </w:r>
      <w:r w:rsidRPr="00D742F2">
        <w:rPr>
          <w:rFonts w:cs="Arial"/>
          <w:lang w:eastAsia="en-CA"/>
        </w:rPr>
        <w:t>have some reference to combustible dust at the regulation level, with varying levels of detail.</w:t>
      </w:r>
    </w:p>
    <w:p w14:paraId="71D51E14" w14:textId="5352B1CE" w:rsidR="00D742F2" w:rsidRDefault="00D742F2" w:rsidP="00D742F2">
      <w:pPr>
        <w:contextualSpacing/>
        <w:rPr>
          <w:rFonts w:cs="Arial"/>
          <w:lang w:eastAsia="en-CA"/>
        </w:rPr>
      </w:pPr>
      <w:r w:rsidRPr="00D742F2">
        <w:rPr>
          <w:rFonts w:cs="Arial"/>
          <w:lang w:eastAsia="en-CA"/>
        </w:rPr>
        <w:t>In general</w:t>
      </w:r>
      <w:r w:rsidR="009344D6">
        <w:rPr>
          <w:rFonts w:cs="Arial"/>
          <w:lang w:eastAsia="en-CA"/>
        </w:rPr>
        <w:t xml:space="preserve">, </w:t>
      </w:r>
      <w:r w:rsidRPr="00D742F2">
        <w:rPr>
          <w:rFonts w:cs="Arial"/>
          <w:lang w:eastAsia="en-CA"/>
        </w:rPr>
        <w:t>provincial and territorial OHS regulations discuss combustible dust in sections pertaining to specific industries or activities. Several jurisdictions do have general clauses related to combustible dust, but</w:t>
      </w:r>
      <w:r w:rsidR="009344D6">
        <w:rPr>
          <w:rFonts w:cs="Arial"/>
          <w:lang w:eastAsia="en-CA"/>
        </w:rPr>
        <w:t xml:space="preserve"> these have</w:t>
      </w:r>
      <w:r w:rsidRPr="00D742F2">
        <w:rPr>
          <w:rFonts w:cs="Arial"/>
          <w:lang w:eastAsia="en-CA"/>
        </w:rPr>
        <w:t xml:space="preserve"> minimal detail. For example, some regulations include dust in the definition of flammable and combustible substances and require reduction of explosive atmospheres and ignition sources, but do not offer specifics on dust hazards and mitigation</w:t>
      </w:r>
      <w:r w:rsidR="00E93520">
        <w:rPr>
          <w:rFonts w:cs="Arial"/>
          <w:lang w:eastAsia="en-CA"/>
        </w:rPr>
        <w:t xml:space="preserve"> measures</w:t>
      </w:r>
      <w:r w:rsidRPr="00D742F2">
        <w:rPr>
          <w:rFonts w:cs="Arial"/>
          <w:lang w:eastAsia="en-CA"/>
        </w:rPr>
        <w:t>. Nowhere in Canadian OHS regulations is there currently a section on the hazards associated with combustible dust encompassing all industries and providing specific details on how to appropriately manage</w:t>
      </w:r>
      <w:r w:rsidR="00182B03">
        <w:rPr>
          <w:rFonts w:cs="Arial"/>
          <w:lang w:eastAsia="en-CA"/>
        </w:rPr>
        <w:t xml:space="preserve"> the ensuing </w:t>
      </w:r>
      <w:r w:rsidRPr="00D742F2">
        <w:rPr>
          <w:rFonts w:cs="Arial"/>
          <w:lang w:eastAsia="en-CA"/>
        </w:rPr>
        <w:t>risk.</w:t>
      </w:r>
      <w:r w:rsidR="00E93520">
        <w:rPr>
          <w:rFonts w:cs="Arial"/>
          <w:lang w:eastAsia="en-CA"/>
        </w:rPr>
        <w:t xml:space="preserve"> This situation, however, is rapidly evolving.</w:t>
      </w:r>
    </w:p>
    <w:p w14:paraId="537AE1DA" w14:textId="3AD037CC" w:rsidR="00E93520" w:rsidRPr="00D742F2" w:rsidRDefault="00E93520" w:rsidP="00E93520">
      <w:pPr>
        <w:contextualSpacing/>
        <w:rPr>
          <w:rFonts w:cs="Arial"/>
          <w:lang w:eastAsia="en-CA"/>
        </w:rPr>
      </w:pPr>
      <w:r>
        <w:rPr>
          <w:rFonts w:cs="Arial"/>
          <w:lang w:eastAsia="en-CA"/>
        </w:rPr>
        <w:t>In 2012, the western Canadian province of British Columbia experienced two major sawmill explosions</w:t>
      </w:r>
      <w:r w:rsidR="009344D6">
        <w:rPr>
          <w:rFonts w:cs="Arial"/>
          <w:lang w:eastAsia="en-CA"/>
        </w:rPr>
        <w:t xml:space="preserve"> resulting in four deaths and 44 injuries</w:t>
      </w:r>
      <w:r>
        <w:rPr>
          <w:rFonts w:cs="Arial"/>
          <w:lang w:eastAsia="en-CA"/>
        </w:rPr>
        <w:t xml:space="preserve">. Much like the </w:t>
      </w:r>
      <w:r w:rsidR="009344D6">
        <w:rPr>
          <w:rFonts w:cs="Arial"/>
          <w:lang w:eastAsia="en-CA"/>
        </w:rPr>
        <w:t xml:space="preserve">1992 </w:t>
      </w:r>
      <w:r>
        <w:rPr>
          <w:rFonts w:cs="Arial"/>
          <w:lang w:eastAsia="en-CA"/>
        </w:rPr>
        <w:t>Westray mine explosion</w:t>
      </w:r>
      <w:r w:rsidR="009344D6">
        <w:rPr>
          <w:rFonts w:cs="Arial"/>
          <w:lang w:eastAsia="en-CA"/>
        </w:rPr>
        <w:t xml:space="preserve"> in Nova Scotia, these events have led the British Columbia government to</w:t>
      </w:r>
      <w:r w:rsidR="00182B03">
        <w:rPr>
          <w:rFonts w:cs="Arial"/>
          <w:lang w:eastAsia="en-CA"/>
        </w:rPr>
        <w:t xml:space="preserve"> develop</w:t>
      </w:r>
      <w:r w:rsidR="009344D6">
        <w:rPr>
          <w:rFonts w:cs="Arial"/>
          <w:lang w:eastAsia="en-CA"/>
        </w:rPr>
        <w:t xml:space="preserve"> new safety legislation – in this case, an all-industry detailed regulation specifically covering combustible dust hazards.</w:t>
      </w:r>
      <w:r w:rsidR="00182B03">
        <w:rPr>
          <w:rFonts w:cs="Arial"/>
          <w:lang w:eastAsia="en-CA"/>
        </w:rPr>
        <w:t xml:space="preserve"> </w:t>
      </w:r>
      <w:r w:rsidR="00AC7AD1">
        <w:rPr>
          <w:rFonts w:cs="Arial"/>
          <w:lang w:eastAsia="en-CA"/>
        </w:rPr>
        <w:t xml:space="preserve">Prominently featured in this work is the requirement for a Dust Hazard Analysis (DHA), which is a Process Hazard Analysis (PHA) tailored to combustible dust hazards. </w:t>
      </w:r>
      <w:r w:rsidR="00182B03">
        <w:rPr>
          <w:rFonts w:cs="Arial"/>
          <w:lang w:eastAsia="en-CA"/>
        </w:rPr>
        <w:t xml:space="preserve">At the time of writing the current paper, legislation enactment and enforcement </w:t>
      </w:r>
      <w:r w:rsidR="00AC7AD1">
        <w:rPr>
          <w:rFonts w:cs="Arial"/>
          <w:lang w:eastAsia="en-CA"/>
        </w:rPr>
        <w:t xml:space="preserve">is </w:t>
      </w:r>
      <w:r w:rsidR="00182B03">
        <w:rPr>
          <w:rFonts w:cs="Arial"/>
          <w:lang w:eastAsia="en-CA"/>
        </w:rPr>
        <w:t>imminent.</w:t>
      </w:r>
    </w:p>
    <w:p w14:paraId="13EF818D" w14:textId="60687AFB" w:rsidR="00560C19" w:rsidRPr="00163FFA" w:rsidRDefault="00182B03" w:rsidP="00AC7AD1">
      <w:pPr>
        <w:tabs>
          <w:tab w:val="clear" w:pos="7100"/>
        </w:tabs>
        <w:rPr>
          <w:rFonts w:cs="Arial"/>
          <w:lang w:eastAsia="en-CA"/>
        </w:rPr>
      </w:pPr>
      <w:r w:rsidRPr="00182B03">
        <w:rPr>
          <w:rFonts w:cs="Arial"/>
          <w:szCs w:val="18"/>
        </w:rPr>
        <w:t xml:space="preserve">Consistent with other provinces and territories (with the </w:t>
      </w:r>
      <w:r w:rsidR="00560C19">
        <w:rPr>
          <w:rFonts w:cs="Arial"/>
          <w:szCs w:val="18"/>
        </w:rPr>
        <w:t xml:space="preserve">above </w:t>
      </w:r>
      <w:r w:rsidRPr="00182B03">
        <w:rPr>
          <w:rFonts w:cs="Arial"/>
          <w:szCs w:val="18"/>
        </w:rPr>
        <w:t>exception of British Columbia</w:t>
      </w:r>
      <w:r w:rsidRPr="00AC7AD1">
        <w:rPr>
          <w:rFonts w:cs="Arial"/>
          <w:szCs w:val="18"/>
        </w:rPr>
        <w:t>), Nova Scotia</w:t>
      </w:r>
      <w:r w:rsidR="00AC7AD1" w:rsidRPr="00AC7AD1">
        <w:rPr>
          <w:rFonts w:cs="Arial"/>
          <w:szCs w:val="18"/>
        </w:rPr>
        <w:t xml:space="preserve"> </w:t>
      </w:r>
      <w:r w:rsidRPr="00AC7AD1">
        <w:rPr>
          <w:rFonts w:cs="Arial"/>
          <w:lang w:eastAsia="en-CA"/>
        </w:rPr>
        <w:t xml:space="preserve">does not have an all-encompassing regulation related to combustible dust mitigation and control. </w:t>
      </w:r>
      <w:r w:rsidR="00AC7AD1" w:rsidRPr="00AC7AD1">
        <w:rPr>
          <w:rFonts w:cs="Arial"/>
          <w:lang w:eastAsia="en-CA"/>
        </w:rPr>
        <w:t>Consistent again with other Canadian jurisdictions, t</w:t>
      </w:r>
      <w:r w:rsidRPr="00AC7AD1">
        <w:rPr>
          <w:rFonts w:cs="Arial"/>
          <w:lang w:eastAsia="en-CA"/>
        </w:rPr>
        <w:t>here are some references to combustible dust in sections applicable to specific industries and activities.</w:t>
      </w:r>
      <w:r w:rsidR="00AC7AD1" w:rsidRPr="00AC7AD1">
        <w:rPr>
          <w:rFonts w:cs="Arial"/>
          <w:lang w:eastAsia="en-CA"/>
        </w:rPr>
        <w:t xml:space="preserve"> M</w:t>
      </w:r>
      <w:r w:rsidRPr="00AC7AD1">
        <w:rPr>
          <w:rFonts w:cs="Arial"/>
          <w:lang w:eastAsia="en-CA"/>
        </w:rPr>
        <w:t>ost notable are the Underground Mining Regulations</w:t>
      </w:r>
      <w:r w:rsidR="00AC7AD1" w:rsidRPr="00AC7AD1">
        <w:rPr>
          <w:rFonts w:cs="Arial"/>
          <w:lang w:eastAsia="en-CA"/>
        </w:rPr>
        <w:t>, which</w:t>
      </w:r>
      <w:r w:rsidR="00560C19">
        <w:rPr>
          <w:rFonts w:cs="Arial"/>
          <w:lang w:eastAsia="en-CA"/>
        </w:rPr>
        <w:t xml:space="preserve"> provide</w:t>
      </w:r>
      <w:r w:rsidRPr="00AC7AD1">
        <w:rPr>
          <w:rFonts w:cs="Arial"/>
          <w:lang w:eastAsia="en-CA"/>
        </w:rPr>
        <w:t xml:space="preserve"> considerable detail on combustible dust hazards.</w:t>
      </w:r>
      <w:r w:rsidR="00AC7AD1" w:rsidRPr="00AC7AD1">
        <w:rPr>
          <w:rFonts w:cs="Arial"/>
          <w:szCs w:val="18"/>
        </w:rPr>
        <w:t xml:space="preserve"> </w:t>
      </w:r>
      <w:r w:rsidRPr="00AC7AD1">
        <w:rPr>
          <w:rFonts w:cs="Arial"/>
          <w:lang w:eastAsia="en-CA"/>
        </w:rPr>
        <w:t xml:space="preserve">While the general duty clauses and requirements for hazard assessments are designed to include all hazards and therefore encompass combustible dust, there is no specific </w:t>
      </w:r>
      <w:r w:rsidRPr="00560C19">
        <w:rPr>
          <w:rFonts w:cs="Arial"/>
          <w:lang w:eastAsia="en-CA"/>
        </w:rPr>
        <w:t>direction</w:t>
      </w:r>
      <w:r w:rsidR="00AC7AD1" w:rsidRPr="00560C19">
        <w:rPr>
          <w:rFonts w:cs="Arial"/>
          <w:lang w:eastAsia="en-CA"/>
        </w:rPr>
        <w:t xml:space="preserve"> in</w:t>
      </w:r>
      <w:r w:rsidRPr="00560C19">
        <w:rPr>
          <w:rFonts w:cs="Arial"/>
          <w:lang w:eastAsia="en-CA"/>
        </w:rPr>
        <w:t xml:space="preserve"> the regulations that applies across all industries and activities.</w:t>
      </w:r>
      <w:r w:rsidR="00560C19">
        <w:rPr>
          <w:rFonts w:cs="Arial"/>
          <w:lang w:eastAsia="en-CA"/>
        </w:rPr>
        <w:t xml:space="preserve"> T</w:t>
      </w:r>
      <w:r w:rsidR="00560C19" w:rsidRPr="00560C19">
        <w:rPr>
          <w:rFonts w:cs="Arial"/>
          <w:lang w:eastAsia="en-CA"/>
        </w:rPr>
        <w:t>her</w:t>
      </w:r>
      <w:r w:rsidR="00560C19">
        <w:rPr>
          <w:rFonts w:cs="Arial"/>
          <w:lang w:eastAsia="en-CA"/>
        </w:rPr>
        <w:t xml:space="preserve">e are, however, ongoing efforts aimed at improving </w:t>
      </w:r>
      <w:r w:rsidR="00560C19" w:rsidRPr="00560C19">
        <w:rPr>
          <w:rFonts w:cs="Arial"/>
          <w:lang w:eastAsia="en-CA"/>
        </w:rPr>
        <w:t xml:space="preserve">combustible dust awareness and management in </w:t>
      </w:r>
      <w:r w:rsidR="00560C19">
        <w:rPr>
          <w:rFonts w:cs="Arial"/>
          <w:lang w:eastAsia="en-CA"/>
        </w:rPr>
        <w:t xml:space="preserve">high-risk </w:t>
      </w:r>
      <w:r w:rsidR="00560C19" w:rsidRPr="00560C19">
        <w:rPr>
          <w:rFonts w:cs="Arial"/>
          <w:lang w:eastAsia="en-CA"/>
        </w:rPr>
        <w:t>areas.</w:t>
      </w:r>
      <w:r w:rsidR="00560C19">
        <w:rPr>
          <w:rFonts w:cs="Arial"/>
          <w:lang w:eastAsia="en-CA"/>
        </w:rPr>
        <w:t xml:space="preserve"> </w:t>
      </w:r>
      <w:r w:rsidR="00560C19" w:rsidRPr="00560C19">
        <w:rPr>
          <w:rFonts w:cs="Arial"/>
          <w:lang w:eastAsia="en-CA"/>
        </w:rPr>
        <w:t>These include</w:t>
      </w:r>
      <w:r w:rsidR="00560C19">
        <w:rPr>
          <w:rFonts w:cs="Arial"/>
          <w:lang w:eastAsia="en-CA"/>
        </w:rPr>
        <w:t xml:space="preserve"> a comprehensive review of dust collectors </w:t>
      </w:r>
      <w:r w:rsidR="00560C19" w:rsidRPr="00560C19">
        <w:rPr>
          <w:rFonts w:cs="Arial"/>
          <w:lang w:eastAsia="en-CA"/>
        </w:rPr>
        <w:t>in government buildings (2010),</w:t>
      </w:r>
      <w:r w:rsidR="00560C19">
        <w:rPr>
          <w:rFonts w:cs="Arial"/>
          <w:lang w:eastAsia="en-CA"/>
        </w:rPr>
        <w:t xml:space="preserve"> a </w:t>
      </w:r>
      <w:r w:rsidR="00560C19" w:rsidRPr="00560C19">
        <w:rPr>
          <w:rFonts w:cs="Arial"/>
          <w:lang w:eastAsia="en-CA"/>
        </w:rPr>
        <w:t xml:space="preserve">risk assessment </w:t>
      </w:r>
      <w:r w:rsidR="00560C19">
        <w:rPr>
          <w:rFonts w:cs="Arial"/>
          <w:lang w:eastAsia="en-CA"/>
        </w:rPr>
        <w:t xml:space="preserve">conducted for the grain elevator in the city of Halifax </w:t>
      </w:r>
      <w:r w:rsidR="00560C19" w:rsidRPr="00560C19">
        <w:rPr>
          <w:rFonts w:cs="Arial"/>
          <w:lang w:eastAsia="en-CA"/>
        </w:rPr>
        <w:t>(2022), and</w:t>
      </w:r>
      <w:r w:rsidR="00560C19">
        <w:rPr>
          <w:rFonts w:cs="Arial"/>
          <w:lang w:eastAsia="en-CA"/>
        </w:rPr>
        <w:t xml:space="preserve"> </w:t>
      </w:r>
      <w:r w:rsidR="00560C19" w:rsidRPr="00560C19">
        <w:rPr>
          <w:rFonts w:cs="Arial"/>
          <w:lang w:eastAsia="en-CA"/>
        </w:rPr>
        <w:t>upcoming publication of a Combustible Dust Reference Sheet.</w:t>
      </w:r>
    </w:p>
    <w:p w14:paraId="30114623" w14:textId="3B331CE1" w:rsidR="00943BB4" w:rsidRDefault="00943BB4" w:rsidP="00943BB4">
      <w:pPr>
        <w:pStyle w:val="CETHeading1"/>
        <w:rPr>
          <w:lang w:val="en-GB"/>
        </w:rPr>
      </w:pPr>
      <w:r>
        <w:rPr>
          <w:lang w:val="en-GB"/>
        </w:rPr>
        <w:lastRenderedPageBreak/>
        <w:t>Combustible Dust Training Materials</w:t>
      </w:r>
    </w:p>
    <w:p w14:paraId="3DC315ED" w14:textId="686F7029" w:rsidR="00AC7AD1" w:rsidRPr="00B45C29" w:rsidRDefault="00B45C29" w:rsidP="00AC7AD1">
      <w:pPr>
        <w:tabs>
          <w:tab w:val="clear" w:pos="7100"/>
        </w:tabs>
        <w:rPr>
          <w:rFonts w:cs="Arial"/>
          <w:szCs w:val="18"/>
        </w:rPr>
      </w:pPr>
      <w:r w:rsidRPr="00B45C29">
        <w:rPr>
          <w:rFonts w:cs="Arial"/>
          <w:szCs w:val="18"/>
        </w:rPr>
        <w:t>Development and dissemination of occupational training materials on combustible dust hazards,</w:t>
      </w:r>
      <w:r w:rsidR="007546A2">
        <w:rPr>
          <w:rFonts w:cs="Arial"/>
          <w:szCs w:val="18"/>
        </w:rPr>
        <w:t xml:space="preserve"> </w:t>
      </w:r>
      <w:r w:rsidRPr="00B45C29">
        <w:rPr>
          <w:rFonts w:cs="Arial"/>
          <w:szCs w:val="18"/>
        </w:rPr>
        <w:t>aimed at protection of the individual worker who is exposed to such hazards</w:t>
      </w:r>
      <w:r w:rsidR="007546A2">
        <w:rPr>
          <w:rFonts w:cs="Arial"/>
          <w:szCs w:val="18"/>
        </w:rPr>
        <w:t xml:space="preserve">, </w:t>
      </w:r>
      <w:r w:rsidR="003D45BC">
        <w:rPr>
          <w:rFonts w:cs="Arial"/>
          <w:szCs w:val="18"/>
        </w:rPr>
        <w:t xml:space="preserve">was </w:t>
      </w:r>
      <w:r w:rsidR="007546A2">
        <w:rPr>
          <w:rFonts w:cs="Arial"/>
          <w:szCs w:val="18"/>
        </w:rPr>
        <w:t>undertaken in accordance with the remainder of the PDCA steps (</w:t>
      </w:r>
      <w:r w:rsidR="007546A2" w:rsidRPr="00925054">
        <w:rPr>
          <w:rFonts w:cs="Arial"/>
          <w:bCs/>
          <w:color w:val="000000"/>
          <w:szCs w:val="18"/>
        </w:rPr>
        <w:t>setting appropriate learning o</w:t>
      </w:r>
      <w:r w:rsidR="00CD552B">
        <w:rPr>
          <w:rFonts w:cs="Arial"/>
          <w:bCs/>
          <w:color w:val="000000"/>
          <w:szCs w:val="18"/>
        </w:rPr>
        <w:t>bjectives</w:t>
      </w:r>
      <w:r w:rsidR="007546A2" w:rsidRPr="00925054">
        <w:rPr>
          <w:rFonts w:cs="Arial"/>
          <w:bCs/>
          <w:color w:val="000000"/>
          <w:szCs w:val="18"/>
        </w:rPr>
        <w:t>,</w:t>
      </w:r>
      <w:r w:rsidR="007546A2">
        <w:rPr>
          <w:rFonts w:cs="Arial"/>
          <w:bCs/>
          <w:color w:val="000000"/>
          <w:szCs w:val="18"/>
        </w:rPr>
        <w:t xml:space="preserve"> </w:t>
      </w:r>
      <w:r w:rsidR="007546A2" w:rsidRPr="00925054">
        <w:rPr>
          <w:rFonts w:cs="Arial"/>
          <w:bCs/>
          <w:color w:val="000000"/>
          <w:szCs w:val="18"/>
        </w:rPr>
        <w:t>deciding on presentation styles and preparing presentation materials, evaluating instruction, and</w:t>
      </w:r>
      <w:r w:rsidR="007546A2">
        <w:rPr>
          <w:rFonts w:cs="Arial"/>
          <w:bCs/>
          <w:color w:val="000000"/>
          <w:szCs w:val="18"/>
        </w:rPr>
        <w:t xml:space="preserve"> </w:t>
      </w:r>
      <w:r w:rsidR="007546A2" w:rsidRPr="00925054">
        <w:rPr>
          <w:rFonts w:cs="Arial"/>
          <w:bCs/>
          <w:color w:val="000000"/>
          <w:szCs w:val="18"/>
        </w:rPr>
        <w:t>providing feedback on instruction</w:t>
      </w:r>
      <w:r w:rsidR="007546A2">
        <w:rPr>
          <w:rFonts w:cs="Arial"/>
          <w:bCs/>
          <w:color w:val="000000"/>
          <w:szCs w:val="18"/>
        </w:rPr>
        <w:t>).</w:t>
      </w:r>
    </w:p>
    <w:p w14:paraId="2A34C593" w14:textId="7A195EEC" w:rsidR="00943BB4" w:rsidRDefault="00971ECB" w:rsidP="00943BB4">
      <w:pPr>
        <w:pStyle w:val="CETheadingx"/>
      </w:pPr>
      <w:r>
        <w:t>Setting appropriate learning o</w:t>
      </w:r>
      <w:r w:rsidR="00CD552B">
        <w:t>bjectives</w:t>
      </w:r>
    </w:p>
    <w:p w14:paraId="6F75646D" w14:textId="7B405D52" w:rsidR="00CD552B" w:rsidRDefault="00CD552B" w:rsidP="006F32FF">
      <w:pPr>
        <w:pStyle w:val="CETBodytext"/>
      </w:pPr>
      <w:r>
        <w:t>Bloom’s Taxonomy, in conjunction with the previously described needs analysis (Sections 2 and 3), provides a</w:t>
      </w:r>
      <w:r w:rsidR="00CC039F">
        <w:t xml:space="preserve"> practical</w:t>
      </w:r>
      <w:r>
        <w:t xml:space="preserve"> framework</w:t>
      </w:r>
      <w:r w:rsidR="003B3A17">
        <w:t xml:space="preserve"> to establish</w:t>
      </w:r>
      <w:r>
        <w:t xml:space="preserve"> learning (or instructional) objectives. The six levels in Bloom’s Taxonomy are as follows: (i) remember, (ii) understand, (iii) apply, (iv) analyze, (v) evaluate, and (vi) create (Waterloo, 2024).</w:t>
      </w:r>
      <w:r w:rsidR="00CC039F">
        <w:t xml:space="preserve"> This cognitive hierarchy can be coupled with appropriate action verbs (e.g., state, explain, or formulate) to avoid the use of leading verbs (e.g., know, learn, or appreciate) that are difficult to measure (Felder &amp; Brent, 1997). I</w:t>
      </w:r>
      <w:r w:rsidR="00CC039F" w:rsidRPr="00CC039F">
        <w:rPr>
          <w:lang w:val="en-CA"/>
        </w:rPr>
        <w:t>t is</w:t>
      </w:r>
      <w:r w:rsidR="00A124A9">
        <w:rPr>
          <w:lang w:val="en-CA"/>
        </w:rPr>
        <w:t xml:space="preserve"> therefore essential</w:t>
      </w:r>
      <w:r w:rsidR="00CC039F" w:rsidRPr="00CC039F">
        <w:rPr>
          <w:lang w:val="en-CA"/>
        </w:rPr>
        <w:t xml:space="preserve"> to consider what trainees should be asked to</w:t>
      </w:r>
      <w:r w:rsidR="003B3A17">
        <w:rPr>
          <w:lang w:val="en-CA"/>
        </w:rPr>
        <w:t xml:space="preserve"> do </w:t>
      </w:r>
      <w:r w:rsidR="00CC039F" w:rsidRPr="00CC039F">
        <w:rPr>
          <w:lang w:val="en-CA"/>
        </w:rPr>
        <w:t xml:space="preserve">to demonstrate their knowledge, learning, </w:t>
      </w:r>
      <w:r w:rsidR="003B3A17">
        <w:rPr>
          <w:lang w:val="en-CA"/>
        </w:rPr>
        <w:t xml:space="preserve">and </w:t>
      </w:r>
      <w:r w:rsidR="00CC039F" w:rsidRPr="00CC039F">
        <w:rPr>
          <w:lang w:val="en-CA"/>
        </w:rPr>
        <w:t>appreciatio</w:t>
      </w:r>
      <w:r w:rsidR="003B3A17">
        <w:rPr>
          <w:lang w:val="en-CA"/>
        </w:rPr>
        <w:t>n of a given topic; t</w:t>
      </w:r>
      <w:r w:rsidR="00CC039F" w:rsidRPr="00CC039F">
        <w:rPr>
          <w:lang w:val="en-CA"/>
        </w:rPr>
        <w:t xml:space="preserve">hese activities should then become the </w:t>
      </w:r>
      <w:r w:rsidR="003B3A17">
        <w:rPr>
          <w:lang w:val="en-CA"/>
        </w:rPr>
        <w:t>learning</w:t>
      </w:r>
      <w:r w:rsidR="00CC039F" w:rsidRPr="00CC039F">
        <w:rPr>
          <w:lang w:val="en-CA"/>
        </w:rPr>
        <w:t xml:space="preserve"> objectives</w:t>
      </w:r>
      <w:r w:rsidR="003B3A17">
        <w:rPr>
          <w:lang w:val="en-CA"/>
        </w:rPr>
        <w:t>.</w:t>
      </w:r>
    </w:p>
    <w:p w14:paraId="749ED0D1" w14:textId="42F55E9C" w:rsidR="006F32FF" w:rsidRPr="006F32FF" w:rsidRDefault="003B3A17" w:rsidP="006F32FF">
      <w:pPr>
        <w:pStyle w:val="CETBodytext"/>
      </w:pPr>
      <w:r>
        <w:t xml:space="preserve">The above approach was utilized to develop learning objectives </w:t>
      </w:r>
      <w:r w:rsidR="00D2042B">
        <w:t xml:space="preserve">as a necessary first step </w:t>
      </w:r>
      <w:r>
        <w:t xml:space="preserve">for each of the training modules described in Section 4.2. The learning objectives are, for the most part, centred around the cognitive levels of remembering, understanding, and applying. This is intentional, given that the </w:t>
      </w:r>
      <w:r w:rsidR="00C44F08">
        <w:t>combustible dust training material is primarily intended for frontline workers who are at the direct interface between the hazard and the individual. A process safety management (PSM) approach would require activities aimed at analysis, evaluation, and creation on a system-wide level. This is outside the scope of the current work, which should be viewed as complementary to the need for a PSM system to address combustible dust hazards.</w:t>
      </w:r>
    </w:p>
    <w:p w14:paraId="71C3BDD4" w14:textId="4DB36EF8" w:rsidR="006F32FF" w:rsidRPr="00943BB4" w:rsidRDefault="00971ECB" w:rsidP="006F32FF">
      <w:pPr>
        <w:pStyle w:val="CETheadingx"/>
      </w:pPr>
      <w:r>
        <w:t>Deciding on presentation styles and preparing presentation materials</w:t>
      </w:r>
    </w:p>
    <w:p w14:paraId="19CF9505" w14:textId="5BB4E3C2" w:rsidR="00522970" w:rsidRDefault="00194369" w:rsidP="006F32FF">
      <w:pPr>
        <w:pStyle w:val="CETBodytext"/>
      </w:pPr>
      <w:r>
        <w:t>The needs analysis (Sections 2 and 3) also informed the actual topics</w:t>
      </w:r>
      <w:r w:rsidR="00522970">
        <w:t xml:space="preserve"> selected </w:t>
      </w:r>
      <w:r>
        <w:t xml:space="preserve">for coverage in the training material. Based on </w:t>
      </w:r>
      <w:r w:rsidR="00522970">
        <w:t xml:space="preserve">the nature of </w:t>
      </w:r>
      <w:r>
        <w:t>previous</w:t>
      </w:r>
      <w:r w:rsidR="00760B4F">
        <w:t xml:space="preserve"> incid</w:t>
      </w:r>
      <w:r w:rsidR="00A21103">
        <w:t>en</w:t>
      </w:r>
      <w:r w:rsidR="00760B4F">
        <w:t>ts</w:t>
      </w:r>
      <w:r>
        <w:t xml:space="preserve"> in Nova Scotia (Section 2)</w:t>
      </w:r>
      <w:r w:rsidR="00522970">
        <w:t xml:space="preserve">, </w:t>
      </w:r>
      <w:r>
        <w:t>and the province’s approach to regulation of combustible dust hazards (Section 3), the</w:t>
      </w:r>
      <w:r w:rsidR="00522970">
        <w:t xml:space="preserve"> modules identified in Table 2</w:t>
      </w:r>
      <w:r>
        <w:t xml:space="preserve"> were developed</w:t>
      </w:r>
      <w:r w:rsidR="00522970">
        <w:t>.</w:t>
      </w:r>
    </w:p>
    <w:p w14:paraId="54742D5F" w14:textId="37319543" w:rsidR="00522970" w:rsidRPr="00B57B36" w:rsidRDefault="00522970" w:rsidP="00522970">
      <w:pPr>
        <w:pStyle w:val="CETTabletitle"/>
        <w:spacing w:line="264" w:lineRule="auto"/>
      </w:pPr>
      <w:r w:rsidRPr="00B57B36">
        <w:t xml:space="preserve">Table </w:t>
      </w:r>
      <w:r>
        <w:t>2</w:t>
      </w:r>
      <w:r w:rsidRPr="00B57B36">
        <w:t xml:space="preserve">: </w:t>
      </w:r>
      <w:r>
        <w:t>Combustible dust hazard training modules</w:t>
      </w:r>
    </w:p>
    <w:tbl>
      <w:tblPr>
        <w:tblW w:w="7650"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900"/>
        <w:gridCol w:w="6750"/>
      </w:tblGrid>
      <w:tr w:rsidR="00522970" w:rsidRPr="00B57B36" w14:paraId="63C4AB64" w14:textId="77777777" w:rsidTr="00E4389B">
        <w:tc>
          <w:tcPr>
            <w:tcW w:w="900" w:type="dxa"/>
            <w:tcBorders>
              <w:top w:val="single" w:sz="12" w:space="0" w:color="008000"/>
              <w:bottom w:val="single" w:sz="6" w:space="0" w:color="008000"/>
            </w:tcBorders>
            <w:shd w:val="clear" w:color="auto" w:fill="FFFFFF"/>
          </w:tcPr>
          <w:p w14:paraId="244E557D" w14:textId="38D228FD" w:rsidR="00522970" w:rsidRPr="00B57B36" w:rsidRDefault="00522970" w:rsidP="00DD6AA9">
            <w:pPr>
              <w:pStyle w:val="CETBodytext"/>
              <w:rPr>
                <w:lang w:val="en-GB"/>
              </w:rPr>
            </w:pPr>
            <w:r>
              <w:rPr>
                <w:lang w:val="en-GB"/>
              </w:rPr>
              <w:t>Number</w:t>
            </w:r>
          </w:p>
        </w:tc>
        <w:tc>
          <w:tcPr>
            <w:tcW w:w="6750" w:type="dxa"/>
            <w:tcBorders>
              <w:top w:val="single" w:sz="12" w:space="0" w:color="008000"/>
              <w:bottom w:val="single" w:sz="6" w:space="0" w:color="008000"/>
            </w:tcBorders>
            <w:shd w:val="clear" w:color="auto" w:fill="FFFFFF"/>
          </w:tcPr>
          <w:p w14:paraId="6C32611E" w14:textId="4DC91B76" w:rsidR="00522970" w:rsidRPr="00B57B36" w:rsidRDefault="00522970" w:rsidP="00DD6AA9">
            <w:pPr>
              <w:pStyle w:val="CETBodytext"/>
              <w:rPr>
                <w:lang w:val="en-GB"/>
              </w:rPr>
            </w:pPr>
            <w:r>
              <w:rPr>
                <w:lang w:val="en-GB"/>
              </w:rPr>
              <w:t>Title</w:t>
            </w:r>
          </w:p>
        </w:tc>
      </w:tr>
      <w:tr w:rsidR="00522970" w:rsidRPr="00B57B36" w14:paraId="5DED5AE4" w14:textId="77777777" w:rsidTr="00E4389B">
        <w:tc>
          <w:tcPr>
            <w:tcW w:w="900" w:type="dxa"/>
            <w:shd w:val="clear" w:color="auto" w:fill="FFFFFF"/>
          </w:tcPr>
          <w:p w14:paraId="0AEFFFF6" w14:textId="1403D725" w:rsidR="00522970" w:rsidRPr="00B57B36" w:rsidRDefault="00522970" w:rsidP="00DD6AA9">
            <w:pPr>
              <w:pStyle w:val="CETBodytext"/>
              <w:rPr>
                <w:lang w:val="en-GB"/>
              </w:rPr>
            </w:pPr>
            <w:r>
              <w:rPr>
                <w:lang w:val="en-GB"/>
              </w:rPr>
              <w:t>1</w:t>
            </w:r>
          </w:p>
        </w:tc>
        <w:tc>
          <w:tcPr>
            <w:tcW w:w="6750" w:type="dxa"/>
            <w:shd w:val="clear" w:color="auto" w:fill="FFFFFF"/>
          </w:tcPr>
          <w:p w14:paraId="343B31AC" w14:textId="4DE9A760" w:rsidR="00522970" w:rsidRPr="00522970" w:rsidRDefault="00522970" w:rsidP="00DD6AA9">
            <w:pPr>
              <w:pStyle w:val="CETBodytext"/>
            </w:pPr>
            <w:r>
              <w:t>Identification and Awareness of Combustible Dust Hazards and Your Right to Know</w:t>
            </w:r>
          </w:p>
        </w:tc>
      </w:tr>
      <w:tr w:rsidR="00522970" w:rsidRPr="00B57B36" w14:paraId="7D4D246A" w14:textId="77777777" w:rsidTr="00E4389B">
        <w:tc>
          <w:tcPr>
            <w:tcW w:w="900" w:type="dxa"/>
            <w:shd w:val="clear" w:color="auto" w:fill="FFFFFF"/>
          </w:tcPr>
          <w:p w14:paraId="75C4BAA3" w14:textId="15A6B478" w:rsidR="00522970" w:rsidRPr="00B57B36" w:rsidRDefault="00522970" w:rsidP="00DD6AA9">
            <w:pPr>
              <w:pStyle w:val="CETBodytext"/>
              <w:ind w:right="-1"/>
              <w:rPr>
                <w:rFonts w:cs="Arial"/>
                <w:szCs w:val="18"/>
                <w:lang w:val="en-GB"/>
              </w:rPr>
            </w:pPr>
            <w:r>
              <w:rPr>
                <w:rFonts w:cs="Arial"/>
                <w:szCs w:val="18"/>
                <w:lang w:val="en-GB"/>
              </w:rPr>
              <w:t>2</w:t>
            </w:r>
          </w:p>
        </w:tc>
        <w:tc>
          <w:tcPr>
            <w:tcW w:w="6750" w:type="dxa"/>
            <w:shd w:val="clear" w:color="auto" w:fill="FFFFFF"/>
          </w:tcPr>
          <w:p w14:paraId="1738E8F1" w14:textId="6025C6B9" w:rsidR="00522970" w:rsidRPr="00522970" w:rsidRDefault="00522970" w:rsidP="00522970">
            <w:pPr>
              <w:pStyle w:val="CETBodytext"/>
            </w:pPr>
            <w:r>
              <w:t>Examples of Combustible Dust Incidents in Nova Scotia</w:t>
            </w:r>
          </w:p>
        </w:tc>
      </w:tr>
      <w:tr w:rsidR="00522970" w:rsidRPr="00B57B36" w14:paraId="6E568F4C" w14:textId="77777777" w:rsidTr="00E4389B">
        <w:tc>
          <w:tcPr>
            <w:tcW w:w="900" w:type="dxa"/>
            <w:shd w:val="clear" w:color="auto" w:fill="FFFFFF"/>
          </w:tcPr>
          <w:p w14:paraId="137ADF8F" w14:textId="4B41D165" w:rsidR="00522970" w:rsidRDefault="00522970" w:rsidP="00DD6AA9">
            <w:pPr>
              <w:pStyle w:val="CETBodytext"/>
              <w:ind w:right="-1"/>
              <w:rPr>
                <w:rFonts w:cs="Arial"/>
                <w:szCs w:val="18"/>
                <w:lang w:val="en-GB"/>
              </w:rPr>
            </w:pPr>
            <w:r>
              <w:rPr>
                <w:rFonts w:cs="Arial"/>
                <w:szCs w:val="18"/>
                <w:lang w:val="en-GB"/>
              </w:rPr>
              <w:t>3</w:t>
            </w:r>
          </w:p>
        </w:tc>
        <w:tc>
          <w:tcPr>
            <w:tcW w:w="6750" w:type="dxa"/>
            <w:shd w:val="clear" w:color="auto" w:fill="FFFFFF"/>
          </w:tcPr>
          <w:p w14:paraId="6BDF3DE6" w14:textId="221B9994" w:rsidR="00522970" w:rsidRPr="00522970" w:rsidRDefault="00522970" w:rsidP="00522970">
            <w:pPr>
              <w:pStyle w:val="CETBodytext"/>
            </w:pPr>
            <w:r>
              <w:t>Ignition Sources</w:t>
            </w:r>
          </w:p>
        </w:tc>
      </w:tr>
      <w:tr w:rsidR="00522970" w:rsidRPr="00B57B36" w14:paraId="1F76A3CD" w14:textId="77777777" w:rsidTr="00E4389B">
        <w:tc>
          <w:tcPr>
            <w:tcW w:w="900" w:type="dxa"/>
            <w:shd w:val="clear" w:color="auto" w:fill="FFFFFF"/>
          </w:tcPr>
          <w:p w14:paraId="09C4426F" w14:textId="75EDEE35" w:rsidR="00522970" w:rsidRPr="00B57B36" w:rsidRDefault="00522970" w:rsidP="00DD6AA9">
            <w:pPr>
              <w:pStyle w:val="CETBodytext"/>
              <w:ind w:right="-1"/>
              <w:rPr>
                <w:rFonts w:cs="Arial"/>
                <w:szCs w:val="18"/>
                <w:lang w:val="en-GB"/>
              </w:rPr>
            </w:pPr>
            <w:r>
              <w:rPr>
                <w:rFonts w:cs="Arial"/>
                <w:szCs w:val="18"/>
                <w:lang w:val="en-GB"/>
              </w:rPr>
              <w:t>4</w:t>
            </w:r>
          </w:p>
        </w:tc>
        <w:tc>
          <w:tcPr>
            <w:tcW w:w="6750" w:type="dxa"/>
            <w:shd w:val="clear" w:color="auto" w:fill="FFFFFF"/>
          </w:tcPr>
          <w:p w14:paraId="49355E7C" w14:textId="31298D39" w:rsidR="00522970" w:rsidRPr="00522970" w:rsidRDefault="00522970" w:rsidP="00522970">
            <w:pPr>
              <w:pStyle w:val="CETBodytext"/>
            </w:pPr>
            <w:r>
              <w:t>Dust Processing and Handling Equipment at Risk of Fires and Explosions</w:t>
            </w:r>
          </w:p>
        </w:tc>
      </w:tr>
      <w:tr w:rsidR="00522970" w:rsidRPr="00B57B36" w14:paraId="033AD463" w14:textId="77777777" w:rsidTr="00E4389B">
        <w:tc>
          <w:tcPr>
            <w:tcW w:w="900" w:type="dxa"/>
            <w:shd w:val="clear" w:color="auto" w:fill="FFFFFF"/>
          </w:tcPr>
          <w:p w14:paraId="2576A067" w14:textId="5D9EA0ED" w:rsidR="00522970" w:rsidRPr="00B57B36" w:rsidRDefault="00522970" w:rsidP="00DD6AA9">
            <w:pPr>
              <w:pStyle w:val="CETBodytext"/>
              <w:ind w:right="-1"/>
              <w:rPr>
                <w:rFonts w:cs="Arial"/>
                <w:szCs w:val="18"/>
                <w:lang w:val="en-GB"/>
              </w:rPr>
            </w:pPr>
            <w:r>
              <w:rPr>
                <w:rFonts w:cs="Arial"/>
                <w:szCs w:val="18"/>
                <w:lang w:val="en-GB"/>
              </w:rPr>
              <w:t>5</w:t>
            </w:r>
          </w:p>
        </w:tc>
        <w:tc>
          <w:tcPr>
            <w:tcW w:w="6750" w:type="dxa"/>
            <w:shd w:val="clear" w:color="auto" w:fill="FFFFFF"/>
          </w:tcPr>
          <w:p w14:paraId="52F45A58" w14:textId="338D9AD4" w:rsidR="00522970" w:rsidRPr="00522970" w:rsidRDefault="00522970" w:rsidP="00522970">
            <w:pPr>
              <w:pStyle w:val="CETBodytext"/>
            </w:pPr>
            <w:r>
              <w:t>Identifying and Managing Hazardous Scenarios Involving Combustible Dust</w:t>
            </w:r>
          </w:p>
        </w:tc>
      </w:tr>
      <w:tr w:rsidR="00522970" w:rsidRPr="00B57B36" w14:paraId="60F22B22" w14:textId="77777777" w:rsidTr="00E4389B">
        <w:tc>
          <w:tcPr>
            <w:tcW w:w="900" w:type="dxa"/>
            <w:shd w:val="clear" w:color="auto" w:fill="FFFFFF"/>
          </w:tcPr>
          <w:p w14:paraId="54A58BB9" w14:textId="456DA712" w:rsidR="00522970" w:rsidRDefault="00522970" w:rsidP="00DD6AA9">
            <w:pPr>
              <w:pStyle w:val="CETBodytext"/>
              <w:ind w:right="-1"/>
              <w:rPr>
                <w:rFonts w:cs="Arial"/>
                <w:szCs w:val="18"/>
                <w:lang w:val="en-GB"/>
              </w:rPr>
            </w:pPr>
            <w:r>
              <w:rPr>
                <w:rFonts w:cs="Arial"/>
                <w:szCs w:val="18"/>
                <w:lang w:val="en-GB"/>
              </w:rPr>
              <w:t>6</w:t>
            </w:r>
          </w:p>
        </w:tc>
        <w:tc>
          <w:tcPr>
            <w:tcW w:w="6750" w:type="dxa"/>
            <w:shd w:val="clear" w:color="auto" w:fill="FFFFFF"/>
          </w:tcPr>
          <w:p w14:paraId="6DEE103F" w14:textId="3966B07E" w:rsidR="00522970" w:rsidRPr="00522970" w:rsidRDefault="00522970" w:rsidP="00522970">
            <w:pPr>
              <w:pStyle w:val="CETBodytext"/>
            </w:pPr>
            <w:r>
              <w:t>Controls for Combustible Dust Hazards</w:t>
            </w:r>
          </w:p>
        </w:tc>
      </w:tr>
      <w:tr w:rsidR="00522970" w:rsidRPr="00B57B36" w14:paraId="4F5DAC0C" w14:textId="77777777" w:rsidTr="00E4389B">
        <w:tc>
          <w:tcPr>
            <w:tcW w:w="900" w:type="dxa"/>
            <w:shd w:val="clear" w:color="auto" w:fill="FFFFFF"/>
          </w:tcPr>
          <w:p w14:paraId="052DD4C5" w14:textId="579E3322" w:rsidR="00522970" w:rsidRDefault="00522970" w:rsidP="00DD6AA9">
            <w:pPr>
              <w:pStyle w:val="CETBodytext"/>
              <w:ind w:right="-1"/>
              <w:rPr>
                <w:rFonts w:cs="Arial"/>
                <w:szCs w:val="18"/>
                <w:lang w:val="en-GB"/>
              </w:rPr>
            </w:pPr>
            <w:r>
              <w:rPr>
                <w:rFonts w:cs="Arial"/>
                <w:szCs w:val="18"/>
                <w:lang w:val="en-GB"/>
              </w:rPr>
              <w:t>7</w:t>
            </w:r>
          </w:p>
        </w:tc>
        <w:tc>
          <w:tcPr>
            <w:tcW w:w="6750" w:type="dxa"/>
            <w:shd w:val="clear" w:color="auto" w:fill="FFFFFF"/>
          </w:tcPr>
          <w:p w14:paraId="4A483673" w14:textId="4E487DF0" w:rsidR="00522970" w:rsidRPr="00E4389B" w:rsidRDefault="00E4389B" w:rsidP="00E4389B">
            <w:pPr>
              <w:pStyle w:val="CETBodytext"/>
            </w:pPr>
            <w:r>
              <w:t>Combustible Dust Hazards and Your Right to Refuse Unsafe Work</w:t>
            </w:r>
          </w:p>
        </w:tc>
      </w:tr>
      <w:tr w:rsidR="00522970" w:rsidRPr="00B57B36" w14:paraId="26168CF8" w14:textId="77777777" w:rsidTr="00E4389B">
        <w:tc>
          <w:tcPr>
            <w:tcW w:w="900" w:type="dxa"/>
            <w:shd w:val="clear" w:color="auto" w:fill="FFFFFF"/>
          </w:tcPr>
          <w:p w14:paraId="14638C80" w14:textId="4A2AC256" w:rsidR="00522970" w:rsidRDefault="00522970" w:rsidP="00DD6AA9">
            <w:pPr>
              <w:pStyle w:val="CETBodytext"/>
              <w:ind w:right="-1"/>
              <w:rPr>
                <w:rFonts w:cs="Arial"/>
                <w:szCs w:val="18"/>
                <w:lang w:val="en-GB"/>
              </w:rPr>
            </w:pPr>
            <w:r>
              <w:rPr>
                <w:rFonts w:cs="Arial"/>
                <w:szCs w:val="18"/>
                <w:lang w:val="en-GB"/>
              </w:rPr>
              <w:t>8</w:t>
            </w:r>
          </w:p>
        </w:tc>
        <w:tc>
          <w:tcPr>
            <w:tcW w:w="6750" w:type="dxa"/>
            <w:shd w:val="clear" w:color="auto" w:fill="FFFFFF"/>
          </w:tcPr>
          <w:p w14:paraId="4A11C099" w14:textId="0AA61303" w:rsidR="00522970" w:rsidRPr="00E4389B" w:rsidRDefault="00E4389B" w:rsidP="00E4389B">
            <w:pPr>
              <w:pStyle w:val="CETBodytext"/>
            </w:pPr>
            <w:r>
              <w:t>Combustible Dust Hazards and Your Right to Participate</w:t>
            </w:r>
          </w:p>
        </w:tc>
      </w:tr>
    </w:tbl>
    <w:p w14:paraId="1E62EEE9" w14:textId="77777777" w:rsidR="00522970" w:rsidRDefault="00522970" w:rsidP="006F32FF">
      <w:pPr>
        <w:pStyle w:val="CETBodytext"/>
        <w:rPr>
          <w:lang w:val="en-GB"/>
        </w:rPr>
      </w:pPr>
    </w:p>
    <w:p w14:paraId="748D42FC" w14:textId="23449443" w:rsidR="00522970" w:rsidRDefault="00E4389B" w:rsidP="006F32FF">
      <w:pPr>
        <w:pStyle w:val="CETBodytext"/>
        <w:rPr>
          <w:lang w:val="en-GB"/>
        </w:rPr>
      </w:pPr>
      <w:r>
        <w:rPr>
          <w:lang w:val="en-GB"/>
        </w:rPr>
        <w:t>The</w:t>
      </w:r>
      <w:r w:rsidR="00C0095A">
        <w:rPr>
          <w:lang w:val="en-GB"/>
        </w:rPr>
        <w:t xml:space="preserve"> presentation style</w:t>
      </w:r>
      <w:r>
        <w:rPr>
          <w:lang w:val="en-GB"/>
        </w:rPr>
        <w:t xml:space="preserve"> was selected </w:t>
      </w:r>
      <w:r w:rsidR="00C0095A">
        <w:rPr>
          <w:lang w:val="en-GB"/>
        </w:rPr>
        <w:t>to be</w:t>
      </w:r>
      <w:r>
        <w:rPr>
          <w:lang w:val="en-GB"/>
        </w:rPr>
        <w:t xml:space="preserve"> a series of focussed, text-based documents with multiple examples and extensive</w:t>
      </w:r>
      <w:r w:rsidR="00316107">
        <w:rPr>
          <w:lang w:val="en-GB"/>
        </w:rPr>
        <w:t xml:space="preserve"> </w:t>
      </w:r>
      <w:r>
        <w:rPr>
          <w:lang w:val="en-GB"/>
        </w:rPr>
        <w:t>graphics (</w:t>
      </w:r>
      <w:r w:rsidR="00D2042B">
        <w:rPr>
          <w:lang w:val="en-GB"/>
        </w:rPr>
        <w:t>diagrams</w:t>
      </w:r>
      <w:r>
        <w:rPr>
          <w:lang w:val="en-GB"/>
        </w:rPr>
        <w:t xml:space="preserve"> and photographs). These c</w:t>
      </w:r>
      <w:r w:rsidR="00B35550">
        <w:rPr>
          <w:lang w:val="en-GB"/>
        </w:rPr>
        <w:t>an</w:t>
      </w:r>
      <w:r>
        <w:rPr>
          <w:lang w:val="en-GB"/>
        </w:rPr>
        <w:t xml:space="preserve"> be used in either a self-study format or</w:t>
      </w:r>
      <w:r w:rsidR="00B35550">
        <w:rPr>
          <w:lang w:val="en-GB"/>
        </w:rPr>
        <w:t xml:space="preserve"> activities such as safety moments held before team meetings. The modules are accompanied by a guidesheet giving details of combustible dust resources available online, including videos and incident reports produced by the U</w:t>
      </w:r>
      <w:r w:rsidR="00760B4F">
        <w:rPr>
          <w:lang w:val="en-GB"/>
        </w:rPr>
        <w:t>.S.</w:t>
      </w:r>
      <w:r w:rsidR="00B35550">
        <w:rPr>
          <w:lang w:val="en-GB"/>
        </w:rPr>
        <w:t xml:space="preserve"> Chemical Safety and Hazard Investigation Board</w:t>
      </w:r>
      <w:r w:rsidR="00C0095A">
        <w:rPr>
          <w:lang w:val="en-GB"/>
        </w:rPr>
        <w:t xml:space="preserve"> (e.g., CSB,</w:t>
      </w:r>
      <w:r w:rsidR="00760B4F">
        <w:rPr>
          <w:lang w:val="en-GB"/>
        </w:rPr>
        <w:t xml:space="preserve"> 20</w:t>
      </w:r>
      <w:r w:rsidR="00961AF8">
        <w:rPr>
          <w:lang w:val="en-GB"/>
        </w:rPr>
        <w:t>09</w:t>
      </w:r>
      <w:r w:rsidR="0058405C">
        <w:rPr>
          <w:lang w:val="en-GB"/>
        </w:rPr>
        <w:t>, 2023</w:t>
      </w:r>
      <w:r w:rsidR="00C0095A">
        <w:rPr>
          <w:lang w:val="en-GB"/>
        </w:rPr>
        <w:t>).</w:t>
      </w:r>
      <w:r w:rsidR="00760B4F">
        <w:rPr>
          <w:lang w:val="en-GB"/>
        </w:rPr>
        <w:t xml:space="preserve"> T</w:t>
      </w:r>
      <w:r w:rsidR="00C0095A">
        <w:rPr>
          <w:lang w:val="en-GB"/>
        </w:rPr>
        <w:t>he overall training package</w:t>
      </w:r>
      <w:r w:rsidR="0058405C">
        <w:rPr>
          <w:lang w:val="en-GB"/>
        </w:rPr>
        <w:t xml:space="preserve"> will thus appeal </w:t>
      </w:r>
      <w:r w:rsidR="00C0095A">
        <w:rPr>
          <w:lang w:val="en-GB"/>
        </w:rPr>
        <w:t>to both reflective and active learners, as well as verbal and visual leaners (Felder, 1996).</w:t>
      </w:r>
    </w:p>
    <w:p w14:paraId="0C5DEC79" w14:textId="60810166" w:rsidR="00522970" w:rsidRDefault="00D2042B" w:rsidP="006F32FF">
      <w:pPr>
        <w:pStyle w:val="CETBodytext"/>
        <w:rPr>
          <w:lang w:val="en-GB"/>
        </w:rPr>
      </w:pPr>
      <w:r>
        <w:rPr>
          <w:lang w:val="en-GB"/>
        </w:rPr>
        <w:t>As mentioned in Section 4.1, the presentation material for each of the modules shown in Table 2 was developed by first identifying learning objectives specific to the topic. Representative examples are given in Table 3.</w:t>
      </w:r>
    </w:p>
    <w:p w14:paraId="7E1E6DBF" w14:textId="4B0B1035" w:rsidR="00D2042B" w:rsidRPr="00B57B36" w:rsidRDefault="00D2042B" w:rsidP="00D2042B">
      <w:pPr>
        <w:pStyle w:val="CETTabletitle"/>
        <w:spacing w:line="264" w:lineRule="auto"/>
      </w:pPr>
      <w:r w:rsidRPr="00B57B36">
        <w:t xml:space="preserve">Table </w:t>
      </w:r>
      <w:r>
        <w:t xml:space="preserve">3: Example learning objectives for </w:t>
      </w:r>
      <w:r w:rsidR="004C00A0">
        <w:t>dust hazard training modules</w:t>
      </w:r>
    </w:p>
    <w:tbl>
      <w:tblPr>
        <w:tblW w:w="8640"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900"/>
        <w:gridCol w:w="7740"/>
      </w:tblGrid>
      <w:tr w:rsidR="00D2042B" w:rsidRPr="00B57B36" w14:paraId="70BABDF6" w14:textId="77777777" w:rsidTr="007A3A21">
        <w:tc>
          <w:tcPr>
            <w:tcW w:w="900" w:type="dxa"/>
            <w:tcBorders>
              <w:top w:val="single" w:sz="12" w:space="0" w:color="008000"/>
              <w:bottom w:val="single" w:sz="6" w:space="0" w:color="008000"/>
            </w:tcBorders>
            <w:shd w:val="clear" w:color="auto" w:fill="FFFFFF"/>
          </w:tcPr>
          <w:p w14:paraId="4455CB60" w14:textId="311F98A4" w:rsidR="00D2042B" w:rsidRPr="00B57B36" w:rsidRDefault="00A124A9" w:rsidP="00DD6AA9">
            <w:pPr>
              <w:pStyle w:val="CETBodytext"/>
              <w:rPr>
                <w:lang w:val="en-GB"/>
              </w:rPr>
            </w:pPr>
            <w:r>
              <w:rPr>
                <w:lang w:val="en-GB"/>
              </w:rPr>
              <w:t>Module</w:t>
            </w:r>
          </w:p>
        </w:tc>
        <w:tc>
          <w:tcPr>
            <w:tcW w:w="7740" w:type="dxa"/>
            <w:tcBorders>
              <w:top w:val="single" w:sz="12" w:space="0" w:color="008000"/>
              <w:bottom w:val="single" w:sz="6" w:space="0" w:color="008000"/>
            </w:tcBorders>
            <w:shd w:val="clear" w:color="auto" w:fill="FFFFFF"/>
          </w:tcPr>
          <w:p w14:paraId="2A67F1FA" w14:textId="4068A7FA" w:rsidR="00D2042B" w:rsidRPr="00B57B36" w:rsidRDefault="007A3A21" w:rsidP="00DD6AA9">
            <w:pPr>
              <w:pStyle w:val="CETBodytext"/>
              <w:rPr>
                <w:lang w:val="en-GB"/>
              </w:rPr>
            </w:pPr>
            <w:r>
              <w:rPr>
                <w:lang w:val="en-GB"/>
              </w:rPr>
              <w:t>Learning Objective</w:t>
            </w:r>
          </w:p>
        </w:tc>
      </w:tr>
      <w:tr w:rsidR="00D2042B" w:rsidRPr="00B57B36" w14:paraId="3234F201" w14:textId="77777777" w:rsidTr="007A3A21">
        <w:tc>
          <w:tcPr>
            <w:tcW w:w="900" w:type="dxa"/>
            <w:shd w:val="clear" w:color="auto" w:fill="FFFFFF"/>
          </w:tcPr>
          <w:p w14:paraId="471684C5" w14:textId="77777777" w:rsidR="00D2042B" w:rsidRPr="00B57B36" w:rsidRDefault="00D2042B" w:rsidP="00DD6AA9">
            <w:pPr>
              <w:pStyle w:val="CETBodytext"/>
              <w:rPr>
                <w:lang w:val="en-GB"/>
              </w:rPr>
            </w:pPr>
            <w:r>
              <w:rPr>
                <w:lang w:val="en-GB"/>
              </w:rPr>
              <w:t>1</w:t>
            </w:r>
          </w:p>
        </w:tc>
        <w:tc>
          <w:tcPr>
            <w:tcW w:w="7740" w:type="dxa"/>
            <w:shd w:val="clear" w:color="auto" w:fill="FFFFFF"/>
          </w:tcPr>
          <w:p w14:paraId="45F063E4" w14:textId="0246B429" w:rsidR="00D2042B" w:rsidRPr="00522970" w:rsidRDefault="00A124A9" w:rsidP="00DD6AA9">
            <w:pPr>
              <w:pStyle w:val="CETBodytext"/>
            </w:pPr>
            <w:r>
              <w:t xml:space="preserve">Describe a worker’s right to know about how combustible dust hazards can affect their health and safety. </w:t>
            </w:r>
            <w:r w:rsidR="00760B4F">
              <w:t xml:space="preserve">Define </w:t>
            </w:r>
            <w:r>
              <w:t>“combustible dust”</w:t>
            </w:r>
            <w:r w:rsidR="00760B4F">
              <w:t xml:space="preserve">. </w:t>
            </w:r>
            <w:r>
              <w:t>State common materials known to be combustible as a dust.</w:t>
            </w:r>
          </w:p>
        </w:tc>
      </w:tr>
      <w:tr w:rsidR="00D2042B" w:rsidRPr="00B57B36" w14:paraId="7E5053C8" w14:textId="77777777" w:rsidTr="007A3A21">
        <w:tc>
          <w:tcPr>
            <w:tcW w:w="900" w:type="dxa"/>
            <w:shd w:val="clear" w:color="auto" w:fill="FFFFFF"/>
          </w:tcPr>
          <w:p w14:paraId="3434D17A" w14:textId="77777777" w:rsidR="00D2042B" w:rsidRPr="00B57B36" w:rsidRDefault="00D2042B" w:rsidP="00DD6AA9">
            <w:pPr>
              <w:pStyle w:val="CETBodytext"/>
              <w:ind w:right="-1"/>
              <w:rPr>
                <w:rFonts w:cs="Arial"/>
                <w:szCs w:val="18"/>
                <w:lang w:val="en-GB"/>
              </w:rPr>
            </w:pPr>
            <w:r>
              <w:rPr>
                <w:rFonts w:cs="Arial"/>
                <w:szCs w:val="18"/>
                <w:lang w:val="en-GB"/>
              </w:rPr>
              <w:t>2</w:t>
            </w:r>
          </w:p>
        </w:tc>
        <w:tc>
          <w:tcPr>
            <w:tcW w:w="7740" w:type="dxa"/>
            <w:shd w:val="clear" w:color="auto" w:fill="FFFFFF"/>
          </w:tcPr>
          <w:p w14:paraId="6955093D" w14:textId="59E1F2A8" w:rsidR="00A124A9" w:rsidRPr="00522970" w:rsidRDefault="00A124A9" w:rsidP="00DD6AA9">
            <w:pPr>
              <w:pStyle w:val="CETBodytext"/>
            </w:pPr>
            <w:r>
              <w:t xml:space="preserve">List </w:t>
            </w:r>
            <w:r w:rsidR="00760B4F">
              <w:t xml:space="preserve">at least </w:t>
            </w:r>
            <w:r>
              <w:t>three confirmed dust explosions that have occurred in Nova Scotia, including the type of combustible dust involved.</w:t>
            </w:r>
          </w:p>
        </w:tc>
      </w:tr>
      <w:tr w:rsidR="00A124A9" w:rsidRPr="00B57B36" w14:paraId="03992DE9" w14:textId="77777777" w:rsidTr="007A3A21">
        <w:tc>
          <w:tcPr>
            <w:tcW w:w="900" w:type="dxa"/>
            <w:shd w:val="clear" w:color="auto" w:fill="FFFFFF"/>
          </w:tcPr>
          <w:p w14:paraId="3DA4BE12" w14:textId="74D6FA17" w:rsidR="00A124A9" w:rsidRDefault="00760B4F" w:rsidP="00DD6AA9">
            <w:pPr>
              <w:pStyle w:val="CETBodytext"/>
              <w:ind w:right="-1"/>
              <w:rPr>
                <w:rFonts w:cs="Arial"/>
                <w:szCs w:val="18"/>
                <w:lang w:val="en-GB"/>
              </w:rPr>
            </w:pPr>
            <w:r>
              <w:rPr>
                <w:rFonts w:cs="Arial"/>
                <w:szCs w:val="18"/>
                <w:lang w:val="en-GB"/>
              </w:rPr>
              <w:t>4</w:t>
            </w:r>
          </w:p>
        </w:tc>
        <w:tc>
          <w:tcPr>
            <w:tcW w:w="7740" w:type="dxa"/>
            <w:shd w:val="clear" w:color="auto" w:fill="FFFFFF"/>
          </w:tcPr>
          <w:p w14:paraId="741C7A9F" w14:textId="6E036685" w:rsidR="00760B4F" w:rsidRDefault="00760B4F" w:rsidP="00DD6AA9">
            <w:pPr>
              <w:pStyle w:val="CETBodytext"/>
            </w:pPr>
            <w:r>
              <w:t>Identify a typical area in your own facility where a dust fire or explosion could occur.</w:t>
            </w:r>
          </w:p>
        </w:tc>
      </w:tr>
      <w:tr w:rsidR="00760B4F" w:rsidRPr="00B57B36" w14:paraId="1F76369D" w14:textId="77777777" w:rsidTr="007A3A21">
        <w:tc>
          <w:tcPr>
            <w:tcW w:w="900" w:type="dxa"/>
            <w:shd w:val="clear" w:color="auto" w:fill="FFFFFF"/>
          </w:tcPr>
          <w:p w14:paraId="63083DAF" w14:textId="1519DA03" w:rsidR="00760B4F" w:rsidRDefault="00760B4F" w:rsidP="00DD6AA9">
            <w:pPr>
              <w:pStyle w:val="CETBodytext"/>
              <w:ind w:right="-1"/>
              <w:rPr>
                <w:rFonts w:cs="Arial"/>
                <w:szCs w:val="18"/>
                <w:lang w:val="en-GB"/>
              </w:rPr>
            </w:pPr>
            <w:r>
              <w:rPr>
                <w:rFonts w:cs="Arial"/>
                <w:szCs w:val="18"/>
                <w:lang w:val="en-GB"/>
              </w:rPr>
              <w:t>6</w:t>
            </w:r>
          </w:p>
        </w:tc>
        <w:tc>
          <w:tcPr>
            <w:tcW w:w="7740" w:type="dxa"/>
            <w:shd w:val="clear" w:color="auto" w:fill="FFFFFF"/>
          </w:tcPr>
          <w:p w14:paraId="4E3341F5" w14:textId="25F3B089" w:rsidR="00760B4F" w:rsidRDefault="00760B4F" w:rsidP="00DD6AA9">
            <w:pPr>
              <w:pStyle w:val="CETBodytext"/>
            </w:pPr>
            <w:r>
              <w:t>Describe the hierarchy of controls. State the most preferred and effective type of control.</w:t>
            </w:r>
          </w:p>
        </w:tc>
      </w:tr>
      <w:tr w:rsidR="00760B4F" w:rsidRPr="00B57B36" w14:paraId="6874B9D8" w14:textId="77777777" w:rsidTr="007A3A21">
        <w:tc>
          <w:tcPr>
            <w:tcW w:w="900" w:type="dxa"/>
            <w:shd w:val="clear" w:color="auto" w:fill="FFFFFF"/>
          </w:tcPr>
          <w:p w14:paraId="2A748942" w14:textId="610A8ECD" w:rsidR="00760B4F" w:rsidRDefault="00760B4F" w:rsidP="00DD6AA9">
            <w:pPr>
              <w:pStyle w:val="CETBodytext"/>
              <w:ind w:right="-1"/>
              <w:rPr>
                <w:rFonts w:cs="Arial"/>
                <w:szCs w:val="18"/>
                <w:lang w:val="en-GB"/>
              </w:rPr>
            </w:pPr>
            <w:r>
              <w:rPr>
                <w:rFonts w:cs="Arial"/>
                <w:szCs w:val="18"/>
                <w:lang w:val="en-GB"/>
              </w:rPr>
              <w:t>8</w:t>
            </w:r>
          </w:p>
        </w:tc>
        <w:tc>
          <w:tcPr>
            <w:tcW w:w="7740" w:type="dxa"/>
            <w:shd w:val="clear" w:color="auto" w:fill="FFFFFF"/>
          </w:tcPr>
          <w:p w14:paraId="53C284FD" w14:textId="0F051003" w:rsidR="00760B4F" w:rsidRDefault="00760B4F" w:rsidP="00DD6AA9">
            <w:pPr>
              <w:pStyle w:val="CETBodytext"/>
            </w:pPr>
            <w:r>
              <w:t>State at least one activity you can undertake in your own organization to actively participate in addressing combustible dust hazards.</w:t>
            </w:r>
          </w:p>
        </w:tc>
      </w:tr>
    </w:tbl>
    <w:p w14:paraId="52F5CB60" w14:textId="04B167F1" w:rsidR="00137B3B" w:rsidRDefault="00933DA3" w:rsidP="006F32FF">
      <w:pPr>
        <w:pStyle w:val="CETBodytext"/>
      </w:pPr>
      <w:r>
        <w:lastRenderedPageBreak/>
        <w:t>Modules 1, 7, and 8 in Table 2 address the</w:t>
      </w:r>
      <w:r w:rsidR="00DC57A5">
        <w:t xml:space="preserve"> </w:t>
      </w:r>
      <w:r>
        <w:t>worker rights enshrined in the Nova Scotia Occupational Health and Safety Act (OHS, 2024): know, refuse, and participate, respectively. (See Section 2.) Because of the critical importance of these rights</w:t>
      </w:r>
      <w:r w:rsidR="00DC57A5">
        <w:t xml:space="preserve"> with regard to </w:t>
      </w:r>
      <w:r>
        <w:t>the internal responsibility system</w:t>
      </w:r>
      <w:r w:rsidR="00DC57A5">
        <w:t xml:space="preserve"> – the </w:t>
      </w:r>
      <w:r>
        <w:t>foundation of</w:t>
      </w:r>
      <w:r w:rsidR="00DC57A5">
        <w:t xml:space="preserve"> OHS (2024) – </w:t>
      </w:r>
      <w:r>
        <w:t>separate guidesheets were developed to accompany these</w:t>
      </w:r>
      <w:r w:rsidR="00DC57A5">
        <w:t xml:space="preserve"> </w:t>
      </w:r>
      <w:r>
        <w:t>modules</w:t>
      </w:r>
      <w:r w:rsidR="00DC57A5">
        <w:t>; an example is given in Figure 4.</w:t>
      </w:r>
      <w:r w:rsidR="00503175">
        <w:t>The</w:t>
      </w:r>
      <w:r w:rsidR="00137B3B">
        <w:t xml:space="preserve"> guidesheets were</w:t>
      </w:r>
      <w:r w:rsidR="00503175">
        <w:t xml:space="preserve"> modeled after the Process Safety Beacon</w:t>
      </w:r>
      <w:r w:rsidR="00137B3B">
        <w:t xml:space="preserve"> (CCPS, 2024) produced by the Center for Chemical Process Safety.</w:t>
      </w:r>
      <w:r w:rsidR="00DC57A5">
        <w:t xml:space="preserve"> </w:t>
      </w:r>
      <w:r w:rsidR="00137B3B">
        <w:t>As described by Hendershot (2019), the Beacon is a one-page document with photographs and other graphics, having a target audience of plant operators, maintenance workers, and other frontline personnel.</w:t>
      </w:r>
      <w:r w:rsidR="00DC57A5">
        <w:t xml:space="preserve"> The intent is to provide guidance on actions that can be taken within the scope of a worker’s job responsibility.</w:t>
      </w:r>
    </w:p>
    <w:p w14:paraId="1CFE60D4" w14:textId="3B1E892F" w:rsidR="001C6F4E" w:rsidRPr="001C6F4E" w:rsidRDefault="001C6F4E" w:rsidP="001C6F4E">
      <w:pPr>
        <w:pStyle w:val="CETBodytext"/>
        <w:rPr>
          <w:lang w:val="en-CA"/>
        </w:rPr>
      </w:pPr>
      <w:r w:rsidRPr="001C6F4E">
        <w:rPr>
          <w:noProof/>
          <w:lang w:val="en-CA"/>
        </w:rPr>
        <w:drawing>
          <wp:inline distT="0" distB="0" distL="0" distR="0" wp14:anchorId="676B5DE7" wp14:editId="4B970D71">
            <wp:extent cx="5579745" cy="7220585"/>
            <wp:effectExtent l="0" t="0" r="1905" b="0"/>
            <wp:docPr id="283401193"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401193" name="Picture 2" descr="A close-up of a documen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9745" cy="7220585"/>
                    </a:xfrm>
                    <a:prstGeom prst="rect">
                      <a:avLst/>
                    </a:prstGeom>
                    <a:noFill/>
                    <a:ln>
                      <a:noFill/>
                    </a:ln>
                  </pic:spPr>
                </pic:pic>
              </a:graphicData>
            </a:graphic>
          </wp:inline>
        </w:drawing>
      </w:r>
    </w:p>
    <w:p w14:paraId="4AF1D46B" w14:textId="28F1A641" w:rsidR="007A3A21" w:rsidRDefault="009600E8" w:rsidP="00F06495">
      <w:pPr>
        <w:pStyle w:val="CETBodytext"/>
        <w:rPr>
          <w:rStyle w:val="CETCaptionCarattere"/>
        </w:rPr>
      </w:pPr>
      <w:r w:rsidRPr="00BD077D">
        <w:rPr>
          <w:rStyle w:val="CETCaptionCarattere"/>
        </w:rPr>
        <w:t xml:space="preserve">Figure </w:t>
      </w:r>
      <w:r>
        <w:rPr>
          <w:rStyle w:val="CETCaptionCarattere"/>
        </w:rPr>
        <w:t>4</w:t>
      </w:r>
      <w:r w:rsidRPr="00BD077D">
        <w:rPr>
          <w:rStyle w:val="CETCaptionCarattere"/>
        </w:rPr>
        <w:t xml:space="preserve">: </w:t>
      </w:r>
      <w:r w:rsidR="00163FFA">
        <w:rPr>
          <w:rStyle w:val="CETCaptionCarattere"/>
        </w:rPr>
        <w:t>Example guidesheet from training material package</w:t>
      </w:r>
    </w:p>
    <w:p w14:paraId="32151B30" w14:textId="77777777" w:rsidR="007A3A21" w:rsidRPr="00943BB4" w:rsidRDefault="007A3A21" w:rsidP="007A3A21">
      <w:pPr>
        <w:pStyle w:val="CETheadingx"/>
      </w:pPr>
      <w:r>
        <w:lastRenderedPageBreak/>
        <w:t>Evaluating instruction</w:t>
      </w:r>
    </w:p>
    <w:p w14:paraId="6EC0C9DD" w14:textId="0E35E478" w:rsidR="007A3A21" w:rsidRDefault="007A3A21" w:rsidP="007A3A21">
      <w:pPr>
        <w:pStyle w:val="CETBodytext"/>
      </w:pPr>
      <w:r>
        <w:t xml:space="preserve">The objective </w:t>
      </w:r>
      <w:r w:rsidR="00A21103">
        <w:t>of</w:t>
      </w:r>
      <w:r>
        <w:t xml:space="preserve"> this step is to evaluate the</w:t>
      </w:r>
      <w:r w:rsidR="00A21103">
        <w:t xml:space="preserve"> competency</w:t>
      </w:r>
      <w:r>
        <w:t xml:space="preserve"> of both the trainers and trainees (i.e., instructors and learners) with respect to the desired learning o</w:t>
      </w:r>
      <w:r w:rsidR="00E507A3">
        <w:t>bjectives</w:t>
      </w:r>
      <w:r>
        <w:t>. This will be ongoing as the training material is disseminated to industry in Nova Scotia.</w:t>
      </w:r>
    </w:p>
    <w:p w14:paraId="4095A025" w14:textId="35B66862" w:rsidR="00A21103" w:rsidRPr="006F32FF" w:rsidRDefault="00A21103" w:rsidP="007A3A21">
      <w:pPr>
        <w:pStyle w:val="CETBodytext"/>
      </w:pPr>
      <w:r>
        <w:t xml:space="preserve">At the time of writing the current paper, </w:t>
      </w:r>
      <w:r w:rsidR="00E507A3">
        <w:t xml:space="preserve">planning is underway to trial </w:t>
      </w:r>
      <w:r>
        <w:t>a subset of the</w:t>
      </w:r>
      <w:r w:rsidR="00E507A3">
        <w:t xml:space="preserve"> training modules (Table 2) in a graduate-level university course on dust explosions. Although this is clearly not the intended audience of frontline, operational workers, it is anticipated that some revisions to module content will arise in terms of clarity of presentation and alignment with the stated learning objectives.</w:t>
      </w:r>
    </w:p>
    <w:p w14:paraId="750D23C9" w14:textId="77777777" w:rsidR="007A3A21" w:rsidRPr="00943BB4" w:rsidRDefault="007A3A21" w:rsidP="007A3A21">
      <w:pPr>
        <w:pStyle w:val="CETheadingx"/>
      </w:pPr>
      <w:r>
        <w:t>Providing feedback on instruction</w:t>
      </w:r>
    </w:p>
    <w:p w14:paraId="42B405C2" w14:textId="0F4DAA70" w:rsidR="00E03FC0" w:rsidRPr="006F32FF" w:rsidRDefault="007A3A21" w:rsidP="007A3A21">
      <w:pPr>
        <w:pStyle w:val="CETBodytext"/>
      </w:pPr>
      <w:r>
        <w:t xml:space="preserve">The objective </w:t>
      </w:r>
      <w:r w:rsidR="00A21103">
        <w:t>of</w:t>
      </w:r>
      <w:r>
        <w:t xml:space="preserve"> this step is to provide feedback to the trainers and trainees (i.e., instructors and </w:t>
      </w:r>
      <w:r w:rsidRPr="00F708C5">
        <w:t>learners</w:t>
      </w:r>
      <w:r>
        <w:t>) with respect to the efficacy of the training provided. Again, this will be ongoing as the training material is disseminated to industry in Nova Scotia.</w:t>
      </w:r>
      <w:r w:rsidR="000B2CCC">
        <w:t xml:space="preserve"> </w:t>
      </w:r>
      <w:r w:rsidR="00E507A3">
        <w:t>Also, as indicated in Section 4.3, the planned graduate-level trial will afford an opportunity for feedback to both sides of the learning equation.</w:t>
      </w:r>
    </w:p>
    <w:p w14:paraId="14B83A88" w14:textId="77777777" w:rsidR="007A3A21" w:rsidRPr="006F32FF" w:rsidRDefault="007A3A21" w:rsidP="007A3A21">
      <w:pPr>
        <w:pStyle w:val="CETHeading1"/>
        <w:rPr>
          <w:lang w:val="en-GB"/>
        </w:rPr>
      </w:pPr>
      <w:r w:rsidRPr="00B57B36">
        <w:rPr>
          <w:lang w:val="en-GB"/>
        </w:rPr>
        <w:t>Conclusion</w:t>
      </w:r>
    </w:p>
    <w:p w14:paraId="399020A9" w14:textId="14271E29" w:rsidR="00110A07" w:rsidRPr="00110A07" w:rsidRDefault="00C85923" w:rsidP="007A3A21">
      <w:pPr>
        <w:pStyle w:val="CETBodytext"/>
        <w:rPr>
          <w:lang w:val="en-GB"/>
        </w:rPr>
      </w:pPr>
      <w:r>
        <w:rPr>
          <w:lang w:val="en-GB"/>
        </w:rPr>
        <w:t>Combustible dusts are an insidious hazard that know</w:t>
      </w:r>
      <w:r w:rsidR="00E03FC0">
        <w:rPr>
          <w:lang w:val="en-GB"/>
        </w:rPr>
        <w:t xml:space="preserve"> </w:t>
      </w:r>
      <w:r>
        <w:rPr>
          <w:lang w:val="en-GB"/>
        </w:rPr>
        <w:t>no geographical or industrial boundaries. Risk reduction with respect to dust fires and explosions requires</w:t>
      </w:r>
      <w:r w:rsidR="00E03FC0">
        <w:rPr>
          <w:lang w:val="en-GB"/>
        </w:rPr>
        <w:t xml:space="preserve"> process safety initiatives for protection of people, business assets and operations, and the natural environment, as well as occupational safety considerations for protection of individual workers. The current work has demonstrated the usefulness of a needs analysis in the form of</w:t>
      </w:r>
      <w:r w:rsidR="00920748">
        <w:rPr>
          <w:lang w:val="en-GB"/>
        </w:rPr>
        <w:t xml:space="preserve"> incident and regulatory reviews</w:t>
      </w:r>
      <w:r w:rsidR="00110A07">
        <w:rPr>
          <w:lang w:val="en-GB"/>
        </w:rPr>
        <w:t xml:space="preserve"> to guide the development of training material. Early incorporation of appropriate learning objectives was also found to be essential to meeting the project objective of outreach to workers on the frontline of facilities handling and processing combustible dusts.</w:t>
      </w:r>
    </w:p>
    <w:p w14:paraId="0EB5D93B" w14:textId="77777777" w:rsidR="007A3A21" w:rsidRPr="00B57B36" w:rsidRDefault="007A3A21" w:rsidP="007A3A21">
      <w:pPr>
        <w:pStyle w:val="CETAcknowledgementstitle"/>
      </w:pPr>
      <w:r w:rsidRPr="00B57B36">
        <w:t>Acknowledgments</w:t>
      </w:r>
    </w:p>
    <w:p w14:paraId="715B73FD" w14:textId="77777777" w:rsidR="007A3A21" w:rsidRPr="002A03CB" w:rsidRDefault="007A3A21" w:rsidP="007A3A21">
      <w:pPr>
        <w:pStyle w:val="CETBodytext"/>
        <w:rPr>
          <w:lang w:val="en-GB"/>
        </w:rPr>
      </w:pPr>
      <w:r>
        <w:rPr>
          <w:lang w:val="en-GB"/>
        </w:rPr>
        <w:t>Funding under the Occupational Health and Safety Education Trust Fund administered by the Occupational Health and Safety Division of the Safety Branch (Nova Scotia Department of Labour, Skills and Immigration) is gratefully acknowledged.</w:t>
      </w:r>
    </w:p>
    <w:p w14:paraId="5C7D9CA8" w14:textId="77777777" w:rsidR="007A3A21" w:rsidRPr="00B57B36" w:rsidRDefault="007A3A21" w:rsidP="007A3A21">
      <w:pPr>
        <w:pStyle w:val="CETReference"/>
      </w:pPr>
      <w:r w:rsidRPr="00B57B36">
        <w:t>References</w:t>
      </w:r>
    </w:p>
    <w:p w14:paraId="59EFBAA9" w14:textId="77777777" w:rsidR="007A3A21" w:rsidRDefault="007A3A21" w:rsidP="007A3A21">
      <w:pPr>
        <w:ind w:left="284" w:hanging="284"/>
      </w:pPr>
      <w:r>
        <w:t>Amyotte, P.R., Clouthier, M.P., Khan, F.I., 2019, Dust explosions: An overview, Chapter 1 in Methods in Chemical Process Safety, Volume 3, P. Amyotte &amp; F. Khan (Editors), Elsevier/Academic Press, Cambridge, MA, pp. 1-5.</w:t>
      </w:r>
    </w:p>
    <w:p w14:paraId="5CD8D93B" w14:textId="77777777" w:rsidR="007A3A21" w:rsidRDefault="007A3A21" w:rsidP="007A3A21">
      <w:pPr>
        <w:ind w:left="284" w:hanging="284"/>
      </w:pPr>
      <w:r>
        <w:t>Amyotte, P.R., Lupien, C.S., 2017, Elements of process safety management, Chapter 3 in Methods in Chemical Process Safety, Volume 1, F. Khan (Editor), Elsevier/Academic Press, Cambridge, MA, pp. 87-148.</w:t>
      </w:r>
    </w:p>
    <w:p w14:paraId="0612A599" w14:textId="77777777" w:rsidR="007A3A21" w:rsidRDefault="007A3A21" w:rsidP="007A3A21">
      <w:pPr>
        <w:ind w:left="284" w:hanging="284"/>
      </w:pPr>
      <w:r>
        <w:t xml:space="preserve">CCPS, 2024, Process Safety Beacon, Center for Chemical Process Safety, American Institute of Chemical Engineers, New York, NY: </w:t>
      </w:r>
      <w:r w:rsidRPr="00552844">
        <w:t>https://www.aiche.org/ccps/process-safety-beacon</w:t>
      </w:r>
      <w:r>
        <w:t xml:space="preserve"> (last accessed Nov 17, 2024).</w:t>
      </w:r>
    </w:p>
    <w:p w14:paraId="1467870C" w14:textId="77777777" w:rsidR="007A3A21" w:rsidRDefault="007A3A21" w:rsidP="007A3A21">
      <w:pPr>
        <w:ind w:left="284" w:hanging="284"/>
      </w:pPr>
      <w:r>
        <w:t>Cloney, C., 2023, Combustible Dust Incident Report, Dust Safety Science, Halifax, Canada.</w:t>
      </w:r>
    </w:p>
    <w:p w14:paraId="2544005E" w14:textId="5ABD788D" w:rsidR="0058405C" w:rsidRDefault="0058405C" w:rsidP="0058405C">
      <w:pPr>
        <w:ind w:left="284" w:hanging="284"/>
      </w:pPr>
      <w:r>
        <w:t>CSB, 20</w:t>
      </w:r>
      <w:r w:rsidR="00961AF8">
        <w:t>09</w:t>
      </w:r>
      <w:r>
        <w:t xml:space="preserve">, </w:t>
      </w:r>
      <w:r w:rsidR="00612DFC">
        <w:t>Inferno: Dust Explosion at Imperial Sugar</w:t>
      </w:r>
      <w:r>
        <w:t>,</w:t>
      </w:r>
      <w:r w:rsidR="00350ABF">
        <w:t xml:space="preserve"> Video (9:29)</w:t>
      </w:r>
      <w:r>
        <w:t>, U.S. Chemical Safety and Hazard Investigation Board, Washington, DC.</w:t>
      </w:r>
    </w:p>
    <w:p w14:paraId="62B48E21" w14:textId="46F3DDBD" w:rsidR="007A3A21" w:rsidRDefault="007A3A21" w:rsidP="007A3A21">
      <w:pPr>
        <w:ind w:left="284" w:hanging="284"/>
      </w:pPr>
      <w:r>
        <w:t>CSB,</w:t>
      </w:r>
      <w:r w:rsidR="0058405C">
        <w:t xml:space="preserve"> 2023, Fatal Combustible Dust Explosions at Didion Milling Inc., Investigation Report No. 2017-07-I-WI, U.S. Chemical Safety and Hazard Investigation Board, Washington, DC.</w:t>
      </w:r>
    </w:p>
    <w:p w14:paraId="43BD7FB9" w14:textId="77777777" w:rsidR="007A3A21" w:rsidRDefault="007A3A21" w:rsidP="007A3A21">
      <w:pPr>
        <w:ind w:left="284" w:hanging="284"/>
      </w:pPr>
      <w:r>
        <w:t>DiBeradinis, L.J. (Editor), 1999, Handbook of Occupational Health and Safety, John Wiley &amp; Sons, Inc., New York, NY.</w:t>
      </w:r>
    </w:p>
    <w:p w14:paraId="57D9C016" w14:textId="77777777" w:rsidR="007A3A21" w:rsidRDefault="007A3A21" w:rsidP="007A3A21">
      <w:pPr>
        <w:ind w:left="284" w:hanging="284"/>
        <w:rPr>
          <w:lang w:val="en-CA"/>
        </w:rPr>
      </w:pPr>
      <w:r w:rsidRPr="00054D5F">
        <w:rPr>
          <w:lang w:val="en-CA"/>
        </w:rPr>
        <w:t>Di Menna</w:t>
      </w:r>
      <w:r>
        <w:rPr>
          <w:lang w:val="en-CA"/>
        </w:rPr>
        <w:t>,</w:t>
      </w:r>
      <w:r w:rsidRPr="00054D5F">
        <w:rPr>
          <w:lang w:val="en-CA"/>
        </w:rPr>
        <w:t xml:space="preserve"> J.</w:t>
      </w:r>
      <w:r>
        <w:rPr>
          <w:lang w:val="en-CA"/>
        </w:rPr>
        <w:t xml:space="preserve">, 2012, </w:t>
      </w:r>
      <w:r w:rsidRPr="00054D5F">
        <w:rPr>
          <w:lang w:val="en-CA"/>
        </w:rPr>
        <w:t>Safety haven</w:t>
      </w:r>
      <w:r>
        <w:rPr>
          <w:lang w:val="en-CA"/>
        </w:rPr>
        <w:t xml:space="preserve">, </w:t>
      </w:r>
      <w:r w:rsidRPr="00054D5F">
        <w:rPr>
          <w:lang w:val="en-CA"/>
        </w:rPr>
        <w:t>Canadian Chemical News</w:t>
      </w:r>
      <w:r>
        <w:rPr>
          <w:lang w:val="en-CA"/>
        </w:rPr>
        <w:t xml:space="preserve">, </w:t>
      </w:r>
      <w:r w:rsidRPr="00054D5F">
        <w:rPr>
          <w:lang w:val="en-CA"/>
        </w:rPr>
        <w:t>64</w:t>
      </w:r>
      <w:r>
        <w:rPr>
          <w:lang w:val="en-CA"/>
        </w:rPr>
        <w:t xml:space="preserve"> </w:t>
      </w:r>
      <w:r w:rsidRPr="00054D5F">
        <w:rPr>
          <w:lang w:val="en-CA"/>
        </w:rPr>
        <w:t>(9)</w:t>
      </w:r>
      <w:r>
        <w:rPr>
          <w:lang w:val="en-CA"/>
        </w:rPr>
        <w:t>, 24-27.</w:t>
      </w:r>
    </w:p>
    <w:p w14:paraId="57AAEAB3" w14:textId="3214ADE9" w:rsidR="007A3A21" w:rsidRDefault="007A3A21" w:rsidP="007A3A21">
      <w:pPr>
        <w:ind w:left="284" w:hanging="284"/>
        <w:rPr>
          <w:lang w:val="en-CA"/>
        </w:rPr>
      </w:pPr>
      <w:r>
        <w:rPr>
          <w:lang w:val="en-CA"/>
        </w:rPr>
        <w:t>Felder, R.M., 1996, Matter</w:t>
      </w:r>
      <w:r w:rsidR="0012013D">
        <w:rPr>
          <w:lang w:val="en-CA"/>
        </w:rPr>
        <w:t>s</w:t>
      </w:r>
      <w:r>
        <w:rPr>
          <w:lang w:val="en-CA"/>
        </w:rPr>
        <w:t xml:space="preserve"> of style, ASSE Prism, 6 (4), 18-23.</w:t>
      </w:r>
    </w:p>
    <w:p w14:paraId="52FAC5A5" w14:textId="77777777" w:rsidR="007A3A21" w:rsidRDefault="007A3A21" w:rsidP="007A3A21">
      <w:pPr>
        <w:ind w:left="284" w:hanging="284"/>
        <w:rPr>
          <w:lang w:val="en-CA"/>
        </w:rPr>
      </w:pPr>
      <w:r w:rsidRPr="00B44DB4">
        <w:rPr>
          <w:lang w:val="en-CA"/>
        </w:rPr>
        <w:t>Felder</w:t>
      </w:r>
      <w:r>
        <w:rPr>
          <w:lang w:val="en-CA"/>
        </w:rPr>
        <w:t>,</w:t>
      </w:r>
      <w:r w:rsidRPr="00B44DB4">
        <w:rPr>
          <w:lang w:val="en-CA"/>
        </w:rPr>
        <w:t xml:space="preserve"> R</w:t>
      </w:r>
      <w:r>
        <w:rPr>
          <w:lang w:val="en-CA"/>
        </w:rPr>
        <w:t>.</w:t>
      </w:r>
      <w:r w:rsidRPr="00B44DB4">
        <w:rPr>
          <w:lang w:val="en-CA"/>
        </w:rPr>
        <w:t>M</w:t>
      </w:r>
      <w:r>
        <w:rPr>
          <w:lang w:val="en-CA"/>
        </w:rPr>
        <w:t>. &amp;</w:t>
      </w:r>
      <w:r w:rsidRPr="00B44DB4">
        <w:rPr>
          <w:lang w:val="en-CA"/>
        </w:rPr>
        <w:t xml:space="preserve"> Brent R.</w:t>
      </w:r>
      <w:r>
        <w:rPr>
          <w:lang w:val="en-CA"/>
        </w:rPr>
        <w:t xml:space="preserve">, 1997, </w:t>
      </w:r>
      <w:r w:rsidRPr="00B44DB4">
        <w:rPr>
          <w:lang w:val="en-CA"/>
        </w:rPr>
        <w:t>Objectively speaking</w:t>
      </w:r>
      <w:r>
        <w:rPr>
          <w:lang w:val="en-CA"/>
        </w:rPr>
        <w:t>,</w:t>
      </w:r>
      <w:r w:rsidRPr="00B44DB4">
        <w:rPr>
          <w:lang w:val="en-CA"/>
        </w:rPr>
        <w:t xml:space="preserve"> Chemical Engineering Education</w:t>
      </w:r>
      <w:r>
        <w:rPr>
          <w:lang w:val="en-CA"/>
        </w:rPr>
        <w:t xml:space="preserve">, </w:t>
      </w:r>
      <w:r w:rsidRPr="00B44DB4">
        <w:rPr>
          <w:lang w:val="en-CA"/>
        </w:rPr>
        <w:t>31</w:t>
      </w:r>
      <w:r>
        <w:rPr>
          <w:lang w:val="en-CA"/>
        </w:rPr>
        <w:t xml:space="preserve">, </w:t>
      </w:r>
      <w:r w:rsidRPr="00B44DB4">
        <w:rPr>
          <w:lang w:val="en-CA"/>
        </w:rPr>
        <w:t>178</w:t>
      </w:r>
      <w:r>
        <w:rPr>
          <w:lang w:val="en-CA"/>
        </w:rPr>
        <w:t>-179.</w:t>
      </w:r>
    </w:p>
    <w:p w14:paraId="5B5479CE" w14:textId="4E770BA8" w:rsidR="000B2CCC" w:rsidRDefault="000B2CCC" w:rsidP="007A3A21">
      <w:pPr>
        <w:ind w:left="284" w:hanging="284"/>
        <w:rPr>
          <w:lang w:val="en-CA"/>
        </w:rPr>
      </w:pPr>
      <w:r>
        <w:rPr>
          <w:lang w:val="en-CA"/>
        </w:rPr>
        <w:t xml:space="preserve">Hendershot, D., Lessons from Dennis Hendershot, Section 29.3.3 in What Went Wrong? Case Histories of Process Plant Disasters and How They Could Have Been Avoided, </w:t>
      </w:r>
      <w:r>
        <w:t>6</w:t>
      </w:r>
      <w:r w:rsidRPr="00211452">
        <w:rPr>
          <w:vertAlign w:val="superscript"/>
        </w:rPr>
        <w:t>th</w:t>
      </w:r>
      <w:r>
        <w:t xml:space="preserve"> </w:t>
      </w:r>
      <w:r w:rsidR="00B05450">
        <w:t>E</w:t>
      </w:r>
      <w:r>
        <w:t>dition,</w:t>
      </w:r>
      <w:r w:rsidR="00B05450">
        <w:t xml:space="preserve"> T. Kletz &amp; P. Amyotte, </w:t>
      </w:r>
      <w:r>
        <w:t>Elsevier/Butterworth-Heinemann, Oxford, UK</w:t>
      </w:r>
      <w:r w:rsidR="00563E23">
        <w:t>, pp. 559-561.</w:t>
      </w:r>
    </w:p>
    <w:p w14:paraId="797D2501" w14:textId="77777777" w:rsidR="007A3A21" w:rsidRPr="009600E8" w:rsidRDefault="007A3A21" w:rsidP="007A3A21">
      <w:pPr>
        <w:ind w:left="284" w:hanging="284"/>
      </w:pPr>
      <w:r>
        <w:rPr>
          <w:lang w:val="en-CA"/>
        </w:rPr>
        <w:t>OHS, 2024, Occupational Health and Safety Act, Chapter 7 of the Acts of 1996, Province of Nova Scotia, Halifax, Canada.</w:t>
      </w:r>
    </w:p>
    <w:p w14:paraId="51017DF0" w14:textId="77777777" w:rsidR="007A3A21" w:rsidRDefault="007A3A21" w:rsidP="007A3A21">
      <w:pPr>
        <w:ind w:left="284" w:hanging="284"/>
        <w:rPr>
          <w:lang w:val="en-CA"/>
        </w:rPr>
      </w:pPr>
      <w:r w:rsidRPr="00054D5F">
        <w:rPr>
          <w:lang w:val="en-CA"/>
        </w:rPr>
        <w:t>Richard</w:t>
      </w:r>
      <w:r>
        <w:rPr>
          <w:lang w:val="en-CA"/>
        </w:rPr>
        <w:t>,</w:t>
      </w:r>
      <w:r w:rsidRPr="00054D5F">
        <w:rPr>
          <w:lang w:val="en-CA"/>
        </w:rPr>
        <w:t xml:space="preserve"> K</w:t>
      </w:r>
      <w:r>
        <w:rPr>
          <w:lang w:val="en-CA"/>
        </w:rPr>
        <w:t>.</w:t>
      </w:r>
      <w:r w:rsidRPr="00054D5F">
        <w:rPr>
          <w:lang w:val="en-CA"/>
        </w:rPr>
        <w:t>P</w:t>
      </w:r>
      <w:r>
        <w:rPr>
          <w:lang w:val="en-CA"/>
        </w:rPr>
        <w:t>.</w:t>
      </w:r>
      <w:r w:rsidRPr="00054D5F">
        <w:rPr>
          <w:lang w:val="en-CA"/>
        </w:rPr>
        <w:t>, Justice</w:t>
      </w:r>
      <w:r>
        <w:rPr>
          <w:lang w:val="en-CA"/>
        </w:rPr>
        <w:t>, 1997,</w:t>
      </w:r>
      <w:r w:rsidRPr="00054D5F">
        <w:rPr>
          <w:lang w:val="en-CA"/>
        </w:rPr>
        <w:t xml:space="preserve"> The Westray </w:t>
      </w:r>
      <w:r>
        <w:rPr>
          <w:lang w:val="en-CA"/>
        </w:rPr>
        <w:t>S</w:t>
      </w:r>
      <w:r w:rsidRPr="00054D5F">
        <w:rPr>
          <w:lang w:val="en-CA"/>
        </w:rPr>
        <w:t>tory</w:t>
      </w:r>
      <w:r>
        <w:rPr>
          <w:lang w:val="en-CA"/>
        </w:rPr>
        <w:t xml:space="preserve"> – A</w:t>
      </w:r>
      <w:r w:rsidRPr="00054D5F">
        <w:rPr>
          <w:lang w:val="en-CA"/>
        </w:rPr>
        <w:t xml:space="preserve"> </w:t>
      </w:r>
      <w:r>
        <w:rPr>
          <w:lang w:val="en-CA"/>
        </w:rPr>
        <w:t>P</w:t>
      </w:r>
      <w:r w:rsidRPr="00054D5F">
        <w:rPr>
          <w:lang w:val="en-CA"/>
        </w:rPr>
        <w:t xml:space="preserve">redictable </w:t>
      </w:r>
      <w:r>
        <w:rPr>
          <w:lang w:val="en-CA"/>
        </w:rPr>
        <w:t>P</w:t>
      </w:r>
      <w:r w:rsidRPr="00054D5F">
        <w:rPr>
          <w:lang w:val="en-CA"/>
        </w:rPr>
        <w:t xml:space="preserve">ath to </w:t>
      </w:r>
      <w:r>
        <w:rPr>
          <w:lang w:val="en-CA"/>
        </w:rPr>
        <w:t>D</w:t>
      </w:r>
      <w:r w:rsidRPr="00054D5F">
        <w:rPr>
          <w:lang w:val="en-CA"/>
        </w:rPr>
        <w:t>isaster</w:t>
      </w:r>
      <w:r>
        <w:rPr>
          <w:lang w:val="en-CA"/>
        </w:rPr>
        <w:t xml:space="preserve">, </w:t>
      </w:r>
      <w:r w:rsidRPr="00054D5F">
        <w:rPr>
          <w:lang w:val="en-CA"/>
        </w:rPr>
        <w:t>Report of the Westray Mine Public Inquiry</w:t>
      </w:r>
      <w:r>
        <w:rPr>
          <w:lang w:val="en-CA"/>
        </w:rPr>
        <w:t xml:space="preserve">, </w:t>
      </w:r>
      <w:r w:rsidRPr="00054D5F">
        <w:rPr>
          <w:lang w:val="en-CA"/>
        </w:rPr>
        <w:t>Province of Nova Scotia</w:t>
      </w:r>
      <w:r>
        <w:rPr>
          <w:lang w:val="en-CA"/>
        </w:rPr>
        <w:t>, Halifax, Canada.</w:t>
      </w:r>
    </w:p>
    <w:p w14:paraId="50D01150" w14:textId="59351C8D" w:rsidR="00DC57A5" w:rsidRPr="00E507A3" w:rsidRDefault="007A3A21" w:rsidP="00DC57A5">
      <w:pPr>
        <w:ind w:left="284" w:hanging="284"/>
        <w:rPr>
          <w:lang w:val="en-CA"/>
        </w:rPr>
      </w:pPr>
      <w:r>
        <w:rPr>
          <w:lang w:val="en-CA"/>
        </w:rPr>
        <w:t xml:space="preserve">Waterloo, 2024, Bloom’s Taxonomy, Centre for Teaching Excellence, University of Waterloo, Waterloo, Canada: </w:t>
      </w:r>
      <w:r w:rsidRPr="00552844">
        <w:rPr>
          <w:lang w:val="en-CA"/>
        </w:rPr>
        <w:t>https://uwaterloo.ca/centre-for-teaching-excellence/catalogs/tip-sheets/blooms-taxonomy</w:t>
      </w:r>
      <w:r>
        <w:rPr>
          <w:lang w:val="en-CA"/>
        </w:rPr>
        <w:t xml:space="preserve"> (last accessed Nov 17, 2024).</w:t>
      </w:r>
    </w:p>
    <w:sectPr w:rsidR="00DC57A5" w:rsidRPr="00E507A3"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B9941D" w14:textId="77777777" w:rsidR="000852E5" w:rsidRDefault="000852E5" w:rsidP="004F5E36">
      <w:r>
        <w:separator/>
      </w:r>
    </w:p>
  </w:endnote>
  <w:endnote w:type="continuationSeparator" w:id="0">
    <w:p w14:paraId="651113FC" w14:textId="77777777" w:rsidR="000852E5" w:rsidRDefault="000852E5"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9FDB5B" w14:textId="77777777" w:rsidR="000852E5" w:rsidRDefault="000852E5" w:rsidP="004F5E36">
      <w:r>
        <w:separator/>
      </w:r>
    </w:p>
  </w:footnote>
  <w:footnote w:type="continuationSeparator" w:id="0">
    <w:p w14:paraId="643C2541" w14:textId="77777777" w:rsidR="000852E5" w:rsidRDefault="000852E5"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556D70"/>
    <w:multiLevelType w:val="hybridMultilevel"/>
    <w:tmpl w:val="5E2297D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F954743"/>
    <w:multiLevelType w:val="hybridMultilevel"/>
    <w:tmpl w:val="86C83676"/>
    <w:lvl w:ilvl="0" w:tplc="10090001">
      <w:start w:val="1"/>
      <w:numFmt w:val="bullet"/>
      <w:lvlText w:val=""/>
      <w:lvlJc w:val="left"/>
      <w:pPr>
        <w:ind w:left="720" w:hanging="360"/>
      </w:pPr>
      <w:rPr>
        <w:rFonts w:ascii="Symbol" w:hAnsi="Symbol"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316882765">
    <w:abstractNumId w:val="12"/>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9"/>
  </w:num>
  <w:num w:numId="13" w16cid:durableId="695733619">
    <w:abstractNumId w:val="14"/>
  </w:num>
  <w:num w:numId="14" w16cid:durableId="145903400">
    <w:abstractNumId w:val="20"/>
  </w:num>
  <w:num w:numId="15" w16cid:durableId="19162326">
    <w:abstractNumId w:val="22"/>
  </w:num>
  <w:num w:numId="16" w16cid:durableId="1977102699">
    <w:abstractNumId w:val="21"/>
  </w:num>
  <w:num w:numId="17" w16cid:durableId="860774865">
    <w:abstractNumId w:val="13"/>
  </w:num>
  <w:num w:numId="18" w16cid:durableId="313221457">
    <w:abstractNumId w:val="14"/>
    <w:lvlOverride w:ilvl="0">
      <w:startOverride w:val="1"/>
    </w:lvlOverride>
  </w:num>
  <w:num w:numId="19" w16cid:durableId="534971577">
    <w:abstractNumId w:val="18"/>
  </w:num>
  <w:num w:numId="20" w16cid:durableId="1150947773">
    <w:abstractNumId w:val="17"/>
  </w:num>
  <w:num w:numId="21" w16cid:durableId="124660497">
    <w:abstractNumId w:val="16"/>
  </w:num>
  <w:num w:numId="22" w16cid:durableId="2099861471">
    <w:abstractNumId w:val="15"/>
  </w:num>
  <w:num w:numId="23" w16cid:durableId="84351335">
    <w:abstractNumId w:val="10"/>
  </w:num>
  <w:num w:numId="24" w16cid:durableId="366178331">
    <w:abstractNumId w:val="23"/>
  </w:num>
  <w:num w:numId="25" w16cid:durableId="189106885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3148D"/>
    <w:rsid w:val="00031EEC"/>
    <w:rsid w:val="00051566"/>
    <w:rsid w:val="00054D5F"/>
    <w:rsid w:val="000562A9"/>
    <w:rsid w:val="000607DA"/>
    <w:rsid w:val="00062A9A"/>
    <w:rsid w:val="00062E51"/>
    <w:rsid w:val="00065058"/>
    <w:rsid w:val="00084C2E"/>
    <w:rsid w:val="000852E5"/>
    <w:rsid w:val="00086C39"/>
    <w:rsid w:val="000A03B2"/>
    <w:rsid w:val="000A47BE"/>
    <w:rsid w:val="000B2CCC"/>
    <w:rsid w:val="000C2183"/>
    <w:rsid w:val="000D0268"/>
    <w:rsid w:val="000D34BE"/>
    <w:rsid w:val="000E0B3C"/>
    <w:rsid w:val="000E102F"/>
    <w:rsid w:val="000E188C"/>
    <w:rsid w:val="000E36F1"/>
    <w:rsid w:val="000E3A73"/>
    <w:rsid w:val="000E414A"/>
    <w:rsid w:val="000E75FD"/>
    <w:rsid w:val="000F093C"/>
    <w:rsid w:val="000F787B"/>
    <w:rsid w:val="00110A07"/>
    <w:rsid w:val="0012013D"/>
    <w:rsid w:val="0012091F"/>
    <w:rsid w:val="00126BC2"/>
    <w:rsid w:val="001308B6"/>
    <w:rsid w:val="0013121F"/>
    <w:rsid w:val="00131FE6"/>
    <w:rsid w:val="0013263F"/>
    <w:rsid w:val="001331DF"/>
    <w:rsid w:val="00134DE4"/>
    <w:rsid w:val="00137B3B"/>
    <w:rsid w:val="0014034D"/>
    <w:rsid w:val="00140FE3"/>
    <w:rsid w:val="00144D16"/>
    <w:rsid w:val="00150E59"/>
    <w:rsid w:val="00152DE3"/>
    <w:rsid w:val="00163FFA"/>
    <w:rsid w:val="00164CF9"/>
    <w:rsid w:val="001667A6"/>
    <w:rsid w:val="00176C49"/>
    <w:rsid w:val="0018171E"/>
    <w:rsid w:val="00182B03"/>
    <w:rsid w:val="00184AD6"/>
    <w:rsid w:val="00194369"/>
    <w:rsid w:val="001A4AF7"/>
    <w:rsid w:val="001B0349"/>
    <w:rsid w:val="001B1E93"/>
    <w:rsid w:val="001B65C1"/>
    <w:rsid w:val="001C260F"/>
    <w:rsid w:val="001C5C3A"/>
    <w:rsid w:val="001C684B"/>
    <w:rsid w:val="001C6F4E"/>
    <w:rsid w:val="001D0CFB"/>
    <w:rsid w:val="001D21AF"/>
    <w:rsid w:val="001D53FC"/>
    <w:rsid w:val="001F42A5"/>
    <w:rsid w:val="001F7B9D"/>
    <w:rsid w:val="00201C93"/>
    <w:rsid w:val="002224B4"/>
    <w:rsid w:val="002447EF"/>
    <w:rsid w:val="00251550"/>
    <w:rsid w:val="00263B05"/>
    <w:rsid w:val="0027221A"/>
    <w:rsid w:val="00275B61"/>
    <w:rsid w:val="00280FAF"/>
    <w:rsid w:val="00282656"/>
    <w:rsid w:val="00282A81"/>
    <w:rsid w:val="00296B83"/>
    <w:rsid w:val="002A03CB"/>
    <w:rsid w:val="002A55F0"/>
    <w:rsid w:val="002B4015"/>
    <w:rsid w:val="002B78CE"/>
    <w:rsid w:val="002C2FB6"/>
    <w:rsid w:val="002D4A01"/>
    <w:rsid w:val="002E50CD"/>
    <w:rsid w:val="002E5FA7"/>
    <w:rsid w:val="002F3309"/>
    <w:rsid w:val="002F4C09"/>
    <w:rsid w:val="003008CE"/>
    <w:rsid w:val="003009B7"/>
    <w:rsid w:val="00300E56"/>
    <w:rsid w:val="0030152C"/>
    <w:rsid w:val="0030469C"/>
    <w:rsid w:val="00316107"/>
    <w:rsid w:val="0032156A"/>
    <w:rsid w:val="003218BB"/>
    <w:rsid w:val="00321CA6"/>
    <w:rsid w:val="00323763"/>
    <w:rsid w:val="00323C5F"/>
    <w:rsid w:val="00334C09"/>
    <w:rsid w:val="00344EE7"/>
    <w:rsid w:val="00350ABF"/>
    <w:rsid w:val="003626A8"/>
    <w:rsid w:val="003723D4"/>
    <w:rsid w:val="00381905"/>
    <w:rsid w:val="00384CC8"/>
    <w:rsid w:val="003871FD"/>
    <w:rsid w:val="003A1E30"/>
    <w:rsid w:val="003A2829"/>
    <w:rsid w:val="003A7D1C"/>
    <w:rsid w:val="003B304B"/>
    <w:rsid w:val="003B3146"/>
    <w:rsid w:val="003B37CA"/>
    <w:rsid w:val="003B3A17"/>
    <w:rsid w:val="003B49CD"/>
    <w:rsid w:val="003C1287"/>
    <w:rsid w:val="003D1E02"/>
    <w:rsid w:val="003D45BC"/>
    <w:rsid w:val="003F015E"/>
    <w:rsid w:val="00400414"/>
    <w:rsid w:val="00400A09"/>
    <w:rsid w:val="0041446B"/>
    <w:rsid w:val="00414DAB"/>
    <w:rsid w:val="0044071E"/>
    <w:rsid w:val="0044329C"/>
    <w:rsid w:val="00453E24"/>
    <w:rsid w:val="00457456"/>
    <w:rsid w:val="004577FE"/>
    <w:rsid w:val="00457B9C"/>
    <w:rsid w:val="0046164A"/>
    <w:rsid w:val="004628D2"/>
    <w:rsid w:val="00462DCD"/>
    <w:rsid w:val="004648AD"/>
    <w:rsid w:val="004703A9"/>
    <w:rsid w:val="004760DE"/>
    <w:rsid w:val="004763D7"/>
    <w:rsid w:val="00485921"/>
    <w:rsid w:val="004965CD"/>
    <w:rsid w:val="004A004E"/>
    <w:rsid w:val="004A24CF"/>
    <w:rsid w:val="004C00A0"/>
    <w:rsid w:val="004C3D1D"/>
    <w:rsid w:val="004C3D84"/>
    <w:rsid w:val="004C7913"/>
    <w:rsid w:val="004E4DD6"/>
    <w:rsid w:val="004F0C21"/>
    <w:rsid w:val="004F5E36"/>
    <w:rsid w:val="00503175"/>
    <w:rsid w:val="00507B47"/>
    <w:rsid w:val="00507BEF"/>
    <w:rsid w:val="00507CC9"/>
    <w:rsid w:val="005119A5"/>
    <w:rsid w:val="00522970"/>
    <w:rsid w:val="005278B7"/>
    <w:rsid w:val="00532016"/>
    <w:rsid w:val="005346C8"/>
    <w:rsid w:val="005424FC"/>
    <w:rsid w:val="00543E7D"/>
    <w:rsid w:val="00547A68"/>
    <w:rsid w:val="00552844"/>
    <w:rsid w:val="005531C9"/>
    <w:rsid w:val="00554879"/>
    <w:rsid w:val="00560C19"/>
    <w:rsid w:val="00563E23"/>
    <w:rsid w:val="00570C43"/>
    <w:rsid w:val="0058405C"/>
    <w:rsid w:val="00592274"/>
    <w:rsid w:val="005A0BCC"/>
    <w:rsid w:val="005A6CC9"/>
    <w:rsid w:val="005B2110"/>
    <w:rsid w:val="005B350B"/>
    <w:rsid w:val="005B61E6"/>
    <w:rsid w:val="005C77E1"/>
    <w:rsid w:val="005D668A"/>
    <w:rsid w:val="005D6A2F"/>
    <w:rsid w:val="005E0592"/>
    <w:rsid w:val="005E1A82"/>
    <w:rsid w:val="005E794C"/>
    <w:rsid w:val="005F0A28"/>
    <w:rsid w:val="005F0E5E"/>
    <w:rsid w:val="00600535"/>
    <w:rsid w:val="00610CD6"/>
    <w:rsid w:val="00612DFC"/>
    <w:rsid w:val="00620DEE"/>
    <w:rsid w:val="00621F92"/>
    <w:rsid w:val="0062280A"/>
    <w:rsid w:val="006231E1"/>
    <w:rsid w:val="00625639"/>
    <w:rsid w:val="00631B33"/>
    <w:rsid w:val="0064184D"/>
    <w:rsid w:val="006422CC"/>
    <w:rsid w:val="00651D18"/>
    <w:rsid w:val="0065501E"/>
    <w:rsid w:val="00660E3E"/>
    <w:rsid w:val="00662E74"/>
    <w:rsid w:val="00675F8B"/>
    <w:rsid w:val="00680C23"/>
    <w:rsid w:val="00683E23"/>
    <w:rsid w:val="00691E27"/>
    <w:rsid w:val="00693617"/>
    <w:rsid w:val="00693766"/>
    <w:rsid w:val="006A3281"/>
    <w:rsid w:val="006A6DE5"/>
    <w:rsid w:val="006B1EFC"/>
    <w:rsid w:val="006B4888"/>
    <w:rsid w:val="006C2E45"/>
    <w:rsid w:val="006C359C"/>
    <w:rsid w:val="006C5579"/>
    <w:rsid w:val="006C6A81"/>
    <w:rsid w:val="006D6E8B"/>
    <w:rsid w:val="006D7209"/>
    <w:rsid w:val="006E737D"/>
    <w:rsid w:val="006F32FF"/>
    <w:rsid w:val="006F4B15"/>
    <w:rsid w:val="00702895"/>
    <w:rsid w:val="00707DD1"/>
    <w:rsid w:val="00713973"/>
    <w:rsid w:val="00720A24"/>
    <w:rsid w:val="00732386"/>
    <w:rsid w:val="0073514D"/>
    <w:rsid w:val="00742CF1"/>
    <w:rsid w:val="007447F3"/>
    <w:rsid w:val="007546A2"/>
    <w:rsid w:val="0075499F"/>
    <w:rsid w:val="00760B4F"/>
    <w:rsid w:val="007661C8"/>
    <w:rsid w:val="0077098D"/>
    <w:rsid w:val="007741D9"/>
    <w:rsid w:val="00775E71"/>
    <w:rsid w:val="00776D9A"/>
    <w:rsid w:val="00785BF9"/>
    <w:rsid w:val="007931FA"/>
    <w:rsid w:val="007A3A21"/>
    <w:rsid w:val="007A4861"/>
    <w:rsid w:val="007A7BBA"/>
    <w:rsid w:val="007B000A"/>
    <w:rsid w:val="007B0C50"/>
    <w:rsid w:val="007B48F9"/>
    <w:rsid w:val="007C1A43"/>
    <w:rsid w:val="007D0951"/>
    <w:rsid w:val="007D610D"/>
    <w:rsid w:val="007F418C"/>
    <w:rsid w:val="0080013E"/>
    <w:rsid w:val="00801759"/>
    <w:rsid w:val="008060BA"/>
    <w:rsid w:val="00813288"/>
    <w:rsid w:val="008168FC"/>
    <w:rsid w:val="00830996"/>
    <w:rsid w:val="008345F1"/>
    <w:rsid w:val="00865B07"/>
    <w:rsid w:val="008667EA"/>
    <w:rsid w:val="008711FC"/>
    <w:rsid w:val="00871383"/>
    <w:rsid w:val="00875469"/>
    <w:rsid w:val="0087637F"/>
    <w:rsid w:val="0088377E"/>
    <w:rsid w:val="00892AD5"/>
    <w:rsid w:val="008A1512"/>
    <w:rsid w:val="008C1DDA"/>
    <w:rsid w:val="008D32B9"/>
    <w:rsid w:val="008D433B"/>
    <w:rsid w:val="008D4A16"/>
    <w:rsid w:val="008E5401"/>
    <w:rsid w:val="008E566E"/>
    <w:rsid w:val="009008A9"/>
    <w:rsid w:val="0090161A"/>
    <w:rsid w:val="00901EB6"/>
    <w:rsid w:val="009041F8"/>
    <w:rsid w:val="00904C62"/>
    <w:rsid w:val="00920748"/>
    <w:rsid w:val="00922BA8"/>
    <w:rsid w:val="00924DAC"/>
    <w:rsid w:val="00925054"/>
    <w:rsid w:val="00927058"/>
    <w:rsid w:val="00933DA3"/>
    <w:rsid w:val="009344D6"/>
    <w:rsid w:val="00942750"/>
    <w:rsid w:val="00943BB4"/>
    <w:rsid w:val="009450CE"/>
    <w:rsid w:val="009459BB"/>
    <w:rsid w:val="00947179"/>
    <w:rsid w:val="0095164B"/>
    <w:rsid w:val="00954090"/>
    <w:rsid w:val="009559F2"/>
    <w:rsid w:val="009573E7"/>
    <w:rsid w:val="009600E8"/>
    <w:rsid w:val="00961AF8"/>
    <w:rsid w:val="00963E05"/>
    <w:rsid w:val="00964A45"/>
    <w:rsid w:val="00967843"/>
    <w:rsid w:val="00967D54"/>
    <w:rsid w:val="00971028"/>
    <w:rsid w:val="00971ECB"/>
    <w:rsid w:val="00993B84"/>
    <w:rsid w:val="009944D2"/>
    <w:rsid w:val="00994C6A"/>
    <w:rsid w:val="00996483"/>
    <w:rsid w:val="00996F5A"/>
    <w:rsid w:val="009B041A"/>
    <w:rsid w:val="009B5852"/>
    <w:rsid w:val="009C1C27"/>
    <w:rsid w:val="009C37C3"/>
    <w:rsid w:val="009C7C86"/>
    <w:rsid w:val="009D2FF7"/>
    <w:rsid w:val="009E7884"/>
    <w:rsid w:val="009E788A"/>
    <w:rsid w:val="009E7E5D"/>
    <w:rsid w:val="009F0E08"/>
    <w:rsid w:val="009F4607"/>
    <w:rsid w:val="00A079AE"/>
    <w:rsid w:val="00A124A9"/>
    <w:rsid w:val="00A1763D"/>
    <w:rsid w:val="00A17CEC"/>
    <w:rsid w:val="00A21103"/>
    <w:rsid w:val="00A27EF0"/>
    <w:rsid w:val="00A42361"/>
    <w:rsid w:val="00A50B20"/>
    <w:rsid w:val="00A51390"/>
    <w:rsid w:val="00A516FA"/>
    <w:rsid w:val="00A60D13"/>
    <w:rsid w:val="00A7223D"/>
    <w:rsid w:val="00A72745"/>
    <w:rsid w:val="00A76EFC"/>
    <w:rsid w:val="00A87D50"/>
    <w:rsid w:val="00A91010"/>
    <w:rsid w:val="00A97F29"/>
    <w:rsid w:val="00AA58B4"/>
    <w:rsid w:val="00AA702E"/>
    <w:rsid w:val="00AA7D26"/>
    <w:rsid w:val="00AB0964"/>
    <w:rsid w:val="00AB3F7E"/>
    <w:rsid w:val="00AB5011"/>
    <w:rsid w:val="00AB624F"/>
    <w:rsid w:val="00AC7368"/>
    <w:rsid w:val="00AC7AD1"/>
    <w:rsid w:val="00AD16B9"/>
    <w:rsid w:val="00AD5217"/>
    <w:rsid w:val="00AD64C3"/>
    <w:rsid w:val="00AE377D"/>
    <w:rsid w:val="00AE62E8"/>
    <w:rsid w:val="00AF0EBA"/>
    <w:rsid w:val="00AF2463"/>
    <w:rsid w:val="00B02C8A"/>
    <w:rsid w:val="00B05450"/>
    <w:rsid w:val="00B11D4C"/>
    <w:rsid w:val="00B17FBD"/>
    <w:rsid w:val="00B315A6"/>
    <w:rsid w:val="00B31813"/>
    <w:rsid w:val="00B33365"/>
    <w:rsid w:val="00B35550"/>
    <w:rsid w:val="00B44DB4"/>
    <w:rsid w:val="00B45C29"/>
    <w:rsid w:val="00B57B36"/>
    <w:rsid w:val="00B57E6F"/>
    <w:rsid w:val="00B70B49"/>
    <w:rsid w:val="00B8686D"/>
    <w:rsid w:val="00B93F69"/>
    <w:rsid w:val="00BB1DDC"/>
    <w:rsid w:val="00BB257D"/>
    <w:rsid w:val="00BC0717"/>
    <w:rsid w:val="00BC30C9"/>
    <w:rsid w:val="00BD077D"/>
    <w:rsid w:val="00BD6C87"/>
    <w:rsid w:val="00BE3E58"/>
    <w:rsid w:val="00BE666C"/>
    <w:rsid w:val="00BE71A2"/>
    <w:rsid w:val="00BF13CE"/>
    <w:rsid w:val="00C0095A"/>
    <w:rsid w:val="00C01616"/>
    <w:rsid w:val="00C0162B"/>
    <w:rsid w:val="00C068ED"/>
    <w:rsid w:val="00C1289A"/>
    <w:rsid w:val="00C228CB"/>
    <w:rsid w:val="00C22E0C"/>
    <w:rsid w:val="00C311A0"/>
    <w:rsid w:val="00C345B1"/>
    <w:rsid w:val="00C37CD0"/>
    <w:rsid w:val="00C40142"/>
    <w:rsid w:val="00C44F08"/>
    <w:rsid w:val="00C52C3C"/>
    <w:rsid w:val="00C57182"/>
    <w:rsid w:val="00C57863"/>
    <w:rsid w:val="00C640AF"/>
    <w:rsid w:val="00C64B63"/>
    <w:rsid w:val="00C655FD"/>
    <w:rsid w:val="00C75407"/>
    <w:rsid w:val="00C81C2C"/>
    <w:rsid w:val="00C841C6"/>
    <w:rsid w:val="00C85923"/>
    <w:rsid w:val="00C870A8"/>
    <w:rsid w:val="00C94434"/>
    <w:rsid w:val="00CA0D75"/>
    <w:rsid w:val="00CA1C95"/>
    <w:rsid w:val="00CA2331"/>
    <w:rsid w:val="00CA5A9C"/>
    <w:rsid w:val="00CC039F"/>
    <w:rsid w:val="00CC1909"/>
    <w:rsid w:val="00CC4C20"/>
    <w:rsid w:val="00CD3517"/>
    <w:rsid w:val="00CD552B"/>
    <w:rsid w:val="00CD5FE2"/>
    <w:rsid w:val="00CD7AA5"/>
    <w:rsid w:val="00CE7C68"/>
    <w:rsid w:val="00D02B4C"/>
    <w:rsid w:val="00D040C4"/>
    <w:rsid w:val="00D2042B"/>
    <w:rsid w:val="00D20AD1"/>
    <w:rsid w:val="00D2200A"/>
    <w:rsid w:val="00D2582C"/>
    <w:rsid w:val="00D46B7E"/>
    <w:rsid w:val="00D51F7A"/>
    <w:rsid w:val="00D57C84"/>
    <w:rsid w:val="00D6057D"/>
    <w:rsid w:val="00D64976"/>
    <w:rsid w:val="00D71640"/>
    <w:rsid w:val="00D742F2"/>
    <w:rsid w:val="00D836C5"/>
    <w:rsid w:val="00D84576"/>
    <w:rsid w:val="00DA1399"/>
    <w:rsid w:val="00DA24C6"/>
    <w:rsid w:val="00DA4D7B"/>
    <w:rsid w:val="00DB0F6C"/>
    <w:rsid w:val="00DB5D6D"/>
    <w:rsid w:val="00DC2840"/>
    <w:rsid w:val="00DC57A5"/>
    <w:rsid w:val="00DC73EE"/>
    <w:rsid w:val="00DD271C"/>
    <w:rsid w:val="00DE264A"/>
    <w:rsid w:val="00DF5072"/>
    <w:rsid w:val="00E02D18"/>
    <w:rsid w:val="00E03FC0"/>
    <w:rsid w:val="00E041E7"/>
    <w:rsid w:val="00E23CA1"/>
    <w:rsid w:val="00E37256"/>
    <w:rsid w:val="00E409A8"/>
    <w:rsid w:val="00E4389B"/>
    <w:rsid w:val="00E44345"/>
    <w:rsid w:val="00E44872"/>
    <w:rsid w:val="00E507A3"/>
    <w:rsid w:val="00E50C12"/>
    <w:rsid w:val="00E54D34"/>
    <w:rsid w:val="00E65B91"/>
    <w:rsid w:val="00E7209D"/>
    <w:rsid w:val="00E72EAD"/>
    <w:rsid w:val="00E76B18"/>
    <w:rsid w:val="00E77223"/>
    <w:rsid w:val="00E8528B"/>
    <w:rsid w:val="00E85B94"/>
    <w:rsid w:val="00E93520"/>
    <w:rsid w:val="00E978D0"/>
    <w:rsid w:val="00EA4613"/>
    <w:rsid w:val="00EA7F91"/>
    <w:rsid w:val="00EB1523"/>
    <w:rsid w:val="00EC0E49"/>
    <w:rsid w:val="00EC101F"/>
    <w:rsid w:val="00EC1D9F"/>
    <w:rsid w:val="00EE0131"/>
    <w:rsid w:val="00EE17B0"/>
    <w:rsid w:val="00EF06D9"/>
    <w:rsid w:val="00EF1D6D"/>
    <w:rsid w:val="00F06495"/>
    <w:rsid w:val="00F27EE4"/>
    <w:rsid w:val="00F3049E"/>
    <w:rsid w:val="00F30C64"/>
    <w:rsid w:val="00F32BA2"/>
    <w:rsid w:val="00F32CDB"/>
    <w:rsid w:val="00F41EE4"/>
    <w:rsid w:val="00F565FE"/>
    <w:rsid w:val="00F63A70"/>
    <w:rsid w:val="00F63D8C"/>
    <w:rsid w:val="00F708C5"/>
    <w:rsid w:val="00F7534E"/>
    <w:rsid w:val="00F801D6"/>
    <w:rsid w:val="00F93EDF"/>
    <w:rsid w:val="00FA091F"/>
    <w:rsid w:val="00FA1802"/>
    <w:rsid w:val="00FA21D0"/>
    <w:rsid w:val="00FA5F5F"/>
    <w:rsid w:val="00FB63B7"/>
    <w:rsid w:val="00FB730C"/>
    <w:rsid w:val="00FC0318"/>
    <w:rsid w:val="00FC2695"/>
    <w:rsid w:val="00FC3E03"/>
    <w:rsid w:val="00FC3FC1"/>
    <w:rsid w:val="00FD1350"/>
    <w:rsid w:val="00FF7955"/>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qFormat/>
    <w:rsid w:val="00280FAF"/>
    <w:pPr>
      <w:ind w:left="720"/>
      <w:contextualSpacing/>
    </w:pPr>
  </w:style>
  <w:style w:type="character" w:customStyle="1" w:styleId="gmail-apple-converted-space">
    <w:name w:val="gmail-apple-converted-space"/>
    <w:basedOn w:val="DefaultParagraphFont"/>
    <w:rsid w:val="00005A19"/>
  </w:style>
  <w:style w:type="character" w:styleId="UnresolvedMention">
    <w:name w:val="Unresolved Mention"/>
    <w:basedOn w:val="DefaultParagraphFont"/>
    <w:uiPriority w:val="99"/>
    <w:semiHidden/>
    <w:unhideWhenUsed/>
    <w:rsid w:val="002A5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20360">
      <w:bodyDiv w:val="1"/>
      <w:marLeft w:val="0"/>
      <w:marRight w:val="0"/>
      <w:marTop w:val="0"/>
      <w:marBottom w:val="0"/>
      <w:divBdr>
        <w:top w:val="none" w:sz="0" w:space="0" w:color="auto"/>
        <w:left w:val="none" w:sz="0" w:space="0" w:color="auto"/>
        <w:bottom w:val="none" w:sz="0" w:space="0" w:color="auto"/>
        <w:right w:val="none" w:sz="0" w:space="0" w:color="auto"/>
      </w:divBdr>
    </w:div>
    <w:div w:id="102580162">
      <w:bodyDiv w:val="1"/>
      <w:marLeft w:val="0"/>
      <w:marRight w:val="0"/>
      <w:marTop w:val="0"/>
      <w:marBottom w:val="0"/>
      <w:divBdr>
        <w:top w:val="none" w:sz="0" w:space="0" w:color="auto"/>
        <w:left w:val="none" w:sz="0" w:space="0" w:color="auto"/>
        <w:bottom w:val="none" w:sz="0" w:space="0" w:color="auto"/>
        <w:right w:val="none" w:sz="0" w:space="0" w:color="auto"/>
      </w:divBdr>
    </w:div>
    <w:div w:id="135924076">
      <w:bodyDiv w:val="1"/>
      <w:marLeft w:val="0"/>
      <w:marRight w:val="0"/>
      <w:marTop w:val="0"/>
      <w:marBottom w:val="0"/>
      <w:divBdr>
        <w:top w:val="none" w:sz="0" w:space="0" w:color="auto"/>
        <w:left w:val="none" w:sz="0" w:space="0" w:color="auto"/>
        <w:bottom w:val="none" w:sz="0" w:space="0" w:color="auto"/>
        <w:right w:val="none" w:sz="0" w:space="0" w:color="auto"/>
      </w:divBdr>
    </w:div>
    <w:div w:id="411781008">
      <w:bodyDiv w:val="1"/>
      <w:marLeft w:val="0"/>
      <w:marRight w:val="0"/>
      <w:marTop w:val="0"/>
      <w:marBottom w:val="0"/>
      <w:divBdr>
        <w:top w:val="none" w:sz="0" w:space="0" w:color="auto"/>
        <w:left w:val="none" w:sz="0" w:space="0" w:color="auto"/>
        <w:bottom w:val="none" w:sz="0" w:space="0" w:color="auto"/>
        <w:right w:val="none" w:sz="0" w:space="0" w:color="auto"/>
      </w:divBdr>
    </w:div>
    <w:div w:id="537082617">
      <w:bodyDiv w:val="1"/>
      <w:marLeft w:val="0"/>
      <w:marRight w:val="0"/>
      <w:marTop w:val="0"/>
      <w:marBottom w:val="0"/>
      <w:divBdr>
        <w:top w:val="none" w:sz="0" w:space="0" w:color="auto"/>
        <w:left w:val="none" w:sz="0" w:space="0" w:color="auto"/>
        <w:bottom w:val="none" w:sz="0" w:space="0" w:color="auto"/>
        <w:right w:val="none" w:sz="0" w:space="0" w:color="auto"/>
      </w:divBdr>
    </w:div>
    <w:div w:id="569579008">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763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396465127">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1135</TotalTime>
  <Pages>6</Pages>
  <Words>3058</Words>
  <Characters>17436</Characters>
  <Application>Microsoft Office Word</Application>
  <DocSecurity>0</DocSecurity>
  <Lines>145</Lines>
  <Paragraphs>40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20454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Paul Amyotte</cp:lastModifiedBy>
  <cp:revision>49</cp:revision>
  <cp:lastPrinted>2024-11-18T22:50:00Z</cp:lastPrinted>
  <dcterms:created xsi:type="dcterms:W3CDTF">2024-10-27T13:31:00Z</dcterms:created>
  <dcterms:modified xsi:type="dcterms:W3CDTF">2024-11-20T12:07:00Z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