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15254DF1"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831AE8C" w:rsidR="00E978D0" w:rsidRPr="00B57B36" w:rsidRDefault="00545A06" w:rsidP="00E978D0">
      <w:pPr>
        <w:pStyle w:val="CETTitle"/>
      </w:pPr>
      <w:r>
        <w:t>New Pyrolysis Mechanisms for Dust Explosion Simulation</w:t>
      </w:r>
    </w:p>
    <w:p w14:paraId="0488FED2" w14:textId="49681BD4" w:rsidR="00B57E6F" w:rsidRPr="00B57B36" w:rsidRDefault="00545A06" w:rsidP="00B57E6F">
      <w:pPr>
        <w:pStyle w:val="CETAuthors"/>
      </w:pPr>
      <w:r w:rsidRPr="00545A06">
        <w:t>Tima Al Haffar</w:t>
      </w:r>
      <w:r w:rsidRPr="00545A06">
        <w:rPr>
          <w:vertAlign w:val="superscript"/>
        </w:rPr>
        <w:t>a</w:t>
      </w:r>
      <w:r w:rsidRPr="00545A06">
        <w:t>, Nathalie Bardin-Monnier</w:t>
      </w:r>
      <w:r w:rsidRPr="00545A06">
        <w:rPr>
          <w:vertAlign w:val="superscript"/>
        </w:rPr>
        <w:t>a</w:t>
      </w:r>
      <w:r w:rsidRPr="00545A06">
        <w:t>, Maria Portarapillo</w:t>
      </w:r>
      <w:r w:rsidRPr="00545A06">
        <w:rPr>
          <w:vertAlign w:val="superscript"/>
        </w:rPr>
        <w:t>b</w:t>
      </w:r>
      <w:r w:rsidRPr="00545A06">
        <w:t>, Almerinda Di Benedetto</w:t>
      </w:r>
      <w:r w:rsidRPr="00545A06">
        <w:rPr>
          <w:vertAlign w:val="superscript"/>
        </w:rPr>
        <w:t>b</w:t>
      </w:r>
      <w:r w:rsidRPr="00545A06">
        <w:t>,  Olivier Dufaud</w:t>
      </w:r>
      <w:r w:rsidRPr="00545A06">
        <w:rPr>
          <w:vertAlign w:val="superscript"/>
        </w:rPr>
        <w:t>a,</w:t>
      </w:r>
      <w:r w:rsidR="00B57E6F" w:rsidRPr="00B57B36">
        <w:t>*</w:t>
      </w:r>
    </w:p>
    <w:p w14:paraId="6B2D21B3" w14:textId="363F3BDF" w:rsidR="00B57E6F" w:rsidRPr="00747273" w:rsidRDefault="00B57E6F" w:rsidP="00B57E6F">
      <w:pPr>
        <w:pStyle w:val="CETAddress"/>
      </w:pPr>
      <w:r w:rsidRPr="00747273">
        <w:rPr>
          <w:vertAlign w:val="superscript"/>
        </w:rPr>
        <w:t>a</w:t>
      </w:r>
      <w:r w:rsidR="00545A06" w:rsidRPr="00747273">
        <w:t>Université de Lorraine, CNRS, LRGP, F-54000 Nancy, France</w:t>
      </w:r>
    </w:p>
    <w:p w14:paraId="3D72B0B0" w14:textId="50E46B2D" w:rsidR="00B57E6F" w:rsidRPr="00B57B36" w:rsidRDefault="00B57E6F" w:rsidP="00B57E6F">
      <w:pPr>
        <w:pStyle w:val="CETAddress"/>
      </w:pPr>
      <w:r w:rsidRPr="00B57B36">
        <w:rPr>
          <w:vertAlign w:val="superscript"/>
        </w:rPr>
        <w:t>b</w:t>
      </w:r>
      <w:r w:rsidR="00545A06" w:rsidRPr="00545A06">
        <w:t>University of Naples Federico II, 80125 Napoli, Italy</w:t>
      </w:r>
    </w:p>
    <w:p w14:paraId="73F1267A" w14:textId="24DB811D" w:rsidR="00B57E6F" w:rsidRPr="00385E37" w:rsidRDefault="00B57E6F" w:rsidP="00B57E6F">
      <w:pPr>
        <w:pStyle w:val="CETemail"/>
        <w:rPr>
          <w:lang w:val="en-US"/>
        </w:rPr>
      </w:pPr>
      <w:r w:rsidRPr="00747273">
        <w:rPr>
          <w:lang w:val="en-US"/>
        </w:rPr>
        <w:t xml:space="preserve"> </w:t>
      </w:r>
      <w:r w:rsidR="00545A06" w:rsidRPr="00385E37">
        <w:rPr>
          <w:lang w:val="en-US"/>
        </w:rPr>
        <w:t>olivier.dufaud</w:t>
      </w:r>
      <w:r w:rsidRPr="00385E37">
        <w:rPr>
          <w:lang w:val="en-US"/>
        </w:rPr>
        <w:t>@</w:t>
      </w:r>
      <w:r w:rsidR="00545A06" w:rsidRPr="00385E37">
        <w:rPr>
          <w:lang w:val="en-US"/>
        </w:rPr>
        <w:t>univ-lorraine.fr</w:t>
      </w:r>
      <w:r w:rsidRPr="00385E37">
        <w:rPr>
          <w:lang w:val="en-US"/>
        </w:rPr>
        <w:t xml:space="preserve"> </w:t>
      </w:r>
    </w:p>
    <w:p w14:paraId="7AF8F838" w14:textId="64E2C441" w:rsidR="00545A06" w:rsidRPr="00547BB6" w:rsidRDefault="00547BB6" w:rsidP="00545A06">
      <w:pPr>
        <w:pStyle w:val="CETBodytext"/>
      </w:pPr>
      <w:r w:rsidRPr="00547BB6">
        <w:t xml:space="preserve">Numerical simulation of dust explosions can be used for intensive, multi-parameter sensitivity studies, reducing the number of experimental tests required. Nevertheless, to develop </w:t>
      </w:r>
      <w:r>
        <w:t>such</w:t>
      </w:r>
      <w:r w:rsidRPr="00547BB6">
        <w:t xml:space="preserve"> approaches, it is imperative to </w:t>
      </w:r>
      <w:r>
        <w:t xml:space="preserve">collect </w:t>
      </w:r>
      <w:r w:rsidRPr="00547BB6">
        <w:t xml:space="preserve">reliable </w:t>
      </w:r>
      <w:r>
        <w:t xml:space="preserve">input </w:t>
      </w:r>
      <w:r w:rsidRPr="00547BB6">
        <w:t>data</w:t>
      </w:r>
      <w:r>
        <w:t xml:space="preserve"> </w:t>
      </w:r>
      <w:r w:rsidRPr="00547BB6">
        <w:t>beforehand.</w:t>
      </w:r>
      <w:r>
        <w:t xml:space="preserve"> </w:t>
      </w:r>
      <w:r w:rsidR="00735E53" w:rsidRPr="00735E53">
        <w:rPr>
          <w:lang w:val="en-GB"/>
        </w:rPr>
        <w:t xml:space="preserve">Preliminary tests show that particular attention needs to be paid to developing new flash pyrolysis mechanisms. Indeed, simple devolatilization reactions (polymer </w:t>
      </w:r>
      <w:r w:rsidR="00735E53">
        <w:rPr>
          <w:lang w:val="en-GB"/>
        </w:rPr>
        <w:t>into</w:t>
      </w:r>
      <w:r w:rsidR="00735E53" w:rsidRPr="00735E53">
        <w:rPr>
          <w:lang w:val="en-GB"/>
        </w:rPr>
        <w:t xml:space="preserve"> monomer</w:t>
      </w:r>
      <w:r w:rsidR="00735E53">
        <w:rPr>
          <w:lang w:val="en-GB"/>
        </w:rPr>
        <w:t xml:space="preserve"> conversion</w:t>
      </w:r>
      <w:r w:rsidR="00735E53" w:rsidRPr="00735E53">
        <w:rPr>
          <w:lang w:val="en-GB"/>
        </w:rPr>
        <w:t xml:space="preserve">) are not suitable, and the chemical species to be considered are far more numerous than in the case of lighter </w:t>
      </w:r>
      <w:r w:rsidR="00735E53">
        <w:rPr>
          <w:lang w:val="en-GB"/>
        </w:rPr>
        <w:t xml:space="preserve">chemical </w:t>
      </w:r>
      <w:r w:rsidR="00735E53" w:rsidRPr="00735E53">
        <w:rPr>
          <w:lang w:val="en-GB"/>
        </w:rPr>
        <w:t xml:space="preserve">compounds or shorter chains. On the other hand, the mechanical properties of synthetic polymers seem to limit their fragmentation in the 20L sphere, which could simplify the </w:t>
      </w:r>
      <w:r w:rsidR="00735E53">
        <w:rPr>
          <w:lang w:val="en-GB"/>
        </w:rPr>
        <w:t>simulation</w:t>
      </w:r>
      <w:r w:rsidR="00735E53" w:rsidRPr="00735E53">
        <w:rPr>
          <w:lang w:val="en-GB"/>
        </w:rPr>
        <w:t xml:space="preserve"> approach by neglecting </w:t>
      </w:r>
      <w:r w:rsidR="00735E53">
        <w:rPr>
          <w:lang w:val="en-GB"/>
        </w:rPr>
        <w:t xml:space="preserve">particle sizes </w:t>
      </w:r>
      <w:r w:rsidR="00735E53" w:rsidRPr="00735E53">
        <w:rPr>
          <w:lang w:val="en-GB"/>
        </w:rPr>
        <w:t>modification.</w:t>
      </w:r>
    </w:p>
    <w:p w14:paraId="476B2F2E" w14:textId="52B36035" w:rsidR="00600535" w:rsidRPr="00B57B36" w:rsidRDefault="00600535" w:rsidP="00600535">
      <w:pPr>
        <w:pStyle w:val="CETHeading1"/>
        <w:rPr>
          <w:lang w:val="en-GB"/>
        </w:rPr>
      </w:pPr>
      <w:r w:rsidRPr="00B57B36">
        <w:rPr>
          <w:lang w:val="en-GB"/>
        </w:rPr>
        <w:t>Introduction</w:t>
      </w:r>
    </w:p>
    <w:p w14:paraId="0EAAFE63" w14:textId="71529CD0" w:rsidR="005D29BF" w:rsidRDefault="00FA1E27" w:rsidP="00600535">
      <w:pPr>
        <w:pStyle w:val="CETBodytext"/>
        <w:rPr>
          <w:lang w:val="en-GB"/>
        </w:rPr>
      </w:pPr>
      <w:r w:rsidRPr="00FA1E27">
        <w:rPr>
          <w:lang w:val="en-GB"/>
        </w:rPr>
        <w:t xml:space="preserve">The experimental determination of explosion severity parameters is based on international standards, which generally set arbitrarily the test conditions. However, these conditions are not </w:t>
      </w:r>
      <w:r w:rsidR="005D29BF">
        <w:rPr>
          <w:lang w:val="en-GB"/>
        </w:rPr>
        <w:t xml:space="preserve">always </w:t>
      </w:r>
      <w:r w:rsidRPr="00FA1E27">
        <w:rPr>
          <w:lang w:val="en-GB"/>
        </w:rPr>
        <w:t>those encountered in industrial processes (e.g. high ignition energy</w:t>
      </w:r>
      <w:r w:rsidR="005D29BF">
        <w:rPr>
          <w:lang w:val="en-GB"/>
        </w:rPr>
        <w:t xml:space="preserve"> and turbulence, </w:t>
      </w:r>
      <w:r w:rsidRPr="00FA1E27">
        <w:rPr>
          <w:lang w:val="en-GB"/>
        </w:rPr>
        <w:t xml:space="preserve">particle size distribution </w:t>
      </w:r>
      <w:r w:rsidR="003D483B">
        <w:rPr>
          <w:lang w:val="en-GB"/>
        </w:rPr>
        <w:t xml:space="preserve">(PSD) </w:t>
      </w:r>
      <w:r w:rsidRPr="00FA1E27">
        <w:rPr>
          <w:lang w:val="en-GB"/>
        </w:rPr>
        <w:t>changes due to</w:t>
      </w:r>
      <w:r w:rsidR="005D29BF">
        <w:rPr>
          <w:lang w:val="en-GB"/>
        </w:rPr>
        <w:t xml:space="preserve"> powder dispersion in the explosion vessels</w:t>
      </w:r>
      <w:r w:rsidRPr="00FA1E27">
        <w:rPr>
          <w:lang w:val="en-GB"/>
        </w:rPr>
        <w:t>…)</w:t>
      </w:r>
      <w:r w:rsidR="003D483B">
        <w:rPr>
          <w:lang w:val="en-GB"/>
        </w:rPr>
        <w:t xml:space="preserve"> </w:t>
      </w:r>
      <w:r w:rsidRPr="00FA1E27">
        <w:rPr>
          <w:lang w:val="en-GB"/>
        </w:rPr>
        <w:t xml:space="preserve">and although the test results are generally conservative, the consequences of this deviation from reality need to be assessed. </w:t>
      </w:r>
      <w:r w:rsidR="005D29BF" w:rsidRPr="005D29BF">
        <w:rPr>
          <w:lang w:val="en-GB"/>
        </w:rPr>
        <w:t xml:space="preserve">It should be noted that the term </w:t>
      </w:r>
      <w:r w:rsidR="005D29BF">
        <w:rPr>
          <w:lang w:val="en-GB"/>
        </w:rPr>
        <w:t>“</w:t>
      </w:r>
      <w:r w:rsidR="005D29BF" w:rsidRPr="005D29BF">
        <w:rPr>
          <w:lang w:val="en-GB"/>
        </w:rPr>
        <w:t>reality” is certainly inappropriate, as it covers a wide variety of situations that can arise on the same industrial site.</w:t>
      </w:r>
      <w:r w:rsidR="008B00B5" w:rsidRPr="008B00B5">
        <w:t xml:space="preserve"> </w:t>
      </w:r>
      <w:r w:rsidR="008B00B5" w:rsidRPr="008B00B5">
        <w:rPr>
          <w:lang w:val="en-GB"/>
        </w:rPr>
        <w:t>In this case, it</w:t>
      </w:r>
      <w:r w:rsidR="00235D27">
        <w:rPr>
          <w:lang w:val="en-GB"/>
        </w:rPr>
        <w:t xml:space="preserve"> i</w:t>
      </w:r>
      <w:r w:rsidR="008B00B5" w:rsidRPr="008B00B5">
        <w:rPr>
          <w:lang w:val="en-GB"/>
        </w:rPr>
        <w:t xml:space="preserve">s more appropriate </w:t>
      </w:r>
      <w:r w:rsidR="008B00B5">
        <w:rPr>
          <w:lang w:val="en-GB"/>
        </w:rPr>
        <w:t>to describe</w:t>
      </w:r>
      <w:r w:rsidR="008B00B5" w:rsidRPr="008B00B5">
        <w:rPr>
          <w:lang w:val="en-GB"/>
        </w:rPr>
        <w:t xml:space="preserve"> a range of realistic conditions </w:t>
      </w:r>
      <w:r w:rsidR="008B00B5">
        <w:rPr>
          <w:lang w:val="en-GB"/>
        </w:rPr>
        <w:t xml:space="preserve">considered during </w:t>
      </w:r>
      <w:r w:rsidR="00235D27">
        <w:rPr>
          <w:lang w:val="en-GB"/>
        </w:rPr>
        <w:t>major</w:t>
      </w:r>
      <w:r w:rsidR="008B00B5">
        <w:rPr>
          <w:lang w:val="en-GB"/>
        </w:rPr>
        <w:t xml:space="preserve"> risk assessment</w:t>
      </w:r>
      <w:r w:rsidR="008B00B5" w:rsidRPr="008B00B5">
        <w:rPr>
          <w:lang w:val="en-GB"/>
        </w:rPr>
        <w:t>.</w:t>
      </w:r>
    </w:p>
    <w:p w14:paraId="682FA663" w14:textId="2E7357A2" w:rsidR="00FA1E27" w:rsidRDefault="00FA1E27" w:rsidP="00600535">
      <w:pPr>
        <w:pStyle w:val="CETBodytext"/>
        <w:rPr>
          <w:lang w:val="en-GB"/>
        </w:rPr>
      </w:pPr>
      <w:r w:rsidRPr="00FA1E27">
        <w:rPr>
          <w:lang w:val="en-GB"/>
        </w:rPr>
        <w:t>The</w:t>
      </w:r>
      <w:r w:rsidR="005D29BF">
        <w:rPr>
          <w:lang w:val="en-GB"/>
        </w:rPr>
        <w:t>n, the</w:t>
      </w:r>
      <w:r w:rsidRPr="00FA1E27">
        <w:rPr>
          <w:lang w:val="en-GB"/>
        </w:rPr>
        <w:t xml:space="preserve"> process safety expert has </w:t>
      </w:r>
      <w:r w:rsidR="0019086C">
        <w:rPr>
          <w:lang w:val="en-GB"/>
        </w:rPr>
        <w:t>several</w:t>
      </w:r>
      <w:r w:rsidRPr="00FA1E27">
        <w:rPr>
          <w:lang w:val="en-GB"/>
        </w:rPr>
        <w:t xml:space="preserve"> options: </w:t>
      </w:r>
      <w:r w:rsidR="0019086C">
        <w:rPr>
          <w:lang w:val="en-GB"/>
        </w:rPr>
        <w:t>a) F</w:t>
      </w:r>
      <w:r w:rsidR="0019086C" w:rsidRPr="0019086C">
        <w:rPr>
          <w:lang w:val="en-GB"/>
        </w:rPr>
        <w:t xml:space="preserve">rom among all probable situations, </w:t>
      </w:r>
      <w:r w:rsidR="008B00B5">
        <w:rPr>
          <w:lang w:val="en-GB"/>
        </w:rPr>
        <w:t xml:space="preserve">to </w:t>
      </w:r>
      <w:r w:rsidR="0019086C" w:rsidRPr="0019086C">
        <w:rPr>
          <w:lang w:val="en-GB"/>
        </w:rPr>
        <w:t>determine the most conservative conditions and carry out tests based on these parameters</w:t>
      </w:r>
      <w:r w:rsidR="0019086C">
        <w:rPr>
          <w:lang w:val="en-GB"/>
        </w:rPr>
        <w:t xml:space="preserve"> onl</w:t>
      </w:r>
      <w:r w:rsidR="00132F32">
        <w:rPr>
          <w:lang w:val="en-GB"/>
        </w:rPr>
        <w:t>y;</w:t>
      </w:r>
      <w:r w:rsidR="0019086C">
        <w:rPr>
          <w:lang w:val="en-GB"/>
        </w:rPr>
        <w:t xml:space="preserve"> </w:t>
      </w:r>
      <w:r w:rsidR="0019086C" w:rsidRPr="0019086C">
        <w:rPr>
          <w:lang w:val="en-GB"/>
        </w:rPr>
        <w:t>This is often the case when the powder is sieved, dried and tested at high ignition energies</w:t>
      </w:r>
      <w:r w:rsidR="00132F32">
        <w:rPr>
          <w:lang w:val="en-GB"/>
        </w:rPr>
        <w:t>;</w:t>
      </w:r>
      <w:r w:rsidR="0019086C">
        <w:rPr>
          <w:lang w:val="en-GB"/>
        </w:rPr>
        <w:t xml:space="preserve"> b) </w:t>
      </w:r>
      <w:r w:rsidR="008B00B5">
        <w:rPr>
          <w:lang w:val="en-GB"/>
        </w:rPr>
        <w:t>To c</w:t>
      </w:r>
      <w:r w:rsidRPr="00FA1E27">
        <w:rPr>
          <w:lang w:val="en-GB"/>
        </w:rPr>
        <w:t>arry out an extensive sensitivity study to determine the influence of variations in operating parameters</w:t>
      </w:r>
      <w:r w:rsidR="00132F32">
        <w:rPr>
          <w:lang w:val="en-GB"/>
        </w:rPr>
        <w:t xml:space="preserve">, which </w:t>
      </w:r>
      <w:r w:rsidR="00132F32" w:rsidRPr="00FA1E27">
        <w:rPr>
          <w:lang w:val="en-GB"/>
        </w:rPr>
        <w:t>requires a very large number of experiments, and is therefore time-consuming and costly</w:t>
      </w:r>
      <w:r w:rsidR="00132F32">
        <w:rPr>
          <w:lang w:val="en-GB"/>
        </w:rPr>
        <w:t xml:space="preserve">; c) </w:t>
      </w:r>
      <w:r w:rsidR="008B00B5">
        <w:rPr>
          <w:lang w:val="en-GB"/>
        </w:rPr>
        <w:t>To a</w:t>
      </w:r>
      <w:r w:rsidR="00A74D90" w:rsidRPr="00A74D90">
        <w:rPr>
          <w:lang w:val="en-GB"/>
        </w:rPr>
        <w:t xml:space="preserve">cquire in-depth knowledge of </w:t>
      </w:r>
      <w:r w:rsidR="00A74D90">
        <w:rPr>
          <w:lang w:val="en-GB"/>
        </w:rPr>
        <w:t>the</w:t>
      </w:r>
      <w:r w:rsidR="00A74D90" w:rsidRPr="00A74D90">
        <w:rPr>
          <w:lang w:val="en-GB"/>
        </w:rPr>
        <w:t xml:space="preserve"> phenomenon and use numerical simulation to test all the effects of </w:t>
      </w:r>
      <w:r w:rsidR="00A74D90">
        <w:rPr>
          <w:lang w:val="en-GB"/>
        </w:rPr>
        <w:t>such</w:t>
      </w:r>
      <w:r w:rsidR="00A74D90" w:rsidRPr="00A74D90">
        <w:rPr>
          <w:lang w:val="en-GB"/>
        </w:rPr>
        <w:t xml:space="preserve"> variations</w:t>
      </w:r>
      <w:r w:rsidR="00A74D90">
        <w:rPr>
          <w:lang w:val="en-GB"/>
        </w:rPr>
        <w:t xml:space="preserve">, but this solution </w:t>
      </w:r>
      <w:r w:rsidRPr="00FA1E27">
        <w:rPr>
          <w:lang w:val="en-GB"/>
        </w:rPr>
        <w:t xml:space="preserve">cannot be </w:t>
      </w:r>
      <w:r w:rsidR="00A74D90">
        <w:rPr>
          <w:lang w:val="en-GB"/>
        </w:rPr>
        <w:t>implemented</w:t>
      </w:r>
      <w:r w:rsidRPr="00FA1E27">
        <w:rPr>
          <w:lang w:val="en-GB"/>
        </w:rPr>
        <w:t xml:space="preserve"> on its own without </w:t>
      </w:r>
      <w:r w:rsidR="00A74D90">
        <w:rPr>
          <w:lang w:val="en-GB"/>
        </w:rPr>
        <w:t xml:space="preserve">a </w:t>
      </w:r>
      <w:r w:rsidRPr="00FA1E27">
        <w:rPr>
          <w:lang w:val="en-GB"/>
        </w:rPr>
        <w:t>preliminary experimental validation.</w:t>
      </w:r>
    </w:p>
    <w:p w14:paraId="70EE36C9" w14:textId="40846D19" w:rsidR="00BE23EC" w:rsidRDefault="0077708F" w:rsidP="0077708F">
      <w:pPr>
        <w:pStyle w:val="CETBodytext"/>
        <w:rPr>
          <w:lang w:val="en-GB"/>
        </w:rPr>
      </w:pPr>
      <w:r w:rsidRPr="0077708F">
        <w:rPr>
          <w:lang w:val="en-GB"/>
        </w:rPr>
        <w:t xml:space="preserve">In this work, </w:t>
      </w:r>
      <w:r w:rsidR="00B86B4A" w:rsidRPr="00B86B4A">
        <w:rPr>
          <w:lang w:val="en-GB"/>
        </w:rPr>
        <w:t>the latter approach was favoured</w:t>
      </w:r>
      <w:r w:rsidR="00B86B4A">
        <w:rPr>
          <w:lang w:val="en-GB"/>
        </w:rPr>
        <w:t xml:space="preserve"> and both </w:t>
      </w:r>
      <w:r w:rsidR="00750884" w:rsidRPr="00750884">
        <w:rPr>
          <w:lang w:val="en-GB"/>
        </w:rPr>
        <w:t xml:space="preserve">Computational </w:t>
      </w:r>
      <w:r w:rsidR="00750884">
        <w:rPr>
          <w:lang w:val="en-GB"/>
        </w:rPr>
        <w:t>F</w:t>
      </w:r>
      <w:r w:rsidR="00750884" w:rsidRPr="00750884">
        <w:rPr>
          <w:lang w:val="en-GB"/>
        </w:rPr>
        <w:t xml:space="preserve">luid </w:t>
      </w:r>
      <w:r w:rsidR="00750884">
        <w:rPr>
          <w:lang w:val="en-GB"/>
        </w:rPr>
        <w:t>D</w:t>
      </w:r>
      <w:r w:rsidR="00750884" w:rsidRPr="00750884">
        <w:rPr>
          <w:lang w:val="en-GB"/>
        </w:rPr>
        <w:t>ynamics</w:t>
      </w:r>
      <w:r w:rsidRPr="0077708F">
        <w:rPr>
          <w:lang w:val="en-GB"/>
        </w:rPr>
        <w:t xml:space="preserve"> </w:t>
      </w:r>
      <w:r w:rsidR="00750884">
        <w:rPr>
          <w:lang w:val="en-GB"/>
        </w:rPr>
        <w:t xml:space="preserve">(CFD) </w:t>
      </w:r>
      <w:r w:rsidRPr="0077708F">
        <w:rPr>
          <w:lang w:val="en-GB"/>
        </w:rPr>
        <w:t>simulation and experimental approach were combined to represent the explosion of organic powder</w:t>
      </w:r>
      <w:r w:rsidR="00B86B4A">
        <w:rPr>
          <w:lang w:val="en-GB"/>
        </w:rPr>
        <w:t>s</w:t>
      </w:r>
      <w:r w:rsidRPr="0077708F">
        <w:rPr>
          <w:lang w:val="en-GB"/>
        </w:rPr>
        <w:t>. Several articles were already published on this subject (Islas et al., 202</w:t>
      </w:r>
      <w:r w:rsidR="00EA4E3B">
        <w:rPr>
          <w:lang w:val="en-GB"/>
        </w:rPr>
        <w:t>3</w:t>
      </w:r>
      <w:r w:rsidRPr="0077708F">
        <w:rPr>
          <w:lang w:val="en-GB"/>
        </w:rPr>
        <w:t>; Portarapillo et al., 202</w:t>
      </w:r>
      <w:r w:rsidR="00735510">
        <w:rPr>
          <w:lang w:val="en-GB"/>
        </w:rPr>
        <w:t>1</w:t>
      </w:r>
      <w:r w:rsidR="00EA4E3B">
        <w:rPr>
          <w:lang w:val="en-GB"/>
        </w:rPr>
        <w:t>; Zhang et al., 2024</w:t>
      </w:r>
      <w:r w:rsidRPr="0077708F">
        <w:rPr>
          <w:lang w:val="en-GB"/>
        </w:rPr>
        <w:t xml:space="preserve">) but most of the studies combining CFD and dust explosion only consider the powder dispersion stage, without simulating the reaction stages of pyrolysis, oxidation/combustion, and flame propagation within the 20L sphere (Pico et al., 2020). </w:t>
      </w:r>
      <w:r w:rsidR="008B00B5" w:rsidRPr="008B00B5">
        <w:rPr>
          <w:lang w:val="en-GB"/>
        </w:rPr>
        <w:t xml:space="preserve">In parallel, numerous studies </w:t>
      </w:r>
      <w:r w:rsidR="008B00B5">
        <w:rPr>
          <w:lang w:val="en-GB"/>
        </w:rPr>
        <w:t>were</w:t>
      </w:r>
      <w:r w:rsidR="008B00B5" w:rsidRPr="008B00B5">
        <w:rPr>
          <w:lang w:val="en-GB"/>
        </w:rPr>
        <w:t xml:space="preserve"> focused on determining the reaction mechanisms describing the pyrolysis and/or combustion phases of organic compounds.</w:t>
      </w:r>
      <w:r w:rsidR="008B00B5">
        <w:rPr>
          <w:lang w:val="en-GB"/>
        </w:rPr>
        <w:t xml:space="preserve"> </w:t>
      </w:r>
      <w:r w:rsidR="00BE23EC" w:rsidRPr="00BE23EC">
        <w:rPr>
          <w:lang w:val="en-GB"/>
        </w:rPr>
        <w:t>However, it is rare to obtain this information under the specific conditions of a dust explosion</w:t>
      </w:r>
      <w:r w:rsidR="00732AA9">
        <w:rPr>
          <w:lang w:val="en-GB"/>
        </w:rPr>
        <w:t xml:space="preserve">. </w:t>
      </w:r>
      <w:r w:rsidR="00732AA9" w:rsidRPr="00732AA9">
        <w:rPr>
          <w:lang w:val="en-GB"/>
        </w:rPr>
        <w:t>Indeed, experimental characterizations based on objects of different sizes (millimet</w:t>
      </w:r>
      <w:r w:rsidR="00732AA9">
        <w:rPr>
          <w:lang w:val="en-GB"/>
        </w:rPr>
        <w:t>re range</w:t>
      </w:r>
      <w:r w:rsidR="00732AA9" w:rsidRPr="00732AA9">
        <w:rPr>
          <w:lang w:val="en-GB"/>
        </w:rPr>
        <w:t xml:space="preserve"> powders, polymer </w:t>
      </w:r>
      <w:r w:rsidR="00732AA9">
        <w:rPr>
          <w:lang w:val="en-GB"/>
        </w:rPr>
        <w:t>slabs</w:t>
      </w:r>
      <w:r w:rsidR="00732AA9" w:rsidRPr="00732AA9">
        <w:rPr>
          <w:lang w:val="en-GB"/>
        </w:rPr>
        <w:t>...), low temperature ramps or oxidation/pyrolysis conditions different from those observed during an explosion, although useful, cannot be directly used within the framework of a numerical simulation.</w:t>
      </w:r>
    </w:p>
    <w:p w14:paraId="63AC4F10" w14:textId="2D176456" w:rsidR="00A97205" w:rsidRPr="00A97205" w:rsidRDefault="004327A3" w:rsidP="0077708F">
      <w:pPr>
        <w:pStyle w:val="CETBodytext"/>
      </w:pPr>
      <w:r w:rsidRPr="004327A3">
        <w:rPr>
          <w:lang w:val="en-GB"/>
        </w:rPr>
        <w:t xml:space="preserve">The aim of this work is to propose </w:t>
      </w:r>
      <w:r>
        <w:rPr>
          <w:lang w:val="en-GB"/>
        </w:rPr>
        <w:t>lumped</w:t>
      </w:r>
      <w:r w:rsidRPr="004327A3">
        <w:rPr>
          <w:lang w:val="en-GB"/>
        </w:rPr>
        <w:t xml:space="preserve"> mechanisms for the pyrolysis of synthetic or natural organic </w:t>
      </w:r>
      <w:r>
        <w:rPr>
          <w:lang w:val="en-GB"/>
        </w:rPr>
        <w:t>powders</w:t>
      </w:r>
      <w:r w:rsidRPr="004327A3">
        <w:rPr>
          <w:lang w:val="en-GB"/>
        </w:rPr>
        <w:t xml:space="preserve">, so that they can be incorporated into CFD simulations of </w:t>
      </w:r>
      <w:r>
        <w:rPr>
          <w:lang w:val="en-GB"/>
        </w:rPr>
        <w:t xml:space="preserve">a </w:t>
      </w:r>
      <w:r w:rsidRPr="004327A3">
        <w:rPr>
          <w:lang w:val="en-GB"/>
        </w:rPr>
        <w:t xml:space="preserve">dust explosion. </w:t>
      </w:r>
      <w:r w:rsidR="00EA4E3B">
        <w:rPr>
          <w:lang w:val="en-GB"/>
        </w:rPr>
        <w:t xml:space="preserve">Indeed, both identifying pyrolysis gases and proposing pyrolysis mechanism is a key-point in modelling a dust explosion (Jiang et al, 2024). Such </w:t>
      </w:r>
      <w:r w:rsidR="00EA4E3B">
        <w:rPr>
          <w:lang w:val="en-GB"/>
        </w:rPr>
        <w:lastRenderedPageBreak/>
        <w:t xml:space="preserve">development </w:t>
      </w:r>
      <w:r w:rsidRPr="0077708F">
        <w:rPr>
          <w:lang w:val="en-GB"/>
        </w:rPr>
        <w:t xml:space="preserve">will provide insights, either into predicting the severity of a dust explosion within a 20L </w:t>
      </w:r>
      <w:r>
        <w:rPr>
          <w:lang w:val="en-GB"/>
        </w:rPr>
        <w:t>vessel,</w:t>
      </w:r>
      <w:r w:rsidRPr="0077708F">
        <w:rPr>
          <w:lang w:val="en-GB"/>
        </w:rPr>
        <w:t xml:space="preserve"> based on the powder properties, or into predicting the potential consequences of a dust explosion in a complex industrial configuration, based on empirical data obtained using a 20L sphere.</w:t>
      </w:r>
      <w:r w:rsidR="00981596">
        <w:rPr>
          <w:lang w:val="en-GB"/>
        </w:rPr>
        <w:t xml:space="preserve"> </w:t>
      </w:r>
      <w:r w:rsidR="00A25E9F" w:rsidRPr="00A25E9F">
        <w:rPr>
          <w:lang w:val="en-GB"/>
        </w:rPr>
        <w:t xml:space="preserve">Knowledge of pyrolysis mechanisms will </w:t>
      </w:r>
      <w:r w:rsidR="00A25E9F">
        <w:rPr>
          <w:lang w:val="en-GB"/>
        </w:rPr>
        <w:t xml:space="preserve">also </w:t>
      </w:r>
      <w:r w:rsidR="00A25E9F" w:rsidRPr="00A25E9F">
        <w:rPr>
          <w:lang w:val="en-GB"/>
        </w:rPr>
        <w:t>be useful for thermal conversion processes of polymers (e.g. waste plastics) and will improve the adjustment of safety parameters for powders at high temperatures.</w:t>
      </w:r>
      <w:r w:rsidR="00A25E9F">
        <w:rPr>
          <w:lang w:val="en-GB"/>
        </w:rPr>
        <w:t xml:space="preserve"> </w:t>
      </w:r>
      <w:r w:rsidR="00981596">
        <w:rPr>
          <w:lang w:val="en-GB"/>
        </w:rPr>
        <w:t>T</w:t>
      </w:r>
      <w:r w:rsidR="00981596" w:rsidRPr="00981596">
        <w:rPr>
          <w:lang w:val="en-GB"/>
        </w:rPr>
        <w:t xml:space="preserve">his article presents </w:t>
      </w:r>
      <w:r w:rsidR="00981596">
        <w:rPr>
          <w:lang w:val="en-GB"/>
        </w:rPr>
        <w:t>a state of the art, the</w:t>
      </w:r>
      <w:r w:rsidR="00981596" w:rsidRPr="00981596">
        <w:rPr>
          <w:lang w:val="en-GB"/>
        </w:rPr>
        <w:t xml:space="preserve"> methodology and preliminary work carried out on two powders</w:t>
      </w:r>
      <w:r w:rsidR="00370549">
        <w:rPr>
          <w:lang w:val="en-GB"/>
        </w:rPr>
        <w:t xml:space="preserve"> (polyethylene and polystyrene)</w:t>
      </w:r>
      <w:r w:rsidR="00981596" w:rsidRPr="00981596">
        <w:rPr>
          <w:lang w:val="en-GB"/>
        </w:rPr>
        <w:t>.</w:t>
      </w:r>
    </w:p>
    <w:p w14:paraId="5741900F" w14:textId="439A55DC" w:rsidR="00453E24" w:rsidRDefault="00453E24" w:rsidP="00453E24">
      <w:pPr>
        <w:pStyle w:val="CETHeading1"/>
      </w:pPr>
      <w:r>
        <w:t>St</w:t>
      </w:r>
      <w:r w:rsidR="0077708F">
        <w:t>ate of the art</w:t>
      </w:r>
    </w:p>
    <w:p w14:paraId="17615589" w14:textId="725B9569" w:rsidR="008E1FCE" w:rsidRDefault="006241C1" w:rsidP="003F3B43">
      <w:pPr>
        <w:pStyle w:val="CETBodytext"/>
      </w:pPr>
      <w:r w:rsidRPr="006241C1">
        <w:t xml:space="preserve">This section will be devoted to a brief bibliographical survey of the state of the art in relation to the CFD of dust explosions, </w:t>
      </w:r>
      <w:r w:rsidR="00C27D62">
        <w:t>mainly</w:t>
      </w:r>
      <w:r w:rsidRPr="006241C1">
        <w:t xml:space="preserve"> in 20L spheres. The </w:t>
      </w:r>
      <w:r w:rsidR="00C27D62">
        <w:t>second</w:t>
      </w:r>
      <w:r w:rsidRPr="006241C1">
        <w:t xml:space="preserve"> section will highlight the importance of the reaction mechanisms </w:t>
      </w:r>
      <w:r>
        <w:t>considered for the simulation</w:t>
      </w:r>
      <w:r w:rsidRPr="006241C1">
        <w:t>.</w:t>
      </w:r>
    </w:p>
    <w:p w14:paraId="0656D73A" w14:textId="49D6CCB0" w:rsidR="008E1FCE" w:rsidRDefault="00222A90" w:rsidP="003F3B43">
      <w:pPr>
        <w:pStyle w:val="CETheadingx"/>
      </w:pPr>
      <w:r>
        <w:t>CFD simulation of dust dispersion at laboratory scale</w:t>
      </w:r>
    </w:p>
    <w:p w14:paraId="20FF2CD8" w14:textId="687CCB95" w:rsidR="0069342B" w:rsidRDefault="003F3B43" w:rsidP="003F3B43">
      <w:pPr>
        <w:pStyle w:val="CETBodytext"/>
      </w:pPr>
      <w:r w:rsidRPr="003A65F5">
        <w:t xml:space="preserve">The dynamics of dust </w:t>
      </w:r>
      <w:r w:rsidR="003A65F5" w:rsidRPr="003A65F5">
        <w:t xml:space="preserve">dispersion </w:t>
      </w:r>
      <w:r w:rsidRPr="003A65F5">
        <w:t xml:space="preserve">in the 20-L test sphere has </w:t>
      </w:r>
      <w:r w:rsidR="003A65F5" w:rsidRPr="003A65F5">
        <w:t xml:space="preserve">already </w:t>
      </w:r>
      <w:r w:rsidRPr="003A65F5">
        <w:t>been thoroughly studied</w:t>
      </w:r>
      <w:r w:rsidR="00F76BEE">
        <w:t xml:space="preserve"> (Table 1)</w:t>
      </w:r>
      <w:r w:rsidRPr="003A65F5">
        <w:t xml:space="preserve">. The influence of various </w:t>
      </w:r>
      <w:r w:rsidRPr="0069342B">
        <w:t xml:space="preserve">parameters including </w:t>
      </w:r>
      <w:r w:rsidR="003A65F5" w:rsidRPr="0069342B">
        <w:t>nozzle geometry</w:t>
      </w:r>
      <w:r w:rsidRPr="0069342B">
        <w:t xml:space="preserve">, </w:t>
      </w:r>
      <w:r w:rsidR="003A65F5" w:rsidRPr="0069342B">
        <w:t>ignition delay time and particle</w:t>
      </w:r>
      <w:r w:rsidRPr="0069342B">
        <w:t xml:space="preserve"> size</w:t>
      </w:r>
      <w:r w:rsidR="003A65F5" w:rsidRPr="0069342B">
        <w:t xml:space="preserve"> distribution </w:t>
      </w:r>
      <w:r w:rsidRPr="0069342B">
        <w:t xml:space="preserve">have been considered. </w:t>
      </w:r>
      <w:r w:rsidR="0069342B" w:rsidRPr="0069342B">
        <w:t>The first</w:t>
      </w:r>
      <w:r w:rsidRPr="0069342B">
        <w:t xml:space="preserve"> challenge </w:t>
      </w:r>
      <w:r w:rsidR="0069342B" w:rsidRPr="0069342B">
        <w:t xml:space="preserve">of a dust dispersion in the 20L sphere is to </w:t>
      </w:r>
      <w:r w:rsidRPr="0069342B">
        <w:t>ensur</w:t>
      </w:r>
      <w:r w:rsidR="0069342B" w:rsidRPr="0069342B">
        <w:t>e</w:t>
      </w:r>
      <w:r w:rsidRPr="0069342B">
        <w:t xml:space="preserve"> a uniform dissemination of the dust </w:t>
      </w:r>
      <w:r w:rsidR="0069342B" w:rsidRPr="0069342B">
        <w:t>inside the vessel</w:t>
      </w:r>
      <w:r w:rsidRPr="0069342B">
        <w:t xml:space="preserve">. A uniform distribution </w:t>
      </w:r>
      <w:r w:rsidR="0069342B" w:rsidRPr="0069342B">
        <w:t xml:space="preserve">theoretically </w:t>
      </w:r>
      <w:r w:rsidRPr="0069342B">
        <w:t xml:space="preserve">guarantees the consistency and reproducibility of the test, but sedimentation and certain physical properties such as </w:t>
      </w:r>
      <w:r w:rsidR="0069342B" w:rsidRPr="0069342B">
        <w:t xml:space="preserve">a wide </w:t>
      </w:r>
      <w:r w:rsidR="00235D27">
        <w:t>PSD</w:t>
      </w:r>
      <w:r w:rsidR="0069342B" w:rsidRPr="0069342B">
        <w:t>, shapes</w:t>
      </w:r>
      <w:r w:rsidRPr="0069342B">
        <w:t xml:space="preserve"> or density may cause </w:t>
      </w:r>
      <w:r w:rsidR="0069342B" w:rsidRPr="0069342B">
        <w:t>hetero</w:t>
      </w:r>
      <w:r w:rsidRPr="0069342B">
        <w:t>geneities</w:t>
      </w:r>
      <w:r w:rsidR="0069342B" w:rsidRPr="0069342B">
        <w:t xml:space="preserve"> (Li et al., 2020; Ray et al., 2020)</w:t>
      </w:r>
      <w:r w:rsidRPr="0069342B">
        <w:t xml:space="preserve">. </w:t>
      </w:r>
      <w:r w:rsidR="0069342B" w:rsidRPr="0069342B">
        <w:t>The second challenge is the control of the dust cloud turbulence, which has a significant effect on the explosion severity and flame propagation (Islas et al., 2022). To improve dust dispersion, different types of nozzles can be designed (Pico et al., 2020).</w:t>
      </w:r>
      <w:r w:rsidR="0069342B">
        <w:t xml:space="preserve"> </w:t>
      </w:r>
      <w:r w:rsidR="0069342B" w:rsidRPr="0069342B">
        <w:t xml:space="preserve">The third challenge is to take account of the ignition phase and its </w:t>
      </w:r>
      <w:r w:rsidR="0069342B">
        <w:t>instability</w:t>
      </w:r>
      <w:r w:rsidR="0069342B" w:rsidRPr="0069342B">
        <w:t xml:space="preserve">, which </w:t>
      </w:r>
      <w:r w:rsidR="0069342B">
        <w:t>is</w:t>
      </w:r>
      <w:r w:rsidR="0069342B" w:rsidRPr="0069342B">
        <w:t>, by their very nature, a transient phenomenon</w:t>
      </w:r>
      <w:r w:rsidR="0069342B">
        <w:t xml:space="preserve"> (Portarapillo et al., 2021). </w:t>
      </w:r>
      <w:r w:rsidR="0069342B" w:rsidRPr="0069342B">
        <w:t xml:space="preserve">Finally, </w:t>
      </w:r>
      <w:r w:rsidR="0069342B">
        <w:t>correctly describing</w:t>
      </w:r>
      <w:r w:rsidR="0069342B" w:rsidRPr="0069342B">
        <w:t xml:space="preserve"> the reaction kinetics of the powder </w:t>
      </w:r>
      <w:r w:rsidR="0069342B">
        <w:t>(</w:t>
      </w:r>
      <w:r w:rsidR="00235D27">
        <w:t>heating</w:t>
      </w:r>
      <w:r w:rsidR="0069342B">
        <w:t xml:space="preserve">, pyrolysis/devolatilization, gas oxidation) </w:t>
      </w:r>
      <w:r w:rsidR="0069342B" w:rsidRPr="0069342B">
        <w:t>is a major challenge</w:t>
      </w:r>
      <w:r w:rsidR="0069342B">
        <w:t xml:space="preserve"> (Bind et al., 2012; Islas et al., 2022; Pico et al., 2020; Wang et al., 2020)</w:t>
      </w:r>
      <w:r w:rsidR="00F76BEE">
        <w:t xml:space="preserve"> (Table 1)</w:t>
      </w:r>
      <w:r w:rsidR="0069342B" w:rsidRPr="0069342B">
        <w:t>.</w:t>
      </w:r>
    </w:p>
    <w:p w14:paraId="30BF8D8C" w14:textId="3DD9127C" w:rsidR="003F2421" w:rsidRDefault="006C79B0" w:rsidP="006C79B0">
      <w:pPr>
        <w:pStyle w:val="CETTabletitle"/>
        <w:rPr>
          <w:iCs/>
        </w:rPr>
      </w:pPr>
      <w:r w:rsidRPr="00B57B36">
        <w:t xml:space="preserve">Table 1: </w:t>
      </w:r>
      <w:r w:rsidRPr="00124B60">
        <w:rPr>
          <w:iCs/>
        </w:rPr>
        <w:t xml:space="preserve">Summary of relevant CFD studies </w:t>
      </w:r>
      <w:r>
        <w:rPr>
          <w:iCs/>
        </w:rPr>
        <w:t>dealing with dust explosion in a 20L vessel</w:t>
      </w:r>
    </w:p>
    <w:tbl>
      <w:tblPr>
        <w:tblW w:w="884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134"/>
        <w:gridCol w:w="1276"/>
        <w:gridCol w:w="1843"/>
        <w:gridCol w:w="1257"/>
        <w:gridCol w:w="2058"/>
      </w:tblGrid>
      <w:tr w:rsidR="003F2421" w:rsidRPr="00B57B36" w14:paraId="1E0F0933" w14:textId="77777777" w:rsidTr="00235D27">
        <w:trPr>
          <w:trHeight w:val="179"/>
        </w:trPr>
        <w:tc>
          <w:tcPr>
            <w:tcW w:w="1276" w:type="dxa"/>
            <w:tcBorders>
              <w:top w:val="single" w:sz="12" w:space="0" w:color="008000"/>
              <w:bottom w:val="single" w:sz="4" w:space="0" w:color="00B050"/>
            </w:tcBorders>
            <w:shd w:val="clear" w:color="auto" w:fill="FFFFFF"/>
          </w:tcPr>
          <w:p w14:paraId="525E134D" w14:textId="77777777" w:rsidR="006C79B0" w:rsidRPr="00B57B36" w:rsidRDefault="006C79B0" w:rsidP="009144C6">
            <w:pPr>
              <w:pStyle w:val="CETBodytext"/>
              <w:jc w:val="left"/>
              <w:rPr>
                <w:lang w:val="en-GB"/>
              </w:rPr>
            </w:pPr>
            <w:r>
              <w:rPr>
                <w:lang w:val="en-GB"/>
              </w:rPr>
              <w:t>Reference</w:t>
            </w:r>
          </w:p>
        </w:tc>
        <w:tc>
          <w:tcPr>
            <w:tcW w:w="1134" w:type="dxa"/>
            <w:tcBorders>
              <w:top w:val="single" w:sz="12" w:space="0" w:color="008000"/>
              <w:bottom w:val="single" w:sz="4" w:space="0" w:color="00B050"/>
            </w:tcBorders>
            <w:shd w:val="clear" w:color="auto" w:fill="FFFFFF"/>
          </w:tcPr>
          <w:p w14:paraId="7E1747F6" w14:textId="38E381AA" w:rsidR="006C79B0" w:rsidRPr="00B57B36" w:rsidRDefault="006C79B0" w:rsidP="009144C6">
            <w:pPr>
              <w:pStyle w:val="CETBodytext"/>
              <w:jc w:val="left"/>
              <w:rPr>
                <w:lang w:val="en-GB"/>
              </w:rPr>
            </w:pPr>
            <w:r>
              <w:rPr>
                <w:lang w:val="en-GB"/>
              </w:rPr>
              <w:t>Powder</w:t>
            </w:r>
            <w:r w:rsidR="003F2421">
              <w:rPr>
                <w:lang w:val="en-GB"/>
              </w:rPr>
              <w:t>s</w:t>
            </w:r>
          </w:p>
        </w:tc>
        <w:tc>
          <w:tcPr>
            <w:tcW w:w="1276" w:type="dxa"/>
            <w:tcBorders>
              <w:top w:val="single" w:sz="12" w:space="0" w:color="008000"/>
              <w:bottom w:val="single" w:sz="4" w:space="0" w:color="00B050"/>
            </w:tcBorders>
            <w:shd w:val="clear" w:color="auto" w:fill="FFFFFF"/>
          </w:tcPr>
          <w:p w14:paraId="5E30A426" w14:textId="05665404" w:rsidR="006C79B0" w:rsidRPr="00B57B36" w:rsidRDefault="003F2421" w:rsidP="009144C6">
            <w:pPr>
              <w:pStyle w:val="CETBodytext"/>
              <w:jc w:val="left"/>
              <w:rPr>
                <w:lang w:val="en-GB"/>
              </w:rPr>
            </w:pPr>
            <w:r>
              <w:rPr>
                <w:lang w:val="en-GB"/>
              </w:rPr>
              <w:t>CFD</w:t>
            </w:r>
            <w:r w:rsidR="006C79B0">
              <w:rPr>
                <w:lang w:val="en-GB"/>
              </w:rPr>
              <w:t xml:space="preserve"> software</w:t>
            </w:r>
          </w:p>
        </w:tc>
        <w:tc>
          <w:tcPr>
            <w:tcW w:w="1843" w:type="dxa"/>
            <w:tcBorders>
              <w:top w:val="single" w:sz="12" w:space="0" w:color="008000"/>
              <w:bottom w:val="single" w:sz="4" w:space="0" w:color="00B050"/>
            </w:tcBorders>
            <w:shd w:val="clear" w:color="auto" w:fill="FFFFFF"/>
          </w:tcPr>
          <w:p w14:paraId="0B162258" w14:textId="77777777" w:rsidR="006C79B0" w:rsidRPr="00B57B36" w:rsidRDefault="006C79B0" w:rsidP="009144C6">
            <w:pPr>
              <w:pStyle w:val="CETBodytext"/>
              <w:ind w:right="-1"/>
              <w:jc w:val="left"/>
              <w:rPr>
                <w:rFonts w:cs="Arial"/>
                <w:szCs w:val="18"/>
                <w:lang w:val="en-GB"/>
              </w:rPr>
            </w:pPr>
            <w:r>
              <w:rPr>
                <w:rFonts w:cs="Arial"/>
                <w:szCs w:val="18"/>
                <w:lang w:val="en-GB"/>
              </w:rPr>
              <w:t>Scenario</w:t>
            </w:r>
          </w:p>
        </w:tc>
        <w:tc>
          <w:tcPr>
            <w:tcW w:w="1257" w:type="dxa"/>
            <w:tcBorders>
              <w:top w:val="single" w:sz="12" w:space="0" w:color="008000"/>
              <w:bottom w:val="single" w:sz="4" w:space="0" w:color="00B050"/>
            </w:tcBorders>
            <w:shd w:val="clear" w:color="auto" w:fill="FFFFFF"/>
          </w:tcPr>
          <w:p w14:paraId="6B3049F5" w14:textId="77777777" w:rsidR="006C79B0" w:rsidRDefault="006C79B0" w:rsidP="003F2421">
            <w:pPr>
              <w:pStyle w:val="CETBodytext"/>
              <w:ind w:right="-1"/>
              <w:jc w:val="left"/>
              <w:rPr>
                <w:rFonts w:cs="Arial"/>
                <w:szCs w:val="18"/>
                <w:lang w:val="en-GB"/>
              </w:rPr>
            </w:pPr>
            <w:r>
              <w:rPr>
                <w:rFonts w:cs="Arial"/>
                <w:szCs w:val="18"/>
                <w:lang w:val="en-GB"/>
              </w:rPr>
              <w:t>Turbulence model</w:t>
            </w:r>
          </w:p>
        </w:tc>
        <w:tc>
          <w:tcPr>
            <w:tcW w:w="2058" w:type="dxa"/>
            <w:tcBorders>
              <w:top w:val="single" w:sz="12" w:space="0" w:color="008000"/>
              <w:bottom w:val="single" w:sz="4" w:space="0" w:color="00B050"/>
            </w:tcBorders>
            <w:shd w:val="clear" w:color="auto" w:fill="FFFFFF"/>
          </w:tcPr>
          <w:p w14:paraId="36921A7D" w14:textId="77777777" w:rsidR="006C79B0" w:rsidRDefault="006C79B0" w:rsidP="009144C6">
            <w:pPr>
              <w:pStyle w:val="CETBodytext"/>
              <w:ind w:left="57" w:right="-1"/>
              <w:jc w:val="left"/>
              <w:rPr>
                <w:rFonts w:cs="Arial"/>
                <w:szCs w:val="18"/>
                <w:lang w:val="en-GB"/>
              </w:rPr>
            </w:pPr>
            <w:r>
              <w:rPr>
                <w:rFonts w:cs="Arial"/>
                <w:szCs w:val="18"/>
                <w:lang w:val="en-GB"/>
              </w:rPr>
              <w:t>Description</w:t>
            </w:r>
          </w:p>
        </w:tc>
      </w:tr>
      <w:tr w:rsidR="003F2421" w:rsidRPr="00B57B36" w14:paraId="066FBAD5" w14:textId="77777777" w:rsidTr="00235D27">
        <w:trPr>
          <w:trHeight w:val="589"/>
        </w:trPr>
        <w:tc>
          <w:tcPr>
            <w:tcW w:w="1276" w:type="dxa"/>
            <w:tcBorders>
              <w:top w:val="single" w:sz="4" w:space="0" w:color="00B050"/>
              <w:bottom w:val="single" w:sz="4" w:space="0" w:color="00B050"/>
            </w:tcBorders>
            <w:shd w:val="clear" w:color="auto" w:fill="FFFFFF" w:themeFill="background1"/>
          </w:tcPr>
          <w:p w14:paraId="03EB2D9A" w14:textId="77777777" w:rsidR="003F2421" w:rsidRDefault="003F2421" w:rsidP="003F2421">
            <w:pPr>
              <w:pStyle w:val="CETBodytext"/>
              <w:ind w:right="-1"/>
              <w:rPr>
                <w:rFonts w:cs="Arial"/>
                <w:szCs w:val="18"/>
                <w:lang w:val="en-GB"/>
              </w:rPr>
            </w:pPr>
            <w:r>
              <w:rPr>
                <w:rFonts w:cs="Arial"/>
                <w:szCs w:val="18"/>
                <w:lang w:val="en-GB"/>
              </w:rPr>
              <w:t>Bind et al.,</w:t>
            </w:r>
          </w:p>
          <w:p w14:paraId="1BA4913C" w14:textId="70411375" w:rsidR="003F2421" w:rsidRPr="00BB1C75" w:rsidRDefault="003F2421" w:rsidP="003F2421">
            <w:pPr>
              <w:pStyle w:val="CETBodytext"/>
              <w:jc w:val="left"/>
              <w:rPr>
                <w:lang w:val="en-GB"/>
              </w:rPr>
            </w:pPr>
            <w:r>
              <w:rPr>
                <w:rFonts w:cs="Arial"/>
                <w:szCs w:val="18"/>
                <w:lang w:val="en-GB"/>
              </w:rPr>
              <w:t>2012</w:t>
            </w:r>
          </w:p>
        </w:tc>
        <w:tc>
          <w:tcPr>
            <w:tcW w:w="1134" w:type="dxa"/>
            <w:tcBorders>
              <w:top w:val="single" w:sz="4" w:space="0" w:color="00B050"/>
              <w:bottom w:val="single" w:sz="4" w:space="0" w:color="00B050"/>
            </w:tcBorders>
            <w:shd w:val="clear" w:color="auto" w:fill="FFFFFF" w:themeFill="background1"/>
          </w:tcPr>
          <w:p w14:paraId="13646578" w14:textId="24C51C83" w:rsidR="003F2421" w:rsidRPr="00BB1C75" w:rsidRDefault="003F2421" w:rsidP="003F2421">
            <w:pPr>
              <w:pStyle w:val="CETBodytext"/>
              <w:jc w:val="left"/>
              <w:rPr>
                <w:lang w:val="en-GB"/>
              </w:rPr>
            </w:pPr>
            <w:r>
              <w:rPr>
                <w:rFonts w:cs="Arial"/>
                <w:szCs w:val="18"/>
                <w:lang w:val="en-GB"/>
              </w:rPr>
              <w:t>Aluminium and starch</w:t>
            </w:r>
          </w:p>
        </w:tc>
        <w:tc>
          <w:tcPr>
            <w:tcW w:w="1276" w:type="dxa"/>
            <w:tcBorders>
              <w:top w:val="single" w:sz="4" w:space="0" w:color="00B050"/>
              <w:bottom w:val="single" w:sz="4" w:space="0" w:color="00B050"/>
            </w:tcBorders>
            <w:shd w:val="clear" w:color="auto" w:fill="FFFFFF" w:themeFill="background1"/>
          </w:tcPr>
          <w:p w14:paraId="54E52EA9" w14:textId="77777777" w:rsidR="003F2421" w:rsidRDefault="003F2421" w:rsidP="003F2421">
            <w:pPr>
              <w:pStyle w:val="CETBodytext"/>
              <w:jc w:val="left"/>
              <w:rPr>
                <w:lang w:val="en-GB"/>
              </w:rPr>
            </w:pPr>
            <w:r>
              <w:rPr>
                <w:lang w:val="en-GB"/>
              </w:rPr>
              <w:t>Ansys</w:t>
            </w:r>
          </w:p>
          <w:p w14:paraId="0D9568B1" w14:textId="5E21C6B3" w:rsidR="003F2421" w:rsidRDefault="003F2421" w:rsidP="003F2421">
            <w:pPr>
              <w:pStyle w:val="CETBodytext"/>
              <w:jc w:val="left"/>
              <w:rPr>
                <w:lang w:val="en-GB"/>
              </w:rPr>
            </w:pPr>
            <w:r>
              <w:rPr>
                <w:lang w:val="en-GB"/>
              </w:rPr>
              <w:t>Fluent</w:t>
            </w:r>
          </w:p>
        </w:tc>
        <w:tc>
          <w:tcPr>
            <w:tcW w:w="1843" w:type="dxa"/>
            <w:tcBorders>
              <w:top w:val="single" w:sz="4" w:space="0" w:color="00B050"/>
              <w:bottom w:val="single" w:sz="4" w:space="0" w:color="00B050"/>
            </w:tcBorders>
            <w:shd w:val="clear" w:color="auto" w:fill="FFFFFF" w:themeFill="background1"/>
          </w:tcPr>
          <w:p w14:paraId="37DDF557" w14:textId="352A5730" w:rsidR="003F2421" w:rsidRPr="003F2421" w:rsidRDefault="003F2421" w:rsidP="0093616D">
            <w:pPr>
              <w:pStyle w:val="CETBodytext"/>
              <w:ind w:right="-1"/>
              <w:jc w:val="left"/>
              <w:rPr>
                <w:b/>
                <w:bCs/>
              </w:rPr>
            </w:pPr>
            <w:r w:rsidRPr="003F2421">
              <w:rPr>
                <w:rStyle w:val="Enfasigrassetto"/>
                <w:b w:val="0"/>
                <w:bCs w:val="0"/>
              </w:rPr>
              <w:t>Developing multi-scale (particle and cloud) reaction engineering model</w:t>
            </w:r>
          </w:p>
        </w:tc>
        <w:tc>
          <w:tcPr>
            <w:tcW w:w="1257" w:type="dxa"/>
            <w:tcBorders>
              <w:top w:val="single" w:sz="4" w:space="0" w:color="00B050"/>
              <w:bottom w:val="single" w:sz="4" w:space="0" w:color="00B050"/>
            </w:tcBorders>
            <w:shd w:val="clear" w:color="auto" w:fill="FFFFFF" w:themeFill="background1"/>
          </w:tcPr>
          <w:p w14:paraId="5919D66F" w14:textId="6B4DE080" w:rsidR="003F2421" w:rsidRPr="001E37E5" w:rsidRDefault="003F2421" w:rsidP="003F2421">
            <w:pPr>
              <w:pStyle w:val="CETBodytext"/>
              <w:ind w:right="-1"/>
              <w:jc w:val="left"/>
              <w:rPr>
                <w:rFonts w:cs="Arial"/>
                <w:szCs w:val="18"/>
                <w:lang w:val="en-GB"/>
              </w:rPr>
            </w:pPr>
            <w:r>
              <w:t xml:space="preserve">standard </w:t>
            </w:r>
            <w:r>
              <w:rPr>
                <w:rStyle w:val="mord"/>
              </w:rPr>
              <w:t>k</w:t>
            </w:r>
            <w:r>
              <w:rPr>
                <w:rStyle w:val="mbin"/>
              </w:rPr>
              <w:t>−</w:t>
            </w:r>
            <w:r>
              <w:rPr>
                <w:rStyle w:val="mord"/>
              </w:rPr>
              <w:t xml:space="preserve">ϵ </w:t>
            </w:r>
            <w:r>
              <w:t>model</w:t>
            </w:r>
          </w:p>
        </w:tc>
        <w:tc>
          <w:tcPr>
            <w:tcW w:w="2058" w:type="dxa"/>
            <w:tcBorders>
              <w:top w:val="single" w:sz="4" w:space="0" w:color="00B050"/>
              <w:bottom w:val="single" w:sz="4" w:space="0" w:color="00B050"/>
            </w:tcBorders>
            <w:shd w:val="clear" w:color="auto" w:fill="FFFFFF" w:themeFill="background1"/>
          </w:tcPr>
          <w:p w14:paraId="4F443345" w14:textId="7D795B88" w:rsidR="003F2421" w:rsidRPr="003F2421" w:rsidRDefault="003F2421" w:rsidP="003F2421">
            <w:pPr>
              <w:pStyle w:val="CETBodytext"/>
              <w:ind w:left="57" w:right="-1"/>
              <w:jc w:val="left"/>
            </w:pPr>
            <w:r>
              <w:t xml:space="preserve">Combustion at the particle scale for Al and group combustion for starch. Single reaction </w:t>
            </w:r>
          </w:p>
        </w:tc>
      </w:tr>
      <w:tr w:rsidR="003F2421" w:rsidRPr="00B57B36" w14:paraId="33332A7B" w14:textId="77777777" w:rsidTr="00235D27">
        <w:trPr>
          <w:trHeight w:val="589"/>
        </w:trPr>
        <w:tc>
          <w:tcPr>
            <w:tcW w:w="1276" w:type="dxa"/>
            <w:tcBorders>
              <w:top w:val="single" w:sz="4" w:space="0" w:color="00B050"/>
              <w:bottom w:val="single" w:sz="4" w:space="0" w:color="00B050"/>
            </w:tcBorders>
            <w:shd w:val="clear" w:color="auto" w:fill="FFFFFF" w:themeFill="background1"/>
          </w:tcPr>
          <w:p w14:paraId="305ECA39" w14:textId="77777777" w:rsidR="003F2421" w:rsidRDefault="003F2421" w:rsidP="003F2421">
            <w:pPr>
              <w:pStyle w:val="CETBodytext"/>
              <w:ind w:right="-1"/>
              <w:jc w:val="left"/>
              <w:rPr>
                <w:rFonts w:cs="Arial"/>
                <w:szCs w:val="18"/>
                <w:lang w:val="en-GB"/>
              </w:rPr>
            </w:pPr>
            <w:r>
              <w:rPr>
                <w:rFonts w:cs="Arial"/>
                <w:szCs w:val="18"/>
                <w:lang w:val="en-GB"/>
              </w:rPr>
              <w:t xml:space="preserve">Li et al., </w:t>
            </w:r>
          </w:p>
          <w:p w14:paraId="4B334F6B" w14:textId="3F80C31A" w:rsidR="003F2421" w:rsidRPr="00BB1C75" w:rsidRDefault="003F2421" w:rsidP="003F2421">
            <w:pPr>
              <w:pStyle w:val="CETBodytext"/>
              <w:jc w:val="left"/>
              <w:rPr>
                <w:lang w:val="en-GB"/>
              </w:rPr>
            </w:pPr>
            <w:r>
              <w:rPr>
                <w:rFonts w:cs="Arial"/>
                <w:szCs w:val="18"/>
                <w:lang w:val="en-GB"/>
              </w:rPr>
              <w:t>2020</w:t>
            </w:r>
          </w:p>
        </w:tc>
        <w:tc>
          <w:tcPr>
            <w:tcW w:w="1134" w:type="dxa"/>
            <w:tcBorders>
              <w:top w:val="single" w:sz="4" w:space="0" w:color="00B050"/>
              <w:bottom w:val="single" w:sz="4" w:space="0" w:color="00B050"/>
            </w:tcBorders>
            <w:shd w:val="clear" w:color="auto" w:fill="FFFFFF" w:themeFill="background1"/>
          </w:tcPr>
          <w:p w14:paraId="0A7AA29A" w14:textId="7877E439" w:rsidR="003F2421" w:rsidRPr="00BB1C75" w:rsidRDefault="003F2421" w:rsidP="003F2421">
            <w:pPr>
              <w:pStyle w:val="CETBodytext"/>
              <w:jc w:val="left"/>
              <w:rPr>
                <w:lang w:val="en-GB"/>
              </w:rPr>
            </w:pPr>
            <w:r>
              <w:rPr>
                <w:lang w:val="en-GB"/>
              </w:rPr>
              <w:t>Cornstarch</w:t>
            </w:r>
          </w:p>
        </w:tc>
        <w:tc>
          <w:tcPr>
            <w:tcW w:w="1276" w:type="dxa"/>
            <w:tcBorders>
              <w:top w:val="single" w:sz="4" w:space="0" w:color="00B050"/>
              <w:bottom w:val="single" w:sz="4" w:space="0" w:color="00B050"/>
            </w:tcBorders>
            <w:shd w:val="clear" w:color="auto" w:fill="FFFFFF" w:themeFill="background1"/>
          </w:tcPr>
          <w:p w14:paraId="422F7803" w14:textId="77777777" w:rsidR="003F2421" w:rsidRDefault="003F2421" w:rsidP="003F2421">
            <w:pPr>
              <w:pStyle w:val="CETBodytext"/>
              <w:jc w:val="left"/>
              <w:rPr>
                <w:lang w:val="en-GB"/>
              </w:rPr>
            </w:pPr>
            <w:r>
              <w:rPr>
                <w:lang w:val="en-GB"/>
              </w:rPr>
              <w:t>Ansys</w:t>
            </w:r>
          </w:p>
          <w:p w14:paraId="1DBCA28C" w14:textId="321BEA66" w:rsidR="003F2421" w:rsidRDefault="003F2421" w:rsidP="003F2421">
            <w:pPr>
              <w:pStyle w:val="CETBodytext"/>
              <w:jc w:val="left"/>
              <w:rPr>
                <w:lang w:val="en-GB"/>
              </w:rPr>
            </w:pPr>
            <w:r>
              <w:rPr>
                <w:lang w:val="en-GB"/>
              </w:rPr>
              <w:t>Fluent</w:t>
            </w:r>
          </w:p>
        </w:tc>
        <w:tc>
          <w:tcPr>
            <w:tcW w:w="1843" w:type="dxa"/>
            <w:tcBorders>
              <w:top w:val="single" w:sz="4" w:space="0" w:color="00B050"/>
              <w:bottom w:val="single" w:sz="4" w:space="0" w:color="00B050"/>
            </w:tcBorders>
            <w:shd w:val="clear" w:color="auto" w:fill="FFFFFF" w:themeFill="background1"/>
          </w:tcPr>
          <w:p w14:paraId="68B49BF7" w14:textId="0C502964" w:rsidR="003F2421" w:rsidRPr="001E37E5" w:rsidRDefault="003F2421" w:rsidP="0093616D">
            <w:pPr>
              <w:pStyle w:val="CETBodytext"/>
              <w:ind w:right="-1"/>
              <w:jc w:val="left"/>
              <w:rPr>
                <w:rFonts w:cs="Arial"/>
                <w:szCs w:val="18"/>
                <w:lang w:val="en-GB"/>
              </w:rPr>
            </w:pPr>
            <w:r>
              <w:rPr>
                <w:rFonts w:cs="Arial"/>
                <w:szCs w:val="18"/>
                <w:lang w:val="en-GB"/>
              </w:rPr>
              <w:t xml:space="preserve">Effects of oxygen, fuel concentration and PSD </w:t>
            </w:r>
          </w:p>
        </w:tc>
        <w:tc>
          <w:tcPr>
            <w:tcW w:w="1257" w:type="dxa"/>
            <w:tcBorders>
              <w:top w:val="single" w:sz="4" w:space="0" w:color="00B050"/>
              <w:bottom w:val="single" w:sz="4" w:space="0" w:color="00B050"/>
            </w:tcBorders>
            <w:shd w:val="clear" w:color="auto" w:fill="FFFFFF" w:themeFill="background1"/>
          </w:tcPr>
          <w:p w14:paraId="73D03B07" w14:textId="7EB6B9D8" w:rsidR="003F2421" w:rsidRPr="001E37E5" w:rsidRDefault="003F2421" w:rsidP="003F2421">
            <w:pPr>
              <w:pStyle w:val="CETBodytext"/>
              <w:ind w:right="-1"/>
              <w:jc w:val="left"/>
              <w:rPr>
                <w:rFonts w:cs="Arial"/>
                <w:szCs w:val="18"/>
                <w:lang w:val="en-GB"/>
              </w:rPr>
            </w:pPr>
            <w:r>
              <w:t xml:space="preserve">standard </w:t>
            </w:r>
            <w:r>
              <w:rPr>
                <w:rStyle w:val="mord"/>
              </w:rPr>
              <w:t>k</w:t>
            </w:r>
            <w:r>
              <w:rPr>
                <w:rStyle w:val="mbin"/>
              </w:rPr>
              <w:t>−</w:t>
            </w:r>
            <w:r>
              <w:rPr>
                <w:rStyle w:val="mord"/>
              </w:rPr>
              <w:t xml:space="preserve">ϵ </w:t>
            </w:r>
            <w:r>
              <w:t>model</w:t>
            </w:r>
          </w:p>
        </w:tc>
        <w:tc>
          <w:tcPr>
            <w:tcW w:w="2058" w:type="dxa"/>
            <w:tcBorders>
              <w:top w:val="single" w:sz="4" w:space="0" w:color="00B050"/>
              <w:bottom w:val="single" w:sz="4" w:space="0" w:color="00B050"/>
            </w:tcBorders>
            <w:shd w:val="clear" w:color="auto" w:fill="FFFFFF" w:themeFill="background1"/>
          </w:tcPr>
          <w:p w14:paraId="167575C1" w14:textId="11AEFB5D" w:rsidR="003F2421" w:rsidRPr="006F025A" w:rsidRDefault="003F2421" w:rsidP="003F2421">
            <w:pPr>
              <w:pStyle w:val="CETBodytext"/>
              <w:ind w:left="57" w:right="-1"/>
              <w:jc w:val="left"/>
              <w:rPr>
                <w:rFonts w:cs="Arial"/>
                <w:szCs w:val="18"/>
                <w:lang w:val="en-GB"/>
              </w:rPr>
            </w:pPr>
            <w:r>
              <w:rPr>
                <w:rFonts w:cs="Arial"/>
                <w:szCs w:val="18"/>
                <w:lang w:val="en-GB"/>
              </w:rPr>
              <w:t>Highlight the influence of flame-turbulence interactions</w:t>
            </w:r>
          </w:p>
        </w:tc>
      </w:tr>
      <w:tr w:rsidR="003F2421" w:rsidRPr="00B57B36" w14:paraId="1EA35B15" w14:textId="77777777" w:rsidTr="00235D27">
        <w:trPr>
          <w:trHeight w:val="589"/>
        </w:trPr>
        <w:tc>
          <w:tcPr>
            <w:tcW w:w="1276" w:type="dxa"/>
            <w:tcBorders>
              <w:top w:val="single" w:sz="4" w:space="0" w:color="00B050"/>
              <w:bottom w:val="single" w:sz="4" w:space="0" w:color="00B050"/>
            </w:tcBorders>
            <w:shd w:val="clear" w:color="auto" w:fill="FFFFFF" w:themeFill="background1"/>
          </w:tcPr>
          <w:p w14:paraId="29048692" w14:textId="77777777" w:rsidR="003F2421" w:rsidRDefault="003F2421" w:rsidP="003F2421">
            <w:pPr>
              <w:pStyle w:val="CETBodytext"/>
              <w:jc w:val="left"/>
              <w:rPr>
                <w:lang w:val="en-GB"/>
              </w:rPr>
            </w:pPr>
            <w:r w:rsidRPr="00BB1C75">
              <w:rPr>
                <w:lang w:val="en-GB"/>
              </w:rPr>
              <w:t xml:space="preserve">Islas </w:t>
            </w:r>
            <w:r>
              <w:rPr>
                <w:lang w:val="en-GB"/>
              </w:rPr>
              <w:t>et al.,</w:t>
            </w:r>
          </w:p>
          <w:p w14:paraId="0E1A7061" w14:textId="2DAB6668" w:rsidR="003F2421" w:rsidRPr="00BB1C75" w:rsidRDefault="003F2421" w:rsidP="003F2421">
            <w:pPr>
              <w:pStyle w:val="CETBodytext"/>
              <w:jc w:val="left"/>
              <w:rPr>
                <w:lang w:val="en-GB"/>
              </w:rPr>
            </w:pPr>
            <w:r>
              <w:rPr>
                <w:lang w:val="en-GB"/>
              </w:rPr>
              <w:t>2022</w:t>
            </w:r>
          </w:p>
        </w:tc>
        <w:tc>
          <w:tcPr>
            <w:tcW w:w="1134" w:type="dxa"/>
            <w:tcBorders>
              <w:top w:val="single" w:sz="4" w:space="0" w:color="00B050"/>
              <w:bottom w:val="single" w:sz="4" w:space="0" w:color="00B050"/>
            </w:tcBorders>
            <w:shd w:val="clear" w:color="auto" w:fill="FFFFFF" w:themeFill="background1"/>
          </w:tcPr>
          <w:p w14:paraId="2755F901" w14:textId="091AD57A" w:rsidR="003F2421" w:rsidRPr="00BB1C75" w:rsidRDefault="003F2421" w:rsidP="003F2421">
            <w:pPr>
              <w:pStyle w:val="CETBodytext"/>
              <w:jc w:val="left"/>
              <w:rPr>
                <w:lang w:val="en-GB"/>
              </w:rPr>
            </w:pPr>
            <w:r>
              <w:rPr>
                <w:lang w:val="en-GB"/>
              </w:rPr>
              <w:t>B</w:t>
            </w:r>
            <w:r w:rsidRPr="00BB1C75">
              <w:rPr>
                <w:lang w:val="en-GB"/>
              </w:rPr>
              <w:t>iomass</w:t>
            </w:r>
            <w:r w:rsidR="00682997">
              <w:rPr>
                <w:lang w:val="en-GB"/>
              </w:rPr>
              <w:t xml:space="preserve"> </w:t>
            </w:r>
            <w:r w:rsidR="00682997">
              <w:rPr>
                <w:rFonts w:cs="Arial"/>
                <w:szCs w:val="18"/>
                <w:lang w:val="en-GB"/>
              </w:rPr>
              <w:t>(Pellets Asturias and Cupressus Funebris)</w:t>
            </w:r>
          </w:p>
        </w:tc>
        <w:tc>
          <w:tcPr>
            <w:tcW w:w="1276" w:type="dxa"/>
            <w:tcBorders>
              <w:top w:val="single" w:sz="4" w:space="0" w:color="00B050"/>
              <w:bottom w:val="single" w:sz="4" w:space="0" w:color="00B050"/>
            </w:tcBorders>
            <w:shd w:val="clear" w:color="auto" w:fill="FFFFFF" w:themeFill="background1"/>
          </w:tcPr>
          <w:p w14:paraId="283E64F2" w14:textId="2BA35C25" w:rsidR="003F2421" w:rsidRDefault="003F2421" w:rsidP="003F2421">
            <w:pPr>
              <w:pStyle w:val="CETBodytext"/>
              <w:jc w:val="left"/>
              <w:rPr>
                <w:lang w:val="en-GB"/>
              </w:rPr>
            </w:pPr>
            <w:r w:rsidRPr="00BB1C75">
              <w:rPr>
                <w:lang w:val="en-GB"/>
              </w:rPr>
              <w:t>OpenFOAM</w:t>
            </w:r>
          </w:p>
        </w:tc>
        <w:tc>
          <w:tcPr>
            <w:tcW w:w="1843" w:type="dxa"/>
            <w:tcBorders>
              <w:top w:val="single" w:sz="4" w:space="0" w:color="00B050"/>
              <w:bottom w:val="single" w:sz="4" w:space="0" w:color="00B050"/>
            </w:tcBorders>
            <w:shd w:val="clear" w:color="auto" w:fill="FFFFFF" w:themeFill="background1"/>
          </w:tcPr>
          <w:p w14:paraId="7CB3599F" w14:textId="293D3F16" w:rsidR="003F2421" w:rsidRPr="001E37E5" w:rsidRDefault="00682997" w:rsidP="0093616D">
            <w:pPr>
              <w:pStyle w:val="CETBodytext"/>
              <w:ind w:right="-1"/>
              <w:jc w:val="left"/>
              <w:rPr>
                <w:rFonts w:cs="Arial"/>
                <w:szCs w:val="18"/>
                <w:lang w:val="en-GB"/>
              </w:rPr>
            </w:pPr>
            <w:r>
              <w:rPr>
                <w:rFonts w:cs="Arial"/>
                <w:szCs w:val="18"/>
                <w:lang w:val="en-GB"/>
              </w:rPr>
              <w:t>B</w:t>
            </w:r>
            <w:r w:rsidR="003F2421" w:rsidRPr="001E37E5">
              <w:rPr>
                <w:rFonts w:cs="Arial"/>
                <w:szCs w:val="18"/>
                <w:lang w:val="en-GB"/>
              </w:rPr>
              <w:t xml:space="preserve">iomass dusts </w:t>
            </w:r>
            <w:r>
              <w:rPr>
                <w:rFonts w:cs="Arial"/>
                <w:szCs w:val="18"/>
                <w:lang w:val="en-GB"/>
              </w:rPr>
              <w:t xml:space="preserve">explosion is mainly governed by the characteristics of the cold-flow  </w:t>
            </w:r>
          </w:p>
        </w:tc>
        <w:tc>
          <w:tcPr>
            <w:tcW w:w="1257" w:type="dxa"/>
            <w:tcBorders>
              <w:top w:val="single" w:sz="4" w:space="0" w:color="00B050"/>
              <w:bottom w:val="single" w:sz="4" w:space="0" w:color="00B050"/>
            </w:tcBorders>
            <w:shd w:val="clear" w:color="auto" w:fill="FFFFFF" w:themeFill="background1"/>
          </w:tcPr>
          <w:p w14:paraId="0782346F" w14:textId="7491200B" w:rsidR="003F2421" w:rsidRPr="001E37E5" w:rsidRDefault="003F2421" w:rsidP="003F2421">
            <w:pPr>
              <w:pStyle w:val="CETBodytext"/>
              <w:ind w:right="-1"/>
              <w:jc w:val="left"/>
              <w:rPr>
                <w:rFonts w:cs="Arial"/>
                <w:szCs w:val="18"/>
                <w:lang w:val="en-GB"/>
              </w:rPr>
            </w:pPr>
            <w:r w:rsidRPr="001E37E5">
              <w:rPr>
                <w:rFonts w:cs="Arial"/>
                <w:szCs w:val="18"/>
                <w:lang w:val="en-GB"/>
              </w:rPr>
              <w:t xml:space="preserve">Eulerian-Lagrange </w:t>
            </w:r>
            <w:r>
              <w:rPr>
                <w:rFonts w:cs="Arial"/>
                <w:szCs w:val="18"/>
                <w:lang w:val="en-GB"/>
              </w:rPr>
              <w:t>with</w:t>
            </w:r>
            <w:r w:rsidRPr="001E37E5">
              <w:rPr>
                <w:rFonts w:cs="Arial"/>
                <w:szCs w:val="18"/>
                <w:lang w:val="en-GB"/>
              </w:rPr>
              <w:t xml:space="preserve"> </w:t>
            </w:r>
            <w:r w:rsidR="00682997">
              <w:rPr>
                <w:rFonts w:cs="Arial"/>
                <w:szCs w:val="18"/>
                <w:lang w:val="en-GB"/>
              </w:rPr>
              <w:t>2-way coupling</w:t>
            </w:r>
          </w:p>
        </w:tc>
        <w:tc>
          <w:tcPr>
            <w:tcW w:w="2058" w:type="dxa"/>
            <w:tcBorders>
              <w:top w:val="single" w:sz="4" w:space="0" w:color="00B050"/>
              <w:bottom w:val="single" w:sz="4" w:space="0" w:color="00B050"/>
            </w:tcBorders>
            <w:shd w:val="clear" w:color="auto" w:fill="FFFFFF" w:themeFill="background1"/>
          </w:tcPr>
          <w:p w14:paraId="1AD0A965" w14:textId="77777777" w:rsidR="003F2421" w:rsidRDefault="003F2421" w:rsidP="003F2421">
            <w:pPr>
              <w:pStyle w:val="CETBodytext"/>
              <w:ind w:left="57" w:right="-1"/>
              <w:jc w:val="left"/>
              <w:rPr>
                <w:rFonts w:cs="Arial"/>
                <w:szCs w:val="18"/>
                <w:lang w:val="en-GB"/>
              </w:rPr>
            </w:pPr>
            <w:r w:rsidRPr="006F025A">
              <w:rPr>
                <w:rFonts w:cs="Arial"/>
                <w:szCs w:val="18"/>
                <w:lang w:val="en-GB"/>
              </w:rPr>
              <w:t>Moistur</w:t>
            </w:r>
            <w:r>
              <w:rPr>
                <w:rFonts w:cs="Arial"/>
                <w:szCs w:val="18"/>
                <w:lang w:val="en-GB"/>
              </w:rPr>
              <w:t>e</w:t>
            </w:r>
          </w:p>
          <w:p w14:paraId="2922299E" w14:textId="00237A8D" w:rsidR="003F2421" w:rsidRPr="006F025A" w:rsidRDefault="003F2421" w:rsidP="003F2421">
            <w:pPr>
              <w:pStyle w:val="CETBodytext"/>
              <w:ind w:left="57" w:right="-1"/>
              <w:jc w:val="left"/>
              <w:rPr>
                <w:rFonts w:cs="Arial"/>
                <w:szCs w:val="18"/>
                <w:lang w:val="en-GB"/>
              </w:rPr>
            </w:pPr>
            <w:r>
              <w:rPr>
                <w:rFonts w:cs="Arial"/>
                <w:szCs w:val="18"/>
                <w:lang w:val="en-GB"/>
              </w:rPr>
              <w:t>e</w:t>
            </w:r>
            <w:r w:rsidRPr="006F025A">
              <w:rPr>
                <w:rFonts w:cs="Arial"/>
                <w:szCs w:val="18"/>
                <w:lang w:val="en-GB"/>
              </w:rPr>
              <w:t>vaporation, devolatilization, and char oxidation</w:t>
            </w:r>
            <w:r w:rsidR="00682997">
              <w:rPr>
                <w:rFonts w:cs="Arial"/>
                <w:szCs w:val="18"/>
                <w:lang w:val="en-GB"/>
              </w:rPr>
              <w:t xml:space="preserve"> are considered for the reactions</w:t>
            </w:r>
            <w:r w:rsidRPr="006F025A">
              <w:rPr>
                <w:rFonts w:cs="Arial"/>
                <w:szCs w:val="18"/>
                <w:lang w:val="en-GB"/>
              </w:rPr>
              <w:t xml:space="preserve"> </w:t>
            </w:r>
          </w:p>
        </w:tc>
      </w:tr>
      <w:tr w:rsidR="003F2421" w:rsidRPr="00B57B36" w14:paraId="4CED2885" w14:textId="77777777" w:rsidTr="00235D27">
        <w:trPr>
          <w:trHeight w:val="589"/>
        </w:trPr>
        <w:tc>
          <w:tcPr>
            <w:tcW w:w="1276" w:type="dxa"/>
            <w:tcBorders>
              <w:top w:val="single" w:sz="4" w:space="0" w:color="00B050"/>
              <w:bottom w:val="single" w:sz="4" w:space="0" w:color="00B050"/>
            </w:tcBorders>
            <w:shd w:val="clear" w:color="auto" w:fill="FFFFFF" w:themeFill="background1"/>
          </w:tcPr>
          <w:p w14:paraId="41E0B08F" w14:textId="77777777" w:rsidR="003F2421" w:rsidRDefault="003F2421" w:rsidP="003F2421">
            <w:pPr>
              <w:pStyle w:val="CETBodytext"/>
              <w:jc w:val="left"/>
              <w:rPr>
                <w:lang w:val="en-GB"/>
              </w:rPr>
            </w:pPr>
            <w:r w:rsidRPr="00BB1C75">
              <w:rPr>
                <w:lang w:val="en-GB"/>
              </w:rPr>
              <w:t xml:space="preserve">Pico </w:t>
            </w:r>
            <w:r>
              <w:rPr>
                <w:lang w:val="en-GB"/>
              </w:rPr>
              <w:t>et al.,</w:t>
            </w:r>
          </w:p>
          <w:p w14:paraId="63E23F47" w14:textId="77777777" w:rsidR="003F2421" w:rsidRPr="00B57B36" w:rsidRDefault="003F2421" w:rsidP="003F2421">
            <w:pPr>
              <w:pStyle w:val="CETBodytext"/>
              <w:jc w:val="left"/>
              <w:rPr>
                <w:lang w:val="en-GB"/>
              </w:rPr>
            </w:pPr>
            <w:r>
              <w:rPr>
                <w:lang w:val="en-GB"/>
              </w:rPr>
              <w:t>2020</w:t>
            </w:r>
          </w:p>
        </w:tc>
        <w:tc>
          <w:tcPr>
            <w:tcW w:w="1134" w:type="dxa"/>
            <w:tcBorders>
              <w:top w:val="single" w:sz="4" w:space="0" w:color="00B050"/>
              <w:bottom w:val="single" w:sz="4" w:space="0" w:color="00B050"/>
            </w:tcBorders>
            <w:shd w:val="clear" w:color="auto" w:fill="FFFFFF" w:themeFill="background1"/>
          </w:tcPr>
          <w:p w14:paraId="79A2851E" w14:textId="4DC83EDB" w:rsidR="003F2421" w:rsidRDefault="00682997" w:rsidP="003F2421">
            <w:pPr>
              <w:pStyle w:val="CETBodytext"/>
              <w:jc w:val="left"/>
              <w:rPr>
                <w:lang w:val="en-GB"/>
              </w:rPr>
            </w:pPr>
            <w:r>
              <w:rPr>
                <w:lang w:val="en-GB"/>
              </w:rPr>
              <w:t>W</w:t>
            </w:r>
            <w:r w:rsidR="003F2421" w:rsidRPr="00BB1C75">
              <w:rPr>
                <w:lang w:val="en-GB"/>
              </w:rPr>
              <w:t>heat</w:t>
            </w:r>
          </w:p>
          <w:p w14:paraId="6AD9D98A" w14:textId="77777777" w:rsidR="003F2421" w:rsidRPr="00B57B36" w:rsidRDefault="003F2421" w:rsidP="003F2421">
            <w:pPr>
              <w:pStyle w:val="CETBodytext"/>
              <w:jc w:val="left"/>
              <w:rPr>
                <w:lang w:val="en-GB"/>
              </w:rPr>
            </w:pPr>
            <w:r w:rsidRPr="00BB1C75">
              <w:rPr>
                <w:lang w:val="en-GB"/>
              </w:rPr>
              <w:t>starch</w:t>
            </w:r>
          </w:p>
        </w:tc>
        <w:tc>
          <w:tcPr>
            <w:tcW w:w="1276" w:type="dxa"/>
            <w:tcBorders>
              <w:top w:val="single" w:sz="4" w:space="0" w:color="00B050"/>
              <w:bottom w:val="single" w:sz="4" w:space="0" w:color="00B050"/>
            </w:tcBorders>
            <w:shd w:val="clear" w:color="auto" w:fill="FFFFFF" w:themeFill="background1"/>
          </w:tcPr>
          <w:p w14:paraId="427B76E6" w14:textId="77777777" w:rsidR="003F2421" w:rsidRDefault="003F2421" w:rsidP="003F2421">
            <w:pPr>
              <w:pStyle w:val="CETBodytext"/>
              <w:jc w:val="left"/>
              <w:rPr>
                <w:lang w:val="en-GB"/>
              </w:rPr>
            </w:pPr>
            <w:r>
              <w:rPr>
                <w:lang w:val="en-GB"/>
              </w:rPr>
              <w:t>Ansys</w:t>
            </w:r>
          </w:p>
          <w:p w14:paraId="158D2176" w14:textId="2B6533C3" w:rsidR="003F2421" w:rsidRPr="00B57B36" w:rsidRDefault="003F2421" w:rsidP="003F2421">
            <w:pPr>
              <w:pStyle w:val="CETBodytext"/>
              <w:jc w:val="left"/>
              <w:rPr>
                <w:lang w:val="en-GB"/>
              </w:rPr>
            </w:pPr>
            <w:r>
              <w:rPr>
                <w:lang w:val="en-GB"/>
              </w:rPr>
              <w:t>Fluent</w:t>
            </w:r>
          </w:p>
        </w:tc>
        <w:tc>
          <w:tcPr>
            <w:tcW w:w="1843" w:type="dxa"/>
            <w:tcBorders>
              <w:top w:val="single" w:sz="4" w:space="0" w:color="00B050"/>
              <w:bottom w:val="single" w:sz="4" w:space="0" w:color="00B050"/>
            </w:tcBorders>
            <w:shd w:val="clear" w:color="auto" w:fill="FFFFFF" w:themeFill="background1"/>
          </w:tcPr>
          <w:p w14:paraId="33E658FA" w14:textId="25B89E73" w:rsidR="0093616D" w:rsidRDefault="0093616D" w:rsidP="0093616D">
            <w:pPr>
              <w:pStyle w:val="CETBodytext"/>
              <w:ind w:right="-1"/>
              <w:jc w:val="left"/>
              <w:rPr>
                <w:rFonts w:cs="Arial"/>
                <w:szCs w:val="18"/>
                <w:lang w:val="en-GB"/>
              </w:rPr>
            </w:pPr>
            <w:r>
              <w:rPr>
                <w:rFonts w:cs="Arial"/>
                <w:szCs w:val="18"/>
                <w:lang w:val="en-GB"/>
              </w:rPr>
              <w:t>Three different nozzles. P</w:t>
            </w:r>
            <w:r w:rsidR="003F2421" w:rsidRPr="001E37E5">
              <w:rPr>
                <w:rFonts w:cs="Arial"/>
                <w:szCs w:val="18"/>
                <w:lang w:val="en-GB"/>
              </w:rPr>
              <w:t>yrolysis</w:t>
            </w:r>
            <w:r>
              <w:rPr>
                <w:rFonts w:cs="Arial"/>
                <w:szCs w:val="18"/>
                <w:lang w:val="en-GB"/>
              </w:rPr>
              <w:t xml:space="preserve"> step considered and</w:t>
            </w:r>
          </w:p>
          <w:p w14:paraId="62495F6B" w14:textId="05B29BDA" w:rsidR="003F2421" w:rsidRPr="00B57B36" w:rsidRDefault="0093616D" w:rsidP="0093616D">
            <w:pPr>
              <w:pStyle w:val="CETBodytext"/>
              <w:ind w:right="-1"/>
              <w:jc w:val="left"/>
              <w:rPr>
                <w:rFonts w:cs="Arial"/>
                <w:szCs w:val="18"/>
                <w:lang w:val="en-GB"/>
              </w:rPr>
            </w:pPr>
            <w:r>
              <w:rPr>
                <w:rFonts w:cs="Arial"/>
                <w:szCs w:val="18"/>
                <w:lang w:val="en-GB"/>
              </w:rPr>
              <w:t>solid/</w:t>
            </w:r>
            <w:r w:rsidR="003F2421" w:rsidRPr="001E37E5">
              <w:rPr>
                <w:rFonts w:cs="Arial"/>
                <w:szCs w:val="18"/>
                <w:lang w:val="en-GB"/>
              </w:rPr>
              <w:t>gas hybrid mixtures</w:t>
            </w:r>
          </w:p>
        </w:tc>
        <w:tc>
          <w:tcPr>
            <w:tcW w:w="1257" w:type="dxa"/>
            <w:tcBorders>
              <w:top w:val="single" w:sz="4" w:space="0" w:color="00B050"/>
              <w:bottom w:val="single" w:sz="4" w:space="0" w:color="00B050"/>
            </w:tcBorders>
            <w:shd w:val="clear" w:color="auto" w:fill="FFFFFF" w:themeFill="background1"/>
          </w:tcPr>
          <w:p w14:paraId="33DE6483" w14:textId="77777777" w:rsidR="003F2421" w:rsidRPr="00B57B36" w:rsidRDefault="003F2421" w:rsidP="003F2421">
            <w:pPr>
              <w:pStyle w:val="CETBodytext"/>
              <w:ind w:right="-1"/>
              <w:jc w:val="left"/>
              <w:rPr>
                <w:rFonts w:cs="Arial"/>
                <w:szCs w:val="18"/>
                <w:lang w:val="en-GB"/>
              </w:rPr>
            </w:pPr>
            <w:r w:rsidRPr="001E37E5">
              <w:rPr>
                <w:rFonts w:cs="Arial"/>
                <w:szCs w:val="18"/>
                <w:lang w:val="en-GB"/>
              </w:rPr>
              <w:t>CFD-DPM (Discrete Phase Model) with a Eulerian-Lagrange</w:t>
            </w:r>
          </w:p>
        </w:tc>
        <w:tc>
          <w:tcPr>
            <w:tcW w:w="2058" w:type="dxa"/>
            <w:tcBorders>
              <w:top w:val="single" w:sz="4" w:space="0" w:color="00B050"/>
              <w:bottom w:val="single" w:sz="4" w:space="0" w:color="00B050"/>
            </w:tcBorders>
            <w:shd w:val="clear" w:color="auto" w:fill="FFFFFF" w:themeFill="background1"/>
          </w:tcPr>
          <w:p w14:paraId="5A3E43AD" w14:textId="77777777" w:rsidR="003F2421" w:rsidRDefault="0093616D" w:rsidP="003F2421">
            <w:pPr>
              <w:pStyle w:val="CETBodytext"/>
              <w:ind w:left="57" w:right="-1"/>
              <w:jc w:val="left"/>
              <w:rPr>
                <w:rFonts w:cs="Arial"/>
                <w:szCs w:val="18"/>
                <w:lang w:val="en-GB"/>
              </w:rPr>
            </w:pPr>
            <w:r>
              <w:rPr>
                <w:rFonts w:cs="Arial"/>
                <w:szCs w:val="18"/>
                <w:lang w:val="en-GB"/>
              </w:rPr>
              <w:t>P</w:t>
            </w:r>
            <w:r w:rsidR="003F2421" w:rsidRPr="006F025A">
              <w:rPr>
                <w:rFonts w:cs="Arial"/>
                <w:szCs w:val="18"/>
                <w:lang w:val="en-GB"/>
              </w:rPr>
              <w:t>owder dispersion and the pyrolysis</w:t>
            </w:r>
            <w:r>
              <w:rPr>
                <w:rFonts w:cs="Arial"/>
                <w:szCs w:val="18"/>
                <w:lang w:val="en-GB"/>
              </w:rPr>
              <w:t>/gas oxidation</w:t>
            </w:r>
            <w:r w:rsidR="003F2421" w:rsidRPr="006F025A">
              <w:rPr>
                <w:rFonts w:cs="Arial"/>
                <w:szCs w:val="18"/>
                <w:lang w:val="en-GB"/>
              </w:rPr>
              <w:t xml:space="preserve"> reactions</w:t>
            </w:r>
          </w:p>
          <w:p w14:paraId="75C2CADB" w14:textId="2B938B51" w:rsidR="0093616D" w:rsidRPr="00B57B36" w:rsidRDefault="0093616D" w:rsidP="003F2421">
            <w:pPr>
              <w:pStyle w:val="CETBodytext"/>
              <w:ind w:left="57" w:right="-1"/>
              <w:jc w:val="left"/>
              <w:rPr>
                <w:rFonts w:cs="Arial"/>
                <w:szCs w:val="18"/>
                <w:lang w:val="en-GB"/>
              </w:rPr>
            </w:pPr>
            <w:r>
              <w:rPr>
                <w:rFonts w:cs="Arial"/>
                <w:szCs w:val="18"/>
                <w:lang w:val="en-GB"/>
              </w:rPr>
              <w:t>Pyrolysis gases from modified G-G furnace</w:t>
            </w:r>
          </w:p>
        </w:tc>
      </w:tr>
      <w:tr w:rsidR="003F2421" w:rsidRPr="00B57B36" w14:paraId="78089323" w14:textId="77777777" w:rsidTr="00235D27">
        <w:trPr>
          <w:trHeight w:val="179"/>
        </w:trPr>
        <w:tc>
          <w:tcPr>
            <w:tcW w:w="1276" w:type="dxa"/>
            <w:tcBorders>
              <w:top w:val="single" w:sz="4" w:space="0" w:color="00B050"/>
              <w:bottom w:val="single" w:sz="4" w:space="0" w:color="00B050"/>
            </w:tcBorders>
            <w:shd w:val="clear" w:color="auto" w:fill="FFFFFF"/>
          </w:tcPr>
          <w:p w14:paraId="424B30DF" w14:textId="240975A0" w:rsidR="003F2421" w:rsidRPr="00735510" w:rsidRDefault="003F2421" w:rsidP="003F2421">
            <w:pPr>
              <w:pStyle w:val="CETBodytext"/>
              <w:ind w:right="-1"/>
              <w:jc w:val="left"/>
              <w:rPr>
                <w:rFonts w:cs="Arial"/>
                <w:szCs w:val="18"/>
                <w:lang w:val="en-GB"/>
              </w:rPr>
            </w:pPr>
            <w:r w:rsidRPr="00735510">
              <w:rPr>
                <w:rFonts w:cs="Arial"/>
                <w:szCs w:val="18"/>
                <w:lang w:val="en-GB"/>
              </w:rPr>
              <w:t>Portarapillo et al., 202</w:t>
            </w:r>
            <w:r w:rsidR="00735510" w:rsidRPr="00735510">
              <w:rPr>
                <w:rFonts w:cs="Arial"/>
                <w:szCs w:val="18"/>
                <w:lang w:val="en-GB"/>
              </w:rPr>
              <w:t>1</w:t>
            </w:r>
          </w:p>
        </w:tc>
        <w:tc>
          <w:tcPr>
            <w:tcW w:w="1134" w:type="dxa"/>
            <w:tcBorders>
              <w:top w:val="single" w:sz="4" w:space="0" w:color="00B050"/>
              <w:bottom w:val="single" w:sz="4" w:space="0" w:color="00B050"/>
            </w:tcBorders>
            <w:shd w:val="clear" w:color="auto" w:fill="FFFFFF"/>
          </w:tcPr>
          <w:p w14:paraId="523799EB" w14:textId="620C5FFF" w:rsidR="00735510" w:rsidRPr="00735510" w:rsidRDefault="00735510" w:rsidP="003F2421">
            <w:pPr>
              <w:pStyle w:val="CETBodytext"/>
              <w:ind w:right="-1"/>
              <w:jc w:val="left"/>
              <w:rPr>
                <w:rFonts w:cs="Arial"/>
                <w:szCs w:val="18"/>
                <w:lang w:val="en-GB"/>
              </w:rPr>
            </w:pPr>
            <w:r w:rsidRPr="00735510">
              <w:rPr>
                <w:rFonts w:cs="Arial"/>
                <w:szCs w:val="18"/>
                <w:lang w:val="en-GB"/>
              </w:rPr>
              <w:t>Various classes of dusts (A to D)</w:t>
            </w:r>
          </w:p>
        </w:tc>
        <w:tc>
          <w:tcPr>
            <w:tcW w:w="1276" w:type="dxa"/>
            <w:tcBorders>
              <w:top w:val="single" w:sz="4" w:space="0" w:color="00B050"/>
              <w:bottom w:val="single" w:sz="4" w:space="0" w:color="00B050"/>
            </w:tcBorders>
            <w:shd w:val="clear" w:color="auto" w:fill="FFFFFF"/>
          </w:tcPr>
          <w:p w14:paraId="6AC03B39" w14:textId="77777777" w:rsidR="00173E0F" w:rsidRPr="00735510" w:rsidRDefault="00173E0F" w:rsidP="00173E0F">
            <w:pPr>
              <w:pStyle w:val="CETBodytext"/>
              <w:jc w:val="left"/>
              <w:rPr>
                <w:lang w:val="en-GB"/>
              </w:rPr>
            </w:pPr>
            <w:r w:rsidRPr="00735510">
              <w:rPr>
                <w:lang w:val="en-GB"/>
              </w:rPr>
              <w:t>Ansys</w:t>
            </w:r>
          </w:p>
          <w:p w14:paraId="3A18B92B" w14:textId="6BACD977" w:rsidR="003F2421" w:rsidRPr="00735510" w:rsidRDefault="00173E0F" w:rsidP="00173E0F">
            <w:pPr>
              <w:pStyle w:val="CETBodytext"/>
              <w:ind w:right="-1"/>
              <w:rPr>
                <w:rFonts w:cs="Arial"/>
                <w:szCs w:val="18"/>
                <w:lang w:val="en-GB"/>
              </w:rPr>
            </w:pPr>
            <w:r w:rsidRPr="00735510">
              <w:rPr>
                <w:lang w:val="en-GB"/>
              </w:rPr>
              <w:t>Fluent</w:t>
            </w:r>
          </w:p>
        </w:tc>
        <w:tc>
          <w:tcPr>
            <w:tcW w:w="1843" w:type="dxa"/>
            <w:tcBorders>
              <w:top w:val="single" w:sz="4" w:space="0" w:color="00B050"/>
              <w:bottom w:val="single" w:sz="4" w:space="0" w:color="00B050"/>
            </w:tcBorders>
            <w:shd w:val="clear" w:color="auto" w:fill="FFFFFF"/>
          </w:tcPr>
          <w:p w14:paraId="7602DA78" w14:textId="77777777" w:rsidR="003F2421" w:rsidRPr="00735510" w:rsidRDefault="003F2421" w:rsidP="0093616D">
            <w:pPr>
              <w:pStyle w:val="CETBodytext"/>
              <w:ind w:right="-1"/>
              <w:jc w:val="left"/>
              <w:rPr>
                <w:rFonts w:cs="Arial"/>
                <w:szCs w:val="18"/>
                <w:lang w:val="en-GB"/>
              </w:rPr>
            </w:pPr>
            <w:r w:rsidRPr="00735510">
              <w:rPr>
                <w:rFonts w:cs="Arial"/>
                <w:szCs w:val="18"/>
                <w:lang w:val="en-GB"/>
              </w:rPr>
              <w:t>Comparison between 20L and 1m</w:t>
            </w:r>
            <w:r w:rsidRPr="00735510">
              <w:rPr>
                <w:rFonts w:cs="Arial"/>
                <w:szCs w:val="18"/>
                <w:vertAlign w:val="superscript"/>
                <w:lang w:val="en-GB"/>
              </w:rPr>
              <w:t>3</w:t>
            </w:r>
            <w:r w:rsidRPr="00735510">
              <w:rPr>
                <w:rFonts w:cs="Arial"/>
                <w:szCs w:val="18"/>
                <w:lang w:val="en-GB"/>
              </w:rPr>
              <w:t xml:space="preserve"> explosion vessels</w:t>
            </w:r>
            <w:r w:rsidR="00735510" w:rsidRPr="00735510">
              <w:rPr>
                <w:rFonts w:cs="Arial"/>
                <w:szCs w:val="18"/>
                <w:lang w:val="en-GB"/>
              </w:rPr>
              <w:t>.</w:t>
            </w:r>
          </w:p>
          <w:p w14:paraId="61847691" w14:textId="7E780889" w:rsidR="00735510" w:rsidRPr="00735510" w:rsidRDefault="00735510" w:rsidP="0093616D">
            <w:pPr>
              <w:pStyle w:val="CETBodytext"/>
              <w:ind w:right="-1"/>
              <w:jc w:val="left"/>
              <w:rPr>
                <w:rFonts w:cs="Arial"/>
                <w:szCs w:val="18"/>
                <w:lang w:val="en-GB"/>
              </w:rPr>
            </w:pPr>
            <w:r w:rsidRPr="00735510">
              <w:rPr>
                <w:rFonts w:cs="Arial"/>
                <w:szCs w:val="18"/>
                <w:lang w:val="en-GB"/>
              </w:rPr>
              <w:t>Influence of chemical igniters</w:t>
            </w:r>
          </w:p>
        </w:tc>
        <w:tc>
          <w:tcPr>
            <w:tcW w:w="1257" w:type="dxa"/>
            <w:tcBorders>
              <w:top w:val="single" w:sz="4" w:space="0" w:color="00B050"/>
              <w:bottom w:val="single" w:sz="4" w:space="0" w:color="00B050"/>
            </w:tcBorders>
            <w:shd w:val="clear" w:color="auto" w:fill="FFFFFF"/>
          </w:tcPr>
          <w:p w14:paraId="28A25BB9" w14:textId="77777777" w:rsidR="00173E0F" w:rsidRPr="00735510" w:rsidRDefault="00173E0F" w:rsidP="003F2421">
            <w:pPr>
              <w:pStyle w:val="CETBodytext"/>
              <w:ind w:right="-1"/>
            </w:pPr>
            <w:r w:rsidRPr="00735510">
              <w:t>URANS</w:t>
            </w:r>
          </w:p>
          <w:p w14:paraId="31C5919C" w14:textId="1559947E" w:rsidR="003F2421" w:rsidRPr="00735510" w:rsidRDefault="003F2421" w:rsidP="003F2421">
            <w:pPr>
              <w:pStyle w:val="CETBodytext"/>
              <w:ind w:right="-1"/>
              <w:rPr>
                <w:rFonts w:cs="Arial"/>
                <w:szCs w:val="18"/>
                <w:lang w:val="en-GB"/>
              </w:rPr>
            </w:pPr>
            <w:r w:rsidRPr="00735510">
              <w:t xml:space="preserve">standard </w:t>
            </w:r>
            <w:r w:rsidRPr="00735510">
              <w:rPr>
                <w:rStyle w:val="mord"/>
              </w:rPr>
              <w:t>k</w:t>
            </w:r>
            <w:r w:rsidRPr="00735510">
              <w:rPr>
                <w:rStyle w:val="mbin"/>
              </w:rPr>
              <w:t>−</w:t>
            </w:r>
            <w:r w:rsidRPr="00735510">
              <w:rPr>
                <w:rStyle w:val="mord"/>
              </w:rPr>
              <w:t>ϵ</w:t>
            </w:r>
            <w:r w:rsidRPr="00735510">
              <w:t xml:space="preserve"> model</w:t>
            </w:r>
          </w:p>
        </w:tc>
        <w:tc>
          <w:tcPr>
            <w:tcW w:w="2058" w:type="dxa"/>
            <w:tcBorders>
              <w:top w:val="single" w:sz="4" w:space="0" w:color="00B050"/>
              <w:bottom w:val="single" w:sz="4" w:space="0" w:color="00B050"/>
            </w:tcBorders>
            <w:shd w:val="clear" w:color="auto" w:fill="FFFFFF"/>
          </w:tcPr>
          <w:p w14:paraId="036FEDF5" w14:textId="37E329DB" w:rsidR="003F2421" w:rsidRPr="00735510" w:rsidRDefault="00735510" w:rsidP="003F2421">
            <w:pPr>
              <w:pStyle w:val="CETBodytext"/>
              <w:ind w:left="57" w:right="-1"/>
              <w:jc w:val="left"/>
              <w:rPr>
                <w:rFonts w:cs="Arial"/>
                <w:szCs w:val="18"/>
                <w:lang w:val="en-GB"/>
              </w:rPr>
            </w:pPr>
            <w:r w:rsidRPr="00735510">
              <w:rPr>
                <w:rFonts w:cs="Arial"/>
                <w:szCs w:val="18"/>
                <w:lang w:val="en-GB"/>
              </w:rPr>
              <w:t>Flame propagation and heat transfers generated by</w:t>
            </w:r>
            <w:r w:rsidR="003F2421" w:rsidRPr="00735510">
              <w:rPr>
                <w:rFonts w:cs="Arial"/>
                <w:szCs w:val="18"/>
                <w:lang w:val="en-GB"/>
              </w:rPr>
              <w:t xml:space="preserve"> pyrotechnic ignitors</w:t>
            </w:r>
            <w:r w:rsidRPr="00735510">
              <w:rPr>
                <w:rFonts w:cs="Arial"/>
                <w:szCs w:val="18"/>
                <w:lang w:val="en-GB"/>
              </w:rPr>
              <w:t xml:space="preserve"> and their impact on different kinds of dusts </w:t>
            </w:r>
          </w:p>
        </w:tc>
      </w:tr>
      <w:tr w:rsidR="003F2421" w:rsidRPr="00B57B36" w14:paraId="50533E6D" w14:textId="77777777" w:rsidTr="00235D27">
        <w:trPr>
          <w:trHeight w:val="53"/>
        </w:trPr>
        <w:tc>
          <w:tcPr>
            <w:tcW w:w="1276" w:type="dxa"/>
            <w:tcBorders>
              <w:top w:val="single" w:sz="4" w:space="0" w:color="00B050"/>
              <w:bottom w:val="single" w:sz="4" w:space="0" w:color="00B050"/>
            </w:tcBorders>
            <w:shd w:val="clear" w:color="auto" w:fill="FFFFFF"/>
          </w:tcPr>
          <w:p w14:paraId="164CD613" w14:textId="77777777" w:rsidR="003F2421" w:rsidRPr="00173E0F" w:rsidRDefault="003F2421" w:rsidP="003F2421">
            <w:pPr>
              <w:pStyle w:val="CETBodytext"/>
              <w:ind w:right="-1"/>
              <w:rPr>
                <w:rFonts w:cs="Arial"/>
                <w:szCs w:val="18"/>
                <w:lang w:val="en-GB"/>
              </w:rPr>
            </w:pPr>
            <w:r w:rsidRPr="00173E0F">
              <w:rPr>
                <w:rFonts w:cs="Arial"/>
                <w:szCs w:val="18"/>
                <w:lang w:val="en-GB"/>
              </w:rPr>
              <w:t xml:space="preserve">Ray et al., </w:t>
            </w:r>
          </w:p>
          <w:p w14:paraId="5C6ADB96" w14:textId="20632345" w:rsidR="003F2421" w:rsidRPr="00173E0F" w:rsidRDefault="003F2421" w:rsidP="003F2421">
            <w:pPr>
              <w:pStyle w:val="CETBodytext"/>
              <w:ind w:right="-1"/>
              <w:rPr>
                <w:rFonts w:cs="Arial"/>
                <w:szCs w:val="18"/>
                <w:lang w:val="en-GB"/>
              </w:rPr>
            </w:pPr>
            <w:r w:rsidRPr="00173E0F">
              <w:rPr>
                <w:rFonts w:cs="Arial"/>
                <w:szCs w:val="18"/>
                <w:lang w:val="en-GB"/>
              </w:rPr>
              <w:t>2020</w:t>
            </w:r>
          </w:p>
        </w:tc>
        <w:tc>
          <w:tcPr>
            <w:tcW w:w="1134" w:type="dxa"/>
            <w:tcBorders>
              <w:top w:val="single" w:sz="4" w:space="0" w:color="00B050"/>
              <w:bottom w:val="single" w:sz="4" w:space="0" w:color="00B050"/>
            </w:tcBorders>
            <w:shd w:val="clear" w:color="auto" w:fill="FFFFFF"/>
          </w:tcPr>
          <w:p w14:paraId="0A76EC2D" w14:textId="77777777" w:rsidR="003F2421" w:rsidRPr="00173E0F" w:rsidRDefault="003F2421" w:rsidP="003F2421">
            <w:pPr>
              <w:pStyle w:val="CETBodytext"/>
              <w:ind w:right="-1"/>
              <w:rPr>
                <w:rFonts w:cs="Arial"/>
                <w:szCs w:val="18"/>
                <w:lang w:val="en-GB"/>
              </w:rPr>
            </w:pPr>
            <w:r w:rsidRPr="00173E0F">
              <w:rPr>
                <w:rFonts w:cs="Arial"/>
                <w:szCs w:val="18"/>
                <w:lang w:val="en-GB"/>
              </w:rPr>
              <w:t>Coal dust</w:t>
            </w:r>
          </w:p>
          <w:p w14:paraId="4C560C30" w14:textId="77777777" w:rsidR="003F2421" w:rsidRPr="00173E0F" w:rsidRDefault="003F2421" w:rsidP="003F2421">
            <w:pPr>
              <w:pStyle w:val="CETBodytext"/>
              <w:ind w:right="-1"/>
              <w:rPr>
                <w:rFonts w:cs="Arial"/>
                <w:szCs w:val="18"/>
                <w:lang w:val="en-GB"/>
              </w:rPr>
            </w:pPr>
          </w:p>
        </w:tc>
        <w:tc>
          <w:tcPr>
            <w:tcW w:w="1276" w:type="dxa"/>
            <w:tcBorders>
              <w:top w:val="single" w:sz="4" w:space="0" w:color="00B050"/>
              <w:bottom w:val="single" w:sz="4" w:space="0" w:color="00B050"/>
            </w:tcBorders>
            <w:shd w:val="clear" w:color="auto" w:fill="FFFFFF"/>
          </w:tcPr>
          <w:p w14:paraId="1C1E5FA3" w14:textId="77777777" w:rsidR="003F2421" w:rsidRPr="00173E0F" w:rsidRDefault="003F2421" w:rsidP="003F2421">
            <w:pPr>
              <w:pStyle w:val="CETBodytext"/>
              <w:jc w:val="left"/>
              <w:rPr>
                <w:lang w:val="en-GB"/>
              </w:rPr>
            </w:pPr>
            <w:r w:rsidRPr="00173E0F">
              <w:rPr>
                <w:lang w:val="en-GB"/>
              </w:rPr>
              <w:t>Ansys</w:t>
            </w:r>
          </w:p>
          <w:p w14:paraId="5447ADA8" w14:textId="77777777" w:rsidR="003F2421" w:rsidRPr="00173E0F" w:rsidRDefault="003F2421" w:rsidP="003F2421">
            <w:pPr>
              <w:pStyle w:val="CETBodytext"/>
              <w:ind w:right="-1"/>
              <w:rPr>
                <w:rFonts w:cs="Arial"/>
                <w:szCs w:val="18"/>
                <w:lang w:val="en-GB"/>
              </w:rPr>
            </w:pPr>
            <w:r w:rsidRPr="00173E0F">
              <w:rPr>
                <w:lang w:val="en-GB"/>
              </w:rPr>
              <w:t>fluent</w:t>
            </w:r>
          </w:p>
        </w:tc>
        <w:tc>
          <w:tcPr>
            <w:tcW w:w="1843" w:type="dxa"/>
            <w:tcBorders>
              <w:top w:val="single" w:sz="4" w:space="0" w:color="00B050"/>
              <w:bottom w:val="single" w:sz="4" w:space="0" w:color="00B050"/>
            </w:tcBorders>
            <w:shd w:val="clear" w:color="auto" w:fill="FFFFFF"/>
          </w:tcPr>
          <w:p w14:paraId="55DE7747" w14:textId="77777777" w:rsidR="001D5A1D" w:rsidRDefault="001D5A1D" w:rsidP="0093616D">
            <w:pPr>
              <w:pStyle w:val="CETBodytext"/>
              <w:ind w:right="-1"/>
              <w:jc w:val="left"/>
            </w:pPr>
            <w:r>
              <w:t>D</w:t>
            </w:r>
            <w:r w:rsidR="003F2421" w:rsidRPr="00173E0F">
              <w:t xml:space="preserve">ispersion of coal </w:t>
            </w:r>
          </w:p>
          <w:p w14:paraId="5CDDDDC5" w14:textId="59CE2E99" w:rsidR="003F2421" w:rsidRPr="001D5A1D" w:rsidRDefault="003F2421" w:rsidP="0093616D">
            <w:pPr>
              <w:pStyle w:val="CETBodytext"/>
              <w:ind w:right="-1"/>
              <w:jc w:val="left"/>
            </w:pPr>
            <w:r w:rsidRPr="00173E0F">
              <w:t xml:space="preserve">dust in a </w:t>
            </w:r>
            <w:r w:rsidRPr="00173E0F">
              <w:rPr>
                <w:rStyle w:val="Enfasigrassetto"/>
                <w:b w:val="0"/>
                <w:bCs w:val="0"/>
              </w:rPr>
              <w:t>20-L vessel</w:t>
            </w:r>
          </w:p>
        </w:tc>
        <w:tc>
          <w:tcPr>
            <w:tcW w:w="1257" w:type="dxa"/>
            <w:tcBorders>
              <w:top w:val="single" w:sz="4" w:space="0" w:color="00B050"/>
              <w:bottom w:val="single" w:sz="4" w:space="0" w:color="00B050"/>
            </w:tcBorders>
            <w:shd w:val="clear" w:color="auto" w:fill="FFFFFF"/>
          </w:tcPr>
          <w:p w14:paraId="60FE6106" w14:textId="29EC698A" w:rsidR="003F2421" w:rsidRPr="00173E0F" w:rsidRDefault="003F2421" w:rsidP="003F2421">
            <w:pPr>
              <w:pStyle w:val="CETBodytext"/>
              <w:ind w:right="57"/>
            </w:pPr>
            <w:r w:rsidRPr="00173E0F">
              <w:t xml:space="preserve">standard </w:t>
            </w:r>
            <w:r w:rsidRPr="00173E0F">
              <w:rPr>
                <w:rStyle w:val="mord"/>
              </w:rPr>
              <w:t>k</w:t>
            </w:r>
            <w:r w:rsidRPr="00173E0F">
              <w:rPr>
                <w:rStyle w:val="mbin"/>
              </w:rPr>
              <w:t>−</w:t>
            </w:r>
            <w:r w:rsidRPr="00173E0F">
              <w:rPr>
                <w:rStyle w:val="mord"/>
              </w:rPr>
              <w:t>ϵ</w:t>
            </w:r>
            <w:r w:rsidRPr="00173E0F">
              <w:t xml:space="preserve">  model</w:t>
            </w:r>
          </w:p>
        </w:tc>
        <w:tc>
          <w:tcPr>
            <w:tcW w:w="2058" w:type="dxa"/>
            <w:tcBorders>
              <w:top w:val="single" w:sz="4" w:space="0" w:color="00B050"/>
              <w:bottom w:val="single" w:sz="4" w:space="0" w:color="00B050"/>
            </w:tcBorders>
            <w:shd w:val="clear" w:color="auto" w:fill="FFFFFF"/>
          </w:tcPr>
          <w:p w14:paraId="19DD0D48" w14:textId="43B25E51" w:rsidR="003F2421" w:rsidRPr="00173E0F" w:rsidRDefault="0093616D" w:rsidP="003F2421">
            <w:pPr>
              <w:pStyle w:val="CETBodytext"/>
              <w:ind w:left="57" w:right="-1"/>
              <w:rPr>
                <w:rFonts w:cs="Arial"/>
                <w:szCs w:val="18"/>
                <w:lang w:val="en-GB"/>
              </w:rPr>
            </w:pPr>
            <w:r w:rsidRPr="00173E0F">
              <w:t>D</w:t>
            </w:r>
            <w:r w:rsidR="003F2421" w:rsidRPr="00173E0F">
              <w:t xml:space="preserve">ust dispersion in an </w:t>
            </w:r>
            <w:r w:rsidR="00173E0F">
              <w:t xml:space="preserve">20L </w:t>
            </w:r>
            <w:r w:rsidR="003F2421" w:rsidRPr="00173E0F">
              <w:t>explosion chamber</w:t>
            </w:r>
          </w:p>
        </w:tc>
      </w:tr>
      <w:tr w:rsidR="0093616D" w:rsidRPr="00B57B36" w14:paraId="10093329" w14:textId="77777777" w:rsidTr="00235D27">
        <w:trPr>
          <w:trHeight w:val="53"/>
        </w:trPr>
        <w:tc>
          <w:tcPr>
            <w:tcW w:w="1276" w:type="dxa"/>
            <w:tcBorders>
              <w:top w:val="single" w:sz="4" w:space="0" w:color="00B050"/>
              <w:bottom w:val="single" w:sz="12" w:space="0" w:color="00B050"/>
            </w:tcBorders>
            <w:shd w:val="clear" w:color="auto" w:fill="FFFFFF"/>
          </w:tcPr>
          <w:p w14:paraId="57CCA7C2" w14:textId="77777777" w:rsidR="003F2421" w:rsidRPr="0093616D" w:rsidRDefault="003F2421" w:rsidP="003F2421">
            <w:pPr>
              <w:pStyle w:val="CETBodytext"/>
              <w:ind w:right="-1"/>
              <w:rPr>
                <w:rFonts w:cs="Arial"/>
                <w:szCs w:val="18"/>
                <w:lang w:val="en-GB"/>
              </w:rPr>
            </w:pPr>
            <w:r w:rsidRPr="0093616D">
              <w:rPr>
                <w:rFonts w:cs="Arial"/>
                <w:szCs w:val="18"/>
                <w:lang w:val="en-GB"/>
              </w:rPr>
              <w:t>Wang et al.,</w:t>
            </w:r>
          </w:p>
          <w:p w14:paraId="614CB330" w14:textId="77777777" w:rsidR="003F2421" w:rsidRPr="0093616D" w:rsidRDefault="003F2421" w:rsidP="003F2421">
            <w:pPr>
              <w:pStyle w:val="CETBodytext"/>
              <w:ind w:right="-1"/>
              <w:rPr>
                <w:rFonts w:cs="Arial"/>
                <w:szCs w:val="18"/>
                <w:lang w:val="en-GB"/>
              </w:rPr>
            </w:pPr>
            <w:r w:rsidRPr="0093616D">
              <w:rPr>
                <w:rFonts w:cs="Arial"/>
                <w:szCs w:val="18"/>
                <w:lang w:val="en-GB"/>
              </w:rPr>
              <w:t>2020</w:t>
            </w:r>
          </w:p>
        </w:tc>
        <w:tc>
          <w:tcPr>
            <w:tcW w:w="1134" w:type="dxa"/>
            <w:tcBorders>
              <w:top w:val="single" w:sz="4" w:space="0" w:color="00B050"/>
              <w:bottom w:val="single" w:sz="12" w:space="0" w:color="00B050"/>
            </w:tcBorders>
            <w:shd w:val="clear" w:color="auto" w:fill="FFFFFF"/>
          </w:tcPr>
          <w:p w14:paraId="56831FFD" w14:textId="77777777" w:rsidR="003F2421" w:rsidRPr="0093616D" w:rsidRDefault="003F2421" w:rsidP="003F2421">
            <w:pPr>
              <w:pStyle w:val="CETBodytext"/>
              <w:ind w:right="-1"/>
              <w:rPr>
                <w:rFonts w:cs="Arial"/>
                <w:szCs w:val="18"/>
                <w:lang w:val="en-GB"/>
              </w:rPr>
            </w:pPr>
            <w:r w:rsidRPr="0093616D">
              <w:rPr>
                <w:rFonts w:cs="Arial"/>
                <w:szCs w:val="18"/>
                <w:lang w:val="en-GB"/>
              </w:rPr>
              <w:t>Corn starch</w:t>
            </w:r>
          </w:p>
        </w:tc>
        <w:tc>
          <w:tcPr>
            <w:tcW w:w="1276" w:type="dxa"/>
            <w:tcBorders>
              <w:top w:val="single" w:sz="4" w:space="0" w:color="00B050"/>
              <w:bottom w:val="single" w:sz="12" w:space="0" w:color="00B050"/>
            </w:tcBorders>
            <w:shd w:val="clear" w:color="auto" w:fill="FFFFFF"/>
          </w:tcPr>
          <w:p w14:paraId="7F6F07CB" w14:textId="77777777" w:rsidR="003F2421" w:rsidRPr="0093616D" w:rsidRDefault="003F2421" w:rsidP="003F2421">
            <w:pPr>
              <w:pStyle w:val="CETBodytext"/>
              <w:jc w:val="left"/>
              <w:rPr>
                <w:lang w:val="en-GB"/>
              </w:rPr>
            </w:pPr>
            <w:r w:rsidRPr="0093616D">
              <w:rPr>
                <w:lang w:val="en-GB"/>
              </w:rPr>
              <w:t>Ansys</w:t>
            </w:r>
          </w:p>
          <w:p w14:paraId="618B039C" w14:textId="05434AE8" w:rsidR="003F2421" w:rsidRPr="0093616D" w:rsidRDefault="0093616D" w:rsidP="003F2421">
            <w:pPr>
              <w:pStyle w:val="CETBodytext"/>
              <w:jc w:val="left"/>
              <w:rPr>
                <w:lang w:val="en-GB"/>
              </w:rPr>
            </w:pPr>
            <w:r w:rsidRPr="0093616D">
              <w:rPr>
                <w:lang w:val="en-GB"/>
              </w:rPr>
              <w:t>F</w:t>
            </w:r>
            <w:r w:rsidR="003F2421" w:rsidRPr="0093616D">
              <w:rPr>
                <w:lang w:val="en-GB"/>
              </w:rPr>
              <w:t>luent</w:t>
            </w:r>
          </w:p>
        </w:tc>
        <w:tc>
          <w:tcPr>
            <w:tcW w:w="1843" w:type="dxa"/>
            <w:tcBorders>
              <w:top w:val="single" w:sz="4" w:space="0" w:color="00B050"/>
              <w:bottom w:val="single" w:sz="12" w:space="0" w:color="00B050"/>
            </w:tcBorders>
            <w:shd w:val="clear" w:color="auto" w:fill="FFFFFF"/>
          </w:tcPr>
          <w:p w14:paraId="06F71666" w14:textId="77777777" w:rsidR="0093616D" w:rsidRPr="0093616D" w:rsidRDefault="0093616D" w:rsidP="0093616D">
            <w:pPr>
              <w:pStyle w:val="CETBodytext"/>
              <w:ind w:right="-1"/>
              <w:jc w:val="left"/>
            </w:pPr>
            <w:r w:rsidRPr="0093616D">
              <w:t>Three steps-</w:t>
            </w:r>
          </w:p>
          <w:p w14:paraId="7B75470D" w14:textId="3BF33A5A" w:rsidR="0093616D" w:rsidRPr="0093616D" w:rsidRDefault="0093616D" w:rsidP="0093616D">
            <w:pPr>
              <w:pStyle w:val="CETBodytext"/>
              <w:ind w:right="-1"/>
              <w:jc w:val="left"/>
            </w:pPr>
            <w:r w:rsidRPr="0093616D">
              <w:t xml:space="preserve">process including devolatilization. </w:t>
            </w:r>
          </w:p>
          <w:p w14:paraId="2D166418" w14:textId="7BD6D34E" w:rsidR="003F2421" w:rsidRPr="0093616D" w:rsidRDefault="0093616D" w:rsidP="0093616D">
            <w:pPr>
              <w:pStyle w:val="CETBodytext"/>
              <w:ind w:right="-1"/>
              <w:jc w:val="left"/>
            </w:pPr>
            <w:r w:rsidRPr="0093616D">
              <w:t>3 ignition modes</w:t>
            </w:r>
          </w:p>
        </w:tc>
        <w:tc>
          <w:tcPr>
            <w:tcW w:w="1257" w:type="dxa"/>
            <w:tcBorders>
              <w:top w:val="single" w:sz="4" w:space="0" w:color="00B050"/>
              <w:bottom w:val="single" w:sz="12" w:space="0" w:color="00B050"/>
            </w:tcBorders>
            <w:shd w:val="clear" w:color="auto" w:fill="FFFFFF"/>
          </w:tcPr>
          <w:p w14:paraId="6A7BD89D" w14:textId="240D0A3A" w:rsidR="003F2421" w:rsidRPr="0093616D" w:rsidRDefault="0093616D" w:rsidP="0093616D">
            <w:pPr>
              <w:pStyle w:val="CETBodytext"/>
              <w:ind w:right="57"/>
            </w:pPr>
            <w:r w:rsidRPr="0093616D">
              <w:t xml:space="preserve">standard </w:t>
            </w:r>
            <w:r w:rsidRPr="0093616D">
              <w:rPr>
                <w:rStyle w:val="mord"/>
              </w:rPr>
              <w:t>k</w:t>
            </w:r>
            <w:r w:rsidRPr="0093616D">
              <w:rPr>
                <w:rStyle w:val="mbin"/>
              </w:rPr>
              <w:t>−</w:t>
            </w:r>
            <w:r w:rsidRPr="0093616D">
              <w:rPr>
                <w:rStyle w:val="mord"/>
              </w:rPr>
              <w:t>ϵ</w:t>
            </w:r>
            <w:r w:rsidRPr="0093616D">
              <w:t xml:space="preserve"> model</w:t>
            </w:r>
          </w:p>
        </w:tc>
        <w:tc>
          <w:tcPr>
            <w:tcW w:w="2058" w:type="dxa"/>
            <w:tcBorders>
              <w:top w:val="single" w:sz="4" w:space="0" w:color="00B050"/>
              <w:bottom w:val="single" w:sz="12" w:space="0" w:color="00B050"/>
            </w:tcBorders>
            <w:shd w:val="clear" w:color="auto" w:fill="FFFFFF"/>
          </w:tcPr>
          <w:p w14:paraId="2C31DD72" w14:textId="0DE9180D" w:rsidR="003F2421" w:rsidRPr="0093616D" w:rsidRDefault="0093616D" w:rsidP="003F2421">
            <w:pPr>
              <w:pStyle w:val="CETBodytext"/>
              <w:ind w:left="57" w:right="-1"/>
            </w:pPr>
            <w:r w:rsidRPr="0093616D">
              <w:t>2 pyrolysis reactions, Single gas combustion reaction, and 2 char combustion reactions</w:t>
            </w:r>
          </w:p>
        </w:tc>
      </w:tr>
    </w:tbl>
    <w:p w14:paraId="2A38CE03" w14:textId="3CE6A719" w:rsidR="003F3B43" w:rsidRPr="00F76BEE" w:rsidRDefault="003F3B43" w:rsidP="003D00C6">
      <w:pPr>
        <w:pStyle w:val="CETBodytext"/>
        <w:spacing w:before="180"/>
      </w:pPr>
      <w:r w:rsidRPr="00F76BEE">
        <w:lastRenderedPageBreak/>
        <w:t>CFD corrections</w:t>
      </w:r>
      <w:r w:rsidR="002C4792" w:rsidRPr="00F76BEE">
        <w:t xml:space="preserve"> can be proposed</w:t>
      </w:r>
      <w:r w:rsidRPr="00F76BEE">
        <w:t xml:space="preserve"> to take the discrepancies</w:t>
      </w:r>
      <w:r w:rsidR="002C4792" w:rsidRPr="00F76BEE">
        <w:t xml:space="preserve"> between ‘ideal dispersion’ and reality </w:t>
      </w:r>
      <w:r w:rsidRPr="00F76BEE">
        <w:t xml:space="preserve">into account as </w:t>
      </w:r>
      <w:r w:rsidR="002C4792" w:rsidRPr="00F76BEE">
        <w:t>such variations</w:t>
      </w:r>
      <w:r w:rsidRPr="00F76BEE">
        <w:t xml:space="preserve"> can lead to a substantially under-prediction of explosion severity for larger particles (Islas et al., 2022). The influence of particle concentration on biomass dust explosion characteristics found significant changes in explosion properties. Low concentration may lead to incomplete burning, while high concentration can increase the flame propagation, and also increases the risk of secondary explosion. </w:t>
      </w:r>
    </w:p>
    <w:p w14:paraId="3FC16590" w14:textId="4D4C1E34" w:rsidR="00A233D7" w:rsidRDefault="003F3B43" w:rsidP="00453E24">
      <w:pPr>
        <w:pStyle w:val="CETBodytext"/>
      </w:pPr>
      <w:r w:rsidRPr="00F76BEE">
        <w:t>However, excessive turbulence can extinguish the flame prematurely or spread unevenly because turbulence plays a dual role: enhancing both dispersion and combustion efficiency. Pico et al., 2020 explored hybrid dust-gas systems, such as wheat starch and pyrolysis gases. Their results show that interactions between gas-phase reactions and dust combustion can enhance turbulence and explosion intensity. This underscores the importance of considering mixed-phase reactions in explosion modeling.</w:t>
      </w:r>
    </w:p>
    <w:p w14:paraId="04963A06" w14:textId="69FC6B0F" w:rsidR="00600535" w:rsidRPr="00B57B36" w:rsidRDefault="000F3C47" w:rsidP="00FA5F5F">
      <w:pPr>
        <w:pStyle w:val="CETheadingx"/>
      </w:pPr>
      <w:r>
        <w:t>Importance of p</w:t>
      </w:r>
      <w:r w:rsidR="0077708F">
        <w:t>yrolysis mechanisms</w:t>
      </w:r>
    </w:p>
    <w:p w14:paraId="2F443054" w14:textId="4D28C2C4" w:rsidR="002C6193" w:rsidRPr="002533F6" w:rsidRDefault="00F76BEE" w:rsidP="002C6193">
      <w:pPr>
        <w:pStyle w:val="CETBodytext"/>
      </w:pPr>
      <w:r w:rsidRPr="00F76BEE">
        <w:rPr>
          <w:lang w:val="en-GB"/>
        </w:rPr>
        <w:t>Several authors have attempted to describe the reaction kinetics of powders in a dust explosion by simplifying the various reactions into lumped mechanisms</w:t>
      </w:r>
      <w:r>
        <w:rPr>
          <w:lang w:val="en-GB"/>
        </w:rPr>
        <w:t xml:space="preserve"> as shown in Table 2. </w:t>
      </w:r>
      <w:r w:rsidR="00C73A44" w:rsidRPr="00C73A44">
        <w:rPr>
          <w:lang w:val="en-GB"/>
        </w:rPr>
        <w:t xml:space="preserve">Some authors have considered single steps, </w:t>
      </w:r>
      <w:r w:rsidR="00C73A44">
        <w:rPr>
          <w:lang w:val="en-GB"/>
        </w:rPr>
        <w:t>either a devolatilization step (Quek et al, 2022) or a reaction step (Bind et al, 2012).</w:t>
      </w:r>
      <w:r w:rsidR="00C73A44" w:rsidRPr="00C73A44">
        <w:t xml:space="preserve"> Depending on the physico-chemical properties of the powders, or for convenience, it is sometimes appropriate to consider heterogeneous and homogeneous reactions simultaneously</w:t>
      </w:r>
      <w:r w:rsidR="00C73A44">
        <w:t xml:space="preserve"> (Li et al., 2020). </w:t>
      </w:r>
      <w:r w:rsidR="00C73A44" w:rsidRPr="00C73A44">
        <w:t>But the stages of an organic dust explosion are invariably the same: heating of the particles, pyrolysis and oxidation of the gases</w:t>
      </w:r>
      <w:r w:rsidR="00C73A44">
        <w:t xml:space="preserve">, </w:t>
      </w:r>
      <w:r w:rsidR="00C73A44" w:rsidRPr="00C73A44">
        <w:t xml:space="preserve">and neglecting one of these phases can only be justified by determining the rate-limiting step. Therefore, </w:t>
      </w:r>
      <w:r w:rsidR="00C73A44" w:rsidRPr="00C73A44">
        <w:rPr>
          <w:lang w:val="en-GB"/>
        </w:rPr>
        <w:t>other authors have proposed to develop mechanisms that clearly separate the pyrolysis and oxidation phases (Pico et al., 2020). Islas et al. (2022) have proposed a comprehensive model that also takes into account the particle drying phase. Finally, it should be pointed out that Table 2 is not intended to be exhaustive, and that other reaction models have been proposed, notably for carbonaceous powders (</w:t>
      </w:r>
      <w:r w:rsidR="002533F6" w:rsidRPr="00C73A44">
        <w:rPr>
          <w:lang w:val="en-GB"/>
        </w:rPr>
        <w:t xml:space="preserve">Khan </w:t>
      </w:r>
      <w:r w:rsidR="00EA4E3B" w:rsidRPr="00C73A44">
        <w:rPr>
          <w:lang w:val="en-GB"/>
        </w:rPr>
        <w:t>et al.</w:t>
      </w:r>
      <w:r w:rsidR="0093616D" w:rsidRPr="00C73A44">
        <w:rPr>
          <w:lang w:val="en-GB"/>
        </w:rPr>
        <w:t>,</w:t>
      </w:r>
      <w:r w:rsidR="00EA4E3B" w:rsidRPr="00C73A44">
        <w:rPr>
          <w:lang w:val="en-GB"/>
        </w:rPr>
        <w:t xml:space="preserve"> </w:t>
      </w:r>
      <w:r w:rsidR="002533F6" w:rsidRPr="00C73A44">
        <w:rPr>
          <w:lang w:val="en-GB"/>
        </w:rPr>
        <w:t>2024</w:t>
      </w:r>
      <w:r w:rsidR="0093616D" w:rsidRPr="00C73A44">
        <w:rPr>
          <w:lang w:val="en-GB"/>
        </w:rPr>
        <w:t>).</w:t>
      </w:r>
    </w:p>
    <w:p w14:paraId="4D9BD7C3" w14:textId="61D9F80C" w:rsidR="0065765B" w:rsidRPr="00A73CFE" w:rsidRDefault="002C6193" w:rsidP="00A73CFE">
      <w:pPr>
        <w:pStyle w:val="CETTabletitle"/>
        <w:rPr>
          <w:iCs/>
        </w:rPr>
      </w:pPr>
      <w:r w:rsidRPr="00124B60">
        <w:rPr>
          <w:iCs/>
        </w:rPr>
        <w:t xml:space="preserve">Table </w:t>
      </w:r>
      <w:r>
        <w:rPr>
          <w:iCs/>
        </w:rPr>
        <w:t>2</w:t>
      </w:r>
      <w:r w:rsidRPr="00124B60">
        <w:rPr>
          <w:iCs/>
        </w:rPr>
        <w:t xml:space="preserve">: </w:t>
      </w:r>
      <w:r w:rsidR="00A73CFE" w:rsidRPr="00124B60">
        <w:rPr>
          <w:iCs/>
        </w:rPr>
        <w:t xml:space="preserve">Summary of </w:t>
      </w:r>
      <w:r w:rsidR="00137A72">
        <w:rPr>
          <w:iCs/>
        </w:rPr>
        <w:t xml:space="preserve">some </w:t>
      </w:r>
      <w:r w:rsidR="00A73CFE" w:rsidRPr="00124B60">
        <w:rPr>
          <w:iCs/>
        </w:rPr>
        <w:t xml:space="preserve">CFD studies </w:t>
      </w:r>
      <w:r w:rsidR="00137A72">
        <w:rPr>
          <w:iCs/>
        </w:rPr>
        <w:t xml:space="preserve">of </w:t>
      </w:r>
      <w:r w:rsidR="00A73CFE">
        <w:rPr>
          <w:iCs/>
        </w:rPr>
        <w:t>dust explosion</w:t>
      </w:r>
      <w:r w:rsidR="00137A72">
        <w:rPr>
          <w:iCs/>
        </w:rPr>
        <w:t xml:space="preserve"> – focus on the reaction mechanisms</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701"/>
        <w:gridCol w:w="2694"/>
        <w:gridCol w:w="3258"/>
      </w:tblGrid>
      <w:tr w:rsidR="003F2421" w:rsidRPr="00B57B36" w14:paraId="43C6CD63" w14:textId="77777777" w:rsidTr="00137A72">
        <w:trPr>
          <w:trHeight w:val="180"/>
        </w:trPr>
        <w:tc>
          <w:tcPr>
            <w:tcW w:w="1134" w:type="dxa"/>
            <w:tcBorders>
              <w:top w:val="single" w:sz="12" w:space="0" w:color="008000"/>
              <w:bottom w:val="single" w:sz="4" w:space="0" w:color="00B050"/>
            </w:tcBorders>
            <w:shd w:val="clear" w:color="auto" w:fill="FFFFFF"/>
          </w:tcPr>
          <w:p w14:paraId="3D28A867" w14:textId="77777777" w:rsidR="003F2421" w:rsidRPr="00B57B36" w:rsidRDefault="003F2421" w:rsidP="009144C6">
            <w:pPr>
              <w:pStyle w:val="CETBodytext"/>
              <w:rPr>
                <w:lang w:val="en-GB"/>
              </w:rPr>
            </w:pPr>
            <w:r>
              <w:rPr>
                <w:lang w:val="en-GB"/>
              </w:rPr>
              <w:t>Reference</w:t>
            </w:r>
          </w:p>
        </w:tc>
        <w:tc>
          <w:tcPr>
            <w:tcW w:w="1701" w:type="dxa"/>
            <w:tcBorders>
              <w:top w:val="single" w:sz="12" w:space="0" w:color="008000"/>
              <w:bottom w:val="single" w:sz="4" w:space="0" w:color="00B050"/>
            </w:tcBorders>
            <w:shd w:val="clear" w:color="auto" w:fill="FFFFFF"/>
          </w:tcPr>
          <w:p w14:paraId="066996B3" w14:textId="2D5B97A2" w:rsidR="003F2421" w:rsidRPr="00B57B36" w:rsidRDefault="003F2421" w:rsidP="009144C6">
            <w:pPr>
              <w:pStyle w:val="CETBodytext"/>
              <w:ind w:right="57"/>
              <w:rPr>
                <w:lang w:val="en-GB"/>
              </w:rPr>
            </w:pPr>
            <w:r>
              <w:rPr>
                <w:lang w:val="en-GB"/>
              </w:rPr>
              <w:t>Pyrolysis gases</w:t>
            </w:r>
          </w:p>
        </w:tc>
        <w:tc>
          <w:tcPr>
            <w:tcW w:w="2694" w:type="dxa"/>
            <w:tcBorders>
              <w:top w:val="single" w:sz="12" w:space="0" w:color="008000"/>
              <w:bottom w:val="single" w:sz="4" w:space="0" w:color="00B050"/>
            </w:tcBorders>
            <w:shd w:val="clear" w:color="auto" w:fill="FFFFFF"/>
          </w:tcPr>
          <w:p w14:paraId="1BC6F6A5" w14:textId="4136DB80" w:rsidR="003F2421" w:rsidRPr="00B57B36" w:rsidRDefault="00682997" w:rsidP="00682997">
            <w:pPr>
              <w:pStyle w:val="CETBodytext"/>
              <w:ind w:right="57"/>
              <w:rPr>
                <w:rFonts w:cs="Arial"/>
                <w:szCs w:val="18"/>
                <w:lang w:val="en-GB"/>
              </w:rPr>
            </w:pPr>
            <w:r>
              <w:rPr>
                <w:rFonts w:cs="Arial"/>
                <w:szCs w:val="18"/>
                <w:lang w:val="en-GB"/>
              </w:rPr>
              <w:t>Reaction mechanisms</w:t>
            </w:r>
          </w:p>
        </w:tc>
        <w:tc>
          <w:tcPr>
            <w:tcW w:w="3258" w:type="dxa"/>
            <w:tcBorders>
              <w:top w:val="single" w:sz="12" w:space="0" w:color="008000"/>
              <w:bottom w:val="single" w:sz="4" w:space="0" w:color="00B050"/>
            </w:tcBorders>
            <w:shd w:val="clear" w:color="auto" w:fill="FFFFFF"/>
          </w:tcPr>
          <w:p w14:paraId="3AF0D276" w14:textId="77777777" w:rsidR="003F2421" w:rsidRDefault="003F2421" w:rsidP="009144C6">
            <w:pPr>
              <w:pStyle w:val="CETBodytext"/>
              <w:ind w:left="57" w:right="-1"/>
              <w:rPr>
                <w:rFonts w:cs="Arial"/>
                <w:szCs w:val="18"/>
                <w:lang w:val="en-GB"/>
              </w:rPr>
            </w:pPr>
            <w:r>
              <w:rPr>
                <w:rFonts w:cs="Arial"/>
                <w:szCs w:val="18"/>
                <w:lang w:val="en-GB"/>
              </w:rPr>
              <w:t>Model validation</w:t>
            </w:r>
          </w:p>
        </w:tc>
      </w:tr>
      <w:tr w:rsidR="003F2421" w:rsidRPr="00B57B36" w14:paraId="7A66129A" w14:textId="77777777" w:rsidTr="00137A72">
        <w:trPr>
          <w:trHeight w:val="592"/>
        </w:trPr>
        <w:tc>
          <w:tcPr>
            <w:tcW w:w="1134" w:type="dxa"/>
            <w:tcBorders>
              <w:top w:val="single" w:sz="4" w:space="0" w:color="00B050"/>
              <w:bottom w:val="single" w:sz="4" w:space="0" w:color="00B050"/>
            </w:tcBorders>
            <w:shd w:val="clear" w:color="auto" w:fill="FFFFFF" w:themeFill="background1"/>
          </w:tcPr>
          <w:p w14:paraId="1F7EE336" w14:textId="77777777" w:rsidR="003F2421" w:rsidRDefault="003F2421" w:rsidP="003F2421">
            <w:pPr>
              <w:pStyle w:val="CETBodytext"/>
              <w:ind w:right="-1"/>
              <w:rPr>
                <w:rFonts w:cs="Arial"/>
                <w:szCs w:val="18"/>
                <w:lang w:val="en-GB"/>
              </w:rPr>
            </w:pPr>
            <w:r>
              <w:rPr>
                <w:rFonts w:cs="Arial"/>
                <w:szCs w:val="18"/>
                <w:lang w:val="en-GB"/>
              </w:rPr>
              <w:t>Bind et al.</w:t>
            </w:r>
          </w:p>
          <w:p w14:paraId="48D8889C" w14:textId="61DF3F2B" w:rsidR="003F2421" w:rsidRPr="00BB1C75" w:rsidRDefault="003F2421" w:rsidP="003F2421">
            <w:pPr>
              <w:pStyle w:val="CETBodytext"/>
              <w:rPr>
                <w:lang w:val="en-GB"/>
              </w:rPr>
            </w:pPr>
            <w:r>
              <w:rPr>
                <w:rFonts w:cs="Arial"/>
                <w:szCs w:val="18"/>
                <w:lang w:val="en-GB"/>
              </w:rPr>
              <w:t>2012</w:t>
            </w:r>
          </w:p>
        </w:tc>
        <w:tc>
          <w:tcPr>
            <w:tcW w:w="1701" w:type="dxa"/>
            <w:tcBorders>
              <w:top w:val="single" w:sz="4" w:space="0" w:color="00B050"/>
              <w:bottom w:val="single" w:sz="4" w:space="0" w:color="00B050"/>
            </w:tcBorders>
            <w:shd w:val="clear" w:color="auto" w:fill="FFFFFF" w:themeFill="background1"/>
          </w:tcPr>
          <w:p w14:paraId="5F8F5EE8" w14:textId="3A4B6989" w:rsidR="003F2421" w:rsidRPr="002E1E8D" w:rsidRDefault="00137A72" w:rsidP="003F2421">
            <w:pPr>
              <w:pStyle w:val="CETBodytext"/>
              <w:ind w:right="57"/>
              <w:rPr>
                <w:rFonts w:cs="Arial"/>
              </w:rPr>
            </w:pPr>
            <w:r>
              <w:rPr>
                <w:rFonts w:cs="Arial"/>
              </w:rPr>
              <w:t>No</w:t>
            </w:r>
          </w:p>
        </w:tc>
        <w:tc>
          <w:tcPr>
            <w:tcW w:w="2694" w:type="dxa"/>
            <w:tcBorders>
              <w:top w:val="single" w:sz="4" w:space="0" w:color="00B050"/>
              <w:bottom w:val="single" w:sz="4" w:space="0" w:color="00B050"/>
            </w:tcBorders>
            <w:shd w:val="clear" w:color="auto" w:fill="FFFFFF" w:themeFill="background1"/>
          </w:tcPr>
          <w:p w14:paraId="06A6270D" w14:textId="1F7D52A4" w:rsidR="00137A72" w:rsidRDefault="00137A72" w:rsidP="00682997">
            <w:pPr>
              <w:pStyle w:val="CETBodytext"/>
              <w:ind w:right="57"/>
            </w:pPr>
            <w:r>
              <w:t>Single combustion reaction for starch: CO</w:t>
            </w:r>
            <w:r w:rsidRPr="00137A72">
              <w:rPr>
                <w:vertAlign w:val="subscript"/>
              </w:rPr>
              <w:t>2</w:t>
            </w:r>
            <w:r>
              <w:t xml:space="preserve"> and H</w:t>
            </w:r>
            <w:r w:rsidRPr="00137A72">
              <w:rPr>
                <w:vertAlign w:val="subscript"/>
              </w:rPr>
              <w:t>2</w:t>
            </w:r>
            <w:r>
              <w:t>O generation</w:t>
            </w:r>
          </w:p>
          <w:p w14:paraId="1A38C698" w14:textId="188C054D" w:rsidR="003F2421" w:rsidRDefault="00137A72" w:rsidP="00682997">
            <w:pPr>
              <w:pStyle w:val="CETBodytext"/>
              <w:ind w:right="57"/>
            </w:pPr>
            <w:r w:rsidRPr="00137A72">
              <w:t>Beckstead combustion time correlation</w:t>
            </w:r>
            <w:r>
              <w:t xml:space="preserve"> for Al: </w:t>
            </w:r>
            <w:r w:rsidR="00682997">
              <w:t>single</w:t>
            </w:r>
            <w:r>
              <w:t xml:space="preserve"> reaction</w:t>
            </w:r>
          </w:p>
        </w:tc>
        <w:tc>
          <w:tcPr>
            <w:tcW w:w="3258" w:type="dxa"/>
            <w:tcBorders>
              <w:top w:val="single" w:sz="4" w:space="0" w:color="00B050"/>
              <w:bottom w:val="single" w:sz="4" w:space="0" w:color="00B050"/>
            </w:tcBorders>
            <w:shd w:val="clear" w:color="auto" w:fill="FFFFFF" w:themeFill="background1"/>
          </w:tcPr>
          <w:p w14:paraId="0F2786AB" w14:textId="67B01CF9" w:rsidR="003F2421" w:rsidRDefault="003F2421" w:rsidP="003F2421">
            <w:pPr>
              <w:pStyle w:val="CETBodytext"/>
              <w:ind w:left="57" w:right="-1"/>
            </w:pPr>
            <w:r w:rsidRPr="002E1E8D">
              <w:rPr>
                <w:rFonts w:cs="Arial"/>
                <w:szCs w:val="18"/>
              </w:rPr>
              <w:t xml:space="preserve">Pressure-time curves from simulation </w:t>
            </w:r>
            <w:r>
              <w:rPr>
                <w:rFonts w:cs="Arial"/>
                <w:szCs w:val="18"/>
              </w:rPr>
              <w:t xml:space="preserve">and </w:t>
            </w:r>
            <w:r w:rsidRPr="002E1E8D">
              <w:rPr>
                <w:rFonts w:cs="Arial"/>
                <w:szCs w:val="18"/>
              </w:rPr>
              <w:t>experimental results</w:t>
            </w:r>
            <w:r>
              <w:rPr>
                <w:rFonts w:cs="Arial"/>
                <w:szCs w:val="18"/>
              </w:rPr>
              <w:t>, with f</w:t>
            </w:r>
            <w:r w:rsidRPr="002E1E8D">
              <w:rPr>
                <w:rFonts w:cs="Arial"/>
                <w:szCs w:val="18"/>
              </w:rPr>
              <w:t>lame propagation speeds and temperature profiles.</w:t>
            </w:r>
          </w:p>
        </w:tc>
      </w:tr>
      <w:tr w:rsidR="003F2421" w:rsidRPr="00B57B36" w14:paraId="6796F3D0" w14:textId="77777777" w:rsidTr="00137A72">
        <w:trPr>
          <w:trHeight w:val="800"/>
        </w:trPr>
        <w:tc>
          <w:tcPr>
            <w:tcW w:w="1134" w:type="dxa"/>
            <w:tcBorders>
              <w:top w:val="single" w:sz="4" w:space="0" w:color="00B050"/>
              <w:bottom w:val="nil"/>
            </w:tcBorders>
            <w:shd w:val="clear" w:color="auto" w:fill="FFFFFF"/>
          </w:tcPr>
          <w:p w14:paraId="40A81BFB" w14:textId="77777777" w:rsidR="003F2421" w:rsidRPr="00682997" w:rsidRDefault="003F2421" w:rsidP="003F2421">
            <w:pPr>
              <w:pStyle w:val="CETBodytext"/>
              <w:rPr>
                <w:lang w:val="en-GB"/>
              </w:rPr>
            </w:pPr>
            <w:r w:rsidRPr="00682997">
              <w:rPr>
                <w:lang w:val="en-GB"/>
              </w:rPr>
              <w:t>Islas A.</w:t>
            </w:r>
          </w:p>
          <w:p w14:paraId="0C463C36" w14:textId="77777777" w:rsidR="003F2421" w:rsidRPr="00682997" w:rsidRDefault="003F2421" w:rsidP="003F2421">
            <w:pPr>
              <w:pStyle w:val="CETBodytext"/>
              <w:rPr>
                <w:lang w:val="en-GB"/>
              </w:rPr>
            </w:pPr>
            <w:r w:rsidRPr="00682997">
              <w:rPr>
                <w:lang w:val="en-GB"/>
              </w:rPr>
              <w:t>2022</w:t>
            </w:r>
          </w:p>
        </w:tc>
        <w:tc>
          <w:tcPr>
            <w:tcW w:w="1701" w:type="dxa"/>
            <w:tcBorders>
              <w:top w:val="single" w:sz="4" w:space="0" w:color="00B050"/>
              <w:bottom w:val="nil"/>
            </w:tcBorders>
            <w:shd w:val="clear" w:color="auto" w:fill="FFFFFF"/>
          </w:tcPr>
          <w:p w14:paraId="4925C5E8" w14:textId="77777777" w:rsidR="003F2421" w:rsidRPr="00682997" w:rsidRDefault="003F2421" w:rsidP="003F2421">
            <w:pPr>
              <w:pStyle w:val="CETBodytext"/>
              <w:ind w:right="57"/>
              <w:rPr>
                <w:rFonts w:cs="Arial"/>
                <w:lang w:val="en-GB"/>
              </w:rPr>
            </w:pPr>
            <w:r w:rsidRPr="00682997">
              <w:rPr>
                <w:rFonts w:cs="Arial"/>
              </w:rPr>
              <w:t>CO, CO</w:t>
            </w:r>
            <w:r w:rsidRPr="00682997">
              <w:rPr>
                <w:rFonts w:ascii="Cambria Math" w:hAnsi="Cambria Math" w:cs="Cambria Math"/>
              </w:rPr>
              <w:t>₂</w:t>
            </w:r>
            <w:r w:rsidRPr="00682997">
              <w:rPr>
                <w:rFonts w:cs="Arial"/>
              </w:rPr>
              <w:t>, CH</w:t>
            </w:r>
            <w:r w:rsidRPr="00682997">
              <w:rPr>
                <w:rFonts w:ascii="Cambria Math" w:hAnsi="Cambria Math" w:cs="Cambria Math"/>
              </w:rPr>
              <w:t>₄</w:t>
            </w:r>
            <w:r w:rsidRPr="00682997">
              <w:rPr>
                <w:rFonts w:cs="Arial"/>
              </w:rPr>
              <w:t>, and H</w:t>
            </w:r>
            <w:r w:rsidRPr="00682997">
              <w:rPr>
                <w:rFonts w:ascii="Cambria Math" w:hAnsi="Cambria Math" w:cs="Cambria Math"/>
              </w:rPr>
              <w:t>₂</w:t>
            </w:r>
          </w:p>
        </w:tc>
        <w:tc>
          <w:tcPr>
            <w:tcW w:w="2694" w:type="dxa"/>
            <w:tcBorders>
              <w:top w:val="single" w:sz="4" w:space="0" w:color="00B050"/>
              <w:bottom w:val="nil"/>
            </w:tcBorders>
            <w:shd w:val="clear" w:color="auto" w:fill="FFFFFF"/>
          </w:tcPr>
          <w:p w14:paraId="5C2F219B" w14:textId="77777777" w:rsidR="003F2421" w:rsidRPr="00682997" w:rsidRDefault="00682997" w:rsidP="00682997">
            <w:pPr>
              <w:pStyle w:val="CETBodytext"/>
              <w:ind w:right="57"/>
            </w:pPr>
            <w:r w:rsidRPr="00682997">
              <w:t>Moisture evaporation rate</w:t>
            </w:r>
          </w:p>
          <w:p w14:paraId="399A288F" w14:textId="77777777" w:rsidR="00682997" w:rsidRPr="00682997" w:rsidRDefault="00682997" w:rsidP="00682997">
            <w:pPr>
              <w:pStyle w:val="CETBodytext"/>
              <w:ind w:right="57"/>
            </w:pPr>
            <w:r w:rsidRPr="00682997">
              <w:t>Devolatlization (SFOM &amp; BioCPD)</w:t>
            </w:r>
          </w:p>
          <w:p w14:paraId="49263F28" w14:textId="471E4334" w:rsidR="00682997" w:rsidRPr="00682997" w:rsidRDefault="00682997" w:rsidP="00682997">
            <w:pPr>
              <w:pStyle w:val="CETBodytext"/>
              <w:ind w:right="57"/>
              <w:rPr>
                <w:rFonts w:cs="Arial"/>
                <w:szCs w:val="18"/>
                <w:lang w:val="en-GB"/>
              </w:rPr>
            </w:pPr>
            <w:r w:rsidRPr="00682997">
              <w:t>Surface reaction (C + O</w:t>
            </w:r>
            <w:r w:rsidRPr="00682997">
              <w:rPr>
                <w:vertAlign w:val="subscript"/>
              </w:rPr>
              <w:t>2</w:t>
            </w:r>
            <w:r w:rsidRPr="00682997">
              <w:t>)</w:t>
            </w:r>
          </w:p>
        </w:tc>
        <w:tc>
          <w:tcPr>
            <w:tcW w:w="3258" w:type="dxa"/>
            <w:tcBorders>
              <w:top w:val="single" w:sz="4" w:space="0" w:color="00B050"/>
              <w:bottom w:val="nil"/>
            </w:tcBorders>
            <w:shd w:val="clear" w:color="auto" w:fill="FFFFFF"/>
          </w:tcPr>
          <w:p w14:paraId="5B51AE42" w14:textId="689EFCEE" w:rsidR="003F2421" w:rsidRPr="00682997" w:rsidRDefault="003F2421" w:rsidP="003F2421">
            <w:pPr>
              <w:tabs>
                <w:tab w:val="clear" w:pos="7100"/>
              </w:tabs>
              <w:spacing w:line="240" w:lineRule="auto"/>
              <w:ind w:left="57"/>
              <w:jc w:val="left"/>
              <w:rPr>
                <w:rFonts w:cs="Arial"/>
                <w:szCs w:val="18"/>
                <w:lang w:val="en-US"/>
              </w:rPr>
            </w:pPr>
            <w:r w:rsidRPr="00682997">
              <w:rPr>
                <w:rFonts w:cs="Arial"/>
                <w:szCs w:val="18"/>
                <w:lang w:val="en-US"/>
              </w:rPr>
              <w:t xml:space="preserve">Pressure-time curves from simulation and experimental results, </w:t>
            </w:r>
            <w:r w:rsidR="00682997" w:rsidRPr="00682997">
              <w:rPr>
                <w:rFonts w:cs="Arial"/>
                <w:szCs w:val="18"/>
                <w:lang w:val="en-US"/>
              </w:rPr>
              <w:t>peak pressures</w:t>
            </w:r>
          </w:p>
        </w:tc>
      </w:tr>
      <w:tr w:rsidR="00137A72" w:rsidRPr="00B57B36" w14:paraId="1A86CFB6" w14:textId="77777777" w:rsidTr="00137A72">
        <w:trPr>
          <w:trHeight w:val="800"/>
        </w:trPr>
        <w:tc>
          <w:tcPr>
            <w:tcW w:w="1134" w:type="dxa"/>
            <w:tcBorders>
              <w:top w:val="single" w:sz="4" w:space="0" w:color="00B050"/>
              <w:bottom w:val="nil"/>
            </w:tcBorders>
            <w:shd w:val="clear" w:color="auto" w:fill="FFFFFF"/>
          </w:tcPr>
          <w:p w14:paraId="530AEBC0" w14:textId="77777777" w:rsidR="00137A72" w:rsidRDefault="00137A72" w:rsidP="003F2421">
            <w:pPr>
              <w:pStyle w:val="CETBodytext"/>
              <w:rPr>
                <w:lang w:val="en-GB"/>
              </w:rPr>
            </w:pPr>
            <w:r>
              <w:rPr>
                <w:lang w:val="en-GB"/>
              </w:rPr>
              <w:t xml:space="preserve">Li et al., </w:t>
            </w:r>
          </w:p>
          <w:p w14:paraId="5B878796" w14:textId="6CA00C76" w:rsidR="00137A72" w:rsidRPr="00BB1C75" w:rsidRDefault="00137A72" w:rsidP="003F2421">
            <w:pPr>
              <w:pStyle w:val="CETBodytext"/>
              <w:rPr>
                <w:lang w:val="en-GB"/>
              </w:rPr>
            </w:pPr>
            <w:r>
              <w:rPr>
                <w:lang w:val="en-GB"/>
              </w:rPr>
              <w:t>2020</w:t>
            </w:r>
          </w:p>
        </w:tc>
        <w:tc>
          <w:tcPr>
            <w:tcW w:w="1701" w:type="dxa"/>
            <w:tcBorders>
              <w:top w:val="single" w:sz="4" w:space="0" w:color="00B050"/>
              <w:bottom w:val="nil"/>
            </w:tcBorders>
            <w:shd w:val="clear" w:color="auto" w:fill="FFFFFF"/>
          </w:tcPr>
          <w:p w14:paraId="60D0A374" w14:textId="224C86FA" w:rsidR="00137A72" w:rsidRPr="00137A72" w:rsidRDefault="00137A72" w:rsidP="003F2421">
            <w:pPr>
              <w:pStyle w:val="CETBodytext"/>
              <w:ind w:right="57"/>
              <w:rPr>
                <w:rFonts w:cs="Arial"/>
              </w:rPr>
            </w:pPr>
            <w:r w:rsidRPr="00137A72">
              <w:rPr>
                <w:rFonts w:cs="Arial"/>
              </w:rPr>
              <w:t>Volatiles</w:t>
            </w:r>
          </w:p>
          <w:p w14:paraId="796970DC" w14:textId="04708380" w:rsidR="00137A72" w:rsidRPr="00137A72" w:rsidRDefault="00137A72" w:rsidP="003F2421">
            <w:pPr>
              <w:pStyle w:val="CETBodytext"/>
              <w:ind w:right="57"/>
              <w:rPr>
                <w:rFonts w:cs="Arial"/>
              </w:rPr>
            </w:pPr>
            <w:r w:rsidRPr="00137A72">
              <w:rPr>
                <w:rFonts w:cs="Arial"/>
              </w:rPr>
              <w:t>CO, H</w:t>
            </w:r>
            <w:r w:rsidRPr="00137A72">
              <w:rPr>
                <w:rFonts w:ascii="Cambria Math" w:hAnsi="Cambria Math" w:cs="Cambria Math"/>
              </w:rPr>
              <w:t>₂</w:t>
            </w:r>
            <w:r w:rsidRPr="00137A72">
              <w:rPr>
                <w:rFonts w:cs="Arial"/>
              </w:rPr>
              <w:t>, CH</w:t>
            </w:r>
            <w:r w:rsidRPr="00137A72">
              <w:rPr>
                <w:rFonts w:ascii="Cambria Math" w:hAnsi="Cambria Math" w:cs="Cambria Math"/>
              </w:rPr>
              <w:t>₄</w:t>
            </w:r>
            <w:r w:rsidRPr="00137A72">
              <w:rPr>
                <w:rFonts w:cs="Arial"/>
              </w:rPr>
              <w:t>, C</w:t>
            </w:r>
            <w:r w:rsidRPr="00137A72">
              <w:rPr>
                <w:rFonts w:cs="Arial"/>
                <w:vertAlign w:val="subscript"/>
              </w:rPr>
              <w:t>2</w:t>
            </w:r>
            <w:r w:rsidRPr="00137A72">
              <w:rPr>
                <w:rFonts w:cs="Arial"/>
              </w:rPr>
              <w:t>H</w:t>
            </w:r>
            <w:r w:rsidRPr="00137A72">
              <w:rPr>
                <w:rFonts w:ascii="Cambria Math" w:hAnsi="Cambria Math" w:cs="Cambria Math"/>
              </w:rPr>
              <w:t>₄</w:t>
            </w:r>
          </w:p>
        </w:tc>
        <w:tc>
          <w:tcPr>
            <w:tcW w:w="2694" w:type="dxa"/>
            <w:tcBorders>
              <w:top w:val="single" w:sz="4" w:space="0" w:color="00B050"/>
              <w:bottom w:val="nil"/>
            </w:tcBorders>
            <w:shd w:val="clear" w:color="auto" w:fill="FFFFFF"/>
          </w:tcPr>
          <w:p w14:paraId="5D1BB349" w14:textId="12D24600" w:rsidR="00137A72" w:rsidRPr="00137A72" w:rsidRDefault="00137A72" w:rsidP="00682997">
            <w:pPr>
              <w:pStyle w:val="CETBodytext"/>
              <w:ind w:right="57"/>
            </w:pPr>
            <w:r w:rsidRPr="00137A72">
              <w:t>Combination of heterogeneous combustion of C (with O2 or H2O) and oxidation of the s</w:t>
            </w:r>
            <w:r w:rsidRPr="00137A72">
              <w:rPr>
                <w:rFonts w:cs="Arial"/>
              </w:rPr>
              <w:t>o-called volatiles</w:t>
            </w:r>
          </w:p>
        </w:tc>
        <w:tc>
          <w:tcPr>
            <w:tcW w:w="3258" w:type="dxa"/>
            <w:tcBorders>
              <w:top w:val="single" w:sz="4" w:space="0" w:color="00B050"/>
              <w:bottom w:val="nil"/>
            </w:tcBorders>
            <w:shd w:val="clear" w:color="auto" w:fill="FFFFFF"/>
          </w:tcPr>
          <w:p w14:paraId="0AB9F208" w14:textId="1B3D3264" w:rsidR="00137A72" w:rsidRPr="00137A72" w:rsidRDefault="00137A72" w:rsidP="003F2421">
            <w:pPr>
              <w:tabs>
                <w:tab w:val="clear" w:pos="7100"/>
              </w:tabs>
              <w:spacing w:line="240" w:lineRule="auto"/>
              <w:ind w:left="57"/>
              <w:jc w:val="left"/>
              <w:rPr>
                <w:rFonts w:cs="Arial"/>
                <w:szCs w:val="18"/>
                <w:lang w:val="en-US"/>
              </w:rPr>
            </w:pPr>
            <w:r w:rsidRPr="00137A72">
              <w:rPr>
                <w:rFonts w:cs="Arial"/>
                <w:szCs w:val="18"/>
              </w:rPr>
              <w:t>Pressure-time curves, flame characteristics (flame length, spatial velocity)</w:t>
            </w:r>
          </w:p>
        </w:tc>
      </w:tr>
      <w:tr w:rsidR="003F2421" w:rsidRPr="00B57B36" w14:paraId="7454FB12" w14:textId="77777777" w:rsidTr="00137A72">
        <w:trPr>
          <w:trHeight w:val="821"/>
        </w:trPr>
        <w:tc>
          <w:tcPr>
            <w:tcW w:w="1134" w:type="dxa"/>
            <w:tcBorders>
              <w:top w:val="single" w:sz="4" w:space="0" w:color="00B050"/>
              <w:bottom w:val="single" w:sz="4" w:space="0" w:color="00B050"/>
            </w:tcBorders>
            <w:shd w:val="clear" w:color="auto" w:fill="FFFFFF"/>
          </w:tcPr>
          <w:p w14:paraId="504B29BC" w14:textId="77777777" w:rsidR="003F2421" w:rsidRPr="00910CF0" w:rsidRDefault="003F2421" w:rsidP="003F2421">
            <w:pPr>
              <w:pStyle w:val="CETBodytext"/>
              <w:rPr>
                <w:lang w:val="en-GB"/>
              </w:rPr>
            </w:pPr>
            <w:r w:rsidRPr="00910CF0">
              <w:rPr>
                <w:lang w:val="en-GB"/>
              </w:rPr>
              <w:t>Pico P.</w:t>
            </w:r>
          </w:p>
          <w:p w14:paraId="425AED9B" w14:textId="6E8CE30B" w:rsidR="003F2421" w:rsidRPr="00910CF0" w:rsidRDefault="003F2421" w:rsidP="003F2421">
            <w:pPr>
              <w:pStyle w:val="CETBodytext"/>
              <w:rPr>
                <w:lang w:val="en-GB"/>
              </w:rPr>
            </w:pPr>
            <w:r w:rsidRPr="00910CF0">
              <w:rPr>
                <w:lang w:val="en-GB"/>
              </w:rPr>
              <w:t>2020</w:t>
            </w:r>
          </w:p>
        </w:tc>
        <w:tc>
          <w:tcPr>
            <w:tcW w:w="1701" w:type="dxa"/>
            <w:tcBorders>
              <w:top w:val="single" w:sz="4" w:space="0" w:color="00B050"/>
              <w:bottom w:val="single" w:sz="4" w:space="0" w:color="00B050"/>
            </w:tcBorders>
            <w:shd w:val="clear" w:color="auto" w:fill="FFFFFF"/>
          </w:tcPr>
          <w:p w14:paraId="20E25C06" w14:textId="77777777" w:rsidR="00910CF0" w:rsidRPr="00910CF0" w:rsidRDefault="00910CF0" w:rsidP="003F2421">
            <w:pPr>
              <w:pStyle w:val="CETBodytext"/>
              <w:ind w:right="57"/>
              <w:rPr>
                <w:rFonts w:cs="Arial"/>
              </w:rPr>
            </w:pPr>
            <w:r w:rsidRPr="00910CF0">
              <w:rPr>
                <w:rFonts w:cs="Arial"/>
              </w:rPr>
              <w:t>Pyrolysis gases</w:t>
            </w:r>
          </w:p>
          <w:p w14:paraId="604093F0" w14:textId="2D1775E5" w:rsidR="003F2421" w:rsidRPr="00910CF0" w:rsidRDefault="003F2421" w:rsidP="003F2421">
            <w:pPr>
              <w:pStyle w:val="CETBodytext"/>
              <w:ind w:right="57"/>
              <w:rPr>
                <w:rFonts w:cs="Arial"/>
              </w:rPr>
            </w:pPr>
            <w:r w:rsidRPr="00910CF0">
              <w:rPr>
                <w:rFonts w:cs="Arial"/>
              </w:rPr>
              <w:t>(CO, CH</w:t>
            </w:r>
            <w:r w:rsidRPr="00910CF0">
              <w:rPr>
                <w:rFonts w:cs="Arial"/>
                <w:vertAlign w:val="subscript"/>
              </w:rPr>
              <w:t>4</w:t>
            </w:r>
            <w:r w:rsidRPr="00910CF0">
              <w:rPr>
                <w:rFonts w:cs="Arial"/>
              </w:rPr>
              <w:t xml:space="preserve">, </w:t>
            </w:r>
            <w:r w:rsidR="00910CF0" w:rsidRPr="00910CF0">
              <w:rPr>
                <w:rFonts w:cs="Arial"/>
              </w:rPr>
              <w:t>C</w:t>
            </w:r>
            <w:r w:rsidR="00910CF0" w:rsidRPr="00910CF0">
              <w:rPr>
                <w:rFonts w:cs="Arial"/>
                <w:vertAlign w:val="subscript"/>
              </w:rPr>
              <w:t>2</w:t>
            </w:r>
            <w:r w:rsidR="00910CF0" w:rsidRPr="00910CF0">
              <w:rPr>
                <w:rFonts w:cs="Arial"/>
              </w:rPr>
              <w:t>H</w:t>
            </w:r>
            <w:r w:rsidR="00910CF0" w:rsidRPr="00910CF0">
              <w:rPr>
                <w:rFonts w:cs="Arial"/>
                <w:vertAlign w:val="subscript"/>
              </w:rPr>
              <w:t xml:space="preserve">4 </w:t>
            </w:r>
            <w:r w:rsidRPr="00910CF0">
              <w:rPr>
                <w:rFonts w:cs="Arial"/>
              </w:rPr>
              <w:t>and H</w:t>
            </w:r>
            <w:r w:rsidRPr="00910CF0">
              <w:rPr>
                <w:rFonts w:cs="Arial"/>
                <w:vertAlign w:val="subscript"/>
              </w:rPr>
              <w:t>2</w:t>
            </w:r>
            <w:r w:rsidRPr="00910CF0">
              <w:rPr>
                <w:rFonts w:cs="Arial"/>
              </w:rPr>
              <w:t>)</w:t>
            </w:r>
            <w:r w:rsidR="00910CF0" w:rsidRPr="00910CF0">
              <w:rPr>
                <w:rFonts w:cs="Arial"/>
              </w:rPr>
              <w:t xml:space="preserve"> + tar (C</w:t>
            </w:r>
            <w:r w:rsidR="00910CF0" w:rsidRPr="00910CF0">
              <w:rPr>
                <w:rFonts w:cs="Arial"/>
                <w:vertAlign w:val="subscript"/>
              </w:rPr>
              <w:t>2</w:t>
            </w:r>
            <w:r w:rsidR="00910CF0" w:rsidRPr="00910CF0">
              <w:rPr>
                <w:rFonts w:cs="Arial"/>
              </w:rPr>
              <w:t>H</w:t>
            </w:r>
            <w:r w:rsidR="00910CF0" w:rsidRPr="00910CF0">
              <w:rPr>
                <w:rFonts w:cs="Arial"/>
                <w:vertAlign w:val="subscript"/>
              </w:rPr>
              <w:t>4</w:t>
            </w:r>
            <w:r w:rsidR="00910CF0" w:rsidRPr="00910CF0">
              <w:rPr>
                <w:rFonts w:cs="Arial"/>
              </w:rPr>
              <w:t>O)</w:t>
            </w:r>
          </w:p>
        </w:tc>
        <w:tc>
          <w:tcPr>
            <w:tcW w:w="2694" w:type="dxa"/>
            <w:tcBorders>
              <w:top w:val="single" w:sz="4" w:space="0" w:color="00B050"/>
              <w:bottom w:val="single" w:sz="4" w:space="0" w:color="00B050"/>
            </w:tcBorders>
            <w:shd w:val="clear" w:color="auto" w:fill="FFFFFF"/>
          </w:tcPr>
          <w:p w14:paraId="28785A7F" w14:textId="0A7AB01E" w:rsidR="003F2421" w:rsidRPr="00910CF0" w:rsidRDefault="00910CF0" w:rsidP="003F2421">
            <w:pPr>
              <w:pStyle w:val="CETBodytext"/>
              <w:ind w:right="57"/>
            </w:pPr>
            <w:r w:rsidRPr="00910CF0">
              <w:t>4 steps pyrolysis</w:t>
            </w:r>
            <w:r w:rsidR="003F2421" w:rsidRPr="00910CF0">
              <w:t xml:space="preserve">, </w:t>
            </w:r>
            <w:r w:rsidRPr="00910CF0">
              <w:t xml:space="preserve">gas oxidation, </w:t>
            </w:r>
            <w:r w:rsidR="003F2421" w:rsidRPr="00910CF0">
              <w:t>turbulence-chemistry interactions, and a combination of gas- and solid-phase reactions</w:t>
            </w:r>
          </w:p>
        </w:tc>
        <w:tc>
          <w:tcPr>
            <w:tcW w:w="3258" w:type="dxa"/>
            <w:tcBorders>
              <w:top w:val="single" w:sz="4" w:space="0" w:color="00B050"/>
              <w:bottom w:val="single" w:sz="4" w:space="0" w:color="00B050"/>
            </w:tcBorders>
            <w:shd w:val="clear" w:color="auto" w:fill="FFFFFF"/>
          </w:tcPr>
          <w:p w14:paraId="2C347ABA" w14:textId="26F2157C" w:rsidR="003F2421" w:rsidRPr="00910CF0" w:rsidRDefault="00682997" w:rsidP="003F2421">
            <w:pPr>
              <w:tabs>
                <w:tab w:val="clear" w:pos="7100"/>
              </w:tabs>
              <w:spacing w:line="240" w:lineRule="auto"/>
              <w:ind w:left="57"/>
              <w:jc w:val="left"/>
              <w:rPr>
                <w:rFonts w:cs="Arial"/>
                <w:szCs w:val="18"/>
                <w:lang w:val="en-US"/>
              </w:rPr>
            </w:pPr>
            <w:r w:rsidRPr="00910CF0">
              <w:t>V</w:t>
            </w:r>
            <w:r w:rsidR="003F2421" w:rsidRPr="00910CF0">
              <w:t>alidated with experimental data f</w:t>
            </w:r>
            <w:r w:rsidRPr="00910CF0">
              <w:t xml:space="preserve">rom </w:t>
            </w:r>
            <w:r w:rsidR="003F2421" w:rsidRPr="00910CF0">
              <w:t xml:space="preserve">pressure-time </w:t>
            </w:r>
            <w:r w:rsidRPr="00910CF0">
              <w:t>curves</w:t>
            </w:r>
            <w:r w:rsidR="003F2421" w:rsidRPr="00910CF0">
              <w:t xml:space="preserve"> and </w:t>
            </w:r>
            <w:r w:rsidR="00910CF0">
              <w:t>pyrolysis gases determined from micro-gas chromatography</w:t>
            </w:r>
          </w:p>
        </w:tc>
      </w:tr>
      <w:tr w:rsidR="003F2421" w:rsidRPr="00B57B36" w14:paraId="37FA4C0F" w14:textId="77777777" w:rsidTr="00137A72">
        <w:trPr>
          <w:trHeight w:val="51"/>
        </w:trPr>
        <w:tc>
          <w:tcPr>
            <w:tcW w:w="1134" w:type="dxa"/>
            <w:tcBorders>
              <w:top w:val="single" w:sz="4" w:space="0" w:color="00B050"/>
              <w:bottom w:val="single" w:sz="12" w:space="0" w:color="00B050"/>
            </w:tcBorders>
            <w:shd w:val="clear" w:color="auto" w:fill="FFFFFF"/>
          </w:tcPr>
          <w:p w14:paraId="2C8873CB" w14:textId="77777777" w:rsidR="003F2421" w:rsidRPr="00137A72" w:rsidRDefault="003F2421" w:rsidP="003F2421">
            <w:pPr>
              <w:pStyle w:val="CETBodytext"/>
            </w:pPr>
            <w:r w:rsidRPr="00137A72">
              <w:t>Quek et al.,</w:t>
            </w:r>
          </w:p>
          <w:p w14:paraId="045B72DF" w14:textId="09CF0BBA" w:rsidR="003F2421" w:rsidRPr="00137A72" w:rsidRDefault="003F2421" w:rsidP="003F2421">
            <w:pPr>
              <w:pStyle w:val="CETBodytext"/>
              <w:ind w:right="-1"/>
              <w:rPr>
                <w:rFonts w:cs="Arial"/>
                <w:szCs w:val="18"/>
                <w:lang w:val="en-GB"/>
              </w:rPr>
            </w:pPr>
            <w:r w:rsidRPr="00137A72">
              <w:t>2022</w:t>
            </w:r>
          </w:p>
        </w:tc>
        <w:tc>
          <w:tcPr>
            <w:tcW w:w="1701" w:type="dxa"/>
            <w:tcBorders>
              <w:top w:val="single" w:sz="4" w:space="0" w:color="00B050"/>
              <w:bottom w:val="single" w:sz="12" w:space="0" w:color="00B050"/>
            </w:tcBorders>
            <w:shd w:val="clear" w:color="auto" w:fill="FFFFFF"/>
          </w:tcPr>
          <w:p w14:paraId="4E14AE8F" w14:textId="7D88B49F" w:rsidR="003F2421" w:rsidRPr="00137A72" w:rsidRDefault="00137A72" w:rsidP="003F2421">
            <w:pPr>
              <w:pStyle w:val="CETBodytext"/>
              <w:rPr>
                <w:rFonts w:cs="Arial"/>
                <w:lang w:val="en-GB"/>
              </w:rPr>
            </w:pPr>
            <w:r w:rsidRPr="00137A72">
              <w:rPr>
                <w:rFonts w:cs="Arial"/>
                <w:lang w:val="en-GB"/>
              </w:rPr>
              <w:t>C</w:t>
            </w:r>
            <w:r w:rsidRPr="00137A72">
              <w:rPr>
                <w:rFonts w:cs="Arial"/>
                <w:vertAlign w:val="subscript"/>
                <w:lang w:val="en-GB"/>
              </w:rPr>
              <w:t>2</w:t>
            </w:r>
            <w:r w:rsidRPr="00137A72">
              <w:rPr>
                <w:rFonts w:cs="Arial"/>
                <w:lang w:val="en-GB"/>
              </w:rPr>
              <w:t>H</w:t>
            </w:r>
            <w:r w:rsidRPr="00137A72">
              <w:rPr>
                <w:rFonts w:cs="Arial"/>
                <w:vertAlign w:val="subscript"/>
                <w:lang w:val="en-GB"/>
              </w:rPr>
              <w:t>4</w:t>
            </w:r>
          </w:p>
        </w:tc>
        <w:tc>
          <w:tcPr>
            <w:tcW w:w="2694" w:type="dxa"/>
            <w:tcBorders>
              <w:top w:val="single" w:sz="4" w:space="0" w:color="00B050"/>
              <w:bottom w:val="single" w:sz="12" w:space="0" w:color="00B050"/>
            </w:tcBorders>
            <w:shd w:val="clear" w:color="auto" w:fill="FFFFFF"/>
          </w:tcPr>
          <w:p w14:paraId="0A798390" w14:textId="756C27D0" w:rsidR="003F2421" w:rsidRPr="00137A72" w:rsidRDefault="00137A72" w:rsidP="00137A72">
            <w:pPr>
              <w:pStyle w:val="CETBodytext"/>
              <w:ind w:right="57"/>
            </w:pPr>
            <w:r w:rsidRPr="00137A72">
              <w:t xml:space="preserve">Devolatilization of PE into </w:t>
            </w:r>
            <w:r w:rsidRPr="00137A72">
              <w:rPr>
                <w:rFonts w:cs="Arial"/>
                <w:lang w:val="en-GB"/>
              </w:rPr>
              <w:t>C</w:t>
            </w:r>
            <w:r w:rsidRPr="00137A72">
              <w:rPr>
                <w:rFonts w:cs="Arial"/>
                <w:vertAlign w:val="subscript"/>
                <w:lang w:val="en-GB"/>
              </w:rPr>
              <w:t>2</w:t>
            </w:r>
            <w:r w:rsidRPr="00137A72">
              <w:rPr>
                <w:rFonts w:cs="Arial"/>
                <w:lang w:val="en-GB"/>
              </w:rPr>
              <w:t>H</w:t>
            </w:r>
            <w:r w:rsidRPr="00137A72">
              <w:rPr>
                <w:rFonts w:cs="Arial"/>
                <w:vertAlign w:val="subscript"/>
                <w:lang w:val="en-GB"/>
              </w:rPr>
              <w:t>4</w:t>
            </w:r>
            <w:r w:rsidRPr="00137A72">
              <w:rPr>
                <w:rFonts w:cs="Arial"/>
                <w:lang w:val="en-GB"/>
              </w:rPr>
              <w:t xml:space="preserve"> and “heterogeneous reaction of LDPE and C</w:t>
            </w:r>
            <w:r w:rsidRPr="00137A72">
              <w:rPr>
                <w:rFonts w:cs="Arial"/>
                <w:vertAlign w:val="subscript"/>
                <w:lang w:val="en-GB"/>
              </w:rPr>
              <w:t>2</w:t>
            </w:r>
            <w:r w:rsidRPr="00137A72">
              <w:rPr>
                <w:rFonts w:cs="Arial"/>
                <w:lang w:val="en-GB"/>
              </w:rPr>
              <w:t>H</w:t>
            </w:r>
            <w:r w:rsidRPr="00137A72">
              <w:rPr>
                <w:rFonts w:cs="Arial"/>
                <w:vertAlign w:val="subscript"/>
                <w:lang w:val="en-GB"/>
              </w:rPr>
              <w:t>4</w:t>
            </w:r>
            <w:r w:rsidRPr="00137A72">
              <w:rPr>
                <w:rFonts w:cs="Arial"/>
                <w:lang w:val="en-GB"/>
              </w:rPr>
              <w:t>”</w:t>
            </w:r>
          </w:p>
        </w:tc>
        <w:tc>
          <w:tcPr>
            <w:tcW w:w="3258" w:type="dxa"/>
            <w:tcBorders>
              <w:top w:val="single" w:sz="4" w:space="0" w:color="00B050"/>
              <w:bottom w:val="single" w:sz="12" w:space="0" w:color="00B050"/>
            </w:tcBorders>
            <w:shd w:val="clear" w:color="auto" w:fill="FFFFFF"/>
          </w:tcPr>
          <w:p w14:paraId="72B8D618" w14:textId="15EEBAF4" w:rsidR="003F2421" w:rsidRPr="00137A72" w:rsidRDefault="00137A72" w:rsidP="003F2421">
            <w:pPr>
              <w:pStyle w:val="CETBodytext"/>
              <w:ind w:left="57" w:right="-1"/>
              <w:rPr>
                <w:rStyle w:val="Enfasigrassetto"/>
                <w:b w:val="0"/>
                <w:bCs w:val="0"/>
              </w:rPr>
            </w:pPr>
            <w:r w:rsidRPr="00137A72">
              <w:rPr>
                <w:rFonts w:cs="Arial"/>
                <w:szCs w:val="18"/>
              </w:rPr>
              <w:t>Pressure-time curves. Literature data from LDPE/</w:t>
            </w:r>
            <w:r w:rsidRPr="00137A72">
              <w:rPr>
                <w:rFonts w:cs="Arial"/>
                <w:lang w:val="en-GB"/>
              </w:rPr>
              <w:t>C</w:t>
            </w:r>
            <w:r w:rsidRPr="00137A72">
              <w:rPr>
                <w:rFonts w:cs="Arial"/>
                <w:vertAlign w:val="subscript"/>
                <w:lang w:val="en-GB"/>
              </w:rPr>
              <w:t>2</w:t>
            </w:r>
            <w:r w:rsidRPr="00137A72">
              <w:rPr>
                <w:rFonts w:cs="Arial"/>
                <w:lang w:val="en-GB"/>
              </w:rPr>
              <w:t>H</w:t>
            </w:r>
            <w:r w:rsidRPr="00137A72">
              <w:rPr>
                <w:rFonts w:cs="Arial"/>
                <w:vertAlign w:val="subscript"/>
                <w:lang w:val="en-GB"/>
              </w:rPr>
              <w:t>4</w:t>
            </w:r>
            <w:r w:rsidRPr="00137A72">
              <w:rPr>
                <w:rFonts w:cs="Arial"/>
                <w:lang w:val="en-GB"/>
              </w:rPr>
              <w:t xml:space="preserve"> explosion</w:t>
            </w:r>
          </w:p>
        </w:tc>
      </w:tr>
    </w:tbl>
    <w:p w14:paraId="3777F76A" w14:textId="7614359F" w:rsidR="000F3C47" w:rsidRDefault="00B345C2" w:rsidP="00B345C2">
      <w:pPr>
        <w:pStyle w:val="CETHeading1"/>
        <w:numPr>
          <w:ilvl w:val="0"/>
          <w:numId w:val="0"/>
        </w:numPr>
      </w:pPr>
      <w:r>
        <w:t xml:space="preserve">3. </w:t>
      </w:r>
      <w:r w:rsidR="0064404F">
        <w:t>Materials</w:t>
      </w:r>
      <w:r w:rsidR="000F0060">
        <w:t xml:space="preserve"> </w:t>
      </w:r>
      <w:r w:rsidR="0064404F">
        <w:t>and methods</w:t>
      </w:r>
    </w:p>
    <w:p w14:paraId="60DC9DA1" w14:textId="777A19D2" w:rsidR="00856C40" w:rsidRDefault="00856C40" w:rsidP="004327A3">
      <w:pPr>
        <w:pStyle w:val="CETBodytext"/>
        <w:rPr>
          <w:lang w:val="en-GB"/>
        </w:rPr>
      </w:pPr>
      <w:r>
        <w:rPr>
          <w:lang w:val="en-GB"/>
        </w:rPr>
        <w:t xml:space="preserve">CFD simulations require both input data, describing for instance the initial particle size distribution of the powders and the pyrolysis and oxidation mechanisms, and validation data sets of explosion severity parameters. </w:t>
      </w:r>
    </w:p>
    <w:p w14:paraId="7382C781" w14:textId="41468E3C" w:rsidR="00600535" w:rsidRPr="00B57B36" w:rsidRDefault="00560ABB" w:rsidP="00FA5F5F">
      <w:pPr>
        <w:pStyle w:val="CETheadingx"/>
      </w:pPr>
      <w:r>
        <w:t>Powders</w:t>
      </w:r>
    </w:p>
    <w:p w14:paraId="51BA1200" w14:textId="353789C5" w:rsidR="00600535" w:rsidRDefault="00856C40" w:rsidP="0064404F">
      <w:pPr>
        <w:pStyle w:val="CETBodytext"/>
        <w:rPr>
          <w:lang w:val="en-GB"/>
        </w:rPr>
      </w:pPr>
      <w:r>
        <w:rPr>
          <w:lang w:val="en-GB"/>
        </w:rPr>
        <w:t xml:space="preserve">Two kinds of powders were used in this study: natural polymers, such as cellulose, lignin or starch and synthetic polymers, as polyethylene, </w:t>
      </w:r>
      <w:r w:rsidR="00750884">
        <w:rPr>
          <w:lang w:val="en-GB"/>
        </w:rPr>
        <w:t xml:space="preserve">polypropylene, </w:t>
      </w:r>
      <w:r>
        <w:rPr>
          <w:lang w:val="en-GB"/>
        </w:rPr>
        <w:t>poly(</w:t>
      </w:r>
      <w:r w:rsidRPr="00856C40">
        <w:rPr>
          <w:lang w:val="en-GB"/>
        </w:rPr>
        <w:t>methyl methacrylate</w:t>
      </w:r>
      <w:r>
        <w:rPr>
          <w:lang w:val="en-GB"/>
        </w:rPr>
        <w:t xml:space="preserve">), polylactic acid or polystyrene. Powders were selected for their composition (low additive content) and their fine PSD. Indeed, grinding of polymers, especially those exhibiting good plastic or elastic properties, </w:t>
      </w:r>
      <w:r w:rsidR="00370549">
        <w:rPr>
          <w:lang w:val="en-GB"/>
        </w:rPr>
        <w:t>was avoided</w:t>
      </w:r>
      <w:r>
        <w:rPr>
          <w:lang w:val="en-GB"/>
        </w:rPr>
        <w:t xml:space="preserve"> as heat modifies their surface properties. </w:t>
      </w:r>
      <w:r w:rsidR="00370549">
        <w:rPr>
          <w:lang w:val="en-GB"/>
        </w:rPr>
        <w:t xml:space="preserve">The particle size distribution was determined both ex-situ and in-situ, i.e. in the 20L sphere during </w:t>
      </w:r>
      <w:r w:rsidR="00370549">
        <w:rPr>
          <w:lang w:val="en-GB"/>
        </w:rPr>
        <w:lastRenderedPageBreak/>
        <w:t xml:space="preserve">the powder injection phase. As stated in introduction, this article focuses on polystyrene </w:t>
      </w:r>
      <w:r w:rsidR="00294D9B">
        <w:rPr>
          <w:lang w:val="en-GB"/>
        </w:rPr>
        <w:t xml:space="preserve">(PS) </w:t>
      </w:r>
      <w:r w:rsidR="00370549">
        <w:rPr>
          <w:lang w:val="en-GB"/>
        </w:rPr>
        <w:t>and polyethylene (</w:t>
      </w:r>
      <w:r w:rsidR="00294D9B">
        <w:rPr>
          <w:lang w:val="en-GB"/>
        </w:rPr>
        <w:t xml:space="preserve">PE </w:t>
      </w:r>
      <w:r w:rsidR="00750884">
        <w:rPr>
          <w:lang w:val="en-GB"/>
        </w:rPr>
        <w:t xml:space="preserve">35-50 µm from </w:t>
      </w:r>
      <w:r w:rsidR="00370549">
        <w:rPr>
          <w:lang w:val="en-GB"/>
        </w:rPr>
        <w:t>VWR).</w:t>
      </w:r>
    </w:p>
    <w:p w14:paraId="03852EB5" w14:textId="5B7A576A" w:rsidR="00560ABB" w:rsidRPr="00B57B36" w:rsidRDefault="00560ABB" w:rsidP="00560ABB">
      <w:pPr>
        <w:pStyle w:val="CETheadingx"/>
      </w:pPr>
      <w:r>
        <w:t xml:space="preserve">Pyrolysis gases </w:t>
      </w:r>
      <w:r w:rsidR="00783918">
        <w:t xml:space="preserve">and mechanisms </w:t>
      </w:r>
      <w:r>
        <w:t>determination</w:t>
      </w:r>
    </w:p>
    <w:p w14:paraId="104CA9D2" w14:textId="0520A8C2" w:rsidR="00783918" w:rsidRPr="008A0CA5" w:rsidRDefault="00783918" w:rsidP="0064404F">
      <w:pPr>
        <w:pStyle w:val="CETBodytext"/>
      </w:pPr>
      <w:r>
        <w:t xml:space="preserve">In order to reproduce as much as possible the conditions of a dust explosion, the pyrolysis mechanisms must be determined for a powder dispersed in air, undergoing a rapid rise in temperature from ambient temperature to pyrolysis temperature (generally, greater than 350-450°C at the surface of the polymer). Residence times should be short, </w:t>
      </w:r>
      <w:r w:rsidRPr="00783918">
        <w:t>on the order of a few tens of milliseconds to 200 ms</w:t>
      </w:r>
      <w:r>
        <w:t>, and the oven temperature should reach 500 to 1000°C. Therefore,</w:t>
      </w:r>
      <w:r w:rsidR="003E1E23">
        <w:t xml:space="preserve"> a modified Godbert-Greenwald furnace was used to analyze the gaseous compounds generated by the flash pyrolysis of the polymers. The furnace was made air-proof inserting an inner Inconel cylinder. The entire set-up was flushed with argon during 1</w:t>
      </w:r>
      <w:r w:rsidR="008A0CA5">
        <w:t>5</w:t>
      </w:r>
      <w:r w:rsidR="003E1E23">
        <w:t xml:space="preserve"> to 30 minutes before injecting the powder </w:t>
      </w:r>
      <w:r w:rsidR="008A0CA5">
        <w:t xml:space="preserve">(0.2 to 0.5 g) </w:t>
      </w:r>
      <w:r w:rsidR="003E1E23">
        <w:t>with the same gas</w:t>
      </w:r>
      <w:r w:rsidR="008A0CA5">
        <w:t xml:space="preserve"> at pressures ranging from 0.1 to 0.5 barg. The pyrolysis gases collected in a Tedlar bag were analyzed by gas chromatography </w:t>
      </w:r>
      <w:r w:rsidR="005011BD">
        <w:t xml:space="preserve">GC </w:t>
      </w:r>
      <w:r w:rsidR="008A0CA5">
        <w:t>(SRA 3000 µGC with a TCD detector - 3 ways). Permanent gases (e.g. H</w:t>
      </w:r>
      <w:r w:rsidR="008A0CA5" w:rsidRPr="008A0CA5">
        <w:rPr>
          <w:vertAlign w:val="subscript"/>
        </w:rPr>
        <w:t>2</w:t>
      </w:r>
      <w:r w:rsidR="008A0CA5">
        <w:t>, CO, CO</w:t>
      </w:r>
      <w:r w:rsidR="008A0CA5" w:rsidRPr="008A0CA5">
        <w:rPr>
          <w:vertAlign w:val="subscript"/>
        </w:rPr>
        <w:t>2</w:t>
      </w:r>
      <w:r w:rsidR="008A0CA5">
        <w:t>, CH</w:t>
      </w:r>
      <w:r w:rsidR="008A0CA5" w:rsidRPr="008A0CA5">
        <w:rPr>
          <w:vertAlign w:val="subscript"/>
        </w:rPr>
        <w:t>4</w:t>
      </w:r>
      <w:r w:rsidR="008A0CA5">
        <w:t>, C</w:t>
      </w:r>
      <w:r w:rsidR="008A0CA5" w:rsidRPr="008A0CA5">
        <w:rPr>
          <w:vertAlign w:val="subscript"/>
        </w:rPr>
        <w:t>2</w:t>
      </w:r>
      <w:r w:rsidR="008A0CA5">
        <w:t>H</w:t>
      </w:r>
      <w:r w:rsidR="008A0CA5" w:rsidRPr="008A0CA5">
        <w:rPr>
          <w:vertAlign w:val="subscript"/>
        </w:rPr>
        <w:t>2</w:t>
      </w:r>
      <w:r w:rsidR="008A0CA5">
        <w:t>, C</w:t>
      </w:r>
      <w:r w:rsidR="008A0CA5" w:rsidRPr="008A0CA5">
        <w:rPr>
          <w:vertAlign w:val="subscript"/>
        </w:rPr>
        <w:t>2</w:t>
      </w:r>
      <w:r w:rsidR="008A0CA5">
        <w:t>H</w:t>
      </w:r>
      <w:r w:rsidR="008A0CA5" w:rsidRPr="008A0CA5">
        <w:rPr>
          <w:vertAlign w:val="subscript"/>
        </w:rPr>
        <w:t>4</w:t>
      </w:r>
      <w:r w:rsidR="008A0CA5">
        <w:t>, C</w:t>
      </w:r>
      <w:r w:rsidR="008A0CA5" w:rsidRPr="008A0CA5">
        <w:rPr>
          <w:vertAlign w:val="subscript"/>
        </w:rPr>
        <w:t>2</w:t>
      </w:r>
      <w:r w:rsidR="008A0CA5">
        <w:t>H</w:t>
      </w:r>
      <w:r w:rsidR="008A0CA5" w:rsidRPr="008A0CA5">
        <w:rPr>
          <w:vertAlign w:val="subscript"/>
        </w:rPr>
        <w:t>6</w:t>
      </w:r>
      <w:r w:rsidR="008A0CA5">
        <w:t>) were measured, as well and aromatic compounds (benzene, xylene…). Additional c</w:t>
      </w:r>
      <w:r w:rsidR="008A0CA5" w:rsidRPr="008A0CA5">
        <w:t xml:space="preserve">alibrations may be necessary to identify </w:t>
      </w:r>
      <w:r w:rsidR="008A0CA5">
        <w:t>unknown</w:t>
      </w:r>
      <w:r w:rsidR="008A0CA5" w:rsidRPr="008A0CA5">
        <w:t xml:space="preserve"> compounds</w:t>
      </w:r>
      <w:r w:rsidR="008A0CA5">
        <w:t>.</w:t>
      </w:r>
    </w:p>
    <w:p w14:paraId="19CEBA6D" w14:textId="6C08A31E" w:rsidR="00560ABB" w:rsidRPr="00B57B36" w:rsidRDefault="00560ABB" w:rsidP="00560ABB">
      <w:pPr>
        <w:pStyle w:val="CETheadingx"/>
      </w:pPr>
      <w:r>
        <w:t>20L spheres</w:t>
      </w:r>
      <w:r w:rsidR="00114D59">
        <w:t>: dust cloud properties and explosion</w:t>
      </w:r>
      <w:r w:rsidR="007F6A75">
        <w:t xml:space="preserve"> severity</w:t>
      </w:r>
    </w:p>
    <w:p w14:paraId="160C4BB5" w14:textId="61A57241" w:rsidR="001E6553" w:rsidRDefault="00114D59" w:rsidP="00560ABB">
      <w:pPr>
        <w:pStyle w:val="CETBodytext"/>
      </w:pPr>
      <w:r>
        <w:rPr>
          <w:lang w:val="en-GB"/>
        </w:rPr>
        <w:t>Explosion severity</w:t>
      </w:r>
      <w:r w:rsidR="00CE5970">
        <w:rPr>
          <w:lang w:val="en-GB"/>
        </w:rPr>
        <w:t>, characterized by the maximum explosion pressure p</w:t>
      </w:r>
      <w:r w:rsidR="00CE5970" w:rsidRPr="00CE5970">
        <w:rPr>
          <w:vertAlign w:val="subscript"/>
          <w:lang w:val="en-GB"/>
        </w:rPr>
        <w:t>m</w:t>
      </w:r>
      <w:r w:rsidR="00CE5970">
        <w:rPr>
          <w:lang w:val="en-GB"/>
        </w:rPr>
        <w:t xml:space="preserve"> and maximum rate of pressure rise dp/dt</w:t>
      </w:r>
      <w:r w:rsidR="00CE5970" w:rsidRPr="00CE5970">
        <w:rPr>
          <w:vertAlign w:val="subscript"/>
          <w:lang w:val="en-GB"/>
        </w:rPr>
        <w:t>m</w:t>
      </w:r>
      <w:r w:rsidR="00CE5970">
        <w:rPr>
          <w:lang w:val="en-GB"/>
        </w:rPr>
        <w:t xml:space="preserve">, </w:t>
      </w:r>
      <w:r>
        <w:rPr>
          <w:lang w:val="en-GB"/>
        </w:rPr>
        <w:t xml:space="preserve">was determined in a standard 20L sphere according </w:t>
      </w:r>
      <w:r>
        <w:t xml:space="preserve">to </w:t>
      </w:r>
      <w:r w:rsidRPr="00F10C0D">
        <w:t>EN 14034 series</w:t>
      </w:r>
      <w:r>
        <w:t>. The ignition energy and ignition delay time were set at 10 kJ and 60 ms, respectively.</w:t>
      </w:r>
      <w:r w:rsidR="00CE5970">
        <w:t xml:space="preserve"> The dust dispersion is ensured by using a rebound nozzle. </w:t>
      </w:r>
    </w:p>
    <w:p w14:paraId="19F5E39F" w14:textId="0DDDEE51" w:rsidR="00114D59" w:rsidRPr="001E6553" w:rsidRDefault="006D4E0E" w:rsidP="00560ABB">
      <w:pPr>
        <w:pStyle w:val="CETBodytext"/>
      </w:pPr>
      <w:r>
        <w:rPr>
          <w:lang w:val="en-GB"/>
        </w:rPr>
        <w:t xml:space="preserve">The PSD of the dust cloud was determined in-situ at the centre of the 20L sphere as a function of time. A replica of the standard 20L sphere, equipped with 4 windows and with the same dust dispersion system (dust canister, inlet valve, rebound nozzle), was used jointly with a </w:t>
      </w:r>
      <w:r w:rsidRPr="006D0E21">
        <w:t>laser diffraction sensor</w:t>
      </w:r>
      <w:r>
        <w:t xml:space="preserve"> </w:t>
      </w:r>
      <w:r w:rsidRPr="006D0E21">
        <w:t>(</w:t>
      </w:r>
      <w:r>
        <w:t xml:space="preserve">Helos - </w:t>
      </w:r>
      <w:r w:rsidRPr="006D0E21">
        <w:t>Sympatec</w:t>
      </w:r>
      <w:r>
        <w:t xml:space="preserve">). The acquisition frequency was set at 5 ms and the analysis range extended from </w:t>
      </w:r>
      <w:r>
        <w:rPr>
          <w:lang w:val="en-GB"/>
        </w:rPr>
        <w:t xml:space="preserve">0.5 to 175 µm. </w:t>
      </w:r>
    </w:p>
    <w:p w14:paraId="46E6645C" w14:textId="4C20C079" w:rsidR="006D4E0E" w:rsidRPr="006D4E0E" w:rsidRDefault="003C40DB" w:rsidP="00560ABB">
      <w:pPr>
        <w:pStyle w:val="CETBodytext"/>
      </w:pPr>
      <w:r>
        <w:t>Particle Image Velocimetry (PIV) will also be applied to the same vessel to characterize the initial turbulence of the dust cloud.</w:t>
      </w:r>
      <w:r w:rsidR="00917FBC" w:rsidRPr="00917FBC">
        <w:t xml:space="preserve"> </w:t>
      </w:r>
      <w:r w:rsidR="00917FBC">
        <w:t>R</w:t>
      </w:r>
      <w:r w:rsidR="00917FBC" w:rsidRPr="00917FBC">
        <w:t>oot-mean-square (RMS) velocity</w:t>
      </w:r>
      <w:r w:rsidR="00917FBC">
        <w:t xml:space="preserve"> </w:t>
      </w:r>
      <w:r w:rsidR="00917FBC" w:rsidRPr="00917FBC">
        <w:t>of around 5 m</w:t>
      </w:r>
      <w:r w:rsidR="00917FBC">
        <w:t>.</w:t>
      </w:r>
      <w:r w:rsidR="00917FBC" w:rsidRPr="00917FBC">
        <w:t>s</w:t>
      </w:r>
      <w:r w:rsidR="00917FBC" w:rsidRPr="00917FBC">
        <w:rPr>
          <w:vertAlign w:val="superscript"/>
        </w:rPr>
        <w:t>-1</w:t>
      </w:r>
      <w:r w:rsidR="00917FBC" w:rsidRPr="00917FBC">
        <w:t xml:space="preserve"> are expected</w:t>
      </w:r>
      <w:r w:rsidR="001E6553">
        <w:t xml:space="preserve"> at ignition time (Murillo, 2016)</w:t>
      </w:r>
      <w:r w:rsidR="00917FBC" w:rsidRPr="00917FBC">
        <w:t>.</w:t>
      </w:r>
    </w:p>
    <w:p w14:paraId="168A9AA0" w14:textId="45650793" w:rsidR="00560ABB" w:rsidRPr="00B57B36" w:rsidRDefault="00560ABB" w:rsidP="00560ABB">
      <w:pPr>
        <w:pStyle w:val="CETheadingx"/>
      </w:pPr>
      <w:r>
        <w:t>Numerical simulation</w:t>
      </w:r>
    </w:p>
    <w:p w14:paraId="50E6067D" w14:textId="09032430" w:rsidR="000F32B4" w:rsidRPr="00845B20" w:rsidRDefault="003C40DB" w:rsidP="009A71CF">
      <w:pPr>
        <w:pStyle w:val="CETBodytext"/>
        <w:rPr>
          <w:lang w:val="en-GB"/>
        </w:rPr>
      </w:pPr>
      <w:r>
        <w:t xml:space="preserve">CFD </w:t>
      </w:r>
      <w:r w:rsidR="007F2550">
        <w:t>simulation</w:t>
      </w:r>
      <w:r w:rsidR="00750884">
        <w:t xml:space="preserve"> of dust dispersi</w:t>
      </w:r>
      <w:r w:rsidR="00750884" w:rsidRPr="00750884">
        <w:t xml:space="preserve">on and flame propagation in </w:t>
      </w:r>
      <w:r w:rsidR="007F2550" w:rsidRPr="00750884">
        <w:t>a 20 L sphere</w:t>
      </w:r>
      <w:r w:rsidR="00750884" w:rsidRPr="00750884">
        <w:t xml:space="preserve"> was carried out</w:t>
      </w:r>
      <w:r w:rsidR="007F2550" w:rsidRPr="00750884">
        <w:t xml:space="preserve"> using a Euler–Lagrange method</w:t>
      </w:r>
      <w:r w:rsidR="00750884" w:rsidRPr="00750884">
        <w:t xml:space="preserve"> (</w:t>
      </w:r>
      <w:r w:rsidR="00750884" w:rsidRPr="00750884">
        <w:rPr>
          <w:lang w:val="en-GB"/>
        </w:rPr>
        <w:t>Ansys Fluent)</w:t>
      </w:r>
      <w:r w:rsidR="007F2550" w:rsidRPr="00750884">
        <w:t>.</w:t>
      </w:r>
      <w:r w:rsidR="007F2550">
        <w:t xml:space="preserve"> </w:t>
      </w:r>
      <w:r w:rsidR="00845B20" w:rsidRPr="0077708F">
        <w:rPr>
          <w:lang w:val="en-GB"/>
        </w:rPr>
        <w:t>Spatial discretization uses the finite volume method (polyhedral and prismatic cells)</w:t>
      </w:r>
      <w:r w:rsidR="00845B20">
        <w:rPr>
          <w:lang w:val="en-GB"/>
        </w:rPr>
        <w:t xml:space="preserve">. </w:t>
      </w:r>
      <w:r w:rsidR="007F2550">
        <w:t>Various fluid properties, including the pressure field, velocity field, turbulence intensity, and degree of particle dispersion</w:t>
      </w:r>
      <w:r w:rsidR="00750884">
        <w:t xml:space="preserve"> (spatial repartition of the dust cloud),</w:t>
      </w:r>
      <w:r w:rsidR="007F2550">
        <w:t xml:space="preserve"> </w:t>
      </w:r>
      <w:r w:rsidR="00750884">
        <w:t>were</w:t>
      </w:r>
      <w:r w:rsidR="007F2550">
        <w:t xml:space="preserve"> obtained and </w:t>
      </w:r>
      <w:r w:rsidR="00750884">
        <w:t>compared with the experimental results</w:t>
      </w:r>
      <w:r w:rsidR="007F2550">
        <w:t xml:space="preserve">. </w:t>
      </w:r>
      <w:r w:rsidR="000F32B4">
        <w:t>The combustion reaction</w:t>
      </w:r>
      <w:r w:rsidR="003C6CCC">
        <w:t xml:space="preserve"> of the powders</w:t>
      </w:r>
      <w:r w:rsidR="000F32B4">
        <w:t xml:space="preserve"> was considered via two main steps: </w:t>
      </w:r>
      <w:r w:rsidR="003C6CCC">
        <w:t xml:space="preserve">the </w:t>
      </w:r>
      <w:r w:rsidR="003C6CCC" w:rsidRPr="00845B20">
        <w:t xml:space="preserve">generation of pyrolysis gases followed by their oxidation. </w:t>
      </w:r>
    </w:p>
    <w:p w14:paraId="34203EB1" w14:textId="2682EAEF" w:rsidR="00C75B86" w:rsidRPr="00C75B86" w:rsidRDefault="00845B20" w:rsidP="00C75B86">
      <w:pPr>
        <w:pStyle w:val="CETBodytext"/>
        <w:rPr>
          <w:lang w:val="en-GB"/>
        </w:rPr>
      </w:pPr>
      <w:r w:rsidRPr="00845B20">
        <w:t>For simulation purposes, t</w:t>
      </w:r>
      <w:r w:rsidR="007F2550" w:rsidRPr="00845B20">
        <w:t xml:space="preserve">he </w:t>
      </w:r>
      <w:r w:rsidRPr="00845B20">
        <w:t>explosion vessel</w:t>
      </w:r>
      <w:r w:rsidR="007F2550" w:rsidRPr="00845B20">
        <w:t xml:space="preserve"> </w:t>
      </w:r>
      <w:r w:rsidRPr="00845B20">
        <w:t>was divided into</w:t>
      </w:r>
      <w:r w:rsidR="007F2550" w:rsidRPr="00845B20">
        <w:t xml:space="preserve"> </w:t>
      </w:r>
      <w:r w:rsidRPr="00845B20">
        <w:t xml:space="preserve">three parts: a 20L sphere, </w:t>
      </w:r>
      <w:r w:rsidR="007F2550" w:rsidRPr="00845B20">
        <w:t xml:space="preserve">a standard nozzle, and a dust container, all treated as internal walls without any inlet or outlet conditions in this geometry. All internal walls are defined with a no-slip condition for the gas flow. </w:t>
      </w:r>
      <w:r w:rsidR="008010CA" w:rsidRPr="00845B20">
        <w:t>The calculation parameters of the CFD simulation are defined as a two-phase flow and analyzed with an implicit unsteady formulation.</w:t>
      </w:r>
      <w:r w:rsidR="00C75B86">
        <w:t xml:space="preserve"> </w:t>
      </w:r>
      <w:r w:rsidR="00C75B86" w:rsidRPr="00845B20">
        <w:rPr>
          <w:lang w:val="en-GB"/>
        </w:rPr>
        <w:t>The two-way coupling treats the particles carried by the fluid in a Eulerian</w:t>
      </w:r>
      <w:r w:rsidR="00AD11CE">
        <w:rPr>
          <w:lang w:val="en-GB"/>
        </w:rPr>
        <w:t>-Lagrangian</w:t>
      </w:r>
      <w:r w:rsidR="00C75B86" w:rsidRPr="00845B20">
        <w:rPr>
          <w:lang w:val="en-GB"/>
        </w:rPr>
        <w:t xml:space="preserve"> approach, s</w:t>
      </w:r>
      <w:r w:rsidR="00C75B86">
        <w:rPr>
          <w:lang w:val="en-GB"/>
        </w:rPr>
        <w:t>o</w:t>
      </w:r>
      <w:r w:rsidR="00C75B86" w:rsidRPr="00845B20">
        <w:rPr>
          <w:lang w:val="en-GB"/>
        </w:rPr>
        <w:t xml:space="preserve"> that the equations of the dust phase are set to a group of particles</w:t>
      </w:r>
      <w:r w:rsidR="00C75B86">
        <w:rPr>
          <w:lang w:val="en-GB"/>
        </w:rPr>
        <w:t xml:space="preserve"> (or parcel) sharing the same properties</w:t>
      </w:r>
      <w:r w:rsidR="00C75B86" w:rsidRPr="00845B20">
        <w:rPr>
          <w:lang w:val="en-GB"/>
        </w:rPr>
        <w:t>.</w:t>
      </w:r>
    </w:p>
    <w:p w14:paraId="0FF422C0" w14:textId="1390FFB6" w:rsidR="008010CA" w:rsidRPr="00C75B86" w:rsidRDefault="008010CA" w:rsidP="00747273">
      <w:pPr>
        <w:pStyle w:val="CETBodytext"/>
      </w:pPr>
      <w:r w:rsidRPr="00C75B86">
        <w:t>Spatiotemporal discretization uses a hybrid scheme that blends pure central differencing with the second-order upwind scheme, guided by the Detached Eddy Simulation model for turbulence evolution.</w:t>
      </w:r>
      <w:r w:rsidR="00C75B86" w:rsidRPr="00C75B86">
        <w:t xml:space="preserve"> Mesh generation was done with a </w:t>
      </w:r>
      <w:r w:rsidRPr="00C75B86">
        <w:t xml:space="preserve">maximum growth rate </w:t>
      </w:r>
      <w:r w:rsidR="00C75B86" w:rsidRPr="00C75B86">
        <w:t>of</w:t>
      </w:r>
      <w:r w:rsidRPr="00C75B86">
        <w:t xml:space="preserve"> 1.3. The </w:t>
      </w:r>
      <w:r w:rsidR="00C75B86" w:rsidRPr="00C75B86">
        <w:t>edge</w:t>
      </w:r>
      <w:r w:rsidRPr="00C75B86">
        <w:t xml:space="preserve"> size </w:t>
      </w:r>
      <w:r w:rsidR="00C75B86" w:rsidRPr="00C75B86">
        <w:t xml:space="preserve">ranges from </w:t>
      </w:r>
      <w:r w:rsidRPr="00C75B86">
        <w:t>0.5 mm</w:t>
      </w:r>
      <w:r w:rsidR="00C75B86" w:rsidRPr="00C75B86">
        <w:t xml:space="preserve"> (near the nozzle) to</w:t>
      </w:r>
      <w:r w:rsidRPr="00C75B86">
        <w:t xml:space="preserve"> 16 mm, with </w:t>
      </w:r>
      <w:r w:rsidR="00C75B86" w:rsidRPr="00C75B86">
        <w:t xml:space="preserve">a </w:t>
      </w:r>
      <w:r w:rsidRPr="00C75B86">
        <w:t xml:space="preserve">total number of cells kept between </w:t>
      </w:r>
      <w:r w:rsidR="00C75B86" w:rsidRPr="00C75B86">
        <w:t>1</w:t>
      </w:r>
      <w:r w:rsidRPr="00C75B86">
        <w:t xml:space="preserve"> and </w:t>
      </w:r>
      <w:r w:rsidR="00C75B86" w:rsidRPr="00C75B86">
        <w:t xml:space="preserve">2,000,000 </w:t>
      </w:r>
      <w:r w:rsidRPr="00C75B86">
        <w:t>to ensure manageable computation time.</w:t>
      </w:r>
      <w:r w:rsidR="00C75B86" w:rsidRPr="00C75B86">
        <w:t xml:space="preserve"> Calculations were done using a server equipped with an Intel Xeon W7-3545 processor at 2.71 GHz and 512 GB of RAM.</w:t>
      </w:r>
    </w:p>
    <w:p w14:paraId="61675C42" w14:textId="77777777" w:rsidR="006E2C95" w:rsidRDefault="00C75B86" w:rsidP="006E2C95">
      <w:pPr>
        <w:pStyle w:val="CETBodytext"/>
      </w:pPr>
      <w:r>
        <w:t>P</w:t>
      </w:r>
      <w:r w:rsidRPr="00C75B86">
        <w:t xml:space="preserve">yrolysis reactions were </w:t>
      </w:r>
      <w:r>
        <w:t>taken</w:t>
      </w:r>
      <w:r w:rsidRPr="00C75B86">
        <w:t xml:space="preserve"> from </w:t>
      </w:r>
      <w:r>
        <w:t>a simplified</w:t>
      </w:r>
      <w:r w:rsidRPr="00C75B86">
        <w:t xml:space="preserve"> global mechanism </w:t>
      </w:r>
      <w:r>
        <w:t>based on experimental data collected with the Godbert-Greenwald furnace</w:t>
      </w:r>
      <w:r w:rsidRPr="00C75B86">
        <w:t>. T</w:t>
      </w:r>
      <w:r w:rsidR="008010CA" w:rsidRPr="00C75B86">
        <w:t>he oxidation</w:t>
      </w:r>
      <w:r w:rsidRPr="00C75B86">
        <w:t xml:space="preserve"> step of the pyrolysis gases was modelled by</w:t>
      </w:r>
      <w:r w:rsidR="008010CA" w:rsidRPr="00C75B86">
        <w:t xml:space="preserve"> </w:t>
      </w:r>
      <w:r>
        <w:t xml:space="preserve">the </w:t>
      </w:r>
      <w:r w:rsidRPr="00C75B86">
        <w:t>CHEMKIN interface</w:t>
      </w:r>
      <w:r w:rsidR="008010CA" w:rsidRPr="00C75B86">
        <w:t>.</w:t>
      </w:r>
      <w:r w:rsidRPr="00C75B86">
        <w:t xml:space="preserve"> </w:t>
      </w:r>
      <w:r w:rsidR="008010CA" w:rsidRPr="00C75B86">
        <w:t xml:space="preserve">The methodology couples CFD with detailed chemical kinetics. The fluid flow and dispersion dynamics within the 20 L sphere are simulated, and Fluent solves the Navier-Stokes equations, tracking reactant dispersion and evolving concentration fields. </w:t>
      </w:r>
      <w:r>
        <w:t>Integration of</w:t>
      </w:r>
      <w:r w:rsidR="008010CA" w:rsidRPr="00C75B86">
        <w:t xml:space="preserve"> a new pyrolysis mechanism</w:t>
      </w:r>
      <w:r>
        <w:t xml:space="preserve"> is made </w:t>
      </w:r>
      <w:r w:rsidR="008010CA" w:rsidRPr="00C75B86">
        <w:t xml:space="preserve">via CHEMKIN files, incorporating species transport, reaction rates, and thermal feedback. This coupling predicts species concentrations, temperature profiles, and reaction rates over time. Parametric studies </w:t>
      </w:r>
      <w:r>
        <w:t xml:space="preserve">will </w:t>
      </w:r>
      <w:r w:rsidR="008010CA" w:rsidRPr="00C75B86">
        <w:t xml:space="preserve">assess the effects of varying initial conditions, such as </w:t>
      </w:r>
      <w:r>
        <w:t xml:space="preserve">fuel </w:t>
      </w:r>
      <w:r w:rsidR="008010CA" w:rsidRPr="00C75B86">
        <w:t>concentration</w:t>
      </w:r>
      <w:r>
        <w:t xml:space="preserve"> and PSD</w:t>
      </w:r>
      <w:r w:rsidR="008010CA" w:rsidRPr="00C75B86">
        <w:t>.</w:t>
      </w:r>
      <w:r w:rsidR="006E2C95">
        <w:t xml:space="preserve"> </w:t>
      </w:r>
    </w:p>
    <w:p w14:paraId="17640515" w14:textId="6B390120" w:rsidR="00747273" w:rsidRDefault="006E2C95" w:rsidP="00747273">
      <w:pPr>
        <w:pStyle w:val="CETBodytext"/>
      </w:pPr>
      <w:r w:rsidRPr="006E2C95">
        <w:t>Initial simulations confirm the non-uniform nature of the powder dispersion in the sphere and highlight the impact of the powder (PSD, concentration) on turbulence before and after ignition</w:t>
      </w:r>
      <w:r w:rsidR="009C2544">
        <w:t xml:space="preserve"> (Murillo, 2016; Pico et al., 2020)</w:t>
      </w:r>
      <w:r w:rsidRPr="006E2C95">
        <w:t>.</w:t>
      </w:r>
    </w:p>
    <w:p w14:paraId="1B71F496" w14:textId="42618823" w:rsidR="00B5006F" w:rsidRPr="00C75B86" w:rsidRDefault="00FE6733" w:rsidP="00747273">
      <w:pPr>
        <w:pStyle w:val="CETBodytext"/>
      </w:pPr>
      <w:r w:rsidRPr="00FE6733">
        <w:t>One of the main limitations of using CFD is its computational cost. In this study, simplifications will be necessary in order to limit the computation time, such as the assumption of a constant PSD</w:t>
      </w:r>
      <w:r w:rsidR="00B5006F">
        <w:t xml:space="preserve"> (section 3.1)</w:t>
      </w:r>
      <w:r w:rsidRPr="00FE6733">
        <w:t xml:space="preserve">, the use of lumped kinetic models or the fact of </w:t>
      </w:r>
      <w:r>
        <w:t>neglecting</w:t>
      </w:r>
      <w:r w:rsidRPr="00FE6733">
        <w:t xml:space="preserve"> the deformation of </w:t>
      </w:r>
      <w:r>
        <w:t>the nozzle</w:t>
      </w:r>
      <w:r w:rsidRPr="00FE6733">
        <w:t xml:space="preserve"> during injection.</w:t>
      </w:r>
      <w:r w:rsidR="005C3EC5" w:rsidRPr="005C3EC5">
        <w:t xml:space="preserve"> The effects of flame </w:t>
      </w:r>
      <w:r w:rsidR="005C3EC5">
        <w:t>quenching</w:t>
      </w:r>
      <w:r w:rsidR="005C3EC5" w:rsidRPr="005C3EC5">
        <w:t xml:space="preserve"> at the wall (particularly radical terminations) are also delicate points to consider.</w:t>
      </w:r>
    </w:p>
    <w:p w14:paraId="3FB8E388" w14:textId="3AF211A9" w:rsidR="00AC34AF" w:rsidRDefault="00AC34AF" w:rsidP="00AC34AF">
      <w:pPr>
        <w:pStyle w:val="CETHeading1"/>
      </w:pPr>
      <w:r>
        <w:lastRenderedPageBreak/>
        <w:t>Results</w:t>
      </w:r>
    </w:p>
    <w:p w14:paraId="0EAD57FB" w14:textId="37E64C9F" w:rsidR="00294D9B" w:rsidRDefault="00060C5F" w:rsidP="00294D9B">
      <w:pPr>
        <w:pStyle w:val="CETBodytext"/>
        <w:rPr>
          <w:lang w:val="en-GB"/>
        </w:rPr>
      </w:pPr>
      <w:r>
        <w:rPr>
          <w:lang w:val="en-GB"/>
        </w:rPr>
        <w:t xml:space="preserve">Preliminary tests were performed on polystyrene and polyethylene dusts. </w:t>
      </w:r>
    </w:p>
    <w:p w14:paraId="2B14E48B" w14:textId="4C85B33E" w:rsidR="00294D9B" w:rsidRPr="00B57B36" w:rsidRDefault="00294D9B" w:rsidP="00294D9B">
      <w:pPr>
        <w:pStyle w:val="CETheadingx"/>
      </w:pPr>
      <w:r>
        <w:t>In-situ particle size distribution</w:t>
      </w:r>
    </w:p>
    <w:p w14:paraId="32FDB133" w14:textId="2ECA54D4" w:rsidR="00AC34AF" w:rsidRDefault="00317EAA" w:rsidP="00294D9B">
      <w:pPr>
        <w:pStyle w:val="CETBodytext"/>
        <w:rPr>
          <w:lang w:val="en-GB"/>
        </w:rPr>
      </w:pPr>
      <w:r>
        <w:rPr>
          <w:lang w:val="en-GB"/>
        </w:rPr>
        <w:t xml:space="preserve">Knowledge of the PSD of the dust cloud before its ignition is essential as it can be strongly different from that determined by dry or wet ex-situ particle size measurement. Figure 1 shows that the PSD of polystyrene significantly changes during its injection in the sphere. </w:t>
      </w:r>
      <w:r w:rsidRPr="00317EAA">
        <w:rPr>
          <w:lang w:val="en-GB"/>
        </w:rPr>
        <w:t xml:space="preserve">Given the difficulty of grinding this type of material, it is unlikely that powder fragmentation can be envisaged. However, the detachment of fine particles </w:t>
      </w:r>
      <w:r>
        <w:rPr>
          <w:lang w:val="en-GB"/>
        </w:rPr>
        <w:t>attached by electrostatic forces</w:t>
      </w:r>
      <w:r w:rsidRPr="00317EAA">
        <w:rPr>
          <w:lang w:val="en-GB"/>
        </w:rPr>
        <w:t xml:space="preserve"> to the primary powders or a change in the</w:t>
      </w:r>
      <w:r>
        <w:rPr>
          <w:lang w:val="en-GB"/>
        </w:rPr>
        <w:t xml:space="preserve"> powder</w:t>
      </w:r>
      <w:r w:rsidRPr="00317EAA">
        <w:rPr>
          <w:lang w:val="en-GB"/>
        </w:rPr>
        <w:t xml:space="preserve"> shape must be considered.</w:t>
      </w:r>
      <w:r>
        <w:rPr>
          <w:lang w:val="en-GB"/>
        </w:rPr>
        <w:t xml:space="preserve"> Polyethylene being finer, with a primary PSD ranging from 35 to 50 µm, t</w:t>
      </w:r>
      <w:r w:rsidRPr="00317EAA">
        <w:rPr>
          <w:lang w:val="en-GB"/>
        </w:rPr>
        <w:t xml:space="preserve">he </w:t>
      </w:r>
      <w:r>
        <w:rPr>
          <w:lang w:val="en-GB"/>
        </w:rPr>
        <w:t>time-</w:t>
      </w:r>
      <w:r w:rsidRPr="00317EAA">
        <w:rPr>
          <w:lang w:val="en-GB"/>
        </w:rPr>
        <w:t>evolution of its PSD is less noticeable.</w:t>
      </w:r>
      <w:r>
        <w:rPr>
          <w:lang w:val="en-GB"/>
        </w:rPr>
        <w:t xml:space="preserve"> However, the presence of finer particles (&lt; 20 µm) should be highlighted. </w:t>
      </w:r>
    </w:p>
    <w:p w14:paraId="2592B040" w14:textId="77777777" w:rsidR="000924D7" w:rsidRPr="000737C8" w:rsidRDefault="000924D7" w:rsidP="000924D7">
      <w:pPr>
        <w:pStyle w:val="CETCaption"/>
      </w:pPr>
      <w:r>
        <w:rPr>
          <w:noProof/>
        </w:rPr>
        <w:drawing>
          <wp:inline distT="0" distB="0" distL="0" distR="0" wp14:anchorId="5E39F927" wp14:editId="5D274780">
            <wp:extent cx="4813200" cy="3096000"/>
            <wp:effectExtent l="0" t="0" r="635" b="3175"/>
            <wp:docPr id="1484943614" name="Image 1" descr="Une image contenant texte, ligne, Tracé,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943614" name="Image 1" descr="Une image contenant texte, ligne, Tracé, diagramme&#10;&#10;Description générée automatiquement"/>
                    <pic:cNvPicPr/>
                  </pic:nvPicPr>
                  <pic:blipFill rotWithShape="1">
                    <a:blip r:embed="rId10"/>
                    <a:srcRect l="8668" t="6664" r="8591" b="3239"/>
                    <a:stretch/>
                  </pic:blipFill>
                  <pic:spPr bwMode="auto">
                    <a:xfrm>
                      <a:off x="0" y="0"/>
                      <a:ext cx="4813200" cy="3096000"/>
                    </a:xfrm>
                    <a:prstGeom prst="rect">
                      <a:avLst/>
                    </a:prstGeom>
                    <a:ln>
                      <a:noFill/>
                    </a:ln>
                    <a:extLst>
                      <a:ext uri="{53640926-AAD7-44D8-BBD7-CCE9431645EC}">
                        <a14:shadowObscured xmlns:a14="http://schemas.microsoft.com/office/drawing/2010/main"/>
                      </a:ext>
                    </a:extLst>
                  </pic:spPr>
                </pic:pic>
              </a:graphicData>
            </a:graphic>
          </wp:inline>
        </w:drawing>
      </w:r>
    </w:p>
    <w:p w14:paraId="44B538C4" w14:textId="1EA1FADD" w:rsidR="000924D7" w:rsidRPr="000924D7" w:rsidRDefault="000924D7" w:rsidP="000924D7">
      <w:pPr>
        <w:pStyle w:val="CETCaption"/>
        <w:rPr>
          <w:lang w:val="en-US"/>
        </w:rPr>
      </w:pPr>
      <w:r w:rsidRPr="00750884">
        <w:rPr>
          <w:rStyle w:val="CETCaptionCarattere"/>
          <w:i/>
          <w:lang w:val="en-US"/>
        </w:rPr>
        <w:t xml:space="preserve">Figure 1: </w:t>
      </w:r>
      <w:r>
        <w:rPr>
          <w:rStyle w:val="CETCaptionCarattere"/>
          <w:i/>
          <w:lang w:val="en-US"/>
        </w:rPr>
        <w:t>Time-evolution of the PSD of polystyrene and polyethylene powders in the 20L sphere</w:t>
      </w:r>
    </w:p>
    <w:p w14:paraId="35158155" w14:textId="329A42AD" w:rsidR="00294D9B" w:rsidRPr="00B57B36" w:rsidRDefault="00294D9B" w:rsidP="00294D9B">
      <w:pPr>
        <w:pStyle w:val="CETheadingx"/>
      </w:pPr>
      <w:r>
        <w:t>Pyrolysis gases of polymers</w:t>
      </w:r>
    </w:p>
    <w:p w14:paraId="150F597F" w14:textId="7E68D385" w:rsidR="00294D9B" w:rsidRDefault="007F0A79" w:rsidP="00294D9B">
      <w:pPr>
        <w:pStyle w:val="CETBodytext"/>
        <w:rPr>
          <w:lang w:val="en-GB"/>
        </w:rPr>
      </w:pPr>
      <w:r w:rsidRPr="007F0A79">
        <w:rPr>
          <w:lang w:val="en-GB"/>
        </w:rPr>
        <w:t xml:space="preserve">Table 3 summarizes the gases and aromatic compounds </w:t>
      </w:r>
      <w:r w:rsidR="00EE45F3">
        <w:rPr>
          <w:lang w:val="en-GB"/>
        </w:rPr>
        <w:t xml:space="preserve">collected at 500°C and </w:t>
      </w:r>
      <w:r w:rsidRPr="007F0A79">
        <w:rPr>
          <w:lang w:val="en-GB"/>
        </w:rPr>
        <w:t>identified by</w:t>
      </w:r>
      <w:r>
        <w:rPr>
          <w:lang w:val="en-GB"/>
        </w:rPr>
        <w:t xml:space="preserve"> </w:t>
      </w:r>
      <w:r w:rsidRPr="007F0A79">
        <w:rPr>
          <w:lang w:val="en-GB"/>
        </w:rPr>
        <w:t xml:space="preserve">chromatography. It is essential to note that the given contents </w:t>
      </w:r>
      <w:r>
        <w:rPr>
          <w:lang w:val="en-GB"/>
        </w:rPr>
        <w:t>were</w:t>
      </w:r>
      <w:r w:rsidRPr="007F0A79">
        <w:rPr>
          <w:lang w:val="en-GB"/>
        </w:rPr>
        <w:t xml:space="preserve"> normalized by </w:t>
      </w:r>
      <w:r>
        <w:rPr>
          <w:lang w:val="en-GB"/>
        </w:rPr>
        <w:t>removing</w:t>
      </w:r>
      <w:r w:rsidRPr="007F0A79">
        <w:rPr>
          <w:lang w:val="en-GB"/>
        </w:rPr>
        <w:t xml:space="preserve"> the values corresponding to argon and residual air, as well as by not </w:t>
      </w:r>
      <w:r>
        <w:rPr>
          <w:lang w:val="en-GB"/>
        </w:rPr>
        <w:t>considering</w:t>
      </w:r>
      <w:r w:rsidRPr="007F0A79">
        <w:rPr>
          <w:lang w:val="en-GB"/>
        </w:rPr>
        <w:t xml:space="preserve"> peaks corresponding to unknown compounds.</w:t>
      </w:r>
    </w:p>
    <w:p w14:paraId="389F801C" w14:textId="448D4EC4" w:rsidR="008F3453" w:rsidRPr="00EF04E1" w:rsidRDefault="008F3453" w:rsidP="008F3453">
      <w:pPr>
        <w:pStyle w:val="CETTabletitle"/>
      </w:pPr>
      <w:r w:rsidRPr="00EF04E1">
        <w:t xml:space="preserve">Table </w:t>
      </w:r>
      <w:r w:rsidR="00C75B86">
        <w:t>3</w:t>
      </w:r>
      <w:r w:rsidRPr="00EF04E1">
        <w:t xml:space="preserve">: Gas chromatography analyses of </w:t>
      </w:r>
      <w:r w:rsidR="00EF04E1" w:rsidRPr="00EF04E1">
        <w:t xml:space="preserve">polymer </w:t>
      </w:r>
      <w:r w:rsidRPr="00EF04E1">
        <w:t xml:space="preserve">powders pyrolysis (permanent gases and </w:t>
      </w:r>
      <w:r w:rsidR="00294D9B" w:rsidRPr="00EF04E1">
        <w:t>aromatics</w:t>
      </w:r>
      <w:r w:rsidRPr="00EF04E1">
        <w:t>)</w:t>
      </w:r>
    </w:p>
    <w:tbl>
      <w:tblPr>
        <w:tblW w:w="8836"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985"/>
        <w:gridCol w:w="661"/>
        <w:gridCol w:w="661"/>
        <w:gridCol w:w="662"/>
        <w:gridCol w:w="661"/>
        <w:gridCol w:w="662"/>
        <w:gridCol w:w="661"/>
        <w:gridCol w:w="662"/>
        <w:gridCol w:w="661"/>
        <w:gridCol w:w="662"/>
        <w:gridCol w:w="898"/>
      </w:tblGrid>
      <w:tr w:rsidR="00276839" w:rsidRPr="00EF04E1" w14:paraId="6F9B160D" w14:textId="55BF3C57" w:rsidTr="00276839">
        <w:tc>
          <w:tcPr>
            <w:tcW w:w="1985" w:type="dxa"/>
            <w:tcBorders>
              <w:top w:val="single" w:sz="12" w:space="0" w:color="008000"/>
              <w:bottom w:val="single" w:sz="6" w:space="0" w:color="008000"/>
            </w:tcBorders>
            <w:shd w:val="clear" w:color="auto" w:fill="FFFFFF"/>
          </w:tcPr>
          <w:p w14:paraId="5A029081" w14:textId="77777777" w:rsidR="00276839" w:rsidRPr="00EF04E1" w:rsidRDefault="00276839" w:rsidP="00276839">
            <w:pPr>
              <w:pStyle w:val="CETBodytext"/>
              <w:rPr>
                <w:lang w:val="en-GB"/>
              </w:rPr>
            </w:pPr>
            <w:r w:rsidRPr="00EF04E1">
              <w:rPr>
                <w:lang w:val="en-GB"/>
              </w:rPr>
              <w:t>Permanent gases</w:t>
            </w:r>
          </w:p>
          <w:p w14:paraId="2F6E9901" w14:textId="398D87B2" w:rsidR="00276839" w:rsidRPr="00EF04E1" w:rsidRDefault="00276839" w:rsidP="00276839">
            <w:pPr>
              <w:pStyle w:val="CETBodytext"/>
              <w:rPr>
                <w:lang w:val="en-GB"/>
              </w:rPr>
            </w:pPr>
            <w:r w:rsidRPr="00EF04E1">
              <w:rPr>
                <w:lang w:val="en-GB"/>
              </w:rPr>
              <w:t>and aromatics</w:t>
            </w:r>
          </w:p>
        </w:tc>
        <w:tc>
          <w:tcPr>
            <w:tcW w:w="661" w:type="dxa"/>
            <w:tcBorders>
              <w:top w:val="single" w:sz="12" w:space="0" w:color="008000"/>
              <w:bottom w:val="single" w:sz="6" w:space="0" w:color="008000"/>
            </w:tcBorders>
            <w:shd w:val="clear" w:color="auto" w:fill="FFFFFF"/>
          </w:tcPr>
          <w:p w14:paraId="40F083AB" w14:textId="77777777" w:rsidR="00276839" w:rsidRPr="00EF04E1" w:rsidRDefault="00276839" w:rsidP="00276839">
            <w:pPr>
              <w:pStyle w:val="CETBodytext"/>
              <w:rPr>
                <w:lang w:val="en-GB"/>
              </w:rPr>
            </w:pPr>
            <w:r w:rsidRPr="00EF04E1">
              <w:rPr>
                <w:lang w:val="en-GB"/>
              </w:rPr>
              <w:t>H</w:t>
            </w:r>
            <w:r w:rsidRPr="00EF04E1">
              <w:rPr>
                <w:vertAlign w:val="subscript"/>
                <w:lang w:val="en-GB"/>
              </w:rPr>
              <w:t>2</w:t>
            </w:r>
          </w:p>
        </w:tc>
        <w:tc>
          <w:tcPr>
            <w:tcW w:w="661" w:type="dxa"/>
            <w:tcBorders>
              <w:top w:val="single" w:sz="12" w:space="0" w:color="008000"/>
              <w:bottom w:val="single" w:sz="6" w:space="0" w:color="008000"/>
            </w:tcBorders>
            <w:shd w:val="clear" w:color="auto" w:fill="FFFFFF"/>
          </w:tcPr>
          <w:p w14:paraId="65F81BD3" w14:textId="77777777" w:rsidR="00276839" w:rsidRPr="00EF04E1" w:rsidRDefault="00276839" w:rsidP="00276839">
            <w:pPr>
              <w:pStyle w:val="CETBodytext"/>
              <w:rPr>
                <w:lang w:val="en-GB"/>
              </w:rPr>
            </w:pPr>
            <w:r w:rsidRPr="00EF04E1">
              <w:rPr>
                <w:lang w:val="en-GB"/>
              </w:rPr>
              <w:t>CH</w:t>
            </w:r>
            <w:r w:rsidRPr="00EF04E1">
              <w:rPr>
                <w:vertAlign w:val="subscript"/>
                <w:lang w:val="en-GB"/>
              </w:rPr>
              <w:t>4</w:t>
            </w:r>
          </w:p>
        </w:tc>
        <w:tc>
          <w:tcPr>
            <w:tcW w:w="662" w:type="dxa"/>
            <w:tcBorders>
              <w:top w:val="single" w:sz="12" w:space="0" w:color="008000"/>
              <w:bottom w:val="single" w:sz="6" w:space="0" w:color="008000"/>
            </w:tcBorders>
            <w:shd w:val="clear" w:color="auto" w:fill="FFFFFF"/>
          </w:tcPr>
          <w:p w14:paraId="7A504C49" w14:textId="7165004E" w:rsidR="00276839" w:rsidRPr="00EF04E1" w:rsidRDefault="00276839" w:rsidP="00276839">
            <w:pPr>
              <w:pStyle w:val="CETBodytext"/>
              <w:ind w:right="-1"/>
              <w:rPr>
                <w:rFonts w:cs="Arial"/>
                <w:szCs w:val="18"/>
                <w:lang w:val="en-GB"/>
              </w:rPr>
            </w:pPr>
            <w:r w:rsidRPr="00EF04E1">
              <w:rPr>
                <w:rFonts w:cs="Arial"/>
                <w:szCs w:val="18"/>
                <w:lang w:val="en-GB"/>
              </w:rPr>
              <w:t>CO</w:t>
            </w:r>
          </w:p>
        </w:tc>
        <w:tc>
          <w:tcPr>
            <w:tcW w:w="661" w:type="dxa"/>
            <w:tcBorders>
              <w:top w:val="single" w:sz="12" w:space="0" w:color="008000"/>
              <w:bottom w:val="single" w:sz="6" w:space="0" w:color="008000"/>
            </w:tcBorders>
            <w:shd w:val="clear" w:color="auto" w:fill="FFFFFF"/>
          </w:tcPr>
          <w:p w14:paraId="758B762A" w14:textId="32C0A20E" w:rsidR="00276839" w:rsidRPr="00EF04E1" w:rsidRDefault="00276839" w:rsidP="00276839">
            <w:pPr>
              <w:pStyle w:val="CETBodytext"/>
              <w:ind w:right="-1"/>
              <w:rPr>
                <w:rFonts w:cs="Arial"/>
                <w:szCs w:val="18"/>
                <w:lang w:val="en-GB"/>
              </w:rPr>
            </w:pPr>
            <w:r w:rsidRPr="00EF04E1">
              <w:rPr>
                <w:rFonts w:cs="Arial"/>
                <w:szCs w:val="18"/>
                <w:lang w:val="en-GB"/>
              </w:rPr>
              <w:t>CO</w:t>
            </w:r>
            <w:r w:rsidRPr="00EF04E1">
              <w:rPr>
                <w:rFonts w:cs="Arial"/>
                <w:szCs w:val="18"/>
                <w:vertAlign w:val="subscript"/>
                <w:lang w:val="en-GB"/>
              </w:rPr>
              <w:t>2</w:t>
            </w:r>
          </w:p>
        </w:tc>
        <w:tc>
          <w:tcPr>
            <w:tcW w:w="662" w:type="dxa"/>
            <w:tcBorders>
              <w:top w:val="single" w:sz="12" w:space="0" w:color="008000"/>
              <w:bottom w:val="single" w:sz="6" w:space="0" w:color="008000"/>
            </w:tcBorders>
            <w:shd w:val="clear" w:color="auto" w:fill="FFFFFF"/>
          </w:tcPr>
          <w:p w14:paraId="180C55DC" w14:textId="5E941482" w:rsidR="00276839" w:rsidRPr="00EF04E1" w:rsidRDefault="00276839" w:rsidP="00276839">
            <w:pPr>
              <w:pStyle w:val="CETBodytext"/>
              <w:ind w:right="-1"/>
              <w:rPr>
                <w:rFonts w:cs="Arial"/>
                <w:szCs w:val="18"/>
                <w:lang w:val="en-GB"/>
              </w:rPr>
            </w:pPr>
            <w:r w:rsidRPr="00EF04E1">
              <w:rPr>
                <w:rFonts w:cs="Arial"/>
                <w:szCs w:val="18"/>
                <w:lang w:val="en-GB"/>
              </w:rPr>
              <w:t>C</w:t>
            </w:r>
            <w:r w:rsidRPr="00EF04E1">
              <w:rPr>
                <w:rFonts w:cs="Arial"/>
                <w:szCs w:val="18"/>
                <w:vertAlign w:val="subscript"/>
                <w:lang w:val="en-GB"/>
              </w:rPr>
              <w:t>2</w:t>
            </w:r>
            <w:r w:rsidRPr="00EF04E1">
              <w:rPr>
                <w:rFonts w:cs="Arial"/>
                <w:szCs w:val="18"/>
                <w:lang w:val="en-GB"/>
              </w:rPr>
              <w:t>H</w:t>
            </w:r>
            <w:r w:rsidRPr="00EF04E1">
              <w:rPr>
                <w:rFonts w:cs="Arial"/>
                <w:szCs w:val="18"/>
                <w:vertAlign w:val="subscript"/>
                <w:lang w:val="en-GB"/>
              </w:rPr>
              <w:t>2</w:t>
            </w:r>
          </w:p>
        </w:tc>
        <w:tc>
          <w:tcPr>
            <w:tcW w:w="661" w:type="dxa"/>
            <w:tcBorders>
              <w:top w:val="single" w:sz="12" w:space="0" w:color="008000"/>
              <w:bottom w:val="single" w:sz="6" w:space="0" w:color="008000"/>
            </w:tcBorders>
            <w:shd w:val="clear" w:color="auto" w:fill="FFFFFF"/>
          </w:tcPr>
          <w:p w14:paraId="02412DCF" w14:textId="7B416D55" w:rsidR="00276839" w:rsidRPr="00EF04E1" w:rsidRDefault="00276839" w:rsidP="00276839">
            <w:pPr>
              <w:pStyle w:val="CETBodytext"/>
              <w:ind w:right="-1"/>
              <w:rPr>
                <w:rFonts w:cs="Arial"/>
                <w:szCs w:val="18"/>
                <w:lang w:val="en-GB"/>
              </w:rPr>
            </w:pPr>
            <w:r w:rsidRPr="00EF04E1">
              <w:rPr>
                <w:rFonts w:cs="Arial"/>
                <w:szCs w:val="18"/>
                <w:lang w:val="en-GB"/>
              </w:rPr>
              <w:t>C</w:t>
            </w:r>
            <w:r w:rsidRPr="00EF04E1">
              <w:rPr>
                <w:rFonts w:cs="Arial"/>
                <w:szCs w:val="18"/>
                <w:vertAlign w:val="subscript"/>
                <w:lang w:val="en-GB"/>
              </w:rPr>
              <w:t>2</w:t>
            </w:r>
            <w:r w:rsidRPr="00EF04E1">
              <w:rPr>
                <w:rFonts w:cs="Arial"/>
                <w:szCs w:val="18"/>
                <w:lang w:val="en-GB"/>
              </w:rPr>
              <w:t>H</w:t>
            </w:r>
            <w:r w:rsidRPr="00EF04E1">
              <w:rPr>
                <w:rFonts w:cs="Arial"/>
                <w:szCs w:val="18"/>
                <w:vertAlign w:val="subscript"/>
                <w:lang w:val="en-GB"/>
              </w:rPr>
              <w:t>4</w:t>
            </w:r>
          </w:p>
        </w:tc>
        <w:tc>
          <w:tcPr>
            <w:tcW w:w="662" w:type="dxa"/>
            <w:tcBorders>
              <w:top w:val="single" w:sz="12" w:space="0" w:color="008000"/>
              <w:bottom w:val="single" w:sz="6" w:space="0" w:color="008000"/>
            </w:tcBorders>
            <w:shd w:val="clear" w:color="auto" w:fill="FFFFFF"/>
          </w:tcPr>
          <w:p w14:paraId="19871E1E" w14:textId="06398CA5" w:rsidR="00276839" w:rsidRPr="00EF04E1" w:rsidRDefault="00276839" w:rsidP="00276839">
            <w:pPr>
              <w:pStyle w:val="CETBodytext"/>
              <w:ind w:right="-1"/>
              <w:rPr>
                <w:rFonts w:cs="Arial"/>
                <w:szCs w:val="18"/>
                <w:lang w:val="en-GB"/>
              </w:rPr>
            </w:pPr>
            <w:r w:rsidRPr="00EF04E1">
              <w:rPr>
                <w:rFonts w:cs="Arial"/>
                <w:szCs w:val="18"/>
                <w:lang w:val="en-GB"/>
              </w:rPr>
              <w:t>C</w:t>
            </w:r>
            <w:r w:rsidRPr="00EF04E1">
              <w:rPr>
                <w:rFonts w:cs="Arial"/>
                <w:szCs w:val="18"/>
                <w:vertAlign w:val="subscript"/>
                <w:lang w:val="en-GB"/>
              </w:rPr>
              <w:t>2</w:t>
            </w:r>
            <w:r w:rsidRPr="00EF04E1">
              <w:rPr>
                <w:rFonts w:cs="Arial"/>
                <w:szCs w:val="18"/>
                <w:lang w:val="en-GB"/>
              </w:rPr>
              <w:t>H</w:t>
            </w:r>
            <w:r w:rsidRPr="00EF04E1">
              <w:rPr>
                <w:rFonts w:cs="Arial"/>
                <w:szCs w:val="18"/>
                <w:vertAlign w:val="subscript"/>
                <w:lang w:val="en-GB"/>
              </w:rPr>
              <w:t>6</w:t>
            </w:r>
          </w:p>
        </w:tc>
        <w:tc>
          <w:tcPr>
            <w:tcW w:w="661" w:type="dxa"/>
            <w:tcBorders>
              <w:top w:val="single" w:sz="12" w:space="0" w:color="008000"/>
              <w:bottom w:val="single" w:sz="6" w:space="0" w:color="008000"/>
            </w:tcBorders>
            <w:shd w:val="clear" w:color="auto" w:fill="FFFFFF"/>
          </w:tcPr>
          <w:p w14:paraId="4EED7F14" w14:textId="016187D5" w:rsidR="00276839" w:rsidRPr="00EF04E1" w:rsidRDefault="00276839" w:rsidP="00276839">
            <w:pPr>
              <w:pStyle w:val="CETBodytext"/>
              <w:ind w:right="-1"/>
              <w:rPr>
                <w:rFonts w:cs="Arial"/>
                <w:szCs w:val="18"/>
                <w:lang w:val="en-GB"/>
              </w:rPr>
            </w:pPr>
            <w:r w:rsidRPr="00EF04E1">
              <w:rPr>
                <w:rFonts w:cs="Arial"/>
                <w:szCs w:val="18"/>
                <w:lang w:val="en-GB"/>
              </w:rPr>
              <w:t>C</w:t>
            </w:r>
            <w:r w:rsidRPr="00EF04E1">
              <w:rPr>
                <w:rFonts w:cs="Arial"/>
                <w:szCs w:val="18"/>
                <w:vertAlign w:val="subscript"/>
                <w:lang w:val="en-GB"/>
              </w:rPr>
              <w:t>3</w:t>
            </w:r>
            <w:r w:rsidRPr="00EF04E1">
              <w:rPr>
                <w:rFonts w:cs="Arial"/>
                <w:szCs w:val="18"/>
                <w:lang w:val="en-GB"/>
              </w:rPr>
              <w:t>H</w:t>
            </w:r>
            <w:r w:rsidRPr="00EF04E1">
              <w:rPr>
                <w:rFonts w:cs="Arial"/>
                <w:szCs w:val="18"/>
                <w:vertAlign w:val="subscript"/>
                <w:lang w:val="en-GB"/>
              </w:rPr>
              <w:t>4</w:t>
            </w:r>
          </w:p>
        </w:tc>
        <w:tc>
          <w:tcPr>
            <w:tcW w:w="662" w:type="dxa"/>
            <w:tcBorders>
              <w:top w:val="single" w:sz="12" w:space="0" w:color="008000"/>
              <w:bottom w:val="single" w:sz="6" w:space="0" w:color="008000"/>
            </w:tcBorders>
            <w:shd w:val="clear" w:color="auto" w:fill="FFFFFF"/>
          </w:tcPr>
          <w:p w14:paraId="3FE8CB2A" w14:textId="674BFCCB" w:rsidR="00276839" w:rsidRPr="00EF04E1" w:rsidRDefault="00276839" w:rsidP="00276839">
            <w:pPr>
              <w:pStyle w:val="CETBodytext"/>
              <w:ind w:right="-1"/>
              <w:rPr>
                <w:rFonts w:cs="Arial"/>
                <w:szCs w:val="18"/>
                <w:lang w:val="en-GB"/>
              </w:rPr>
            </w:pPr>
            <w:r w:rsidRPr="00EF04E1">
              <w:rPr>
                <w:rFonts w:cs="Arial"/>
                <w:szCs w:val="18"/>
                <w:lang w:val="en-GB"/>
              </w:rPr>
              <w:t>C</w:t>
            </w:r>
            <w:r w:rsidRPr="00EF04E1">
              <w:rPr>
                <w:rFonts w:cs="Arial"/>
                <w:szCs w:val="18"/>
                <w:vertAlign w:val="subscript"/>
                <w:lang w:val="en-GB"/>
              </w:rPr>
              <w:t>3</w:t>
            </w:r>
            <w:r w:rsidRPr="00EF04E1">
              <w:rPr>
                <w:rFonts w:cs="Arial"/>
                <w:szCs w:val="18"/>
                <w:lang w:val="en-GB"/>
              </w:rPr>
              <w:t>H</w:t>
            </w:r>
            <w:r w:rsidRPr="00EF04E1">
              <w:rPr>
                <w:rFonts w:cs="Arial"/>
                <w:szCs w:val="18"/>
                <w:vertAlign w:val="subscript"/>
                <w:lang w:val="en-GB"/>
              </w:rPr>
              <w:t>8</w:t>
            </w:r>
          </w:p>
        </w:tc>
        <w:tc>
          <w:tcPr>
            <w:tcW w:w="898" w:type="dxa"/>
            <w:tcBorders>
              <w:top w:val="single" w:sz="12" w:space="0" w:color="008000"/>
              <w:bottom w:val="single" w:sz="6" w:space="0" w:color="008000"/>
            </w:tcBorders>
            <w:shd w:val="clear" w:color="auto" w:fill="FFFFFF"/>
          </w:tcPr>
          <w:p w14:paraId="247ACA7F" w14:textId="1A6CA262" w:rsidR="00276839" w:rsidRPr="00EF04E1" w:rsidRDefault="00276839" w:rsidP="00276839">
            <w:pPr>
              <w:pStyle w:val="CETBodytext"/>
              <w:ind w:right="-1"/>
              <w:rPr>
                <w:rFonts w:cs="Arial"/>
                <w:szCs w:val="18"/>
                <w:lang w:val="en-GB"/>
              </w:rPr>
            </w:pPr>
            <w:r w:rsidRPr="00EF04E1">
              <w:rPr>
                <w:rFonts w:cs="Arial"/>
                <w:szCs w:val="18"/>
                <w:lang w:val="en-GB"/>
              </w:rPr>
              <w:t>Aromatics</w:t>
            </w:r>
          </w:p>
        </w:tc>
      </w:tr>
      <w:tr w:rsidR="00276839" w:rsidRPr="00EF04E1" w14:paraId="573C0CD2" w14:textId="15B72B67" w:rsidTr="00276839">
        <w:tc>
          <w:tcPr>
            <w:tcW w:w="1985" w:type="dxa"/>
            <w:tcBorders>
              <w:top w:val="single" w:sz="6" w:space="0" w:color="008000"/>
              <w:bottom w:val="single" w:sz="6" w:space="0" w:color="008000"/>
            </w:tcBorders>
            <w:shd w:val="clear" w:color="auto" w:fill="FFFFFF"/>
          </w:tcPr>
          <w:p w14:paraId="2BA9E78F" w14:textId="6F6D30E3" w:rsidR="00276839" w:rsidRPr="00EF04E1" w:rsidRDefault="00276839" w:rsidP="00276839">
            <w:pPr>
              <w:pStyle w:val="CETBodytext"/>
              <w:rPr>
                <w:lang w:val="en-GB"/>
              </w:rPr>
            </w:pPr>
            <w:r w:rsidRPr="00EF04E1">
              <w:rPr>
                <w:lang w:val="en-GB"/>
              </w:rPr>
              <w:t>PS Normalized volume</w:t>
            </w:r>
          </w:p>
          <w:p w14:paraId="302535F0" w14:textId="77777777" w:rsidR="00276839" w:rsidRPr="00EF04E1" w:rsidRDefault="00276839" w:rsidP="00276839">
            <w:pPr>
              <w:pStyle w:val="CETBodytext"/>
              <w:rPr>
                <w:lang w:val="en-GB"/>
              </w:rPr>
            </w:pPr>
            <w:r w:rsidRPr="00EF04E1">
              <w:rPr>
                <w:lang w:val="en-GB"/>
              </w:rPr>
              <w:t>content (vol.%)</w:t>
            </w:r>
          </w:p>
        </w:tc>
        <w:tc>
          <w:tcPr>
            <w:tcW w:w="661" w:type="dxa"/>
            <w:tcBorders>
              <w:top w:val="single" w:sz="6" w:space="0" w:color="008000"/>
              <w:bottom w:val="single" w:sz="6" w:space="0" w:color="008000"/>
            </w:tcBorders>
            <w:shd w:val="clear" w:color="auto" w:fill="FFFFFF"/>
          </w:tcPr>
          <w:p w14:paraId="1E92FBA0" w14:textId="0E838F60" w:rsidR="00276839" w:rsidRPr="00EF04E1" w:rsidRDefault="00276839" w:rsidP="00276839">
            <w:pPr>
              <w:pStyle w:val="CETBodytext"/>
              <w:rPr>
                <w:lang w:val="en-GB"/>
              </w:rPr>
            </w:pPr>
            <w:r w:rsidRPr="00EF04E1">
              <w:rPr>
                <w:lang w:val="en-GB"/>
              </w:rPr>
              <w:t>2.5</w:t>
            </w:r>
          </w:p>
        </w:tc>
        <w:tc>
          <w:tcPr>
            <w:tcW w:w="661" w:type="dxa"/>
            <w:tcBorders>
              <w:top w:val="single" w:sz="6" w:space="0" w:color="008000"/>
              <w:bottom w:val="single" w:sz="6" w:space="0" w:color="008000"/>
            </w:tcBorders>
            <w:shd w:val="clear" w:color="auto" w:fill="FFFFFF"/>
          </w:tcPr>
          <w:p w14:paraId="07CBEEE3" w14:textId="483FCB7C" w:rsidR="00276839" w:rsidRPr="00EF04E1" w:rsidRDefault="00276839" w:rsidP="00276839">
            <w:pPr>
              <w:pStyle w:val="CETBodytext"/>
              <w:rPr>
                <w:lang w:val="en-GB"/>
              </w:rPr>
            </w:pPr>
            <w:r w:rsidRPr="00EF04E1">
              <w:rPr>
                <w:lang w:val="en-GB"/>
              </w:rPr>
              <w:t>1.9</w:t>
            </w:r>
          </w:p>
        </w:tc>
        <w:tc>
          <w:tcPr>
            <w:tcW w:w="662" w:type="dxa"/>
            <w:tcBorders>
              <w:top w:val="single" w:sz="6" w:space="0" w:color="008000"/>
              <w:bottom w:val="single" w:sz="6" w:space="0" w:color="008000"/>
            </w:tcBorders>
            <w:shd w:val="clear" w:color="auto" w:fill="FFFFFF"/>
          </w:tcPr>
          <w:p w14:paraId="35983210" w14:textId="53470E1F" w:rsidR="00276839" w:rsidRPr="00EF04E1" w:rsidRDefault="00276839" w:rsidP="00276839">
            <w:pPr>
              <w:pStyle w:val="CETBodytext"/>
              <w:ind w:right="-1"/>
              <w:rPr>
                <w:rFonts w:cs="Arial"/>
                <w:szCs w:val="18"/>
                <w:lang w:val="en-GB"/>
              </w:rPr>
            </w:pPr>
            <w:r w:rsidRPr="00EF04E1">
              <w:rPr>
                <w:rFonts w:cs="Arial"/>
                <w:szCs w:val="18"/>
                <w:lang w:val="en-GB"/>
              </w:rPr>
              <w:t>6.3</w:t>
            </w:r>
          </w:p>
        </w:tc>
        <w:tc>
          <w:tcPr>
            <w:tcW w:w="661" w:type="dxa"/>
            <w:tcBorders>
              <w:top w:val="single" w:sz="6" w:space="0" w:color="008000"/>
              <w:bottom w:val="single" w:sz="6" w:space="0" w:color="008000"/>
            </w:tcBorders>
            <w:shd w:val="clear" w:color="auto" w:fill="FFFFFF"/>
          </w:tcPr>
          <w:p w14:paraId="2AC5611C" w14:textId="587595F5" w:rsidR="00276839" w:rsidRPr="00EF04E1" w:rsidRDefault="00276839" w:rsidP="00276839">
            <w:pPr>
              <w:pStyle w:val="CETBodytext"/>
              <w:ind w:right="-1"/>
              <w:rPr>
                <w:rFonts w:cs="Arial"/>
                <w:szCs w:val="18"/>
                <w:lang w:val="en-GB"/>
              </w:rPr>
            </w:pPr>
            <w:r w:rsidRPr="00EF04E1">
              <w:rPr>
                <w:rFonts w:cs="Arial"/>
                <w:szCs w:val="18"/>
                <w:lang w:val="en-GB"/>
              </w:rPr>
              <w:t>3.1</w:t>
            </w:r>
          </w:p>
        </w:tc>
        <w:tc>
          <w:tcPr>
            <w:tcW w:w="662" w:type="dxa"/>
            <w:tcBorders>
              <w:top w:val="single" w:sz="6" w:space="0" w:color="008000"/>
              <w:bottom w:val="single" w:sz="6" w:space="0" w:color="008000"/>
            </w:tcBorders>
            <w:shd w:val="clear" w:color="auto" w:fill="FFFFFF"/>
          </w:tcPr>
          <w:p w14:paraId="2AE966B1" w14:textId="3F41D46C" w:rsidR="00276839" w:rsidRPr="00EF04E1" w:rsidRDefault="00276839" w:rsidP="00276839">
            <w:pPr>
              <w:pStyle w:val="CETBodytext"/>
              <w:ind w:right="-1"/>
              <w:rPr>
                <w:rFonts w:cs="Arial"/>
                <w:szCs w:val="18"/>
                <w:lang w:val="en-GB"/>
              </w:rPr>
            </w:pPr>
            <w:r w:rsidRPr="00EF04E1">
              <w:rPr>
                <w:rFonts w:cs="Arial"/>
                <w:szCs w:val="18"/>
                <w:lang w:val="en-GB"/>
              </w:rPr>
              <w:t>0.6</w:t>
            </w:r>
          </w:p>
        </w:tc>
        <w:tc>
          <w:tcPr>
            <w:tcW w:w="661" w:type="dxa"/>
            <w:tcBorders>
              <w:top w:val="single" w:sz="6" w:space="0" w:color="008000"/>
              <w:bottom w:val="single" w:sz="6" w:space="0" w:color="008000"/>
            </w:tcBorders>
            <w:shd w:val="clear" w:color="auto" w:fill="FFFFFF"/>
          </w:tcPr>
          <w:p w14:paraId="712B4C15" w14:textId="6F9A0CD6" w:rsidR="00276839" w:rsidRPr="00EF04E1" w:rsidRDefault="00276839" w:rsidP="00276839">
            <w:pPr>
              <w:pStyle w:val="CETBodytext"/>
              <w:ind w:right="-1"/>
              <w:rPr>
                <w:rFonts w:cs="Arial"/>
                <w:szCs w:val="18"/>
                <w:lang w:val="en-GB"/>
              </w:rPr>
            </w:pPr>
            <w:r w:rsidRPr="00EF04E1">
              <w:rPr>
                <w:rFonts w:cs="Arial"/>
                <w:szCs w:val="18"/>
                <w:lang w:val="en-GB"/>
              </w:rPr>
              <w:t>3.1</w:t>
            </w:r>
          </w:p>
        </w:tc>
        <w:tc>
          <w:tcPr>
            <w:tcW w:w="662" w:type="dxa"/>
            <w:tcBorders>
              <w:top w:val="single" w:sz="6" w:space="0" w:color="008000"/>
              <w:bottom w:val="single" w:sz="6" w:space="0" w:color="008000"/>
            </w:tcBorders>
            <w:shd w:val="clear" w:color="auto" w:fill="FFFFFF"/>
          </w:tcPr>
          <w:p w14:paraId="2512A476" w14:textId="77F464F5" w:rsidR="00276839" w:rsidRPr="00EF04E1" w:rsidRDefault="00276839" w:rsidP="00276839">
            <w:pPr>
              <w:pStyle w:val="CETBodytext"/>
              <w:ind w:right="-1"/>
              <w:rPr>
                <w:rFonts w:cs="Arial"/>
                <w:szCs w:val="18"/>
                <w:lang w:val="en-GB"/>
              </w:rPr>
            </w:pPr>
            <w:r w:rsidRPr="00EF04E1">
              <w:rPr>
                <w:rFonts w:cs="Arial"/>
                <w:szCs w:val="18"/>
                <w:lang w:val="en-GB"/>
              </w:rPr>
              <w:t>0.6</w:t>
            </w:r>
          </w:p>
        </w:tc>
        <w:tc>
          <w:tcPr>
            <w:tcW w:w="661" w:type="dxa"/>
            <w:tcBorders>
              <w:top w:val="single" w:sz="6" w:space="0" w:color="008000"/>
              <w:bottom w:val="single" w:sz="6" w:space="0" w:color="008000"/>
            </w:tcBorders>
            <w:shd w:val="clear" w:color="auto" w:fill="FFFFFF"/>
          </w:tcPr>
          <w:p w14:paraId="5A4A2938" w14:textId="22721F1A" w:rsidR="00276839" w:rsidRPr="00EF04E1" w:rsidRDefault="00276839" w:rsidP="00276839">
            <w:pPr>
              <w:pStyle w:val="CETBodytext"/>
              <w:ind w:right="-1"/>
              <w:rPr>
                <w:rFonts w:cs="Arial"/>
                <w:szCs w:val="18"/>
                <w:lang w:val="en-GB"/>
              </w:rPr>
            </w:pPr>
            <w:r w:rsidRPr="00EF04E1">
              <w:rPr>
                <w:rFonts w:cs="Arial"/>
                <w:szCs w:val="18"/>
                <w:lang w:val="en-GB"/>
              </w:rPr>
              <w:t>75.2</w:t>
            </w:r>
          </w:p>
        </w:tc>
        <w:tc>
          <w:tcPr>
            <w:tcW w:w="662" w:type="dxa"/>
            <w:tcBorders>
              <w:top w:val="single" w:sz="6" w:space="0" w:color="008000"/>
              <w:bottom w:val="single" w:sz="6" w:space="0" w:color="008000"/>
            </w:tcBorders>
            <w:shd w:val="clear" w:color="auto" w:fill="FFFFFF"/>
          </w:tcPr>
          <w:p w14:paraId="48D33FA3" w14:textId="34A1B330" w:rsidR="00276839" w:rsidRPr="00EF04E1" w:rsidRDefault="00276839" w:rsidP="00276839">
            <w:pPr>
              <w:pStyle w:val="CETBodytext"/>
              <w:ind w:right="-1"/>
              <w:rPr>
                <w:rFonts w:cs="Arial"/>
                <w:szCs w:val="18"/>
                <w:lang w:val="en-GB"/>
              </w:rPr>
            </w:pPr>
            <w:r w:rsidRPr="00EF04E1">
              <w:rPr>
                <w:rFonts w:cs="Arial"/>
                <w:szCs w:val="18"/>
                <w:lang w:val="en-GB"/>
              </w:rPr>
              <w:t>3.7</w:t>
            </w:r>
          </w:p>
        </w:tc>
        <w:tc>
          <w:tcPr>
            <w:tcW w:w="898" w:type="dxa"/>
            <w:tcBorders>
              <w:top w:val="single" w:sz="6" w:space="0" w:color="008000"/>
              <w:bottom w:val="single" w:sz="6" w:space="0" w:color="008000"/>
            </w:tcBorders>
            <w:shd w:val="clear" w:color="auto" w:fill="FFFFFF"/>
          </w:tcPr>
          <w:p w14:paraId="2F08C9EA" w14:textId="2A57D3E6" w:rsidR="00276839" w:rsidRPr="00EF04E1" w:rsidRDefault="00276839" w:rsidP="00276839">
            <w:pPr>
              <w:pStyle w:val="CETBodytext"/>
              <w:ind w:right="-1"/>
              <w:rPr>
                <w:rFonts w:cs="Arial"/>
                <w:szCs w:val="18"/>
                <w:lang w:val="en-GB"/>
              </w:rPr>
            </w:pPr>
            <w:r w:rsidRPr="00EF04E1">
              <w:rPr>
                <w:rFonts w:cs="Arial"/>
                <w:szCs w:val="18"/>
                <w:lang w:val="en-GB"/>
              </w:rPr>
              <w:t>3</w:t>
            </w:r>
          </w:p>
        </w:tc>
      </w:tr>
      <w:tr w:rsidR="00276839" w:rsidRPr="00EF04E1" w14:paraId="157FEACA" w14:textId="7F36D206" w:rsidTr="00276839">
        <w:tc>
          <w:tcPr>
            <w:tcW w:w="1985" w:type="dxa"/>
            <w:tcBorders>
              <w:top w:val="single" w:sz="6" w:space="0" w:color="008000"/>
            </w:tcBorders>
            <w:shd w:val="clear" w:color="auto" w:fill="FFFFFF"/>
          </w:tcPr>
          <w:p w14:paraId="487EAA3A" w14:textId="5EC5EDD8" w:rsidR="00276839" w:rsidRPr="00EF04E1" w:rsidRDefault="00276839" w:rsidP="00276839">
            <w:pPr>
              <w:pStyle w:val="CETBodytext"/>
              <w:rPr>
                <w:lang w:val="en-GB"/>
              </w:rPr>
            </w:pPr>
            <w:r w:rsidRPr="00EF04E1">
              <w:rPr>
                <w:lang w:val="en-GB"/>
              </w:rPr>
              <w:t>PE Normalized volume</w:t>
            </w:r>
          </w:p>
          <w:p w14:paraId="1EEAE150" w14:textId="3E554977" w:rsidR="00276839" w:rsidRPr="00EF04E1" w:rsidRDefault="00276839" w:rsidP="00276839">
            <w:pPr>
              <w:pStyle w:val="CETBodytext"/>
              <w:rPr>
                <w:lang w:val="en-GB"/>
              </w:rPr>
            </w:pPr>
            <w:r w:rsidRPr="00EF04E1">
              <w:rPr>
                <w:lang w:val="en-GB"/>
              </w:rPr>
              <w:t>content (vol.%)</w:t>
            </w:r>
          </w:p>
        </w:tc>
        <w:tc>
          <w:tcPr>
            <w:tcW w:w="661" w:type="dxa"/>
            <w:tcBorders>
              <w:top w:val="single" w:sz="6" w:space="0" w:color="008000"/>
            </w:tcBorders>
            <w:shd w:val="clear" w:color="auto" w:fill="FFFFFF"/>
          </w:tcPr>
          <w:p w14:paraId="33D27555" w14:textId="0E6B9533" w:rsidR="00276839" w:rsidRPr="00EF04E1" w:rsidRDefault="00276839" w:rsidP="00276839">
            <w:pPr>
              <w:pStyle w:val="CETBodytext"/>
              <w:rPr>
                <w:lang w:val="en-GB"/>
              </w:rPr>
            </w:pPr>
            <w:r w:rsidRPr="00EF04E1">
              <w:rPr>
                <w:lang w:val="en-GB"/>
              </w:rPr>
              <w:t>0.9</w:t>
            </w:r>
          </w:p>
        </w:tc>
        <w:tc>
          <w:tcPr>
            <w:tcW w:w="661" w:type="dxa"/>
            <w:tcBorders>
              <w:top w:val="single" w:sz="6" w:space="0" w:color="008000"/>
            </w:tcBorders>
            <w:shd w:val="clear" w:color="auto" w:fill="FFFFFF"/>
          </w:tcPr>
          <w:p w14:paraId="2BEC0B5B" w14:textId="50476DFD" w:rsidR="00276839" w:rsidRPr="00EF04E1" w:rsidRDefault="00276839" w:rsidP="00276839">
            <w:pPr>
              <w:pStyle w:val="CETBodytext"/>
              <w:rPr>
                <w:lang w:val="en-GB"/>
              </w:rPr>
            </w:pPr>
            <w:r w:rsidRPr="00EF04E1">
              <w:rPr>
                <w:lang w:val="en-GB"/>
              </w:rPr>
              <w:t>0</w:t>
            </w:r>
          </w:p>
        </w:tc>
        <w:tc>
          <w:tcPr>
            <w:tcW w:w="662" w:type="dxa"/>
            <w:tcBorders>
              <w:top w:val="single" w:sz="6" w:space="0" w:color="008000"/>
            </w:tcBorders>
            <w:shd w:val="clear" w:color="auto" w:fill="FFFFFF"/>
          </w:tcPr>
          <w:p w14:paraId="197C74DB" w14:textId="6C17C1C5" w:rsidR="00276839" w:rsidRPr="00EF04E1" w:rsidRDefault="00276839" w:rsidP="00276839">
            <w:pPr>
              <w:pStyle w:val="CETBodytext"/>
              <w:ind w:right="-1"/>
              <w:rPr>
                <w:rFonts w:cs="Arial"/>
                <w:szCs w:val="18"/>
                <w:lang w:val="en-GB"/>
              </w:rPr>
            </w:pPr>
            <w:r w:rsidRPr="00EF04E1">
              <w:rPr>
                <w:rFonts w:cs="Arial"/>
                <w:szCs w:val="18"/>
                <w:lang w:val="en-GB"/>
              </w:rPr>
              <w:t>11.4</w:t>
            </w:r>
          </w:p>
        </w:tc>
        <w:tc>
          <w:tcPr>
            <w:tcW w:w="661" w:type="dxa"/>
            <w:tcBorders>
              <w:top w:val="single" w:sz="6" w:space="0" w:color="008000"/>
            </w:tcBorders>
            <w:shd w:val="clear" w:color="auto" w:fill="FFFFFF"/>
          </w:tcPr>
          <w:p w14:paraId="569BC462" w14:textId="25B4C1BB" w:rsidR="00276839" w:rsidRPr="00EF04E1" w:rsidRDefault="00276839" w:rsidP="00276839">
            <w:pPr>
              <w:pStyle w:val="CETBodytext"/>
              <w:ind w:right="-1"/>
              <w:rPr>
                <w:rFonts w:cs="Arial"/>
                <w:szCs w:val="18"/>
                <w:lang w:val="en-GB"/>
              </w:rPr>
            </w:pPr>
            <w:r w:rsidRPr="00EF04E1">
              <w:rPr>
                <w:rFonts w:cs="Arial"/>
                <w:szCs w:val="18"/>
                <w:lang w:val="en-GB"/>
              </w:rPr>
              <w:t>9.5</w:t>
            </w:r>
          </w:p>
        </w:tc>
        <w:tc>
          <w:tcPr>
            <w:tcW w:w="662" w:type="dxa"/>
            <w:tcBorders>
              <w:top w:val="single" w:sz="6" w:space="0" w:color="008000"/>
            </w:tcBorders>
            <w:shd w:val="clear" w:color="auto" w:fill="FFFFFF"/>
          </w:tcPr>
          <w:p w14:paraId="6A4682BC" w14:textId="179FDA1C" w:rsidR="00276839" w:rsidRPr="00EF04E1" w:rsidRDefault="00276839" w:rsidP="00276839">
            <w:pPr>
              <w:pStyle w:val="CETBodytext"/>
              <w:ind w:right="-1"/>
              <w:rPr>
                <w:rFonts w:cs="Arial"/>
                <w:szCs w:val="18"/>
                <w:lang w:val="en-GB"/>
              </w:rPr>
            </w:pPr>
            <w:r w:rsidRPr="00EF04E1">
              <w:rPr>
                <w:rFonts w:cs="Arial"/>
                <w:szCs w:val="18"/>
                <w:lang w:val="en-GB"/>
              </w:rPr>
              <w:t>0.4</w:t>
            </w:r>
          </w:p>
        </w:tc>
        <w:tc>
          <w:tcPr>
            <w:tcW w:w="661" w:type="dxa"/>
            <w:tcBorders>
              <w:top w:val="single" w:sz="6" w:space="0" w:color="008000"/>
            </w:tcBorders>
            <w:shd w:val="clear" w:color="auto" w:fill="FFFFFF"/>
          </w:tcPr>
          <w:p w14:paraId="30C9C0BD" w14:textId="20916C25" w:rsidR="00276839" w:rsidRPr="00EF04E1" w:rsidRDefault="00276839" w:rsidP="00276839">
            <w:pPr>
              <w:pStyle w:val="CETBodytext"/>
              <w:ind w:right="-1"/>
              <w:rPr>
                <w:rFonts w:cs="Arial"/>
                <w:szCs w:val="18"/>
                <w:lang w:val="en-GB"/>
              </w:rPr>
            </w:pPr>
            <w:r w:rsidRPr="00EF04E1">
              <w:rPr>
                <w:rFonts w:cs="Arial"/>
                <w:szCs w:val="18"/>
                <w:lang w:val="en-GB"/>
              </w:rPr>
              <w:t>4.2</w:t>
            </w:r>
          </w:p>
        </w:tc>
        <w:tc>
          <w:tcPr>
            <w:tcW w:w="662" w:type="dxa"/>
            <w:tcBorders>
              <w:top w:val="single" w:sz="6" w:space="0" w:color="008000"/>
            </w:tcBorders>
            <w:shd w:val="clear" w:color="auto" w:fill="FFFFFF"/>
          </w:tcPr>
          <w:p w14:paraId="46F3E408" w14:textId="5FF61777" w:rsidR="00276839" w:rsidRPr="00EF04E1" w:rsidRDefault="00276839" w:rsidP="00276839">
            <w:pPr>
              <w:pStyle w:val="CETBodytext"/>
              <w:ind w:right="-1"/>
              <w:rPr>
                <w:rFonts w:cs="Arial"/>
                <w:szCs w:val="18"/>
                <w:lang w:val="en-GB"/>
              </w:rPr>
            </w:pPr>
            <w:r w:rsidRPr="00EF04E1">
              <w:rPr>
                <w:rFonts w:cs="Arial"/>
                <w:szCs w:val="18"/>
                <w:lang w:val="en-GB"/>
              </w:rPr>
              <w:t>0.5</w:t>
            </w:r>
          </w:p>
        </w:tc>
        <w:tc>
          <w:tcPr>
            <w:tcW w:w="661" w:type="dxa"/>
            <w:tcBorders>
              <w:top w:val="single" w:sz="6" w:space="0" w:color="008000"/>
            </w:tcBorders>
            <w:shd w:val="clear" w:color="auto" w:fill="FFFFFF"/>
          </w:tcPr>
          <w:p w14:paraId="58F0E088" w14:textId="39BC4BBE" w:rsidR="00276839" w:rsidRPr="00EF04E1" w:rsidRDefault="00276839" w:rsidP="00276839">
            <w:pPr>
              <w:pStyle w:val="CETBodytext"/>
              <w:ind w:right="-1"/>
              <w:rPr>
                <w:rFonts w:cs="Arial"/>
                <w:szCs w:val="18"/>
                <w:lang w:val="en-GB"/>
              </w:rPr>
            </w:pPr>
            <w:r w:rsidRPr="00EF04E1">
              <w:rPr>
                <w:rFonts w:cs="Arial"/>
                <w:szCs w:val="18"/>
                <w:lang w:val="en-GB"/>
              </w:rPr>
              <w:t>46.0</w:t>
            </w:r>
          </w:p>
        </w:tc>
        <w:tc>
          <w:tcPr>
            <w:tcW w:w="662" w:type="dxa"/>
            <w:tcBorders>
              <w:top w:val="single" w:sz="6" w:space="0" w:color="008000"/>
            </w:tcBorders>
            <w:shd w:val="clear" w:color="auto" w:fill="FFFFFF"/>
          </w:tcPr>
          <w:p w14:paraId="245DCE71" w14:textId="7B7FDAB2" w:rsidR="00276839" w:rsidRPr="00EF04E1" w:rsidRDefault="00276839" w:rsidP="00276839">
            <w:pPr>
              <w:pStyle w:val="CETBodytext"/>
              <w:ind w:right="-1"/>
              <w:rPr>
                <w:rFonts w:cs="Arial"/>
                <w:szCs w:val="18"/>
                <w:lang w:val="en-GB"/>
              </w:rPr>
            </w:pPr>
            <w:r w:rsidRPr="00EF04E1">
              <w:rPr>
                <w:rFonts w:cs="Arial"/>
                <w:szCs w:val="18"/>
                <w:lang w:val="en-GB"/>
              </w:rPr>
              <w:t>3.1</w:t>
            </w:r>
          </w:p>
        </w:tc>
        <w:tc>
          <w:tcPr>
            <w:tcW w:w="898" w:type="dxa"/>
            <w:tcBorders>
              <w:top w:val="single" w:sz="6" w:space="0" w:color="008000"/>
            </w:tcBorders>
            <w:shd w:val="clear" w:color="auto" w:fill="FFFFFF"/>
          </w:tcPr>
          <w:p w14:paraId="75241CF9" w14:textId="52119730" w:rsidR="00276839" w:rsidRPr="00EF04E1" w:rsidRDefault="00276839" w:rsidP="00276839">
            <w:pPr>
              <w:pStyle w:val="CETBodytext"/>
              <w:ind w:right="-1"/>
              <w:rPr>
                <w:rFonts w:cs="Arial"/>
                <w:szCs w:val="18"/>
                <w:lang w:val="en-GB"/>
              </w:rPr>
            </w:pPr>
            <w:r w:rsidRPr="00EF04E1">
              <w:rPr>
                <w:rFonts w:cs="Arial"/>
                <w:szCs w:val="18"/>
                <w:lang w:val="en-GB"/>
              </w:rPr>
              <w:t>24.1</w:t>
            </w:r>
          </w:p>
        </w:tc>
      </w:tr>
    </w:tbl>
    <w:p w14:paraId="2108796E" w14:textId="77777777" w:rsidR="006B69D2" w:rsidRDefault="006B69D2" w:rsidP="008F3453"/>
    <w:p w14:paraId="6F2A99C8" w14:textId="0BB9BEA0" w:rsidR="00294D9B" w:rsidRPr="008376FB" w:rsidRDefault="005011BD" w:rsidP="008376FB">
      <w:r>
        <w:t>L</w:t>
      </w:r>
      <w:r w:rsidR="00EE45F3" w:rsidRPr="00EE45F3">
        <w:t>ow quantit</w:t>
      </w:r>
      <w:r w:rsidR="00EE45F3">
        <w:t>ies</w:t>
      </w:r>
      <w:r w:rsidR="00EE45F3" w:rsidRPr="00EE45F3">
        <w:t xml:space="preserve"> of light permanent gases </w:t>
      </w:r>
      <w:r w:rsidR="00EE45F3">
        <w:t xml:space="preserve">are </w:t>
      </w:r>
      <w:r w:rsidR="00EE45F3" w:rsidRPr="00EE45F3">
        <w:t>generated (H</w:t>
      </w:r>
      <w:r w:rsidR="00EE45F3" w:rsidRPr="00EE45F3">
        <w:rPr>
          <w:vertAlign w:val="subscript"/>
        </w:rPr>
        <w:t>2</w:t>
      </w:r>
      <w:r w:rsidR="00EE45F3">
        <w:t>, CO, CH</w:t>
      </w:r>
      <w:r w:rsidR="00EE45F3" w:rsidRPr="00EE45F3">
        <w:rPr>
          <w:vertAlign w:val="subscript"/>
        </w:rPr>
        <w:t>4</w:t>
      </w:r>
      <w:r w:rsidR="00EE45F3" w:rsidRPr="00EE45F3">
        <w:t xml:space="preserve">...), which marks a notable difference with the </w:t>
      </w:r>
      <w:r w:rsidR="00EE45F3">
        <w:t>natural compounds, e.g. starch and cellulose, previously studied by Pietraccini et al. (2023)</w:t>
      </w:r>
      <w:r w:rsidR="00EE45F3" w:rsidRPr="00EE45F3">
        <w:t>. On the other hand, the C</w:t>
      </w:r>
      <w:r w:rsidR="00EE45F3" w:rsidRPr="00EE45F3">
        <w:rPr>
          <w:vertAlign w:val="subscript"/>
        </w:rPr>
        <w:t>3</w:t>
      </w:r>
      <w:r w:rsidR="00EE45F3" w:rsidRPr="00EE45F3">
        <w:t xml:space="preserve"> and aromatic content</w:t>
      </w:r>
      <w:r w:rsidR="00EE45F3">
        <w:t>s</w:t>
      </w:r>
      <w:r w:rsidR="00EE45F3" w:rsidRPr="00EE45F3">
        <w:t xml:space="preserve"> </w:t>
      </w:r>
      <w:r w:rsidR="00EE45F3">
        <w:t>(e.g. toluene, xylene) are</w:t>
      </w:r>
      <w:r w:rsidR="00EE45F3" w:rsidRPr="00EE45F3">
        <w:t xml:space="preserve"> </w:t>
      </w:r>
      <w:r>
        <w:t>remarkably</w:t>
      </w:r>
      <w:r w:rsidR="00EE45F3" w:rsidRPr="00EE45F3">
        <w:t xml:space="preserve"> high</w:t>
      </w:r>
      <w:r w:rsidR="00EE45F3">
        <w:t xml:space="preserve">. </w:t>
      </w:r>
      <w:r>
        <w:t>For polystyrene, it should be noted that the microGC was not calibrated to identify neither styrene, nor methylstyren</w:t>
      </w:r>
      <w:r w:rsidRPr="005011BD">
        <w:t>e C</w:t>
      </w:r>
      <w:r w:rsidRPr="005011BD">
        <w:rPr>
          <w:vertAlign w:val="subscript"/>
        </w:rPr>
        <w:t>9</w:t>
      </w:r>
      <w:r w:rsidRPr="005011BD">
        <w:t>H</w:t>
      </w:r>
      <w:r w:rsidRPr="005011BD">
        <w:rPr>
          <w:vertAlign w:val="subscript"/>
        </w:rPr>
        <w:t>12</w:t>
      </w:r>
      <w:r w:rsidRPr="005011BD">
        <w:t>, which are two main products of PS pyrolysis</w:t>
      </w:r>
      <w:r>
        <w:t xml:space="preserve"> (Artetxe et al., 2015)</w:t>
      </w:r>
      <w:r w:rsidRPr="005011BD">
        <w:t xml:space="preserve">. </w:t>
      </w:r>
      <w:r w:rsidR="00C27D62" w:rsidRPr="00C27D62">
        <w:t xml:space="preserve">In the case of polyethylene, the low quantity of ethylene generated is due to the low </w:t>
      </w:r>
      <w:r w:rsidR="00C27D62">
        <w:t>test</w:t>
      </w:r>
      <w:r w:rsidR="00BF0FA9">
        <w:t>-</w:t>
      </w:r>
      <w:r w:rsidR="00C27D62" w:rsidRPr="00C27D62">
        <w:t>temperature</w:t>
      </w:r>
      <w:r w:rsidR="00C27D62">
        <w:t xml:space="preserve"> (500 °C)</w:t>
      </w:r>
      <w:r w:rsidR="00C27D62" w:rsidRPr="00C27D62">
        <w:t xml:space="preserve">. </w:t>
      </w:r>
      <w:r w:rsidR="00C27D62">
        <w:t>Experiments</w:t>
      </w:r>
      <w:r w:rsidR="00C27D62" w:rsidRPr="00C27D62">
        <w:t xml:space="preserve"> at higher temperatures show a</w:t>
      </w:r>
      <w:r w:rsidR="00DC3C91">
        <w:t xml:space="preserve"> significant</w:t>
      </w:r>
      <w:r w:rsidR="00C27D62" w:rsidRPr="00C27D62">
        <w:t xml:space="preserve"> increase in </w:t>
      </w:r>
      <w:r w:rsidR="00C27D62">
        <w:t>C</w:t>
      </w:r>
      <w:r w:rsidR="00C27D62" w:rsidRPr="00C27D62">
        <w:rPr>
          <w:vertAlign w:val="subscript"/>
        </w:rPr>
        <w:t>2</w:t>
      </w:r>
      <w:r w:rsidR="00C27D62">
        <w:t>H</w:t>
      </w:r>
      <w:r w:rsidR="00C27D62" w:rsidRPr="00C27D62">
        <w:rPr>
          <w:vertAlign w:val="subscript"/>
        </w:rPr>
        <w:t>4</w:t>
      </w:r>
      <w:r w:rsidR="00C27D62" w:rsidRPr="00C27D62">
        <w:t xml:space="preserve"> concentration. However, </w:t>
      </w:r>
      <w:r w:rsidR="00C27D62">
        <w:t>Table 3 shows that heavier</w:t>
      </w:r>
      <w:r w:rsidR="00C27D62" w:rsidRPr="00C27D62">
        <w:t xml:space="preserve"> compounds</w:t>
      </w:r>
      <w:r w:rsidR="00C27D62">
        <w:t xml:space="preserve">, especially aromatics (here </w:t>
      </w:r>
      <w:r w:rsidR="00C27D62">
        <w:lastRenderedPageBreak/>
        <w:t>toluene)</w:t>
      </w:r>
      <w:r w:rsidR="00C27D62" w:rsidRPr="00C27D62">
        <w:t xml:space="preserve"> </w:t>
      </w:r>
      <w:r w:rsidR="00C27D62">
        <w:t>should also be considered. Presence of carbon monoxide and dioxide, which can be surprising for PE, is confirmed by other studies and may be due to the presence of additives or adsorbed air (Ouiminga et al., 2009). Despite the</w:t>
      </w:r>
      <w:r w:rsidRPr="005011BD">
        <w:t xml:space="preserve"> large quantities of tar and incondensable compounds</w:t>
      </w:r>
      <w:r w:rsidR="00C27D62">
        <w:t>,</w:t>
      </w:r>
      <w:r w:rsidRPr="005011BD">
        <w:t xml:space="preserve"> </w:t>
      </w:r>
      <w:r w:rsidR="00C27D62">
        <w:t xml:space="preserve">the </w:t>
      </w:r>
      <w:r w:rsidRPr="005011BD">
        <w:t xml:space="preserve">analysis will </w:t>
      </w:r>
      <w:r w:rsidR="00C27D62">
        <w:t xml:space="preserve">mainly </w:t>
      </w:r>
      <w:r w:rsidRPr="005011BD">
        <w:t xml:space="preserve">focus on lighter </w:t>
      </w:r>
      <w:r w:rsidR="00C27D62">
        <w:t>species</w:t>
      </w:r>
      <w:r w:rsidRPr="005011BD">
        <w:t xml:space="preserve">, as </w:t>
      </w:r>
      <w:r w:rsidR="0070126A">
        <w:t>such heavy compounds will eventually decompose into light</w:t>
      </w:r>
      <w:r w:rsidR="0070126A" w:rsidRPr="0070126A">
        <w:t xml:space="preserve"> C</w:t>
      </w:r>
      <w:r w:rsidR="0070126A" w:rsidRPr="0070126A">
        <w:rPr>
          <w:vertAlign w:val="subscript"/>
        </w:rPr>
        <w:t>1</w:t>
      </w:r>
      <w:r w:rsidR="0070126A" w:rsidRPr="0070126A">
        <w:t>-C</w:t>
      </w:r>
      <w:r w:rsidR="0070126A" w:rsidRPr="0070126A">
        <w:rPr>
          <w:vertAlign w:val="subscript"/>
        </w:rPr>
        <w:t>4</w:t>
      </w:r>
      <w:r w:rsidR="0070126A" w:rsidRPr="0070126A">
        <w:t xml:space="preserve"> gaseous hydrocarbons</w:t>
      </w:r>
      <w:r w:rsidR="0070126A">
        <w:t xml:space="preserve"> at higher temperature, e.g. </w:t>
      </w:r>
      <w:r w:rsidRPr="005011BD">
        <w:t>during an explosion</w:t>
      </w:r>
      <w:r w:rsidR="0070126A">
        <w:t xml:space="preserve"> (Jiang et al., 2024)</w:t>
      </w:r>
      <w:r w:rsidRPr="005011BD">
        <w:t>.</w:t>
      </w:r>
      <w:r w:rsidR="008376FB">
        <w:t xml:space="preserve"> By changing both the oven temperature and residence time, </w:t>
      </w:r>
      <w:r w:rsidR="00294D9B" w:rsidRPr="00294D9B">
        <w:rPr>
          <w:iCs/>
        </w:rPr>
        <w:t>lumped pyrolysis mechanism</w:t>
      </w:r>
      <w:r w:rsidR="008376FB">
        <w:rPr>
          <w:iCs/>
        </w:rPr>
        <w:t>s can be</w:t>
      </w:r>
      <w:r w:rsidR="00294D9B" w:rsidRPr="00294D9B">
        <w:rPr>
          <w:iCs/>
        </w:rPr>
        <w:t xml:space="preserve"> </w:t>
      </w:r>
      <w:r w:rsidR="008376FB">
        <w:rPr>
          <w:iCs/>
        </w:rPr>
        <w:t>propos</w:t>
      </w:r>
      <w:r w:rsidR="00294D9B" w:rsidRPr="00294D9B">
        <w:rPr>
          <w:iCs/>
        </w:rPr>
        <w:t>ed implemented and coupled to oxidation reactions of the pyrolysis gases.</w:t>
      </w:r>
      <w:r w:rsidR="008376FB">
        <w:rPr>
          <w:iCs/>
        </w:rPr>
        <w:t xml:space="preserve"> S</w:t>
      </w:r>
      <w:r w:rsidR="008376FB" w:rsidRPr="008376FB">
        <w:rPr>
          <w:iCs/>
        </w:rPr>
        <w:t>uch an approach has already been applied to cellulose and starch</w:t>
      </w:r>
      <w:r w:rsidR="008376FB">
        <w:rPr>
          <w:iCs/>
        </w:rPr>
        <w:t xml:space="preserve"> (</w:t>
      </w:r>
      <w:r w:rsidR="008376FB" w:rsidRPr="00294D9B">
        <w:rPr>
          <w:iCs/>
        </w:rPr>
        <w:t>Pietraccini et al.</w:t>
      </w:r>
      <w:r w:rsidR="008376FB">
        <w:rPr>
          <w:iCs/>
        </w:rPr>
        <w:t xml:space="preserve">, </w:t>
      </w:r>
      <w:r w:rsidR="008376FB" w:rsidRPr="00294D9B">
        <w:rPr>
          <w:iCs/>
        </w:rPr>
        <w:t>2023)</w:t>
      </w:r>
      <w:r w:rsidR="008376FB">
        <w:rPr>
          <w:iCs/>
        </w:rPr>
        <w:t xml:space="preserve"> </w:t>
      </w:r>
      <w:r w:rsidR="008376FB" w:rsidRPr="008376FB">
        <w:rPr>
          <w:iCs/>
        </w:rPr>
        <w:t>and will be extended to</w:t>
      </w:r>
      <w:r w:rsidR="008376FB">
        <w:rPr>
          <w:iCs/>
        </w:rPr>
        <w:t xml:space="preserve"> synthetic polymers</w:t>
      </w:r>
      <w:r w:rsidR="00294D9B" w:rsidRPr="00294D9B">
        <w:rPr>
          <w:iCs/>
        </w:rPr>
        <w:t>.</w:t>
      </w:r>
    </w:p>
    <w:p w14:paraId="68D26B83" w14:textId="77777777" w:rsidR="00600535" w:rsidRPr="00B57B36" w:rsidRDefault="00600535" w:rsidP="00600535">
      <w:pPr>
        <w:pStyle w:val="CETHeading1"/>
        <w:rPr>
          <w:lang w:val="en-GB"/>
        </w:rPr>
      </w:pPr>
      <w:r w:rsidRPr="00B57B36">
        <w:rPr>
          <w:lang w:val="en-GB"/>
        </w:rPr>
        <w:t>Conclusions</w:t>
      </w:r>
    </w:p>
    <w:p w14:paraId="44AAC717" w14:textId="26FD6E52" w:rsidR="0070126A" w:rsidRPr="00A97205" w:rsidRDefault="006B69D2" w:rsidP="006B69D2">
      <w:pPr>
        <w:pStyle w:val="CETBodytext"/>
      </w:pPr>
      <w:r>
        <w:rPr>
          <w:lang w:val="en-GB"/>
        </w:rPr>
        <w:t>F</w:t>
      </w:r>
      <w:r w:rsidRPr="006B69D2">
        <w:rPr>
          <w:lang w:val="en-GB"/>
        </w:rPr>
        <w:t xml:space="preserve">oundations have been laid for </w:t>
      </w:r>
      <w:r>
        <w:rPr>
          <w:lang w:val="en-GB"/>
        </w:rPr>
        <w:t>the</w:t>
      </w:r>
      <w:r w:rsidRPr="006B69D2">
        <w:rPr>
          <w:lang w:val="en-GB"/>
        </w:rPr>
        <w:t xml:space="preserve"> numerical simulation of polymer powder explosions.</w:t>
      </w:r>
      <w:r>
        <w:rPr>
          <w:lang w:val="en-GB"/>
        </w:rPr>
        <w:t xml:space="preserve"> </w:t>
      </w:r>
      <w:r w:rsidRPr="006B69D2">
        <w:rPr>
          <w:lang w:val="en-GB"/>
        </w:rPr>
        <w:t xml:space="preserve">In parallel with the development of </w:t>
      </w:r>
      <w:r>
        <w:rPr>
          <w:lang w:val="en-GB"/>
        </w:rPr>
        <w:t>CFD</w:t>
      </w:r>
      <w:r w:rsidRPr="006B69D2">
        <w:rPr>
          <w:lang w:val="en-GB"/>
        </w:rPr>
        <w:t xml:space="preserve"> aspects, the choice of turbulence models and mesh</w:t>
      </w:r>
      <w:r>
        <w:rPr>
          <w:lang w:val="en-GB"/>
        </w:rPr>
        <w:t xml:space="preserve"> generation</w:t>
      </w:r>
      <w:r w:rsidRPr="006B69D2">
        <w:rPr>
          <w:lang w:val="en-GB"/>
        </w:rPr>
        <w:t xml:space="preserve">, </w:t>
      </w:r>
      <w:r>
        <w:rPr>
          <w:lang w:val="en-GB"/>
        </w:rPr>
        <w:t xml:space="preserve">preliminary experiments were done on polystyrene and polyethylene dusts. They </w:t>
      </w:r>
      <w:r w:rsidR="00C1565B" w:rsidRPr="006B69D2">
        <w:rPr>
          <w:lang w:val="en-GB"/>
        </w:rPr>
        <w:t xml:space="preserve">suggest that </w:t>
      </w:r>
      <w:r>
        <w:rPr>
          <w:lang w:val="en-GB"/>
        </w:rPr>
        <w:t xml:space="preserve">the development of </w:t>
      </w:r>
      <w:r w:rsidR="00C1565B" w:rsidRPr="006B69D2">
        <w:rPr>
          <w:lang w:val="en-GB"/>
        </w:rPr>
        <w:t xml:space="preserve">new mechanisms </w:t>
      </w:r>
      <w:r>
        <w:rPr>
          <w:lang w:val="en-GB"/>
        </w:rPr>
        <w:t xml:space="preserve">representing the </w:t>
      </w:r>
      <w:r w:rsidR="00C1565B" w:rsidRPr="006B69D2">
        <w:rPr>
          <w:lang w:val="en-GB"/>
        </w:rPr>
        <w:t>flash pyrolysis</w:t>
      </w:r>
      <w:r>
        <w:rPr>
          <w:lang w:val="en-GB"/>
        </w:rPr>
        <w:t xml:space="preserve"> of polymer is needed</w:t>
      </w:r>
      <w:r w:rsidR="00C1565B" w:rsidRPr="006B69D2">
        <w:rPr>
          <w:lang w:val="en-GB"/>
        </w:rPr>
        <w:t>.</w:t>
      </w:r>
      <w:r w:rsidRPr="006B69D2">
        <w:t xml:space="preserve"> </w:t>
      </w:r>
      <w:r w:rsidRPr="006B69D2">
        <w:rPr>
          <w:lang w:val="en-GB"/>
        </w:rPr>
        <w:t>From a kinetic point of view, the pyrolysis stage cannot be neglected</w:t>
      </w:r>
      <w:r>
        <w:rPr>
          <w:lang w:val="en-GB"/>
        </w:rPr>
        <w:t xml:space="preserve"> and </w:t>
      </w:r>
      <w:r w:rsidR="00C1565B" w:rsidRPr="006B69D2">
        <w:rPr>
          <w:lang w:val="en-GB"/>
        </w:rPr>
        <w:t>basic devolatilization reactions</w:t>
      </w:r>
      <w:r>
        <w:rPr>
          <w:lang w:val="en-GB"/>
        </w:rPr>
        <w:t xml:space="preserve"> (e.g. depolymerization reaction or generation of light gases only) seem</w:t>
      </w:r>
      <w:r w:rsidR="00C1565B" w:rsidRPr="006B69D2">
        <w:rPr>
          <w:lang w:val="en-GB"/>
        </w:rPr>
        <w:t xml:space="preserve"> inadequate. </w:t>
      </w:r>
      <w:r>
        <w:rPr>
          <w:lang w:val="en-GB"/>
        </w:rPr>
        <w:t>Indeed, t</w:t>
      </w:r>
      <w:r w:rsidR="00C1565B" w:rsidRPr="006B69D2">
        <w:rPr>
          <w:lang w:val="en-GB"/>
        </w:rPr>
        <w:t>he range of chemical species involved is significantly broade</w:t>
      </w:r>
      <w:r>
        <w:rPr>
          <w:lang w:val="en-GB"/>
        </w:rPr>
        <w:t>r, as demonstrated by flash pyrolysis tests</w:t>
      </w:r>
      <w:r w:rsidR="00C1565B" w:rsidRPr="006B69D2">
        <w:rPr>
          <w:lang w:val="en-GB"/>
        </w:rPr>
        <w:t xml:space="preserve">. </w:t>
      </w:r>
      <w:r>
        <w:rPr>
          <w:lang w:val="en-GB"/>
        </w:rPr>
        <w:t>N</w:t>
      </w:r>
      <w:r w:rsidRPr="006B69D2">
        <w:rPr>
          <w:lang w:val="en-GB"/>
        </w:rPr>
        <w:t>evertheless, there are some simplification possibilities, such as neglecting the fragmentation of polymer powders during</w:t>
      </w:r>
      <w:r>
        <w:rPr>
          <w:lang w:val="en-GB"/>
        </w:rPr>
        <w:t xml:space="preserve"> their</w:t>
      </w:r>
      <w:r w:rsidRPr="006B69D2">
        <w:rPr>
          <w:lang w:val="en-GB"/>
        </w:rPr>
        <w:t xml:space="preserve"> injection</w:t>
      </w:r>
      <w:r>
        <w:rPr>
          <w:lang w:val="en-GB"/>
        </w:rPr>
        <w:t xml:space="preserve"> in the 20L sphere</w:t>
      </w:r>
      <w:r w:rsidRPr="006B69D2">
        <w:rPr>
          <w:lang w:val="en-GB"/>
        </w:rPr>
        <w:t>.</w:t>
      </w:r>
      <w:r w:rsidR="00A97205">
        <w:rPr>
          <w:lang w:val="en-GB"/>
        </w:rPr>
        <w:t xml:space="preserve"> </w:t>
      </w:r>
    </w:p>
    <w:p w14:paraId="4F1327F8" w14:textId="22C43BDB" w:rsidR="00600535" w:rsidRPr="00B57B36" w:rsidRDefault="00600535" w:rsidP="00600535">
      <w:pPr>
        <w:pStyle w:val="CETReference"/>
      </w:pPr>
      <w:r w:rsidRPr="00B57B36">
        <w:t>References</w:t>
      </w:r>
      <w:r w:rsidR="006B69D2">
        <w:t xml:space="preserve"> </w:t>
      </w:r>
    </w:p>
    <w:p w14:paraId="7CEF6FF4" w14:textId="6FDAAD49" w:rsidR="005011BD" w:rsidRPr="006C79B0" w:rsidRDefault="005011BD" w:rsidP="005011BD">
      <w:pPr>
        <w:pStyle w:val="CETReferencetext"/>
      </w:pPr>
      <w:r w:rsidRPr="006C79B0">
        <w:t>Artetxe M., Lopez G., Amutio M., Barbarias I., Arregi A., Aguado R., Bilbao J., Olazar M., 2015, Styrene recovery from polystyrene by flash pyrolysis in a conical spouted bed reactor, Waste Management, 45, 126-133.</w:t>
      </w:r>
    </w:p>
    <w:p w14:paraId="445C4DE4" w14:textId="34B77425" w:rsidR="0017762E" w:rsidRPr="006C79B0" w:rsidRDefault="0017762E" w:rsidP="005011BD">
      <w:pPr>
        <w:pStyle w:val="CETReferencetext"/>
      </w:pPr>
      <w:r w:rsidRPr="006C79B0">
        <w:t>Bind V.K., Roy S., Rajagopal C., 2012, A reaction engineering approach to modeling dust explosions, Chem. Eng. J</w:t>
      </w:r>
      <w:r w:rsidR="00D52620" w:rsidRPr="006C79B0">
        <w:t>.</w:t>
      </w:r>
      <w:r w:rsidRPr="006C79B0">
        <w:t>, 625-634.</w:t>
      </w:r>
    </w:p>
    <w:p w14:paraId="24C4492F" w14:textId="0334FDE6" w:rsidR="00856C40" w:rsidRPr="006C79B0" w:rsidRDefault="00856C40" w:rsidP="00856C40">
      <w:pPr>
        <w:pStyle w:val="CETReferencetext"/>
      </w:pPr>
      <w:r w:rsidRPr="006C79B0">
        <w:t>Islas A., Fernández A.R., Betegón C., Martínez-Pañeda E., Pandal A.</w:t>
      </w:r>
      <w:r w:rsidR="00C25445" w:rsidRPr="006C79B0">
        <w:t>, 2022,</w:t>
      </w:r>
      <w:r w:rsidRPr="006C79B0">
        <w:t xml:space="preserve"> Computational assessment of biomass dust explosions in the 20L sphere</w:t>
      </w:r>
      <w:r w:rsidR="00C25445" w:rsidRPr="006C79B0">
        <w:t xml:space="preserve">, </w:t>
      </w:r>
      <w:r w:rsidRPr="006C79B0">
        <w:t>Process Saf. Environ. Prot., 165, 791-814.</w:t>
      </w:r>
    </w:p>
    <w:p w14:paraId="752F1605" w14:textId="77777777" w:rsidR="0017762E" w:rsidRPr="006C79B0" w:rsidRDefault="0017762E" w:rsidP="0017762E">
      <w:pPr>
        <w:pStyle w:val="CETReferencetext"/>
      </w:pPr>
      <w:r w:rsidRPr="006C79B0">
        <w:t>Islas A., Fernández A.R., Betegón C., Martínez-Pañeda E., Pandal A., 2023, Biomass dust explosions: CFD simulations and venting experiments in a 1 m</w:t>
      </w:r>
      <w:r w:rsidRPr="006C79B0">
        <w:rPr>
          <w:vertAlign w:val="superscript"/>
        </w:rPr>
        <w:t>3</w:t>
      </w:r>
      <w:r w:rsidRPr="006C79B0">
        <w:t xml:space="preserve"> silo, Process Saf. Environ. Prot., 176, 1048-1062.</w:t>
      </w:r>
    </w:p>
    <w:p w14:paraId="62B0D160" w14:textId="77777777" w:rsidR="0017762E" w:rsidRPr="006C79B0" w:rsidRDefault="0017762E" w:rsidP="0017762E">
      <w:pPr>
        <w:pStyle w:val="CETReferencetext"/>
      </w:pPr>
      <w:r w:rsidRPr="006C79B0">
        <w:t>Jiang B., Li J.J., Su M., Lu K., Yu C.F., Yang T., Yao Q., Ding D., 2024, Study on flame properties and molecular dynamics of MAP suppression for polyethylene dust explosion, Fuel, 366, 131347.</w:t>
      </w:r>
    </w:p>
    <w:p w14:paraId="5FBB7DF1" w14:textId="550DAD1D" w:rsidR="009F03C0" w:rsidRPr="006C79B0" w:rsidRDefault="009F03C0" w:rsidP="009F03C0">
      <w:pPr>
        <w:pStyle w:val="CETReferencetext"/>
      </w:pPr>
      <w:r w:rsidRPr="006C79B0">
        <w:t>Khan A.M., Mohalik N.K., Ray S.K., Mishra D., Pandey J.K., Mandal S., 2024, Multiphase CFD simulation of coal dust dispersion and explosion in a 20 L explosion chamber, Lecture Notes in Mech</w:t>
      </w:r>
      <w:r w:rsidR="00C27D62" w:rsidRPr="006C79B0">
        <w:t>.</w:t>
      </w:r>
      <w:r w:rsidRPr="006C79B0">
        <w:t xml:space="preserve"> Eng</w:t>
      </w:r>
      <w:r w:rsidR="00C27D62" w:rsidRPr="006C79B0">
        <w:t>.</w:t>
      </w:r>
      <w:r w:rsidRPr="006C79B0">
        <w:t>, 547 – 557.</w:t>
      </w:r>
    </w:p>
    <w:p w14:paraId="5EFFE450" w14:textId="77777777" w:rsidR="0017762E" w:rsidRDefault="0017762E" w:rsidP="0017762E">
      <w:pPr>
        <w:pStyle w:val="CETReferencetext"/>
      </w:pPr>
      <w:r w:rsidRPr="006C79B0">
        <w:t>Li H., Chen X., Deng J., Shu C.M., Kuo C.H., Yu Y., Hu X., 2020, CFD analysis and experimental study on the effect of oxygen level, particle size, and dust concentration on the flame evolution characteristics and explosion severity of cornstarch dust cloud deflagration in a spherical chamber, Powd. Tech, 372, 585-599.</w:t>
      </w:r>
    </w:p>
    <w:p w14:paraId="128680C5" w14:textId="58C372D2" w:rsidR="00917FBC" w:rsidRPr="006C79B0" w:rsidRDefault="00917FBC" w:rsidP="0017762E">
      <w:pPr>
        <w:pStyle w:val="CETReferencetext"/>
      </w:pPr>
      <w:r w:rsidRPr="00917FBC">
        <w:t>Murillo C., 2016</w:t>
      </w:r>
      <w:r>
        <w:t>,</w:t>
      </w:r>
      <w:r w:rsidRPr="00917FBC">
        <w:t xml:space="preserve"> Experimental and numerical approaches to particles dispersion in a turbulent flow: application to dust explosions (PhD Thesis). Université de Lorraine, France.</w:t>
      </w:r>
    </w:p>
    <w:p w14:paraId="1C452F7C" w14:textId="77777777" w:rsidR="00D52620" w:rsidRPr="006C79B0" w:rsidRDefault="00D52620" w:rsidP="00D52620">
      <w:pPr>
        <w:pStyle w:val="CETReferencetext"/>
        <w:rPr>
          <w:lang w:val="en-US"/>
        </w:rPr>
      </w:pPr>
      <w:r w:rsidRPr="006C79B0">
        <w:rPr>
          <w:lang w:val="en-US"/>
        </w:rPr>
        <w:t xml:space="preserve">Ouiminga S.K., Rogaume T., Sougoti M., Commandre J.M., Koulidiati J., 2009, </w:t>
      </w:r>
      <w:r w:rsidRPr="006C79B0">
        <w:t>Experimental characterization of gaseous species emitted by the fast pyrolysis of biomass and polyethylene, J. Anal. Appl. Pyrolysis</w:t>
      </w:r>
      <w:r w:rsidRPr="006C79B0">
        <w:rPr>
          <w:lang w:val="en-US"/>
        </w:rPr>
        <w:t xml:space="preserve">, </w:t>
      </w:r>
      <w:r w:rsidRPr="006C79B0">
        <w:t>86, 2,</w:t>
      </w:r>
      <w:r w:rsidRPr="006C79B0">
        <w:rPr>
          <w:lang w:val="en-US"/>
        </w:rPr>
        <w:t xml:space="preserve"> </w:t>
      </w:r>
      <w:r w:rsidRPr="006C79B0">
        <w:t>260-268.</w:t>
      </w:r>
    </w:p>
    <w:p w14:paraId="19384833" w14:textId="3F4D03A5" w:rsidR="00856C40" w:rsidRPr="006C79B0" w:rsidRDefault="00856C40" w:rsidP="00856C40">
      <w:pPr>
        <w:pStyle w:val="CETReferencetext"/>
      </w:pPr>
      <w:r w:rsidRPr="006C79B0">
        <w:t>Pico P., Ratkovich N., Muñoz F., Dufaud O.</w:t>
      </w:r>
      <w:r w:rsidR="00C25445" w:rsidRPr="006C79B0">
        <w:t xml:space="preserve">, 2020, </w:t>
      </w:r>
      <w:r w:rsidRPr="006C79B0">
        <w:t>Analysis of the explosion behaviour of wheat starch/pyrolysis gases hybrid mixtures through experimentation and CFD-DPM simulations</w:t>
      </w:r>
      <w:r w:rsidR="00C25445" w:rsidRPr="006C79B0">
        <w:t>,</w:t>
      </w:r>
      <w:r w:rsidRPr="006C79B0">
        <w:t xml:space="preserve"> Powd. Tech., 374, 330-347</w:t>
      </w:r>
      <w:r w:rsidR="00C25445" w:rsidRPr="006C79B0">
        <w:t>.</w:t>
      </w:r>
    </w:p>
    <w:p w14:paraId="1F3681E1" w14:textId="48BB588C" w:rsidR="00856C40" w:rsidRPr="006C79B0" w:rsidRDefault="00856C40" w:rsidP="00856C40">
      <w:pPr>
        <w:pStyle w:val="CETReferencetext"/>
      </w:pPr>
      <w:r w:rsidRPr="006C79B0">
        <w:t xml:space="preserve">Pietraccini M., Badu P., Tait T., Glaude P.A., Dufour A., Dufaud O., </w:t>
      </w:r>
      <w:r w:rsidR="00C25445" w:rsidRPr="006C79B0">
        <w:t xml:space="preserve">2023, </w:t>
      </w:r>
      <w:r w:rsidRPr="006C79B0">
        <w:t>Study of flash pyrolysis and combustion of biomass powders using the Godbert-Greenwald furnace: An essential step to better understand organic dust explosions</w:t>
      </w:r>
      <w:r w:rsidR="00C25445" w:rsidRPr="006C79B0">
        <w:t xml:space="preserve">, </w:t>
      </w:r>
      <w:r w:rsidRPr="006C79B0">
        <w:t>Process Saf. Environ. Prot., 169, 458-471.</w:t>
      </w:r>
    </w:p>
    <w:p w14:paraId="687A0EC4" w14:textId="59D7E383" w:rsidR="00173E0F" w:rsidRPr="006C79B0" w:rsidRDefault="00173E0F" w:rsidP="00173E0F">
      <w:pPr>
        <w:pStyle w:val="CETReferencetext"/>
      </w:pPr>
      <w:r>
        <w:t xml:space="preserve">Portarapillo M., Sanchirico R., Di Benedetto A., </w:t>
      </w:r>
      <w:r w:rsidR="00856C40" w:rsidRPr="006C79B0">
        <w:t>202</w:t>
      </w:r>
      <w:r>
        <w:t>1</w:t>
      </w:r>
      <w:r w:rsidR="00856C40" w:rsidRPr="006C79B0">
        <w:t xml:space="preserve">, </w:t>
      </w:r>
      <w:r>
        <w:t>On the pyrotechnic ignitors role in dust explosion testing: Comparison between 20 L and 1 m3 explosion vessels, Process Safety Progress, 40 (4), 289 – 295.</w:t>
      </w:r>
    </w:p>
    <w:p w14:paraId="1CE20E42" w14:textId="51C9604E" w:rsidR="002533F6" w:rsidRPr="006C79B0" w:rsidRDefault="002533F6" w:rsidP="002533F6">
      <w:pPr>
        <w:pStyle w:val="CETReferencetext"/>
      </w:pPr>
      <w:r w:rsidRPr="006C79B0">
        <w:t xml:space="preserve">Quek V., Sulaiman S.Z., Che Man R., Abdul Mudalip S.K., Shaarani S., Arshad Z.I., 2022, Investigation of the LDPE dust flame propagation effected by the ethylene concentration, </w:t>
      </w:r>
      <w:r w:rsidR="00C27D62" w:rsidRPr="006C79B0">
        <w:t>Mater. Today: Proc</w:t>
      </w:r>
      <w:r w:rsidRPr="006C79B0">
        <w:t>, 57, 3, 1422-1426.</w:t>
      </w:r>
    </w:p>
    <w:p w14:paraId="47A83EBD" w14:textId="4F1612F5" w:rsidR="00856C40" w:rsidRPr="006C79B0" w:rsidRDefault="00856C40" w:rsidP="00856C40">
      <w:pPr>
        <w:pStyle w:val="CETReferencetext"/>
      </w:pPr>
      <w:r w:rsidRPr="006C79B0">
        <w:t>Ray</w:t>
      </w:r>
      <w:r w:rsidR="00AF00E0" w:rsidRPr="006C79B0">
        <w:t xml:space="preserve"> S.K.</w:t>
      </w:r>
      <w:r w:rsidRPr="006C79B0">
        <w:t>, Mohalik</w:t>
      </w:r>
      <w:r w:rsidR="00AF00E0" w:rsidRPr="006C79B0">
        <w:t xml:space="preserve"> N.K.</w:t>
      </w:r>
      <w:r w:rsidRPr="006C79B0">
        <w:t>, Khan</w:t>
      </w:r>
      <w:r w:rsidR="00AF00E0" w:rsidRPr="006C79B0">
        <w:t xml:space="preserve"> A.M.</w:t>
      </w:r>
      <w:r w:rsidRPr="006C79B0">
        <w:t>, Mishra</w:t>
      </w:r>
      <w:r w:rsidR="00AF00E0" w:rsidRPr="006C79B0">
        <w:t xml:space="preserve"> D.</w:t>
      </w:r>
      <w:r w:rsidRPr="006C79B0">
        <w:t>, Varma</w:t>
      </w:r>
      <w:r w:rsidR="00AF00E0" w:rsidRPr="006C79B0">
        <w:t xml:space="preserve"> N.K.</w:t>
      </w:r>
      <w:r w:rsidRPr="006C79B0">
        <w:t>, Pandey</w:t>
      </w:r>
      <w:r w:rsidR="00AF00E0" w:rsidRPr="006C79B0">
        <w:t xml:space="preserve"> J.K.</w:t>
      </w:r>
      <w:r w:rsidRPr="006C79B0">
        <w:t>, Singh</w:t>
      </w:r>
      <w:r w:rsidR="00AF00E0" w:rsidRPr="006C79B0">
        <w:t xml:space="preserve"> P.K.</w:t>
      </w:r>
      <w:r w:rsidRPr="006C79B0">
        <w:t xml:space="preserve">, </w:t>
      </w:r>
      <w:r w:rsidR="00AF00E0" w:rsidRPr="006C79B0">
        <w:t xml:space="preserve">2020, </w:t>
      </w:r>
      <w:r w:rsidRPr="006C79B0">
        <w:t>CFD modeling to study the effect of particle size on dispersion in 20</w:t>
      </w:r>
      <w:r w:rsidR="00AF00E0" w:rsidRPr="006C79B0">
        <w:t>L</w:t>
      </w:r>
      <w:r w:rsidRPr="006C79B0">
        <w:t xml:space="preserve"> explosion chamber: An overview, </w:t>
      </w:r>
      <w:r w:rsidR="00445562" w:rsidRPr="006C79B0">
        <w:t>Int. J. Min. Sci. Technol.</w:t>
      </w:r>
      <w:r w:rsidRPr="006C79B0">
        <w:t>, 30</w:t>
      </w:r>
      <w:r w:rsidR="0017762E" w:rsidRPr="006C79B0">
        <w:t xml:space="preserve">, </w:t>
      </w:r>
      <w:r w:rsidRPr="006C79B0">
        <w:t xml:space="preserve">3, 321-327. </w:t>
      </w:r>
    </w:p>
    <w:p w14:paraId="711A6F66" w14:textId="4EBE1963" w:rsidR="00856C40" w:rsidRPr="006C79B0" w:rsidRDefault="00856C40" w:rsidP="00856C40">
      <w:pPr>
        <w:pStyle w:val="CETReferencetext"/>
      </w:pPr>
      <w:r w:rsidRPr="006C79B0">
        <w:t>Wang D., Qian X., Wu D., Ji T., Zhang Q., Huang P.</w:t>
      </w:r>
      <w:r w:rsidR="0017762E" w:rsidRPr="006C79B0">
        <w:t>, 2020,</w:t>
      </w:r>
      <w:r w:rsidRPr="006C79B0">
        <w:t xml:space="preserve"> Numerical study on hydrodynamics and explosion hazards of corn starch at high-temperature environments</w:t>
      </w:r>
      <w:r w:rsidR="0017762E" w:rsidRPr="006C79B0">
        <w:t>,</w:t>
      </w:r>
      <w:r w:rsidRPr="006C79B0">
        <w:t xml:space="preserve"> </w:t>
      </w:r>
      <w:r w:rsidR="00AF00E0" w:rsidRPr="006C79B0">
        <w:t>Powd. Tech</w:t>
      </w:r>
      <w:r w:rsidRPr="006C79B0">
        <w:t>, 360, 1067-1078</w:t>
      </w:r>
      <w:r w:rsidR="00AF00E0" w:rsidRPr="006C79B0">
        <w:t>.</w:t>
      </w:r>
    </w:p>
    <w:p w14:paraId="797D0D8B" w14:textId="0DB31FA2" w:rsidR="00060C5F" w:rsidRDefault="00856C40" w:rsidP="00A659AF">
      <w:pPr>
        <w:pStyle w:val="CETReferencetext"/>
      </w:pPr>
      <w:r w:rsidRPr="006C79B0">
        <w:t>Zhang</w:t>
      </w:r>
      <w:r w:rsidR="0017762E" w:rsidRPr="006C79B0">
        <w:t xml:space="preserve"> J.</w:t>
      </w:r>
      <w:r w:rsidRPr="006C79B0">
        <w:t>, Yuan</w:t>
      </w:r>
      <w:r w:rsidR="0017762E" w:rsidRPr="006C79B0">
        <w:t xml:space="preserve"> Q.</w:t>
      </w:r>
      <w:r w:rsidRPr="006C79B0">
        <w:t>, Meng</w:t>
      </w:r>
      <w:r w:rsidR="0017762E" w:rsidRPr="006C79B0">
        <w:t xml:space="preserve"> F.</w:t>
      </w:r>
      <w:r w:rsidRPr="006C79B0">
        <w:t>, Zhang</w:t>
      </w:r>
      <w:r w:rsidR="0017762E" w:rsidRPr="006C79B0">
        <w:t xml:space="preserve"> H.</w:t>
      </w:r>
      <w:r w:rsidRPr="006C79B0">
        <w:t>, Ding</w:t>
      </w:r>
      <w:r w:rsidR="0017762E" w:rsidRPr="006C79B0">
        <w:t xml:space="preserve"> S.</w:t>
      </w:r>
      <w:r w:rsidRPr="006C79B0">
        <w:t>, Chen</w:t>
      </w:r>
      <w:r w:rsidR="0017762E" w:rsidRPr="006C79B0">
        <w:t xml:space="preserve"> H.</w:t>
      </w:r>
      <w:r w:rsidRPr="006C79B0">
        <w:t>, Amyotte</w:t>
      </w:r>
      <w:r w:rsidR="0017762E" w:rsidRPr="006C79B0">
        <w:t xml:space="preserve"> P.</w:t>
      </w:r>
      <w:r w:rsidRPr="006C79B0">
        <w:t>, Li</w:t>
      </w:r>
      <w:r w:rsidR="0017762E" w:rsidRPr="006C79B0">
        <w:t xml:space="preserve"> C.</w:t>
      </w:r>
      <w:r w:rsidRPr="006C79B0">
        <w:t>, Yuan</w:t>
      </w:r>
      <w:r w:rsidR="0017762E" w:rsidRPr="006C79B0">
        <w:t xml:space="preserve"> C.</w:t>
      </w:r>
      <w:r w:rsidRPr="006C79B0">
        <w:t xml:space="preserve">, </w:t>
      </w:r>
      <w:r w:rsidR="0017762E" w:rsidRPr="006C79B0">
        <w:t xml:space="preserve">2024, </w:t>
      </w:r>
      <w:r w:rsidRPr="006C79B0">
        <w:t xml:space="preserve">Experimental study and numerical simulation of the combustion characteristics of dust clouds in vertical pipelines underneath unilateral obstacles, </w:t>
      </w:r>
      <w:r w:rsidR="00AF00E0" w:rsidRPr="006C79B0">
        <w:t>J. Loss Prev. Process Ind</w:t>
      </w:r>
      <w:r w:rsidRPr="006C79B0">
        <w:t>, 87, 105212</w:t>
      </w:r>
      <w:r w:rsidR="00AF00E0" w:rsidRPr="006C79B0">
        <w:t>.</w:t>
      </w:r>
    </w:p>
    <w:p w14:paraId="794AC56F" w14:textId="3F254623" w:rsidR="00385E37" w:rsidRPr="00385E37" w:rsidRDefault="00385E37" w:rsidP="00385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p>
    <w:sectPr w:rsidR="00385E37" w:rsidRPr="00385E37"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BEE52" w14:textId="77777777" w:rsidR="00DA680F" w:rsidRDefault="00DA680F" w:rsidP="004F5E36">
      <w:r>
        <w:separator/>
      </w:r>
    </w:p>
  </w:endnote>
  <w:endnote w:type="continuationSeparator" w:id="0">
    <w:p w14:paraId="293D96A0" w14:textId="77777777" w:rsidR="00DA680F" w:rsidRDefault="00DA680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7AE92" w14:textId="77777777" w:rsidR="00DA680F" w:rsidRDefault="00DA680F" w:rsidP="004F5E36">
      <w:r>
        <w:separator/>
      </w:r>
    </w:p>
  </w:footnote>
  <w:footnote w:type="continuationSeparator" w:id="0">
    <w:p w14:paraId="1EF500F8" w14:textId="77777777" w:rsidR="00DA680F" w:rsidRDefault="00DA680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2562503">
    <w:abstractNumId w:val="11"/>
  </w:num>
  <w:num w:numId="2" w16cid:durableId="256408515">
    <w:abstractNumId w:val="8"/>
  </w:num>
  <w:num w:numId="3" w16cid:durableId="1608275043">
    <w:abstractNumId w:val="3"/>
  </w:num>
  <w:num w:numId="4" w16cid:durableId="1714423277">
    <w:abstractNumId w:val="2"/>
  </w:num>
  <w:num w:numId="5" w16cid:durableId="1828477336">
    <w:abstractNumId w:val="1"/>
  </w:num>
  <w:num w:numId="6" w16cid:durableId="1941179744">
    <w:abstractNumId w:val="0"/>
  </w:num>
  <w:num w:numId="7" w16cid:durableId="1827356679">
    <w:abstractNumId w:val="9"/>
  </w:num>
  <w:num w:numId="8" w16cid:durableId="1726296645">
    <w:abstractNumId w:val="7"/>
  </w:num>
  <w:num w:numId="9" w16cid:durableId="1150369564">
    <w:abstractNumId w:val="6"/>
  </w:num>
  <w:num w:numId="10" w16cid:durableId="124782689">
    <w:abstractNumId w:val="5"/>
  </w:num>
  <w:num w:numId="11" w16cid:durableId="142433730">
    <w:abstractNumId w:val="4"/>
  </w:num>
  <w:num w:numId="12" w16cid:durableId="490143926">
    <w:abstractNumId w:val="18"/>
  </w:num>
  <w:num w:numId="13" w16cid:durableId="403843135">
    <w:abstractNumId w:val="13"/>
  </w:num>
  <w:num w:numId="14" w16cid:durableId="1777169905">
    <w:abstractNumId w:val="19"/>
  </w:num>
  <w:num w:numId="15" w16cid:durableId="225529670">
    <w:abstractNumId w:val="21"/>
  </w:num>
  <w:num w:numId="16" w16cid:durableId="447939866">
    <w:abstractNumId w:val="20"/>
  </w:num>
  <w:num w:numId="17" w16cid:durableId="2128893637">
    <w:abstractNumId w:val="12"/>
  </w:num>
  <w:num w:numId="18" w16cid:durableId="1291396215">
    <w:abstractNumId w:val="13"/>
    <w:lvlOverride w:ilvl="0">
      <w:startOverride w:val="1"/>
    </w:lvlOverride>
  </w:num>
  <w:num w:numId="19" w16cid:durableId="1977028938">
    <w:abstractNumId w:val="17"/>
  </w:num>
  <w:num w:numId="20" w16cid:durableId="184052346">
    <w:abstractNumId w:val="16"/>
  </w:num>
  <w:num w:numId="21" w16cid:durableId="128131966">
    <w:abstractNumId w:val="15"/>
  </w:num>
  <w:num w:numId="22" w16cid:durableId="1423336430">
    <w:abstractNumId w:val="14"/>
  </w:num>
  <w:num w:numId="23" w16cid:durableId="1283224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62A9"/>
    <w:rsid w:val="00060C5F"/>
    <w:rsid w:val="00062A9A"/>
    <w:rsid w:val="00065058"/>
    <w:rsid w:val="000737C8"/>
    <w:rsid w:val="00086C39"/>
    <w:rsid w:val="000924D7"/>
    <w:rsid w:val="000A03B2"/>
    <w:rsid w:val="000C383F"/>
    <w:rsid w:val="000D0268"/>
    <w:rsid w:val="000D34BE"/>
    <w:rsid w:val="000E0B3C"/>
    <w:rsid w:val="000E102F"/>
    <w:rsid w:val="000E36F1"/>
    <w:rsid w:val="000E3A73"/>
    <w:rsid w:val="000E414A"/>
    <w:rsid w:val="000E75FD"/>
    <w:rsid w:val="000F0060"/>
    <w:rsid w:val="000F093C"/>
    <w:rsid w:val="000F32B4"/>
    <w:rsid w:val="000F3C47"/>
    <w:rsid w:val="000F787B"/>
    <w:rsid w:val="00114D59"/>
    <w:rsid w:val="0012091F"/>
    <w:rsid w:val="00126BC2"/>
    <w:rsid w:val="001308B6"/>
    <w:rsid w:val="0013121F"/>
    <w:rsid w:val="00131FE6"/>
    <w:rsid w:val="0013263F"/>
    <w:rsid w:val="00132F32"/>
    <w:rsid w:val="001331DF"/>
    <w:rsid w:val="00134DE4"/>
    <w:rsid w:val="00137A72"/>
    <w:rsid w:val="0014034D"/>
    <w:rsid w:val="00140FE3"/>
    <w:rsid w:val="00144D16"/>
    <w:rsid w:val="00150E59"/>
    <w:rsid w:val="00152DE3"/>
    <w:rsid w:val="00164CF9"/>
    <w:rsid w:val="001667A6"/>
    <w:rsid w:val="00173E0F"/>
    <w:rsid w:val="0017762E"/>
    <w:rsid w:val="0018171E"/>
    <w:rsid w:val="00184AD6"/>
    <w:rsid w:val="0019086C"/>
    <w:rsid w:val="001A4AF7"/>
    <w:rsid w:val="001B0349"/>
    <w:rsid w:val="001B1E93"/>
    <w:rsid w:val="001B65C1"/>
    <w:rsid w:val="001C260F"/>
    <w:rsid w:val="001C5C3A"/>
    <w:rsid w:val="001C684B"/>
    <w:rsid w:val="001D0CFB"/>
    <w:rsid w:val="001D21AF"/>
    <w:rsid w:val="001D53FC"/>
    <w:rsid w:val="001D5A1D"/>
    <w:rsid w:val="001E6553"/>
    <w:rsid w:val="001F42A5"/>
    <w:rsid w:val="001F7B9D"/>
    <w:rsid w:val="00201C93"/>
    <w:rsid w:val="002224B4"/>
    <w:rsid w:val="00222A90"/>
    <w:rsid w:val="00235D27"/>
    <w:rsid w:val="002447EF"/>
    <w:rsid w:val="00251550"/>
    <w:rsid w:val="002533F6"/>
    <w:rsid w:val="00263B05"/>
    <w:rsid w:val="0027221A"/>
    <w:rsid w:val="00275B61"/>
    <w:rsid w:val="00276839"/>
    <w:rsid w:val="00280FAF"/>
    <w:rsid w:val="00282656"/>
    <w:rsid w:val="00294D9B"/>
    <w:rsid w:val="00296B83"/>
    <w:rsid w:val="002B4015"/>
    <w:rsid w:val="002B6C7B"/>
    <w:rsid w:val="002B78CE"/>
    <w:rsid w:val="002C2FB6"/>
    <w:rsid w:val="002C4792"/>
    <w:rsid w:val="002C6193"/>
    <w:rsid w:val="002E5FA7"/>
    <w:rsid w:val="002F3309"/>
    <w:rsid w:val="003008CE"/>
    <w:rsid w:val="003009B7"/>
    <w:rsid w:val="00300E56"/>
    <w:rsid w:val="0030152C"/>
    <w:rsid w:val="0030469C"/>
    <w:rsid w:val="00311D80"/>
    <w:rsid w:val="00312A73"/>
    <w:rsid w:val="00317EAA"/>
    <w:rsid w:val="00321CA6"/>
    <w:rsid w:val="00323763"/>
    <w:rsid w:val="00323C5F"/>
    <w:rsid w:val="00334C09"/>
    <w:rsid w:val="00354827"/>
    <w:rsid w:val="00370549"/>
    <w:rsid w:val="003723D4"/>
    <w:rsid w:val="00374B04"/>
    <w:rsid w:val="00381905"/>
    <w:rsid w:val="00384CC8"/>
    <w:rsid w:val="00385E37"/>
    <w:rsid w:val="003871FD"/>
    <w:rsid w:val="003A1E30"/>
    <w:rsid w:val="003A2829"/>
    <w:rsid w:val="003A65F5"/>
    <w:rsid w:val="003A7D1C"/>
    <w:rsid w:val="003B304B"/>
    <w:rsid w:val="003B3146"/>
    <w:rsid w:val="003B49CD"/>
    <w:rsid w:val="003C40DB"/>
    <w:rsid w:val="003C6CCC"/>
    <w:rsid w:val="003D00C6"/>
    <w:rsid w:val="003D1E02"/>
    <w:rsid w:val="003D483B"/>
    <w:rsid w:val="003E1E23"/>
    <w:rsid w:val="003F015E"/>
    <w:rsid w:val="003F2421"/>
    <w:rsid w:val="003F3B43"/>
    <w:rsid w:val="00400414"/>
    <w:rsid w:val="0041446B"/>
    <w:rsid w:val="00423E0A"/>
    <w:rsid w:val="004327A3"/>
    <w:rsid w:val="0044071E"/>
    <w:rsid w:val="0044329C"/>
    <w:rsid w:val="00445562"/>
    <w:rsid w:val="00452AE0"/>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E4DD6"/>
    <w:rsid w:val="004F5E36"/>
    <w:rsid w:val="005011BD"/>
    <w:rsid w:val="00507B47"/>
    <w:rsid w:val="00507BEF"/>
    <w:rsid w:val="00507CC9"/>
    <w:rsid w:val="005119A5"/>
    <w:rsid w:val="00514482"/>
    <w:rsid w:val="005278B7"/>
    <w:rsid w:val="00532016"/>
    <w:rsid w:val="005346C8"/>
    <w:rsid w:val="005364D5"/>
    <w:rsid w:val="005424FC"/>
    <w:rsid w:val="00543E7D"/>
    <w:rsid w:val="00544124"/>
    <w:rsid w:val="00545A06"/>
    <w:rsid w:val="00547A68"/>
    <w:rsid w:val="00547BB6"/>
    <w:rsid w:val="005531C9"/>
    <w:rsid w:val="00554879"/>
    <w:rsid w:val="00560ABB"/>
    <w:rsid w:val="00562359"/>
    <w:rsid w:val="0057010B"/>
    <w:rsid w:val="00570C43"/>
    <w:rsid w:val="00592274"/>
    <w:rsid w:val="005B2110"/>
    <w:rsid w:val="005B350B"/>
    <w:rsid w:val="005B61E6"/>
    <w:rsid w:val="005C3DDA"/>
    <w:rsid w:val="005C3EC5"/>
    <w:rsid w:val="005C77E1"/>
    <w:rsid w:val="005D29BF"/>
    <w:rsid w:val="005D668A"/>
    <w:rsid w:val="005D6A2F"/>
    <w:rsid w:val="005E0592"/>
    <w:rsid w:val="005E1A82"/>
    <w:rsid w:val="005E4B70"/>
    <w:rsid w:val="005E794C"/>
    <w:rsid w:val="005F0A28"/>
    <w:rsid w:val="005F0E5E"/>
    <w:rsid w:val="00600535"/>
    <w:rsid w:val="00610CD6"/>
    <w:rsid w:val="00620DEE"/>
    <w:rsid w:val="00621F92"/>
    <w:rsid w:val="0062280A"/>
    <w:rsid w:val="006231E1"/>
    <w:rsid w:val="006241C1"/>
    <w:rsid w:val="00625639"/>
    <w:rsid w:val="00631B33"/>
    <w:rsid w:val="0064184D"/>
    <w:rsid w:val="006422CC"/>
    <w:rsid w:val="0064404F"/>
    <w:rsid w:val="00651D18"/>
    <w:rsid w:val="0065765B"/>
    <w:rsid w:val="00660E3E"/>
    <w:rsid w:val="00662E74"/>
    <w:rsid w:val="00677C81"/>
    <w:rsid w:val="00680C23"/>
    <w:rsid w:val="00682997"/>
    <w:rsid w:val="00683E23"/>
    <w:rsid w:val="00692BB9"/>
    <w:rsid w:val="0069342B"/>
    <w:rsid w:val="00693766"/>
    <w:rsid w:val="006A3281"/>
    <w:rsid w:val="006A6DE5"/>
    <w:rsid w:val="006B4888"/>
    <w:rsid w:val="006B69D2"/>
    <w:rsid w:val="006C2E45"/>
    <w:rsid w:val="006C359C"/>
    <w:rsid w:val="006C5579"/>
    <w:rsid w:val="006C79B0"/>
    <w:rsid w:val="006D1BC7"/>
    <w:rsid w:val="006D3041"/>
    <w:rsid w:val="006D4E0E"/>
    <w:rsid w:val="006D6E8B"/>
    <w:rsid w:val="006D7209"/>
    <w:rsid w:val="006E2C95"/>
    <w:rsid w:val="006E737D"/>
    <w:rsid w:val="0070126A"/>
    <w:rsid w:val="00707DD1"/>
    <w:rsid w:val="00713973"/>
    <w:rsid w:val="00720A24"/>
    <w:rsid w:val="00732386"/>
    <w:rsid w:val="00732AA9"/>
    <w:rsid w:val="0073514D"/>
    <w:rsid w:val="00735510"/>
    <w:rsid w:val="00735E53"/>
    <w:rsid w:val="00742CF1"/>
    <w:rsid w:val="007447F3"/>
    <w:rsid w:val="00747273"/>
    <w:rsid w:val="00750884"/>
    <w:rsid w:val="00750DEE"/>
    <w:rsid w:val="0075499F"/>
    <w:rsid w:val="007609D6"/>
    <w:rsid w:val="007661C8"/>
    <w:rsid w:val="0077098D"/>
    <w:rsid w:val="00773280"/>
    <w:rsid w:val="0077708F"/>
    <w:rsid w:val="00783918"/>
    <w:rsid w:val="00785BF9"/>
    <w:rsid w:val="007931FA"/>
    <w:rsid w:val="0079756E"/>
    <w:rsid w:val="007A4861"/>
    <w:rsid w:val="007A7BBA"/>
    <w:rsid w:val="007B0C50"/>
    <w:rsid w:val="007B48F9"/>
    <w:rsid w:val="007C1A43"/>
    <w:rsid w:val="007D0951"/>
    <w:rsid w:val="007D610D"/>
    <w:rsid w:val="007F0A79"/>
    <w:rsid w:val="007F2550"/>
    <w:rsid w:val="007F6A75"/>
    <w:rsid w:val="0080013E"/>
    <w:rsid w:val="008010CA"/>
    <w:rsid w:val="00801759"/>
    <w:rsid w:val="00813288"/>
    <w:rsid w:val="008168FC"/>
    <w:rsid w:val="00826662"/>
    <w:rsid w:val="00830996"/>
    <w:rsid w:val="008345F1"/>
    <w:rsid w:val="008376FB"/>
    <w:rsid w:val="00845B20"/>
    <w:rsid w:val="00856C40"/>
    <w:rsid w:val="00865B07"/>
    <w:rsid w:val="008667EA"/>
    <w:rsid w:val="0087637F"/>
    <w:rsid w:val="00892AD5"/>
    <w:rsid w:val="008A0CA5"/>
    <w:rsid w:val="008A1512"/>
    <w:rsid w:val="008B00B5"/>
    <w:rsid w:val="008D32B9"/>
    <w:rsid w:val="008D433B"/>
    <w:rsid w:val="008D4A16"/>
    <w:rsid w:val="008E0EEE"/>
    <w:rsid w:val="008E1FCE"/>
    <w:rsid w:val="008E5401"/>
    <w:rsid w:val="008E566E"/>
    <w:rsid w:val="008F2E40"/>
    <w:rsid w:val="008F3453"/>
    <w:rsid w:val="0090161A"/>
    <w:rsid w:val="00901EB6"/>
    <w:rsid w:val="009041F8"/>
    <w:rsid w:val="00904C62"/>
    <w:rsid w:val="00905260"/>
    <w:rsid w:val="00910CF0"/>
    <w:rsid w:val="00917FBC"/>
    <w:rsid w:val="00922BA8"/>
    <w:rsid w:val="00924DAC"/>
    <w:rsid w:val="00927058"/>
    <w:rsid w:val="0093616D"/>
    <w:rsid w:val="00942750"/>
    <w:rsid w:val="009450CE"/>
    <w:rsid w:val="009459BB"/>
    <w:rsid w:val="00947179"/>
    <w:rsid w:val="0095164B"/>
    <w:rsid w:val="00954090"/>
    <w:rsid w:val="009573E7"/>
    <w:rsid w:val="00963E05"/>
    <w:rsid w:val="00964A45"/>
    <w:rsid w:val="00967843"/>
    <w:rsid w:val="00967D54"/>
    <w:rsid w:val="00971028"/>
    <w:rsid w:val="00981596"/>
    <w:rsid w:val="00993B84"/>
    <w:rsid w:val="00994C6A"/>
    <w:rsid w:val="00996483"/>
    <w:rsid w:val="00996F5A"/>
    <w:rsid w:val="009A71CF"/>
    <w:rsid w:val="009B041A"/>
    <w:rsid w:val="009C2544"/>
    <w:rsid w:val="009C37C3"/>
    <w:rsid w:val="009C7C86"/>
    <w:rsid w:val="009D2FF7"/>
    <w:rsid w:val="009E7884"/>
    <w:rsid w:val="009E788A"/>
    <w:rsid w:val="009F03C0"/>
    <w:rsid w:val="009F0E08"/>
    <w:rsid w:val="009F7B46"/>
    <w:rsid w:val="00A079AE"/>
    <w:rsid w:val="00A1763D"/>
    <w:rsid w:val="00A17CEC"/>
    <w:rsid w:val="00A233D7"/>
    <w:rsid w:val="00A25E9F"/>
    <w:rsid w:val="00A27EF0"/>
    <w:rsid w:val="00A35650"/>
    <w:rsid w:val="00A42361"/>
    <w:rsid w:val="00A50B20"/>
    <w:rsid w:val="00A51390"/>
    <w:rsid w:val="00A60D13"/>
    <w:rsid w:val="00A659AF"/>
    <w:rsid w:val="00A7223D"/>
    <w:rsid w:val="00A72745"/>
    <w:rsid w:val="00A73CFE"/>
    <w:rsid w:val="00A74D90"/>
    <w:rsid w:val="00A76EFC"/>
    <w:rsid w:val="00A87D50"/>
    <w:rsid w:val="00A91010"/>
    <w:rsid w:val="00A97205"/>
    <w:rsid w:val="00A97F29"/>
    <w:rsid w:val="00AA2484"/>
    <w:rsid w:val="00AA702E"/>
    <w:rsid w:val="00AA7D26"/>
    <w:rsid w:val="00AB0964"/>
    <w:rsid w:val="00AB3F7E"/>
    <w:rsid w:val="00AB5011"/>
    <w:rsid w:val="00AC34AF"/>
    <w:rsid w:val="00AC7368"/>
    <w:rsid w:val="00AD11CE"/>
    <w:rsid w:val="00AD16B9"/>
    <w:rsid w:val="00AE377D"/>
    <w:rsid w:val="00AF00E0"/>
    <w:rsid w:val="00AF0EBA"/>
    <w:rsid w:val="00AF2463"/>
    <w:rsid w:val="00B02C8A"/>
    <w:rsid w:val="00B17FBD"/>
    <w:rsid w:val="00B315A6"/>
    <w:rsid w:val="00B31813"/>
    <w:rsid w:val="00B33365"/>
    <w:rsid w:val="00B345C2"/>
    <w:rsid w:val="00B5006F"/>
    <w:rsid w:val="00B57B36"/>
    <w:rsid w:val="00B57E6F"/>
    <w:rsid w:val="00B8686D"/>
    <w:rsid w:val="00B86B4A"/>
    <w:rsid w:val="00B93F69"/>
    <w:rsid w:val="00BB1DDC"/>
    <w:rsid w:val="00BB44A7"/>
    <w:rsid w:val="00BC30C9"/>
    <w:rsid w:val="00BD077D"/>
    <w:rsid w:val="00BE23EC"/>
    <w:rsid w:val="00BE3E58"/>
    <w:rsid w:val="00BF0FA9"/>
    <w:rsid w:val="00BF13CE"/>
    <w:rsid w:val="00BF34EF"/>
    <w:rsid w:val="00BF4997"/>
    <w:rsid w:val="00C01616"/>
    <w:rsid w:val="00C0162B"/>
    <w:rsid w:val="00C068ED"/>
    <w:rsid w:val="00C1565B"/>
    <w:rsid w:val="00C22E0C"/>
    <w:rsid w:val="00C25445"/>
    <w:rsid w:val="00C257A0"/>
    <w:rsid w:val="00C27D62"/>
    <w:rsid w:val="00C345B1"/>
    <w:rsid w:val="00C3591E"/>
    <w:rsid w:val="00C40142"/>
    <w:rsid w:val="00C40E7D"/>
    <w:rsid w:val="00C52C3C"/>
    <w:rsid w:val="00C57182"/>
    <w:rsid w:val="00C57863"/>
    <w:rsid w:val="00C640AF"/>
    <w:rsid w:val="00C655FD"/>
    <w:rsid w:val="00C73A44"/>
    <w:rsid w:val="00C73CB2"/>
    <w:rsid w:val="00C75407"/>
    <w:rsid w:val="00C75B86"/>
    <w:rsid w:val="00C841C6"/>
    <w:rsid w:val="00C870A8"/>
    <w:rsid w:val="00C94434"/>
    <w:rsid w:val="00CA0D75"/>
    <w:rsid w:val="00CA1C95"/>
    <w:rsid w:val="00CA5A9C"/>
    <w:rsid w:val="00CC4C20"/>
    <w:rsid w:val="00CD3517"/>
    <w:rsid w:val="00CD4FC3"/>
    <w:rsid w:val="00CD5FE2"/>
    <w:rsid w:val="00CE5970"/>
    <w:rsid w:val="00CE7C68"/>
    <w:rsid w:val="00D02B4C"/>
    <w:rsid w:val="00D040C4"/>
    <w:rsid w:val="00D20AD1"/>
    <w:rsid w:val="00D2582C"/>
    <w:rsid w:val="00D46B7E"/>
    <w:rsid w:val="00D52620"/>
    <w:rsid w:val="00D57C84"/>
    <w:rsid w:val="00D6057D"/>
    <w:rsid w:val="00D71640"/>
    <w:rsid w:val="00D836C5"/>
    <w:rsid w:val="00D84576"/>
    <w:rsid w:val="00D867FB"/>
    <w:rsid w:val="00DA1399"/>
    <w:rsid w:val="00DA24C6"/>
    <w:rsid w:val="00DA4D7B"/>
    <w:rsid w:val="00DA680F"/>
    <w:rsid w:val="00DC2840"/>
    <w:rsid w:val="00DC3C91"/>
    <w:rsid w:val="00DC73EE"/>
    <w:rsid w:val="00DD271C"/>
    <w:rsid w:val="00DE264A"/>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4E3B"/>
    <w:rsid w:val="00EA7F91"/>
    <w:rsid w:val="00EB1523"/>
    <w:rsid w:val="00EC0E49"/>
    <w:rsid w:val="00EC101F"/>
    <w:rsid w:val="00EC1D9F"/>
    <w:rsid w:val="00ED3830"/>
    <w:rsid w:val="00EE0131"/>
    <w:rsid w:val="00EE17B0"/>
    <w:rsid w:val="00EE45F3"/>
    <w:rsid w:val="00EF04E1"/>
    <w:rsid w:val="00EF06D9"/>
    <w:rsid w:val="00F27EE4"/>
    <w:rsid w:val="00F3049E"/>
    <w:rsid w:val="00F30C64"/>
    <w:rsid w:val="00F32BA2"/>
    <w:rsid w:val="00F32CDB"/>
    <w:rsid w:val="00F41EE4"/>
    <w:rsid w:val="00F4593A"/>
    <w:rsid w:val="00F471DB"/>
    <w:rsid w:val="00F565FE"/>
    <w:rsid w:val="00F63A70"/>
    <w:rsid w:val="00F63D8C"/>
    <w:rsid w:val="00F7534E"/>
    <w:rsid w:val="00F76BEE"/>
    <w:rsid w:val="00F93EDF"/>
    <w:rsid w:val="00FA1802"/>
    <w:rsid w:val="00FA1E27"/>
    <w:rsid w:val="00FA21D0"/>
    <w:rsid w:val="00FA5F5F"/>
    <w:rsid w:val="00FB730C"/>
    <w:rsid w:val="00FC2695"/>
    <w:rsid w:val="00FC3E03"/>
    <w:rsid w:val="00FC3FC1"/>
    <w:rsid w:val="00FC5A4A"/>
    <w:rsid w:val="00FC6B85"/>
    <w:rsid w:val="00FD20D3"/>
    <w:rsid w:val="00FE18FF"/>
    <w:rsid w:val="00FE673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Enfasigrassetto">
    <w:name w:val="Strong"/>
    <w:basedOn w:val="Carpredefinitoparagrafo"/>
    <w:uiPriority w:val="22"/>
    <w:qFormat/>
    <w:rsid w:val="00A233D7"/>
    <w:rPr>
      <w:b/>
      <w:bCs/>
    </w:rPr>
  </w:style>
  <w:style w:type="character" w:customStyle="1" w:styleId="mord">
    <w:name w:val="mord"/>
    <w:basedOn w:val="Carpredefinitoparagrafo"/>
    <w:rsid w:val="00A233D7"/>
  </w:style>
  <w:style w:type="character" w:customStyle="1" w:styleId="mbin">
    <w:name w:val="mbin"/>
    <w:basedOn w:val="Carpredefinitoparagrafo"/>
    <w:rsid w:val="00A23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336663432">
      <w:bodyDiv w:val="1"/>
      <w:marLeft w:val="0"/>
      <w:marRight w:val="0"/>
      <w:marTop w:val="0"/>
      <w:marBottom w:val="0"/>
      <w:divBdr>
        <w:top w:val="none" w:sz="0" w:space="0" w:color="auto"/>
        <w:left w:val="none" w:sz="0" w:space="0" w:color="auto"/>
        <w:bottom w:val="none" w:sz="0" w:space="0" w:color="auto"/>
        <w:right w:val="none" w:sz="0" w:space="0" w:color="auto"/>
      </w:divBdr>
      <w:divsChild>
        <w:div w:id="363019752">
          <w:marLeft w:val="0"/>
          <w:marRight w:val="0"/>
          <w:marTop w:val="0"/>
          <w:marBottom w:val="0"/>
          <w:divBdr>
            <w:top w:val="none" w:sz="0" w:space="0" w:color="auto"/>
            <w:left w:val="none" w:sz="0" w:space="0" w:color="auto"/>
            <w:bottom w:val="none" w:sz="0" w:space="0" w:color="auto"/>
            <w:right w:val="none" w:sz="0" w:space="0" w:color="auto"/>
          </w:divBdr>
          <w:divsChild>
            <w:div w:id="1098595343">
              <w:marLeft w:val="0"/>
              <w:marRight w:val="0"/>
              <w:marTop w:val="0"/>
              <w:marBottom w:val="0"/>
              <w:divBdr>
                <w:top w:val="none" w:sz="0" w:space="0" w:color="auto"/>
                <w:left w:val="none" w:sz="0" w:space="0" w:color="auto"/>
                <w:bottom w:val="none" w:sz="0" w:space="0" w:color="auto"/>
                <w:right w:val="none" w:sz="0" w:space="0" w:color="auto"/>
              </w:divBdr>
              <w:divsChild>
                <w:div w:id="1271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0953">
      <w:bodyDiv w:val="1"/>
      <w:marLeft w:val="0"/>
      <w:marRight w:val="0"/>
      <w:marTop w:val="0"/>
      <w:marBottom w:val="0"/>
      <w:divBdr>
        <w:top w:val="none" w:sz="0" w:space="0" w:color="auto"/>
        <w:left w:val="none" w:sz="0" w:space="0" w:color="auto"/>
        <w:bottom w:val="none" w:sz="0" w:space="0" w:color="auto"/>
        <w:right w:val="none" w:sz="0" w:space="0" w:color="auto"/>
      </w:divBdr>
      <w:divsChild>
        <w:div w:id="1024865424">
          <w:marLeft w:val="547"/>
          <w:marRight w:val="0"/>
          <w:marTop w:val="0"/>
          <w:marBottom w:val="0"/>
          <w:divBdr>
            <w:top w:val="none" w:sz="0" w:space="0" w:color="auto"/>
            <w:left w:val="none" w:sz="0" w:space="0" w:color="auto"/>
            <w:bottom w:val="none" w:sz="0" w:space="0" w:color="auto"/>
            <w:right w:val="none" w:sz="0" w:space="0" w:color="auto"/>
          </w:divBdr>
        </w:div>
      </w:divsChild>
    </w:div>
    <w:div w:id="533931096">
      <w:bodyDiv w:val="1"/>
      <w:marLeft w:val="0"/>
      <w:marRight w:val="0"/>
      <w:marTop w:val="0"/>
      <w:marBottom w:val="0"/>
      <w:divBdr>
        <w:top w:val="none" w:sz="0" w:space="0" w:color="auto"/>
        <w:left w:val="none" w:sz="0" w:space="0" w:color="auto"/>
        <w:bottom w:val="none" w:sz="0" w:space="0" w:color="auto"/>
        <w:right w:val="none" w:sz="0" w:space="0" w:color="auto"/>
      </w:divBdr>
    </w:div>
    <w:div w:id="73782500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21942">
      <w:bodyDiv w:val="1"/>
      <w:marLeft w:val="0"/>
      <w:marRight w:val="0"/>
      <w:marTop w:val="0"/>
      <w:marBottom w:val="0"/>
      <w:divBdr>
        <w:top w:val="none" w:sz="0" w:space="0" w:color="auto"/>
        <w:left w:val="none" w:sz="0" w:space="0" w:color="auto"/>
        <w:bottom w:val="none" w:sz="0" w:space="0" w:color="auto"/>
        <w:right w:val="none" w:sz="0" w:space="0" w:color="auto"/>
      </w:divBdr>
      <w:divsChild>
        <w:div w:id="241987713">
          <w:marLeft w:val="0"/>
          <w:marRight w:val="0"/>
          <w:marTop w:val="0"/>
          <w:marBottom w:val="0"/>
          <w:divBdr>
            <w:top w:val="none" w:sz="0" w:space="0" w:color="auto"/>
            <w:left w:val="none" w:sz="0" w:space="0" w:color="auto"/>
            <w:bottom w:val="none" w:sz="0" w:space="0" w:color="auto"/>
            <w:right w:val="none" w:sz="0" w:space="0" w:color="auto"/>
          </w:divBdr>
          <w:divsChild>
            <w:div w:id="1680547976">
              <w:marLeft w:val="0"/>
              <w:marRight w:val="0"/>
              <w:marTop w:val="0"/>
              <w:marBottom w:val="0"/>
              <w:divBdr>
                <w:top w:val="none" w:sz="0" w:space="0" w:color="auto"/>
                <w:left w:val="none" w:sz="0" w:space="0" w:color="auto"/>
                <w:bottom w:val="none" w:sz="0" w:space="0" w:color="auto"/>
                <w:right w:val="none" w:sz="0" w:space="0" w:color="auto"/>
              </w:divBdr>
              <w:divsChild>
                <w:div w:id="12189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16632">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6430860">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74774568">
      <w:bodyDiv w:val="1"/>
      <w:marLeft w:val="0"/>
      <w:marRight w:val="0"/>
      <w:marTop w:val="0"/>
      <w:marBottom w:val="0"/>
      <w:divBdr>
        <w:top w:val="none" w:sz="0" w:space="0" w:color="auto"/>
        <w:left w:val="none" w:sz="0" w:space="0" w:color="auto"/>
        <w:bottom w:val="none" w:sz="0" w:space="0" w:color="auto"/>
        <w:right w:val="none" w:sz="0" w:space="0" w:color="auto"/>
      </w:divBdr>
      <w:divsChild>
        <w:div w:id="1738431987">
          <w:marLeft w:val="0"/>
          <w:marRight w:val="0"/>
          <w:marTop w:val="0"/>
          <w:marBottom w:val="0"/>
          <w:divBdr>
            <w:top w:val="none" w:sz="0" w:space="0" w:color="auto"/>
            <w:left w:val="none" w:sz="0" w:space="0" w:color="auto"/>
            <w:bottom w:val="none" w:sz="0" w:space="0" w:color="auto"/>
            <w:right w:val="none" w:sz="0" w:space="0" w:color="auto"/>
          </w:divBdr>
          <w:divsChild>
            <w:div w:id="1283611056">
              <w:marLeft w:val="0"/>
              <w:marRight w:val="0"/>
              <w:marTop w:val="0"/>
              <w:marBottom w:val="0"/>
              <w:divBdr>
                <w:top w:val="none" w:sz="0" w:space="0" w:color="auto"/>
                <w:left w:val="none" w:sz="0" w:space="0" w:color="auto"/>
                <w:bottom w:val="none" w:sz="0" w:space="0" w:color="auto"/>
                <w:right w:val="none" w:sz="0" w:space="0" w:color="auto"/>
              </w:divBdr>
              <w:divsChild>
                <w:div w:id="12705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3496">
      <w:bodyDiv w:val="1"/>
      <w:marLeft w:val="0"/>
      <w:marRight w:val="0"/>
      <w:marTop w:val="0"/>
      <w:marBottom w:val="0"/>
      <w:divBdr>
        <w:top w:val="none" w:sz="0" w:space="0" w:color="auto"/>
        <w:left w:val="none" w:sz="0" w:space="0" w:color="auto"/>
        <w:bottom w:val="none" w:sz="0" w:space="0" w:color="auto"/>
        <w:right w:val="none" w:sz="0" w:space="0" w:color="auto"/>
      </w:divBdr>
      <w:divsChild>
        <w:div w:id="1301115507">
          <w:marLeft w:val="547"/>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992708970">
      <w:bodyDiv w:val="1"/>
      <w:marLeft w:val="0"/>
      <w:marRight w:val="0"/>
      <w:marTop w:val="0"/>
      <w:marBottom w:val="0"/>
      <w:divBdr>
        <w:top w:val="none" w:sz="0" w:space="0" w:color="auto"/>
        <w:left w:val="none" w:sz="0" w:space="0" w:color="auto"/>
        <w:bottom w:val="none" w:sz="0" w:space="0" w:color="auto"/>
        <w:right w:val="none" w:sz="0" w:space="0" w:color="auto"/>
      </w:divBdr>
      <w:divsChild>
        <w:div w:id="299113814">
          <w:marLeft w:val="0"/>
          <w:marRight w:val="0"/>
          <w:marTop w:val="0"/>
          <w:marBottom w:val="0"/>
          <w:divBdr>
            <w:top w:val="none" w:sz="0" w:space="0" w:color="auto"/>
            <w:left w:val="none" w:sz="0" w:space="0" w:color="auto"/>
            <w:bottom w:val="none" w:sz="0" w:space="0" w:color="auto"/>
            <w:right w:val="none" w:sz="0" w:space="0" w:color="auto"/>
          </w:divBdr>
          <w:divsChild>
            <w:div w:id="7026382">
              <w:marLeft w:val="0"/>
              <w:marRight w:val="0"/>
              <w:marTop w:val="0"/>
              <w:marBottom w:val="0"/>
              <w:divBdr>
                <w:top w:val="none" w:sz="0" w:space="0" w:color="auto"/>
                <w:left w:val="none" w:sz="0" w:space="0" w:color="auto"/>
                <w:bottom w:val="none" w:sz="0" w:space="0" w:color="auto"/>
                <w:right w:val="none" w:sz="0" w:space="0" w:color="auto"/>
              </w:divBdr>
              <w:divsChild>
                <w:div w:id="12495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9480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9F563-201F-4F52-9495-9B7FB983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3865</Words>
  <Characters>22034</Characters>
  <Application>Microsoft Office Word</Application>
  <DocSecurity>0</DocSecurity>
  <Lines>183</Lines>
  <Paragraphs>51</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5</cp:revision>
  <cp:lastPrinted>2015-05-12T18:31:00Z</cp:lastPrinted>
  <dcterms:created xsi:type="dcterms:W3CDTF">2025-02-10T20:32:00Z</dcterms:created>
  <dcterms:modified xsi:type="dcterms:W3CDTF">2025-04-16T11:42:00Z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