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521F4C19"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1BB83AA9" w:rsidR="00E978D0" w:rsidRPr="00B57B36" w:rsidRDefault="00AC07AF" w:rsidP="00AC07AF">
      <w:pPr>
        <w:pStyle w:val="CETTitle"/>
      </w:pPr>
      <w:r>
        <w:t>A New Vulnerability Model for Atmospheric Storage Tanks under Intense Wind Solicitations</w:t>
      </w:r>
    </w:p>
    <w:p w14:paraId="0488FED2" w14:textId="2F5B63C5" w:rsidR="00B57E6F" w:rsidRPr="0040448F" w:rsidRDefault="00AC07AF" w:rsidP="00B57E6F">
      <w:pPr>
        <w:pStyle w:val="CETAuthors"/>
        <w:rPr>
          <w:lang w:val="it-IT"/>
        </w:rPr>
      </w:pPr>
      <w:r w:rsidRPr="0040448F">
        <w:rPr>
          <w:lang w:val="it-IT"/>
        </w:rPr>
        <w:t>Di Talia Valentina*, Alessandro Tugnoli, Valerio Cozzani</w:t>
      </w:r>
    </w:p>
    <w:p w14:paraId="6B2D21B3" w14:textId="7FEA3B13" w:rsidR="00B57E6F" w:rsidRPr="0040448F" w:rsidRDefault="00AC07AF" w:rsidP="00B57E6F">
      <w:pPr>
        <w:pStyle w:val="CETAddress"/>
        <w:rPr>
          <w:lang w:val="it-IT"/>
        </w:rPr>
      </w:pPr>
      <w:r w:rsidRPr="0040448F">
        <w:rPr>
          <w:lang w:val="it-IT"/>
        </w:rPr>
        <w:t xml:space="preserve">LISES – Dipartimento di Ingegneria Civile, Chimica, Ambientale e dei Materiali,  Alma Mater Studiorum – Università di Bologna, via Terracini 28, 40131 Bologna (Italy). </w:t>
      </w:r>
    </w:p>
    <w:p w14:paraId="73F1267A" w14:textId="503A5FBB" w:rsidR="00B57E6F" w:rsidRPr="00B57B36" w:rsidRDefault="00AC07AF" w:rsidP="00B57E6F">
      <w:pPr>
        <w:pStyle w:val="CETemail"/>
      </w:pPr>
      <w:r>
        <w:t>*</w:t>
      </w:r>
      <w:r w:rsidRPr="00AC07AF">
        <w:t>valentina.ditalia2@unibo.it</w:t>
      </w:r>
      <w:r w:rsidR="00B57E6F" w:rsidRPr="00B57B36">
        <w:t xml:space="preserve"> </w:t>
      </w:r>
    </w:p>
    <w:p w14:paraId="100E67BF" w14:textId="47A81CBB" w:rsidR="00AC07AF" w:rsidRPr="00AC07AF" w:rsidRDefault="007548B8" w:rsidP="00AC07AF">
      <w:pPr>
        <w:pStyle w:val="CETBodytext"/>
        <w:rPr>
          <w:lang w:val="en-GB"/>
        </w:rPr>
      </w:pPr>
      <w:bookmarkStart w:id="1" w:name="_Hlk495475023"/>
      <w:r w:rsidRPr="00AC07AF">
        <w:rPr>
          <w:lang w:val="en-GB"/>
        </w:rPr>
        <w:t>Natech events</w:t>
      </w:r>
      <w:r>
        <w:rPr>
          <w:lang w:val="en-GB"/>
        </w:rPr>
        <w:t xml:space="preserve"> are</w:t>
      </w:r>
      <w:r w:rsidRPr="00AC07AF">
        <w:rPr>
          <w:lang w:val="en-GB"/>
        </w:rPr>
        <w:t xml:space="preserve"> </w:t>
      </w:r>
      <w:r w:rsidR="00AC07AF" w:rsidRPr="00AC07AF">
        <w:rPr>
          <w:lang w:val="en-GB"/>
        </w:rPr>
        <w:t>technological accidents</w:t>
      </w:r>
      <w:r>
        <w:rPr>
          <w:lang w:val="en-GB"/>
        </w:rPr>
        <w:t xml:space="preserve"> triggered by natural hazards</w:t>
      </w:r>
      <w:r w:rsidR="00AC07AF" w:rsidRPr="00AC07AF">
        <w:rPr>
          <w:lang w:val="en-GB"/>
        </w:rPr>
        <w:t xml:space="preserve"> </w:t>
      </w:r>
      <w:r>
        <w:rPr>
          <w:lang w:val="en-GB"/>
        </w:rPr>
        <w:t xml:space="preserve">that occur </w:t>
      </w:r>
      <w:r w:rsidR="00AC07AF" w:rsidRPr="00AC07AF">
        <w:rPr>
          <w:lang w:val="en-GB"/>
        </w:rPr>
        <w:t xml:space="preserve">in chemical and process plants. </w:t>
      </w:r>
      <w:r>
        <w:rPr>
          <w:lang w:val="en-GB"/>
        </w:rPr>
        <w:t xml:space="preserve">Natural hazards associated with intense wind phenomena - </w:t>
      </w:r>
      <w:r w:rsidRPr="00AC07AF">
        <w:rPr>
          <w:lang w:val="en-GB"/>
        </w:rPr>
        <w:t>such as cyclones, extra</w:t>
      </w:r>
      <w:r w:rsidR="007B41AF">
        <w:rPr>
          <w:lang w:val="en-GB"/>
        </w:rPr>
        <w:t>-</w:t>
      </w:r>
      <w:r w:rsidRPr="00AC07AF">
        <w:rPr>
          <w:lang w:val="en-GB"/>
        </w:rPr>
        <w:t>tropical storms, and tornadoes</w:t>
      </w:r>
      <w:r>
        <w:rPr>
          <w:lang w:val="en-GB"/>
        </w:rPr>
        <w:t xml:space="preserve"> - are currently raising particular concern due to o</w:t>
      </w:r>
      <w:r w:rsidR="00AC07AF" w:rsidRPr="00AC07AF">
        <w:rPr>
          <w:lang w:val="en-GB"/>
        </w:rPr>
        <w:t>ngoing climate change</w:t>
      </w:r>
      <w:r w:rsidR="00D948F2">
        <w:rPr>
          <w:lang w:val="en-GB"/>
        </w:rPr>
        <w:t>,</w:t>
      </w:r>
      <w:r w:rsidR="00AC07AF" w:rsidRPr="00AC07AF">
        <w:rPr>
          <w:lang w:val="en-GB"/>
        </w:rPr>
        <w:t xml:space="preserve"> </w:t>
      </w:r>
      <w:r>
        <w:rPr>
          <w:lang w:val="en-GB"/>
        </w:rPr>
        <w:t>which is expected to cause a general increase in their frequencies and an exacerbation of their intensities in the near future</w:t>
      </w:r>
      <w:r w:rsidR="00AC07AF" w:rsidRPr="00AC07AF">
        <w:rPr>
          <w:lang w:val="en-GB"/>
        </w:rPr>
        <w:t xml:space="preserve">. </w:t>
      </w:r>
      <w:r w:rsidR="00184026">
        <w:rPr>
          <w:lang w:val="en-GB"/>
        </w:rPr>
        <w:t>However, t</w:t>
      </w:r>
      <w:r w:rsidR="00AC07AF" w:rsidRPr="00AC07AF">
        <w:rPr>
          <w:lang w:val="en-GB"/>
        </w:rPr>
        <w:t xml:space="preserve">he currently available models to assess the damage probability (i.e. vulnerability models) of the most common equipment items in relation to intense wind phenomena in the Natech Quantitative Risk Assessment framework are scarce and often non-exhaustive. </w:t>
      </w:r>
    </w:p>
    <w:p w14:paraId="6F5B985C" w14:textId="487AED2C" w:rsidR="00AC07AF" w:rsidRPr="003740D0" w:rsidRDefault="00995703" w:rsidP="00AC07AF">
      <w:pPr>
        <w:pStyle w:val="CETBodytext"/>
        <w:rPr>
          <w:lang w:val="en-GB"/>
        </w:rPr>
      </w:pPr>
      <w:r>
        <w:rPr>
          <w:lang w:val="en-GB"/>
        </w:rPr>
        <w:t xml:space="preserve">The </w:t>
      </w:r>
      <w:r w:rsidR="0040448F">
        <w:rPr>
          <w:lang w:val="en-GB"/>
        </w:rPr>
        <w:t>present</w:t>
      </w:r>
      <w:r w:rsidR="00AC07AF" w:rsidRPr="00AC07AF">
        <w:rPr>
          <w:lang w:val="en-GB"/>
        </w:rPr>
        <w:t xml:space="preserve"> study contributes to fill this gap proposing novel generalized vulnerability models for atmospheric storage tanks subject to wind solicitations.</w:t>
      </w:r>
      <w:r w:rsidR="00B30C9D">
        <w:rPr>
          <w:lang w:val="en-GB"/>
        </w:rPr>
        <w:t xml:space="preserve"> </w:t>
      </w:r>
      <w:r w:rsidR="00AC07AF" w:rsidRPr="00AC07AF">
        <w:rPr>
          <w:lang w:val="en-GB"/>
        </w:rPr>
        <w:t>The developed models are in the form of probit equations</w:t>
      </w:r>
      <w:r w:rsidR="007548B8">
        <w:rPr>
          <w:lang w:val="en-GB"/>
        </w:rPr>
        <w:t xml:space="preserve"> and</w:t>
      </w:r>
      <w:r w:rsidR="00AC07AF" w:rsidRPr="00AC07AF">
        <w:rPr>
          <w:lang w:val="en-GB"/>
        </w:rPr>
        <w:t xml:space="preserve"> allow </w:t>
      </w:r>
      <w:r w:rsidR="00F147A1">
        <w:rPr>
          <w:lang w:val="en-GB"/>
        </w:rPr>
        <w:t>an</w:t>
      </w:r>
      <w:r w:rsidR="00AC07AF" w:rsidRPr="00AC07AF">
        <w:rPr>
          <w:lang w:val="en-GB"/>
        </w:rPr>
        <w:t xml:space="preserve"> estimate of the probability of equipment damage associated with different wind velocities, explicitly addressing the potential catastrophic rupture of the tanks due to overturning and sliding phenomena. The results are demonstrated by a </w:t>
      </w:r>
      <w:r w:rsidR="00B30C9D">
        <w:rPr>
          <w:lang w:val="en-GB"/>
        </w:rPr>
        <w:t xml:space="preserve">notional </w:t>
      </w:r>
      <w:r w:rsidR="00AC07AF" w:rsidRPr="00AC07AF">
        <w:rPr>
          <w:lang w:val="en-GB"/>
        </w:rPr>
        <w:t>case study</w:t>
      </w:r>
      <w:r w:rsidR="009E7A76">
        <w:rPr>
          <w:lang w:val="en-GB"/>
        </w:rPr>
        <w:t xml:space="preserve"> </w:t>
      </w:r>
      <w:r w:rsidR="00AC07AF" w:rsidRPr="00AC07AF">
        <w:rPr>
          <w:lang w:val="en-GB"/>
        </w:rPr>
        <w:t>offering an example of the results obtainable in the context of</w:t>
      </w:r>
      <w:r w:rsidR="00B30C9D">
        <w:rPr>
          <w:lang w:val="en-GB"/>
        </w:rPr>
        <w:t xml:space="preserve"> Natech Quantitative </w:t>
      </w:r>
      <w:r w:rsidR="00AC07AF" w:rsidRPr="00AC07AF">
        <w:rPr>
          <w:lang w:val="en-GB"/>
        </w:rPr>
        <w:t>R</w:t>
      </w:r>
      <w:r w:rsidR="00B30C9D">
        <w:rPr>
          <w:lang w:val="en-GB"/>
        </w:rPr>
        <w:t xml:space="preserve">isk </w:t>
      </w:r>
      <w:r w:rsidR="00AC07AF" w:rsidRPr="00AC07AF">
        <w:rPr>
          <w:lang w:val="en-GB"/>
        </w:rPr>
        <w:t>A</w:t>
      </w:r>
      <w:r w:rsidR="00B30C9D">
        <w:rPr>
          <w:lang w:val="en-GB"/>
        </w:rPr>
        <w:t>ssessment</w:t>
      </w:r>
      <w:r w:rsidR="0069035E">
        <w:rPr>
          <w:lang w:val="en-GB"/>
        </w:rPr>
        <w:t xml:space="preserve"> (QRA)</w:t>
      </w:r>
      <w:r w:rsidR="00AC07AF" w:rsidRPr="00AC07AF">
        <w:rPr>
          <w:lang w:val="en-GB"/>
        </w:rPr>
        <w:t>. Overall, th</w:t>
      </w:r>
      <w:r w:rsidR="009E7A76">
        <w:rPr>
          <w:lang w:val="en-GB"/>
        </w:rPr>
        <w:t>e novel vulnerability</w:t>
      </w:r>
      <w:r w:rsidR="00AC07AF" w:rsidRPr="00AC07AF">
        <w:rPr>
          <w:lang w:val="en-GB"/>
        </w:rPr>
        <w:t xml:space="preserve"> models can support the definition of more robust preventive and mitigative measures to improve the resilience of chemical and process plants</w:t>
      </w:r>
      <w:bookmarkEnd w:id="1"/>
      <w:r w:rsidR="005F3F20">
        <w:rPr>
          <w:lang w:val="en-GB"/>
        </w:rPr>
        <w:t>.</w:t>
      </w:r>
    </w:p>
    <w:p w14:paraId="476B2F2E" w14:textId="52B36035" w:rsidR="00600535" w:rsidRDefault="00600535" w:rsidP="00600535">
      <w:pPr>
        <w:pStyle w:val="CETHeading1"/>
        <w:rPr>
          <w:lang w:val="en-GB"/>
        </w:rPr>
      </w:pPr>
      <w:r w:rsidRPr="00B57B36">
        <w:rPr>
          <w:lang w:val="en-GB"/>
        </w:rPr>
        <w:t>Introduction</w:t>
      </w:r>
    </w:p>
    <w:p w14:paraId="2A7B088E" w14:textId="0E69CCF0" w:rsidR="004366C7" w:rsidRPr="003943DD" w:rsidRDefault="0040448F" w:rsidP="0069035E">
      <w:r>
        <w:t>Accidents triggered by n</w:t>
      </w:r>
      <w:r w:rsidR="004366C7" w:rsidRPr="003943DD">
        <w:t>atural hazard</w:t>
      </w:r>
      <w:r>
        <w:t>s</w:t>
      </w:r>
      <w:r w:rsidR="0081069F" w:rsidRPr="003943DD">
        <w:t>,</w:t>
      </w:r>
      <w:r w:rsidR="004366C7" w:rsidRPr="003943DD">
        <w:t xml:space="preserve"> referred to as Natechs</w:t>
      </w:r>
      <w:r w:rsidR="0081069F" w:rsidRPr="003943DD">
        <w:t xml:space="preserve">, can be </w:t>
      </w:r>
      <w:r w:rsidR="00B30C9D" w:rsidRPr="003943DD">
        <w:t>caused</w:t>
      </w:r>
      <w:r w:rsidR="0081069F" w:rsidRPr="003943DD">
        <w:t xml:space="preserve"> by various</w:t>
      </w:r>
      <w:r w:rsidR="004278D3" w:rsidRPr="003943DD">
        <w:t xml:space="preserve"> types of</w:t>
      </w:r>
      <w:r w:rsidR="0081069F" w:rsidRPr="003943DD">
        <w:t xml:space="preserve"> natural hazards, with meteorological events such as tropical and extra</w:t>
      </w:r>
      <w:r w:rsidR="007B41AF" w:rsidRPr="003943DD">
        <w:t>-</w:t>
      </w:r>
      <w:r w:rsidR="0081069F" w:rsidRPr="003943DD">
        <w:t xml:space="preserve">tropical storms being </w:t>
      </w:r>
      <w:r w:rsidR="004278D3" w:rsidRPr="003943DD">
        <w:t xml:space="preserve">of particular concern </w:t>
      </w:r>
      <w:r w:rsidR="0081069F" w:rsidRPr="003943DD">
        <w:t>based on historical data (Mesa-Gómez et al., 2020).</w:t>
      </w:r>
      <w:r w:rsidR="004366C7" w:rsidRPr="003943DD">
        <w:t xml:space="preserve"> </w:t>
      </w:r>
      <w:r w:rsidR="00B30C9D" w:rsidRPr="003943DD">
        <w:t>In fact, o</w:t>
      </w:r>
      <w:r w:rsidR="004366C7" w:rsidRPr="003943DD">
        <w:t>ver the past seventy years, tropical storms have caused 50% of Natech accidents, while extra</w:t>
      </w:r>
      <w:r w:rsidR="007B41AF" w:rsidRPr="003943DD">
        <w:t>-</w:t>
      </w:r>
      <w:r w:rsidR="004366C7" w:rsidRPr="003943DD">
        <w:t>tropical storms account for</w:t>
      </w:r>
      <w:r w:rsidR="005F3F20">
        <w:t xml:space="preserve"> </w:t>
      </w:r>
      <w:r w:rsidR="004366C7" w:rsidRPr="003943DD">
        <w:t xml:space="preserve">12% (Ricci et al., 2021). </w:t>
      </w:r>
      <w:r w:rsidR="00B30C9D" w:rsidRPr="003943DD">
        <w:t>Additionally, t</w:t>
      </w:r>
      <w:r w:rsidR="004366C7" w:rsidRPr="003943DD">
        <w:t xml:space="preserve">he intensification of these </w:t>
      </w:r>
      <w:r w:rsidR="0019343E" w:rsidRPr="003943DD">
        <w:t>natural events</w:t>
      </w:r>
      <w:r w:rsidR="004366C7" w:rsidRPr="003943DD">
        <w:t>, driven</w:t>
      </w:r>
      <w:r w:rsidR="00B30C9D" w:rsidRPr="003943DD">
        <w:t xml:space="preserve"> </w:t>
      </w:r>
      <w:r w:rsidR="005F3F20">
        <w:t>primarily</w:t>
      </w:r>
      <w:r w:rsidR="004366C7" w:rsidRPr="003943DD">
        <w:t xml:space="preserve"> by climate change, presents new challenges for managing their impacts (Jung </w:t>
      </w:r>
      <w:r w:rsidR="0069035E">
        <w:t>and</w:t>
      </w:r>
      <w:r w:rsidR="004366C7" w:rsidRPr="003943DD">
        <w:t xml:space="preserve"> Lackmann, 2023</w:t>
      </w:r>
      <w:r w:rsidR="0069035E">
        <w:t>).</w:t>
      </w:r>
      <w:r w:rsidR="0069035E" w:rsidRPr="0069035E">
        <w:t xml:space="preserve"> Notably, this will likely increase the difficulty of preventing and mitigating Natech events triggered by intense wind phenomena in the future (Pilone et al., 2021)</w:t>
      </w:r>
      <w:r w:rsidR="0069035E">
        <w:t>.</w:t>
      </w:r>
      <w:r w:rsidR="005F3F20">
        <w:t xml:space="preserve"> </w:t>
      </w:r>
      <w:r w:rsidR="0069035E" w:rsidRPr="0069035E">
        <w:t>Atmospheric storage tanks are known to be particularly vulnerable to intense wind solicitations</w:t>
      </w:r>
      <w:r w:rsidR="0069035E">
        <w:t xml:space="preserve"> </w:t>
      </w:r>
      <w:r w:rsidR="005F3F20">
        <w:t>in</w:t>
      </w:r>
      <w:r w:rsidR="0069035E">
        <w:t xml:space="preserve"> the context of the chemical and process industry</w:t>
      </w:r>
      <w:r w:rsidR="0069035E" w:rsidRPr="0069035E">
        <w:t xml:space="preserve"> (EC Joint Research Centre, 2018) </w:t>
      </w:r>
      <w:r w:rsidR="005F3F20">
        <w:t xml:space="preserve">and, </w:t>
      </w:r>
      <w:r w:rsidR="0069035E" w:rsidRPr="0069035E">
        <w:t>as demonstrated by Hurricanes Katrina and Rita, the catastrophic rupture</w:t>
      </w:r>
      <w:r w:rsidR="0069035E">
        <w:t xml:space="preserve"> of this equipment</w:t>
      </w:r>
      <w:r w:rsidR="0069035E" w:rsidRPr="0069035E">
        <w:t xml:space="preserve"> can lead to the release of significant amounts of </w:t>
      </w:r>
      <w:r w:rsidR="0069035E">
        <w:t>hazardous substances</w:t>
      </w:r>
      <w:r w:rsidR="0069035E" w:rsidRPr="0069035E">
        <w:t xml:space="preserve"> (Cruz and Krausmann, 2013).</w:t>
      </w:r>
    </w:p>
    <w:p w14:paraId="717EFB3C" w14:textId="5227DE12" w:rsidR="00330C1B" w:rsidRPr="00330C1B" w:rsidRDefault="007708B0" w:rsidP="004366C7">
      <w:pPr>
        <w:pStyle w:val="CETBodytext"/>
        <w:rPr>
          <w:lang w:val="en-GB"/>
        </w:rPr>
      </w:pPr>
      <w:r w:rsidRPr="003943DD">
        <w:rPr>
          <w:lang w:val="en-GB"/>
        </w:rPr>
        <w:t xml:space="preserve">The need </w:t>
      </w:r>
      <w:r w:rsidR="000C767C" w:rsidRPr="003943DD">
        <w:rPr>
          <w:lang w:val="en-GB"/>
        </w:rPr>
        <w:t>for</w:t>
      </w:r>
      <w:r w:rsidR="004366C7" w:rsidRPr="003943DD">
        <w:rPr>
          <w:lang w:val="en-GB"/>
        </w:rPr>
        <w:t xml:space="preserve"> simplified models to estimate failure conditions and</w:t>
      </w:r>
      <w:r w:rsidR="00EC6177" w:rsidRPr="003943DD">
        <w:rPr>
          <w:lang w:val="en-GB"/>
        </w:rPr>
        <w:t xml:space="preserve"> to</w:t>
      </w:r>
      <w:r w:rsidR="004366C7" w:rsidRPr="003943DD">
        <w:rPr>
          <w:lang w:val="en-GB"/>
        </w:rPr>
        <w:t xml:space="preserve"> assess the vulnerability of atmospheric </w:t>
      </w:r>
      <w:r w:rsidR="00B30C9D" w:rsidRPr="003943DD">
        <w:rPr>
          <w:lang w:val="en-GB"/>
        </w:rPr>
        <w:t>storage</w:t>
      </w:r>
      <w:r w:rsidR="00562DEE" w:rsidRPr="003943DD">
        <w:rPr>
          <w:lang w:val="en-GB"/>
        </w:rPr>
        <w:t xml:space="preserve"> </w:t>
      </w:r>
      <w:r w:rsidR="004366C7" w:rsidRPr="003943DD">
        <w:rPr>
          <w:lang w:val="en-GB"/>
        </w:rPr>
        <w:t>tanks</w:t>
      </w:r>
      <w:r w:rsidR="00EC6177" w:rsidRPr="003943DD">
        <w:rPr>
          <w:lang w:val="en-GB"/>
        </w:rPr>
        <w:t xml:space="preserve"> in relation</w:t>
      </w:r>
      <w:r w:rsidR="004366C7" w:rsidRPr="003943DD">
        <w:rPr>
          <w:lang w:val="en-GB"/>
        </w:rPr>
        <w:t xml:space="preserve"> to </w:t>
      </w:r>
      <w:r w:rsidR="00EC6177" w:rsidRPr="003943DD">
        <w:rPr>
          <w:lang w:val="en-GB"/>
        </w:rPr>
        <w:t xml:space="preserve">intense </w:t>
      </w:r>
      <w:r w:rsidR="004366C7" w:rsidRPr="003943DD">
        <w:rPr>
          <w:lang w:val="en-GB"/>
        </w:rPr>
        <w:t xml:space="preserve">wind </w:t>
      </w:r>
      <w:r w:rsidR="00EC6177" w:rsidRPr="003943DD">
        <w:rPr>
          <w:lang w:val="en-GB"/>
        </w:rPr>
        <w:t>phenomena</w:t>
      </w:r>
      <w:r w:rsidR="004366C7" w:rsidRPr="003943DD">
        <w:rPr>
          <w:lang w:val="en-GB"/>
        </w:rPr>
        <w:t xml:space="preserve">, enabling </w:t>
      </w:r>
      <w:r w:rsidR="0069035E">
        <w:rPr>
          <w:lang w:val="en-GB"/>
        </w:rPr>
        <w:t>the</w:t>
      </w:r>
      <w:r w:rsidR="004366C7" w:rsidRPr="003943DD">
        <w:rPr>
          <w:lang w:val="en-GB"/>
        </w:rPr>
        <w:t xml:space="preserve"> inclusion in</w:t>
      </w:r>
      <w:r w:rsidR="0069035E">
        <w:rPr>
          <w:lang w:val="en-GB"/>
        </w:rPr>
        <w:t xml:space="preserve"> the QRA of Natech triggered by intense wind phenomena</w:t>
      </w:r>
      <w:r w:rsidRPr="003943DD">
        <w:rPr>
          <w:lang w:val="en-GB"/>
        </w:rPr>
        <w:t>, is evident</w:t>
      </w:r>
      <w:r w:rsidR="004366C7" w:rsidRPr="003943DD">
        <w:rPr>
          <w:lang w:val="en-GB"/>
        </w:rPr>
        <w:t xml:space="preserve">. However, current </w:t>
      </w:r>
      <w:r w:rsidRPr="003943DD">
        <w:rPr>
          <w:lang w:val="en-GB"/>
        </w:rPr>
        <w:t xml:space="preserve">vulnerability </w:t>
      </w:r>
      <w:r w:rsidR="004366C7" w:rsidRPr="003943DD">
        <w:rPr>
          <w:lang w:val="en-GB"/>
        </w:rPr>
        <w:t>models remain limited, as they focus on individual tank damage but not loss of containment (</w:t>
      </w:r>
      <w:r w:rsidR="007D5848" w:rsidRPr="003943DD">
        <w:rPr>
          <w:lang w:val="en-GB"/>
        </w:rPr>
        <w:t xml:space="preserve">e.g., </w:t>
      </w:r>
      <w:r w:rsidR="004366C7" w:rsidRPr="003943DD">
        <w:rPr>
          <w:lang w:val="en-GB"/>
        </w:rPr>
        <w:t xml:space="preserve">Bernier </w:t>
      </w:r>
      <w:r w:rsidR="009A1E9D" w:rsidRPr="003943DD">
        <w:rPr>
          <w:lang w:val="en-GB"/>
        </w:rPr>
        <w:t>and</w:t>
      </w:r>
      <w:r w:rsidR="004366C7" w:rsidRPr="003943DD">
        <w:rPr>
          <w:lang w:val="en-GB"/>
        </w:rPr>
        <w:t xml:space="preserve"> Padgett, 2019). </w:t>
      </w:r>
      <w:r w:rsidR="00B30C9D" w:rsidRPr="003943DD">
        <w:rPr>
          <w:lang w:val="en-GB"/>
        </w:rPr>
        <w:t>On these bases</w:t>
      </w:r>
      <w:r w:rsidR="004366C7" w:rsidRPr="003943DD">
        <w:rPr>
          <w:lang w:val="en-GB"/>
        </w:rPr>
        <w:t>, this study aims to develop generalized vulnerability models for assessing the damage probabilit</w:t>
      </w:r>
      <w:r w:rsidR="00D31675" w:rsidRPr="003943DD">
        <w:rPr>
          <w:lang w:val="en-GB"/>
        </w:rPr>
        <w:t xml:space="preserve">y </w:t>
      </w:r>
      <w:r w:rsidR="004366C7" w:rsidRPr="003943DD">
        <w:rPr>
          <w:lang w:val="en-GB"/>
        </w:rPr>
        <w:t xml:space="preserve">of </w:t>
      </w:r>
      <w:r w:rsidR="00EC6177" w:rsidRPr="003943DD">
        <w:rPr>
          <w:lang w:val="en-GB"/>
        </w:rPr>
        <w:t>self-</w:t>
      </w:r>
      <w:r w:rsidR="004366C7" w:rsidRPr="003943DD">
        <w:rPr>
          <w:lang w:val="en-GB"/>
        </w:rPr>
        <w:t xml:space="preserve">anchored </w:t>
      </w:r>
      <w:r w:rsidR="0069035E">
        <w:rPr>
          <w:lang w:val="en-GB"/>
        </w:rPr>
        <w:t xml:space="preserve">fixed-roof </w:t>
      </w:r>
      <w:r w:rsidR="004366C7" w:rsidRPr="003943DD">
        <w:rPr>
          <w:lang w:val="en-GB"/>
        </w:rPr>
        <w:t xml:space="preserve">atmospheric tanks </w:t>
      </w:r>
      <w:r w:rsidR="005F3F20">
        <w:t xml:space="preserve">designed in accordance with the sizing guidelines provided by the </w:t>
      </w:r>
      <w:r w:rsidR="004366C7" w:rsidRPr="003943DD">
        <w:rPr>
          <w:lang w:val="en-GB"/>
        </w:rPr>
        <w:t xml:space="preserve">API-650 </w:t>
      </w:r>
      <w:r w:rsidR="005F3F20">
        <w:rPr>
          <w:lang w:val="en-GB"/>
        </w:rPr>
        <w:t>S</w:t>
      </w:r>
      <w:r w:rsidR="004366C7" w:rsidRPr="003943DD">
        <w:rPr>
          <w:lang w:val="en-GB"/>
        </w:rPr>
        <w:t>tandard (American Petroleum Institute, 2020)</w:t>
      </w:r>
      <w:r w:rsidR="005F3F20">
        <w:rPr>
          <w:lang w:val="en-GB"/>
        </w:rPr>
        <w:t xml:space="preserve"> for welded oil storage tanks</w:t>
      </w:r>
      <w:r w:rsidR="000C767C" w:rsidRPr="003943DD">
        <w:rPr>
          <w:lang w:val="en-GB"/>
        </w:rPr>
        <w:t>,</w:t>
      </w:r>
      <w:r w:rsidR="005F3F20" w:rsidRPr="003943DD">
        <w:rPr>
          <w:lang w:val="en-GB"/>
        </w:rPr>
        <w:t xml:space="preserve"> </w:t>
      </w:r>
      <w:r w:rsidRPr="003943DD">
        <w:rPr>
          <w:lang w:val="en-GB"/>
        </w:rPr>
        <w:t xml:space="preserve">also considering the probability associated with different loss of </w:t>
      </w:r>
      <w:r w:rsidR="002E0D02" w:rsidRPr="003943DD">
        <w:rPr>
          <w:lang w:val="en-GB"/>
        </w:rPr>
        <w:t xml:space="preserve">inventory </w:t>
      </w:r>
      <w:r w:rsidRPr="003943DD">
        <w:rPr>
          <w:lang w:val="en-GB"/>
        </w:rPr>
        <w:t>levels.</w:t>
      </w:r>
      <w:r>
        <w:rPr>
          <w:lang w:val="en-GB"/>
        </w:rPr>
        <w:t xml:space="preserve"> </w:t>
      </w:r>
    </w:p>
    <w:p w14:paraId="5741900F" w14:textId="573D8CFE" w:rsidR="00453E24" w:rsidRDefault="000C4EC7" w:rsidP="00330C1B">
      <w:pPr>
        <w:pStyle w:val="CETHeading1"/>
      </w:pPr>
      <w:r>
        <w:lastRenderedPageBreak/>
        <w:t>Method</w:t>
      </w:r>
    </w:p>
    <w:p w14:paraId="3123B434" w14:textId="0B367874" w:rsidR="00A71B59" w:rsidRPr="00867D0E" w:rsidRDefault="00EC6177" w:rsidP="00562DEE">
      <w:pPr>
        <w:pStyle w:val="CETEquation"/>
        <w:jc w:val="both"/>
      </w:pPr>
      <w:r>
        <w:t>T</w:t>
      </w:r>
      <w:r w:rsidR="005B31C3" w:rsidRPr="004366C7">
        <w:t>his paper develops generalized vulnerability models for the assessment of</w:t>
      </w:r>
      <w:r w:rsidR="005B31C3">
        <w:t xml:space="preserve"> the damage probability </w:t>
      </w:r>
      <w:r w:rsidR="005F3F20">
        <w:t>associated with</w:t>
      </w:r>
      <w:r w:rsidR="005B31C3" w:rsidRPr="005B31C3">
        <w:t xml:space="preserve"> self-anchored </w:t>
      </w:r>
      <w:r w:rsidR="0069035E">
        <w:t xml:space="preserve">fixed-roof </w:t>
      </w:r>
      <w:r w:rsidR="005B31C3" w:rsidRPr="005B31C3">
        <w:t>atmospheric storage tanks designed in accordance with the International Standard API-650</w:t>
      </w:r>
      <w:r w:rsidR="005F3F20">
        <w:t xml:space="preserve"> subjected to wind solicitations</w:t>
      </w:r>
      <w:r w:rsidR="005B31C3">
        <w:t xml:space="preserve">. </w:t>
      </w:r>
      <w:r w:rsidR="00125B80">
        <w:t>D</w:t>
      </w:r>
      <w:r w:rsidR="00125B80" w:rsidRPr="005B31C3">
        <w:t>amage probability</w:t>
      </w:r>
      <w:r w:rsidR="00125B80">
        <w:t xml:space="preserve"> </w:t>
      </w:r>
      <w:r w:rsidR="00125B80" w:rsidRPr="00562DEE">
        <w:rPr>
          <w:i/>
          <w:iCs/>
        </w:rPr>
        <w:t>P</w:t>
      </w:r>
      <w:r w:rsidR="00125B80">
        <w:t xml:space="preserve"> </w:t>
      </w:r>
      <w:r w:rsidR="00125B80" w:rsidRPr="005B31C3">
        <w:t xml:space="preserve">is modelled as a function of </w:t>
      </w:r>
      <w:r w:rsidR="00125B80">
        <w:t xml:space="preserve">the </w:t>
      </w:r>
      <w:r w:rsidR="00125B80" w:rsidRPr="005B31C3">
        <w:t xml:space="preserve">wind speed associated </w:t>
      </w:r>
      <w:r w:rsidR="00125B80">
        <w:t>with</w:t>
      </w:r>
      <w:r w:rsidR="00125B80" w:rsidRPr="005B31C3">
        <w:t xml:space="preserve"> the mechanisms of damage under investigation</w:t>
      </w:r>
      <w:r w:rsidR="00125B80">
        <w:t xml:space="preserve"> </w:t>
      </w:r>
      <w:r w:rsidR="00125B80" w:rsidRPr="00562DEE">
        <w:rPr>
          <w:i/>
          <w:iCs/>
        </w:rPr>
        <w:t>v</w:t>
      </w:r>
      <w:r w:rsidR="00125B80">
        <w:t xml:space="preserve"> </w:t>
      </w:r>
      <w:r w:rsidR="00ED0865">
        <w:t>(</w:t>
      </w:r>
      <w:r w:rsidR="004C1D44" w:rsidRPr="004C1D44">
        <w:t>Salzano et al., 2003</w:t>
      </w:r>
      <w:r w:rsidR="00ED0865">
        <w:t>)</w:t>
      </w:r>
      <w:r w:rsidR="005B31C3" w:rsidRPr="005B31C3">
        <w:t xml:space="preserve">, </w:t>
      </w:r>
      <w:r w:rsidR="00F73627">
        <w:rPr>
          <w:rFonts w:eastAsiaTheme="minorEastAsia"/>
        </w:rPr>
        <w:t xml:space="preserve">as </w:t>
      </w:r>
      <w:r w:rsidR="00A71B59" w:rsidRPr="007B5EF2">
        <w:t xml:space="preserve">presented in </w:t>
      </w:r>
      <w:r w:rsidR="00236788" w:rsidRPr="00867D0E">
        <w:t>Eq(1)</w:t>
      </w:r>
      <w:r w:rsidR="002E0D02">
        <w:t xml:space="preserve"> </w:t>
      </w:r>
      <w:r w:rsidR="002E0D02" w:rsidRPr="00867D0E">
        <w:t>and Eq(2)</w:t>
      </w:r>
      <w:r w:rsidR="005F3F20">
        <w:t>,</w:t>
      </w:r>
      <w:r w:rsidR="008F07F0" w:rsidRPr="00867D0E">
        <w:t xml:space="preserve"> since the literature indicates this is the most common method used for defining vulnerability models in the Natech setting</w:t>
      </w:r>
    </w:p>
    <w:p w14:paraId="41C506A2" w14:textId="4DC3AFFD" w:rsidR="00A71B59" w:rsidRPr="00867D0E" w:rsidRDefault="00A71B59" w:rsidP="00A71B59">
      <w:pPr>
        <w:pStyle w:val="CETEquation"/>
      </w:pPr>
      <w:bookmarkStart w:id="2" w:name="_Hlk167874498"/>
      <w:bookmarkStart w:id="3" w:name="_Ref171261573"/>
      <m:oMath>
        <m:r>
          <w:rPr>
            <w:rFonts w:ascii="Cambria Math" w:hAnsi="Cambria Math"/>
          </w:rPr>
          <m:t>P</m:t>
        </m:r>
        <m:d>
          <m:dPr>
            <m:ctrlPr>
              <w:rPr>
                <w:rFonts w:ascii="Cambria Math" w:hAnsi="Cambria Math"/>
                <w:i/>
                <w:iCs/>
              </w:rPr>
            </m:ctrlPr>
          </m:dPr>
          <m:e>
            <m:r>
              <w:rPr>
                <w:rFonts w:ascii="Cambria Math" w:hAnsi="Cambria Math"/>
              </w:rPr>
              <m:t>v</m:t>
            </m:r>
          </m:e>
        </m:d>
        <m:r>
          <w:rPr>
            <w:rFonts w:ascii="Cambria Math" w:hAnsi="Cambria Math"/>
          </w:rPr>
          <m:t xml:space="preserve"> </m:t>
        </m:r>
      </m:oMath>
      <w:bookmarkEnd w:id="2"/>
      <w:r w:rsidRPr="00867D0E">
        <w:rPr>
          <w:rFonts w:eastAsiaTheme="minorEastAsia"/>
          <w:i/>
          <w:iCs/>
        </w:rPr>
        <w:t>=</w:t>
      </w:r>
      <m:oMath>
        <m:r>
          <w:rPr>
            <w:rFonts w:ascii="Cambria Math" w:eastAsiaTheme="minorEastAsia" w:hAnsi="Cambria Math"/>
          </w:rPr>
          <m:t xml:space="preserve"> </m:t>
        </m:r>
        <m:f>
          <m:fPr>
            <m:ctrlPr>
              <w:rPr>
                <w:rFonts w:ascii="Cambria Math" w:hAnsi="Cambria Math"/>
                <w:i/>
                <w:iCs/>
              </w:rPr>
            </m:ctrlPr>
          </m:fPr>
          <m:num>
            <m:r>
              <w:rPr>
                <w:rFonts w:ascii="Cambria Math" w:hAnsi="Cambria Math"/>
              </w:rPr>
              <m:t>1</m:t>
            </m:r>
          </m:num>
          <m:den>
            <m:rad>
              <m:radPr>
                <m:degHide m:val="1"/>
                <m:ctrlPr>
                  <w:rPr>
                    <w:rFonts w:ascii="Cambria Math" w:hAnsi="Cambria Math"/>
                    <w:i/>
                    <w:iCs/>
                  </w:rPr>
                </m:ctrlPr>
              </m:radPr>
              <m:deg/>
              <m:e>
                <m:r>
                  <w:rPr>
                    <w:rFonts w:ascii="Cambria Math" w:hAnsi="Cambria Math"/>
                  </w:rPr>
                  <m:t>2π</m:t>
                </m:r>
              </m:e>
            </m:rad>
          </m:den>
        </m:f>
      </m:oMath>
      <w:r w:rsidRPr="00867D0E">
        <w:rPr>
          <w:rFonts w:eastAsiaTheme="minorEastAsia"/>
          <w:i/>
          <w:iCs/>
        </w:rPr>
        <w:t xml:space="preserve"> </w:t>
      </w:r>
      <m:oMath>
        <m:nary>
          <m:naryPr>
            <m:limLoc m:val="subSup"/>
            <m:ctrlPr>
              <w:rPr>
                <w:rFonts w:ascii="Cambria Math" w:eastAsiaTheme="minorEastAsia" w:hAnsi="Cambria Math"/>
                <w:i/>
                <w:iCs/>
              </w:rPr>
            </m:ctrlPr>
          </m:naryPr>
          <m:sub>
            <m:r>
              <w:rPr>
                <w:rFonts w:ascii="Cambria Math" w:eastAsiaTheme="minorEastAsia" w:hAnsi="Cambria Math"/>
              </w:rPr>
              <m:t>-∞</m:t>
            </m:r>
          </m:sub>
          <m:sup>
            <m:r>
              <w:rPr>
                <w:rFonts w:ascii="Cambria Math" w:eastAsiaTheme="minorEastAsia" w:hAnsi="Cambria Math"/>
              </w:rPr>
              <m:t>Y -5</m:t>
            </m:r>
          </m:sup>
          <m:e>
            <m:func>
              <m:funcPr>
                <m:ctrlPr>
                  <w:rPr>
                    <w:rFonts w:ascii="Cambria Math" w:eastAsiaTheme="minorEastAsia" w:hAnsi="Cambria Math"/>
                    <w:i/>
                    <w:iCs/>
                  </w:rPr>
                </m:ctrlPr>
              </m:funcPr>
              <m:fName>
                <m:r>
                  <w:rPr>
                    <w:rFonts w:ascii="Cambria Math" w:eastAsiaTheme="minorEastAsia" w:hAnsi="Cambria Math"/>
                  </w:rPr>
                  <m:t>exp</m:t>
                </m:r>
              </m:fName>
              <m:e>
                <m:d>
                  <m:dPr>
                    <m:ctrlPr>
                      <w:rPr>
                        <w:rFonts w:ascii="Cambria Math" w:eastAsiaTheme="minorEastAsia" w:hAnsi="Cambria Math"/>
                        <w:i/>
                        <w:iCs/>
                      </w:rPr>
                    </m:ctrlPr>
                  </m:dPr>
                  <m:e>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-v</m:t>
                            </m:r>
                          </m:e>
                          <m:sup>
                            <m:r>
                              <w:rPr>
                                <w:rFonts w:ascii="Cambria Math" w:eastAsiaTheme="minorEastAsia" w:hAnsi="Cambria Math"/>
                              </w:rPr>
                              <m:t>2</m:t>
                            </m:r>
                          </m:sup>
                        </m:sSup>
                      </m:num>
                      <m:den>
                        <m:r>
                          <w:rPr>
                            <w:rFonts w:ascii="Cambria Math" w:eastAsiaTheme="minorEastAsia" w:hAnsi="Cambria Math"/>
                          </w:rPr>
                          <m:t>2</m:t>
                        </m:r>
                      </m:den>
                    </m:f>
                  </m:e>
                </m:d>
              </m:e>
            </m:func>
          </m:e>
        </m:nary>
        <m:r>
          <w:rPr>
            <w:rFonts w:ascii="Cambria Math" w:eastAsiaTheme="minorEastAsia" w:hAnsi="Cambria Math"/>
          </w:rPr>
          <m:t xml:space="preserve"> dv</m:t>
        </m:r>
      </m:oMath>
      <w:r w:rsidRPr="00867D0E">
        <w:rPr>
          <w:rFonts w:eastAsiaTheme="minorEastAsia"/>
        </w:rPr>
        <w:t xml:space="preserve">                                                                                                                           </w:t>
      </w:r>
      <w:r w:rsidR="002E0D02" w:rsidRPr="00867D0E">
        <w:rPr>
          <w:rFonts w:eastAsiaTheme="minorEastAsia"/>
        </w:rPr>
        <w:t xml:space="preserve"> </w:t>
      </w:r>
      <w:r w:rsidRPr="00867D0E">
        <w:rPr>
          <w:rFonts w:eastAsiaTheme="minorEastAsia"/>
        </w:rPr>
        <w:t>(1</w:t>
      </w:r>
      <w:r w:rsidRPr="00867D0E">
        <w:t>)</w:t>
      </w:r>
      <w:bookmarkEnd w:id="3"/>
      <w:r w:rsidRPr="00867D0E">
        <w:t xml:space="preserve"> </w:t>
      </w:r>
    </w:p>
    <w:p w14:paraId="3D0810E1" w14:textId="5DDBA131" w:rsidR="002E0D02" w:rsidRPr="00867D0E" w:rsidRDefault="00A71B59" w:rsidP="00A71B59">
      <w:pPr>
        <w:pStyle w:val="CETEquation"/>
        <w:rPr>
          <w:rFonts w:eastAsiaTheme="minorEastAsia"/>
        </w:rPr>
      </w:pPr>
      <m:oMath>
        <m:r>
          <w:rPr>
            <w:rFonts w:ascii="Cambria Math" w:hAnsi="Cambria Math"/>
          </w:rPr>
          <m:t>Y</m:t>
        </m:r>
        <m:r>
          <m:rPr>
            <m:sty m:val="p"/>
          </m:rPr>
          <w:rPr>
            <w:rFonts w:ascii="Cambria Math" w:hAnsi="Cambria Math"/>
          </w:rPr>
          <m:t xml:space="preserve">= </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 </m:t>
        </m:r>
        <m:r>
          <w:rPr>
            <w:rFonts w:ascii="Cambria Math" w:hAnsi="Cambria Math"/>
          </w:rPr>
          <m:t>ln</m:t>
        </m:r>
        <m:d>
          <m:dPr>
            <m:ctrlPr>
              <w:rPr>
                <w:rFonts w:ascii="Cambria Math" w:hAnsi="Cambria Math"/>
              </w:rPr>
            </m:ctrlPr>
          </m:dPr>
          <m:e>
            <m:r>
              <w:rPr>
                <w:rFonts w:ascii="Cambria Math" w:hAnsi="Cambria Math"/>
              </w:rPr>
              <m:t>v</m:t>
            </m:r>
          </m:e>
        </m:d>
      </m:oMath>
      <w:r w:rsidRPr="00867D0E">
        <w:rPr>
          <w:rFonts w:eastAsiaTheme="minorEastAsia"/>
        </w:rPr>
        <w:t xml:space="preserve">                                         </w:t>
      </w:r>
      <w:r w:rsidR="00236788" w:rsidRPr="00867D0E">
        <w:rPr>
          <w:rFonts w:eastAsiaTheme="minorEastAsia"/>
        </w:rPr>
        <w:t xml:space="preserve">             </w:t>
      </w:r>
      <w:r w:rsidRPr="00867D0E">
        <w:rPr>
          <w:rFonts w:eastAsiaTheme="minorEastAsia"/>
        </w:rPr>
        <w:t xml:space="preserve">                                                                              </w:t>
      </w:r>
      <w:r w:rsidR="00236788" w:rsidRPr="00867D0E">
        <w:rPr>
          <w:rFonts w:eastAsiaTheme="minorEastAsia"/>
        </w:rPr>
        <w:t xml:space="preserve">          </w:t>
      </w:r>
      <w:r w:rsidR="00EC6177" w:rsidRPr="00867D0E">
        <w:rPr>
          <w:rFonts w:eastAsiaTheme="minorEastAsia"/>
        </w:rPr>
        <w:t xml:space="preserve"> </w:t>
      </w:r>
      <w:r w:rsidR="00236788" w:rsidRPr="00867D0E">
        <w:rPr>
          <w:rFonts w:eastAsiaTheme="minorEastAsia"/>
        </w:rPr>
        <w:t xml:space="preserve"> (2</w:t>
      </w:r>
      <w:r w:rsidR="00236788" w:rsidRPr="00867D0E">
        <w:t>)</w:t>
      </w:r>
      <w:r w:rsidR="00995703">
        <w:t>.</w:t>
      </w:r>
      <w:r w:rsidRPr="00867D0E">
        <w:rPr>
          <w:rFonts w:eastAsiaTheme="minorEastAsia"/>
        </w:rPr>
        <w:t xml:space="preserve">  </w:t>
      </w:r>
      <w:r w:rsidR="00236788" w:rsidRPr="00867D0E">
        <w:rPr>
          <w:rFonts w:eastAsiaTheme="minorEastAsia"/>
        </w:rPr>
        <w:t xml:space="preserve">  </w:t>
      </w:r>
    </w:p>
    <w:p w14:paraId="3BCEC351" w14:textId="3940D3DA" w:rsidR="00A71B59" w:rsidRDefault="002E0D02" w:rsidP="00562DEE">
      <w:pPr>
        <w:pStyle w:val="CETEquation"/>
        <w:rPr>
          <w:rFonts w:eastAsiaTheme="minorEastAsia"/>
        </w:rPr>
      </w:pPr>
      <w:r w:rsidRPr="00867D0E">
        <w:rPr>
          <w:rFonts w:eastAsiaTheme="minorEastAsia"/>
        </w:rPr>
        <w:t xml:space="preserve">In the equations, </w:t>
      </w:r>
      <w:r w:rsidR="008F07F0" w:rsidRPr="00867D0E">
        <w:rPr>
          <w:rFonts w:eastAsiaTheme="minorEastAsia"/>
          <w:i/>
          <w:iCs/>
        </w:rPr>
        <w:t>Y</w:t>
      </w:r>
      <w:r w:rsidR="008F07F0" w:rsidRPr="00867D0E">
        <w:rPr>
          <w:rFonts w:eastAsiaTheme="minorEastAsia"/>
        </w:rPr>
        <w:t xml:space="preserve"> </w:t>
      </w:r>
      <w:r w:rsidRPr="00867D0E">
        <w:rPr>
          <w:rFonts w:eastAsiaTheme="minorEastAsia"/>
        </w:rPr>
        <w:t xml:space="preserve">is </w:t>
      </w:r>
      <w:r w:rsidRPr="00867D0E">
        <w:t>the probit variable</w:t>
      </w:r>
      <w:r w:rsidR="00BE57A9" w:rsidRPr="00867D0E">
        <w:t>,</w:t>
      </w:r>
      <w:r w:rsidRPr="00867D0E">
        <w:t xml:space="preserve"> </w:t>
      </w:r>
      <w:r w:rsidR="00562DEE" w:rsidRPr="00867D0E">
        <w:t xml:space="preserve">which can be </w:t>
      </w:r>
      <w:r w:rsidRPr="00867D0E">
        <w:t xml:space="preserve">determined </w:t>
      </w:r>
      <w:r w:rsidR="005B31C3" w:rsidRPr="00867D0E">
        <w:rPr>
          <w:rFonts w:eastAsiaTheme="minorEastAsia"/>
        </w:rPr>
        <w:t>by defining</w:t>
      </w:r>
      <w:r w:rsidR="00A71B59" w:rsidRPr="00867D0E">
        <w:rPr>
          <w:rFonts w:eastAsiaTheme="minorEastAsia"/>
        </w:rPr>
        <w:t xml:space="preserve"> the probit coefficients</w:t>
      </w:r>
      <w:r w:rsidR="008F07F0" w:rsidRPr="00867D0E">
        <w:rPr>
          <w:rFonts w:eastAsiaTheme="minorEastAsia"/>
        </w:rPr>
        <w:t xml:space="preserve"> </w:t>
      </w:r>
      <w:r w:rsidR="008F07F0" w:rsidRPr="00867D0E">
        <w:rPr>
          <w:rFonts w:eastAsiaTheme="minorEastAsia"/>
          <w:i/>
          <w:iCs/>
        </w:rPr>
        <w:t>A</w:t>
      </w:r>
      <w:r w:rsidR="008F07F0" w:rsidRPr="00867D0E">
        <w:rPr>
          <w:rFonts w:eastAsiaTheme="minorEastAsia"/>
        </w:rPr>
        <w:t xml:space="preserve"> and </w:t>
      </w:r>
      <w:r w:rsidR="008F07F0" w:rsidRPr="00867D0E">
        <w:rPr>
          <w:rFonts w:eastAsiaTheme="minorEastAsia"/>
          <w:i/>
          <w:iCs/>
        </w:rPr>
        <w:t>B</w:t>
      </w:r>
      <w:r w:rsidR="00A71B59" w:rsidRPr="00867D0E">
        <w:rPr>
          <w:rFonts w:eastAsiaTheme="minorEastAsia"/>
        </w:rPr>
        <w:t xml:space="preserve">. </w:t>
      </w:r>
      <w:r w:rsidR="00562DEE" w:rsidRPr="00867D0E">
        <w:rPr>
          <w:rFonts w:eastAsiaTheme="minorEastAsia"/>
        </w:rPr>
        <w:t>Referring to this</w:t>
      </w:r>
      <w:r w:rsidR="00A71B59" w:rsidRPr="00867D0E">
        <w:rPr>
          <w:rFonts w:eastAsiaTheme="minorEastAsia"/>
        </w:rPr>
        <w:t xml:space="preserve"> approach, the present work </w:t>
      </w:r>
      <w:r w:rsidR="005B31C3" w:rsidRPr="00867D0E">
        <w:rPr>
          <w:rFonts w:eastAsiaTheme="minorEastAsia"/>
        </w:rPr>
        <w:t>intended to determine</w:t>
      </w:r>
      <w:r w:rsidR="00A71B59" w:rsidRPr="00867D0E">
        <w:rPr>
          <w:rFonts w:eastAsiaTheme="minorEastAsia"/>
        </w:rPr>
        <w:t xml:space="preserve"> the vulnerability </w:t>
      </w:r>
      <w:r w:rsidR="003B1164" w:rsidRPr="00867D0E">
        <w:rPr>
          <w:rFonts w:eastAsiaTheme="minorEastAsia"/>
        </w:rPr>
        <w:t xml:space="preserve">functions </w:t>
      </w:r>
      <w:r w:rsidR="003B1164" w:rsidRPr="00867D0E">
        <w:rPr>
          <w:rFonts w:eastAsiaTheme="minorEastAsia"/>
          <w:i/>
          <w:iCs/>
        </w:rPr>
        <w:t>V</w:t>
      </w:r>
      <w:r w:rsidR="003B1164" w:rsidRPr="00867D0E">
        <w:rPr>
          <w:rFonts w:eastAsiaTheme="minorEastAsia"/>
        </w:rPr>
        <w:t xml:space="preserve"> that </w:t>
      </w:r>
      <w:r w:rsidR="005B31C3" w:rsidRPr="00867D0E">
        <w:rPr>
          <w:rFonts w:eastAsiaTheme="minorEastAsia"/>
        </w:rPr>
        <w:t>correlate</w:t>
      </w:r>
      <w:r w:rsidR="00A71B59" w:rsidRPr="00867D0E">
        <w:rPr>
          <w:rFonts w:eastAsiaTheme="minorEastAsia"/>
        </w:rPr>
        <w:t xml:space="preserve"> the damage probability with the probit </w:t>
      </w:r>
      <w:r w:rsidR="00995703">
        <w:rPr>
          <w:rFonts w:eastAsiaTheme="minorEastAsia"/>
        </w:rPr>
        <w:t xml:space="preserve">variable </w:t>
      </w:r>
      <w:r w:rsidR="00995703" w:rsidRPr="00995703">
        <w:rPr>
          <w:rFonts w:eastAsiaTheme="minorEastAsia"/>
          <w:i/>
          <w:iCs/>
        </w:rPr>
        <w:t>Y</w:t>
      </w:r>
      <w:r w:rsidR="00995703">
        <w:rPr>
          <w:rFonts w:eastAsiaTheme="minorEastAsia"/>
          <w:i/>
          <w:iCs/>
        </w:rPr>
        <w:t>,</w:t>
      </w:r>
      <w:r w:rsidR="00995703">
        <w:rPr>
          <w:rFonts w:eastAsiaTheme="minorEastAsia"/>
        </w:rPr>
        <w:t xml:space="preserve"> as </w:t>
      </w:r>
      <w:r w:rsidR="005B31C3" w:rsidRPr="00867D0E">
        <w:rPr>
          <w:rFonts w:eastAsiaTheme="minorEastAsia"/>
        </w:rPr>
        <w:t xml:space="preserve">shown </w:t>
      </w:r>
      <w:r w:rsidR="00A71B59" w:rsidRPr="00867D0E">
        <w:rPr>
          <w:rFonts w:eastAsiaTheme="minorEastAsia"/>
        </w:rPr>
        <w:t xml:space="preserve">in </w:t>
      </w:r>
      <w:r w:rsidR="00236788" w:rsidRPr="00867D0E">
        <w:rPr>
          <w:rFonts w:eastAsiaTheme="minorEastAsia"/>
        </w:rPr>
        <w:t>Eq(3)</w:t>
      </w:r>
      <w:r w:rsidR="00A71B59" w:rsidRPr="00867D0E">
        <w:rPr>
          <w:rFonts w:eastAsiaTheme="minorEastAsia"/>
        </w:rPr>
        <w:t xml:space="preserve"> </w:t>
      </w:r>
    </w:p>
    <w:p w14:paraId="5AFD9045" w14:textId="46C475B1" w:rsidR="00A71B59" w:rsidRDefault="00A71B59" w:rsidP="00A71B59">
      <w:pPr>
        <w:pStyle w:val="CETEquation"/>
        <w:rPr>
          <w:rFonts w:eastAsiaTheme="minorEastAsia"/>
        </w:rPr>
      </w:pPr>
      <m:oMath>
        <m:r>
          <w:rPr>
            <w:rFonts w:ascii="Cambria Math" w:hAnsi="Cambria Math"/>
          </w:rPr>
          <m:t>P</m:t>
        </m:r>
        <m:d>
          <m:dPr>
            <m:ctrlPr>
              <w:rPr>
                <w:rFonts w:ascii="Cambria Math" w:hAnsi="Cambria Math"/>
                <w:i/>
                <w:iCs/>
              </w:rPr>
            </m:ctrlPr>
          </m:dPr>
          <m:e>
            <m:r>
              <w:rPr>
                <w:rFonts w:ascii="Cambria Math" w:hAnsi="Cambria Math"/>
              </w:rPr>
              <m:t>v</m:t>
            </m:r>
          </m:e>
        </m:d>
        <m:r>
          <w:rPr>
            <w:rFonts w:ascii="Cambria Math" w:hAnsi="Cambria Math"/>
          </w:rPr>
          <m:t xml:space="preserve"> </m:t>
        </m:r>
      </m:oMath>
      <w:r w:rsidRPr="00A62396">
        <w:rPr>
          <w:rFonts w:eastAsiaTheme="minorEastAsia"/>
          <w:i/>
          <w:iCs/>
        </w:rPr>
        <w:t>=</w:t>
      </w:r>
      <m:oMath>
        <m:r>
          <w:rPr>
            <w:rFonts w:ascii="Cambria Math" w:eastAsiaTheme="minorEastAsia" w:hAnsi="Cambria Math"/>
          </w:rPr>
          <m:t xml:space="preserve"> </m:t>
        </m:r>
        <m:r>
          <w:rPr>
            <w:rFonts w:ascii="Cambria Math" w:hAnsi="Cambria Math"/>
          </w:rPr>
          <m:t>V(Y)</m:t>
        </m:r>
      </m:oMath>
      <w:r w:rsidRPr="008F44A0">
        <w:rPr>
          <w:rFonts w:eastAsiaTheme="minorEastAsia"/>
        </w:rPr>
        <w:t xml:space="preserve">     </w:t>
      </w:r>
      <w:r w:rsidR="00236788">
        <w:rPr>
          <w:rFonts w:eastAsiaTheme="minorEastAsia"/>
        </w:rPr>
        <w:t xml:space="preserve">                                                                                                                                              </w:t>
      </w:r>
      <w:r w:rsidR="00562DEE">
        <w:rPr>
          <w:rFonts w:eastAsiaTheme="minorEastAsia"/>
        </w:rPr>
        <w:t xml:space="preserve"> </w:t>
      </w:r>
      <w:r w:rsidR="00236788">
        <w:rPr>
          <w:rFonts w:eastAsiaTheme="minorEastAsia"/>
        </w:rPr>
        <w:t xml:space="preserve">   (</w:t>
      </w:r>
      <w:r w:rsidR="00A351E3">
        <w:rPr>
          <w:rFonts w:eastAsiaTheme="minorEastAsia"/>
        </w:rPr>
        <w:t>3</w:t>
      </w:r>
      <w:r w:rsidR="00236788" w:rsidRPr="00051BD4">
        <w:t>)</w:t>
      </w:r>
      <w:r w:rsidR="00236788">
        <w:t>.</w:t>
      </w:r>
    </w:p>
    <w:p w14:paraId="702FF77B" w14:textId="629037DC" w:rsidR="00562DEE" w:rsidRDefault="0069035E" w:rsidP="00C96448">
      <w:pPr>
        <w:rPr>
          <w:rFonts w:eastAsiaTheme="minorEastAsia"/>
          <w:lang w:val="en-US"/>
        </w:rPr>
      </w:pPr>
      <w:r>
        <w:rPr>
          <w:rFonts w:eastAsiaTheme="minorEastAsia"/>
          <w:lang w:val="en-US"/>
        </w:rPr>
        <w:t xml:space="preserve">Notably, </w:t>
      </w:r>
      <w:r w:rsidR="00ED0865">
        <w:rPr>
          <w:rFonts w:eastAsiaTheme="minorEastAsia"/>
          <w:lang w:val="en-US"/>
        </w:rPr>
        <w:t>Eq(4) allows the assessment of the</w:t>
      </w:r>
      <w:r w:rsidR="00ED0865" w:rsidRPr="00307476">
        <w:rPr>
          <w:rFonts w:eastAsiaTheme="minorEastAsia"/>
          <w:lang w:val="en-US"/>
        </w:rPr>
        <w:t xml:space="preserve"> combined probability compatible with a </w:t>
      </w:r>
      <w:r w:rsidR="00ED0865">
        <w:rPr>
          <w:rFonts w:eastAsiaTheme="minorEastAsia"/>
          <w:lang w:val="en-US"/>
        </w:rPr>
        <w:t>reference</w:t>
      </w:r>
      <w:r w:rsidR="00ED0865" w:rsidRPr="00307476">
        <w:rPr>
          <w:rFonts w:eastAsiaTheme="minorEastAsia"/>
          <w:lang w:val="en-US"/>
        </w:rPr>
        <w:t xml:space="preserve"> loss of </w:t>
      </w:r>
      <w:r w:rsidR="00ED0865">
        <w:rPr>
          <w:rFonts w:eastAsiaTheme="minorEastAsia"/>
          <w:lang w:val="en-US"/>
        </w:rPr>
        <w:t>inventory</w:t>
      </w:r>
      <w:r w:rsidR="00ED0865" w:rsidRPr="00307476">
        <w:rPr>
          <w:rFonts w:eastAsiaTheme="minorEastAsia"/>
          <w:lang w:val="en-US"/>
        </w:rPr>
        <w:t xml:space="preserve"> </w:t>
      </w:r>
      <w:r w:rsidR="00ED0865">
        <w:rPr>
          <w:rFonts w:eastAsiaTheme="minorEastAsia"/>
          <w:lang w:val="en-US"/>
        </w:rPr>
        <w:t>level</w:t>
      </w:r>
      <w:r w:rsidR="00ED0865" w:rsidRPr="00C03ED4">
        <w:rPr>
          <w:rFonts w:eastAsiaTheme="minorEastAsia"/>
          <w:i/>
          <w:iCs/>
          <w:lang w:val="en-US"/>
        </w:rPr>
        <w:t xml:space="preserve"> </w:t>
      </w:r>
      <m:oMath>
        <m:r>
          <w:rPr>
            <w:rFonts w:ascii="Cambria Math" w:hAnsi="Cambria Math"/>
            <w:lang w:val="en-US"/>
          </w:rPr>
          <m:t>i</m:t>
        </m:r>
      </m:oMath>
      <w:r w:rsidR="005F3F20">
        <w:rPr>
          <w:rFonts w:eastAsiaTheme="minorEastAsia"/>
          <w:lang w:val="en-US"/>
        </w:rPr>
        <w:t xml:space="preserve">, </w:t>
      </w:r>
      <w:r w:rsidR="00ED0865">
        <w:rPr>
          <w:rFonts w:eastAsiaTheme="minorEastAsia"/>
          <w:lang w:val="en-US"/>
        </w:rPr>
        <w:t xml:space="preserve">represented </w:t>
      </w:r>
      <w:r w:rsidR="005F3F20">
        <w:rPr>
          <w:rFonts w:eastAsiaTheme="minorEastAsia"/>
          <w:lang w:val="en-US"/>
        </w:rPr>
        <w:t>through the</w:t>
      </w:r>
      <w:r w:rsidR="00ED0865">
        <w:rPr>
          <w:rFonts w:eastAsiaTheme="minorEastAsia"/>
          <w:lang w:val="en-US"/>
        </w:rPr>
        <w:t xml:space="preserve"> release classes defined in Section 2.2</w:t>
      </w:r>
    </w:p>
    <w:p w14:paraId="66BE28F9" w14:textId="243D731E" w:rsidR="00562DEE" w:rsidRDefault="00000000" w:rsidP="00562DEE">
      <w:pPr>
        <w:pStyle w:val="CETEquation"/>
        <w:rPr>
          <w:rFonts w:eastAsiaTheme="minorEastAsia"/>
          <w:lang w:val="en-US"/>
        </w:rPr>
      </w:pPr>
      <m:oMath>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i</m:t>
            </m:r>
          </m:sub>
        </m:sSub>
        <m:r>
          <m:rPr>
            <m:sty m:val="p"/>
          </m:rPr>
          <w:rPr>
            <w:rFonts w:ascii="Cambria Math" w:hAnsi="Cambria Math"/>
            <w:lang w:val="en-US"/>
          </w:rPr>
          <m:t>(</m:t>
        </m:r>
        <m:r>
          <w:rPr>
            <w:rFonts w:ascii="Cambria Math" w:hAnsi="Cambria Math"/>
            <w:lang w:val="en-US"/>
          </w:rPr>
          <m:t>v</m:t>
        </m:r>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ξ</m:t>
            </m:r>
          </m:e>
          <m:sub>
            <m:r>
              <w:rPr>
                <w:rFonts w:ascii="Cambria Math" w:hAnsi="Cambria Math"/>
                <w:lang w:val="en-US"/>
              </w:rPr>
              <m:t>i</m:t>
            </m:r>
          </m:sub>
        </m:sSub>
        <m:r>
          <m:rPr>
            <m:sty m:val="p"/>
          </m:rPr>
          <w:rPr>
            <w:rFonts w:ascii="Cambria Math" w:hAnsi="Cambria Math"/>
            <w:lang w:val="en-US"/>
          </w:rPr>
          <m:t> </m:t>
        </m:r>
        <m:sSub>
          <m:sSubPr>
            <m:ctrlPr>
              <w:rPr>
                <w:rFonts w:ascii="Cambria Math" w:hAnsi="Cambria Math"/>
                <w:lang w:val="en-US"/>
              </w:rPr>
            </m:ctrlPr>
          </m:sSubPr>
          <m:e>
            <m:r>
              <w:rPr>
                <w:rFonts w:ascii="Cambria Math" w:hAnsi="Cambria Math"/>
                <w:lang w:val="en-US"/>
              </w:rPr>
              <m:t>V</m:t>
            </m:r>
          </m:e>
          <m:sub>
            <m:r>
              <w:rPr>
                <w:rFonts w:ascii="Cambria Math" w:hAnsi="Cambria Math"/>
                <w:lang w:val="en-US"/>
              </w:rPr>
              <m:t>i</m:t>
            </m:r>
          </m:sub>
        </m:sSub>
        <m:r>
          <m:rPr>
            <m:sty m:val="p"/>
          </m:rPr>
          <w:rPr>
            <w:rFonts w:ascii="Cambria Math" w:hAnsi="Cambria Math"/>
            <w:lang w:val="en-US"/>
          </w:rPr>
          <m:t> </m:t>
        </m:r>
        <m:d>
          <m:dPr>
            <m:ctrlPr>
              <w:rPr>
                <w:rFonts w:ascii="Cambria Math" w:eastAsiaTheme="minorEastAsia" w:hAnsi="Cambria Math"/>
                <w:lang w:val="en-US"/>
              </w:rPr>
            </m:ctrlPr>
          </m:dPr>
          <m:e>
            <m:sSub>
              <m:sSubPr>
                <m:ctrlPr>
                  <w:rPr>
                    <w:rFonts w:ascii="Cambria Math" w:eastAsiaTheme="minorEastAsia" w:hAnsi="Cambria Math"/>
                    <w:lang w:val="en-US"/>
                  </w:rPr>
                </m:ctrlPr>
              </m:sSubPr>
              <m:e>
                <m:r>
                  <w:rPr>
                    <w:rFonts w:ascii="Cambria Math" w:eastAsiaTheme="minorEastAsia" w:hAnsi="Cambria Math"/>
                    <w:lang w:val="en-US"/>
                  </w:rPr>
                  <m:t>Y</m:t>
                </m:r>
              </m:e>
              <m:sub>
                <m:r>
                  <w:rPr>
                    <w:rFonts w:ascii="Cambria Math" w:eastAsiaTheme="minorEastAsia" w:hAnsi="Cambria Math"/>
                    <w:lang w:val="en-US"/>
                  </w:rPr>
                  <m:t>i</m:t>
                </m:r>
              </m:sub>
            </m:sSub>
          </m:e>
        </m:d>
        <m:r>
          <m:rPr>
            <m:sty m:val="p"/>
          </m:rPr>
          <w:rPr>
            <w:rFonts w:ascii="Cambria Math" w:eastAsiaTheme="minorEastAsia" w:hAnsi="Cambria Math"/>
            <w:lang w:val="en-US"/>
          </w:rPr>
          <m:t xml:space="preserve">                                                                                        </m:t>
        </m:r>
      </m:oMath>
      <w:r w:rsidR="00562DEE" w:rsidRPr="00982AED">
        <w:rPr>
          <w:rFonts w:eastAsiaTheme="minorEastAsia"/>
          <w:lang w:val="en-US"/>
        </w:rPr>
        <w:t xml:space="preserve">                                    </w:t>
      </w:r>
      <w:r w:rsidR="00562DEE">
        <w:rPr>
          <w:rFonts w:eastAsiaTheme="minorEastAsia"/>
          <w:lang w:val="en-US"/>
        </w:rPr>
        <w:t xml:space="preserve"> </w:t>
      </w:r>
      <w:r w:rsidR="00562DEE" w:rsidRPr="00982AED">
        <w:rPr>
          <w:rFonts w:eastAsiaTheme="minorEastAsia"/>
          <w:lang w:val="en-US"/>
        </w:rPr>
        <w:t xml:space="preserve">                        </w:t>
      </w:r>
      <w:r w:rsidR="00562DEE">
        <w:rPr>
          <w:rFonts w:eastAsiaTheme="minorEastAsia"/>
          <w:lang w:val="en-US"/>
        </w:rPr>
        <w:t xml:space="preserve">     </w:t>
      </w:r>
      <w:r w:rsidR="00562DEE" w:rsidRPr="00982AED">
        <w:rPr>
          <w:rFonts w:eastAsiaTheme="minorEastAsia"/>
          <w:lang w:val="en-US"/>
        </w:rPr>
        <w:t xml:space="preserve">  </w:t>
      </w:r>
      <w:r w:rsidR="00562DEE">
        <w:rPr>
          <w:rFonts w:eastAsiaTheme="minorEastAsia"/>
          <w:lang w:val="en-US"/>
        </w:rPr>
        <w:t xml:space="preserve">      (4)</w:t>
      </w:r>
      <w:r w:rsidR="005F3F20">
        <w:rPr>
          <w:rFonts w:eastAsiaTheme="minorEastAsia"/>
          <w:lang w:val="en-US"/>
        </w:rPr>
        <w:t>.</w:t>
      </w:r>
    </w:p>
    <w:p w14:paraId="28775A10" w14:textId="3E440CCA" w:rsidR="00236788" w:rsidRPr="003B1164" w:rsidRDefault="005F3F20" w:rsidP="00C96448">
      <w:pPr>
        <w:rPr>
          <w:rFonts w:ascii="Cambria Math" w:eastAsiaTheme="minorEastAsia" w:hAnsi="Cambria Math"/>
          <w:i/>
          <w:iCs/>
        </w:rPr>
      </w:pPr>
      <w:r>
        <w:rPr>
          <w:rFonts w:eastAsiaTheme="minorEastAsia"/>
          <w:lang w:val="en-US"/>
        </w:rPr>
        <w:t>In the equation,</w:t>
      </w:r>
      <w:r w:rsidR="00C96448" w:rsidRPr="002E0D02">
        <w:rPr>
          <w:rFonts w:eastAsiaTheme="minorEastAsia"/>
          <w:lang w:val="en-US"/>
        </w:rPr>
        <w:t xml:space="preserve"> </w:t>
      </w:r>
      <w:r w:rsidR="003B1164" w:rsidRPr="003B1164">
        <w:rPr>
          <w:rFonts w:eastAsiaTheme="minorEastAsia"/>
          <w:i/>
          <w:iCs/>
          <w:lang w:val="en-US"/>
        </w:rPr>
        <w:t>ξ</w:t>
      </w:r>
      <w:r w:rsidR="003B1164" w:rsidRPr="003B1164">
        <w:rPr>
          <w:rFonts w:eastAsiaTheme="minorEastAsia"/>
          <w:i/>
          <w:iCs/>
          <w:vertAlign w:val="subscript"/>
          <w:lang w:val="en-US"/>
        </w:rPr>
        <w:t>i</w:t>
      </w:r>
      <w:r w:rsidR="003B1164">
        <w:rPr>
          <w:rFonts w:eastAsiaTheme="minorEastAsia"/>
          <w:i/>
          <w:iCs/>
          <w:vertAlign w:val="subscript"/>
          <w:lang w:val="en-US"/>
        </w:rPr>
        <w:t xml:space="preserve"> </w:t>
      </w:r>
      <w:r w:rsidRPr="005F3F20">
        <w:rPr>
          <w:rFonts w:eastAsiaTheme="minorEastAsia"/>
          <w:lang w:val="en-US"/>
        </w:rPr>
        <w:t xml:space="preserve">is </w:t>
      </w:r>
      <w:r w:rsidR="00C96448" w:rsidRPr="002E0D02">
        <w:rPr>
          <w:rFonts w:eastAsiaTheme="minorEastAsia"/>
          <w:lang w:val="en-US"/>
        </w:rPr>
        <w:t xml:space="preserve">a </w:t>
      </w:r>
      <w:r w:rsidR="00A351E3" w:rsidRPr="002E0D02">
        <w:rPr>
          <w:rFonts w:eastAsiaTheme="minorEastAsia"/>
          <w:lang w:val="en-US"/>
        </w:rPr>
        <w:t xml:space="preserve">numerical </w:t>
      </w:r>
      <w:r w:rsidR="00C96448" w:rsidRPr="002E0D02">
        <w:rPr>
          <w:rFonts w:eastAsiaTheme="minorEastAsia"/>
          <w:lang w:val="en-US"/>
        </w:rPr>
        <w:t xml:space="preserve">coefficient representing the complement of the probability of having a release of a reference entity and </w:t>
      </w:r>
      <w:r w:rsidR="003B1164" w:rsidRPr="003B1164">
        <w:rPr>
          <w:rFonts w:eastAsiaTheme="minorEastAsia"/>
          <w:i/>
          <w:iCs/>
        </w:rPr>
        <w:t>V</w:t>
      </w:r>
      <w:r w:rsidR="003B1164" w:rsidRPr="003B1164">
        <w:rPr>
          <w:rFonts w:eastAsiaTheme="minorEastAsia"/>
          <w:i/>
          <w:iCs/>
          <w:vertAlign w:val="subscript"/>
        </w:rPr>
        <w:t>i</w:t>
      </w:r>
      <w:r w:rsidR="00C96448" w:rsidRPr="003B1164">
        <w:rPr>
          <w:rFonts w:eastAsiaTheme="minorEastAsia"/>
          <w:vertAlign w:val="subscript"/>
          <w:lang w:val="en-US"/>
        </w:rPr>
        <w:t xml:space="preserve"> </w:t>
      </w:r>
      <w:r w:rsidR="009E7A76" w:rsidRPr="009E7A76">
        <w:rPr>
          <w:rFonts w:eastAsiaTheme="minorEastAsia"/>
          <w:lang w:val="en-US"/>
        </w:rPr>
        <w:t xml:space="preserve"> </w:t>
      </w:r>
      <w:r w:rsidR="00C96448" w:rsidRPr="002E0D02">
        <w:rPr>
          <w:rFonts w:eastAsiaTheme="minorEastAsia"/>
          <w:lang w:val="en-US"/>
        </w:rPr>
        <w:t xml:space="preserve">a vulnerability function dependent on the probit </w:t>
      </w:r>
      <w:r w:rsidR="004278D3" w:rsidRPr="002E0D02">
        <w:rPr>
          <w:rFonts w:eastAsiaTheme="minorEastAsia"/>
          <w:lang w:val="en-US"/>
        </w:rPr>
        <w:t xml:space="preserve">variable </w:t>
      </w:r>
      <w:r w:rsidR="00C96448" w:rsidRPr="002E0D02">
        <w:rPr>
          <w:rFonts w:eastAsiaTheme="minorEastAsia"/>
          <w:lang w:val="en-US"/>
        </w:rPr>
        <w:t xml:space="preserve">associated with a specific level of loss of containment </w:t>
      </w:r>
      <w:r w:rsidR="003B1164">
        <w:rPr>
          <w:rFonts w:eastAsiaTheme="minorEastAsia"/>
          <w:i/>
          <w:iCs/>
        </w:rPr>
        <w:t>Y</w:t>
      </w:r>
      <w:r w:rsidR="003B1164" w:rsidRPr="003B1164">
        <w:rPr>
          <w:rFonts w:eastAsiaTheme="minorEastAsia"/>
          <w:i/>
          <w:iCs/>
          <w:vertAlign w:val="subscript"/>
        </w:rPr>
        <w:t>i</w:t>
      </w:r>
      <w:r w:rsidR="003B1164">
        <w:rPr>
          <w:rFonts w:eastAsiaTheme="minorEastAsia"/>
          <w:vertAlign w:val="subscript"/>
          <w:lang w:val="en-US"/>
        </w:rPr>
        <w:t>.</w:t>
      </w:r>
    </w:p>
    <w:p w14:paraId="63539D26" w14:textId="02ED0695" w:rsidR="0028612E" w:rsidRDefault="00A351E3" w:rsidP="00E07416">
      <w:pPr>
        <w:pStyle w:val="Paragrafoelenco"/>
        <w:ind w:left="0"/>
      </w:pPr>
      <w:r w:rsidRPr="002E0D02">
        <w:rPr>
          <w:rFonts w:eastAsiaTheme="minorEastAsia"/>
        </w:rPr>
        <w:t xml:space="preserve">In order to develop the novel generalized vulnerability models, a set of reference </w:t>
      </w:r>
      <w:r w:rsidR="002E0D02" w:rsidRPr="002E0D02">
        <w:rPr>
          <w:rFonts w:eastAsiaTheme="minorEastAsia"/>
        </w:rPr>
        <w:t xml:space="preserve">self-anchored </w:t>
      </w:r>
      <w:r w:rsidR="004D489D">
        <w:rPr>
          <w:rFonts w:eastAsiaTheme="minorEastAsia"/>
        </w:rPr>
        <w:t>fixed-roof</w:t>
      </w:r>
      <w:r w:rsidRPr="002E0D02">
        <w:rPr>
          <w:rFonts w:eastAsiaTheme="minorEastAsia"/>
        </w:rPr>
        <w:t xml:space="preserve"> atmospheric tanks was defined </w:t>
      </w:r>
      <w:r w:rsidR="002E0D02" w:rsidRPr="002E0D02">
        <w:rPr>
          <w:rFonts w:eastAsiaTheme="minorEastAsia"/>
        </w:rPr>
        <w:t xml:space="preserve">for model calibration </w:t>
      </w:r>
      <w:r w:rsidRPr="002E0D02">
        <w:rPr>
          <w:rFonts w:eastAsiaTheme="minorEastAsia"/>
        </w:rPr>
        <w:t xml:space="preserve">in compliance with API-650 design </w:t>
      </w:r>
      <w:r w:rsidR="0069035E">
        <w:rPr>
          <w:rFonts w:eastAsiaTheme="minorEastAsia"/>
        </w:rPr>
        <w:t>guidelines</w:t>
      </w:r>
      <w:r w:rsidRPr="002E0D02">
        <w:rPr>
          <w:rFonts w:eastAsiaTheme="minorEastAsia"/>
        </w:rPr>
        <w:t xml:space="preserve">. </w:t>
      </w:r>
      <w:r w:rsidR="005F3F20">
        <w:rPr>
          <w:rFonts w:eastAsiaTheme="minorEastAsia"/>
        </w:rPr>
        <w:t>T</w:t>
      </w:r>
      <w:r w:rsidRPr="002E0D02">
        <w:rPr>
          <w:rFonts w:eastAsiaTheme="minorEastAsia"/>
        </w:rPr>
        <w:t xml:space="preserve">he most significant damage mechanisms for </w:t>
      </w:r>
      <w:r w:rsidR="004D489D">
        <w:rPr>
          <w:rFonts w:eastAsiaTheme="minorEastAsia"/>
        </w:rPr>
        <w:t>self-anchored fixed-roof tanks</w:t>
      </w:r>
      <w:r w:rsidRPr="002E0D02">
        <w:rPr>
          <w:rFonts w:eastAsiaTheme="minorEastAsia"/>
        </w:rPr>
        <w:t xml:space="preserve"> </w:t>
      </w:r>
      <w:r w:rsidR="002E0D02" w:rsidRPr="002E0D02">
        <w:rPr>
          <w:rFonts w:eastAsiaTheme="minorEastAsia"/>
        </w:rPr>
        <w:t>were</w:t>
      </w:r>
      <w:r w:rsidRPr="002E0D02">
        <w:rPr>
          <w:rFonts w:eastAsiaTheme="minorEastAsia"/>
        </w:rPr>
        <w:t xml:space="preserve"> identified, and </w:t>
      </w:r>
      <w:r w:rsidR="002E0D02" w:rsidRPr="002E0D02">
        <w:rPr>
          <w:rFonts w:eastAsiaTheme="minorEastAsia"/>
        </w:rPr>
        <w:t xml:space="preserve">specific </w:t>
      </w:r>
      <w:r w:rsidRPr="002E0D02">
        <w:rPr>
          <w:rFonts w:eastAsiaTheme="minorEastAsia"/>
        </w:rPr>
        <w:t xml:space="preserve">mechanical models </w:t>
      </w:r>
      <w:r w:rsidR="002E0D02" w:rsidRPr="002E0D02">
        <w:rPr>
          <w:rFonts w:eastAsiaTheme="minorEastAsia"/>
        </w:rPr>
        <w:t>were</w:t>
      </w:r>
      <w:r w:rsidRPr="002E0D02">
        <w:rPr>
          <w:rFonts w:eastAsiaTheme="minorEastAsia"/>
        </w:rPr>
        <w:t xml:space="preserve"> established in order to correlate tank features with the wind load resulting </w:t>
      </w:r>
      <w:r w:rsidR="002E0D02" w:rsidRPr="002E0D02">
        <w:rPr>
          <w:rFonts w:eastAsiaTheme="minorEastAsia"/>
        </w:rPr>
        <w:t>in</w:t>
      </w:r>
      <w:r w:rsidRPr="002E0D02">
        <w:rPr>
          <w:rFonts w:eastAsiaTheme="minorEastAsia"/>
        </w:rPr>
        <w:t xml:space="preserve"> damage.</w:t>
      </w:r>
      <w:r w:rsidR="004D489D">
        <w:rPr>
          <w:rFonts w:eastAsiaTheme="minorEastAsia"/>
        </w:rPr>
        <w:t xml:space="preserve"> After setting these bases, </w:t>
      </w:r>
      <w:r w:rsidR="002E0D02" w:rsidRPr="002E0D02">
        <w:rPr>
          <w:rFonts w:eastAsiaTheme="minorEastAsia"/>
        </w:rPr>
        <w:t>the</w:t>
      </w:r>
      <w:r w:rsidRPr="002E0D02">
        <w:rPr>
          <w:rFonts w:eastAsiaTheme="minorEastAsia"/>
        </w:rPr>
        <w:t xml:space="preserve"> c</w:t>
      </w:r>
      <w:r w:rsidR="004D489D">
        <w:rPr>
          <w:rFonts w:eastAsiaTheme="minorEastAsia"/>
        </w:rPr>
        <w:t>u</w:t>
      </w:r>
      <w:r w:rsidRPr="002E0D02">
        <w:rPr>
          <w:rFonts w:eastAsiaTheme="minorEastAsia"/>
        </w:rPr>
        <w:t xml:space="preserve">mulative </w:t>
      </w:r>
      <w:r w:rsidR="002E0D02" w:rsidRPr="002E0D02">
        <w:rPr>
          <w:rFonts w:eastAsiaTheme="minorEastAsia"/>
        </w:rPr>
        <w:t>d</w:t>
      </w:r>
      <w:r w:rsidRPr="002E0D02">
        <w:rPr>
          <w:rFonts w:eastAsiaTheme="minorEastAsia"/>
        </w:rPr>
        <w:t xml:space="preserve">amage probability </w:t>
      </w:r>
      <w:r w:rsidR="005F3F20">
        <w:rPr>
          <w:rFonts w:eastAsiaTheme="minorEastAsia"/>
        </w:rPr>
        <w:t xml:space="preserve">for </w:t>
      </w:r>
      <w:r w:rsidR="005F3F20" w:rsidRPr="002E0D02">
        <w:rPr>
          <w:rFonts w:eastAsiaTheme="minorEastAsia"/>
        </w:rPr>
        <w:t>each tank in the set</w:t>
      </w:r>
      <w:r w:rsidR="005F3F20">
        <w:rPr>
          <w:rFonts w:eastAsiaTheme="minorEastAsia"/>
        </w:rPr>
        <w:t xml:space="preserve"> and</w:t>
      </w:r>
      <w:r w:rsidR="005F3F20" w:rsidRPr="002E0D02">
        <w:rPr>
          <w:rFonts w:eastAsiaTheme="minorEastAsia"/>
        </w:rPr>
        <w:t xml:space="preserve"> damage mechanism </w:t>
      </w:r>
      <w:r w:rsidRPr="002E0D02">
        <w:rPr>
          <w:rFonts w:eastAsiaTheme="minorEastAsia"/>
        </w:rPr>
        <w:t>was</w:t>
      </w:r>
      <w:r w:rsidR="002E0D02" w:rsidRPr="002E0D02">
        <w:rPr>
          <w:rFonts w:eastAsiaTheme="minorEastAsia"/>
        </w:rPr>
        <w:t xml:space="preserve"> </w:t>
      </w:r>
      <w:r w:rsidRPr="002E0D02">
        <w:rPr>
          <w:rFonts w:eastAsiaTheme="minorEastAsia"/>
        </w:rPr>
        <w:t>computed through Monte Carlo simulations.</w:t>
      </w:r>
      <w:r w:rsidR="002E0D02" w:rsidRPr="002E0D02">
        <w:rPr>
          <w:rFonts w:eastAsiaTheme="minorEastAsia"/>
        </w:rPr>
        <w:t xml:space="preserve"> </w:t>
      </w:r>
      <w:r w:rsidR="005F3F20">
        <w:rPr>
          <w:rFonts w:eastAsiaTheme="minorEastAsia"/>
        </w:rPr>
        <w:t>The</w:t>
      </w:r>
      <w:r w:rsidR="00B945E1" w:rsidRPr="002E0D02">
        <w:rPr>
          <w:rFonts w:eastAsiaTheme="minorEastAsia"/>
        </w:rPr>
        <w:t xml:space="preserve"> results obtained were </w:t>
      </w:r>
      <w:r w:rsidR="00236788" w:rsidRPr="002E0D02">
        <w:rPr>
          <w:rFonts w:eastAsiaTheme="minorEastAsia"/>
        </w:rPr>
        <w:t>statistical</w:t>
      </w:r>
      <w:r w:rsidR="002E0D02" w:rsidRPr="002E0D02">
        <w:rPr>
          <w:rFonts w:eastAsiaTheme="minorEastAsia"/>
        </w:rPr>
        <w:t xml:space="preserve">ly </w:t>
      </w:r>
      <w:r w:rsidR="00B945E1" w:rsidRPr="002E0D02">
        <w:rPr>
          <w:rFonts w:eastAsiaTheme="minorEastAsia"/>
        </w:rPr>
        <w:t>analyzed and generalized</w:t>
      </w:r>
      <w:r w:rsidR="00236788" w:rsidRPr="002E0D02">
        <w:rPr>
          <w:rFonts w:eastAsiaTheme="minorEastAsia"/>
        </w:rPr>
        <w:t xml:space="preserve"> on the basis of specific dimensional classes of tanks defined within the analysis.</w:t>
      </w:r>
      <w:r w:rsidR="00236788">
        <w:rPr>
          <w:rFonts w:eastAsiaTheme="minorEastAsia"/>
        </w:rPr>
        <w:t xml:space="preserve"> </w:t>
      </w:r>
    </w:p>
    <w:p w14:paraId="5E013531" w14:textId="6F8B2D4C" w:rsidR="00ED5E52" w:rsidRDefault="00ED5E52" w:rsidP="00A65CB8">
      <w:pPr>
        <w:pStyle w:val="CETheadingx"/>
      </w:pPr>
      <w:r w:rsidRPr="00ED5E52">
        <w:t xml:space="preserve">Definition of </w:t>
      </w:r>
      <w:r w:rsidR="00A65CB8">
        <w:t xml:space="preserve">a </w:t>
      </w:r>
      <w:r w:rsidRPr="00ED5E52">
        <w:t xml:space="preserve">set of reference tanks </w:t>
      </w:r>
    </w:p>
    <w:p w14:paraId="51020FC5" w14:textId="02DE4466" w:rsidR="00966DD5" w:rsidRPr="008F3A68" w:rsidRDefault="002621E8" w:rsidP="00283E7C">
      <w:pPr>
        <w:pStyle w:val="CETBodytext"/>
      </w:pPr>
      <w:r w:rsidRPr="002621E8">
        <w:t>A set of 18 reference self-anchored, fixed-roof atmospheric storage tanks was defined based on the general sizing guidelines provided in the international standard API-650.</w:t>
      </w:r>
      <w:r w:rsidR="00DF356A">
        <w:t xml:space="preserve"> </w:t>
      </w:r>
      <w:r w:rsidR="000A6CEB">
        <w:t xml:space="preserve">For reference, </w:t>
      </w:r>
      <w:r w:rsidR="00744AE6">
        <w:t xml:space="preserve">the </w:t>
      </w:r>
      <w:r w:rsidR="000A6CEB">
        <w:t>v</w:t>
      </w:r>
      <w:r w:rsidR="00DF356A">
        <w:t>olume of tanks range</w:t>
      </w:r>
      <w:r w:rsidR="00744AE6">
        <w:t>s</w:t>
      </w:r>
      <w:r w:rsidR="00DF356A">
        <w:t xml:space="preserve"> from 25 to 16</w:t>
      </w:r>
      <w:r w:rsidR="00995703">
        <w:t>,</w:t>
      </w:r>
      <w:r w:rsidR="00DF356A">
        <w:t>000 m</w:t>
      </w:r>
      <w:r w:rsidR="00DF356A" w:rsidRPr="000A6CEB">
        <w:rPr>
          <w:vertAlign w:val="superscript"/>
        </w:rPr>
        <w:t>3</w:t>
      </w:r>
      <w:r w:rsidR="000A6CEB">
        <w:t xml:space="preserve">. </w:t>
      </w:r>
      <w:r w:rsidRPr="002621E8">
        <w:t>The shell height and diameter of each tank were specified directly according to the Standard. The shell thickness was determined by taking the average of the thickness values across all courses specified in the API. For simplicity, the roof thickness was assumed to be equal to the shell thickness, and roof heights were calculated using an average slope of 6:12. In the analysis, a maximum corrosion allowance of 3.2 mm was considered</w:t>
      </w:r>
      <w:r w:rsidR="005F3F20">
        <w:t xml:space="preserve"> (</w:t>
      </w:r>
      <w:r w:rsidRPr="002621E8">
        <w:t>Ahmad</w:t>
      </w:r>
      <w:r w:rsidR="005F3F20">
        <w:t xml:space="preserve">, </w:t>
      </w:r>
      <w:r w:rsidRPr="002621E8">
        <w:t>2006).</w:t>
      </w:r>
    </w:p>
    <w:p w14:paraId="66A99845" w14:textId="1A4F1FD8" w:rsidR="00A65CB8" w:rsidRDefault="00ED5E52" w:rsidP="00A65CB8">
      <w:pPr>
        <w:pStyle w:val="CETheadingx"/>
      </w:pPr>
      <w:r>
        <w:t>Identification of relevant damage mechanisms</w:t>
      </w:r>
      <w:r w:rsidR="002621E8">
        <w:t xml:space="preserve"> and </w:t>
      </w:r>
      <w:r w:rsidR="00FF2BF1">
        <w:t>release classes</w:t>
      </w:r>
    </w:p>
    <w:p w14:paraId="1B2B6EB2" w14:textId="3CCD60BC" w:rsidR="0021310C" w:rsidRDefault="0069035E" w:rsidP="00502598">
      <w:pPr>
        <w:pStyle w:val="CETBodytext"/>
        <w:rPr>
          <w:lang w:val="en-GB"/>
        </w:rPr>
      </w:pPr>
      <w:r>
        <w:rPr>
          <w:lang w:val="en-GB"/>
        </w:rPr>
        <w:t>The</w:t>
      </w:r>
      <w:r w:rsidR="004477C5" w:rsidRPr="004477C5">
        <w:rPr>
          <w:lang w:val="en-GB"/>
        </w:rPr>
        <w:t xml:space="preserve"> damage mechanisms </w:t>
      </w:r>
      <w:r>
        <w:rPr>
          <w:lang w:val="en-GB"/>
        </w:rPr>
        <w:t>selected for the present analysis are</w:t>
      </w:r>
      <w:r w:rsidR="004477C5" w:rsidRPr="004477C5">
        <w:rPr>
          <w:lang w:val="en-GB"/>
        </w:rPr>
        <w:t xml:space="preserve"> overturning and sliding, with the assumption of a catastrophic rupture in both cases. </w:t>
      </w:r>
      <w:r w:rsidRPr="0069035E">
        <w:rPr>
          <w:lang w:val="en-GB"/>
        </w:rPr>
        <w:t>This specific choice takes into account that the</w:t>
      </w:r>
      <w:r>
        <w:rPr>
          <w:lang w:val="en-GB"/>
        </w:rPr>
        <w:t xml:space="preserve"> </w:t>
      </w:r>
      <w:r w:rsidR="004477C5" w:rsidRPr="004477C5">
        <w:rPr>
          <w:lang w:val="en-GB"/>
        </w:rPr>
        <w:t>bottoms of atmospheric storage tanks are not self-supporting, making them vulnerable to plate detachment, which can lead to a rapid, large-scale release of the tank</w:t>
      </w:r>
      <w:r w:rsidR="004477C5">
        <w:rPr>
          <w:lang w:val="en-GB"/>
        </w:rPr>
        <w:t>'</w:t>
      </w:r>
      <w:r w:rsidR="004477C5" w:rsidRPr="004477C5">
        <w:rPr>
          <w:lang w:val="en-GB"/>
        </w:rPr>
        <w:t xml:space="preserve">s contents, similar to a catastrophic failure. </w:t>
      </w:r>
    </w:p>
    <w:p w14:paraId="4C8813E3" w14:textId="0EA5C540" w:rsidR="003B1164" w:rsidRPr="003740D0" w:rsidRDefault="004477C5" w:rsidP="00502598">
      <w:pPr>
        <w:pStyle w:val="CETBodytext"/>
        <w:rPr>
          <w:lang w:val="en-GB"/>
        </w:rPr>
      </w:pPr>
      <w:r w:rsidRPr="004477C5">
        <w:rPr>
          <w:lang w:val="en-GB"/>
        </w:rPr>
        <w:t xml:space="preserve">Given the significance of the </w:t>
      </w:r>
      <w:r w:rsidR="0069035E">
        <w:rPr>
          <w:lang w:val="en-GB"/>
        </w:rPr>
        <w:t>entity of loss of inventory</w:t>
      </w:r>
      <w:r w:rsidRPr="004477C5">
        <w:rPr>
          <w:lang w:val="en-GB"/>
        </w:rPr>
        <w:t xml:space="preserve"> for the vulnerability analysis, three distinct release </w:t>
      </w:r>
      <w:r w:rsidR="00FF2BF1">
        <w:rPr>
          <w:lang w:val="en-GB"/>
        </w:rPr>
        <w:t>classes</w:t>
      </w:r>
      <w:r w:rsidRPr="004477C5">
        <w:rPr>
          <w:lang w:val="en-GB"/>
        </w:rPr>
        <w:t xml:space="preserve"> were defined based on different filling levels</w:t>
      </w:r>
      <w:r w:rsidR="0050536D">
        <w:rPr>
          <w:lang w:val="en-GB"/>
        </w:rPr>
        <w:t xml:space="preserve"> of the tanks</w:t>
      </w:r>
      <w:r w:rsidRPr="004477C5">
        <w:rPr>
          <w:lang w:val="en-GB"/>
        </w:rPr>
        <w:t xml:space="preserve">. </w:t>
      </w:r>
      <w:r w:rsidR="0069035E">
        <w:rPr>
          <w:lang w:val="en-GB"/>
        </w:rPr>
        <w:t>Specifically, the</w:t>
      </w:r>
      <w:r w:rsidRPr="004477C5">
        <w:rPr>
          <w:lang w:val="en-GB"/>
        </w:rPr>
        <w:t xml:space="preserve"> </w:t>
      </w:r>
      <w:r w:rsidR="0050536D">
        <w:rPr>
          <w:lang w:val="en-GB"/>
        </w:rPr>
        <w:t>classes represent specific</w:t>
      </w:r>
      <w:r w:rsidRPr="004477C5">
        <w:rPr>
          <w:lang w:val="en-GB"/>
        </w:rPr>
        <w:t xml:space="preserve"> releasable inventories </w:t>
      </w:r>
      <w:r w:rsidR="0069035E">
        <w:rPr>
          <w:lang w:val="en-GB"/>
        </w:rPr>
        <w:t>correspondent</w:t>
      </w:r>
      <w:r w:rsidR="00FF2BF1">
        <w:rPr>
          <w:lang w:val="en-GB"/>
        </w:rPr>
        <w:t xml:space="preserve"> to the</w:t>
      </w:r>
      <w:r w:rsidRPr="004477C5">
        <w:rPr>
          <w:lang w:val="en-GB"/>
        </w:rPr>
        <w:t xml:space="preserve"> 10%, 50%, and </w:t>
      </w:r>
      <w:r w:rsidR="0069035E">
        <w:rPr>
          <w:lang w:val="en-GB"/>
        </w:rPr>
        <w:t>9</w:t>
      </w:r>
      <w:r w:rsidRPr="004477C5">
        <w:rPr>
          <w:lang w:val="en-GB"/>
        </w:rPr>
        <w:t>0% of the tank capacity</w:t>
      </w:r>
      <w:r w:rsidR="0069035E">
        <w:rPr>
          <w:lang w:val="en-GB"/>
        </w:rPr>
        <w:t xml:space="preserve"> and are</w:t>
      </w:r>
      <w:r w:rsidRPr="004477C5">
        <w:rPr>
          <w:lang w:val="en-GB"/>
        </w:rPr>
        <w:t xml:space="preserve"> mode</w:t>
      </w:r>
      <w:r>
        <w:rPr>
          <w:lang w:val="en-GB"/>
        </w:rPr>
        <w:t>l</w:t>
      </w:r>
      <w:r w:rsidRPr="004477C5">
        <w:rPr>
          <w:lang w:val="en-GB"/>
        </w:rPr>
        <w:t xml:space="preserve">led through the following filling level ranges: [0.05, 0.1], [0.1, 0.5], and [0.5, 0.9], respectively. </w:t>
      </w:r>
      <w:r w:rsidR="0069035E">
        <w:rPr>
          <w:lang w:val="en-GB"/>
        </w:rPr>
        <w:t>It is to be noted that a</w:t>
      </w:r>
      <w:r w:rsidRPr="004477C5">
        <w:rPr>
          <w:lang w:val="en-GB"/>
        </w:rPr>
        <w:t xml:space="preserve"> minimum filling level of 0.05 was assumed, considering that the tank is never empty.</w:t>
      </w:r>
    </w:p>
    <w:p w14:paraId="7AE1AD70" w14:textId="16B63205" w:rsidR="00ED5E52" w:rsidRDefault="00A65CB8" w:rsidP="00A65CB8">
      <w:pPr>
        <w:pStyle w:val="CETheadingx"/>
      </w:pPr>
      <w:r>
        <w:t>Definition of mechanical models</w:t>
      </w:r>
    </w:p>
    <w:p w14:paraId="76573677" w14:textId="63FDF528" w:rsidR="009E7BD8" w:rsidRDefault="00502598" w:rsidP="004477C5">
      <w:pPr>
        <w:contextualSpacing/>
        <w:rPr>
          <w:lang w:val="en-US"/>
        </w:rPr>
      </w:pPr>
      <w:r>
        <w:t>The method involved the definition of t</w:t>
      </w:r>
      <w:r w:rsidRPr="0081714C">
        <w:t>he mechanical models for the two damage mechanisms</w:t>
      </w:r>
      <w:r>
        <w:t xml:space="preserve"> under analysis. The models aim </w:t>
      </w:r>
      <w:r w:rsidRPr="001F7E43">
        <w:rPr>
          <w:lang w:val="en-US"/>
        </w:rPr>
        <w:t xml:space="preserve">to correlate the characteristics of the </w:t>
      </w:r>
      <w:r w:rsidR="00995703">
        <w:rPr>
          <w:lang w:val="en-US"/>
        </w:rPr>
        <w:t xml:space="preserve">atmospheric </w:t>
      </w:r>
      <w:r w:rsidRPr="001F7E43">
        <w:rPr>
          <w:lang w:val="en-US"/>
        </w:rPr>
        <w:t>tank</w:t>
      </w:r>
      <w:r w:rsidR="00995703">
        <w:rPr>
          <w:lang w:val="en-US"/>
        </w:rPr>
        <w:t>s</w:t>
      </w:r>
      <w:r w:rsidRPr="001F7E43">
        <w:rPr>
          <w:lang w:val="en-US"/>
        </w:rPr>
        <w:t xml:space="preserve"> with the wind load corresponding to </w:t>
      </w:r>
      <w:r>
        <w:rPr>
          <w:lang w:val="en-US"/>
        </w:rPr>
        <w:t>damage</w:t>
      </w:r>
      <w:r w:rsidR="00385A17">
        <w:rPr>
          <w:lang w:val="en-US"/>
        </w:rPr>
        <w:t xml:space="preserve">. </w:t>
      </w:r>
      <w:r w:rsidR="0069035E">
        <w:rPr>
          <w:lang w:val="en-US"/>
        </w:rPr>
        <w:t>T</w:t>
      </w:r>
      <w:r w:rsidR="004477C5" w:rsidRPr="00EE306D">
        <w:rPr>
          <w:lang w:val="en-US"/>
        </w:rPr>
        <w:t>he input values accounted for in the</w:t>
      </w:r>
      <w:r w:rsidR="00385A17">
        <w:rPr>
          <w:lang w:val="en-US"/>
        </w:rPr>
        <w:t xml:space="preserve"> mechanical</w:t>
      </w:r>
      <w:r w:rsidR="004477C5" w:rsidRPr="00EE306D">
        <w:rPr>
          <w:lang w:val="en-US"/>
        </w:rPr>
        <w:t xml:space="preserve"> models are</w:t>
      </w:r>
      <w:r w:rsidR="000A66D2">
        <w:rPr>
          <w:lang w:val="en-US"/>
        </w:rPr>
        <w:t xml:space="preserve"> shell height, shell diameter</w:t>
      </w:r>
      <w:r w:rsidR="006A557F">
        <w:rPr>
          <w:lang w:val="en-US"/>
        </w:rPr>
        <w:t xml:space="preserve">, average shell thickness, </w:t>
      </w:r>
      <w:r w:rsidR="001B1894">
        <w:rPr>
          <w:lang w:val="en-US"/>
        </w:rPr>
        <w:t xml:space="preserve">bottom thickness, minimum bottom plate </w:t>
      </w:r>
      <w:r w:rsidR="00AE1153">
        <w:rPr>
          <w:lang w:val="en-US"/>
        </w:rPr>
        <w:t>yield stress, roof thickness, roof height, friction factor</w:t>
      </w:r>
      <w:r w:rsidR="00490230">
        <w:rPr>
          <w:lang w:val="en-US"/>
        </w:rPr>
        <w:t>,</w:t>
      </w:r>
      <w:r w:rsidR="00AE1153">
        <w:rPr>
          <w:lang w:val="en-US"/>
        </w:rPr>
        <w:t xml:space="preserve"> </w:t>
      </w:r>
      <w:r w:rsidR="00490230">
        <w:rPr>
          <w:lang w:val="en-US"/>
        </w:rPr>
        <w:t xml:space="preserve">steel density, </w:t>
      </w:r>
      <w:r w:rsidR="00AE1153">
        <w:rPr>
          <w:lang w:val="en-US"/>
        </w:rPr>
        <w:t>and</w:t>
      </w:r>
      <w:r w:rsidR="005F3F20">
        <w:rPr>
          <w:lang w:val="en-US"/>
        </w:rPr>
        <w:t xml:space="preserve"> the</w:t>
      </w:r>
      <w:r w:rsidR="00AE1153">
        <w:rPr>
          <w:lang w:val="en-US"/>
        </w:rPr>
        <w:t xml:space="preserve"> density</w:t>
      </w:r>
      <w:r w:rsidR="005F3F20">
        <w:rPr>
          <w:lang w:val="en-US"/>
        </w:rPr>
        <w:t xml:space="preserve"> of the hazardous substances stored in the tank. </w:t>
      </w:r>
      <w:r w:rsidR="00490230">
        <w:rPr>
          <w:lang w:val="en-US"/>
        </w:rPr>
        <w:t xml:space="preserve">Clearly enough, representative values for some </w:t>
      </w:r>
      <w:r w:rsidR="005F3F20">
        <w:rPr>
          <w:lang w:val="en-US"/>
        </w:rPr>
        <w:t xml:space="preserve">of these </w:t>
      </w:r>
      <w:r w:rsidR="00490230">
        <w:rPr>
          <w:lang w:val="en-US"/>
        </w:rPr>
        <w:t xml:space="preserve">parameters were defined according to </w:t>
      </w:r>
      <w:r w:rsidR="009F44E6">
        <w:rPr>
          <w:lang w:val="en-US"/>
        </w:rPr>
        <w:t xml:space="preserve">the </w:t>
      </w:r>
      <w:r w:rsidR="00490230">
        <w:rPr>
          <w:lang w:val="en-US"/>
        </w:rPr>
        <w:t>API-650</w:t>
      </w:r>
      <w:r w:rsidR="005F3F20">
        <w:rPr>
          <w:lang w:val="en-US"/>
        </w:rPr>
        <w:t xml:space="preserve"> Standard</w:t>
      </w:r>
      <w:r w:rsidR="00490230">
        <w:rPr>
          <w:lang w:val="en-US"/>
        </w:rPr>
        <w:t xml:space="preserve"> and the literature. </w:t>
      </w:r>
      <w:r w:rsidR="00AE1153">
        <w:rPr>
          <w:lang w:val="en-US"/>
        </w:rPr>
        <w:t xml:space="preserve"> </w:t>
      </w:r>
    </w:p>
    <w:p w14:paraId="2CECD79B" w14:textId="2E020940" w:rsidR="003740D0" w:rsidRDefault="00502598" w:rsidP="00502598">
      <w:pPr>
        <w:contextualSpacing/>
        <w:rPr>
          <w:rFonts w:cstheme="minorHAnsi"/>
        </w:rPr>
      </w:pPr>
      <w:r w:rsidRPr="00E82A2A">
        <w:rPr>
          <w:rFonts w:cstheme="minorHAnsi"/>
        </w:rPr>
        <w:lastRenderedPageBreak/>
        <w:t xml:space="preserve">The </w:t>
      </w:r>
      <w:r>
        <w:rPr>
          <w:rFonts w:cstheme="minorHAnsi"/>
        </w:rPr>
        <w:t xml:space="preserve">mechanical </w:t>
      </w:r>
      <w:r w:rsidRPr="00E82A2A">
        <w:rPr>
          <w:rFonts w:cstheme="minorHAnsi"/>
        </w:rPr>
        <w:t xml:space="preserve">model </w:t>
      </w:r>
      <w:r>
        <w:rPr>
          <w:rFonts w:cstheme="minorHAnsi"/>
        </w:rPr>
        <w:t xml:space="preserve">defined </w:t>
      </w:r>
      <w:r w:rsidRPr="00E82A2A">
        <w:rPr>
          <w:rFonts w:cstheme="minorHAnsi"/>
        </w:rPr>
        <w:t xml:space="preserve">to address the damage </w:t>
      </w:r>
      <w:r>
        <w:rPr>
          <w:rFonts w:cstheme="minorHAnsi"/>
        </w:rPr>
        <w:t>mechanism</w:t>
      </w:r>
      <w:r w:rsidRPr="00E82A2A">
        <w:rPr>
          <w:rFonts w:cstheme="minorHAnsi"/>
        </w:rPr>
        <w:t xml:space="preserve"> overturning is based on the stability criteria provided by API-650 to </w:t>
      </w:r>
      <w:r w:rsidR="00490230">
        <w:rPr>
          <w:rFonts w:cstheme="minorHAnsi"/>
        </w:rPr>
        <w:t>verify</w:t>
      </w:r>
      <w:r w:rsidRPr="00E82A2A">
        <w:rPr>
          <w:rFonts w:cstheme="minorHAnsi"/>
        </w:rPr>
        <w:t xml:space="preserve"> the necessity of anchorage for fixed-roof atmospheric tanks</w:t>
      </w:r>
      <w:r>
        <w:rPr>
          <w:rFonts w:cstheme="minorHAnsi"/>
        </w:rPr>
        <w:t>. T</w:t>
      </w:r>
      <w:r w:rsidRPr="00E82A2A">
        <w:rPr>
          <w:rFonts w:cstheme="minorHAnsi"/>
        </w:rPr>
        <w:t xml:space="preserve">he </w:t>
      </w:r>
      <w:r>
        <w:rPr>
          <w:rFonts w:cstheme="minorHAnsi"/>
        </w:rPr>
        <w:t>S</w:t>
      </w:r>
      <w:r w:rsidRPr="00E82A2A">
        <w:rPr>
          <w:rFonts w:cstheme="minorHAnsi"/>
        </w:rPr>
        <w:t>tandard provides three criteria</w:t>
      </w:r>
      <w:r>
        <w:rPr>
          <w:rFonts w:cstheme="minorHAnsi"/>
        </w:rPr>
        <w:t xml:space="preserve">: </w:t>
      </w:r>
      <w:r w:rsidRPr="00E82A2A">
        <w:rPr>
          <w:rFonts w:cstheme="minorHAnsi"/>
        </w:rPr>
        <w:t>two in the case of empty tank conditions and one in the case of liquid-filled conditions</w:t>
      </w:r>
      <w:r>
        <w:rPr>
          <w:rFonts w:cstheme="minorHAnsi"/>
        </w:rPr>
        <w:t xml:space="preserve">. </w:t>
      </w:r>
      <w:r w:rsidRPr="00E82A2A">
        <w:rPr>
          <w:rFonts w:cstheme="minorHAnsi"/>
        </w:rPr>
        <w:t xml:space="preserve">Given </w:t>
      </w:r>
      <w:r>
        <w:rPr>
          <w:rFonts w:cstheme="minorHAnsi"/>
        </w:rPr>
        <w:t>that</w:t>
      </w:r>
      <w:r w:rsidRPr="00E82A2A">
        <w:rPr>
          <w:rFonts w:cstheme="minorHAnsi"/>
        </w:rPr>
        <w:t xml:space="preserve"> </w:t>
      </w:r>
      <w:r>
        <w:rPr>
          <w:rFonts w:cstheme="minorHAnsi"/>
        </w:rPr>
        <w:t xml:space="preserve">the </w:t>
      </w:r>
      <w:r w:rsidRPr="00E82A2A">
        <w:rPr>
          <w:rFonts w:cstheme="minorHAnsi"/>
        </w:rPr>
        <w:t>current metho</w:t>
      </w:r>
      <w:r>
        <w:rPr>
          <w:rFonts w:cstheme="minorHAnsi"/>
        </w:rPr>
        <w:t>d is designed for the Natech QRA context and, therefore, aims to take into account the expected entity of the loss of containment event in the case of equipment damage</w:t>
      </w:r>
      <w:r w:rsidRPr="00E82A2A">
        <w:rPr>
          <w:rFonts w:cstheme="minorHAnsi"/>
        </w:rPr>
        <w:t xml:space="preserve">, </w:t>
      </w:r>
      <w:r>
        <w:rPr>
          <w:rFonts w:cstheme="minorHAnsi"/>
        </w:rPr>
        <w:t>only the criteri</w:t>
      </w:r>
      <w:r w:rsidR="00E66C6B">
        <w:rPr>
          <w:rFonts w:cstheme="minorHAnsi"/>
        </w:rPr>
        <w:t>on</w:t>
      </w:r>
      <w:r>
        <w:rPr>
          <w:rFonts w:cstheme="minorHAnsi"/>
        </w:rPr>
        <w:t xml:space="preserve"> that account for the liquid-filled condition is considered.</w:t>
      </w:r>
    </w:p>
    <w:p w14:paraId="79F08AD9" w14:textId="7D666809" w:rsidR="004012AE" w:rsidRPr="003740D0" w:rsidRDefault="0069035E" w:rsidP="00502598">
      <w:pPr>
        <w:contextualSpacing/>
        <w:rPr>
          <w:rFonts w:cstheme="minorHAnsi"/>
        </w:rPr>
      </w:pPr>
      <w:r>
        <w:rPr>
          <w:lang w:val="en-US"/>
        </w:rPr>
        <w:t>On the other hand, t</w:t>
      </w:r>
      <w:r w:rsidR="00502598" w:rsidRPr="00BF2F9A">
        <w:rPr>
          <w:lang w:val="en-US"/>
        </w:rPr>
        <w:t>he model to address the damage mode sliding is based on the criteri</w:t>
      </w:r>
      <w:r w:rsidR="00E66C6B">
        <w:rPr>
          <w:lang w:val="en-US"/>
        </w:rPr>
        <w:t>on</w:t>
      </w:r>
      <w:r w:rsidR="00502598" w:rsidRPr="00BF2F9A">
        <w:rPr>
          <w:lang w:val="en-US"/>
        </w:rPr>
        <w:t xml:space="preserve"> provided by API-650 </w:t>
      </w:r>
      <w:bookmarkStart w:id="4" w:name="_Hlk161757324"/>
      <w:r w:rsidR="00502598" w:rsidRPr="00BF2F9A">
        <w:rPr>
          <w:lang w:val="en-US"/>
        </w:rPr>
        <w:t xml:space="preserve">to verify the sliding friction resistance to </w:t>
      </w:r>
      <w:r w:rsidR="004D489D">
        <w:rPr>
          <w:lang w:val="en-US"/>
        </w:rPr>
        <w:t>fixed-roof</w:t>
      </w:r>
      <w:r w:rsidR="00502598" w:rsidRPr="00BF2F9A">
        <w:rPr>
          <w:lang w:val="en-US"/>
        </w:rPr>
        <w:t xml:space="preserve"> atmospheric tanks subjected to lateral wind loads</w:t>
      </w:r>
      <w:r w:rsidR="00502598">
        <w:rPr>
          <w:lang w:val="en-US"/>
        </w:rPr>
        <w:t>.</w:t>
      </w:r>
      <w:r w:rsidR="00502598" w:rsidRPr="00BF2F9A">
        <w:rPr>
          <w:lang w:val="en-US"/>
        </w:rPr>
        <w:t xml:space="preserve"> </w:t>
      </w:r>
      <w:bookmarkEnd w:id="4"/>
      <w:r w:rsidR="00502598" w:rsidRPr="00BF2F9A">
        <w:rPr>
          <w:lang w:val="en-US"/>
        </w:rPr>
        <w:t xml:space="preserve">It is assumed that sliding occurs if the resulting horizontal force on the tank due to wind exceeds the static friction force </w:t>
      </w:r>
      <w:r w:rsidR="00502598" w:rsidRPr="00E82A2A">
        <w:rPr>
          <w:rFonts w:cstheme="minorHAnsi"/>
          <w:lang w:val="en-US"/>
        </w:rPr>
        <w:t>resulting from the net vertical force on the tank</w:t>
      </w:r>
      <w:r w:rsidR="00502598">
        <w:rPr>
          <w:rFonts w:cstheme="minorHAnsi"/>
          <w:lang w:val="en-US"/>
        </w:rPr>
        <w:t>.</w:t>
      </w:r>
    </w:p>
    <w:p w14:paraId="08100D68" w14:textId="6ADEEFB8" w:rsidR="009E7BD8" w:rsidRDefault="009E7BD8" w:rsidP="00502598">
      <w:pPr>
        <w:contextualSpacing/>
        <w:rPr>
          <w:rFonts w:cstheme="minorHAnsi"/>
          <w:lang w:val="en-US"/>
        </w:rPr>
      </w:pPr>
      <w:r>
        <w:rPr>
          <w:rFonts w:cstheme="minorHAnsi"/>
          <w:lang w:val="en-US"/>
        </w:rPr>
        <w:t xml:space="preserve">For the sake of clarity, </w:t>
      </w:r>
      <w:r w:rsidR="008F1573">
        <w:rPr>
          <w:rFonts w:cstheme="minorHAnsi"/>
          <w:lang w:val="en-US"/>
        </w:rPr>
        <w:t xml:space="preserve">a representation of the forces accounted for in the </w:t>
      </w:r>
      <w:r w:rsidR="00413095">
        <w:rPr>
          <w:rFonts w:cstheme="minorHAnsi"/>
          <w:lang w:val="en-US"/>
        </w:rPr>
        <w:t>models for the two damage mechanisms</w:t>
      </w:r>
      <w:r w:rsidR="008F1573">
        <w:rPr>
          <w:rFonts w:cstheme="minorHAnsi"/>
          <w:lang w:val="en-US"/>
        </w:rPr>
        <w:t xml:space="preserve"> is presented in Figure </w:t>
      </w:r>
      <w:r w:rsidR="00683E08">
        <w:rPr>
          <w:rFonts w:cstheme="minorHAnsi"/>
          <w:lang w:val="en-US"/>
        </w:rPr>
        <w:t>1.</w:t>
      </w:r>
    </w:p>
    <w:p w14:paraId="34886EA8" w14:textId="4BF3F7B6" w:rsidR="008F1573" w:rsidRDefault="008F1573" w:rsidP="00502598">
      <w:pPr>
        <w:contextualSpacing/>
        <w:rPr>
          <w:rFonts w:cstheme="minorHAnsi"/>
          <w:lang w:val="en-US"/>
        </w:rPr>
      </w:pPr>
    </w:p>
    <w:p w14:paraId="77378617" w14:textId="7BA76C63" w:rsidR="008F1573" w:rsidRDefault="005F3F20" w:rsidP="00502598">
      <w:pPr>
        <w:contextualSpacing/>
        <w:rPr>
          <w:rFonts w:cstheme="minorHAnsi"/>
          <w:lang w:val="en-US"/>
        </w:rPr>
      </w:pPr>
      <w:r w:rsidRPr="005F3F20">
        <w:rPr>
          <w:rFonts w:cstheme="minorHAnsi"/>
          <w:noProof/>
          <w:lang w:val="en-US"/>
        </w:rPr>
        <w:drawing>
          <wp:inline distT="0" distB="0" distL="0" distR="0" wp14:anchorId="60F60667" wp14:editId="66DC91C6">
            <wp:extent cx="4206240" cy="2431260"/>
            <wp:effectExtent l="0" t="0" r="3810" b="7620"/>
            <wp:docPr id="19279403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40321" name=""/>
                    <pic:cNvPicPr/>
                  </pic:nvPicPr>
                  <pic:blipFill>
                    <a:blip r:embed="rId10"/>
                    <a:stretch>
                      <a:fillRect/>
                    </a:stretch>
                  </pic:blipFill>
                  <pic:spPr>
                    <a:xfrm>
                      <a:off x="0" y="0"/>
                      <a:ext cx="4310404" cy="2491468"/>
                    </a:xfrm>
                    <a:prstGeom prst="rect">
                      <a:avLst/>
                    </a:prstGeom>
                  </pic:spPr>
                </pic:pic>
              </a:graphicData>
            </a:graphic>
          </wp:inline>
        </w:drawing>
      </w:r>
    </w:p>
    <w:p w14:paraId="255AAA3E" w14:textId="41DCF48A" w:rsidR="004C1D44" w:rsidRDefault="00683E08" w:rsidP="00F255D7">
      <w:pPr>
        <w:pStyle w:val="CETCaption"/>
        <w:rPr>
          <w:lang w:val="en-US"/>
        </w:rPr>
      </w:pPr>
      <w:r>
        <w:rPr>
          <w:lang w:val="en-US"/>
        </w:rPr>
        <w:t>Figure 1</w:t>
      </w:r>
      <w:r w:rsidR="00F255D7">
        <w:rPr>
          <w:lang w:val="en-US"/>
        </w:rPr>
        <w:t xml:space="preserve"> – Panel a) Representation</w:t>
      </w:r>
      <w:r w:rsidR="002B775F" w:rsidRPr="002B775F">
        <w:t xml:space="preserve"> </w:t>
      </w:r>
      <w:r w:rsidR="002B775F" w:rsidRPr="002B775F">
        <w:rPr>
          <w:lang w:val="en-US"/>
        </w:rPr>
        <w:t>of damage mechanisms: Panel a) Overturning; Panel b) Sliding (adapted from API-650).</w:t>
      </w:r>
    </w:p>
    <w:p w14:paraId="70F12E14" w14:textId="0F1BC148" w:rsidR="00130C2C" w:rsidRPr="00F255D7" w:rsidRDefault="00DC5F66" w:rsidP="005D6FB5">
      <w:pPr>
        <w:tabs>
          <w:tab w:val="clear" w:pos="7100"/>
        </w:tabs>
        <w:spacing w:line="240" w:lineRule="auto"/>
        <w:jc w:val="left"/>
        <w:rPr>
          <w:lang w:val="en-US"/>
        </w:rPr>
      </w:pPr>
      <w:r>
        <w:rPr>
          <w:lang w:val="en-US"/>
        </w:rPr>
        <w:t xml:space="preserve">It is to note that the effect of the </w:t>
      </w:r>
      <w:r w:rsidRPr="005D6FB5">
        <w:rPr>
          <w:lang w:val="en-US"/>
        </w:rPr>
        <w:t>local obstacles on wind profile was not accounted in this phase.</w:t>
      </w:r>
    </w:p>
    <w:p w14:paraId="5243F69E" w14:textId="77777777" w:rsidR="00A65CB8" w:rsidRDefault="00A65CB8" w:rsidP="004366C7">
      <w:pPr>
        <w:pStyle w:val="CETheadingx"/>
      </w:pPr>
      <w:r>
        <w:t>Vulnerability curves for individual tanks</w:t>
      </w:r>
    </w:p>
    <w:p w14:paraId="6F992A68" w14:textId="6B220C98" w:rsidR="003740D0" w:rsidRPr="002E39AE" w:rsidRDefault="003740D0" w:rsidP="003740D0">
      <w:pPr>
        <w:pStyle w:val="CETTabletitle"/>
        <w:spacing w:before="0" w:after="0"/>
        <w:jc w:val="both"/>
        <w:rPr>
          <w:i w:val="0"/>
          <w:lang w:val="en-US"/>
        </w:rPr>
      </w:pPr>
      <w:r w:rsidRPr="003740D0">
        <w:rPr>
          <w:i w:val="0"/>
          <w:lang w:val="en-US"/>
        </w:rPr>
        <w:t xml:space="preserve">Monte Carlo </w:t>
      </w:r>
      <w:r w:rsidRPr="002E39AE">
        <w:rPr>
          <w:i w:val="0"/>
          <w:lang w:val="en-US"/>
        </w:rPr>
        <w:t>simulations</w:t>
      </w:r>
      <w:r w:rsidR="00EB5A19" w:rsidRPr="002E39AE">
        <w:rPr>
          <w:i w:val="0"/>
          <w:lang w:val="en-US"/>
        </w:rPr>
        <w:t xml:space="preserve"> </w:t>
      </w:r>
      <w:r w:rsidR="00EB5A19" w:rsidRPr="002E39AE">
        <w:rPr>
          <w:i w:val="0"/>
        </w:rPr>
        <w:t>are a statistical technique used to estimate the behavior of a system by generating random samples from a defined probability distribution</w:t>
      </w:r>
      <w:r w:rsidR="007568FF">
        <w:rPr>
          <w:i w:val="0"/>
        </w:rPr>
        <w:t xml:space="preserve">. In this study, </w:t>
      </w:r>
      <w:r w:rsidR="00103E3D">
        <w:rPr>
          <w:i w:val="0"/>
        </w:rPr>
        <w:t xml:space="preserve">Monte Carlo </w:t>
      </w:r>
      <w:r w:rsidR="007568FF">
        <w:rPr>
          <w:i w:val="0"/>
        </w:rPr>
        <w:t>simulations were conducted</w:t>
      </w:r>
      <w:r w:rsidRPr="002E39AE">
        <w:rPr>
          <w:i w:val="0"/>
          <w:lang w:val="en-US"/>
        </w:rPr>
        <w:t xml:space="preserve"> for each tank of the reference set by employing the mechanical models established </w:t>
      </w:r>
      <w:r w:rsidR="005F3F20" w:rsidRPr="002E39AE">
        <w:rPr>
          <w:i w:val="0"/>
          <w:lang w:val="en-US"/>
        </w:rPr>
        <w:t xml:space="preserve">(see Section 2.3) </w:t>
      </w:r>
      <w:r w:rsidRPr="002E39AE">
        <w:rPr>
          <w:i w:val="0"/>
          <w:lang w:val="en-US"/>
        </w:rPr>
        <w:t>with the aim of assessing the preliminary cumulative damage probability functions associated with each tank.</w:t>
      </w:r>
      <w:r w:rsidR="0058069C" w:rsidRPr="007568FF">
        <w:rPr>
          <w:i w:val="0"/>
          <w:iCs/>
          <w:lang w:val="en-US"/>
        </w:rPr>
        <w:t xml:space="preserve"> </w:t>
      </w:r>
      <w:r w:rsidR="007568FF" w:rsidRPr="007568FF">
        <w:rPr>
          <w:i w:val="0"/>
          <w:iCs/>
        </w:rPr>
        <w:t>A total of 10,000 iterations were performed per tank, employing a random sampling approach</w:t>
      </w:r>
      <w:r w:rsidR="007568FF">
        <w:t>.</w:t>
      </w:r>
      <w:r w:rsidRPr="002E39AE">
        <w:rPr>
          <w:i w:val="0"/>
          <w:lang w:val="en-US"/>
        </w:rPr>
        <w:t xml:space="preserve">It is worth noting that the two damage mechanisms, overturning and sliding, </w:t>
      </w:r>
      <w:r w:rsidR="0069035E" w:rsidRPr="002E39AE">
        <w:rPr>
          <w:i w:val="0"/>
          <w:lang w:val="en-US"/>
        </w:rPr>
        <w:t>were</w:t>
      </w:r>
      <w:r w:rsidRPr="002E39AE">
        <w:rPr>
          <w:i w:val="0"/>
          <w:lang w:val="en-US"/>
        </w:rPr>
        <w:t xml:space="preserve"> considered independent and, thus, were evaluated separately. In the simulations, the wind velocity associated with damage </w:t>
      </w:r>
      <w:r w:rsidR="0069035E" w:rsidRPr="002E39AE">
        <w:rPr>
          <w:i w:val="0"/>
          <w:lang w:val="en-US"/>
        </w:rPr>
        <w:t>was</w:t>
      </w:r>
      <w:r w:rsidRPr="002E39AE">
        <w:rPr>
          <w:i w:val="0"/>
          <w:lang w:val="en-US"/>
        </w:rPr>
        <w:t xml:space="preserve"> mode</w:t>
      </w:r>
      <w:r w:rsidR="0069035E" w:rsidRPr="002E39AE">
        <w:rPr>
          <w:i w:val="0"/>
          <w:lang w:val="en-US"/>
        </w:rPr>
        <w:t>l</w:t>
      </w:r>
      <w:r w:rsidRPr="002E39AE">
        <w:rPr>
          <w:i w:val="0"/>
          <w:lang w:val="en-US"/>
        </w:rPr>
        <w:t xml:space="preserve">led as a function of the tank parameters through the mechanical models identified, and a probability distribution in a defined range </w:t>
      </w:r>
      <w:r w:rsidR="0069035E" w:rsidRPr="002E39AE">
        <w:rPr>
          <w:i w:val="0"/>
          <w:lang w:val="en-US"/>
        </w:rPr>
        <w:t>was</w:t>
      </w:r>
      <w:r w:rsidRPr="002E39AE">
        <w:rPr>
          <w:i w:val="0"/>
          <w:lang w:val="en-US"/>
        </w:rPr>
        <w:t xml:space="preserve"> attributed to the parameters filling level and corrosion allowance</w:t>
      </w:r>
      <w:r w:rsidR="0069035E" w:rsidRPr="002E39AE">
        <w:rPr>
          <w:i w:val="0"/>
          <w:lang w:val="en-US"/>
        </w:rPr>
        <w:t>,</w:t>
      </w:r>
      <w:r w:rsidRPr="002E39AE">
        <w:rPr>
          <w:i w:val="0"/>
          <w:lang w:val="en-US"/>
        </w:rPr>
        <w:t xml:space="preserve"> as presented in Table 1. </w:t>
      </w:r>
    </w:p>
    <w:p w14:paraId="5E469177" w14:textId="77777777" w:rsidR="003740D0" w:rsidRDefault="003740D0" w:rsidP="003740D0">
      <w:pPr>
        <w:pStyle w:val="CETTabletitle"/>
        <w:spacing w:before="0" w:after="0"/>
        <w:jc w:val="both"/>
        <w:rPr>
          <w:i w:val="0"/>
          <w:lang w:val="en-US"/>
        </w:rPr>
      </w:pPr>
    </w:p>
    <w:p w14:paraId="2FAF43DC" w14:textId="5CFAA999" w:rsidR="004C7F07" w:rsidRPr="003740D0" w:rsidRDefault="004C7F07" w:rsidP="003740D0">
      <w:pPr>
        <w:pStyle w:val="CETTabletitle"/>
        <w:spacing w:before="0" w:after="0"/>
        <w:rPr>
          <w:i w:val="0"/>
          <w:lang w:val="en-US"/>
        </w:rPr>
      </w:pPr>
      <w:r w:rsidRPr="00B57B36">
        <w:t xml:space="preserve">Table </w:t>
      </w:r>
      <w:r w:rsidR="000A6CEB">
        <w:t>1</w:t>
      </w:r>
      <w:r w:rsidRPr="00B57B36">
        <w:t xml:space="preserve">: </w:t>
      </w:r>
      <w:r>
        <w:t xml:space="preserve">Monte Carlo Simulations </w:t>
      </w:r>
      <w:r w:rsidR="000A6CEB">
        <w:t xml:space="preserve">aleatory </w:t>
      </w:r>
      <w:r>
        <w:t>param</w:t>
      </w:r>
      <w:r w:rsidR="000A6CEB">
        <w:t>e</w:t>
      </w:r>
      <w:r>
        <w:t xml:space="preserve">ters. </w:t>
      </w:r>
    </w:p>
    <w:tbl>
      <w:tblPr>
        <w:tblpPr w:leftFromText="141" w:rightFromText="141" w:vertAnchor="text" w:tblpY="1"/>
        <w:tblOverlap w:val="never"/>
        <w:tblW w:w="828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544"/>
        <w:gridCol w:w="1978"/>
        <w:gridCol w:w="2761"/>
      </w:tblGrid>
      <w:tr w:rsidR="004C7F07" w:rsidRPr="00B57B36" w14:paraId="70F54C33" w14:textId="77777777" w:rsidTr="007773CB">
        <w:trPr>
          <w:trHeight w:val="265"/>
        </w:trPr>
        <w:tc>
          <w:tcPr>
            <w:tcW w:w="3544" w:type="dxa"/>
            <w:tcBorders>
              <w:top w:val="single" w:sz="12" w:space="0" w:color="008000"/>
              <w:bottom w:val="single" w:sz="6" w:space="0" w:color="008000"/>
            </w:tcBorders>
            <w:shd w:val="clear" w:color="auto" w:fill="FFFFFF"/>
            <w:vAlign w:val="center"/>
          </w:tcPr>
          <w:p w14:paraId="71CB2E4E" w14:textId="0B96E687" w:rsidR="004C7F07" w:rsidRPr="000A6CEB" w:rsidRDefault="004C7F07" w:rsidP="004C7F07">
            <w:pPr>
              <w:pStyle w:val="CETBodytext"/>
              <w:rPr>
                <w:rFonts w:cs="Arial"/>
                <w:lang w:val="en-GB"/>
              </w:rPr>
            </w:pPr>
            <w:r w:rsidRPr="000A6CEB">
              <w:rPr>
                <w:rFonts w:cs="Arial"/>
                <w:b/>
                <w:bCs/>
                <w:szCs w:val="18"/>
              </w:rPr>
              <w:t>Parameter</w:t>
            </w:r>
          </w:p>
        </w:tc>
        <w:tc>
          <w:tcPr>
            <w:tcW w:w="1978" w:type="dxa"/>
            <w:tcBorders>
              <w:top w:val="single" w:sz="12" w:space="0" w:color="008000"/>
              <w:bottom w:val="single" w:sz="6" w:space="0" w:color="008000"/>
            </w:tcBorders>
            <w:shd w:val="clear" w:color="auto" w:fill="FFFFFF"/>
            <w:vAlign w:val="center"/>
          </w:tcPr>
          <w:p w14:paraId="1ABC48F2" w14:textId="55877100" w:rsidR="004C7F07" w:rsidRPr="007773CB" w:rsidRDefault="007773CB" w:rsidP="004C7F07">
            <w:pPr>
              <w:pStyle w:val="CETBodytext"/>
              <w:rPr>
                <w:rFonts w:cs="Arial"/>
                <w:b/>
                <w:bCs/>
                <w:lang w:val="en-GB"/>
              </w:rPr>
            </w:pPr>
            <w:r>
              <w:rPr>
                <w:rFonts w:cs="Arial"/>
                <w:b/>
                <w:bCs/>
              </w:rPr>
              <w:t>Range</w:t>
            </w:r>
          </w:p>
        </w:tc>
        <w:tc>
          <w:tcPr>
            <w:tcW w:w="2761" w:type="dxa"/>
            <w:tcBorders>
              <w:top w:val="single" w:sz="12" w:space="0" w:color="008000"/>
              <w:bottom w:val="single" w:sz="6" w:space="0" w:color="008000"/>
            </w:tcBorders>
            <w:shd w:val="clear" w:color="auto" w:fill="FFFFFF"/>
            <w:vAlign w:val="center"/>
          </w:tcPr>
          <w:p w14:paraId="444720E3" w14:textId="186EF605" w:rsidR="004C7F07" w:rsidRPr="000A6CEB" w:rsidRDefault="004C7F07" w:rsidP="004C7F07">
            <w:pPr>
              <w:pStyle w:val="CETBodytext"/>
              <w:rPr>
                <w:rFonts w:cs="Arial"/>
                <w:lang w:val="en-GB"/>
              </w:rPr>
            </w:pPr>
            <w:r w:rsidRPr="000A6CEB">
              <w:rPr>
                <w:rFonts w:cs="Arial"/>
                <w:b/>
                <w:bCs/>
                <w:szCs w:val="18"/>
              </w:rPr>
              <w:t xml:space="preserve">Probability distribution function </w:t>
            </w:r>
          </w:p>
        </w:tc>
      </w:tr>
      <w:tr w:rsidR="004C7F07" w:rsidRPr="00B57B36" w14:paraId="039C46A6" w14:textId="77777777" w:rsidTr="007773CB">
        <w:trPr>
          <w:trHeight w:val="245"/>
        </w:trPr>
        <w:tc>
          <w:tcPr>
            <w:tcW w:w="3544" w:type="dxa"/>
            <w:shd w:val="clear" w:color="auto" w:fill="FFFFFF"/>
            <w:vAlign w:val="center"/>
          </w:tcPr>
          <w:p w14:paraId="0D793CB0" w14:textId="3130B5BD" w:rsidR="004C7F07" w:rsidRPr="000A6CEB" w:rsidRDefault="004C7F07" w:rsidP="004C7F07">
            <w:pPr>
              <w:pStyle w:val="CETBodytext"/>
              <w:rPr>
                <w:rFonts w:cs="Arial"/>
                <w:lang w:val="en-GB"/>
              </w:rPr>
            </w:pPr>
            <w:r w:rsidRPr="000A6CEB">
              <w:rPr>
                <w:rFonts w:cs="Arial"/>
                <w:szCs w:val="18"/>
              </w:rPr>
              <w:t xml:space="preserve">Filling level (all </w:t>
            </w:r>
            <w:r w:rsidR="0069035E">
              <w:rPr>
                <w:rFonts w:cs="Arial"/>
                <w:szCs w:val="18"/>
              </w:rPr>
              <w:t xml:space="preserve">release </w:t>
            </w:r>
            <w:r w:rsidRPr="000A6CEB">
              <w:rPr>
                <w:rFonts w:cs="Arial"/>
                <w:szCs w:val="18"/>
              </w:rPr>
              <w:t>classes together)</w:t>
            </w:r>
          </w:p>
        </w:tc>
        <w:tc>
          <w:tcPr>
            <w:tcW w:w="1978" w:type="dxa"/>
            <w:shd w:val="clear" w:color="auto" w:fill="FFFFFF"/>
            <w:vAlign w:val="center"/>
          </w:tcPr>
          <w:p w14:paraId="7F19DEA9" w14:textId="39D8CE57" w:rsidR="004C7F07" w:rsidRPr="000A6CEB" w:rsidRDefault="004C7F07" w:rsidP="004C7F07">
            <w:pPr>
              <w:pStyle w:val="CETBodytext"/>
              <w:rPr>
                <w:rFonts w:cs="Arial"/>
                <w:lang w:val="en-GB"/>
              </w:rPr>
            </w:pPr>
            <w:r w:rsidRPr="000A6CEB">
              <w:rPr>
                <w:rFonts w:cs="Arial"/>
                <w:szCs w:val="18"/>
                <w:lang w:val="en-GB"/>
              </w:rPr>
              <w:t>0.05-0.90</w:t>
            </w:r>
          </w:p>
        </w:tc>
        <w:tc>
          <w:tcPr>
            <w:tcW w:w="2761" w:type="dxa"/>
            <w:shd w:val="clear" w:color="auto" w:fill="FFFFFF"/>
            <w:vAlign w:val="center"/>
          </w:tcPr>
          <w:p w14:paraId="1E7FF87A" w14:textId="79BD8E1E" w:rsidR="004C7F07" w:rsidRPr="000A6CEB" w:rsidRDefault="004C7F07" w:rsidP="004C7F07">
            <w:pPr>
              <w:pStyle w:val="CETBodytext"/>
              <w:rPr>
                <w:rFonts w:cs="Arial"/>
                <w:lang w:val="en-GB"/>
              </w:rPr>
            </w:pPr>
            <w:r w:rsidRPr="000A6CEB">
              <w:rPr>
                <w:rFonts w:cs="Arial"/>
                <w:szCs w:val="18"/>
              </w:rPr>
              <w:t>Uniform</w:t>
            </w:r>
          </w:p>
        </w:tc>
      </w:tr>
      <w:tr w:rsidR="004C7F07" w:rsidRPr="00B57B36" w14:paraId="400D9BFB" w14:textId="77777777" w:rsidTr="007773CB">
        <w:trPr>
          <w:trHeight w:val="265"/>
        </w:trPr>
        <w:tc>
          <w:tcPr>
            <w:tcW w:w="3544" w:type="dxa"/>
            <w:shd w:val="clear" w:color="auto" w:fill="FFFFFF"/>
            <w:vAlign w:val="center"/>
          </w:tcPr>
          <w:p w14:paraId="1D4EF08D" w14:textId="698E257E" w:rsidR="004C7F07" w:rsidRPr="000A6CEB" w:rsidRDefault="004C7F07" w:rsidP="004C7F07">
            <w:pPr>
              <w:pStyle w:val="CETBodytext"/>
              <w:ind w:right="-1"/>
              <w:rPr>
                <w:rFonts w:cs="Arial"/>
                <w:szCs w:val="18"/>
                <w:lang w:val="en-GB"/>
              </w:rPr>
            </w:pPr>
            <w:r w:rsidRPr="000A6CEB">
              <w:rPr>
                <w:rFonts w:cs="Arial"/>
                <w:szCs w:val="18"/>
              </w:rPr>
              <w:t>Filling level (</w:t>
            </w:r>
            <w:r w:rsidR="007773CB">
              <w:rPr>
                <w:rFonts w:cs="Arial"/>
                <w:szCs w:val="18"/>
              </w:rPr>
              <w:t xml:space="preserve">release </w:t>
            </w:r>
            <w:r w:rsidRPr="000A6CEB">
              <w:rPr>
                <w:rFonts w:cs="Arial"/>
                <w:szCs w:val="18"/>
              </w:rPr>
              <w:t>class 10%)</w:t>
            </w:r>
          </w:p>
        </w:tc>
        <w:tc>
          <w:tcPr>
            <w:tcW w:w="1978" w:type="dxa"/>
            <w:shd w:val="clear" w:color="auto" w:fill="FFFFFF"/>
            <w:vAlign w:val="center"/>
          </w:tcPr>
          <w:p w14:paraId="786F0512" w14:textId="4DD0DF46" w:rsidR="004C7F07" w:rsidRPr="000A6CEB" w:rsidRDefault="004C7F07" w:rsidP="004C7F07">
            <w:pPr>
              <w:pStyle w:val="CETBodytext"/>
              <w:ind w:right="-1"/>
              <w:rPr>
                <w:rFonts w:cs="Arial"/>
                <w:szCs w:val="18"/>
                <w:lang w:val="en-GB"/>
              </w:rPr>
            </w:pPr>
            <w:r w:rsidRPr="000A6CEB">
              <w:rPr>
                <w:rFonts w:cs="Arial"/>
                <w:szCs w:val="18"/>
                <w:lang w:val="en-GB"/>
              </w:rPr>
              <w:t>0.05-0.10</w:t>
            </w:r>
          </w:p>
        </w:tc>
        <w:tc>
          <w:tcPr>
            <w:tcW w:w="2761" w:type="dxa"/>
            <w:shd w:val="clear" w:color="auto" w:fill="FFFFFF"/>
            <w:vAlign w:val="center"/>
          </w:tcPr>
          <w:p w14:paraId="5622780D" w14:textId="1B3A16EB" w:rsidR="004C7F07" w:rsidRPr="000A6CEB" w:rsidRDefault="004C7F07" w:rsidP="004C7F07">
            <w:pPr>
              <w:pStyle w:val="CETBodytext"/>
              <w:ind w:right="-1"/>
              <w:rPr>
                <w:rFonts w:cs="Arial"/>
                <w:szCs w:val="18"/>
                <w:lang w:val="en-GB"/>
              </w:rPr>
            </w:pPr>
            <w:r w:rsidRPr="000A6CEB">
              <w:rPr>
                <w:rFonts w:cs="Arial"/>
                <w:szCs w:val="18"/>
              </w:rPr>
              <w:t>Uniform</w:t>
            </w:r>
          </w:p>
        </w:tc>
      </w:tr>
      <w:tr w:rsidR="004C7F07" w:rsidRPr="00B57B36" w14:paraId="15BC5737" w14:textId="77777777" w:rsidTr="007773CB">
        <w:trPr>
          <w:trHeight w:val="265"/>
        </w:trPr>
        <w:tc>
          <w:tcPr>
            <w:tcW w:w="3544" w:type="dxa"/>
            <w:shd w:val="clear" w:color="auto" w:fill="FFFFFF"/>
            <w:vAlign w:val="center"/>
          </w:tcPr>
          <w:p w14:paraId="77D893FB" w14:textId="1810ABC2" w:rsidR="004C7F07" w:rsidRPr="000A6CEB" w:rsidRDefault="004C7F07" w:rsidP="004C7F07">
            <w:pPr>
              <w:pStyle w:val="CETBodytext"/>
              <w:ind w:right="-1"/>
              <w:rPr>
                <w:rFonts w:cs="Arial"/>
                <w:color w:val="000000"/>
                <w:szCs w:val="18"/>
              </w:rPr>
            </w:pPr>
            <w:r w:rsidRPr="000A6CEB">
              <w:rPr>
                <w:rFonts w:cs="Arial"/>
                <w:szCs w:val="18"/>
              </w:rPr>
              <w:t xml:space="preserve">Filling level </w:t>
            </w:r>
            <w:r w:rsidR="007773CB" w:rsidRPr="000A6CEB">
              <w:rPr>
                <w:rFonts w:cs="Arial"/>
                <w:szCs w:val="18"/>
              </w:rPr>
              <w:t>(</w:t>
            </w:r>
            <w:r w:rsidR="007773CB">
              <w:rPr>
                <w:rFonts w:cs="Arial"/>
                <w:szCs w:val="18"/>
              </w:rPr>
              <w:t xml:space="preserve">release </w:t>
            </w:r>
            <w:r w:rsidR="007773CB" w:rsidRPr="000A6CEB">
              <w:rPr>
                <w:rFonts w:cs="Arial"/>
                <w:szCs w:val="18"/>
              </w:rPr>
              <w:t xml:space="preserve">class </w:t>
            </w:r>
            <w:r w:rsidR="007773CB">
              <w:rPr>
                <w:rFonts w:cs="Arial"/>
                <w:szCs w:val="18"/>
              </w:rPr>
              <w:t>5</w:t>
            </w:r>
            <w:r w:rsidR="007773CB" w:rsidRPr="000A6CEB">
              <w:rPr>
                <w:rFonts w:cs="Arial"/>
                <w:szCs w:val="18"/>
              </w:rPr>
              <w:t>0%)</w:t>
            </w:r>
          </w:p>
        </w:tc>
        <w:tc>
          <w:tcPr>
            <w:tcW w:w="1978" w:type="dxa"/>
            <w:shd w:val="clear" w:color="auto" w:fill="FFFFFF"/>
            <w:vAlign w:val="center"/>
          </w:tcPr>
          <w:p w14:paraId="4AB1FC38" w14:textId="4680AF1D" w:rsidR="004C7F07" w:rsidRPr="000A6CEB" w:rsidRDefault="004C7F07" w:rsidP="004C7F07">
            <w:pPr>
              <w:pStyle w:val="CETBodytext"/>
              <w:ind w:right="-1"/>
              <w:rPr>
                <w:rFonts w:cs="Arial"/>
                <w:color w:val="000000" w:themeColor="text1"/>
                <w:kern w:val="24"/>
                <w:szCs w:val="18"/>
                <w:lang w:eastAsia="it-IT"/>
              </w:rPr>
            </w:pPr>
            <w:r w:rsidRPr="000A6CEB">
              <w:rPr>
                <w:rFonts w:cs="Arial"/>
                <w:szCs w:val="18"/>
                <w:lang w:val="en-GB"/>
              </w:rPr>
              <w:t>0.10-0.50</w:t>
            </w:r>
          </w:p>
        </w:tc>
        <w:tc>
          <w:tcPr>
            <w:tcW w:w="2761" w:type="dxa"/>
            <w:shd w:val="clear" w:color="auto" w:fill="FFFFFF"/>
            <w:vAlign w:val="center"/>
          </w:tcPr>
          <w:p w14:paraId="2925C9E3" w14:textId="51CACD3E" w:rsidR="004C7F07" w:rsidRPr="000A6CEB" w:rsidRDefault="004C7F07" w:rsidP="004C7F07">
            <w:pPr>
              <w:pStyle w:val="CETBodytext"/>
              <w:ind w:right="-1"/>
              <w:rPr>
                <w:rFonts w:cs="Arial"/>
                <w:color w:val="000000" w:themeColor="text1"/>
                <w:kern w:val="24"/>
                <w:szCs w:val="18"/>
                <w:lang w:eastAsia="it-IT"/>
              </w:rPr>
            </w:pPr>
            <w:r w:rsidRPr="000A6CEB">
              <w:rPr>
                <w:rFonts w:cs="Arial"/>
                <w:szCs w:val="18"/>
              </w:rPr>
              <w:t>Uniform</w:t>
            </w:r>
          </w:p>
        </w:tc>
      </w:tr>
      <w:tr w:rsidR="004C7F07" w:rsidRPr="00B57B36" w14:paraId="43F5FA9C" w14:textId="77777777" w:rsidTr="007773CB">
        <w:trPr>
          <w:trHeight w:val="265"/>
        </w:trPr>
        <w:tc>
          <w:tcPr>
            <w:tcW w:w="3544" w:type="dxa"/>
            <w:shd w:val="clear" w:color="auto" w:fill="FFFFFF"/>
            <w:vAlign w:val="center"/>
          </w:tcPr>
          <w:p w14:paraId="756AA5B4" w14:textId="6944A2C1" w:rsidR="004C7F07" w:rsidRPr="000A6CEB" w:rsidRDefault="004C7F07" w:rsidP="004C7F07">
            <w:pPr>
              <w:pStyle w:val="CETBodytext"/>
              <w:ind w:right="-1"/>
              <w:rPr>
                <w:rFonts w:cs="Arial"/>
                <w:color w:val="000000"/>
                <w:szCs w:val="18"/>
              </w:rPr>
            </w:pPr>
            <w:r w:rsidRPr="000A6CEB">
              <w:rPr>
                <w:rFonts w:cs="Arial"/>
                <w:szCs w:val="18"/>
              </w:rPr>
              <w:t xml:space="preserve">Filling level </w:t>
            </w:r>
            <w:r w:rsidR="007773CB" w:rsidRPr="000A6CEB">
              <w:rPr>
                <w:rFonts w:cs="Arial"/>
                <w:szCs w:val="18"/>
              </w:rPr>
              <w:t>(</w:t>
            </w:r>
            <w:r w:rsidR="007773CB">
              <w:rPr>
                <w:rFonts w:cs="Arial"/>
                <w:szCs w:val="18"/>
              </w:rPr>
              <w:t xml:space="preserve">release </w:t>
            </w:r>
            <w:r w:rsidR="007773CB" w:rsidRPr="000A6CEB">
              <w:rPr>
                <w:rFonts w:cs="Arial"/>
                <w:szCs w:val="18"/>
              </w:rPr>
              <w:t xml:space="preserve">class </w:t>
            </w:r>
            <w:r w:rsidR="0069035E">
              <w:rPr>
                <w:rFonts w:cs="Arial"/>
                <w:szCs w:val="18"/>
              </w:rPr>
              <w:t>9</w:t>
            </w:r>
            <w:r w:rsidR="007773CB">
              <w:rPr>
                <w:rFonts w:cs="Arial"/>
                <w:szCs w:val="18"/>
              </w:rPr>
              <w:t>0</w:t>
            </w:r>
            <w:r w:rsidR="007773CB" w:rsidRPr="000A6CEB">
              <w:rPr>
                <w:rFonts w:cs="Arial"/>
                <w:szCs w:val="18"/>
              </w:rPr>
              <w:t>%)</w:t>
            </w:r>
          </w:p>
        </w:tc>
        <w:tc>
          <w:tcPr>
            <w:tcW w:w="1978" w:type="dxa"/>
            <w:shd w:val="clear" w:color="auto" w:fill="FFFFFF"/>
            <w:vAlign w:val="center"/>
          </w:tcPr>
          <w:p w14:paraId="1763EA99" w14:textId="1F42D3C5" w:rsidR="004C7F07" w:rsidRPr="000A6CEB" w:rsidRDefault="004C7F07" w:rsidP="004C7F07">
            <w:pPr>
              <w:pStyle w:val="CETBodytext"/>
              <w:ind w:right="-1"/>
              <w:rPr>
                <w:rFonts w:cs="Arial"/>
                <w:color w:val="000000" w:themeColor="text1"/>
                <w:kern w:val="24"/>
                <w:szCs w:val="18"/>
                <w:lang w:eastAsia="it-IT"/>
              </w:rPr>
            </w:pPr>
            <w:r w:rsidRPr="000A6CEB">
              <w:rPr>
                <w:rFonts w:cs="Arial"/>
                <w:szCs w:val="18"/>
                <w:lang w:val="en-GB"/>
              </w:rPr>
              <w:t>0.50-0.90</w:t>
            </w:r>
          </w:p>
        </w:tc>
        <w:tc>
          <w:tcPr>
            <w:tcW w:w="2761" w:type="dxa"/>
            <w:shd w:val="clear" w:color="auto" w:fill="FFFFFF"/>
            <w:vAlign w:val="center"/>
          </w:tcPr>
          <w:p w14:paraId="6F2B9AF7" w14:textId="61C2FBEA" w:rsidR="004C7F07" w:rsidRPr="000A6CEB" w:rsidRDefault="004C7F07" w:rsidP="004C7F07">
            <w:pPr>
              <w:pStyle w:val="CETBodytext"/>
              <w:ind w:right="-1"/>
              <w:rPr>
                <w:rFonts w:cs="Arial"/>
                <w:color w:val="000000" w:themeColor="text1"/>
                <w:kern w:val="24"/>
                <w:szCs w:val="18"/>
                <w:lang w:eastAsia="it-IT"/>
              </w:rPr>
            </w:pPr>
            <w:r w:rsidRPr="000A6CEB">
              <w:rPr>
                <w:rFonts w:cs="Arial"/>
                <w:szCs w:val="18"/>
              </w:rPr>
              <w:t>Uniform</w:t>
            </w:r>
          </w:p>
        </w:tc>
      </w:tr>
      <w:tr w:rsidR="004C7F07" w:rsidRPr="00B57B36" w14:paraId="4B26981F" w14:textId="77777777" w:rsidTr="007773CB">
        <w:trPr>
          <w:trHeight w:val="265"/>
        </w:trPr>
        <w:tc>
          <w:tcPr>
            <w:tcW w:w="3544" w:type="dxa"/>
            <w:shd w:val="clear" w:color="auto" w:fill="FFFFFF"/>
            <w:vAlign w:val="center"/>
          </w:tcPr>
          <w:p w14:paraId="4E9C0CCF" w14:textId="6AE48200" w:rsidR="004C7F07" w:rsidRPr="000A6CEB" w:rsidRDefault="004C7F07" w:rsidP="004C7F07">
            <w:pPr>
              <w:pStyle w:val="CETBodytext"/>
              <w:ind w:right="-1"/>
              <w:rPr>
                <w:rFonts w:cs="Arial"/>
                <w:color w:val="000000"/>
                <w:szCs w:val="18"/>
              </w:rPr>
            </w:pPr>
            <w:r w:rsidRPr="000A6CEB">
              <w:rPr>
                <w:rFonts w:cs="Arial"/>
                <w:szCs w:val="18"/>
              </w:rPr>
              <w:t>Corrosion allowance</w:t>
            </w:r>
          </w:p>
        </w:tc>
        <w:tc>
          <w:tcPr>
            <w:tcW w:w="1978" w:type="dxa"/>
            <w:shd w:val="clear" w:color="auto" w:fill="FFFFFF"/>
            <w:vAlign w:val="center"/>
          </w:tcPr>
          <w:p w14:paraId="53A44EBE" w14:textId="14C573D7" w:rsidR="004C7F07" w:rsidRPr="000A6CEB" w:rsidRDefault="004C7F07" w:rsidP="004C7F07">
            <w:pPr>
              <w:pStyle w:val="CETBodytext"/>
              <w:ind w:right="-1"/>
              <w:rPr>
                <w:rFonts w:cs="Arial"/>
                <w:color w:val="000000" w:themeColor="text1"/>
                <w:kern w:val="24"/>
                <w:szCs w:val="18"/>
                <w:lang w:eastAsia="it-IT"/>
              </w:rPr>
            </w:pPr>
            <w:r w:rsidRPr="000A6CEB">
              <w:rPr>
                <w:rFonts w:cs="Arial"/>
                <w:szCs w:val="18"/>
                <w:lang w:val="en-GB"/>
              </w:rPr>
              <w:t>0-3.2 mm</w:t>
            </w:r>
          </w:p>
        </w:tc>
        <w:tc>
          <w:tcPr>
            <w:tcW w:w="2761" w:type="dxa"/>
            <w:shd w:val="clear" w:color="auto" w:fill="FFFFFF"/>
            <w:vAlign w:val="center"/>
          </w:tcPr>
          <w:p w14:paraId="616DBE4A" w14:textId="75F9BF3E" w:rsidR="004C7F07" w:rsidRPr="000A6CEB" w:rsidRDefault="004C7F07" w:rsidP="004C7F07">
            <w:pPr>
              <w:pStyle w:val="CETBodytext"/>
              <w:ind w:right="-1"/>
              <w:rPr>
                <w:rFonts w:cs="Arial"/>
                <w:color w:val="000000" w:themeColor="text1"/>
                <w:kern w:val="24"/>
                <w:szCs w:val="18"/>
                <w:lang w:eastAsia="it-IT"/>
              </w:rPr>
            </w:pPr>
            <w:r w:rsidRPr="000A6CEB">
              <w:rPr>
                <w:rFonts w:cs="Arial"/>
                <w:szCs w:val="18"/>
              </w:rPr>
              <w:t>Uniform</w:t>
            </w:r>
          </w:p>
        </w:tc>
      </w:tr>
    </w:tbl>
    <w:p w14:paraId="0D53532D" w14:textId="77777777" w:rsidR="00194D4F" w:rsidRDefault="00194D4F" w:rsidP="00502598">
      <w:pPr>
        <w:pStyle w:val="CETBodytext"/>
      </w:pPr>
    </w:p>
    <w:p w14:paraId="6C7589D3" w14:textId="39ADEDE6" w:rsidR="00C2109B" w:rsidRDefault="003740D0" w:rsidP="0069035E">
      <w:pPr>
        <w:pStyle w:val="CETBodytext"/>
      </w:pPr>
      <w:r>
        <w:t>Considering that the</w:t>
      </w:r>
      <w:r w:rsidRPr="003740D0">
        <w:t xml:space="preserve"> fluid pressure represents a significant resistance force while assessing both overturning and sliding</w:t>
      </w:r>
      <w:r>
        <w:t xml:space="preserve">, the filling level was accounted as </w:t>
      </w:r>
      <w:r w:rsidR="0069035E">
        <w:t xml:space="preserve">an </w:t>
      </w:r>
      <w:r>
        <w:t>aleatory parameter in the simulations</w:t>
      </w:r>
      <w:r w:rsidRPr="003740D0">
        <w:t xml:space="preserve">. In the case that no </w:t>
      </w:r>
      <w:r w:rsidRPr="0069035E">
        <w:lastRenderedPageBreak/>
        <w:t>reference level of loss of containment is considered in the assessment, a filling level range of 0.05 to 0.9 w</w:t>
      </w:r>
      <w:r w:rsidR="0069035E" w:rsidRPr="0069035E">
        <w:t>as</w:t>
      </w:r>
      <w:r w:rsidRPr="0069035E">
        <w:t xml:space="preserve"> employed. On the other hand, when the release classes </w:t>
      </w:r>
      <w:r w:rsidR="005F3F20">
        <w:t>were</w:t>
      </w:r>
      <w:r w:rsidRPr="0069035E">
        <w:t xml:space="preserve"> considered, specific filling level ranges were utilized. In both cases, a uniform probability distribution is assumed.The corrosion allowance can also be regarded as a significant parameter for the two damage mechanisms under analysis, as it represents the age and state of maintenance of the tank. </w:t>
      </w:r>
      <w:r w:rsidR="0069035E">
        <w:t xml:space="preserve">Considering that </w:t>
      </w:r>
      <w:r w:rsidRPr="0069035E">
        <w:t>the actual corrosion allowance of the tank at the moment of damage cannot be anticipated</w:t>
      </w:r>
      <w:r w:rsidRPr="003740D0">
        <w:t xml:space="preserve">, all values within the initial corrosion allowance of 0 mm and 3.2 mm </w:t>
      </w:r>
      <w:r w:rsidR="0069035E">
        <w:t>were</w:t>
      </w:r>
      <w:r w:rsidRPr="003740D0">
        <w:t xml:space="preserve"> deemed equally probable. Therefore, a uniform distribution </w:t>
      </w:r>
      <w:r w:rsidR="0069035E">
        <w:t>was</w:t>
      </w:r>
      <w:r w:rsidRPr="003740D0">
        <w:t xml:space="preserve"> assumed also in this case. </w:t>
      </w:r>
      <w:r w:rsidR="0021310C">
        <w:t>Notably, t</w:t>
      </w:r>
      <w:r w:rsidR="0021310C" w:rsidRPr="0021310C">
        <w:t>he use of uniform distributions</w:t>
      </w:r>
      <w:r w:rsidR="00B23C69">
        <w:t xml:space="preserve"> </w:t>
      </w:r>
      <w:r w:rsidR="0021310C" w:rsidRPr="0021310C">
        <w:t xml:space="preserve">was selected </w:t>
      </w:r>
      <w:r w:rsidR="0021310C">
        <w:t>to</w:t>
      </w:r>
      <w:r w:rsidR="0021310C" w:rsidRPr="0021310C">
        <w:t xml:space="preserve"> account for maximum uncertainty. Alternative distributions were considered but were not used due to insufficient empirical data to justify specific parameterization. </w:t>
      </w:r>
      <w:r w:rsidR="008D42F1" w:rsidRPr="008D42F1">
        <w:t>However, if specific information on the history of the filling level becomes available, a more appropriate distribution could be adopted to better reflect actual conditions.</w:t>
      </w:r>
    </w:p>
    <w:p w14:paraId="4DB6C38A" w14:textId="4F4A3239" w:rsidR="004C7F07" w:rsidRPr="00502598" w:rsidRDefault="003740D0" w:rsidP="0069035E">
      <w:pPr>
        <w:pStyle w:val="CETBodytext"/>
      </w:pPr>
      <w:r>
        <w:t xml:space="preserve">The </w:t>
      </w:r>
      <w:r w:rsidR="00502598" w:rsidRPr="00E61421">
        <w:t xml:space="preserve">remaining parameters considered in the mechanical models </w:t>
      </w:r>
      <w:r w:rsidR="0069035E">
        <w:t>were</w:t>
      </w:r>
      <w:r w:rsidR="00502598" w:rsidRPr="00E61421">
        <w:t xml:space="preserve"> evaluated through fixed values.</w:t>
      </w:r>
    </w:p>
    <w:p w14:paraId="5C439E56" w14:textId="314B07BD" w:rsidR="00A65CB8" w:rsidRDefault="00A65CB8" w:rsidP="004366C7">
      <w:pPr>
        <w:pStyle w:val="CETheadingx"/>
      </w:pPr>
      <w:r>
        <w:t>Definition of generalized vulnerability models</w:t>
      </w:r>
    </w:p>
    <w:p w14:paraId="611A93F9" w14:textId="45FC4E5D" w:rsidR="003740D0" w:rsidRDefault="00844F1F" w:rsidP="00844F1F">
      <w:pPr>
        <w:contextualSpacing/>
        <w:rPr>
          <w:lang w:val="en-US"/>
        </w:rPr>
      </w:pPr>
      <w:r w:rsidRPr="00844F1F">
        <w:rPr>
          <w:lang w:val="en-US"/>
        </w:rPr>
        <w:t xml:space="preserve">The </w:t>
      </w:r>
      <w:r w:rsidR="005F3F20" w:rsidRPr="003740D0">
        <w:rPr>
          <w:lang w:val="en-US"/>
        </w:rPr>
        <w:t>cumulative damage probability functions associated with each tank</w:t>
      </w:r>
      <w:r w:rsidR="005F3F20" w:rsidRPr="00844F1F">
        <w:rPr>
          <w:lang w:val="en-US"/>
        </w:rPr>
        <w:t xml:space="preserve"> </w:t>
      </w:r>
      <w:r w:rsidRPr="00844F1F">
        <w:rPr>
          <w:lang w:val="en-US"/>
        </w:rPr>
        <w:t xml:space="preserve">were analyzed statistically to lay the groundwork for </w:t>
      </w:r>
      <w:r w:rsidR="0069035E">
        <w:rPr>
          <w:lang w:val="en-US"/>
        </w:rPr>
        <w:t>the definition of the generalized vulnerability models</w:t>
      </w:r>
      <w:r w:rsidRPr="00844F1F">
        <w:rPr>
          <w:lang w:val="en-US"/>
        </w:rPr>
        <w:t>.</w:t>
      </w:r>
      <w:r w:rsidR="0069035E">
        <w:rPr>
          <w:lang w:val="en-US"/>
        </w:rPr>
        <w:t xml:space="preserve"> </w:t>
      </w:r>
      <w:r w:rsidRPr="00844F1F">
        <w:rPr>
          <w:lang w:val="en-US"/>
        </w:rPr>
        <w:t>A step</w:t>
      </w:r>
      <w:r w:rsidR="0069035E">
        <w:rPr>
          <w:lang w:val="en-US"/>
        </w:rPr>
        <w:t>-</w:t>
      </w:r>
      <w:r w:rsidRPr="00844F1F">
        <w:rPr>
          <w:lang w:val="en-US"/>
        </w:rPr>
        <w:t>wise regression analysis was conducted to assess the correlation between wind velocity,</w:t>
      </w:r>
      <w:r w:rsidR="002B5FAA">
        <w:rPr>
          <w:lang w:val="en-US"/>
        </w:rPr>
        <w:t xml:space="preserve"> given</w:t>
      </w:r>
      <w:r w:rsidRPr="00844F1F">
        <w:rPr>
          <w:lang w:val="en-US"/>
        </w:rPr>
        <w:t xml:space="preserve"> damage probabilities, and a set of tank characteristics</w:t>
      </w:r>
      <w:r w:rsidR="0069035E" w:rsidRPr="0069035E">
        <w:rPr>
          <w:lang w:val="en-US"/>
        </w:rPr>
        <w:t xml:space="preserve"> </w:t>
      </w:r>
      <w:r w:rsidR="0069035E" w:rsidRPr="00844F1F">
        <w:rPr>
          <w:lang w:val="en-US"/>
        </w:rPr>
        <w:t>for each damage mechanism</w:t>
      </w:r>
      <w:r w:rsidRPr="00844F1F">
        <w:rPr>
          <w:lang w:val="en-US"/>
        </w:rPr>
        <w:t>. Th</w:t>
      </w:r>
      <w:r w:rsidR="00CB02BC">
        <w:rPr>
          <w:lang w:val="en-US"/>
        </w:rPr>
        <w:t>e</w:t>
      </w:r>
      <w:r w:rsidRPr="00844F1F">
        <w:rPr>
          <w:lang w:val="en-US"/>
        </w:rPr>
        <w:t xml:space="preserve"> analysis pinpointed the tank parameters </w:t>
      </w:r>
      <w:r w:rsidR="00CB02BC">
        <w:rPr>
          <w:lang w:val="en-US"/>
        </w:rPr>
        <w:t>that most influence</w:t>
      </w:r>
      <w:r w:rsidRPr="00844F1F">
        <w:rPr>
          <w:lang w:val="en-US"/>
        </w:rPr>
        <w:t xml:space="preserve"> </w:t>
      </w:r>
      <w:r w:rsidR="00CB02BC">
        <w:rPr>
          <w:lang w:val="en-US"/>
        </w:rPr>
        <w:t xml:space="preserve">the </w:t>
      </w:r>
      <w:r w:rsidRPr="00844F1F">
        <w:rPr>
          <w:lang w:val="en-US"/>
        </w:rPr>
        <w:t>vulnerability</w:t>
      </w:r>
      <w:r w:rsidR="00CB02BC">
        <w:rPr>
          <w:lang w:val="en-US"/>
        </w:rPr>
        <w:t xml:space="preserve"> of the tanks</w:t>
      </w:r>
      <w:r w:rsidRPr="00844F1F">
        <w:rPr>
          <w:lang w:val="en-US"/>
        </w:rPr>
        <w:t xml:space="preserve">. The </w:t>
      </w:r>
      <w:r w:rsidR="005F3F20">
        <w:rPr>
          <w:lang w:val="en-US"/>
        </w:rPr>
        <w:t xml:space="preserve">analysis </w:t>
      </w:r>
      <w:r w:rsidRPr="00844F1F">
        <w:rPr>
          <w:lang w:val="en-US"/>
        </w:rPr>
        <w:t xml:space="preserve">revealed distinct patterns for </w:t>
      </w:r>
      <w:r w:rsidR="00CB02BC">
        <w:rPr>
          <w:lang w:val="en-US"/>
        </w:rPr>
        <w:t>the two damage mechanisms</w:t>
      </w:r>
      <w:r w:rsidR="005F3F20">
        <w:rPr>
          <w:lang w:val="en-US"/>
        </w:rPr>
        <w:t xml:space="preserve"> and for tanks with specific geometrical characteristics</w:t>
      </w:r>
      <w:r w:rsidRPr="00844F1F">
        <w:rPr>
          <w:lang w:val="en-US"/>
        </w:rPr>
        <w:t>, leading to the classification of tanks into Dimensional Classes (DC</w:t>
      </w:r>
      <w:r w:rsidR="0069035E">
        <w:rPr>
          <w:lang w:val="en-US"/>
        </w:rPr>
        <w:t>s</w:t>
      </w:r>
      <w:r w:rsidRPr="00844F1F">
        <w:rPr>
          <w:lang w:val="en-US"/>
        </w:rPr>
        <w:t xml:space="preserve">). Specifically, </w:t>
      </w:r>
      <w:r w:rsidR="002B5FAA">
        <w:rPr>
          <w:lang w:val="en-US"/>
        </w:rPr>
        <w:t xml:space="preserve">the classes </w:t>
      </w:r>
      <w:r w:rsidRPr="00844F1F">
        <w:rPr>
          <w:lang w:val="en-US"/>
        </w:rPr>
        <w:t>DC1 and DC2 were defined for overturning, where DC1 applies to tanks with the product of diameter and shell height less than 200 m², and DC2 applies to tanks with the product of diameter and shell height greater than or equal to 200 m². Similarly, DC3 and DC4 were defined for sliding, with the same dimensional criteria as for overturning.</w:t>
      </w:r>
    </w:p>
    <w:p w14:paraId="0228D0D4" w14:textId="74C562B7" w:rsidR="00844F1F" w:rsidRDefault="00844F1F" w:rsidP="00103E3D">
      <w:pPr>
        <w:contextualSpacing/>
        <w:jc w:val="left"/>
        <w:rPr>
          <w:lang w:val="en-US"/>
        </w:rPr>
      </w:pPr>
      <w:r w:rsidRPr="00844F1F">
        <w:rPr>
          <w:lang w:val="en-US"/>
        </w:rPr>
        <w:t xml:space="preserve">A lower-bound envelope method was employed to select a reference cumulative distribution function for each of the four DCs. </w:t>
      </w:r>
      <w:r w:rsidR="0069035E">
        <w:rPr>
          <w:lang w:val="en-US"/>
        </w:rPr>
        <w:t>G</w:t>
      </w:r>
      <w:r w:rsidRPr="00844F1F">
        <w:rPr>
          <w:lang w:val="en-US"/>
        </w:rPr>
        <w:t xml:space="preserve">eneralized damage models in the form of probit equations were </w:t>
      </w:r>
      <w:r w:rsidR="005F3F20">
        <w:rPr>
          <w:lang w:val="en-US"/>
        </w:rPr>
        <w:t xml:space="preserve">then </w:t>
      </w:r>
      <w:r w:rsidRPr="00844F1F">
        <w:rPr>
          <w:lang w:val="en-US"/>
        </w:rPr>
        <w:t xml:space="preserve">derived based on </w:t>
      </w:r>
      <w:r>
        <w:rPr>
          <w:lang w:val="en-US"/>
        </w:rPr>
        <w:t>the cumulative distribution function</w:t>
      </w:r>
      <w:r w:rsidRPr="00844F1F">
        <w:rPr>
          <w:lang w:val="en-US"/>
        </w:rPr>
        <w:t xml:space="preserve"> simulations </w:t>
      </w:r>
      <w:r w:rsidR="0069035E">
        <w:rPr>
          <w:lang w:val="en-US"/>
        </w:rPr>
        <w:t>selected</w:t>
      </w:r>
      <w:r w:rsidRPr="00844F1F">
        <w:rPr>
          <w:lang w:val="en-US"/>
        </w:rPr>
        <w:t xml:space="preserve">, as presented in Table </w:t>
      </w:r>
      <w:r w:rsidR="000A6CEB">
        <w:rPr>
          <w:lang w:val="en-US"/>
        </w:rPr>
        <w:t>2</w:t>
      </w:r>
      <w:r w:rsidRPr="00844F1F">
        <w:rPr>
          <w:lang w:val="en-US"/>
        </w:rPr>
        <w:t>.</w:t>
      </w:r>
    </w:p>
    <w:p w14:paraId="1B339582" w14:textId="321EE283" w:rsidR="002C647C" w:rsidRPr="000D56D6" w:rsidRDefault="002C647C" w:rsidP="00B7174C">
      <w:pPr>
        <w:pStyle w:val="CETTabletitle"/>
      </w:pPr>
      <w:r w:rsidRPr="00B57B36">
        <w:t xml:space="preserve">Table </w:t>
      </w:r>
      <w:r w:rsidR="000A6CEB">
        <w:t>2</w:t>
      </w:r>
      <w:r w:rsidRPr="00B57B36">
        <w:t xml:space="preserve">: </w:t>
      </w:r>
      <w:r w:rsidR="00340BD8">
        <w:t>Probit models defined for overturning and sliding</w:t>
      </w:r>
      <w:r w:rsidR="00686130">
        <w:t>.</w:t>
      </w:r>
    </w:p>
    <w:tbl>
      <w:tblPr>
        <w:tblW w:w="901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2004"/>
        <w:gridCol w:w="2004"/>
        <w:gridCol w:w="2004"/>
        <w:gridCol w:w="2005"/>
      </w:tblGrid>
      <w:tr w:rsidR="00EC6929" w:rsidRPr="00B57B36" w14:paraId="78602B27" w14:textId="77777777" w:rsidTr="0011207E">
        <w:trPr>
          <w:trHeight w:val="255"/>
        </w:trPr>
        <w:tc>
          <w:tcPr>
            <w:tcW w:w="993" w:type="dxa"/>
            <w:tcBorders>
              <w:top w:val="single" w:sz="12" w:space="0" w:color="008000"/>
              <w:bottom w:val="single" w:sz="6" w:space="0" w:color="008000"/>
            </w:tcBorders>
            <w:shd w:val="clear" w:color="auto" w:fill="FFFFFF"/>
            <w:vAlign w:val="center"/>
          </w:tcPr>
          <w:p w14:paraId="24FB601D" w14:textId="31B29A1F" w:rsidR="00EC6929" w:rsidRPr="00127D6E" w:rsidRDefault="00EC6929" w:rsidP="001075C7">
            <w:pPr>
              <w:pStyle w:val="CETBodytext"/>
              <w:rPr>
                <w:b/>
                <w:bCs/>
                <w:szCs w:val="18"/>
              </w:rPr>
            </w:pPr>
            <w:r w:rsidRPr="00127D6E">
              <w:rPr>
                <w:b/>
                <w:bCs/>
                <w:szCs w:val="18"/>
              </w:rPr>
              <w:t xml:space="preserve"> </w:t>
            </w:r>
          </w:p>
        </w:tc>
        <w:tc>
          <w:tcPr>
            <w:tcW w:w="2004" w:type="dxa"/>
            <w:tcBorders>
              <w:top w:val="single" w:sz="12" w:space="0" w:color="008000"/>
              <w:bottom w:val="single" w:sz="6" w:space="0" w:color="008000"/>
            </w:tcBorders>
            <w:shd w:val="clear" w:color="auto" w:fill="FFFFFF"/>
            <w:vAlign w:val="center"/>
          </w:tcPr>
          <w:p w14:paraId="5AA301BD" w14:textId="6AF97FD9" w:rsidR="00EC6929" w:rsidRPr="00127D6E" w:rsidRDefault="00EC6929" w:rsidP="001075C7">
            <w:pPr>
              <w:pStyle w:val="CETBodytext"/>
              <w:rPr>
                <w:b/>
                <w:bCs/>
                <w:szCs w:val="18"/>
              </w:rPr>
            </w:pPr>
            <w:r w:rsidRPr="00127D6E">
              <w:rPr>
                <w:b/>
                <w:bCs/>
                <w:szCs w:val="18"/>
              </w:rPr>
              <w:t xml:space="preserve">DC1 </w:t>
            </w:r>
          </w:p>
        </w:tc>
        <w:tc>
          <w:tcPr>
            <w:tcW w:w="2004" w:type="dxa"/>
            <w:tcBorders>
              <w:top w:val="single" w:sz="12" w:space="0" w:color="008000"/>
              <w:bottom w:val="single" w:sz="6" w:space="0" w:color="008000"/>
            </w:tcBorders>
            <w:shd w:val="clear" w:color="auto" w:fill="FFFFFF"/>
            <w:vAlign w:val="center"/>
          </w:tcPr>
          <w:p w14:paraId="3A869B42" w14:textId="4404107E" w:rsidR="00EC6929" w:rsidRPr="00127D6E" w:rsidRDefault="00EC6929" w:rsidP="001075C7">
            <w:pPr>
              <w:pStyle w:val="CETBodytext"/>
              <w:rPr>
                <w:b/>
                <w:bCs/>
                <w:szCs w:val="18"/>
              </w:rPr>
            </w:pPr>
            <w:r w:rsidRPr="00127D6E">
              <w:rPr>
                <w:b/>
                <w:bCs/>
                <w:szCs w:val="18"/>
              </w:rPr>
              <w:t xml:space="preserve">DC2 </w:t>
            </w:r>
          </w:p>
        </w:tc>
        <w:tc>
          <w:tcPr>
            <w:tcW w:w="2004" w:type="dxa"/>
            <w:tcBorders>
              <w:top w:val="single" w:sz="12" w:space="0" w:color="008000"/>
              <w:bottom w:val="single" w:sz="6" w:space="0" w:color="008000"/>
            </w:tcBorders>
            <w:shd w:val="clear" w:color="auto" w:fill="FFFFFF"/>
            <w:vAlign w:val="center"/>
          </w:tcPr>
          <w:p w14:paraId="58FF0685" w14:textId="34AF4C04" w:rsidR="00EC6929" w:rsidRPr="00127D6E" w:rsidRDefault="00EC6929" w:rsidP="001075C7">
            <w:pPr>
              <w:pStyle w:val="CETBodytext"/>
              <w:rPr>
                <w:b/>
                <w:bCs/>
                <w:szCs w:val="18"/>
              </w:rPr>
            </w:pPr>
            <w:r w:rsidRPr="00127D6E">
              <w:rPr>
                <w:b/>
                <w:bCs/>
                <w:szCs w:val="18"/>
              </w:rPr>
              <w:t>DC</w:t>
            </w:r>
            <w:r w:rsidR="002224C0" w:rsidRPr="00127D6E">
              <w:rPr>
                <w:b/>
                <w:bCs/>
                <w:szCs w:val="18"/>
              </w:rPr>
              <w:t>3</w:t>
            </w:r>
            <w:r w:rsidRPr="00127D6E">
              <w:rPr>
                <w:b/>
                <w:bCs/>
                <w:szCs w:val="18"/>
              </w:rPr>
              <w:t xml:space="preserve"> </w:t>
            </w:r>
          </w:p>
        </w:tc>
        <w:tc>
          <w:tcPr>
            <w:tcW w:w="2005" w:type="dxa"/>
            <w:tcBorders>
              <w:top w:val="single" w:sz="12" w:space="0" w:color="008000"/>
              <w:bottom w:val="single" w:sz="6" w:space="0" w:color="008000"/>
            </w:tcBorders>
            <w:shd w:val="clear" w:color="auto" w:fill="FFFFFF"/>
            <w:vAlign w:val="center"/>
          </w:tcPr>
          <w:p w14:paraId="4AAA0A76" w14:textId="610FC2C1" w:rsidR="00EC6929" w:rsidRPr="00127D6E" w:rsidRDefault="00EC6929" w:rsidP="001075C7">
            <w:pPr>
              <w:pStyle w:val="CETBodytext"/>
              <w:rPr>
                <w:b/>
                <w:bCs/>
                <w:szCs w:val="18"/>
              </w:rPr>
            </w:pPr>
            <w:r w:rsidRPr="00127D6E">
              <w:rPr>
                <w:b/>
                <w:bCs/>
                <w:szCs w:val="18"/>
              </w:rPr>
              <w:t>DC</w:t>
            </w:r>
            <w:r w:rsidR="002224C0" w:rsidRPr="00127D6E">
              <w:rPr>
                <w:b/>
                <w:bCs/>
                <w:szCs w:val="18"/>
              </w:rPr>
              <w:t>4</w:t>
            </w:r>
            <w:r w:rsidRPr="00127D6E">
              <w:rPr>
                <w:b/>
                <w:bCs/>
                <w:szCs w:val="18"/>
              </w:rPr>
              <w:t xml:space="preserve"> </w:t>
            </w:r>
          </w:p>
        </w:tc>
      </w:tr>
      <w:tr w:rsidR="00EC6929" w:rsidRPr="00B57B36" w14:paraId="352D7D52" w14:textId="77777777" w:rsidTr="0011207E">
        <w:trPr>
          <w:trHeight w:val="267"/>
        </w:trPr>
        <w:tc>
          <w:tcPr>
            <w:tcW w:w="993" w:type="dxa"/>
            <w:shd w:val="clear" w:color="auto" w:fill="FFFFFF"/>
            <w:vAlign w:val="center"/>
          </w:tcPr>
          <w:p w14:paraId="7020C341" w14:textId="750B6052" w:rsidR="00EC6929" w:rsidRPr="001075C7" w:rsidRDefault="00EC6929" w:rsidP="001075C7">
            <w:pPr>
              <w:pStyle w:val="CETBodytext"/>
              <w:rPr>
                <w:szCs w:val="18"/>
              </w:rPr>
            </w:pPr>
            <w:r w:rsidRPr="001075C7">
              <w:rPr>
                <w:szCs w:val="18"/>
              </w:rPr>
              <w:t>A</w:t>
            </w:r>
          </w:p>
        </w:tc>
        <w:tc>
          <w:tcPr>
            <w:tcW w:w="2004" w:type="dxa"/>
            <w:shd w:val="clear" w:color="auto" w:fill="FFFFFF"/>
            <w:vAlign w:val="center"/>
          </w:tcPr>
          <w:p w14:paraId="33EF8E13" w14:textId="2FB0CCFE" w:rsidR="00EC6929" w:rsidRPr="001075C7" w:rsidRDefault="00EC6929" w:rsidP="001075C7">
            <w:pPr>
              <w:pStyle w:val="CETBodytext"/>
              <w:rPr>
                <w:szCs w:val="18"/>
              </w:rPr>
            </w:pPr>
            <w:r w:rsidRPr="001075C7">
              <w:rPr>
                <w:szCs w:val="18"/>
              </w:rPr>
              <w:t>-52.0653</w:t>
            </w:r>
          </w:p>
        </w:tc>
        <w:tc>
          <w:tcPr>
            <w:tcW w:w="2004" w:type="dxa"/>
            <w:shd w:val="clear" w:color="auto" w:fill="FFFFFF"/>
            <w:vAlign w:val="center"/>
          </w:tcPr>
          <w:p w14:paraId="082A3351" w14:textId="2CB4EBAA" w:rsidR="00EC6929" w:rsidRPr="001075C7" w:rsidRDefault="00EC6929" w:rsidP="001075C7">
            <w:pPr>
              <w:pStyle w:val="CETBodytext"/>
              <w:rPr>
                <w:szCs w:val="18"/>
              </w:rPr>
            </w:pPr>
            <w:r w:rsidRPr="001075C7">
              <w:rPr>
                <w:szCs w:val="18"/>
              </w:rPr>
              <w:t>-89.0766</w:t>
            </w:r>
          </w:p>
        </w:tc>
        <w:tc>
          <w:tcPr>
            <w:tcW w:w="2004" w:type="dxa"/>
            <w:shd w:val="clear" w:color="auto" w:fill="FFFFFF"/>
            <w:vAlign w:val="center"/>
          </w:tcPr>
          <w:p w14:paraId="55FF57AE" w14:textId="33C1A5DC" w:rsidR="00EC6929" w:rsidRPr="001075C7" w:rsidRDefault="00EC6929" w:rsidP="001075C7">
            <w:pPr>
              <w:pStyle w:val="CETBodytext"/>
              <w:rPr>
                <w:szCs w:val="18"/>
              </w:rPr>
            </w:pPr>
            <w:r w:rsidRPr="001075C7">
              <w:rPr>
                <w:szCs w:val="18"/>
              </w:rPr>
              <w:t>-14.759</w:t>
            </w:r>
          </w:p>
        </w:tc>
        <w:tc>
          <w:tcPr>
            <w:tcW w:w="2005" w:type="dxa"/>
            <w:shd w:val="clear" w:color="auto" w:fill="FFFFFF"/>
            <w:vAlign w:val="center"/>
          </w:tcPr>
          <w:p w14:paraId="3FD3A353" w14:textId="2704BF3E" w:rsidR="00EC6929" w:rsidRPr="001075C7" w:rsidRDefault="00EC6929" w:rsidP="001075C7">
            <w:pPr>
              <w:pStyle w:val="CETBodytext"/>
              <w:rPr>
                <w:szCs w:val="18"/>
              </w:rPr>
            </w:pPr>
            <w:r w:rsidRPr="001075C7">
              <w:rPr>
                <w:szCs w:val="18"/>
              </w:rPr>
              <w:t>-11.6285</w:t>
            </w:r>
          </w:p>
        </w:tc>
      </w:tr>
      <w:tr w:rsidR="00EC6929" w:rsidRPr="00B57B36" w14:paraId="6625EC4F" w14:textId="77777777" w:rsidTr="0011207E">
        <w:trPr>
          <w:trHeight w:val="255"/>
        </w:trPr>
        <w:tc>
          <w:tcPr>
            <w:tcW w:w="993" w:type="dxa"/>
            <w:shd w:val="clear" w:color="auto" w:fill="FFFFFF"/>
            <w:vAlign w:val="center"/>
          </w:tcPr>
          <w:p w14:paraId="00DF96CC" w14:textId="49950831" w:rsidR="00EC6929" w:rsidRPr="001075C7" w:rsidRDefault="00EC6929" w:rsidP="001075C7">
            <w:pPr>
              <w:pStyle w:val="CETBodytext"/>
              <w:rPr>
                <w:szCs w:val="18"/>
              </w:rPr>
            </w:pPr>
            <w:r w:rsidRPr="001075C7">
              <w:rPr>
                <w:szCs w:val="18"/>
              </w:rPr>
              <w:t>B</w:t>
            </w:r>
          </w:p>
        </w:tc>
        <w:tc>
          <w:tcPr>
            <w:tcW w:w="2004" w:type="dxa"/>
            <w:shd w:val="clear" w:color="auto" w:fill="FFFFFF"/>
            <w:vAlign w:val="center"/>
          </w:tcPr>
          <w:p w14:paraId="1CA8BB0C" w14:textId="7C296A96" w:rsidR="00EC6929" w:rsidRPr="001075C7" w:rsidRDefault="00EC6929" w:rsidP="001075C7">
            <w:pPr>
              <w:pStyle w:val="CETBodytext"/>
              <w:rPr>
                <w:szCs w:val="18"/>
              </w:rPr>
            </w:pPr>
            <w:r w:rsidRPr="001075C7">
              <w:rPr>
                <w:szCs w:val="18"/>
              </w:rPr>
              <w:t>15.4489</w:t>
            </w:r>
          </w:p>
        </w:tc>
        <w:tc>
          <w:tcPr>
            <w:tcW w:w="2004" w:type="dxa"/>
            <w:shd w:val="clear" w:color="auto" w:fill="FFFFFF"/>
            <w:vAlign w:val="center"/>
          </w:tcPr>
          <w:p w14:paraId="101C71E9" w14:textId="5BEAFE1E" w:rsidR="00EC6929" w:rsidRPr="001075C7" w:rsidRDefault="00EC6929" w:rsidP="001075C7">
            <w:pPr>
              <w:pStyle w:val="CETBodytext"/>
              <w:rPr>
                <w:szCs w:val="18"/>
              </w:rPr>
            </w:pPr>
            <w:r w:rsidRPr="001075C7">
              <w:rPr>
                <w:szCs w:val="18"/>
              </w:rPr>
              <w:t>25.2343</w:t>
            </w:r>
          </w:p>
        </w:tc>
        <w:tc>
          <w:tcPr>
            <w:tcW w:w="2004" w:type="dxa"/>
            <w:shd w:val="clear" w:color="auto" w:fill="FFFFFF"/>
            <w:vAlign w:val="center"/>
          </w:tcPr>
          <w:p w14:paraId="2E4ABF9D" w14:textId="6123A807" w:rsidR="00EC6929" w:rsidRPr="001075C7" w:rsidRDefault="00EC6929" w:rsidP="001075C7">
            <w:pPr>
              <w:pStyle w:val="CETBodytext"/>
              <w:rPr>
                <w:szCs w:val="18"/>
              </w:rPr>
            </w:pPr>
            <w:r w:rsidRPr="001075C7">
              <w:rPr>
                <w:szCs w:val="18"/>
              </w:rPr>
              <w:t>4.4186</w:t>
            </w:r>
          </w:p>
        </w:tc>
        <w:tc>
          <w:tcPr>
            <w:tcW w:w="2005" w:type="dxa"/>
            <w:shd w:val="clear" w:color="auto" w:fill="FFFFFF"/>
            <w:vAlign w:val="center"/>
          </w:tcPr>
          <w:p w14:paraId="04A5C291" w14:textId="2FF1FA4C" w:rsidR="00EC6929" w:rsidRPr="001075C7" w:rsidRDefault="00EC6929" w:rsidP="001075C7">
            <w:pPr>
              <w:pStyle w:val="CETBodytext"/>
              <w:rPr>
                <w:szCs w:val="18"/>
              </w:rPr>
            </w:pPr>
            <w:r w:rsidRPr="001075C7">
              <w:rPr>
                <w:szCs w:val="18"/>
              </w:rPr>
              <w:t>3.3705</w:t>
            </w:r>
          </w:p>
        </w:tc>
      </w:tr>
    </w:tbl>
    <w:p w14:paraId="1DD5EBE5" w14:textId="77777777" w:rsidR="009A404E" w:rsidRDefault="009A404E" w:rsidP="009A404E">
      <w:pPr>
        <w:contextualSpacing/>
        <w:rPr>
          <w:lang w:val="en-US"/>
        </w:rPr>
      </w:pPr>
    </w:p>
    <w:p w14:paraId="2932DE2C" w14:textId="26357D9D" w:rsidR="009A404E" w:rsidRDefault="0069035E" w:rsidP="009A404E">
      <w:pPr>
        <w:contextualSpacing/>
        <w:rPr>
          <w:lang w:val="en-US"/>
        </w:rPr>
      </w:pPr>
      <w:r>
        <w:rPr>
          <w:lang w:val="en-US"/>
        </w:rPr>
        <w:t>For the sake of</w:t>
      </w:r>
      <w:r w:rsidR="009A404E">
        <w:rPr>
          <w:lang w:val="en-US"/>
        </w:rPr>
        <w:t xml:space="preserve"> </w:t>
      </w:r>
      <w:r w:rsidR="005F3F20">
        <w:rPr>
          <w:lang w:val="en-US"/>
        </w:rPr>
        <w:t>example,</w:t>
      </w:r>
      <w:r w:rsidR="009A404E">
        <w:rPr>
          <w:lang w:val="en-US"/>
        </w:rPr>
        <w:t xml:space="preserve"> a representation of the models</w:t>
      </w:r>
      <w:r w:rsidR="00E2636D">
        <w:rPr>
          <w:lang w:val="en-US"/>
        </w:rPr>
        <w:t xml:space="preserve"> developed for </w:t>
      </w:r>
      <w:r w:rsidR="005F0D38">
        <w:rPr>
          <w:lang w:val="en-US"/>
        </w:rPr>
        <w:t>DC1 and DC2</w:t>
      </w:r>
      <w:r w:rsidR="009A404E">
        <w:rPr>
          <w:lang w:val="en-US"/>
        </w:rPr>
        <w:t xml:space="preserve"> is provided in Figure </w:t>
      </w:r>
      <w:r w:rsidR="008E11DB">
        <w:rPr>
          <w:lang w:val="en-US"/>
        </w:rPr>
        <w:t>2</w:t>
      </w:r>
      <w:r w:rsidR="009A404E">
        <w:rPr>
          <w:lang w:val="en-US"/>
        </w:rPr>
        <w:t>.</w:t>
      </w:r>
    </w:p>
    <w:p w14:paraId="6BB4CD2E" w14:textId="77777777" w:rsidR="004C7F07" w:rsidRDefault="004C7F07" w:rsidP="009A404E">
      <w:pPr>
        <w:contextualSpacing/>
        <w:rPr>
          <w:lang w:val="en-US"/>
        </w:rPr>
      </w:pPr>
    </w:p>
    <w:p w14:paraId="6B108F94" w14:textId="0AEC5FD3" w:rsidR="00E2636D" w:rsidRDefault="00F5710B" w:rsidP="009A404E">
      <w:pPr>
        <w:contextualSpacing/>
        <w:rPr>
          <w:lang w:val="en-US"/>
        </w:rPr>
      </w:pPr>
      <w:r w:rsidRPr="00F5710B">
        <w:rPr>
          <w:noProof/>
          <w:lang w:val="en-US"/>
        </w:rPr>
        <w:drawing>
          <wp:inline distT="0" distB="0" distL="0" distR="0" wp14:anchorId="2924E47D" wp14:editId="2A90316D">
            <wp:extent cx="2787764" cy="2061557"/>
            <wp:effectExtent l="0" t="0" r="0" b="0"/>
            <wp:docPr id="11249332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933202" name=""/>
                    <pic:cNvPicPr/>
                  </pic:nvPicPr>
                  <pic:blipFill>
                    <a:blip r:embed="rId11"/>
                    <a:stretch>
                      <a:fillRect/>
                    </a:stretch>
                  </pic:blipFill>
                  <pic:spPr>
                    <a:xfrm>
                      <a:off x="0" y="0"/>
                      <a:ext cx="2930208" cy="2166895"/>
                    </a:xfrm>
                    <a:prstGeom prst="rect">
                      <a:avLst/>
                    </a:prstGeom>
                  </pic:spPr>
                </pic:pic>
              </a:graphicData>
            </a:graphic>
          </wp:inline>
        </w:drawing>
      </w:r>
    </w:p>
    <w:p w14:paraId="4C4847EE" w14:textId="2424B6D6" w:rsidR="005F0D38" w:rsidRPr="004C7F07" w:rsidRDefault="008E11DB" w:rsidP="004C7F07">
      <w:pPr>
        <w:pStyle w:val="CETCaption"/>
        <w:rPr>
          <w:lang w:val="en-US"/>
        </w:rPr>
      </w:pPr>
      <w:r>
        <w:rPr>
          <w:lang w:val="en-US"/>
        </w:rPr>
        <w:t>Figure 2</w:t>
      </w:r>
      <w:r w:rsidR="000A6CEB">
        <w:rPr>
          <w:lang w:val="en-US"/>
        </w:rPr>
        <w:t xml:space="preserve"> </w:t>
      </w:r>
      <w:r>
        <w:rPr>
          <w:lang w:val="en-US"/>
        </w:rPr>
        <w:t>-</w:t>
      </w:r>
      <w:r w:rsidR="004C7F07">
        <w:rPr>
          <w:lang w:val="en-US"/>
        </w:rPr>
        <w:t xml:space="preserve"> Probit models defined for dimensional classes DC1 and DC2.</w:t>
      </w:r>
    </w:p>
    <w:p w14:paraId="03410D54" w14:textId="3923EC70" w:rsidR="0073786E" w:rsidRPr="005F0D38" w:rsidRDefault="009A404E" w:rsidP="005F0D38">
      <w:pPr>
        <w:contextualSpacing/>
        <w:rPr>
          <w:lang w:val="en-US"/>
        </w:rPr>
      </w:pPr>
      <w:r w:rsidRPr="00AD3455">
        <w:t xml:space="preserve">As previously discussed, </w:t>
      </w:r>
      <w:r w:rsidR="00117997" w:rsidRPr="00117997">
        <w:t xml:space="preserve">the overall probability associated with a given damage mechanism can be determined using Eq(1), Eq(2), and Eq(3) by applying the probit coefficients presented in Table 1. </w:t>
      </w:r>
      <w:r w:rsidR="0069035E">
        <w:t>It is to be noted that</w:t>
      </w:r>
      <w:r w:rsidR="00852045">
        <w:t xml:space="preserve"> </w:t>
      </w:r>
      <w:r w:rsidR="00852045" w:rsidRPr="00852045">
        <w:t>the expected wind velocities</w:t>
      </w:r>
      <w:r w:rsidR="00852045">
        <w:t xml:space="preserve"> are to be input</w:t>
      </w:r>
      <w:r w:rsidR="00852045" w:rsidRPr="00852045">
        <w:t xml:space="preserve"> in meters per second when using the generalized probit models.</w:t>
      </w:r>
      <w:r w:rsidR="0099389B">
        <w:t xml:space="preserve"> </w:t>
      </w:r>
    </w:p>
    <w:p w14:paraId="6BDC031C" w14:textId="79C93501" w:rsidR="0099389B" w:rsidRPr="0099389B" w:rsidRDefault="005F3F20" w:rsidP="0099389B">
      <w:pPr>
        <w:pStyle w:val="CETBodytext"/>
      </w:pPr>
      <w:r>
        <w:t>T</w:t>
      </w:r>
      <w:r w:rsidR="0099389B" w:rsidRPr="0099389B">
        <w:t>he analysis</w:t>
      </w:r>
      <w:r>
        <w:t xml:space="preserve"> also</w:t>
      </w:r>
      <w:r w:rsidR="0099389B" w:rsidRPr="0099389B">
        <w:t xml:space="preserve"> enabled the development of generalized models aligned with the three </w:t>
      </w:r>
      <w:r w:rsidR="0000159D">
        <w:t>release classes</w:t>
      </w:r>
      <w:r w:rsidR="0099389B" w:rsidRPr="0099389B">
        <w:t xml:space="preserve"> defined in Section 2.2</w:t>
      </w:r>
      <w:r w:rsidR="003740D0">
        <w:t>.</w:t>
      </w:r>
      <w:r w:rsidR="0099389B" w:rsidRPr="0099389B">
        <w:t xml:space="preserve"> </w:t>
      </w:r>
      <w:r w:rsidR="00D37FA3">
        <w:t>For the sake of example, t</w:t>
      </w:r>
      <w:r w:rsidR="008B68F9">
        <w:t>he</w:t>
      </w:r>
      <w:r w:rsidR="0099389B" w:rsidRPr="0099389B">
        <w:t xml:space="preserve"> probit models for </w:t>
      </w:r>
      <w:r w:rsidR="008B68F9">
        <w:t xml:space="preserve">dimensional class </w:t>
      </w:r>
      <w:r w:rsidR="0099389B" w:rsidRPr="0099389B">
        <w:t xml:space="preserve">DC1 are provided in Table </w:t>
      </w:r>
      <w:r w:rsidR="000A6CEB">
        <w:t>3</w:t>
      </w:r>
      <w:r w:rsidR="0099389B" w:rsidRPr="0099389B">
        <w:t>.</w:t>
      </w:r>
    </w:p>
    <w:p w14:paraId="215F7D74" w14:textId="714D797F" w:rsidR="00966AA9" w:rsidRPr="000D56D6" w:rsidRDefault="00966AA9" w:rsidP="00966AA9">
      <w:pPr>
        <w:pStyle w:val="CETTabletitle"/>
      </w:pPr>
      <w:r w:rsidRPr="00B57B36">
        <w:lastRenderedPageBreak/>
        <w:t xml:space="preserve">Table </w:t>
      </w:r>
      <w:r w:rsidR="000A6CEB">
        <w:t>3</w:t>
      </w:r>
      <w:r w:rsidRPr="00B57B36">
        <w:t xml:space="preserve">: </w:t>
      </w:r>
      <w:r w:rsidR="00686130">
        <w:t xml:space="preserve">Probit models defined for dimensional class DC1 considering the three </w:t>
      </w:r>
      <w:r w:rsidR="00CE372B">
        <w:t>release classes.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26"/>
        <w:gridCol w:w="1226"/>
        <w:gridCol w:w="1226"/>
        <w:gridCol w:w="1226"/>
        <w:gridCol w:w="1226"/>
        <w:gridCol w:w="1226"/>
        <w:gridCol w:w="1226"/>
      </w:tblGrid>
      <w:tr w:rsidR="006C0314" w:rsidRPr="00B57B36" w14:paraId="704F57EB" w14:textId="49EF2B92" w:rsidTr="00686130">
        <w:trPr>
          <w:trHeight w:val="255"/>
        </w:trPr>
        <w:tc>
          <w:tcPr>
            <w:tcW w:w="1226" w:type="dxa"/>
            <w:tcBorders>
              <w:top w:val="single" w:sz="12" w:space="0" w:color="008000"/>
              <w:bottom w:val="single" w:sz="6" w:space="0" w:color="008000"/>
            </w:tcBorders>
            <w:shd w:val="clear" w:color="auto" w:fill="FFFFFF"/>
            <w:vAlign w:val="bottom"/>
          </w:tcPr>
          <w:p w14:paraId="675C861B" w14:textId="0E499338" w:rsidR="006C0314" w:rsidRPr="008B68F9" w:rsidRDefault="006C0314" w:rsidP="006C0314">
            <w:pPr>
              <w:pStyle w:val="CETBodytext"/>
              <w:rPr>
                <w:rFonts w:cs="Arial"/>
                <w:szCs w:val="18"/>
                <w:lang w:val="en-GB"/>
              </w:rPr>
            </w:pPr>
          </w:p>
        </w:tc>
        <w:tc>
          <w:tcPr>
            <w:tcW w:w="1226" w:type="dxa"/>
            <w:tcBorders>
              <w:top w:val="single" w:sz="12" w:space="0" w:color="008000"/>
              <w:bottom w:val="single" w:sz="6" w:space="0" w:color="008000"/>
            </w:tcBorders>
            <w:shd w:val="clear" w:color="auto" w:fill="FFFFFF"/>
            <w:vAlign w:val="bottom"/>
          </w:tcPr>
          <w:p w14:paraId="6391B823" w14:textId="1F2916BB" w:rsidR="006C0314" w:rsidRPr="008B68F9" w:rsidRDefault="006C0314" w:rsidP="006C0314">
            <w:pPr>
              <w:pStyle w:val="CETBodytext"/>
              <w:rPr>
                <w:rFonts w:cs="Arial"/>
                <w:b/>
                <w:bCs/>
                <w:szCs w:val="18"/>
                <w:lang w:val="en-GB"/>
              </w:rPr>
            </w:pPr>
            <w:r w:rsidRPr="008B68F9">
              <w:rPr>
                <w:rFonts w:cs="Arial"/>
                <w:b/>
                <w:bCs/>
                <w:color w:val="000000"/>
                <w:szCs w:val="18"/>
              </w:rPr>
              <w:t>A</w:t>
            </w:r>
            <w:r w:rsidRPr="008B68F9">
              <w:rPr>
                <w:rFonts w:cs="Arial"/>
                <w:b/>
                <w:bCs/>
                <w:color w:val="000000"/>
                <w:szCs w:val="18"/>
                <w:vertAlign w:val="subscript"/>
              </w:rPr>
              <w:t>1</w:t>
            </w:r>
            <w:r w:rsidR="002B6FBF" w:rsidRPr="008B68F9">
              <w:rPr>
                <w:rFonts w:cs="Arial"/>
                <w:b/>
                <w:bCs/>
                <w:color w:val="000000"/>
                <w:szCs w:val="18"/>
                <w:vertAlign w:val="subscript"/>
              </w:rPr>
              <w:t>0%</w:t>
            </w:r>
          </w:p>
        </w:tc>
        <w:tc>
          <w:tcPr>
            <w:tcW w:w="1226" w:type="dxa"/>
            <w:tcBorders>
              <w:top w:val="single" w:sz="12" w:space="0" w:color="008000"/>
              <w:bottom w:val="single" w:sz="6" w:space="0" w:color="008000"/>
            </w:tcBorders>
            <w:shd w:val="clear" w:color="auto" w:fill="FFFFFF"/>
            <w:vAlign w:val="bottom"/>
          </w:tcPr>
          <w:p w14:paraId="6851F9FE" w14:textId="04B5FE72" w:rsidR="006C0314" w:rsidRPr="008B68F9" w:rsidRDefault="006C0314" w:rsidP="006C0314">
            <w:pPr>
              <w:pStyle w:val="CETBodytext"/>
              <w:rPr>
                <w:rFonts w:cs="Arial"/>
                <w:b/>
                <w:bCs/>
                <w:szCs w:val="18"/>
                <w:lang w:val="en-GB"/>
              </w:rPr>
            </w:pPr>
            <w:r w:rsidRPr="008B68F9">
              <w:rPr>
                <w:rFonts w:cs="Arial"/>
                <w:b/>
                <w:bCs/>
                <w:color w:val="000000"/>
                <w:szCs w:val="18"/>
              </w:rPr>
              <w:t>B</w:t>
            </w:r>
            <w:r w:rsidRPr="008B68F9">
              <w:rPr>
                <w:rFonts w:cs="Arial"/>
                <w:b/>
                <w:bCs/>
                <w:color w:val="000000"/>
                <w:szCs w:val="18"/>
                <w:vertAlign w:val="subscript"/>
              </w:rPr>
              <w:t>1</w:t>
            </w:r>
            <w:r w:rsidR="00686130" w:rsidRPr="008B68F9">
              <w:rPr>
                <w:rFonts w:cs="Arial"/>
                <w:b/>
                <w:bCs/>
                <w:color w:val="000000"/>
                <w:szCs w:val="18"/>
                <w:vertAlign w:val="subscript"/>
              </w:rPr>
              <w:t>0%</w:t>
            </w:r>
          </w:p>
        </w:tc>
        <w:tc>
          <w:tcPr>
            <w:tcW w:w="1226" w:type="dxa"/>
            <w:tcBorders>
              <w:top w:val="single" w:sz="12" w:space="0" w:color="008000"/>
              <w:bottom w:val="single" w:sz="6" w:space="0" w:color="008000"/>
            </w:tcBorders>
            <w:shd w:val="clear" w:color="auto" w:fill="FFFFFF"/>
            <w:vAlign w:val="bottom"/>
          </w:tcPr>
          <w:p w14:paraId="2BF078F7" w14:textId="0D3F2A5A" w:rsidR="006C0314" w:rsidRPr="008B68F9" w:rsidRDefault="006C0314" w:rsidP="006C0314">
            <w:pPr>
              <w:pStyle w:val="CETBodytext"/>
              <w:ind w:right="-1"/>
              <w:rPr>
                <w:rFonts w:cs="Arial"/>
                <w:b/>
                <w:bCs/>
                <w:szCs w:val="18"/>
                <w:lang w:val="en-GB"/>
              </w:rPr>
            </w:pPr>
            <w:r w:rsidRPr="008B68F9">
              <w:rPr>
                <w:rFonts w:cs="Arial"/>
                <w:b/>
                <w:bCs/>
                <w:color w:val="000000"/>
                <w:szCs w:val="18"/>
              </w:rPr>
              <w:t>A</w:t>
            </w:r>
            <w:r w:rsidR="00BE737C" w:rsidRPr="008B68F9">
              <w:rPr>
                <w:rFonts w:cs="Arial"/>
                <w:b/>
                <w:bCs/>
                <w:color w:val="000000"/>
                <w:szCs w:val="18"/>
                <w:vertAlign w:val="subscript"/>
              </w:rPr>
              <w:t>50%</w:t>
            </w:r>
          </w:p>
        </w:tc>
        <w:tc>
          <w:tcPr>
            <w:tcW w:w="1226" w:type="dxa"/>
            <w:tcBorders>
              <w:top w:val="single" w:sz="12" w:space="0" w:color="008000"/>
              <w:bottom w:val="single" w:sz="6" w:space="0" w:color="008000"/>
            </w:tcBorders>
            <w:shd w:val="clear" w:color="auto" w:fill="FFFFFF"/>
            <w:vAlign w:val="bottom"/>
          </w:tcPr>
          <w:p w14:paraId="435D6097" w14:textId="785109DE" w:rsidR="006C0314" w:rsidRPr="008B68F9" w:rsidRDefault="006C0314" w:rsidP="006C0314">
            <w:pPr>
              <w:pStyle w:val="CETBodytext"/>
              <w:ind w:right="-1"/>
              <w:rPr>
                <w:rFonts w:cs="Arial"/>
                <w:b/>
                <w:bCs/>
                <w:szCs w:val="18"/>
                <w:lang w:val="en-GB"/>
              </w:rPr>
            </w:pPr>
            <w:r w:rsidRPr="008B68F9">
              <w:rPr>
                <w:rFonts w:cs="Arial"/>
                <w:b/>
                <w:bCs/>
                <w:color w:val="000000"/>
                <w:szCs w:val="18"/>
              </w:rPr>
              <w:t>B</w:t>
            </w:r>
            <w:r w:rsidR="00686130" w:rsidRPr="008B68F9">
              <w:rPr>
                <w:rFonts w:cs="Arial"/>
                <w:b/>
                <w:bCs/>
                <w:color w:val="000000"/>
                <w:szCs w:val="18"/>
                <w:vertAlign w:val="subscript"/>
              </w:rPr>
              <w:t>50%</w:t>
            </w:r>
          </w:p>
        </w:tc>
        <w:tc>
          <w:tcPr>
            <w:tcW w:w="1226" w:type="dxa"/>
            <w:tcBorders>
              <w:top w:val="single" w:sz="12" w:space="0" w:color="008000"/>
              <w:bottom w:val="single" w:sz="6" w:space="0" w:color="008000"/>
            </w:tcBorders>
            <w:shd w:val="clear" w:color="auto" w:fill="FFFFFF"/>
            <w:vAlign w:val="bottom"/>
          </w:tcPr>
          <w:p w14:paraId="77674F4F" w14:textId="73908D99" w:rsidR="006C0314" w:rsidRPr="008B68F9" w:rsidRDefault="006C0314" w:rsidP="006C0314">
            <w:pPr>
              <w:pStyle w:val="CETBodytext"/>
              <w:ind w:right="-1"/>
              <w:rPr>
                <w:rFonts w:cs="Arial"/>
                <w:b/>
                <w:bCs/>
                <w:szCs w:val="18"/>
                <w:lang w:val="en-GB"/>
              </w:rPr>
            </w:pPr>
            <w:r w:rsidRPr="008B68F9">
              <w:rPr>
                <w:rFonts w:cs="Arial"/>
                <w:b/>
                <w:bCs/>
                <w:color w:val="000000"/>
                <w:szCs w:val="18"/>
              </w:rPr>
              <w:t>A</w:t>
            </w:r>
            <w:r w:rsidR="0069035E" w:rsidRPr="0069035E">
              <w:rPr>
                <w:rFonts w:cs="Arial"/>
                <w:b/>
                <w:bCs/>
                <w:color w:val="000000"/>
                <w:szCs w:val="18"/>
                <w:vertAlign w:val="subscript"/>
              </w:rPr>
              <w:t>90%</w:t>
            </w:r>
          </w:p>
        </w:tc>
        <w:tc>
          <w:tcPr>
            <w:tcW w:w="1226" w:type="dxa"/>
            <w:tcBorders>
              <w:top w:val="single" w:sz="12" w:space="0" w:color="008000"/>
              <w:bottom w:val="single" w:sz="6" w:space="0" w:color="008000"/>
            </w:tcBorders>
            <w:shd w:val="clear" w:color="auto" w:fill="FFFFFF"/>
            <w:vAlign w:val="bottom"/>
          </w:tcPr>
          <w:p w14:paraId="515A90A5" w14:textId="71A219EC" w:rsidR="006C0314" w:rsidRPr="008B68F9" w:rsidRDefault="006C0314" w:rsidP="006C0314">
            <w:pPr>
              <w:pStyle w:val="CETBodytext"/>
              <w:ind w:right="-1"/>
              <w:rPr>
                <w:rFonts w:cs="Arial"/>
                <w:b/>
                <w:bCs/>
                <w:szCs w:val="18"/>
                <w:lang w:val="en-GB"/>
              </w:rPr>
            </w:pPr>
            <w:r w:rsidRPr="008B68F9">
              <w:rPr>
                <w:rFonts w:cs="Arial"/>
                <w:b/>
                <w:bCs/>
                <w:color w:val="000000"/>
                <w:szCs w:val="18"/>
              </w:rPr>
              <w:t>B</w:t>
            </w:r>
            <w:r w:rsidR="0069035E" w:rsidRPr="0069035E">
              <w:rPr>
                <w:rFonts w:cs="Arial"/>
                <w:b/>
                <w:bCs/>
                <w:color w:val="000000"/>
                <w:szCs w:val="18"/>
                <w:vertAlign w:val="subscript"/>
              </w:rPr>
              <w:t>90%</w:t>
            </w:r>
          </w:p>
        </w:tc>
      </w:tr>
      <w:tr w:rsidR="006C0314" w:rsidRPr="00B57B36" w14:paraId="505E9548" w14:textId="3D2E0141" w:rsidTr="00686130">
        <w:trPr>
          <w:trHeight w:val="255"/>
        </w:trPr>
        <w:tc>
          <w:tcPr>
            <w:tcW w:w="1226" w:type="dxa"/>
            <w:shd w:val="clear" w:color="auto" w:fill="FFFFFF"/>
            <w:vAlign w:val="bottom"/>
          </w:tcPr>
          <w:p w14:paraId="2EECD51F" w14:textId="7FAD2852" w:rsidR="006C0314" w:rsidRPr="00CE372B" w:rsidRDefault="006C0314" w:rsidP="006C0314">
            <w:pPr>
              <w:pStyle w:val="CETBodytext"/>
              <w:rPr>
                <w:rFonts w:cs="Arial"/>
                <w:szCs w:val="18"/>
                <w:lang w:val="en-GB"/>
              </w:rPr>
            </w:pPr>
            <w:r w:rsidRPr="00CE372B">
              <w:rPr>
                <w:rFonts w:cs="Arial"/>
                <w:color w:val="000000"/>
                <w:szCs w:val="18"/>
              </w:rPr>
              <w:t xml:space="preserve">DC1 </w:t>
            </w:r>
          </w:p>
        </w:tc>
        <w:tc>
          <w:tcPr>
            <w:tcW w:w="1226" w:type="dxa"/>
            <w:shd w:val="clear" w:color="auto" w:fill="FFFFFF"/>
            <w:vAlign w:val="bottom"/>
          </w:tcPr>
          <w:p w14:paraId="4EB8DEC0" w14:textId="3CA6AAFB" w:rsidR="006C0314" w:rsidRPr="008B68F9" w:rsidRDefault="006C0314" w:rsidP="006C0314">
            <w:pPr>
              <w:pStyle w:val="CETBodytext"/>
              <w:rPr>
                <w:rFonts w:cs="Arial"/>
                <w:szCs w:val="18"/>
                <w:lang w:val="en-GB"/>
              </w:rPr>
            </w:pPr>
            <w:r w:rsidRPr="008B68F9">
              <w:rPr>
                <w:rFonts w:cs="Arial"/>
                <w:color w:val="000000"/>
                <w:szCs w:val="18"/>
              </w:rPr>
              <w:t>-262.9451</w:t>
            </w:r>
          </w:p>
        </w:tc>
        <w:tc>
          <w:tcPr>
            <w:tcW w:w="1226" w:type="dxa"/>
            <w:shd w:val="clear" w:color="auto" w:fill="FFFFFF"/>
            <w:vAlign w:val="bottom"/>
          </w:tcPr>
          <w:p w14:paraId="25465972" w14:textId="60FA399F" w:rsidR="006C0314" w:rsidRPr="008B68F9" w:rsidRDefault="006C0314" w:rsidP="006C0314">
            <w:pPr>
              <w:pStyle w:val="CETBodytext"/>
              <w:rPr>
                <w:rFonts w:cs="Arial"/>
                <w:szCs w:val="18"/>
                <w:lang w:val="en-GB"/>
              </w:rPr>
            </w:pPr>
            <w:r w:rsidRPr="008B68F9">
              <w:rPr>
                <w:rFonts w:cs="Arial"/>
                <w:color w:val="000000"/>
                <w:szCs w:val="18"/>
              </w:rPr>
              <w:t>75.0549</w:t>
            </w:r>
          </w:p>
        </w:tc>
        <w:tc>
          <w:tcPr>
            <w:tcW w:w="1226" w:type="dxa"/>
            <w:shd w:val="clear" w:color="auto" w:fill="FFFFFF"/>
            <w:vAlign w:val="bottom"/>
          </w:tcPr>
          <w:p w14:paraId="16E24142" w14:textId="7A817747" w:rsidR="006C0314" w:rsidRPr="008B68F9" w:rsidRDefault="006C0314" w:rsidP="006C0314">
            <w:pPr>
              <w:pStyle w:val="CETBodytext"/>
              <w:ind w:right="-1"/>
              <w:rPr>
                <w:rFonts w:cs="Arial"/>
                <w:szCs w:val="18"/>
                <w:lang w:val="en-GB"/>
              </w:rPr>
            </w:pPr>
            <w:r w:rsidRPr="008B68F9">
              <w:rPr>
                <w:rFonts w:cs="Arial"/>
                <w:color w:val="000000"/>
                <w:szCs w:val="18"/>
              </w:rPr>
              <w:t>-100.429</w:t>
            </w:r>
          </w:p>
        </w:tc>
        <w:tc>
          <w:tcPr>
            <w:tcW w:w="1226" w:type="dxa"/>
            <w:shd w:val="clear" w:color="auto" w:fill="FFFFFF"/>
            <w:vAlign w:val="bottom"/>
          </w:tcPr>
          <w:p w14:paraId="00EE4876" w14:textId="53C9DBEC" w:rsidR="006C0314" w:rsidRPr="008B68F9" w:rsidRDefault="006C0314" w:rsidP="006C0314">
            <w:pPr>
              <w:pStyle w:val="CETBodytext"/>
              <w:ind w:right="-1"/>
              <w:rPr>
                <w:rFonts w:cs="Arial"/>
                <w:szCs w:val="18"/>
                <w:lang w:val="en-GB"/>
              </w:rPr>
            </w:pPr>
            <w:r w:rsidRPr="008B68F9">
              <w:rPr>
                <w:rFonts w:cs="Arial"/>
                <w:color w:val="000000"/>
                <w:szCs w:val="18"/>
              </w:rPr>
              <w:t>28.9189</w:t>
            </w:r>
          </w:p>
        </w:tc>
        <w:tc>
          <w:tcPr>
            <w:tcW w:w="1226" w:type="dxa"/>
            <w:shd w:val="clear" w:color="auto" w:fill="FFFFFF"/>
            <w:vAlign w:val="bottom"/>
          </w:tcPr>
          <w:p w14:paraId="28F2DCB4" w14:textId="0206D3C4" w:rsidR="006C0314" w:rsidRPr="008B68F9" w:rsidRDefault="006C0314" w:rsidP="006C0314">
            <w:pPr>
              <w:pStyle w:val="CETBodytext"/>
              <w:ind w:right="-1"/>
              <w:rPr>
                <w:rFonts w:cs="Arial"/>
                <w:szCs w:val="18"/>
                <w:lang w:val="en-GB"/>
              </w:rPr>
            </w:pPr>
            <w:r w:rsidRPr="008B68F9">
              <w:rPr>
                <w:rFonts w:cs="Arial"/>
                <w:color w:val="000000"/>
                <w:szCs w:val="18"/>
              </w:rPr>
              <w:t>-133.882</w:t>
            </w:r>
          </w:p>
        </w:tc>
        <w:tc>
          <w:tcPr>
            <w:tcW w:w="1226" w:type="dxa"/>
            <w:shd w:val="clear" w:color="auto" w:fill="FFFFFF"/>
            <w:vAlign w:val="bottom"/>
          </w:tcPr>
          <w:p w14:paraId="0809A0D0" w14:textId="5AF6B050" w:rsidR="006C0314" w:rsidRPr="008B68F9" w:rsidRDefault="006C0314" w:rsidP="006C0314">
            <w:pPr>
              <w:pStyle w:val="CETBodytext"/>
              <w:ind w:right="-1"/>
              <w:rPr>
                <w:rFonts w:cs="Arial"/>
                <w:szCs w:val="18"/>
                <w:lang w:val="en-GB"/>
              </w:rPr>
            </w:pPr>
            <w:r w:rsidRPr="008B68F9">
              <w:rPr>
                <w:rFonts w:cs="Arial"/>
                <w:color w:val="000000"/>
                <w:szCs w:val="18"/>
              </w:rPr>
              <w:t>36.9357</w:t>
            </w:r>
          </w:p>
        </w:tc>
      </w:tr>
    </w:tbl>
    <w:p w14:paraId="1E2FD995" w14:textId="77777777" w:rsidR="00D3457E" w:rsidRDefault="00D3457E" w:rsidP="00D3457E">
      <w:pPr>
        <w:pStyle w:val="CETBodytextItalic"/>
        <w:rPr>
          <w:lang w:val="en-US"/>
        </w:rPr>
      </w:pPr>
    </w:p>
    <w:p w14:paraId="65322C5F" w14:textId="33BBA4D6" w:rsidR="00A65CB8" w:rsidRPr="009D7B06" w:rsidRDefault="00D3457E" w:rsidP="009D7B06">
      <w:pPr>
        <w:pStyle w:val="CETBodytextItalic"/>
        <w:rPr>
          <w:i w:val="0"/>
          <w:iCs/>
        </w:rPr>
      </w:pPr>
      <w:r w:rsidRPr="00867D0E">
        <w:rPr>
          <w:i w:val="0"/>
          <w:iCs/>
        </w:rPr>
        <w:t>T</w:t>
      </w:r>
      <w:r w:rsidR="00940CD2" w:rsidRPr="00867D0E">
        <w:rPr>
          <w:i w:val="0"/>
          <w:iCs/>
        </w:rPr>
        <w:t>he assessment</w:t>
      </w:r>
      <w:r w:rsidR="0073786E" w:rsidRPr="00867D0E">
        <w:rPr>
          <w:i w:val="0"/>
          <w:iCs/>
        </w:rPr>
        <w:t xml:space="preserve"> of the probability of loss inventory associated with the three release classes</w:t>
      </w:r>
      <w:r w:rsidR="0069035E">
        <w:rPr>
          <w:i w:val="0"/>
          <w:iCs/>
        </w:rPr>
        <w:t>, 10%, 50%, and 90%,</w:t>
      </w:r>
      <w:r w:rsidR="00940CD2" w:rsidRPr="00867D0E">
        <w:rPr>
          <w:i w:val="0"/>
          <w:iCs/>
        </w:rPr>
        <w:t xml:space="preserve"> is to be performed through Eq(4)</w:t>
      </w:r>
      <w:r w:rsidR="00A71E4D" w:rsidRPr="00867D0E">
        <w:rPr>
          <w:i w:val="0"/>
          <w:iCs/>
        </w:rPr>
        <w:t xml:space="preserve"> by employing the</w:t>
      </w:r>
      <w:r w:rsidR="00FB1F61">
        <w:rPr>
          <w:i w:val="0"/>
          <w:iCs/>
        </w:rPr>
        <w:t xml:space="preserve"> specific</w:t>
      </w:r>
      <w:r w:rsidRPr="00867D0E">
        <w:rPr>
          <w:i w:val="0"/>
          <w:iCs/>
        </w:rPr>
        <w:t xml:space="preserve"> probit coefficient</w:t>
      </w:r>
      <w:r w:rsidR="00FB1F61">
        <w:rPr>
          <w:i w:val="0"/>
          <w:iCs/>
        </w:rPr>
        <w:t xml:space="preserve">s </w:t>
      </w:r>
      <w:r w:rsidR="00D37FA3">
        <w:rPr>
          <w:i w:val="0"/>
          <w:iCs/>
        </w:rPr>
        <w:t xml:space="preserve">for each release class. </w:t>
      </w:r>
      <w:r w:rsidRPr="009D7B06">
        <w:rPr>
          <w:i w:val="0"/>
          <w:iCs/>
        </w:rPr>
        <w:t xml:space="preserve"> </w:t>
      </w:r>
    </w:p>
    <w:p w14:paraId="32692B2A" w14:textId="2A2D5916" w:rsidR="00FF667F" w:rsidRPr="00FF667F" w:rsidRDefault="00FF667F" w:rsidP="00FF667F">
      <w:pPr>
        <w:pStyle w:val="CETHeading1"/>
      </w:pPr>
      <w:r>
        <w:t>Case study</w:t>
      </w:r>
    </w:p>
    <w:p w14:paraId="1876F1CB" w14:textId="3F102DC4" w:rsidR="003740D0" w:rsidRDefault="004E718E" w:rsidP="002B4946">
      <w:r w:rsidRPr="004E718E">
        <w:rPr>
          <w:lang w:val="en-US"/>
        </w:rPr>
        <w:t>A notional case study is presented to demonstrate the application of the developed generalized vulnerability model</w:t>
      </w:r>
      <w:r w:rsidR="003740D0">
        <w:rPr>
          <w:lang w:val="en-US"/>
        </w:rPr>
        <w:t>s</w:t>
      </w:r>
      <w:r w:rsidR="0069035E">
        <w:rPr>
          <w:lang w:val="en-US"/>
        </w:rPr>
        <w:t xml:space="preserve"> in the Natech QRA context. Its specific goal is the evaluation of</w:t>
      </w:r>
      <w:r w:rsidR="003740D0" w:rsidRPr="003977A7">
        <w:t xml:space="preserve"> the damage probability </w:t>
      </w:r>
      <w:r w:rsidR="003740D0">
        <w:t>associated with the simultan</w:t>
      </w:r>
      <w:r w:rsidR="0069035E">
        <w:t>e</w:t>
      </w:r>
      <w:r w:rsidR="003740D0">
        <w:t>ous occurrence of overtur</w:t>
      </w:r>
      <w:r w:rsidR="0069035E">
        <w:t>n</w:t>
      </w:r>
      <w:r w:rsidR="003740D0">
        <w:t>ing and sliding refer</w:t>
      </w:r>
      <w:r w:rsidR="0069035E">
        <w:t>r</w:t>
      </w:r>
      <w:r w:rsidR="003740D0">
        <w:t>ing to</w:t>
      </w:r>
      <w:r w:rsidR="003740D0" w:rsidRPr="00672B73">
        <w:t xml:space="preserve"> </w:t>
      </w:r>
      <w:r w:rsidR="003740D0">
        <w:t>selected</w:t>
      </w:r>
      <w:r w:rsidR="003740D0" w:rsidRPr="00672B73">
        <w:t xml:space="preserve"> representative wind speeds.</w:t>
      </w:r>
      <w:r w:rsidR="0069035E">
        <w:t xml:space="preserve"> Additionally, an example of application in relation to a reference level of loss of inventory is provided.</w:t>
      </w:r>
    </w:p>
    <w:p w14:paraId="7FA74A81" w14:textId="5DCA879E" w:rsidR="00CF37D1" w:rsidRDefault="004E718E" w:rsidP="002B4946">
      <w:pPr>
        <w:rPr>
          <w:lang w:val="en-US"/>
        </w:rPr>
      </w:pPr>
      <w:r w:rsidRPr="004E718E">
        <w:rPr>
          <w:lang w:val="en-US"/>
        </w:rPr>
        <w:t>Two self-anchored atmospheric storage tanks, designed according to the International Standard API-650</w:t>
      </w:r>
      <w:r w:rsidR="003740D0">
        <w:rPr>
          <w:lang w:val="en-US"/>
        </w:rPr>
        <w:t xml:space="preserve"> </w:t>
      </w:r>
      <w:r w:rsidR="0069035E">
        <w:rPr>
          <w:lang w:val="en-US"/>
        </w:rPr>
        <w:t>a</w:t>
      </w:r>
      <w:r w:rsidR="0069035E" w:rsidRPr="0069035E">
        <w:rPr>
          <w:lang w:val="en-US"/>
        </w:rPr>
        <w:t>nd located within a fictitious process plant in Europe, are considered</w:t>
      </w:r>
      <w:r w:rsidR="003740D0">
        <w:rPr>
          <w:lang w:val="en-US"/>
        </w:rPr>
        <w:t xml:space="preserve">. </w:t>
      </w:r>
      <w:r w:rsidR="000377CD">
        <w:t>The key geometrical characteristics of the</w:t>
      </w:r>
      <w:r w:rsidR="003740D0">
        <w:t xml:space="preserve"> </w:t>
      </w:r>
      <w:r w:rsidR="000377CD">
        <w:t>tanks, including diameter (</w:t>
      </w:r>
      <w:r w:rsidR="000377CD" w:rsidRPr="00127D6E">
        <w:rPr>
          <w:i/>
          <w:iCs/>
        </w:rPr>
        <w:t>D</w:t>
      </w:r>
      <w:r w:rsidR="000377CD">
        <w:t>), shell height (</w:t>
      </w:r>
      <w:r w:rsidR="000377CD" w:rsidRPr="00127D6E">
        <w:rPr>
          <w:i/>
          <w:iCs/>
        </w:rPr>
        <w:t>H</w:t>
      </w:r>
      <w:r w:rsidR="000377CD">
        <w:t>), and shell thickness (</w:t>
      </w:r>
      <w:r w:rsidR="000377CD" w:rsidRPr="00127D6E">
        <w:rPr>
          <w:i/>
          <w:iCs/>
        </w:rPr>
        <w:t>t</w:t>
      </w:r>
      <w:r w:rsidR="000377CD">
        <w:t xml:space="preserve">), are provided in Table </w:t>
      </w:r>
      <w:r w:rsidR="000A6CEB">
        <w:t>4</w:t>
      </w:r>
      <w:r w:rsidR="000377CD">
        <w:t>.</w:t>
      </w:r>
    </w:p>
    <w:p w14:paraId="1F1B6473" w14:textId="26E1DB3F" w:rsidR="003529C6" w:rsidRPr="000D56D6" w:rsidRDefault="003529C6" w:rsidP="003529C6">
      <w:pPr>
        <w:pStyle w:val="CETTabletitle"/>
      </w:pPr>
      <w:r w:rsidRPr="00B57B36">
        <w:t xml:space="preserve">Table </w:t>
      </w:r>
      <w:r w:rsidR="000A6CEB">
        <w:t>4</w:t>
      </w:r>
      <w:r w:rsidRPr="00B57B36">
        <w:t xml:space="preserve">: </w:t>
      </w:r>
      <w:r w:rsidR="00CF37D1">
        <w:t>Essential g</w:t>
      </w:r>
      <w:r w:rsidR="00444493">
        <w:t xml:space="preserve">eometrical </w:t>
      </w:r>
      <w:r w:rsidR="004E718E">
        <w:t xml:space="preserve">features </w:t>
      </w:r>
      <w:r w:rsidR="00444493">
        <w:t>of Tank A and Tank B.</w:t>
      </w:r>
    </w:p>
    <w:tbl>
      <w:tblPr>
        <w:tblpPr w:leftFromText="141" w:rightFromText="141" w:vertAnchor="text" w:tblpY="1"/>
        <w:tblOverlap w:val="never"/>
        <w:tblW w:w="621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53"/>
        <w:gridCol w:w="1553"/>
        <w:gridCol w:w="1553"/>
        <w:gridCol w:w="1553"/>
      </w:tblGrid>
      <w:tr w:rsidR="00444493" w:rsidRPr="00B57B36" w14:paraId="3D1E1944" w14:textId="77777777" w:rsidTr="00B7174C">
        <w:trPr>
          <w:trHeight w:val="265"/>
        </w:trPr>
        <w:tc>
          <w:tcPr>
            <w:tcW w:w="1553" w:type="dxa"/>
            <w:tcBorders>
              <w:top w:val="single" w:sz="12" w:space="0" w:color="008000"/>
              <w:bottom w:val="single" w:sz="6" w:space="0" w:color="008000"/>
            </w:tcBorders>
            <w:shd w:val="clear" w:color="auto" w:fill="FFFFFF"/>
            <w:vAlign w:val="center"/>
          </w:tcPr>
          <w:p w14:paraId="78E95C20" w14:textId="07107588" w:rsidR="00444493" w:rsidRPr="00127D6E" w:rsidRDefault="00444493" w:rsidP="00444493">
            <w:pPr>
              <w:pStyle w:val="CETBodytext"/>
              <w:rPr>
                <w:rFonts w:cs="Arial"/>
                <w:lang w:val="en-GB"/>
              </w:rPr>
            </w:pPr>
            <w:r w:rsidRPr="00127D6E">
              <w:rPr>
                <w:rFonts w:cs="Arial"/>
                <w:b/>
                <w:bCs/>
                <w:szCs w:val="18"/>
              </w:rPr>
              <w:t xml:space="preserve">Tank ID </w:t>
            </w:r>
          </w:p>
        </w:tc>
        <w:tc>
          <w:tcPr>
            <w:tcW w:w="1553" w:type="dxa"/>
            <w:tcBorders>
              <w:top w:val="single" w:sz="12" w:space="0" w:color="008000"/>
              <w:bottom w:val="single" w:sz="6" w:space="0" w:color="008000"/>
            </w:tcBorders>
            <w:shd w:val="clear" w:color="auto" w:fill="FFFFFF"/>
            <w:vAlign w:val="center"/>
          </w:tcPr>
          <w:p w14:paraId="2B803B5A" w14:textId="5E1E5DC3" w:rsidR="00444493" w:rsidRPr="00127D6E" w:rsidRDefault="00444493" w:rsidP="00444493">
            <w:pPr>
              <w:pStyle w:val="CETBodytext"/>
              <w:rPr>
                <w:rFonts w:cs="Arial"/>
                <w:lang w:val="en-GB"/>
              </w:rPr>
            </w:pPr>
            <w:r w:rsidRPr="00127D6E">
              <w:rPr>
                <w:rFonts w:cs="Arial"/>
                <w:b/>
                <w:bCs/>
                <w:color w:val="000000" w:themeColor="text1"/>
                <w:kern w:val="24"/>
                <w:szCs w:val="18"/>
                <w:lang w:eastAsia="it-IT"/>
              </w:rPr>
              <w:t>D (m)</w:t>
            </w:r>
          </w:p>
        </w:tc>
        <w:tc>
          <w:tcPr>
            <w:tcW w:w="1553" w:type="dxa"/>
            <w:tcBorders>
              <w:top w:val="single" w:sz="12" w:space="0" w:color="008000"/>
              <w:bottom w:val="single" w:sz="6" w:space="0" w:color="008000"/>
            </w:tcBorders>
            <w:shd w:val="clear" w:color="auto" w:fill="FFFFFF"/>
            <w:vAlign w:val="center"/>
          </w:tcPr>
          <w:p w14:paraId="7171ABC2" w14:textId="6CBDC6D2" w:rsidR="00444493" w:rsidRPr="00127D6E" w:rsidRDefault="00444493" w:rsidP="00444493">
            <w:pPr>
              <w:pStyle w:val="CETBodytext"/>
              <w:rPr>
                <w:rFonts w:cs="Arial"/>
                <w:lang w:val="en-GB"/>
              </w:rPr>
            </w:pPr>
            <w:r w:rsidRPr="00127D6E">
              <w:rPr>
                <w:rFonts w:cs="Arial"/>
                <w:b/>
                <w:bCs/>
                <w:color w:val="000000" w:themeColor="text1"/>
                <w:kern w:val="24"/>
                <w:szCs w:val="18"/>
                <w:lang w:eastAsia="it-IT"/>
              </w:rPr>
              <w:t>H  (m)</w:t>
            </w:r>
          </w:p>
        </w:tc>
        <w:tc>
          <w:tcPr>
            <w:tcW w:w="1553" w:type="dxa"/>
            <w:tcBorders>
              <w:top w:val="single" w:sz="12" w:space="0" w:color="008000"/>
              <w:bottom w:val="single" w:sz="6" w:space="0" w:color="008000"/>
            </w:tcBorders>
            <w:shd w:val="clear" w:color="auto" w:fill="FFFFFF"/>
            <w:vAlign w:val="center"/>
          </w:tcPr>
          <w:p w14:paraId="30D716EE" w14:textId="47814573" w:rsidR="00444493" w:rsidRPr="00127D6E" w:rsidRDefault="00444493" w:rsidP="00444493">
            <w:pPr>
              <w:pStyle w:val="CETBodytext"/>
              <w:ind w:right="-1"/>
              <w:rPr>
                <w:rFonts w:cs="Arial"/>
                <w:szCs w:val="18"/>
                <w:lang w:val="en-GB"/>
              </w:rPr>
            </w:pPr>
            <w:r w:rsidRPr="00127D6E">
              <w:rPr>
                <w:rFonts w:cs="Arial"/>
                <w:b/>
                <w:bCs/>
                <w:color w:val="000000"/>
                <w:szCs w:val="18"/>
              </w:rPr>
              <w:t>t (mm)</w:t>
            </w:r>
          </w:p>
        </w:tc>
      </w:tr>
      <w:tr w:rsidR="00444493" w:rsidRPr="00B57B36" w14:paraId="2B5CB6E0" w14:textId="77777777" w:rsidTr="00B7174C">
        <w:trPr>
          <w:trHeight w:val="245"/>
        </w:trPr>
        <w:tc>
          <w:tcPr>
            <w:tcW w:w="1553" w:type="dxa"/>
            <w:shd w:val="clear" w:color="auto" w:fill="FFFFFF"/>
            <w:vAlign w:val="center"/>
          </w:tcPr>
          <w:p w14:paraId="46BC1F64" w14:textId="79D461C2" w:rsidR="00444493" w:rsidRPr="00127D6E" w:rsidRDefault="00444493" w:rsidP="00444493">
            <w:pPr>
              <w:pStyle w:val="CETBodytext"/>
              <w:rPr>
                <w:rFonts w:cs="Arial"/>
                <w:lang w:val="en-GB"/>
              </w:rPr>
            </w:pPr>
            <w:r w:rsidRPr="00127D6E">
              <w:rPr>
                <w:rFonts w:cs="Arial"/>
                <w:color w:val="000000"/>
                <w:szCs w:val="18"/>
              </w:rPr>
              <w:t>A</w:t>
            </w:r>
          </w:p>
        </w:tc>
        <w:tc>
          <w:tcPr>
            <w:tcW w:w="1553" w:type="dxa"/>
            <w:shd w:val="clear" w:color="auto" w:fill="FFFFFF"/>
            <w:vAlign w:val="center"/>
          </w:tcPr>
          <w:p w14:paraId="3A0D296D" w14:textId="63B7566C" w:rsidR="00444493" w:rsidRPr="00127D6E" w:rsidRDefault="00444493" w:rsidP="00444493">
            <w:pPr>
              <w:pStyle w:val="CETBodytext"/>
              <w:rPr>
                <w:rFonts w:cs="Arial"/>
                <w:lang w:val="en-GB"/>
              </w:rPr>
            </w:pPr>
            <w:r w:rsidRPr="00127D6E">
              <w:rPr>
                <w:rFonts w:cs="Arial"/>
                <w:color w:val="000000" w:themeColor="text1"/>
                <w:kern w:val="24"/>
                <w:szCs w:val="18"/>
                <w:lang w:eastAsia="it-IT"/>
              </w:rPr>
              <w:t>9</w:t>
            </w:r>
          </w:p>
        </w:tc>
        <w:tc>
          <w:tcPr>
            <w:tcW w:w="1553" w:type="dxa"/>
            <w:shd w:val="clear" w:color="auto" w:fill="FFFFFF"/>
            <w:vAlign w:val="center"/>
          </w:tcPr>
          <w:p w14:paraId="25FB1C3B" w14:textId="0B7B4C52" w:rsidR="00444493" w:rsidRPr="00127D6E" w:rsidRDefault="00444493" w:rsidP="00444493">
            <w:pPr>
              <w:pStyle w:val="CETBodytext"/>
              <w:rPr>
                <w:rFonts w:cs="Arial"/>
                <w:lang w:val="en-GB"/>
              </w:rPr>
            </w:pPr>
            <w:r w:rsidRPr="00127D6E">
              <w:rPr>
                <w:rFonts w:cs="Arial"/>
                <w:color w:val="000000" w:themeColor="text1"/>
                <w:kern w:val="24"/>
                <w:szCs w:val="18"/>
                <w:lang w:eastAsia="it-IT"/>
              </w:rPr>
              <w:t>18</w:t>
            </w:r>
          </w:p>
        </w:tc>
        <w:tc>
          <w:tcPr>
            <w:tcW w:w="1553" w:type="dxa"/>
            <w:shd w:val="clear" w:color="auto" w:fill="FFFFFF"/>
            <w:vAlign w:val="center"/>
          </w:tcPr>
          <w:p w14:paraId="2D76D0E9" w14:textId="142BAC86" w:rsidR="00444493" w:rsidRPr="00127D6E" w:rsidRDefault="00444493" w:rsidP="00444493">
            <w:pPr>
              <w:pStyle w:val="CETBodytext"/>
              <w:ind w:right="-1"/>
              <w:rPr>
                <w:rFonts w:cs="Arial"/>
                <w:szCs w:val="18"/>
                <w:lang w:val="en-GB"/>
              </w:rPr>
            </w:pPr>
            <w:r w:rsidRPr="00127D6E">
              <w:rPr>
                <w:rFonts w:cs="Arial"/>
                <w:color w:val="000000" w:themeColor="text1"/>
                <w:kern w:val="24"/>
                <w:szCs w:val="18"/>
                <w:lang w:eastAsia="it-IT"/>
              </w:rPr>
              <w:t>5</w:t>
            </w:r>
          </w:p>
        </w:tc>
      </w:tr>
      <w:tr w:rsidR="00444493" w:rsidRPr="00B57B36" w14:paraId="03F4E0CF" w14:textId="77777777" w:rsidTr="00B7174C">
        <w:trPr>
          <w:trHeight w:val="265"/>
        </w:trPr>
        <w:tc>
          <w:tcPr>
            <w:tcW w:w="1553" w:type="dxa"/>
            <w:shd w:val="clear" w:color="auto" w:fill="FFFFFF"/>
            <w:vAlign w:val="center"/>
          </w:tcPr>
          <w:p w14:paraId="1EE08C83" w14:textId="6A865623" w:rsidR="00444493" w:rsidRPr="00127D6E" w:rsidRDefault="00444493" w:rsidP="00444493">
            <w:pPr>
              <w:pStyle w:val="CETBodytext"/>
              <w:ind w:right="-1"/>
              <w:rPr>
                <w:rFonts w:cs="Arial"/>
                <w:szCs w:val="18"/>
                <w:lang w:val="en-GB"/>
              </w:rPr>
            </w:pPr>
            <w:r w:rsidRPr="00127D6E">
              <w:rPr>
                <w:rFonts w:cs="Arial"/>
                <w:color w:val="000000"/>
                <w:szCs w:val="18"/>
              </w:rPr>
              <w:t>B</w:t>
            </w:r>
          </w:p>
        </w:tc>
        <w:tc>
          <w:tcPr>
            <w:tcW w:w="1553" w:type="dxa"/>
            <w:shd w:val="clear" w:color="auto" w:fill="FFFFFF"/>
            <w:vAlign w:val="center"/>
          </w:tcPr>
          <w:p w14:paraId="277B4EF7" w14:textId="3EA3652A" w:rsidR="00444493" w:rsidRPr="00127D6E" w:rsidRDefault="00444493" w:rsidP="00444493">
            <w:pPr>
              <w:pStyle w:val="CETBodytext"/>
              <w:ind w:right="-1"/>
              <w:rPr>
                <w:rFonts w:cs="Arial"/>
                <w:szCs w:val="18"/>
                <w:lang w:val="en-GB"/>
              </w:rPr>
            </w:pPr>
            <w:r w:rsidRPr="00127D6E">
              <w:rPr>
                <w:rFonts w:cs="Arial"/>
                <w:color w:val="000000" w:themeColor="text1"/>
                <w:kern w:val="24"/>
                <w:szCs w:val="18"/>
                <w:lang w:eastAsia="it-IT"/>
              </w:rPr>
              <w:t>15</w:t>
            </w:r>
          </w:p>
        </w:tc>
        <w:tc>
          <w:tcPr>
            <w:tcW w:w="1553" w:type="dxa"/>
            <w:shd w:val="clear" w:color="auto" w:fill="FFFFFF"/>
            <w:vAlign w:val="center"/>
          </w:tcPr>
          <w:p w14:paraId="4091173F" w14:textId="1D6CDE0B" w:rsidR="00444493" w:rsidRPr="00127D6E" w:rsidRDefault="00444493" w:rsidP="00444493">
            <w:pPr>
              <w:pStyle w:val="CETBodytext"/>
              <w:ind w:right="-1"/>
              <w:rPr>
                <w:rFonts w:cs="Arial"/>
                <w:szCs w:val="18"/>
                <w:lang w:val="en-GB"/>
              </w:rPr>
            </w:pPr>
            <w:r w:rsidRPr="00127D6E">
              <w:rPr>
                <w:rFonts w:cs="Arial"/>
                <w:color w:val="000000" w:themeColor="text1"/>
                <w:kern w:val="24"/>
                <w:szCs w:val="18"/>
                <w:lang w:eastAsia="it-IT"/>
              </w:rPr>
              <w:t>18</w:t>
            </w:r>
          </w:p>
        </w:tc>
        <w:tc>
          <w:tcPr>
            <w:tcW w:w="1553" w:type="dxa"/>
            <w:shd w:val="clear" w:color="auto" w:fill="FFFFFF"/>
            <w:vAlign w:val="center"/>
          </w:tcPr>
          <w:p w14:paraId="1935AA99" w14:textId="748F010B" w:rsidR="00444493" w:rsidRPr="00127D6E" w:rsidRDefault="00444493" w:rsidP="00444493">
            <w:pPr>
              <w:pStyle w:val="CETBodytext"/>
              <w:ind w:right="-1"/>
              <w:rPr>
                <w:rFonts w:cs="Arial"/>
                <w:szCs w:val="18"/>
                <w:lang w:val="en-GB"/>
              </w:rPr>
            </w:pPr>
            <w:r w:rsidRPr="00127D6E">
              <w:rPr>
                <w:rFonts w:cs="Arial"/>
                <w:color w:val="000000" w:themeColor="text1"/>
                <w:kern w:val="24"/>
                <w:szCs w:val="18"/>
                <w:lang w:eastAsia="it-IT"/>
              </w:rPr>
              <w:t>7</w:t>
            </w:r>
          </w:p>
        </w:tc>
      </w:tr>
    </w:tbl>
    <w:p w14:paraId="1CF73DFA" w14:textId="77777777" w:rsidR="00AC17C0" w:rsidRDefault="00444493" w:rsidP="00330C1B">
      <w:pPr>
        <w:pStyle w:val="CETBodytext"/>
      </w:pPr>
      <w:r>
        <w:br w:type="textWrapping" w:clear="all"/>
      </w:r>
    </w:p>
    <w:p w14:paraId="16DCD824" w14:textId="54646BCB" w:rsidR="0021310C" w:rsidRDefault="005F3388" w:rsidP="003740D0">
      <w:pPr>
        <w:pStyle w:val="CETBodytext"/>
      </w:pPr>
      <w:r>
        <w:t>Considering</w:t>
      </w:r>
      <w:r w:rsidR="00857AB6">
        <w:t xml:space="preserve"> that the tanks are filled </w:t>
      </w:r>
      <w:r w:rsidR="0069035E">
        <w:t>with light crude oil with a</w:t>
      </w:r>
      <w:r w:rsidR="00857AB6">
        <w:t xml:space="preserve"> </w:t>
      </w:r>
      <w:r w:rsidR="0069035E">
        <w:t xml:space="preserve">density of </w:t>
      </w:r>
      <w:r w:rsidR="0069035E" w:rsidRPr="00636EB9">
        <w:t>86</w:t>
      </w:r>
      <w:r w:rsidR="009F44E6">
        <w:t>0</w:t>
      </w:r>
      <w:r w:rsidR="0069035E" w:rsidRPr="00636EB9">
        <w:t xml:space="preserve"> </w:t>
      </w:r>
      <w:r w:rsidR="009F44E6">
        <w:t>k</w:t>
      </w:r>
      <w:r w:rsidR="0069035E" w:rsidRPr="00636EB9">
        <w:t>g/m</w:t>
      </w:r>
      <w:r w:rsidR="0069035E" w:rsidRPr="0069035E">
        <w:rPr>
          <w:vertAlign w:val="superscript"/>
        </w:rPr>
        <w:t>3</w:t>
      </w:r>
      <w:r w:rsidR="0069035E">
        <w:t>,</w:t>
      </w:r>
      <w:r w:rsidR="00857AB6">
        <w:t xml:space="preserve"> </w:t>
      </w:r>
      <w:r w:rsidR="0069035E">
        <w:t xml:space="preserve">the maximum </w:t>
      </w:r>
      <w:r w:rsidR="00857AB6">
        <w:t>releasable inventories for tanks A and B are 1030 m³ and 2860 m³, respectively</w:t>
      </w:r>
      <w:r w:rsidR="0069035E">
        <w:t xml:space="preserve"> (considering a maximum filling level of 0.9).</w:t>
      </w:r>
      <w:r w:rsidR="0021310C">
        <w:t xml:space="preserve"> </w:t>
      </w:r>
    </w:p>
    <w:p w14:paraId="6340D4CD" w14:textId="39AD7ABB" w:rsidR="00672B73" w:rsidRPr="00B105DB" w:rsidRDefault="0069035E" w:rsidP="003740D0">
      <w:pPr>
        <w:pStyle w:val="CETBodytext"/>
      </w:pPr>
      <w:r>
        <w:t>T</w:t>
      </w:r>
      <w:r w:rsidR="007076EF" w:rsidRPr="003977A7">
        <w:t>hree expected wind velocities</w:t>
      </w:r>
      <w:r>
        <w:t xml:space="preserve"> were selected for the application,</w:t>
      </w:r>
      <w:r w:rsidRPr="0069035E">
        <w:t xml:space="preserve"> </w:t>
      </w:r>
      <w:r>
        <w:t xml:space="preserve">referring to the </w:t>
      </w:r>
      <w:r w:rsidRPr="003977A7">
        <w:t>NATHAN hazard map for extra-tropical storms (Munich Re, 2011)</w:t>
      </w:r>
      <w:r w:rsidR="003740D0">
        <w:t>:</w:t>
      </w:r>
      <w:r w:rsidR="007076EF" w:rsidRPr="003977A7">
        <w:t xml:space="preserve"> 30, 40, and 55 m/s</w:t>
      </w:r>
      <w:r w:rsidR="00672B73" w:rsidRPr="003977A7">
        <w:t xml:space="preserve">. </w:t>
      </w:r>
      <w:r>
        <w:t>Notably</w:t>
      </w:r>
      <w:r w:rsidR="003740D0">
        <w:t>, the</w:t>
      </w:r>
      <w:r w:rsidR="00672B73" w:rsidRPr="003977A7">
        <w:t xml:space="preserve"> design wind speed for the tanks is set at 25 m/s, which is a typical value for most of Europe</w:t>
      </w:r>
      <w:r w:rsidR="009F44E6">
        <w:t xml:space="preserve"> not considering</w:t>
      </w:r>
      <w:r w:rsidR="00672B73" w:rsidRPr="003977A7">
        <w:t xml:space="preserve"> coastal areas (Kabošová et al., 2020).</w:t>
      </w:r>
    </w:p>
    <w:p w14:paraId="677EBFF0" w14:textId="39F32E20" w:rsidR="00600535" w:rsidRPr="00727933" w:rsidRDefault="000C4EC7" w:rsidP="00727933">
      <w:pPr>
        <w:pStyle w:val="CETHeading1"/>
        <w:numPr>
          <w:ilvl w:val="1"/>
          <w:numId w:val="28"/>
        </w:numPr>
      </w:pPr>
      <w:r w:rsidRPr="00727933">
        <w:t>Results</w:t>
      </w:r>
    </w:p>
    <w:p w14:paraId="0B770B79" w14:textId="37036F5C" w:rsidR="004065AF" w:rsidRDefault="00C667B5" w:rsidP="00C667B5">
      <w:r>
        <w:t xml:space="preserve">The damage probabilities </w:t>
      </w:r>
      <w:r w:rsidR="00B15A1B">
        <w:t xml:space="preserve">of the two tanks were assessed </w:t>
      </w:r>
      <w:r>
        <w:t xml:space="preserve">for the expected wind velocities </w:t>
      </w:r>
      <w:r w:rsidR="002D3E45">
        <w:t>considering the</w:t>
      </w:r>
      <w:r>
        <w:t xml:space="preserve"> damage mechanisms overturning and sliding</w:t>
      </w:r>
      <w:r w:rsidR="002D3E45">
        <w:t xml:space="preserve"> </w:t>
      </w:r>
      <w:r w:rsidR="00BD0244">
        <w:t>ind</w:t>
      </w:r>
      <w:r w:rsidR="00905BFD">
        <w:t>e</w:t>
      </w:r>
      <w:r w:rsidR="00BD0244">
        <w:t>pendently</w:t>
      </w:r>
      <w:r w:rsidR="00CE372B">
        <w:t xml:space="preserve"> </w:t>
      </w:r>
      <w:r w:rsidR="002D3E45">
        <w:t>by employing</w:t>
      </w:r>
      <w:r>
        <w:t xml:space="preserve"> the developed generalized vulnerability models </w:t>
      </w:r>
      <w:r w:rsidR="002D3E45">
        <w:t>by means of</w:t>
      </w:r>
      <w:r>
        <w:t xml:space="preserve"> Eq(1), Eq(2), and Eq(3). </w:t>
      </w:r>
      <w:r w:rsidR="0069035E">
        <w:t xml:space="preserve">According to </w:t>
      </w:r>
      <w:r w:rsidR="005F3F20">
        <w:t xml:space="preserve">the </w:t>
      </w:r>
      <w:r w:rsidR="0069035E">
        <w:t>dimensional class definition provided in Section 2.5, the models for</w:t>
      </w:r>
      <w:r w:rsidR="009C2EDD">
        <w:t xml:space="preserve"> DC1</w:t>
      </w:r>
      <w:r w:rsidR="0069035E">
        <w:t xml:space="preserve"> were employed</w:t>
      </w:r>
      <w:r w:rsidR="009C2EDD">
        <w:t xml:space="preserve"> for overturning and DC3 for sliding. </w:t>
      </w:r>
      <w:r w:rsidR="0069035E">
        <w:t>On the other hand, f</w:t>
      </w:r>
      <w:r w:rsidR="009C2EDD">
        <w:t>or Tank B,</w:t>
      </w:r>
      <w:r w:rsidR="0069035E">
        <w:t xml:space="preserve"> the DC2 model was used </w:t>
      </w:r>
      <w:r w:rsidR="009C2EDD">
        <w:t xml:space="preserve">for overturning, </w:t>
      </w:r>
      <w:r w:rsidR="0069035E">
        <w:t>and</w:t>
      </w:r>
      <w:r w:rsidR="009C2EDD">
        <w:t xml:space="preserve"> </w:t>
      </w:r>
      <w:r w:rsidR="0069035E">
        <w:t xml:space="preserve">the </w:t>
      </w:r>
      <w:r w:rsidR="009C2EDD">
        <w:t xml:space="preserve">DC3 </w:t>
      </w:r>
      <w:r w:rsidR="0069035E">
        <w:t xml:space="preserve">model </w:t>
      </w:r>
      <w:r w:rsidR="009C2EDD">
        <w:t>for sliding.</w:t>
      </w:r>
      <w:r w:rsidR="003740D0">
        <w:t xml:space="preserve"> </w:t>
      </w:r>
      <w:r>
        <w:t>Once the probabilities for each damage mechanism were determined</w:t>
      </w:r>
      <w:r w:rsidR="001C039C">
        <w:t xml:space="preserve"> by employing the models presented in Table 1</w:t>
      </w:r>
      <w:r>
        <w:t xml:space="preserve">, the combined probability </w:t>
      </w:r>
      <w:r w:rsidR="001C039C">
        <w:t>associated with</w:t>
      </w:r>
      <w:r>
        <w:t xml:space="preserve"> </w:t>
      </w:r>
      <w:r w:rsidR="00744AE6">
        <w:t xml:space="preserve">the </w:t>
      </w:r>
      <w:r>
        <w:t>simultaneous occurrence of both overturning and sliding was assessed</w:t>
      </w:r>
      <w:r w:rsidR="004065AF">
        <w:t xml:space="preserve"> through Eq(5)</w:t>
      </w:r>
    </w:p>
    <w:p w14:paraId="2151BA53" w14:textId="52AA1FFB" w:rsidR="004065AF" w:rsidRPr="004065AF" w:rsidRDefault="00000000" w:rsidP="004065AF">
      <w:pPr>
        <w:pStyle w:val="CETEquation"/>
        <w:rPr>
          <w:rFonts w:cs="Arial"/>
        </w:rPr>
      </w:pPr>
      <m:oMath>
        <m:sSub>
          <m:sSubPr>
            <m:ctrlPr>
              <w:rPr>
                <w:rFonts w:ascii="Cambria Math" w:hAnsi="Cambria Math"/>
              </w:rPr>
            </m:ctrlPr>
          </m:sSubPr>
          <m:e>
            <m:r>
              <w:rPr>
                <w:rFonts w:ascii="Cambria Math" w:hAnsi="Cambria Math"/>
              </w:rPr>
              <m:t>P</m:t>
            </m:r>
          </m:e>
          <m:sub>
            <m:r>
              <w:rPr>
                <w:rFonts w:ascii="Cambria Math" w:hAnsi="Cambria Math"/>
              </w:rPr>
              <m:t xml:space="preserve">ov&amp;sl </m:t>
            </m:r>
          </m:sub>
        </m:sSub>
        <m:r>
          <w:rPr>
            <w:rFonts w:ascii="Cambria Math" w:hAnsi="Cambria Math"/>
          </w:rPr>
          <m:t>=1-</m:t>
        </m:r>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P</m:t>
                </m:r>
              </m:e>
              <m:sub>
                <m:r>
                  <w:rPr>
                    <w:rFonts w:ascii="Cambria Math" w:hAnsi="Cambria Math"/>
                  </w:rPr>
                  <m:t>ov</m:t>
                </m:r>
              </m:sub>
            </m:sSub>
            <m:r>
              <w:rPr>
                <w:rFonts w:ascii="Cambria Math" w:hAnsi="Cambria Math"/>
              </w:rPr>
              <m:t xml:space="preserve"> </m:t>
            </m:r>
          </m:e>
        </m:d>
        <m:r>
          <w:rPr>
            <w:rFonts w:ascii="Cambria Math" w:hAnsi="Cambria Math"/>
          </w:rPr>
          <m:t>(1-</m:t>
        </m:r>
        <m:sSub>
          <m:sSubPr>
            <m:ctrlPr>
              <w:rPr>
                <w:rFonts w:ascii="Cambria Math" w:hAnsi="Cambria Math"/>
              </w:rPr>
            </m:ctrlPr>
          </m:sSubPr>
          <m:e>
            <m:r>
              <w:rPr>
                <w:rFonts w:ascii="Cambria Math" w:hAnsi="Cambria Math"/>
              </w:rPr>
              <m:t>P</m:t>
            </m:r>
          </m:e>
          <m:sub>
            <m:r>
              <w:rPr>
                <w:rFonts w:ascii="Cambria Math" w:hAnsi="Cambria Math"/>
              </w:rPr>
              <m:t>sl</m:t>
            </m:r>
          </m:sub>
        </m:sSub>
        <m:r>
          <w:rPr>
            <w:rFonts w:ascii="Cambria Math" w:hAnsi="Cambria Math"/>
          </w:rPr>
          <m:t>)</m:t>
        </m:r>
      </m:oMath>
      <w:r w:rsidR="004065AF" w:rsidRPr="005174AC">
        <w:rPr>
          <w:rFonts w:eastAsiaTheme="minorEastAsia"/>
        </w:rPr>
        <w:t xml:space="preserve">                                                                                                                         </w:t>
      </w:r>
      <w:r w:rsidR="004065AF">
        <w:rPr>
          <w:rFonts w:eastAsiaTheme="minorEastAsia" w:cs="Arial"/>
        </w:rPr>
        <w:t>(5)</w:t>
      </w:r>
      <w:r w:rsidR="003740D0">
        <w:rPr>
          <w:rFonts w:eastAsiaTheme="minorEastAsia" w:cs="Arial"/>
        </w:rPr>
        <w:t>,</w:t>
      </w:r>
      <w:r w:rsidR="004065AF" w:rsidRPr="004065AF">
        <w:rPr>
          <w:rFonts w:eastAsiaTheme="minorEastAsia" w:cs="Arial"/>
        </w:rPr>
        <w:t xml:space="preserve">  </w:t>
      </w:r>
    </w:p>
    <w:p w14:paraId="1C8AAED1" w14:textId="7CB0254D" w:rsidR="00C667B5" w:rsidRPr="00905BFD" w:rsidRDefault="004065AF" w:rsidP="00C667B5">
      <w:r>
        <w:t>acknowledging that</w:t>
      </w:r>
      <w:r w:rsidR="00C667B5">
        <w:t xml:space="preserve"> these damage mechanisms </w:t>
      </w:r>
      <w:r w:rsidR="00102B4A">
        <w:t>are likely to</w:t>
      </w:r>
      <w:r w:rsidR="00C667B5">
        <w:t xml:space="preserve"> occur together. The results of </w:t>
      </w:r>
      <w:r w:rsidR="00102B4A">
        <w:t>th</w:t>
      </w:r>
      <w:r w:rsidR="0069035E">
        <w:t>is</w:t>
      </w:r>
      <w:r w:rsidR="00102B4A">
        <w:t xml:space="preserve"> application</w:t>
      </w:r>
      <w:r w:rsidR="00C667B5">
        <w:t xml:space="preserve"> are summarized in Table </w:t>
      </w:r>
      <w:r w:rsidR="000A6CEB">
        <w:t>5</w:t>
      </w:r>
      <w:r w:rsidR="00C667B5">
        <w:t>.</w:t>
      </w:r>
    </w:p>
    <w:p w14:paraId="1F859918" w14:textId="43C49FA5" w:rsidR="006D2E81" w:rsidRPr="000D56D6" w:rsidRDefault="006D2E81" w:rsidP="006D2E81">
      <w:pPr>
        <w:pStyle w:val="CETTabletitle"/>
      </w:pPr>
      <w:r w:rsidRPr="00B57B36">
        <w:t xml:space="preserve">Table </w:t>
      </w:r>
      <w:r w:rsidR="000A6CEB">
        <w:t>5</w:t>
      </w:r>
      <w:r w:rsidRPr="00B57B36">
        <w:t xml:space="preserve">: </w:t>
      </w:r>
      <w:r w:rsidR="00603806" w:rsidRPr="00603806">
        <w:t>Damage probabilities for Tank A and Tank B</w:t>
      </w:r>
      <w:r w:rsidR="00603806">
        <w:t xml:space="preserve"> for the </w:t>
      </w:r>
      <w:r w:rsidR="00102B4A">
        <w:t>reference</w:t>
      </w:r>
      <w:r w:rsidR="00603806">
        <w:t xml:space="preserve"> </w:t>
      </w:r>
      <w:r w:rsidR="00603806" w:rsidRPr="00603806">
        <w:t>wind velocities</w:t>
      </w:r>
      <w:r w:rsidR="00B7174C">
        <w:t>.</w:t>
      </w:r>
    </w:p>
    <w:tbl>
      <w:tblPr>
        <w:tblW w:w="637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2406"/>
        <w:gridCol w:w="2406"/>
      </w:tblGrid>
      <w:tr w:rsidR="000A6652" w:rsidRPr="000A6652" w14:paraId="143A7EE2" w14:textId="77777777" w:rsidTr="000A6CEB">
        <w:trPr>
          <w:trHeight w:val="266"/>
        </w:trPr>
        <w:tc>
          <w:tcPr>
            <w:tcW w:w="1560" w:type="dxa"/>
            <w:tcBorders>
              <w:top w:val="single" w:sz="12" w:space="0" w:color="008000"/>
              <w:bottom w:val="single" w:sz="6" w:space="0" w:color="008000"/>
            </w:tcBorders>
            <w:shd w:val="clear" w:color="auto" w:fill="FFFFFF"/>
            <w:vAlign w:val="center"/>
          </w:tcPr>
          <w:p w14:paraId="634EF31A" w14:textId="049DAEA9" w:rsidR="000A6652" w:rsidRPr="00B97382" w:rsidRDefault="000A6652" w:rsidP="000A6652">
            <w:pPr>
              <w:pStyle w:val="CETBodytext"/>
              <w:rPr>
                <w:rFonts w:cs="Arial"/>
                <w:b/>
                <w:bCs/>
                <w:szCs w:val="18"/>
                <w:lang w:val="en-GB"/>
              </w:rPr>
            </w:pPr>
            <w:r w:rsidRPr="00B97382">
              <w:rPr>
                <w:rFonts w:cs="Arial"/>
                <w:b/>
                <w:bCs/>
                <w:szCs w:val="18"/>
              </w:rPr>
              <w:t>v (m/s)</w:t>
            </w:r>
          </w:p>
        </w:tc>
        <w:tc>
          <w:tcPr>
            <w:tcW w:w="2406" w:type="dxa"/>
            <w:tcBorders>
              <w:top w:val="single" w:sz="12" w:space="0" w:color="008000"/>
              <w:bottom w:val="single" w:sz="6" w:space="0" w:color="008000"/>
            </w:tcBorders>
            <w:shd w:val="clear" w:color="auto" w:fill="FFFFFF"/>
            <w:vAlign w:val="bottom"/>
          </w:tcPr>
          <w:p w14:paraId="66D10DED" w14:textId="79B2B6D5" w:rsidR="000A6652" w:rsidRPr="00B97382" w:rsidRDefault="000A6652" w:rsidP="000A6652">
            <w:pPr>
              <w:pStyle w:val="CETBodytext"/>
              <w:rPr>
                <w:rFonts w:cs="Arial"/>
                <w:b/>
                <w:bCs/>
                <w:szCs w:val="18"/>
                <w:lang w:val="en-GB"/>
              </w:rPr>
            </w:pPr>
            <w:r w:rsidRPr="00B97382">
              <w:rPr>
                <w:rFonts w:cs="Arial"/>
                <w:b/>
                <w:bCs/>
                <w:szCs w:val="18"/>
              </w:rPr>
              <w:t>Tank A</w:t>
            </w:r>
          </w:p>
        </w:tc>
        <w:tc>
          <w:tcPr>
            <w:tcW w:w="2406" w:type="dxa"/>
            <w:tcBorders>
              <w:top w:val="single" w:sz="12" w:space="0" w:color="008000"/>
              <w:bottom w:val="single" w:sz="6" w:space="0" w:color="008000"/>
            </w:tcBorders>
            <w:shd w:val="clear" w:color="auto" w:fill="FFFFFF"/>
            <w:vAlign w:val="bottom"/>
          </w:tcPr>
          <w:p w14:paraId="7D1022FF" w14:textId="6DF6E003" w:rsidR="000A6652" w:rsidRPr="00B97382" w:rsidRDefault="000A6652" w:rsidP="000A6652">
            <w:pPr>
              <w:pStyle w:val="CETBodytext"/>
              <w:rPr>
                <w:rFonts w:cs="Arial"/>
                <w:b/>
                <w:bCs/>
                <w:szCs w:val="18"/>
                <w:lang w:val="en-GB"/>
              </w:rPr>
            </w:pPr>
            <w:r w:rsidRPr="00B97382">
              <w:rPr>
                <w:rFonts w:cs="Arial"/>
                <w:b/>
                <w:bCs/>
                <w:szCs w:val="18"/>
              </w:rPr>
              <w:t>Tank B</w:t>
            </w:r>
          </w:p>
        </w:tc>
      </w:tr>
      <w:tr w:rsidR="000A6652" w:rsidRPr="000A6652" w14:paraId="40480DA2" w14:textId="77777777" w:rsidTr="000A6CEB">
        <w:trPr>
          <w:trHeight w:val="266"/>
        </w:trPr>
        <w:tc>
          <w:tcPr>
            <w:tcW w:w="1560" w:type="dxa"/>
            <w:shd w:val="clear" w:color="auto" w:fill="FFFFFF"/>
            <w:vAlign w:val="center"/>
          </w:tcPr>
          <w:p w14:paraId="232254CF" w14:textId="235A8E96" w:rsidR="000A6652" w:rsidRPr="00B97382" w:rsidRDefault="000A6652" w:rsidP="000A6652">
            <w:pPr>
              <w:pStyle w:val="CETBodytext"/>
              <w:rPr>
                <w:rFonts w:cs="Arial"/>
                <w:szCs w:val="18"/>
                <w:lang w:val="en-GB"/>
              </w:rPr>
            </w:pPr>
            <w:r w:rsidRPr="00B97382">
              <w:rPr>
                <w:rFonts w:cs="Arial"/>
                <w:szCs w:val="18"/>
              </w:rPr>
              <w:t>30</w:t>
            </w:r>
          </w:p>
        </w:tc>
        <w:tc>
          <w:tcPr>
            <w:tcW w:w="2406" w:type="dxa"/>
            <w:shd w:val="clear" w:color="auto" w:fill="FFFFFF"/>
            <w:vAlign w:val="center"/>
          </w:tcPr>
          <w:p w14:paraId="771C3F38" w14:textId="4048DF3D" w:rsidR="000A6652" w:rsidRPr="00B97382" w:rsidRDefault="000A6652" w:rsidP="000A6652">
            <w:pPr>
              <w:pStyle w:val="CETBodytext"/>
              <w:rPr>
                <w:rFonts w:cs="Arial"/>
                <w:szCs w:val="18"/>
                <w:lang w:val="en-GB"/>
              </w:rPr>
            </w:pPr>
            <w:r w:rsidRPr="00B97382">
              <w:rPr>
                <w:rFonts w:cs="Arial"/>
                <w:szCs w:val="18"/>
                <w:lang w:val="en-GB"/>
              </w:rPr>
              <w:t>&lt;1*10</w:t>
            </w:r>
            <w:r w:rsidRPr="00B97382">
              <w:rPr>
                <w:rFonts w:cs="Arial"/>
                <w:szCs w:val="18"/>
                <w:vertAlign w:val="superscript"/>
                <w:lang w:val="en-GB"/>
              </w:rPr>
              <w:t>-6</w:t>
            </w:r>
          </w:p>
        </w:tc>
        <w:tc>
          <w:tcPr>
            <w:tcW w:w="2406" w:type="dxa"/>
            <w:shd w:val="clear" w:color="auto" w:fill="FFFFFF"/>
            <w:vAlign w:val="center"/>
          </w:tcPr>
          <w:p w14:paraId="11B24620" w14:textId="5B421E0F" w:rsidR="000A6652" w:rsidRPr="00B97382" w:rsidRDefault="000A6652" w:rsidP="000A6652">
            <w:pPr>
              <w:pStyle w:val="CETBodytext"/>
              <w:rPr>
                <w:rFonts w:cs="Arial"/>
                <w:szCs w:val="18"/>
                <w:lang w:val="en-GB"/>
              </w:rPr>
            </w:pPr>
            <w:r w:rsidRPr="00B97382">
              <w:rPr>
                <w:rFonts w:cs="Arial"/>
                <w:szCs w:val="18"/>
                <w:lang w:val="en-GB"/>
              </w:rPr>
              <w:t>&lt;1*10</w:t>
            </w:r>
            <w:r w:rsidRPr="00B97382">
              <w:rPr>
                <w:rFonts w:cs="Arial"/>
                <w:szCs w:val="18"/>
                <w:vertAlign w:val="superscript"/>
                <w:lang w:val="en-GB"/>
              </w:rPr>
              <w:t>-6</w:t>
            </w:r>
          </w:p>
        </w:tc>
      </w:tr>
      <w:tr w:rsidR="000A6652" w:rsidRPr="000A6652" w14:paraId="6183B776" w14:textId="77777777" w:rsidTr="000A6CEB">
        <w:trPr>
          <w:trHeight w:val="257"/>
        </w:trPr>
        <w:tc>
          <w:tcPr>
            <w:tcW w:w="1560" w:type="dxa"/>
            <w:shd w:val="clear" w:color="auto" w:fill="FFFFFF"/>
            <w:vAlign w:val="center"/>
          </w:tcPr>
          <w:p w14:paraId="273FCFBA" w14:textId="0AC8F879" w:rsidR="000A6652" w:rsidRPr="00B97382" w:rsidRDefault="000A6652" w:rsidP="000A6652">
            <w:pPr>
              <w:pStyle w:val="CETBodytext"/>
              <w:ind w:right="-1"/>
              <w:rPr>
                <w:rFonts w:cs="Arial"/>
                <w:szCs w:val="18"/>
                <w:lang w:val="en-GB"/>
              </w:rPr>
            </w:pPr>
            <w:r w:rsidRPr="00B97382">
              <w:rPr>
                <w:rFonts w:cs="Arial"/>
                <w:szCs w:val="18"/>
              </w:rPr>
              <w:t>40</w:t>
            </w:r>
          </w:p>
        </w:tc>
        <w:tc>
          <w:tcPr>
            <w:tcW w:w="2406" w:type="dxa"/>
            <w:shd w:val="clear" w:color="auto" w:fill="FFFFFF"/>
            <w:vAlign w:val="center"/>
          </w:tcPr>
          <w:p w14:paraId="5610DE2C" w14:textId="6B04C823" w:rsidR="000A6652" w:rsidRPr="00B97382" w:rsidRDefault="000A6652" w:rsidP="000A6652">
            <w:pPr>
              <w:pStyle w:val="CETBodytext"/>
              <w:ind w:right="-1"/>
              <w:rPr>
                <w:rFonts w:cs="Arial"/>
                <w:szCs w:val="18"/>
                <w:lang w:val="en-GB"/>
              </w:rPr>
            </w:pPr>
            <w:r w:rsidRPr="00B97382">
              <w:rPr>
                <w:rFonts w:cs="Arial"/>
                <w:szCs w:val="18"/>
                <w:lang w:val="en-GB"/>
              </w:rPr>
              <w:t>4.7*10</w:t>
            </w:r>
            <w:r w:rsidRPr="00B97382">
              <w:rPr>
                <w:rFonts w:cs="Arial"/>
                <w:szCs w:val="18"/>
                <w:vertAlign w:val="superscript"/>
                <w:lang w:val="en-GB"/>
              </w:rPr>
              <w:t>-1</w:t>
            </w:r>
          </w:p>
        </w:tc>
        <w:tc>
          <w:tcPr>
            <w:tcW w:w="2406" w:type="dxa"/>
            <w:shd w:val="clear" w:color="auto" w:fill="FFFFFF"/>
            <w:vAlign w:val="center"/>
          </w:tcPr>
          <w:p w14:paraId="60282263" w14:textId="68D2E0B4" w:rsidR="000A6652" w:rsidRPr="00B97382" w:rsidRDefault="000A6652" w:rsidP="000A6652">
            <w:pPr>
              <w:pStyle w:val="CETBodytext"/>
              <w:ind w:right="-1"/>
              <w:rPr>
                <w:rFonts w:cs="Arial"/>
                <w:szCs w:val="18"/>
                <w:lang w:val="en-GB"/>
              </w:rPr>
            </w:pPr>
            <w:r w:rsidRPr="00B97382">
              <w:rPr>
                <w:rFonts w:cs="Arial"/>
                <w:szCs w:val="18"/>
                <w:lang w:val="en-GB"/>
              </w:rPr>
              <w:t>1.6*10</w:t>
            </w:r>
            <w:r w:rsidRPr="00B97382">
              <w:rPr>
                <w:rFonts w:cs="Arial"/>
                <w:szCs w:val="18"/>
                <w:vertAlign w:val="superscript"/>
                <w:lang w:val="en-GB"/>
              </w:rPr>
              <w:t>-1</w:t>
            </w:r>
          </w:p>
        </w:tc>
      </w:tr>
      <w:tr w:rsidR="000A6652" w:rsidRPr="000A6652" w14:paraId="24E6DCA4" w14:textId="77777777" w:rsidTr="000A6CEB">
        <w:trPr>
          <w:trHeight w:val="266"/>
        </w:trPr>
        <w:tc>
          <w:tcPr>
            <w:tcW w:w="1560" w:type="dxa"/>
            <w:shd w:val="clear" w:color="auto" w:fill="FFFFFF"/>
            <w:vAlign w:val="center"/>
          </w:tcPr>
          <w:p w14:paraId="007886EA" w14:textId="7D035338" w:rsidR="000A6652" w:rsidRPr="00B97382" w:rsidRDefault="000A6652" w:rsidP="000A6652">
            <w:pPr>
              <w:pStyle w:val="CETBodytext"/>
              <w:ind w:right="-1"/>
              <w:rPr>
                <w:rFonts w:cs="Arial"/>
                <w:szCs w:val="18"/>
              </w:rPr>
            </w:pPr>
            <w:r w:rsidRPr="00B97382">
              <w:rPr>
                <w:rFonts w:cs="Arial"/>
                <w:szCs w:val="18"/>
              </w:rPr>
              <w:t>55</w:t>
            </w:r>
          </w:p>
        </w:tc>
        <w:tc>
          <w:tcPr>
            <w:tcW w:w="2406" w:type="dxa"/>
            <w:shd w:val="clear" w:color="auto" w:fill="FFFFFF"/>
            <w:vAlign w:val="center"/>
          </w:tcPr>
          <w:p w14:paraId="2ADC6872" w14:textId="039C98E3" w:rsidR="000A6652" w:rsidRPr="00B97382" w:rsidRDefault="000A6652" w:rsidP="000A6652">
            <w:pPr>
              <w:pStyle w:val="CETBodytext"/>
              <w:ind w:right="-1"/>
              <w:rPr>
                <w:rFonts w:cs="Arial"/>
                <w:kern w:val="24"/>
                <w:szCs w:val="18"/>
                <w:lang w:eastAsia="it-IT"/>
              </w:rPr>
            </w:pPr>
            <w:r w:rsidRPr="00B97382">
              <w:rPr>
                <w:rFonts w:cs="Arial"/>
                <w:szCs w:val="18"/>
                <w:lang w:val="en-GB"/>
              </w:rPr>
              <w:t>1</w:t>
            </w:r>
          </w:p>
        </w:tc>
        <w:tc>
          <w:tcPr>
            <w:tcW w:w="2406" w:type="dxa"/>
            <w:shd w:val="clear" w:color="auto" w:fill="FFFFFF"/>
            <w:vAlign w:val="center"/>
          </w:tcPr>
          <w:p w14:paraId="649FA20C" w14:textId="29A1F496" w:rsidR="000A6652" w:rsidRPr="00B97382" w:rsidRDefault="000A6652" w:rsidP="000A6652">
            <w:pPr>
              <w:pStyle w:val="CETBodytext"/>
              <w:ind w:right="-1"/>
              <w:rPr>
                <w:rFonts w:cs="Arial"/>
                <w:kern w:val="24"/>
                <w:szCs w:val="18"/>
                <w:lang w:eastAsia="it-IT"/>
              </w:rPr>
            </w:pPr>
            <w:r w:rsidRPr="00B97382">
              <w:rPr>
                <w:rFonts w:cs="Arial"/>
                <w:szCs w:val="18"/>
                <w:lang w:val="en-GB"/>
              </w:rPr>
              <w:t>1</w:t>
            </w:r>
          </w:p>
        </w:tc>
      </w:tr>
    </w:tbl>
    <w:p w14:paraId="28ECCD1D" w14:textId="77777777" w:rsidR="006D2E81" w:rsidRPr="00194C37" w:rsidRDefault="006D2E81" w:rsidP="000B03CD">
      <w:pPr>
        <w:rPr>
          <w:rFonts w:ascii="Calibri" w:eastAsiaTheme="minorEastAsia" w:hAnsi="Calibri" w:cs="Calibri"/>
          <w:i/>
        </w:rPr>
      </w:pPr>
    </w:p>
    <w:p w14:paraId="77FDCAFA" w14:textId="1ADDEBB2" w:rsidR="00BD0244" w:rsidRDefault="005345FB" w:rsidP="00FC740E">
      <w:pPr>
        <w:pStyle w:val="Paragrafoelenco"/>
        <w:ind w:left="0"/>
      </w:pPr>
      <w:r w:rsidRPr="005345FB">
        <w:t>The results demonstrate that</w:t>
      </w:r>
      <w:r w:rsidR="0069035E">
        <w:t xml:space="preserve"> the developed models enable a straightforward assessment of the damage probability of fixed-roof atmospheric storage tanks designed according to API-650 </w:t>
      </w:r>
      <w:r w:rsidR="005F3F20">
        <w:t>based on</w:t>
      </w:r>
      <w:r w:rsidR="0069035E">
        <w:t xml:space="preserve"> </w:t>
      </w:r>
      <w:r w:rsidR="005F3F20">
        <w:t>the dimensional classes defined</w:t>
      </w:r>
      <w:r w:rsidR="0069035E">
        <w:t xml:space="preserve"> (</w:t>
      </w:r>
      <w:r w:rsidR="005F3F20">
        <w:t xml:space="preserve">i.e., the analysis requires only the </w:t>
      </w:r>
      <w:r w:rsidR="0069035E">
        <w:t>diameter and shell height</w:t>
      </w:r>
      <w:r w:rsidR="005F3F20">
        <w:t xml:space="preserve"> of the tank in input</w:t>
      </w:r>
      <w:r w:rsidR="0069035E">
        <w:t>).</w:t>
      </w:r>
      <w:r w:rsidRPr="005345FB">
        <w:t xml:space="preserve"> </w:t>
      </w:r>
      <w:r w:rsidR="0069035E">
        <w:t xml:space="preserve">It is </w:t>
      </w:r>
      <w:r w:rsidR="005F3F20">
        <w:t xml:space="preserve">also </w:t>
      </w:r>
      <w:r w:rsidR="0069035E">
        <w:t xml:space="preserve">apparent that, as </w:t>
      </w:r>
      <w:r w:rsidRPr="005345FB">
        <w:t>expected, the overall vulnerability of the tanks increases with wind speed. Specifically, at wind velocities close to the design wind speed of 25 m/s, the probabilities are negligible for all tanks (&lt;1×10</w:t>
      </w:r>
      <w:r w:rsidRPr="005345FB">
        <w:rPr>
          <w:rFonts w:ascii="Cambria Math" w:hAnsi="Cambria Math" w:cs="Cambria Math"/>
        </w:rPr>
        <w:t>⁻</w:t>
      </w:r>
      <w:r w:rsidRPr="005345FB">
        <w:rPr>
          <w:rFonts w:cs="Arial"/>
        </w:rPr>
        <w:t>⁶</w:t>
      </w:r>
      <w:r w:rsidRPr="005345FB">
        <w:t>)</w:t>
      </w:r>
      <w:r w:rsidR="0069035E">
        <w:t xml:space="preserve">, and </w:t>
      </w:r>
      <w:r w:rsidRPr="005345FB">
        <w:t>as wind speeds increase, the probabilities of damage rise significantly.</w:t>
      </w:r>
      <w:r w:rsidR="00964865">
        <w:t xml:space="preserve"> </w:t>
      </w:r>
    </w:p>
    <w:p w14:paraId="1D5DD439" w14:textId="77777777" w:rsidR="0069035E" w:rsidRDefault="0069035E" w:rsidP="00FC740E">
      <w:pPr>
        <w:pStyle w:val="Paragrafoelenco"/>
        <w:ind w:left="0"/>
      </w:pPr>
    </w:p>
    <w:p w14:paraId="359904AD" w14:textId="5C657EF0" w:rsidR="0069035E" w:rsidRDefault="0069035E" w:rsidP="00FC740E">
      <w:pPr>
        <w:pStyle w:val="Paragrafoelenco"/>
        <w:ind w:left="0"/>
      </w:pPr>
      <w:r w:rsidRPr="0069035E">
        <w:lastRenderedPageBreak/>
        <w:t xml:space="preserve">For a more comprehensive analysis, </w:t>
      </w:r>
      <w:r>
        <w:t xml:space="preserve">the vulnerability models defined for the three release classes can be employed in the </w:t>
      </w:r>
      <w:r w:rsidR="00A721E9">
        <w:t>probability associated with a specified loss of inventory level.</w:t>
      </w:r>
      <w:r>
        <w:t xml:space="preserve"> To provide a</w:t>
      </w:r>
      <w:r w:rsidR="00B16A35">
        <w:t>n</w:t>
      </w:r>
      <w:r w:rsidR="00A721E9">
        <w:t xml:space="preserve"> </w:t>
      </w:r>
      <w:r>
        <w:t xml:space="preserve">example, the combined probabilities of overturning and sliding obtained accounting for an average filling level </w:t>
      </w:r>
      <w:r w:rsidR="00A721E9">
        <w:t xml:space="preserve">of Tank A </w:t>
      </w:r>
      <w:r>
        <w:t>of 0.5</w:t>
      </w:r>
      <w:r w:rsidR="00A721E9">
        <w:t xml:space="preserve"> (i.e., release class 50%)</w:t>
      </w:r>
      <w:r>
        <w:t xml:space="preserve"> are provided</w:t>
      </w:r>
      <w:r w:rsidRPr="0069035E">
        <w:t xml:space="preserve"> </w:t>
      </w:r>
      <w:r w:rsidRPr="005345FB">
        <w:t xml:space="preserve">in Table </w:t>
      </w:r>
      <w:r>
        <w:t xml:space="preserve">6. </w:t>
      </w:r>
    </w:p>
    <w:p w14:paraId="2CDC759E" w14:textId="1C6D9E95" w:rsidR="00762B84" w:rsidRPr="000D56D6" w:rsidRDefault="00762B84" w:rsidP="00762B84">
      <w:pPr>
        <w:pStyle w:val="CETTabletitle"/>
      </w:pPr>
      <w:r w:rsidRPr="00A673CE">
        <w:t xml:space="preserve">Table </w:t>
      </w:r>
      <w:r w:rsidR="000A6CEB">
        <w:t>6</w:t>
      </w:r>
      <w:r w:rsidRPr="00A673CE">
        <w:t xml:space="preserve">: </w:t>
      </w:r>
      <w:r w:rsidR="00340BD8" w:rsidRPr="00A673CE">
        <w:t>Co</w:t>
      </w:r>
      <w:r w:rsidR="004065AF">
        <w:t>mbined</w:t>
      </w:r>
      <w:r w:rsidR="00340BD8" w:rsidRPr="00A673CE">
        <w:t xml:space="preserve"> p</w:t>
      </w:r>
      <w:r w:rsidR="009D7B99" w:rsidRPr="00A673CE">
        <w:t>robability</w:t>
      </w:r>
      <w:r w:rsidR="00340BD8" w:rsidRPr="00A673CE">
        <w:t xml:space="preserve"> </w:t>
      </w:r>
      <w:r w:rsidR="00A673CE">
        <w:t>of</w:t>
      </w:r>
      <w:r w:rsidR="00A673CE" w:rsidRPr="00A673CE">
        <w:t xml:space="preserve"> overturning and sliding </w:t>
      </w:r>
      <w:r w:rsidR="00340BD8" w:rsidRPr="00A673CE">
        <w:t xml:space="preserve">associated </w:t>
      </w:r>
      <w:r w:rsidR="00A673CE">
        <w:t>with</w:t>
      </w:r>
      <w:r w:rsidR="00340BD8" w:rsidRPr="00A673CE">
        <w:t xml:space="preserve"> the </w:t>
      </w:r>
      <w:r w:rsidR="004065AF">
        <w:t>release class</w:t>
      </w:r>
      <w:r w:rsidR="00340BD8" w:rsidRPr="00A673CE">
        <w:t xml:space="preserve"> 50%</w:t>
      </w:r>
      <w:r w:rsidR="0069035E">
        <w:t xml:space="preserve"> </w:t>
      </w:r>
      <w:r w:rsidR="002B6FBF" w:rsidRPr="00A673CE">
        <w:t xml:space="preserve">for </w:t>
      </w:r>
      <w:r w:rsidR="00340BD8" w:rsidRPr="00A673CE">
        <w:t>T</w:t>
      </w:r>
      <w:r w:rsidR="002B6FBF" w:rsidRPr="00A673CE">
        <w:t>ank A</w:t>
      </w:r>
      <w:r w:rsidR="00B7174C">
        <w:t>.</w:t>
      </w:r>
      <w:r w:rsidR="002B6FBF">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84"/>
        <w:gridCol w:w="1884"/>
        <w:gridCol w:w="1884"/>
        <w:gridCol w:w="1884"/>
      </w:tblGrid>
      <w:tr w:rsidR="002B6FBF" w:rsidRPr="000A6652" w14:paraId="23FC1C2F" w14:textId="0EAE6B69" w:rsidTr="004065AF">
        <w:trPr>
          <w:trHeight w:val="258"/>
        </w:trPr>
        <w:tc>
          <w:tcPr>
            <w:tcW w:w="1884" w:type="dxa"/>
            <w:tcBorders>
              <w:top w:val="single" w:sz="12" w:space="0" w:color="008000"/>
              <w:bottom w:val="single" w:sz="6" w:space="0" w:color="008000"/>
            </w:tcBorders>
            <w:shd w:val="clear" w:color="auto" w:fill="FFFFFF"/>
          </w:tcPr>
          <w:p w14:paraId="20990804" w14:textId="07160FCB" w:rsidR="002B6FBF" w:rsidRPr="000A6652" w:rsidRDefault="002B6FBF" w:rsidP="002B6FBF">
            <w:pPr>
              <w:pStyle w:val="CETBodytext"/>
              <w:rPr>
                <w:szCs w:val="18"/>
                <w:lang w:val="en-GB"/>
              </w:rPr>
            </w:pPr>
          </w:p>
        </w:tc>
        <w:tc>
          <w:tcPr>
            <w:tcW w:w="1884" w:type="dxa"/>
            <w:tcBorders>
              <w:top w:val="single" w:sz="12" w:space="0" w:color="008000"/>
              <w:bottom w:val="single" w:sz="6" w:space="0" w:color="008000"/>
            </w:tcBorders>
            <w:shd w:val="clear" w:color="auto" w:fill="FFFFFF"/>
          </w:tcPr>
          <w:p w14:paraId="29D53E39" w14:textId="2A9BB129" w:rsidR="002B6FBF" w:rsidRPr="004065AF" w:rsidRDefault="002B6FBF" w:rsidP="002B6FBF">
            <w:pPr>
              <w:pStyle w:val="CETBodytext"/>
              <w:rPr>
                <w:b/>
                <w:bCs/>
                <w:szCs w:val="18"/>
                <w:lang w:val="en-GB"/>
              </w:rPr>
            </w:pPr>
            <w:r w:rsidRPr="004065AF">
              <w:rPr>
                <w:b/>
                <w:bCs/>
              </w:rPr>
              <w:t>30</w:t>
            </w:r>
            <w:r w:rsidR="00340BD8" w:rsidRPr="004065AF">
              <w:rPr>
                <w:b/>
                <w:bCs/>
              </w:rPr>
              <w:t xml:space="preserve"> m/s</w:t>
            </w:r>
          </w:p>
        </w:tc>
        <w:tc>
          <w:tcPr>
            <w:tcW w:w="1884" w:type="dxa"/>
            <w:tcBorders>
              <w:top w:val="single" w:sz="12" w:space="0" w:color="008000"/>
              <w:bottom w:val="single" w:sz="6" w:space="0" w:color="008000"/>
            </w:tcBorders>
            <w:shd w:val="clear" w:color="auto" w:fill="FFFFFF"/>
          </w:tcPr>
          <w:p w14:paraId="74C0D018" w14:textId="01A89E5A" w:rsidR="002B6FBF" w:rsidRPr="004065AF" w:rsidRDefault="002B6FBF" w:rsidP="002B6FBF">
            <w:pPr>
              <w:pStyle w:val="CETBodytext"/>
              <w:rPr>
                <w:b/>
                <w:bCs/>
                <w:szCs w:val="18"/>
                <w:lang w:val="en-GB"/>
              </w:rPr>
            </w:pPr>
            <w:r w:rsidRPr="004065AF">
              <w:rPr>
                <w:b/>
                <w:bCs/>
              </w:rPr>
              <w:t>40</w:t>
            </w:r>
            <w:r w:rsidR="00340BD8" w:rsidRPr="004065AF">
              <w:rPr>
                <w:b/>
                <w:bCs/>
              </w:rPr>
              <w:t xml:space="preserve"> m/s</w:t>
            </w:r>
          </w:p>
        </w:tc>
        <w:tc>
          <w:tcPr>
            <w:tcW w:w="1884" w:type="dxa"/>
            <w:tcBorders>
              <w:top w:val="single" w:sz="12" w:space="0" w:color="008000"/>
              <w:bottom w:val="single" w:sz="6" w:space="0" w:color="008000"/>
            </w:tcBorders>
            <w:shd w:val="clear" w:color="auto" w:fill="FFFFFF"/>
          </w:tcPr>
          <w:p w14:paraId="545B664C" w14:textId="03DB7F1E" w:rsidR="002B6FBF" w:rsidRPr="004065AF" w:rsidRDefault="002B6FBF" w:rsidP="002B6FBF">
            <w:pPr>
              <w:pStyle w:val="CETBodytext"/>
              <w:rPr>
                <w:rFonts w:ascii="Calibri" w:hAnsi="Calibri" w:cs="Calibri"/>
                <w:b/>
                <w:bCs/>
                <w:szCs w:val="18"/>
              </w:rPr>
            </w:pPr>
            <w:r w:rsidRPr="004065AF">
              <w:rPr>
                <w:b/>
                <w:bCs/>
              </w:rPr>
              <w:t>55</w:t>
            </w:r>
            <w:r w:rsidR="00340BD8" w:rsidRPr="004065AF">
              <w:rPr>
                <w:b/>
                <w:bCs/>
              </w:rPr>
              <w:t xml:space="preserve"> m/s</w:t>
            </w:r>
          </w:p>
        </w:tc>
      </w:tr>
      <w:tr w:rsidR="009D7B99" w:rsidRPr="000A6652" w14:paraId="3D92B437" w14:textId="608FE4E4" w:rsidTr="004065AF">
        <w:trPr>
          <w:trHeight w:val="271"/>
        </w:trPr>
        <w:tc>
          <w:tcPr>
            <w:tcW w:w="1884" w:type="dxa"/>
            <w:shd w:val="clear" w:color="auto" w:fill="FFFFFF"/>
          </w:tcPr>
          <w:p w14:paraId="0AFB90C4" w14:textId="3967016F" w:rsidR="009D7B99" w:rsidRPr="000A6652" w:rsidRDefault="004065AF" w:rsidP="009D7B99">
            <w:pPr>
              <w:pStyle w:val="CETBodytext"/>
              <w:ind w:right="-1"/>
              <w:rPr>
                <w:rFonts w:cs="Arial"/>
                <w:szCs w:val="18"/>
                <w:lang w:val="en-GB"/>
              </w:rPr>
            </w:pPr>
            <w:r w:rsidRPr="00870E5B">
              <w:t>P</w:t>
            </w:r>
            <w:r w:rsidRPr="00340BD8">
              <w:rPr>
                <w:vertAlign w:val="subscript"/>
              </w:rPr>
              <w:t>ov&amp;sl,</w:t>
            </w:r>
            <w:r w:rsidR="009D7B99" w:rsidRPr="00340BD8">
              <w:rPr>
                <w:vertAlign w:val="subscript"/>
              </w:rPr>
              <w:t xml:space="preserve">50% </w:t>
            </w:r>
            <w:r w:rsidR="009D7B99" w:rsidRPr="00870E5B">
              <w:t>(-)</w:t>
            </w:r>
          </w:p>
        </w:tc>
        <w:tc>
          <w:tcPr>
            <w:tcW w:w="1884" w:type="dxa"/>
            <w:shd w:val="clear" w:color="auto" w:fill="FFFFFF"/>
          </w:tcPr>
          <w:p w14:paraId="6FED6FF0" w14:textId="713DBC7F" w:rsidR="009D7B99" w:rsidRPr="000A6652" w:rsidRDefault="009D7B99" w:rsidP="009D7B99">
            <w:pPr>
              <w:pStyle w:val="CETBodytext"/>
              <w:ind w:right="-1"/>
              <w:rPr>
                <w:rFonts w:cs="Arial"/>
                <w:szCs w:val="18"/>
                <w:lang w:val="en-GB"/>
              </w:rPr>
            </w:pPr>
            <w:r w:rsidRPr="00D901D4">
              <w:t>&lt;1*10</w:t>
            </w:r>
            <w:r w:rsidRPr="00D901D4">
              <w:rPr>
                <w:vertAlign w:val="superscript"/>
              </w:rPr>
              <w:t>-6</w:t>
            </w:r>
          </w:p>
        </w:tc>
        <w:tc>
          <w:tcPr>
            <w:tcW w:w="1884" w:type="dxa"/>
            <w:shd w:val="clear" w:color="auto" w:fill="FFFFFF"/>
          </w:tcPr>
          <w:p w14:paraId="02EC47FF" w14:textId="6ECD6B6E" w:rsidR="009D7B99" w:rsidRPr="000A6652" w:rsidRDefault="009D7B99" w:rsidP="009D7B99">
            <w:pPr>
              <w:pStyle w:val="CETBodytext"/>
              <w:ind w:right="-1"/>
              <w:rPr>
                <w:rFonts w:cs="Arial"/>
                <w:szCs w:val="18"/>
                <w:lang w:val="en-GB"/>
              </w:rPr>
            </w:pPr>
            <w:r w:rsidRPr="00870E5B">
              <w:t>4.2*10</w:t>
            </w:r>
            <w:r w:rsidRPr="009D7B99">
              <w:rPr>
                <w:vertAlign w:val="superscript"/>
              </w:rPr>
              <w:t>-1</w:t>
            </w:r>
          </w:p>
        </w:tc>
        <w:tc>
          <w:tcPr>
            <w:tcW w:w="1884" w:type="dxa"/>
            <w:shd w:val="clear" w:color="auto" w:fill="FFFFFF"/>
          </w:tcPr>
          <w:p w14:paraId="0B4CDA52" w14:textId="6E14331A" w:rsidR="009D7B99" w:rsidRPr="000A6652" w:rsidRDefault="009D7B99" w:rsidP="009D7B99">
            <w:pPr>
              <w:pStyle w:val="CETBodytext"/>
              <w:ind w:right="-1"/>
              <w:rPr>
                <w:rFonts w:ascii="Calibri" w:hAnsi="Calibri" w:cs="Calibri"/>
                <w:szCs w:val="18"/>
                <w:lang w:val="en-GB"/>
              </w:rPr>
            </w:pPr>
            <w:r w:rsidRPr="00870E5B">
              <w:t>4.7*10</w:t>
            </w:r>
            <w:r w:rsidRPr="009D7B99">
              <w:rPr>
                <w:vertAlign w:val="superscript"/>
              </w:rPr>
              <w:t>-1</w:t>
            </w:r>
          </w:p>
        </w:tc>
      </w:tr>
    </w:tbl>
    <w:p w14:paraId="7C1D3701" w14:textId="74F34979" w:rsidR="00A721E9" w:rsidRDefault="00A721E9" w:rsidP="00FC740E">
      <w:pPr>
        <w:pStyle w:val="Paragrafoelenco"/>
        <w:ind w:left="0"/>
      </w:pPr>
    </w:p>
    <w:p w14:paraId="43BCF695" w14:textId="175C1739" w:rsidR="00A721E9" w:rsidRDefault="00A721E9" w:rsidP="00FC740E">
      <w:pPr>
        <w:pStyle w:val="Paragrafoelenco"/>
        <w:ind w:left="0"/>
      </w:pPr>
      <w:r>
        <w:t>These values – which were calculated by employing Eq(4) and Eq(5) - can be employed directly in the QRA of Natech accidents triggered by intense wind phenomena in the case that the average filling level of the tanks is a known datum</w:t>
      </w:r>
      <w:r w:rsidR="005F3F20">
        <w:t>.</w:t>
      </w:r>
    </w:p>
    <w:p w14:paraId="68D26B83" w14:textId="0BAEC85B" w:rsidR="00600535" w:rsidRPr="00B57B36" w:rsidRDefault="00600535" w:rsidP="00600535">
      <w:pPr>
        <w:pStyle w:val="CETHeading1"/>
        <w:rPr>
          <w:lang w:val="en-GB"/>
        </w:rPr>
      </w:pPr>
      <w:r w:rsidRPr="00B57B36">
        <w:rPr>
          <w:lang w:val="en-GB"/>
        </w:rPr>
        <w:t>Conclusions</w:t>
      </w:r>
    </w:p>
    <w:p w14:paraId="28555EC6" w14:textId="2E46A311" w:rsidR="002764DD" w:rsidRPr="00A673CE" w:rsidRDefault="00FD1A49" w:rsidP="002764DD">
      <w:pPr>
        <w:rPr>
          <w:lang w:val="en-US"/>
        </w:rPr>
      </w:pPr>
      <w:r w:rsidRPr="00A673CE">
        <w:rPr>
          <w:lang w:val="en-US"/>
        </w:rPr>
        <w:t xml:space="preserve">The generalized vulnerability models developed in this study offer a </w:t>
      </w:r>
      <w:r w:rsidR="00C34CC9" w:rsidRPr="00A673CE">
        <w:rPr>
          <w:lang w:val="en-US"/>
        </w:rPr>
        <w:t>new</w:t>
      </w:r>
      <w:r w:rsidR="005F3F20">
        <w:rPr>
          <w:lang w:val="en-US"/>
        </w:rPr>
        <w:t xml:space="preserve"> and straightforward</w:t>
      </w:r>
      <w:r w:rsidR="00C34CC9" w:rsidRPr="00A673CE">
        <w:rPr>
          <w:lang w:val="en-US"/>
        </w:rPr>
        <w:t xml:space="preserve"> approach</w:t>
      </w:r>
      <w:r w:rsidRPr="00A673CE">
        <w:rPr>
          <w:lang w:val="en-US"/>
        </w:rPr>
        <w:t xml:space="preserve"> for assessing the vulnerability of self-anchored fixed-roof atmospheric storage tanks designed according to the API-650 </w:t>
      </w:r>
      <w:r w:rsidR="005F3F20">
        <w:rPr>
          <w:lang w:val="en-US"/>
        </w:rPr>
        <w:t>S</w:t>
      </w:r>
      <w:r w:rsidRPr="00A673CE">
        <w:rPr>
          <w:lang w:val="en-US"/>
        </w:rPr>
        <w:t xml:space="preserve">tandard under intense wind </w:t>
      </w:r>
      <w:r w:rsidR="00CB02BC">
        <w:rPr>
          <w:lang w:val="en-US"/>
        </w:rPr>
        <w:t>solicitations</w:t>
      </w:r>
      <w:r w:rsidRPr="00A673CE">
        <w:rPr>
          <w:lang w:val="en-US"/>
        </w:rPr>
        <w:t xml:space="preserve">. </w:t>
      </w:r>
      <w:r w:rsidR="002764DD">
        <w:rPr>
          <w:lang w:val="en-US"/>
        </w:rPr>
        <w:t xml:space="preserve">It is </w:t>
      </w:r>
      <w:r w:rsidR="00C2109B">
        <w:rPr>
          <w:lang w:val="en-US"/>
        </w:rPr>
        <w:t>worth mentioning</w:t>
      </w:r>
      <w:r w:rsidR="002764DD">
        <w:rPr>
          <w:lang w:val="en-US"/>
        </w:rPr>
        <w:t xml:space="preserve"> that h</w:t>
      </w:r>
      <w:r w:rsidR="002764DD" w:rsidRPr="0021310C">
        <w:rPr>
          <w:lang w:val="en-US"/>
        </w:rPr>
        <w:t xml:space="preserve">istorical accident data reinforce the relevance of our model. For instance, Hurricanes Katrina and Rita caused severe damage to atmospheric storage tanks, leading to large-scale hazardous substance releases (Cruz and Krausmann, 2013). While these cases do not provide direct vulnerability functions, they highlight the need for robust predictive models. </w:t>
      </w:r>
    </w:p>
    <w:p w14:paraId="76B157C7" w14:textId="77777777" w:rsidR="00103E3D" w:rsidRDefault="00FD1A49" w:rsidP="00C27801">
      <w:pPr>
        <w:pStyle w:val="Paragrafoelenco"/>
        <w:ind w:left="0"/>
        <w:rPr>
          <w:lang w:val="en-US"/>
        </w:rPr>
      </w:pPr>
      <w:r w:rsidRPr="00A673CE">
        <w:rPr>
          <w:lang w:val="en-US"/>
        </w:rPr>
        <w:t xml:space="preserve">The models </w:t>
      </w:r>
      <w:r w:rsidR="00C34CC9" w:rsidRPr="00A673CE">
        <w:rPr>
          <w:lang w:val="en-US"/>
        </w:rPr>
        <w:t>address</w:t>
      </w:r>
      <w:r w:rsidRPr="00A673CE">
        <w:rPr>
          <w:lang w:val="en-US"/>
        </w:rPr>
        <w:t xml:space="preserve"> the damage mechanisms of overturning and sliding</w:t>
      </w:r>
      <w:r w:rsidR="00CB02BC">
        <w:rPr>
          <w:lang w:val="en-US"/>
        </w:rPr>
        <w:t xml:space="preserve"> and a</w:t>
      </w:r>
      <w:r w:rsidRPr="00A673CE">
        <w:rPr>
          <w:lang w:val="en-US"/>
        </w:rPr>
        <w:t>ssum</w:t>
      </w:r>
      <w:r w:rsidR="00CB02BC">
        <w:rPr>
          <w:lang w:val="en-US"/>
        </w:rPr>
        <w:t xml:space="preserve">e </w:t>
      </w:r>
      <w:r w:rsidRPr="00A673CE">
        <w:rPr>
          <w:lang w:val="en-US"/>
        </w:rPr>
        <w:t xml:space="preserve">catastrophic failure in the event of damage. </w:t>
      </w:r>
      <w:r w:rsidR="00CB02BC">
        <w:rPr>
          <w:lang w:val="en-US"/>
        </w:rPr>
        <w:t>The</w:t>
      </w:r>
      <w:r w:rsidRPr="00A673CE">
        <w:rPr>
          <w:lang w:val="en-US"/>
        </w:rPr>
        <w:t xml:space="preserve"> introduction of three </w:t>
      </w:r>
      <w:r w:rsidR="00C34CC9" w:rsidRPr="00A673CE">
        <w:rPr>
          <w:lang w:val="en-US"/>
        </w:rPr>
        <w:t>r</w:t>
      </w:r>
      <w:r w:rsidRPr="00A673CE">
        <w:rPr>
          <w:lang w:val="en-US"/>
        </w:rPr>
        <w:t xml:space="preserve">elease </w:t>
      </w:r>
      <w:r w:rsidR="00C34CC9" w:rsidRPr="00A673CE">
        <w:rPr>
          <w:lang w:val="en-US"/>
        </w:rPr>
        <w:t>c</w:t>
      </w:r>
      <w:r w:rsidRPr="00A673CE">
        <w:rPr>
          <w:lang w:val="en-US"/>
        </w:rPr>
        <w:t xml:space="preserve">lasses, which </w:t>
      </w:r>
      <w:r w:rsidR="00CB02BC">
        <w:rPr>
          <w:lang w:val="en-US"/>
        </w:rPr>
        <w:t>enable</w:t>
      </w:r>
      <w:r w:rsidRPr="00A673CE">
        <w:rPr>
          <w:lang w:val="en-US"/>
        </w:rPr>
        <w:t xml:space="preserve"> the evaluation of the probability of </w:t>
      </w:r>
      <w:r w:rsidR="00C34CC9" w:rsidRPr="00A673CE">
        <w:rPr>
          <w:lang w:val="en-US"/>
        </w:rPr>
        <w:t>loss of inventory</w:t>
      </w:r>
      <w:r w:rsidRPr="00A673CE">
        <w:rPr>
          <w:lang w:val="en-US"/>
        </w:rPr>
        <w:t xml:space="preserve"> </w:t>
      </w:r>
      <w:r w:rsidR="00C34CC9" w:rsidRPr="00A673CE">
        <w:rPr>
          <w:lang w:val="en-US"/>
        </w:rPr>
        <w:t>associated with</w:t>
      </w:r>
      <w:r w:rsidRPr="00A673CE">
        <w:rPr>
          <w:lang w:val="en-US"/>
        </w:rPr>
        <w:t xml:space="preserve"> </w:t>
      </w:r>
      <w:r w:rsidR="00CB02BC">
        <w:rPr>
          <w:lang w:val="en-US"/>
        </w:rPr>
        <w:t>releases of different entities accounting for the average filling level of the tanks</w:t>
      </w:r>
      <w:r w:rsidR="0069035E">
        <w:rPr>
          <w:lang w:val="en-US"/>
        </w:rPr>
        <w:t>,</w:t>
      </w:r>
      <w:r w:rsidR="00CB02BC">
        <w:rPr>
          <w:lang w:val="en-US"/>
        </w:rPr>
        <w:t xml:space="preserve"> is a </w:t>
      </w:r>
      <w:r w:rsidR="0069035E">
        <w:rPr>
          <w:lang w:val="en-US"/>
        </w:rPr>
        <w:t>significant</w:t>
      </w:r>
      <w:r w:rsidR="00CB02BC">
        <w:rPr>
          <w:lang w:val="en-US"/>
        </w:rPr>
        <w:t xml:space="preserve"> aspect of this study. </w:t>
      </w:r>
      <w:r w:rsidR="0021310C">
        <w:rPr>
          <w:lang w:val="en-US"/>
        </w:rPr>
        <w:t>O</w:t>
      </w:r>
      <w:r w:rsidR="0021310C" w:rsidRPr="0021310C">
        <w:rPr>
          <w:lang w:val="en-US"/>
        </w:rPr>
        <w:t xml:space="preserve">ne limitation is the potential influence of local air turbulence and recirculation flows caused by adjacent tanks. While our model provides a generalized vulnerability assessment, these local flow phenomena could affect the wind loads experienced by each tank, potentially increasing instability. </w:t>
      </w:r>
    </w:p>
    <w:p w14:paraId="501314DB" w14:textId="004874B1" w:rsidR="00FD1A49" w:rsidRDefault="00FD1A49" w:rsidP="00C27801">
      <w:pPr>
        <w:pStyle w:val="Paragrafoelenco"/>
        <w:ind w:left="0"/>
        <w:rPr>
          <w:lang w:val="en-US"/>
        </w:rPr>
      </w:pPr>
      <w:r w:rsidRPr="00A673CE">
        <w:rPr>
          <w:lang w:val="en-US"/>
        </w:rPr>
        <w:t xml:space="preserve">The methodology and models introduced </w:t>
      </w:r>
      <w:r w:rsidR="00C34CC9" w:rsidRPr="00A673CE">
        <w:rPr>
          <w:lang w:val="en-US"/>
        </w:rPr>
        <w:t>want to be a</w:t>
      </w:r>
      <w:r w:rsidRPr="00A673CE">
        <w:rPr>
          <w:lang w:val="en-US"/>
        </w:rPr>
        <w:t xml:space="preserve"> step forward in incorporating natural hazard scenarios</w:t>
      </w:r>
      <w:r w:rsidR="00C34CC9" w:rsidRPr="00A673CE">
        <w:rPr>
          <w:lang w:val="en-US"/>
        </w:rPr>
        <w:t xml:space="preserve"> associated with intense wind phenomena </w:t>
      </w:r>
      <w:r w:rsidRPr="00A673CE">
        <w:rPr>
          <w:lang w:val="en-US"/>
        </w:rPr>
        <w:t>into</w:t>
      </w:r>
      <w:r w:rsidR="00C34CC9" w:rsidRPr="00A673CE">
        <w:rPr>
          <w:lang w:val="en-US"/>
        </w:rPr>
        <w:t xml:space="preserve"> Natech quantitative</w:t>
      </w:r>
      <w:r w:rsidRPr="00A673CE">
        <w:rPr>
          <w:lang w:val="en-US"/>
        </w:rPr>
        <w:t xml:space="preserve"> risk assessments. Additionally, the approach could be </w:t>
      </w:r>
      <w:r w:rsidR="0069035E">
        <w:rPr>
          <w:lang w:val="en-US"/>
        </w:rPr>
        <w:t xml:space="preserve">employed </w:t>
      </w:r>
      <w:r w:rsidRPr="00A673CE">
        <w:rPr>
          <w:lang w:val="en-US"/>
        </w:rPr>
        <w:t xml:space="preserve">to evaluate the vulnerability of </w:t>
      </w:r>
      <w:r w:rsidR="002864E3" w:rsidRPr="00A673CE">
        <w:rPr>
          <w:lang w:val="en-US"/>
        </w:rPr>
        <w:t>other equipment types</w:t>
      </w:r>
      <w:r w:rsidRPr="00A673CE">
        <w:rPr>
          <w:lang w:val="en-US"/>
        </w:rPr>
        <w:t xml:space="preserve">. </w:t>
      </w:r>
      <w:r w:rsidR="002864E3" w:rsidRPr="00A673CE">
        <w:rPr>
          <w:lang w:val="en-US"/>
        </w:rPr>
        <w:t>Overall, this</w:t>
      </w:r>
      <w:r w:rsidRPr="00A673CE">
        <w:rPr>
          <w:lang w:val="en-US"/>
        </w:rPr>
        <w:t xml:space="preserve"> research </w:t>
      </w:r>
      <w:r w:rsidR="002864E3" w:rsidRPr="00A673CE">
        <w:rPr>
          <w:lang w:val="en-US"/>
        </w:rPr>
        <w:t xml:space="preserve">aims </w:t>
      </w:r>
      <w:r w:rsidRPr="00A673CE">
        <w:rPr>
          <w:lang w:val="en-US"/>
        </w:rPr>
        <w:t xml:space="preserve">to enhance the resilience of critical infrastructure, enabling better preparedness </w:t>
      </w:r>
      <w:r w:rsidR="00777A22" w:rsidRPr="00A673CE">
        <w:rPr>
          <w:lang w:val="en-US"/>
        </w:rPr>
        <w:t xml:space="preserve">for Natech accidents triggered </w:t>
      </w:r>
      <w:r w:rsidR="00A673CE" w:rsidRPr="00A673CE">
        <w:rPr>
          <w:lang w:val="en-US"/>
        </w:rPr>
        <w:t xml:space="preserve">in particular by extra-tropical and tropical storms. </w:t>
      </w:r>
    </w:p>
    <w:p w14:paraId="74F9628E" w14:textId="71B6074E" w:rsidR="009A1E9D" w:rsidRPr="00B57B36" w:rsidRDefault="00600535" w:rsidP="009A1E9D">
      <w:pPr>
        <w:pStyle w:val="CETReference"/>
      </w:pPr>
      <w:r w:rsidRPr="00B57B36">
        <w:t>References</w:t>
      </w:r>
    </w:p>
    <w:p w14:paraId="6E0D7884" w14:textId="1BB657E3" w:rsidR="00485BC6" w:rsidRPr="00E66C6B" w:rsidRDefault="00485BC6" w:rsidP="00B37E98">
      <w:pPr>
        <w:pStyle w:val="CETReferencetext"/>
      </w:pPr>
      <w:r w:rsidRPr="00E66C6B">
        <w:t>American Petroleum Institute, 2020, API 650: Welded Steel Tanks for Oil Storage.</w:t>
      </w:r>
    </w:p>
    <w:p w14:paraId="49134816" w14:textId="7D8096C5" w:rsidR="00485BC6" w:rsidRPr="00E66C6B" w:rsidRDefault="00485BC6" w:rsidP="00B37E98">
      <w:pPr>
        <w:pStyle w:val="CETReferencetext"/>
      </w:pPr>
      <w:r w:rsidRPr="00E66C6B">
        <w:t>Bernier C., Padgett J.E., 2019, Fragility and risk assessment of aboveground storage tanks subjected to concurrent surge, wave, and wind loads, Reliability Engineering &amp; System Safety, 191, 106571.</w:t>
      </w:r>
    </w:p>
    <w:p w14:paraId="2A3571A8" w14:textId="779F5CB4" w:rsidR="00485BC6" w:rsidRPr="00E66C6B" w:rsidRDefault="00485BC6" w:rsidP="00B37E98">
      <w:pPr>
        <w:pStyle w:val="CETReferencetext"/>
      </w:pPr>
      <w:r w:rsidRPr="00E66C6B">
        <w:t>Cruz A.M., Krausmann E., 2013, Vulnerability of the oil and gas sector to climate change and extreme weather events, Climatic Change, 121(1), 41–53.</w:t>
      </w:r>
    </w:p>
    <w:p w14:paraId="0073CFA9" w14:textId="16147275" w:rsidR="00485BC6" w:rsidRPr="00E66C6B" w:rsidRDefault="00485BC6" w:rsidP="00B37E98">
      <w:pPr>
        <w:pStyle w:val="CETReferencetext"/>
      </w:pPr>
      <w:r w:rsidRPr="00E66C6B">
        <w:t>EC Joint Research Centre, 2018, Understanding Natech risk due to storms: Analysis, lessons learned and recommendations, Publications Office.</w:t>
      </w:r>
    </w:p>
    <w:p w14:paraId="65D45204" w14:textId="39B93127" w:rsidR="00485BC6" w:rsidRPr="00E66C6B" w:rsidRDefault="00485BC6" w:rsidP="00B37E98">
      <w:pPr>
        <w:pStyle w:val="CETReferencetext"/>
      </w:pPr>
      <w:r w:rsidRPr="00E66C6B">
        <w:t>Jung C., Lackmann G.M., 2023, Changes in tropical cyclones undergoing extra</w:t>
      </w:r>
      <w:r w:rsidR="007B41AF" w:rsidRPr="00E66C6B">
        <w:t>-</w:t>
      </w:r>
      <w:r w:rsidRPr="00E66C6B">
        <w:t>tropical transition in a warming climate: Quasi-idealized numerical experiments of North Atlantic landfalling events, Geophysical Research Letters, 50(8), e2022GL101963.</w:t>
      </w:r>
    </w:p>
    <w:p w14:paraId="1FEE9B5B" w14:textId="2C63C7D4" w:rsidR="005B6B27" w:rsidRPr="00E66C6B" w:rsidRDefault="005B6B27" w:rsidP="00B37E98">
      <w:pPr>
        <w:pStyle w:val="CETReferencetext"/>
      </w:pPr>
      <w:r w:rsidRPr="00E66C6B">
        <w:t xml:space="preserve">Kabošová, L., Kmeť, S., &amp; Katunský, D. (2020). Wind flow around buildings of basic shapes with and without a wind-adaptive envelope. </w:t>
      </w:r>
      <w:r w:rsidRPr="00E66C6B">
        <w:rPr>
          <w:rStyle w:val="Enfasicorsivo"/>
        </w:rPr>
        <w:t>Selected Scientific Papers - Journal of Civil Engineering, 15</w:t>
      </w:r>
      <w:r w:rsidRPr="00E66C6B">
        <w:t>(1), 59–75.</w:t>
      </w:r>
    </w:p>
    <w:p w14:paraId="511FEE59" w14:textId="0B379E9C" w:rsidR="00485BC6" w:rsidRPr="00E66C6B" w:rsidRDefault="00485BC6" w:rsidP="00B37E98">
      <w:pPr>
        <w:pStyle w:val="CETReferencetext"/>
      </w:pPr>
      <w:r w:rsidRPr="00E66C6B">
        <w:t>Mesa-Gómez A., Casal J., Sánchez-Silva M., Muñoz F., 2020, Advances and gaps in Natech quantitative risk analysis, Processes, 9(1), 40.</w:t>
      </w:r>
    </w:p>
    <w:p w14:paraId="4048B20E" w14:textId="22AFA7FE" w:rsidR="000623AE" w:rsidRPr="00E66C6B" w:rsidRDefault="00DD1921" w:rsidP="00B37E98">
      <w:pPr>
        <w:pStyle w:val="CETReferencetext"/>
      </w:pPr>
      <w:r w:rsidRPr="00E66C6B">
        <w:t xml:space="preserve">Munich Re. (2011). </w:t>
      </w:r>
      <w:r w:rsidRPr="00E66C6B">
        <w:rPr>
          <w:rStyle w:val="Enfasicorsivo"/>
        </w:rPr>
        <w:t>NATHAN World Map of Natural Hazards</w:t>
      </w:r>
      <w:r w:rsidRPr="00E66C6B">
        <w:t xml:space="preserve">. </w:t>
      </w:r>
      <w:r w:rsidR="000623AE" w:rsidRPr="00E66C6B">
        <w:t>&lt;</w:t>
      </w:r>
      <w:r w:rsidRPr="00E66C6B">
        <w:t>catalogue.unccd.int/Map_NATHAN%20-%20World%20map%20of%20natural%20hazards.pdf</w:t>
      </w:r>
      <w:r w:rsidR="000623AE" w:rsidRPr="00E66C6B">
        <w:t>&gt; accessed 9.9.2024.</w:t>
      </w:r>
    </w:p>
    <w:p w14:paraId="2DB83512" w14:textId="1560DE9C" w:rsidR="00485BC6" w:rsidRPr="00E66C6B" w:rsidRDefault="00485BC6" w:rsidP="00B37E98">
      <w:pPr>
        <w:pStyle w:val="CETReferencetext"/>
      </w:pPr>
      <w:r w:rsidRPr="00E66C6B">
        <w:t>Pilone E., Casson Moreno V., Cozzani V., Demichela M., 2021, Climate change and NaTech events: A step towards local-scale awareness and preparedness, Safety Science, 139, 105264.</w:t>
      </w:r>
    </w:p>
    <w:p w14:paraId="7A2DE536" w14:textId="4622C6B2" w:rsidR="009A1E9D" w:rsidRPr="00E66C6B" w:rsidRDefault="00485BC6" w:rsidP="00B37E98">
      <w:pPr>
        <w:pStyle w:val="CETReferencetext"/>
      </w:pPr>
      <w:r w:rsidRPr="00E66C6B">
        <w:t>Ricci F., Casson Moreno V., Cozzani V., 2021, A comprehensive analysis of the occurrence of Natech events in the process industry, Process Safety and Environmental Protection, 147, 703–713.</w:t>
      </w:r>
    </w:p>
    <w:p w14:paraId="6FAA4342" w14:textId="5E6C6355" w:rsidR="00C52C3C" w:rsidRPr="00E66C6B" w:rsidRDefault="003740D0" w:rsidP="003740D0">
      <w:pPr>
        <w:pStyle w:val="CETReferencetext"/>
      </w:pPr>
      <w:r w:rsidRPr="00E66C6B">
        <w:t>Salzano E., Iervolino I., Fabbrocino G., 2003, Seismic risk of atmospheric storage tanks in the framework of quantitative risk analysis, Journal of Loss Prevention in the Process Industries, 16, 403-409</w:t>
      </w:r>
      <w:r w:rsidR="00AA0367" w:rsidRPr="00E66C6B">
        <w:t>.</w:t>
      </w:r>
    </w:p>
    <w:sectPr w:rsidR="00C52C3C" w:rsidRPr="00E66C6B"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817CD" w14:textId="77777777" w:rsidR="00DD0154" w:rsidRDefault="00DD0154" w:rsidP="004F5E36">
      <w:r>
        <w:separator/>
      </w:r>
    </w:p>
  </w:endnote>
  <w:endnote w:type="continuationSeparator" w:id="0">
    <w:p w14:paraId="4E815489" w14:textId="77777777" w:rsidR="00DD0154" w:rsidRDefault="00DD015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l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E67B5" w14:textId="77777777" w:rsidR="00DD0154" w:rsidRDefault="00DD0154" w:rsidP="004F5E36">
      <w:r>
        <w:separator/>
      </w:r>
    </w:p>
  </w:footnote>
  <w:footnote w:type="continuationSeparator" w:id="0">
    <w:p w14:paraId="76CE26F2" w14:textId="77777777" w:rsidR="00DD0154" w:rsidRDefault="00DD015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90BC254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F13E58"/>
    <w:multiLevelType w:val="hybridMultilevel"/>
    <w:tmpl w:val="DD883FF8"/>
    <w:lvl w:ilvl="0" w:tplc="6A6647B6">
      <w:start w:val="1"/>
      <w:numFmt w:val="bullet"/>
      <w:lvlText w:val="•"/>
      <w:lvlJc w:val="left"/>
      <w:pPr>
        <w:tabs>
          <w:tab w:val="num" w:pos="720"/>
        </w:tabs>
        <w:ind w:left="720" w:hanging="360"/>
      </w:pPr>
      <w:rPr>
        <w:rFonts w:ascii="+mn-lt" w:hAnsi="+mn-lt" w:hint="default"/>
      </w:rPr>
    </w:lvl>
    <w:lvl w:ilvl="1" w:tplc="927C2814" w:tentative="1">
      <w:start w:val="1"/>
      <w:numFmt w:val="bullet"/>
      <w:lvlText w:val="•"/>
      <w:lvlJc w:val="left"/>
      <w:pPr>
        <w:tabs>
          <w:tab w:val="num" w:pos="1440"/>
        </w:tabs>
        <w:ind w:left="1440" w:hanging="360"/>
      </w:pPr>
      <w:rPr>
        <w:rFonts w:ascii="+mn-lt" w:hAnsi="+mn-lt" w:hint="default"/>
      </w:rPr>
    </w:lvl>
    <w:lvl w:ilvl="2" w:tplc="D130A90C" w:tentative="1">
      <w:start w:val="1"/>
      <w:numFmt w:val="bullet"/>
      <w:lvlText w:val="•"/>
      <w:lvlJc w:val="left"/>
      <w:pPr>
        <w:tabs>
          <w:tab w:val="num" w:pos="2160"/>
        </w:tabs>
        <w:ind w:left="2160" w:hanging="360"/>
      </w:pPr>
      <w:rPr>
        <w:rFonts w:ascii="+mn-lt" w:hAnsi="+mn-lt" w:hint="default"/>
      </w:rPr>
    </w:lvl>
    <w:lvl w:ilvl="3" w:tplc="CFEADD96" w:tentative="1">
      <w:start w:val="1"/>
      <w:numFmt w:val="bullet"/>
      <w:lvlText w:val="•"/>
      <w:lvlJc w:val="left"/>
      <w:pPr>
        <w:tabs>
          <w:tab w:val="num" w:pos="2880"/>
        </w:tabs>
        <w:ind w:left="2880" w:hanging="360"/>
      </w:pPr>
      <w:rPr>
        <w:rFonts w:ascii="+mn-lt" w:hAnsi="+mn-lt" w:hint="default"/>
      </w:rPr>
    </w:lvl>
    <w:lvl w:ilvl="4" w:tplc="4B80CD8E" w:tentative="1">
      <w:start w:val="1"/>
      <w:numFmt w:val="bullet"/>
      <w:lvlText w:val="•"/>
      <w:lvlJc w:val="left"/>
      <w:pPr>
        <w:tabs>
          <w:tab w:val="num" w:pos="3600"/>
        </w:tabs>
        <w:ind w:left="3600" w:hanging="360"/>
      </w:pPr>
      <w:rPr>
        <w:rFonts w:ascii="+mn-lt" w:hAnsi="+mn-lt" w:hint="default"/>
      </w:rPr>
    </w:lvl>
    <w:lvl w:ilvl="5" w:tplc="5D0E7568" w:tentative="1">
      <w:start w:val="1"/>
      <w:numFmt w:val="bullet"/>
      <w:lvlText w:val="•"/>
      <w:lvlJc w:val="left"/>
      <w:pPr>
        <w:tabs>
          <w:tab w:val="num" w:pos="4320"/>
        </w:tabs>
        <w:ind w:left="4320" w:hanging="360"/>
      </w:pPr>
      <w:rPr>
        <w:rFonts w:ascii="+mn-lt" w:hAnsi="+mn-lt" w:hint="default"/>
      </w:rPr>
    </w:lvl>
    <w:lvl w:ilvl="6" w:tplc="93C8CAD4" w:tentative="1">
      <w:start w:val="1"/>
      <w:numFmt w:val="bullet"/>
      <w:lvlText w:val="•"/>
      <w:lvlJc w:val="left"/>
      <w:pPr>
        <w:tabs>
          <w:tab w:val="num" w:pos="5040"/>
        </w:tabs>
        <w:ind w:left="5040" w:hanging="360"/>
      </w:pPr>
      <w:rPr>
        <w:rFonts w:ascii="+mn-lt" w:hAnsi="+mn-lt" w:hint="default"/>
      </w:rPr>
    </w:lvl>
    <w:lvl w:ilvl="7" w:tplc="A11E9D2A" w:tentative="1">
      <w:start w:val="1"/>
      <w:numFmt w:val="bullet"/>
      <w:lvlText w:val="•"/>
      <w:lvlJc w:val="left"/>
      <w:pPr>
        <w:tabs>
          <w:tab w:val="num" w:pos="5760"/>
        </w:tabs>
        <w:ind w:left="5760" w:hanging="360"/>
      </w:pPr>
      <w:rPr>
        <w:rFonts w:ascii="+mn-lt" w:hAnsi="+mn-lt" w:hint="default"/>
      </w:rPr>
    </w:lvl>
    <w:lvl w:ilvl="8" w:tplc="C4F472F2" w:tentative="1">
      <w:start w:val="1"/>
      <w:numFmt w:val="bullet"/>
      <w:lvlText w:val="•"/>
      <w:lvlJc w:val="left"/>
      <w:pPr>
        <w:tabs>
          <w:tab w:val="num" w:pos="6480"/>
        </w:tabs>
        <w:ind w:left="6480" w:hanging="360"/>
      </w:pPr>
      <w:rPr>
        <w:rFonts w:ascii="+mn-lt" w:hAnsi="+mn-lt"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8300249">
    <w:abstractNumId w:val="11"/>
  </w:num>
  <w:num w:numId="2" w16cid:durableId="2081756656">
    <w:abstractNumId w:val="8"/>
  </w:num>
  <w:num w:numId="3" w16cid:durableId="1350108386">
    <w:abstractNumId w:val="3"/>
  </w:num>
  <w:num w:numId="4" w16cid:durableId="1620993514">
    <w:abstractNumId w:val="2"/>
  </w:num>
  <w:num w:numId="5" w16cid:durableId="1744329513">
    <w:abstractNumId w:val="1"/>
  </w:num>
  <w:num w:numId="6" w16cid:durableId="490760235">
    <w:abstractNumId w:val="0"/>
  </w:num>
  <w:num w:numId="7" w16cid:durableId="561716209">
    <w:abstractNumId w:val="9"/>
  </w:num>
  <w:num w:numId="8" w16cid:durableId="1325552331">
    <w:abstractNumId w:val="7"/>
  </w:num>
  <w:num w:numId="9" w16cid:durableId="1347486564">
    <w:abstractNumId w:val="6"/>
  </w:num>
  <w:num w:numId="10" w16cid:durableId="1547713509">
    <w:abstractNumId w:val="5"/>
  </w:num>
  <w:num w:numId="11" w16cid:durableId="1876111570">
    <w:abstractNumId w:val="4"/>
  </w:num>
  <w:num w:numId="12" w16cid:durableId="371077862">
    <w:abstractNumId w:val="19"/>
  </w:num>
  <w:num w:numId="13" w16cid:durableId="487096093">
    <w:abstractNumId w:val="13"/>
  </w:num>
  <w:num w:numId="14" w16cid:durableId="918712157">
    <w:abstractNumId w:val="20"/>
  </w:num>
  <w:num w:numId="15" w16cid:durableId="136731669">
    <w:abstractNumId w:val="22"/>
  </w:num>
  <w:num w:numId="16" w16cid:durableId="1262765876">
    <w:abstractNumId w:val="21"/>
  </w:num>
  <w:num w:numId="17" w16cid:durableId="121580992">
    <w:abstractNumId w:val="12"/>
  </w:num>
  <w:num w:numId="18" w16cid:durableId="361174298">
    <w:abstractNumId w:val="13"/>
    <w:lvlOverride w:ilvl="0">
      <w:startOverride w:val="1"/>
    </w:lvlOverride>
  </w:num>
  <w:num w:numId="19" w16cid:durableId="809905987">
    <w:abstractNumId w:val="18"/>
  </w:num>
  <w:num w:numId="20" w16cid:durableId="133526478">
    <w:abstractNumId w:val="17"/>
  </w:num>
  <w:num w:numId="21" w16cid:durableId="1044136411">
    <w:abstractNumId w:val="16"/>
  </w:num>
  <w:num w:numId="22" w16cid:durableId="2081905417">
    <w:abstractNumId w:val="15"/>
  </w:num>
  <w:num w:numId="23" w16cid:durableId="822625642">
    <w:abstractNumId w:val="10"/>
  </w:num>
  <w:num w:numId="24" w16cid:durableId="200241967">
    <w:abstractNumId w:val="14"/>
  </w:num>
  <w:num w:numId="25" w16cid:durableId="1587155157">
    <w:abstractNumId w:val="11"/>
  </w:num>
  <w:num w:numId="26" w16cid:durableId="1825395465">
    <w:abstractNumId w:val="11"/>
  </w:num>
  <w:num w:numId="27" w16cid:durableId="896283431">
    <w:abstractNumId w:val="11"/>
  </w:num>
  <w:num w:numId="28" w16cid:durableId="1952006080">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MqsFALV2+cgtAAAA"/>
  </w:docVars>
  <w:rsids>
    <w:rsidRoot w:val="000E414A"/>
    <w:rsid w:val="0000016A"/>
    <w:rsid w:val="0000159D"/>
    <w:rsid w:val="000027C0"/>
    <w:rsid w:val="000052FB"/>
    <w:rsid w:val="0000596D"/>
    <w:rsid w:val="00005A19"/>
    <w:rsid w:val="000117CB"/>
    <w:rsid w:val="000206B6"/>
    <w:rsid w:val="0003148D"/>
    <w:rsid w:val="00031EEC"/>
    <w:rsid w:val="000377CD"/>
    <w:rsid w:val="00044280"/>
    <w:rsid w:val="00051566"/>
    <w:rsid w:val="00051A9D"/>
    <w:rsid w:val="000562A9"/>
    <w:rsid w:val="000623AE"/>
    <w:rsid w:val="00062A9A"/>
    <w:rsid w:val="00065058"/>
    <w:rsid w:val="000707EA"/>
    <w:rsid w:val="00086C39"/>
    <w:rsid w:val="000903C0"/>
    <w:rsid w:val="000A03B2"/>
    <w:rsid w:val="000A6652"/>
    <w:rsid w:val="000A66D2"/>
    <w:rsid w:val="000A6CEB"/>
    <w:rsid w:val="000B03CD"/>
    <w:rsid w:val="000B641B"/>
    <w:rsid w:val="000C4EC7"/>
    <w:rsid w:val="000C70A4"/>
    <w:rsid w:val="000C767C"/>
    <w:rsid w:val="000D0268"/>
    <w:rsid w:val="000D34BE"/>
    <w:rsid w:val="000D50AB"/>
    <w:rsid w:val="000E0B3C"/>
    <w:rsid w:val="000E102F"/>
    <w:rsid w:val="000E36F1"/>
    <w:rsid w:val="000E3A73"/>
    <w:rsid w:val="000E414A"/>
    <w:rsid w:val="000E75FD"/>
    <w:rsid w:val="000F093C"/>
    <w:rsid w:val="000F787B"/>
    <w:rsid w:val="00102B4A"/>
    <w:rsid w:val="00103E3D"/>
    <w:rsid w:val="001041F2"/>
    <w:rsid w:val="001075C7"/>
    <w:rsid w:val="00110FB2"/>
    <w:rsid w:val="0011207E"/>
    <w:rsid w:val="00117997"/>
    <w:rsid w:val="0012091F"/>
    <w:rsid w:val="00125B80"/>
    <w:rsid w:val="00126BC2"/>
    <w:rsid w:val="001275CD"/>
    <w:rsid w:val="00127D6E"/>
    <w:rsid w:val="001308B6"/>
    <w:rsid w:val="00130C2C"/>
    <w:rsid w:val="0013121F"/>
    <w:rsid w:val="00131FE6"/>
    <w:rsid w:val="0013263F"/>
    <w:rsid w:val="001331DF"/>
    <w:rsid w:val="00134DE4"/>
    <w:rsid w:val="0014034D"/>
    <w:rsid w:val="00140FE3"/>
    <w:rsid w:val="00144D16"/>
    <w:rsid w:val="00150E59"/>
    <w:rsid w:val="00152DE3"/>
    <w:rsid w:val="00164CF9"/>
    <w:rsid w:val="00166100"/>
    <w:rsid w:val="001667A6"/>
    <w:rsid w:val="0018171E"/>
    <w:rsid w:val="00184026"/>
    <w:rsid w:val="00184AD6"/>
    <w:rsid w:val="0018565E"/>
    <w:rsid w:val="0019343E"/>
    <w:rsid w:val="00194D4F"/>
    <w:rsid w:val="0019734C"/>
    <w:rsid w:val="001A4AF7"/>
    <w:rsid w:val="001B0349"/>
    <w:rsid w:val="001B1894"/>
    <w:rsid w:val="001B1E93"/>
    <w:rsid w:val="001B4926"/>
    <w:rsid w:val="001B65C1"/>
    <w:rsid w:val="001B7D90"/>
    <w:rsid w:val="001C039C"/>
    <w:rsid w:val="001C260F"/>
    <w:rsid w:val="001C4685"/>
    <w:rsid w:val="001C5A91"/>
    <w:rsid w:val="001C5C3A"/>
    <w:rsid w:val="001C684B"/>
    <w:rsid w:val="001D0CFB"/>
    <w:rsid w:val="001D21AF"/>
    <w:rsid w:val="001D53FC"/>
    <w:rsid w:val="001F2F54"/>
    <w:rsid w:val="001F42A5"/>
    <w:rsid w:val="001F7B9D"/>
    <w:rsid w:val="00201C93"/>
    <w:rsid w:val="0021310C"/>
    <w:rsid w:val="0021419A"/>
    <w:rsid w:val="002224B4"/>
    <w:rsid w:val="002224C0"/>
    <w:rsid w:val="00224465"/>
    <w:rsid w:val="002311A2"/>
    <w:rsid w:val="0023154C"/>
    <w:rsid w:val="002337A2"/>
    <w:rsid w:val="00236788"/>
    <w:rsid w:val="00236F2A"/>
    <w:rsid w:val="002447EF"/>
    <w:rsid w:val="0024552A"/>
    <w:rsid w:val="00245560"/>
    <w:rsid w:val="00251550"/>
    <w:rsid w:val="00253CB7"/>
    <w:rsid w:val="002611CA"/>
    <w:rsid w:val="00261566"/>
    <w:rsid w:val="002621E8"/>
    <w:rsid w:val="00263B05"/>
    <w:rsid w:val="0027221A"/>
    <w:rsid w:val="00275B61"/>
    <w:rsid w:val="002764DD"/>
    <w:rsid w:val="0027665F"/>
    <w:rsid w:val="00280FAF"/>
    <w:rsid w:val="00282656"/>
    <w:rsid w:val="00283E7C"/>
    <w:rsid w:val="0028612E"/>
    <w:rsid w:val="002862EA"/>
    <w:rsid w:val="002864E3"/>
    <w:rsid w:val="00292D31"/>
    <w:rsid w:val="00296B83"/>
    <w:rsid w:val="002A196A"/>
    <w:rsid w:val="002A2380"/>
    <w:rsid w:val="002B1625"/>
    <w:rsid w:val="002B4015"/>
    <w:rsid w:val="002B4946"/>
    <w:rsid w:val="002B5FAA"/>
    <w:rsid w:val="002B6FBF"/>
    <w:rsid w:val="002B775F"/>
    <w:rsid w:val="002B78CE"/>
    <w:rsid w:val="002C2FB6"/>
    <w:rsid w:val="002C5472"/>
    <w:rsid w:val="002C647C"/>
    <w:rsid w:val="002D365D"/>
    <w:rsid w:val="002D3E45"/>
    <w:rsid w:val="002E0D02"/>
    <w:rsid w:val="002E39AE"/>
    <w:rsid w:val="002E5FA7"/>
    <w:rsid w:val="002F3309"/>
    <w:rsid w:val="003008CE"/>
    <w:rsid w:val="003009B7"/>
    <w:rsid w:val="00300E56"/>
    <w:rsid w:val="0030152C"/>
    <w:rsid w:val="0030469C"/>
    <w:rsid w:val="0030500C"/>
    <w:rsid w:val="00321CA6"/>
    <w:rsid w:val="00323763"/>
    <w:rsid w:val="00323C5F"/>
    <w:rsid w:val="00330C1B"/>
    <w:rsid w:val="003342C4"/>
    <w:rsid w:val="00334C09"/>
    <w:rsid w:val="00340BD8"/>
    <w:rsid w:val="00342A4A"/>
    <w:rsid w:val="00345C45"/>
    <w:rsid w:val="00351779"/>
    <w:rsid w:val="003529C6"/>
    <w:rsid w:val="00354376"/>
    <w:rsid w:val="0036124E"/>
    <w:rsid w:val="00363024"/>
    <w:rsid w:val="00370616"/>
    <w:rsid w:val="003723D4"/>
    <w:rsid w:val="003740D0"/>
    <w:rsid w:val="00381905"/>
    <w:rsid w:val="00384CC8"/>
    <w:rsid w:val="00385A17"/>
    <w:rsid w:val="003871FD"/>
    <w:rsid w:val="003943DD"/>
    <w:rsid w:val="003977A7"/>
    <w:rsid w:val="003A1E30"/>
    <w:rsid w:val="003A2829"/>
    <w:rsid w:val="003A2EDF"/>
    <w:rsid w:val="003A6C6E"/>
    <w:rsid w:val="003A7D1C"/>
    <w:rsid w:val="003A7E48"/>
    <w:rsid w:val="003B1164"/>
    <w:rsid w:val="003B304B"/>
    <w:rsid w:val="003B3146"/>
    <w:rsid w:val="003B49CD"/>
    <w:rsid w:val="003B52F7"/>
    <w:rsid w:val="003D1E02"/>
    <w:rsid w:val="003D71B2"/>
    <w:rsid w:val="003F015E"/>
    <w:rsid w:val="00400414"/>
    <w:rsid w:val="004012AE"/>
    <w:rsid w:val="0040448F"/>
    <w:rsid w:val="00406113"/>
    <w:rsid w:val="004065AF"/>
    <w:rsid w:val="00413095"/>
    <w:rsid w:val="0041446B"/>
    <w:rsid w:val="004278D3"/>
    <w:rsid w:val="00430C34"/>
    <w:rsid w:val="004366C7"/>
    <w:rsid w:val="0044071E"/>
    <w:rsid w:val="0044300F"/>
    <w:rsid w:val="0044329C"/>
    <w:rsid w:val="00444493"/>
    <w:rsid w:val="00446B26"/>
    <w:rsid w:val="004477C5"/>
    <w:rsid w:val="00450878"/>
    <w:rsid w:val="00453140"/>
    <w:rsid w:val="00453E24"/>
    <w:rsid w:val="00457456"/>
    <w:rsid w:val="004577FE"/>
    <w:rsid w:val="00457B9C"/>
    <w:rsid w:val="0046164A"/>
    <w:rsid w:val="004628D2"/>
    <w:rsid w:val="00462DCD"/>
    <w:rsid w:val="00463E01"/>
    <w:rsid w:val="004648AD"/>
    <w:rsid w:val="004703A9"/>
    <w:rsid w:val="004735E0"/>
    <w:rsid w:val="004760DE"/>
    <w:rsid w:val="004763D7"/>
    <w:rsid w:val="00485BC6"/>
    <w:rsid w:val="00490230"/>
    <w:rsid w:val="004A004E"/>
    <w:rsid w:val="004A24CF"/>
    <w:rsid w:val="004A35A9"/>
    <w:rsid w:val="004B32A9"/>
    <w:rsid w:val="004B4233"/>
    <w:rsid w:val="004C1D44"/>
    <w:rsid w:val="004C3D1D"/>
    <w:rsid w:val="004C3D84"/>
    <w:rsid w:val="004C7913"/>
    <w:rsid w:val="004C7F07"/>
    <w:rsid w:val="004D37C2"/>
    <w:rsid w:val="004D489D"/>
    <w:rsid w:val="004E4DD6"/>
    <w:rsid w:val="004E718E"/>
    <w:rsid w:val="004F5E36"/>
    <w:rsid w:val="004F714B"/>
    <w:rsid w:val="00502598"/>
    <w:rsid w:val="0050394F"/>
    <w:rsid w:val="0050536D"/>
    <w:rsid w:val="00507B47"/>
    <w:rsid w:val="00507BEF"/>
    <w:rsid w:val="00507CC9"/>
    <w:rsid w:val="005119A5"/>
    <w:rsid w:val="005174AC"/>
    <w:rsid w:val="00526610"/>
    <w:rsid w:val="005274AE"/>
    <w:rsid w:val="005278B7"/>
    <w:rsid w:val="00532016"/>
    <w:rsid w:val="005345FB"/>
    <w:rsid w:val="005346C8"/>
    <w:rsid w:val="005424FC"/>
    <w:rsid w:val="00543E7D"/>
    <w:rsid w:val="00547A68"/>
    <w:rsid w:val="00547B2B"/>
    <w:rsid w:val="005531C9"/>
    <w:rsid w:val="00553527"/>
    <w:rsid w:val="00554879"/>
    <w:rsid w:val="00562D10"/>
    <w:rsid w:val="00562DEE"/>
    <w:rsid w:val="00570C43"/>
    <w:rsid w:val="005722FA"/>
    <w:rsid w:val="00574344"/>
    <w:rsid w:val="00576F6D"/>
    <w:rsid w:val="0058069C"/>
    <w:rsid w:val="00583174"/>
    <w:rsid w:val="005910C9"/>
    <w:rsid w:val="00592274"/>
    <w:rsid w:val="0059440D"/>
    <w:rsid w:val="005A5533"/>
    <w:rsid w:val="005B2110"/>
    <w:rsid w:val="005B31C3"/>
    <w:rsid w:val="005B350B"/>
    <w:rsid w:val="005B46FA"/>
    <w:rsid w:val="005B61E6"/>
    <w:rsid w:val="005B6B27"/>
    <w:rsid w:val="005C77E1"/>
    <w:rsid w:val="005D668A"/>
    <w:rsid w:val="005D6A2F"/>
    <w:rsid w:val="005D6FB5"/>
    <w:rsid w:val="005E0592"/>
    <w:rsid w:val="005E1A82"/>
    <w:rsid w:val="005E794C"/>
    <w:rsid w:val="005F0A28"/>
    <w:rsid w:val="005F0D38"/>
    <w:rsid w:val="005F0E5E"/>
    <w:rsid w:val="005F1CC0"/>
    <w:rsid w:val="005F3388"/>
    <w:rsid w:val="005F3F20"/>
    <w:rsid w:val="00600535"/>
    <w:rsid w:val="00603806"/>
    <w:rsid w:val="0060406D"/>
    <w:rsid w:val="00610CD6"/>
    <w:rsid w:val="006171EE"/>
    <w:rsid w:val="00620DEE"/>
    <w:rsid w:val="00621F92"/>
    <w:rsid w:val="0062280A"/>
    <w:rsid w:val="006231E1"/>
    <w:rsid w:val="00623FE6"/>
    <w:rsid w:val="006249BC"/>
    <w:rsid w:val="00625639"/>
    <w:rsid w:val="00631B33"/>
    <w:rsid w:val="0064184D"/>
    <w:rsid w:val="006422CC"/>
    <w:rsid w:val="00643238"/>
    <w:rsid w:val="00651D18"/>
    <w:rsid w:val="00656597"/>
    <w:rsid w:val="00660E3E"/>
    <w:rsid w:val="00662E74"/>
    <w:rsid w:val="00672B73"/>
    <w:rsid w:val="00680C23"/>
    <w:rsid w:val="00683E08"/>
    <w:rsid w:val="00683E23"/>
    <w:rsid w:val="00686130"/>
    <w:rsid w:val="0069035E"/>
    <w:rsid w:val="00693766"/>
    <w:rsid w:val="006963B7"/>
    <w:rsid w:val="006A3281"/>
    <w:rsid w:val="006A3AB4"/>
    <w:rsid w:val="006A557F"/>
    <w:rsid w:val="006A6DE5"/>
    <w:rsid w:val="006B34CA"/>
    <w:rsid w:val="006B4888"/>
    <w:rsid w:val="006C0314"/>
    <w:rsid w:val="006C2E45"/>
    <w:rsid w:val="006C359C"/>
    <w:rsid w:val="006C3D03"/>
    <w:rsid w:val="006C5579"/>
    <w:rsid w:val="006D2E81"/>
    <w:rsid w:val="006D6E8B"/>
    <w:rsid w:val="006D7209"/>
    <w:rsid w:val="006E330B"/>
    <w:rsid w:val="006E737D"/>
    <w:rsid w:val="007076EF"/>
    <w:rsid w:val="00707DD1"/>
    <w:rsid w:val="00713973"/>
    <w:rsid w:val="00720A24"/>
    <w:rsid w:val="00720C39"/>
    <w:rsid w:val="00727933"/>
    <w:rsid w:val="00732386"/>
    <w:rsid w:val="0073514D"/>
    <w:rsid w:val="0073786E"/>
    <w:rsid w:val="00742CF1"/>
    <w:rsid w:val="007447F3"/>
    <w:rsid w:val="00744AE6"/>
    <w:rsid w:val="00747050"/>
    <w:rsid w:val="0075305B"/>
    <w:rsid w:val="007548B8"/>
    <w:rsid w:val="0075499F"/>
    <w:rsid w:val="007568FF"/>
    <w:rsid w:val="00762B84"/>
    <w:rsid w:val="007661C8"/>
    <w:rsid w:val="007708B0"/>
    <w:rsid w:val="0077098D"/>
    <w:rsid w:val="007773CB"/>
    <w:rsid w:val="00777A22"/>
    <w:rsid w:val="00785BF9"/>
    <w:rsid w:val="007931FA"/>
    <w:rsid w:val="007A4861"/>
    <w:rsid w:val="007A7647"/>
    <w:rsid w:val="007A7BBA"/>
    <w:rsid w:val="007B0C50"/>
    <w:rsid w:val="007B41AF"/>
    <w:rsid w:val="007B48F9"/>
    <w:rsid w:val="007B4AA7"/>
    <w:rsid w:val="007C0F6F"/>
    <w:rsid w:val="007C1A43"/>
    <w:rsid w:val="007C21CE"/>
    <w:rsid w:val="007D0951"/>
    <w:rsid w:val="007D5848"/>
    <w:rsid w:val="007D610D"/>
    <w:rsid w:val="007E1E62"/>
    <w:rsid w:val="007F0D9E"/>
    <w:rsid w:val="0080013E"/>
    <w:rsid w:val="00801759"/>
    <w:rsid w:val="0081069F"/>
    <w:rsid w:val="00813288"/>
    <w:rsid w:val="008168D5"/>
    <w:rsid w:val="008168FC"/>
    <w:rsid w:val="00825E31"/>
    <w:rsid w:val="00830996"/>
    <w:rsid w:val="008345F1"/>
    <w:rsid w:val="00844F1F"/>
    <w:rsid w:val="00852045"/>
    <w:rsid w:val="00857AB6"/>
    <w:rsid w:val="00865B07"/>
    <w:rsid w:val="008667EA"/>
    <w:rsid w:val="00867D0E"/>
    <w:rsid w:val="0087637F"/>
    <w:rsid w:val="00876E17"/>
    <w:rsid w:val="00892AD5"/>
    <w:rsid w:val="008A1512"/>
    <w:rsid w:val="008A57A3"/>
    <w:rsid w:val="008B1855"/>
    <w:rsid w:val="008B68F9"/>
    <w:rsid w:val="008C4E79"/>
    <w:rsid w:val="008D32B9"/>
    <w:rsid w:val="008D42F1"/>
    <w:rsid w:val="008D433B"/>
    <w:rsid w:val="008D4A16"/>
    <w:rsid w:val="008E11DB"/>
    <w:rsid w:val="008E5401"/>
    <w:rsid w:val="008E566E"/>
    <w:rsid w:val="008F07F0"/>
    <w:rsid w:val="008F1573"/>
    <w:rsid w:val="008F3A68"/>
    <w:rsid w:val="0090161A"/>
    <w:rsid w:val="00901EB6"/>
    <w:rsid w:val="009041F8"/>
    <w:rsid w:val="00904C62"/>
    <w:rsid w:val="00905BFD"/>
    <w:rsid w:val="009063F9"/>
    <w:rsid w:val="00910415"/>
    <w:rsid w:val="009177B5"/>
    <w:rsid w:val="00922BA8"/>
    <w:rsid w:val="00924DAC"/>
    <w:rsid w:val="00927058"/>
    <w:rsid w:val="009322B4"/>
    <w:rsid w:val="00940CD2"/>
    <w:rsid w:val="00942750"/>
    <w:rsid w:val="009450CE"/>
    <w:rsid w:val="009459BB"/>
    <w:rsid w:val="009470D6"/>
    <w:rsid w:val="00947179"/>
    <w:rsid w:val="0095164B"/>
    <w:rsid w:val="00954090"/>
    <w:rsid w:val="00954C9F"/>
    <w:rsid w:val="009573E7"/>
    <w:rsid w:val="00957690"/>
    <w:rsid w:val="009623D8"/>
    <w:rsid w:val="00963E05"/>
    <w:rsid w:val="00964865"/>
    <w:rsid w:val="00964A45"/>
    <w:rsid w:val="00966AA9"/>
    <w:rsid w:val="00966DD5"/>
    <w:rsid w:val="00967843"/>
    <w:rsid w:val="00967D54"/>
    <w:rsid w:val="00971028"/>
    <w:rsid w:val="00980615"/>
    <w:rsid w:val="0099389B"/>
    <w:rsid w:val="00993B84"/>
    <w:rsid w:val="00994C6A"/>
    <w:rsid w:val="00995703"/>
    <w:rsid w:val="00996483"/>
    <w:rsid w:val="00996F5A"/>
    <w:rsid w:val="009A1E9D"/>
    <w:rsid w:val="009A404E"/>
    <w:rsid w:val="009B041A"/>
    <w:rsid w:val="009B1EAC"/>
    <w:rsid w:val="009C2EDD"/>
    <w:rsid w:val="009C37C3"/>
    <w:rsid w:val="009C3F01"/>
    <w:rsid w:val="009C60F7"/>
    <w:rsid w:val="009C7C86"/>
    <w:rsid w:val="009D2FF7"/>
    <w:rsid w:val="009D7B06"/>
    <w:rsid w:val="009D7B99"/>
    <w:rsid w:val="009E0B3A"/>
    <w:rsid w:val="009E255D"/>
    <w:rsid w:val="009E7884"/>
    <w:rsid w:val="009E788A"/>
    <w:rsid w:val="009E7A76"/>
    <w:rsid w:val="009E7BD8"/>
    <w:rsid w:val="009F0E08"/>
    <w:rsid w:val="009F44E6"/>
    <w:rsid w:val="00A079AE"/>
    <w:rsid w:val="00A1763D"/>
    <w:rsid w:val="00A17CEC"/>
    <w:rsid w:val="00A27EF0"/>
    <w:rsid w:val="00A3336E"/>
    <w:rsid w:val="00A34D09"/>
    <w:rsid w:val="00A351E3"/>
    <w:rsid w:val="00A42361"/>
    <w:rsid w:val="00A50B20"/>
    <w:rsid w:val="00A51390"/>
    <w:rsid w:val="00A60D13"/>
    <w:rsid w:val="00A65CB8"/>
    <w:rsid w:val="00A673CE"/>
    <w:rsid w:val="00A675DF"/>
    <w:rsid w:val="00A71B59"/>
    <w:rsid w:val="00A71E4D"/>
    <w:rsid w:val="00A721E9"/>
    <w:rsid w:val="00A7223D"/>
    <w:rsid w:val="00A72745"/>
    <w:rsid w:val="00A73AB5"/>
    <w:rsid w:val="00A76EFC"/>
    <w:rsid w:val="00A87D50"/>
    <w:rsid w:val="00A91010"/>
    <w:rsid w:val="00A97EC2"/>
    <w:rsid w:val="00A97F29"/>
    <w:rsid w:val="00AA0367"/>
    <w:rsid w:val="00AA702E"/>
    <w:rsid w:val="00AA7D26"/>
    <w:rsid w:val="00AB0964"/>
    <w:rsid w:val="00AB20C5"/>
    <w:rsid w:val="00AB3F7E"/>
    <w:rsid w:val="00AB48AD"/>
    <w:rsid w:val="00AB5011"/>
    <w:rsid w:val="00AC07AF"/>
    <w:rsid w:val="00AC17C0"/>
    <w:rsid w:val="00AC7368"/>
    <w:rsid w:val="00AD16B9"/>
    <w:rsid w:val="00AD7791"/>
    <w:rsid w:val="00AE1153"/>
    <w:rsid w:val="00AE377D"/>
    <w:rsid w:val="00AE4ED7"/>
    <w:rsid w:val="00AF0EBA"/>
    <w:rsid w:val="00AF2463"/>
    <w:rsid w:val="00AF26CD"/>
    <w:rsid w:val="00B02C8A"/>
    <w:rsid w:val="00B105DB"/>
    <w:rsid w:val="00B13229"/>
    <w:rsid w:val="00B14315"/>
    <w:rsid w:val="00B15A1B"/>
    <w:rsid w:val="00B16A35"/>
    <w:rsid w:val="00B17FBD"/>
    <w:rsid w:val="00B23C69"/>
    <w:rsid w:val="00B30C9D"/>
    <w:rsid w:val="00B315A6"/>
    <w:rsid w:val="00B31813"/>
    <w:rsid w:val="00B33365"/>
    <w:rsid w:val="00B37E98"/>
    <w:rsid w:val="00B57B36"/>
    <w:rsid w:val="00B57E6F"/>
    <w:rsid w:val="00B63E50"/>
    <w:rsid w:val="00B651BE"/>
    <w:rsid w:val="00B7174C"/>
    <w:rsid w:val="00B84195"/>
    <w:rsid w:val="00B8686D"/>
    <w:rsid w:val="00B93EA6"/>
    <w:rsid w:val="00B93F69"/>
    <w:rsid w:val="00B945E1"/>
    <w:rsid w:val="00B97382"/>
    <w:rsid w:val="00BA0D2B"/>
    <w:rsid w:val="00BA730D"/>
    <w:rsid w:val="00BB034A"/>
    <w:rsid w:val="00BB1DDC"/>
    <w:rsid w:val="00BC30C9"/>
    <w:rsid w:val="00BD0244"/>
    <w:rsid w:val="00BD077D"/>
    <w:rsid w:val="00BD36A2"/>
    <w:rsid w:val="00BE3E58"/>
    <w:rsid w:val="00BE57A9"/>
    <w:rsid w:val="00BE737C"/>
    <w:rsid w:val="00BF13CE"/>
    <w:rsid w:val="00BF68ED"/>
    <w:rsid w:val="00C01616"/>
    <w:rsid w:val="00C0162B"/>
    <w:rsid w:val="00C068ED"/>
    <w:rsid w:val="00C116E7"/>
    <w:rsid w:val="00C12AC5"/>
    <w:rsid w:val="00C2109B"/>
    <w:rsid w:val="00C22E0C"/>
    <w:rsid w:val="00C27801"/>
    <w:rsid w:val="00C345B1"/>
    <w:rsid w:val="00C34CC9"/>
    <w:rsid w:val="00C40142"/>
    <w:rsid w:val="00C474BA"/>
    <w:rsid w:val="00C52C3C"/>
    <w:rsid w:val="00C5393C"/>
    <w:rsid w:val="00C53A17"/>
    <w:rsid w:val="00C57182"/>
    <w:rsid w:val="00C57863"/>
    <w:rsid w:val="00C640AF"/>
    <w:rsid w:val="00C655FD"/>
    <w:rsid w:val="00C667B5"/>
    <w:rsid w:val="00C71B62"/>
    <w:rsid w:val="00C75407"/>
    <w:rsid w:val="00C841C6"/>
    <w:rsid w:val="00C856F7"/>
    <w:rsid w:val="00C870A8"/>
    <w:rsid w:val="00C94434"/>
    <w:rsid w:val="00C94573"/>
    <w:rsid w:val="00C96448"/>
    <w:rsid w:val="00CA0D75"/>
    <w:rsid w:val="00CA1A9B"/>
    <w:rsid w:val="00CA1C95"/>
    <w:rsid w:val="00CA303E"/>
    <w:rsid w:val="00CA5A9C"/>
    <w:rsid w:val="00CB02BC"/>
    <w:rsid w:val="00CC4C20"/>
    <w:rsid w:val="00CD3517"/>
    <w:rsid w:val="00CD5FE2"/>
    <w:rsid w:val="00CD61CF"/>
    <w:rsid w:val="00CE372B"/>
    <w:rsid w:val="00CE7C68"/>
    <w:rsid w:val="00CF37D1"/>
    <w:rsid w:val="00CF6415"/>
    <w:rsid w:val="00D02B4C"/>
    <w:rsid w:val="00D040C4"/>
    <w:rsid w:val="00D12883"/>
    <w:rsid w:val="00D16DD5"/>
    <w:rsid w:val="00D20AD1"/>
    <w:rsid w:val="00D24134"/>
    <w:rsid w:val="00D2582C"/>
    <w:rsid w:val="00D31675"/>
    <w:rsid w:val="00D3457E"/>
    <w:rsid w:val="00D36C66"/>
    <w:rsid w:val="00D37FA3"/>
    <w:rsid w:val="00D46B7E"/>
    <w:rsid w:val="00D5012C"/>
    <w:rsid w:val="00D57C84"/>
    <w:rsid w:val="00D6057D"/>
    <w:rsid w:val="00D71640"/>
    <w:rsid w:val="00D7734D"/>
    <w:rsid w:val="00D836C5"/>
    <w:rsid w:val="00D84576"/>
    <w:rsid w:val="00D948F2"/>
    <w:rsid w:val="00DA1399"/>
    <w:rsid w:val="00DA24C6"/>
    <w:rsid w:val="00DA4D7B"/>
    <w:rsid w:val="00DC054A"/>
    <w:rsid w:val="00DC2840"/>
    <w:rsid w:val="00DC3983"/>
    <w:rsid w:val="00DC474D"/>
    <w:rsid w:val="00DC5F66"/>
    <w:rsid w:val="00DC73EE"/>
    <w:rsid w:val="00DD0154"/>
    <w:rsid w:val="00DD1742"/>
    <w:rsid w:val="00DD1921"/>
    <w:rsid w:val="00DD271C"/>
    <w:rsid w:val="00DE264A"/>
    <w:rsid w:val="00DF356A"/>
    <w:rsid w:val="00DF3D22"/>
    <w:rsid w:val="00DF5072"/>
    <w:rsid w:val="00E02520"/>
    <w:rsid w:val="00E02D18"/>
    <w:rsid w:val="00E041E7"/>
    <w:rsid w:val="00E07416"/>
    <w:rsid w:val="00E07C85"/>
    <w:rsid w:val="00E17B25"/>
    <w:rsid w:val="00E23CA1"/>
    <w:rsid w:val="00E2636D"/>
    <w:rsid w:val="00E300DD"/>
    <w:rsid w:val="00E409A8"/>
    <w:rsid w:val="00E47967"/>
    <w:rsid w:val="00E50C12"/>
    <w:rsid w:val="00E50E2B"/>
    <w:rsid w:val="00E56FDB"/>
    <w:rsid w:val="00E57F00"/>
    <w:rsid w:val="00E6139E"/>
    <w:rsid w:val="00E65B91"/>
    <w:rsid w:val="00E66C6B"/>
    <w:rsid w:val="00E71F88"/>
    <w:rsid w:val="00E7209D"/>
    <w:rsid w:val="00E72EAD"/>
    <w:rsid w:val="00E76B5E"/>
    <w:rsid w:val="00E77223"/>
    <w:rsid w:val="00E8528B"/>
    <w:rsid w:val="00E85B94"/>
    <w:rsid w:val="00E95B98"/>
    <w:rsid w:val="00E96756"/>
    <w:rsid w:val="00E978D0"/>
    <w:rsid w:val="00EA4613"/>
    <w:rsid w:val="00EA7F91"/>
    <w:rsid w:val="00EB1523"/>
    <w:rsid w:val="00EB4D4A"/>
    <w:rsid w:val="00EB5A19"/>
    <w:rsid w:val="00EB5F16"/>
    <w:rsid w:val="00EC0E49"/>
    <w:rsid w:val="00EC101F"/>
    <w:rsid w:val="00EC1D9F"/>
    <w:rsid w:val="00EC6177"/>
    <w:rsid w:val="00EC6929"/>
    <w:rsid w:val="00ED0865"/>
    <w:rsid w:val="00ED5E52"/>
    <w:rsid w:val="00EE0131"/>
    <w:rsid w:val="00EE17B0"/>
    <w:rsid w:val="00EE306D"/>
    <w:rsid w:val="00EF06D9"/>
    <w:rsid w:val="00EF6F00"/>
    <w:rsid w:val="00F03EC8"/>
    <w:rsid w:val="00F147A1"/>
    <w:rsid w:val="00F15CCB"/>
    <w:rsid w:val="00F255D7"/>
    <w:rsid w:val="00F27EE4"/>
    <w:rsid w:val="00F3049E"/>
    <w:rsid w:val="00F30C64"/>
    <w:rsid w:val="00F32BA2"/>
    <w:rsid w:val="00F32CDB"/>
    <w:rsid w:val="00F34339"/>
    <w:rsid w:val="00F41EE4"/>
    <w:rsid w:val="00F455A1"/>
    <w:rsid w:val="00F465AC"/>
    <w:rsid w:val="00F565FE"/>
    <w:rsid w:val="00F5710B"/>
    <w:rsid w:val="00F63A70"/>
    <w:rsid w:val="00F63D8C"/>
    <w:rsid w:val="00F722F6"/>
    <w:rsid w:val="00F73627"/>
    <w:rsid w:val="00F7534E"/>
    <w:rsid w:val="00F93EDF"/>
    <w:rsid w:val="00F97711"/>
    <w:rsid w:val="00FA068E"/>
    <w:rsid w:val="00FA1802"/>
    <w:rsid w:val="00FA21D0"/>
    <w:rsid w:val="00FA48C2"/>
    <w:rsid w:val="00FA5F5F"/>
    <w:rsid w:val="00FB0417"/>
    <w:rsid w:val="00FB1F61"/>
    <w:rsid w:val="00FB693D"/>
    <w:rsid w:val="00FB730C"/>
    <w:rsid w:val="00FC15F0"/>
    <w:rsid w:val="00FC2695"/>
    <w:rsid w:val="00FC3E03"/>
    <w:rsid w:val="00FC3FC1"/>
    <w:rsid w:val="00FC740E"/>
    <w:rsid w:val="00FD1A49"/>
    <w:rsid w:val="00FD48FB"/>
    <w:rsid w:val="00FE1639"/>
    <w:rsid w:val="00FE4B13"/>
    <w:rsid w:val="00FE6593"/>
    <w:rsid w:val="00FE78D6"/>
    <w:rsid w:val="00FE7B65"/>
    <w:rsid w:val="00FF2BF1"/>
    <w:rsid w:val="00FF605F"/>
    <w:rsid w:val="00FF66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65CB8"/>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65CB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9A1E9D"/>
    <w:rPr>
      <w:color w:val="605E5C"/>
      <w:shd w:val="clear" w:color="auto" w:fill="E1DFDD"/>
    </w:rPr>
  </w:style>
  <w:style w:type="character" w:styleId="Testosegnaposto">
    <w:name w:val="Placeholder Text"/>
    <w:basedOn w:val="Carpredefinitoparagrafo"/>
    <w:uiPriority w:val="99"/>
    <w:semiHidden/>
    <w:rsid w:val="008F07F0"/>
    <w:rPr>
      <w:color w:val="666666"/>
    </w:rPr>
  </w:style>
  <w:style w:type="character" w:styleId="Enfasicorsivo">
    <w:name w:val="Emphasis"/>
    <w:basedOn w:val="Carpredefinitoparagrafo"/>
    <w:uiPriority w:val="20"/>
    <w:qFormat/>
    <w:rsid w:val="005B6B27"/>
    <w:rPr>
      <w:i/>
      <w:iCs/>
    </w:rPr>
  </w:style>
  <w:style w:type="paragraph" w:styleId="Revisione">
    <w:name w:val="Revision"/>
    <w:hidden/>
    <w:uiPriority w:val="99"/>
    <w:semiHidden/>
    <w:rsid w:val="0021310C"/>
    <w:pPr>
      <w:spacing w:after="0" w:line="240" w:lineRule="auto"/>
    </w:pPr>
    <w:rPr>
      <w:rFonts w:ascii="Arial" w:eastAsia="Times New Roman" w:hAnsi="Arial" w:cs="Times New Roman"/>
      <w:sz w:val="18"/>
      <w:szCs w:val="20"/>
      <w:lang w:val="en-GB"/>
    </w:rPr>
  </w:style>
  <w:style w:type="character" w:styleId="Enfasigrassetto">
    <w:name w:val="Strong"/>
    <w:basedOn w:val="Carpredefinitoparagrafo"/>
    <w:uiPriority w:val="22"/>
    <w:qFormat/>
    <w:rsid w:val="00EB5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9604">
      <w:bodyDiv w:val="1"/>
      <w:marLeft w:val="0"/>
      <w:marRight w:val="0"/>
      <w:marTop w:val="0"/>
      <w:marBottom w:val="0"/>
      <w:divBdr>
        <w:top w:val="none" w:sz="0" w:space="0" w:color="auto"/>
        <w:left w:val="none" w:sz="0" w:space="0" w:color="auto"/>
        <w:bottom w:val="none" w:sz="0" w:space="0" w:color="auto"/>
        <w:right w:val="none" w:sz="0" w:space="0" w:color="auto"/>
      </w:divBdr>
    </w:div>
    <w:div w:id="92289642">
      <w:bodyDiv w:val="1"/>
      <w:marLeft w:val="0"/>
      <w:marRight w:val="0"/>
      <w:marTop w:val="0"/>
      <w:marBottom w:val="0"/>
      <w:divBdr>
        <w:top w:val="none" w:sz="0" w:space="0" w:color="auto"/>
        <w:left w:val="none" w:sz="0" w:space="0" w:color="auto"/>
        <w:bottom w:val="none" w:sz="0" w:space="0" w:color="auto"/>
        <w:right w:val="none" w:sz="0" w:space="0" w:color="auto"/>
      </w:divBdr>
      <w:divsChild>
        <w:div w:id="1959749509">
          <w:marLeft w:val="547"/>
          <w:marRight w:val="0"/>
          <w:marTop w:val="0"/>
          <w:marBottom w:val="0"/>
          <w:divBdr>
            <w:top w:val="none" w:sz="0" w:space="0" w:color="auto"/>
            <w:left w:val="none" w:sz="0" w:space="0" w:color="auto"/>
            <w:bottom w:val="none" w:sz="0" w:space="0" w:color="auto"/>
            <w:right w:val="none" w:sz="0" w:space="0" w:color="auto"/>
          </w:divBdr>
        </w:div>
      </w:divsChild>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452019184">
      <w:bodyDiv w:val="1"/>
      <w:marLeft w:val="0"/>
      <w:marRight w:val="0"/>
      <w:marTop w:val="0"/>
      <w:marBottom w:val="0"/>
      <w:divBdr>
        <w:top w:val="none" w:sz="0" w:space="0" w:color="auto"/>
        <w:left w:val="none" w:sz="0" w:space="0" w:color="auto"/>
        <w:bottom w:val="none" w:sz="0" w:space="0" w:color="auto"/>
        <w:right w:val="none" w:sz="0" w:space="0" w:color="auto"/>
      </w:divBdr>
    </w:div>
    <w:div w:id="514924256">
      <w:bodyDiv w:val="1"/>
      <w:marLeft w:val="0"/>
      <w:marRight w:val="0"/>
      <w:marTop w:val="0"/>
      <w:marBottom w:val="0"/>
      <w:divBdr>
        <w:top w:val="none" w:sz="0" w:space="0" w:color="auto"/>
        <w:left w:val="none" w:sz="0" w:space="0" w:color="auto"/>
        <w:bottom w:val="none" w:sz="0" w:space="0" w:color="auto"/>
        <w:right w:val="none" w:sz="0" w:space="0" w:color="auto"/>
      </w:divBdr>
      <w:divsChild>
        <w:div w:id="1276672666">
          <w:marLeft w:val="547"/>
          <w:marRight w:val="0"/>
          <w:marTop w:val="0"/>
          <w:marBottom w:val="0"/>
          <w:divBdr>
            <w:top w:val="none" w:sz="0" w:space="0" w:color="auto"/>
            <w:left w:val="none" w:sz="0" w:space="0" w:color="auto"/>
            <w:bottom w:val="none" w:sz="0" w:space="0" w:color="auto"/>
            <w:right w:val="none" w:sz="0" w:space="0" w:color="auto"/>
          </w:divBdr>
        </w:div>
      </w:divsChild>
    </w:div>
    <w:div w:id="53026044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607973">
      <w:bodyDiv w:val="1"/>
      <w:marLeft w:val="0"/>
      <w:marRight w:val="0"/>
      <w:marTop w:val="0"/>
      <w:marBottom w:val="0"/>
      <w:divBdr>
        <w:top w:val="none" w:sz="0" w:space="0" w:color="auto"/>
        <w:left w:val="none" w:sz="0" w:space="0" w:color="auto"/>
        <w:bottom w:val="none" w:sz="0" w:space="0" w:color="auto"/>
        <w:right w:val="none" w:sz="0" w:space="0" w:color="auto"/>
      </w:divBdr>
      <w:divsChild>
        <w:div w:id="58482639">
          <w:marLeft w:val="0"/>
          <w:marRight w:val="0"/>
          <w:marTop w:val="0"/>
          <w:marBottom w:val="0"/>
          <w:divBdr>
            <w:top w:val="none" w:sz="0" w:space="0" w:color="auto"/>
            <w:left w:val="none" w:sz="0" w:space="0" w:color="auto"/>
            <w:bottom w:val="none" w:sz="0" w:space="0" w:color="auto"/>
            <w:right w:val="none" w:sz="0" w:space="0" w:color="auto"/>
          </w:divBdr>
          <w:divsChild>
            <w:div w:id="285435027">
              <w:marLeft w:val="0"/>
              <w:marRight w:val="0"/>
              <w:marTop w:val="0"/>
              <w:marBottom w:val="0"/>
              <w:divBdr>
                <w:top w:val="none" w:sz="0" w:space="0" w:color="auto"/>
                <w:left w:val="none" w:sz="0" w:space="0" w:color="auto"/>
                <w:bottom w:val="none" w:sz="0" w:space="0" w:color="auto"/>
                <w:right w:val="none" w:sz="0" w:space="0" w:color="auto"/>
              </w:divBdr>
              <w:divsChild>
                <w:div w:id="1010640615">
                  <w:marLeft w:val="0"/>
                  <w:marRight w:val="0"/>
                  <w:marTop w:val="0"/>
                  <w:marBottom w:val="0"/>
                  <w:divBdr>
                    <w:top w:val="none" w:sz="0" w:space="0" w:color="auto"/>
                    <w:left w:val="none" w:sz="0" w:space="0" w:color="auto"/>
                    <w:bottom w:val="none" w:sz="0" w:space="0" w:color="auto"/>
                    <w:right w:val="none" w:sz="0" w:space="0" w:color="auto"/>
                  </w:divBdr>
                  <w:divsChild>
                    <w:div w:id="1707486072">
                      <w:marLeft w:val="0"/>
                      <w:marRight w:val="0"/>
                      <w:marTop w:val="0"/>
                      <w:marBottom w:val="0"/>
                      <w:divBdr>
                        <w:top w:val="none" w:sz="0" w:space="0" w:color="auto"/>
                        <w:left w:val="none" w:sz="0" w:space="0" w:color="auto"/>
                        <w:bottom w:val="none" w:sz="0" w:space="0" w:color="auto"/>
                        <w:right w:val="none" w:sz="0" w:space="0" w:color="auto"/>
                      </w:divBdr>
                      <w:divsChild>
                        <w:div w:id="1549873271">
                          <w:marLeft w:val="0"/>
                          <w:marRight w:val="0"/>
                          <w:marTop w:val="0"/>
                          <w:marBottom w:val="0"/>
                          <w:divBdr>
                            <w:top w:val="none" w:sz="0" w:space="0" w:color="auto"/>
                            <w:left w:val="none" w:sz="0" w:space="0" w:color="auto"/>
                            <w:bottom w:val="none" w:sz="0" w:space="0" w:color="auto"/>
                            <w:right w:val="none" w:sz="0" w:space="0" w:color="auto"/>
                          </w:divBdr>
                          <w:divsChild>
                            <w:div w:id="17104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5969">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3560</Words>
  <Characters>20297</Characters>
  <Application>Microsoft Office Word</Application>
  <DocSecurity>0</DocSecurity>
  <Lines>169</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12</cp:revision>
  <cp:lastPrinted>2015-05-12T18:31:00Z</cp:lastPrinted>
  <dcterms:created xsi:type="dcterms:W3CDTF">2025-02-10T13:18:00Z</dcterms:created>
  <dcterms:modified xsi:type="dcterms:W3CDTF">2025-04-16T11:42:00Z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