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F20F3E" w14:textId="77777777" w:rsidR="00010742" w:rsidRDefault="00000000">
      <w:pPr>
        <w:jc w:val="center"/>
        <w:rPr>
          <w:sz w:val="32"/>
        </w:rPr>
      </w:pPr>
      <w:r>
        <w:rPr>
          <w:sz w:val="32"/>
        </w:rPr>
        <w:t>Data-driven vulnerability assessment method for industrial</w:t>
      </w:r>
    </w:p>
    <w:p w14:paraId="003F957E" w14:textId="77777777" w:rsidR="00010742" w:rsidRDefault="00000000">
      <w:pPr>
        <w:jc w:val="center"/>
        <w:rPr>
          <w:sz w:val="32"/>
        </w:rPr>
      </w:pPr>
      <w:r>
        <w:rPr>
          <w:sz w:val="32"/>
        </w:rPr>
        <w:t>cyber-physical systems</w:t>
      </w:r>
    </w:p>
    <w:p w14:paraId="2256BFB1" w14:textId="77777777" w:rsidR="00010742" w:rsidRDefault="00000000">
      <w:pPr>
        <w:rPr>
          <w:sz w:val="24"/>
        </w:rPr>
      </w:pPr>
      <w:r>
        <w:rPr>
          <w:sz w:val="24"/>
        </w:rPr>
        <w:t>Y</w:t>
      </w:r>
      <w:r>
        <w:rPr>
          <w:rFonts w:hint="eastAsia"/>
          <w:sz w:val="24"/>
        </w:rPr>
        <w:t>imeng</w:t>
      </w:r>
      <w:r>
        <w:rPr>
          <w:sz w:val="24"/>
        </w:rPr>
        <w:t xml:space="preserve"> </w:t>
      </w:r>
      <w:proofErr w:type="spellStart"/>
      <w:r>
        <w:rPr>
          <w:sz w:val="24"/>
        </w:rPr>
        <w:t>Z</w:t>
      </w:r>
      <w:r>
        <w:rPr>
          <w:rFonts w:hint="eastAsia"/>
          <w:sz w:val="24"/>
        </w:rPr>
        <w:t>hao</w:t>
      </w:r>
      <w:r>
        <w:rPr>
          <w:sz w:val="24"/>
          <w:vertAlign w:val="superscript"/>
        </w:rPr>
        <w:t>a</w:t>
      </w:r>
      <w:proofErr w:type="spellEnd"/>
      <w:r>
        <w:rPr>
          <w:sz w:val="24"/>
        </w:rPr>
        <w:t xml:space="preserve">, Guohua </w:t>
      </w:r>
      <w:proofErr w:type="gramStart"/>
      <w:r>
        <w:rPr>
          <w:sz w:val="24"/>
        </w:rPr>
        <w:t>Chen</w:t>
      </w:r>
      <w:r>
        <w:rPr>
          <w:sz w:val="24"/>
          <w:vertAlign w:val="superscript"/>
        </w:rPr>
        <w:t>a,*</w:t>
      </w:r>
      <w:proofErr w:type="gramEnd"/>
      <w:r>
        <w:rPr>
          <w:sz w:val="24"/>
        </w:rPr>
        <w:t xml:space="preserve">, </w:t>
      </w:r>
      <w:r>
        <w:rPr>
          <w:rFonts w:hint="eastAsia"/>
          <w:sz w:val="24"/>
        </w:rPr>
        <w:t>Qiming Xu</w:t>
      </w:r>
      <w:r>
        <w:rPr>
          <w:rFonts w:hint="eastAsia"/>
          <w:sz w:val="24"/>
          <w:vertAlign w:val="superscript"/>
        </w:rPr>
        <w:t>a</w:t>
      </w:r>
      <w:r>
        <w:rPr>
          <w:rFonts w:hint="eastAsia"/>
          <w:sz w:val="24"/>
        </w:rPr>
        <w:t>, Yihong Huang</w:t>
      </w:r>
      <w:r>
        <w:rPr>
          <w:sz w:val="24"/>
          <w:vertAlign w:val="superscript"/>
        </w:rPr>
        <w:t>a</w:t>
      </w:r>
      <w:r>
        <w:rPr>
          <w:rFonts w:hint="eastAsia"/>
          <w:sz w:val="24"/>
        </w:rPr>
        <w:t xml:space="preserve">, </w:t>
      </w:r>
      <w:proofErr w:type="spellStart"/>
      <w:r>
        <w:rPr>
          <w:rFonts w:hint="eastAsia"/>
          <w:sz w:val="24"/>
        </w:rPr>
        <w:t>Honghao</w:t>
      </w:r>
      <w:proofErr w:type="spellEnd"/>
      <w:r>
        <w:rPr>
          <w:rFonts w:hint="eastAsia"/>
          <w:sz w:val="24"/>
        </w:rPr>
        <w:t xml:space="preserve"> Chen</w:t>
      </w:r>
      <w:r>
        <w:rPr>
          <w:rFonts w:hint="eastAsia"/>
          <w:sz w:val="24"/>
          <w:vertAlign w:val="superscript"/>
        </w:rPr>
        <w:t>a</w:t>
      </w:r>
    </w:p>
    <w:p w14:paraId="7504B6A0" w14:textId="77777777" w:rsidR="00010742" w:rsidRDefault="00000000">
      <w:pPr>
        <w:pStyle w:val="BOAAddress"/>
        <w:rPr>
          <w:rFonts w:eastAsia="MS PGothic"/>
        </w:rPr>
      </w:pPr>
      <w:proofErr w:type="gramStart"/>
      <w:r>
        <w:rPr>
          <w:rFonts w:eastAsia="MS PGothic"/>
        </w:rPr>
        <w:t>a</w:t>
      </w:r>
      <w:proofErr w:type="gramEnd"/>
      <w:r>
        <w:rPr>
          <w:rFonts w:eastAsia="MS PGothic"/>
        </w:rPr>
        <w:t xml:space="preserve"> Institute of Safety Science &amp; Engineering, South China University of Technology, Guangzhou, 510640, Guangdong, China</w:t>
      </w:r>
    </w:p>
    <w:p w14:paraId="50DF11BC" w14:textId="77777777" w:rsidR="00010742" w:rsidRDefault="00000000">
      <w:pPr>
        <w:spacing w:line="360" w:lineRule="auto"/>
        <w:jc w:val="left"/>
        <w:rPr>
          <w:rFonts w:eastAsia="MS PGothic"/>
        </w:rPr>
      </w:pPr>
      <w:r>
        <w:rPr>
          <w:rFonts w:eastAsia="MS PGothic"/>
        </w:rPr>
        <w:t>*</w:t>
      </w:r>
      <w:r>
        <w:rPr>
          <w:rFonts w:eastAsia="MS PGothic"/>
          <w:i/>
          <w:sz w:val="20"/>
        </w:rPr>
        <w:t>Corresponding author. E-mail: mmghchen@scut.edu.cn</w:t>
      </w:r>
    </w:p>
    <w:p w14:paraId="18B82BA5" w14:textId="77777777" w:rsidR="00010742" w:rsidRDefault="00000000">
      <w:pPr>
        <w:pStyle w:val="BOAHeading"/>
      </w:pPr>
      <w:r>
        <w:t>1. Introduction</w:t>
      </w:r>
    </w:p>
    <w:p w14:paraId="6C6F2451" w14:textId="77777777" w:rsidR="00010742" w:rsidRDefault="00000000">
      <w:pPr>
        <w:pStyle w:val="BOAAbstractBody"/>
        <w:ind w:right="0" w:firstLineChars="200" w:firstLine="440"/>
        <w:rPr>
          <w:rFonts w:eastAsia="MS PGothic"/>
        </w:rPr>
      </w:pPr>
      <w:r>
        <w:rPr>
          <w:rFonts w:eastAsia="MS PGothic" w:hint="eastAsia"/>
        </w:rPr>
        <w:t xml:space="preserve">Industrial cyber-physical systems (ICPSs), as a key technology of the </w:t>
      </w:r>
      <w:proofErr w:type="gramStart"/>
      <w:r>
        <w:rPr>
          <w:rFonts w:eastAsia="MS PGothic" w:hint="eastAsia"/>
        </w:rPr>
        <w:t>Industry</w:t>
      </w:r>
      <w:proofErr w:type="gramEnd"/>
      <w:r>
        <w:rPr>
          <w:rFonts w:eastAsia="MS PGothic" w:hint="eastAsia"/>
        </w:rPr>
        <w:t xml:space="preserve"> 4.0 era, have been widely applied across various industrial sectors, including manufacturing, energy, power, chemicals, and transportation. By integrating operational technology (OT) with information technology (IT), ICPSs achieve a high level of interconnectivity and coordination between devices, systems, humans, and data, driving the intelligent transformation of industries. However, despite the immense potential of ICPSs, their implementation also introduces several risks and </w:t>
      </w:r>
      <w:proofErr w:type="spellStart"/>
      <w:proofErr w:type="gramStart"/>
      <w:r>
        <w:rPr>
          <w:rFonts w:eastAsia="MS PGothic" w:hint="eastAsia"/>
        </w:rPr>
        <w:t>challenges.Attackers</w:t>
      </w:r>
      <w:proofErr w:type="spellEnd"/>
      <w:proofErr w:type="gramEnd"/>
      <w:r>
        <w:rPr>
          <w:rFonts w:eastAsia="MS PGothic" w:hint="eastAsia"/>
        </w:rPr>
        <w:t xml:space="preserve"> can infiltrate the network, disrupt normal system operations, and even cause severe cyber-physical (C2P) incidents. There were as many as 36 cyber-attacks in the oil, chemical, and energy sectors worldwide between 2006 and 2014 (Iaiani et al., 2021). </w:t>
      </w:r>
    </w:p>
    <w:p w14:paraId="7ED12D49" w14:textId="77777777" w:rsidR="00010742" w:rsidRDefault="00000000">
      <w:pPr>
        <w:pStyle w:val="BOAAbstractBody"/>
        <w:ind w:right="0" w:firstLineChars="200" w:firstLine="440"/>
        <w:rPr>
          <w:rFonts w:eastAsia="MS PGothic"/>
        </w:rPr>
      </w:pPr>
      <w:r>
        <w:rPr>
          <w:rFonts w:eastAsia="MS PGothic" w:hint="eastAsia"/>
        </w:rPr>
        <w:t xml:space="preserve">ICPSs are composed of multiple components, including sensors, actuators, logic controllers, human-machine Interface, engineering stations, and data servers. This inherently means that ICPSs typically contain numerous vulnerabilities. In practice, however, it is often unrealistic for practitioners to address and patch all vulnerabilities. Furthermore, during the pre-risk assessment phase of a system, considering all possible attack pathways stemming from these vulnerabilities could lead to a combinatorial explosion of accident scenarios. Therefore, conducting vulnerability assessment research and identifying critical vulnerabilities in ICPSs is of paramount importance. Common Weakness Enumeration (CWE), as a collection of Common Vulnerabilities and Exposures (CVE), provides a detailed classification of CVEs. The MITRE CWE database annually lists the top 25 most common CWE types to guide cybersecurity professionals (MITRE CWE database). However, this statistical result is not specific to ICPSs. Currently, the most widely used vulnerability assessment tool is the Common Vulnerability Scoring System (CVSS). However, Nayak et al. demonstrated that the CVSS exploitability and impact scores are only applicable at the software level, failing to account for the subsequent physical consequences in ICPSs. As a result, CVSS scores do not align with the actual exploitation rates of vulnerabilities. Therefore, some researchers have since proposed modifications to the CVSS to address this limitation. Wang et al. (2023) considered the impact of exploited vulnerabilities and enhanced the original CVSS model by incorporating metrics for safety, finance, operations, and privacy. Zhu et al. (2023) optimized the Access Vector (AV) and Access Complexity (AC) parameters by considering factors such as property safety, life safety, functional safety, and privacy safety, addressing some of the limitations within the CVSS framework. However, the effectiveness of most improved CVSS models remains unvalidated by empirical evidence. Falco et al. (2018) analyzed the density of Common Weakness Enumeration (CWE) within ICPS vulnerabilities and examined the real-world exploitation of these vulnerabilities using open-source databases such as CWE, </w:t>
      </w:r>
      <w:proofErr w:type="spellStart"/>
      <w:r>
        <w:rPr>
          <w:rFonts w:eastAsia="MS PGothic" w:hint="eastAsia"/>
        </w:rPr>
        <w:t>ExploitDB</w:t>
      </w:r>
      <w:proofErr w:type="spellEnd"/>
      <w:r>
        <w:rPr>
          <w:rFonts w:eastAsia="MS PGothic" w:hint="eastAsia"/>
        </w:rPr>
        <w:t>, and CVEDetails. Based on their findings, they proposed a data-driven vulnerability prioritization method to objectively assess systemic risk. Nevertheless, this method has limitations. In practice, incident data is often scarce, and accident reports are typically too brief, making it difficult to map these descriptions effectively to current CWE types.</w:t>
      </w:r>
    </w:p>
    <w:p w14:paraId="39C33F15" w14:textId="77777777" w:rsidR="00010742" w:rsidRDefault="00000000">
      <w:pPr>
        <w:pStyle w:val="BOAAbstractBody"/>
        <w:ind w:right="0" w:firstLineChars="200" w:firstLine="440"/>
        <w:rPr>
          <w:rFonts w:eastAsia="MS PGothic"/>
          <w:bCs/>
        </w:rPr>
      </w:pPr>
      <w:r>
        <w:rPr>
          <w:rFonts w:eastAsia="MS PGothic" w:hint="eastAsia"/>
        </w:rPr>
        <w:lastRenderedPageBreak/>
        <w:t>In summary, this study will improve traditional vulnerability assessment model and, using a data-driven approach, validate the correlation between the vulnerability assessment index system and the actual exploitation frequency of vulnerabilities. Furthermore, the proposed vulnerability prioritization method can significantly simplify the risk assessment process for complex ICPSs while ensuring the objectivity and accuracy of the evaluation results.</w:t>
      </w:r>
    </w:p>
    <w:p w14:paraId="1257E252" w14:textId="77777777" w:rsidR="00010742" w:rsidRDefault="00000000">
      <w:pPr>
        <w:pStyle w:val="BOAHeading"/>
        <w:numPr>
          <w:ilvl w:val="0"/>
          <w:numId w:val="13"/>
        </w:numPr>
      </w:pPr>
      <w:r>
        <w:t>Methods</w:t>
      </w:r>
    </w:p>
    <w:p w14:paraId="50922786" w14:textId="77777777" w:rsidR="00010742" w:rsidRDefault="00000000">
      <w:pPr>
        <w:autoSpaceDE w:val="0"/>
        <w:outlineLvl w:val="1"/>
      </w:pPr>
      <w:r>
        <w:rPr>
          <w:rFonts w:eastAsia="MS PGothic" w:hint="eastAsia"/>
          <w:b/>
          <w:sz w:val="22"/>
          <w:lang w:val="en-US"/>
        </w:rPr>
        <w:t>2.1 Research flowchart</w:t>
      </w:r>
    </w:p>
    <w:p w14:paraId="12032150" w14:textId="77777777" w:rsidR="00010742" w:rsidRDefault="00000000">
      <w:pPr>
        <w:pStyle w:val="BOAHeading"/>
        <w:jc w:val="center"/>
        <w:rPr>
          <w:rFonts w:ascii="Times New Roman" w:hAnsi="Times New Roman"/>
          <w:sz w:val="24"/>
          <w:szCs w:val="24"/>
        </w:rPr>
      </w:pPr>
      <w:r>
        <w:rPr>
          <w:rFonts w:ascii="Times New Roman" w:hAnsi="Times New Roman" w:hint="eastAsia"/>
          <w:noProof/>
          <w:sz w:val="24"/>
          <w:szCs w:val="24"/>
        </w:rPr>
        <w:drawing>
          <wp:inline distT="0" distB="0" distL="114300" distR="114300" wp14:anchorId="2D62F5CE" wp14:editId="487CA85E">
            <wp:extent cx="3552825" cy="2887980"/>
            <wp:effectExtent l="0" t="0" r="13335" b="7620"/>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8"/>
                    <a:stretch>
                      <a:fillRect/>
                    </a:stretch>
                  </pic:blipFill>
                  <pic:spPr>
                    <a:xfrm>
                      <a:off x="0" y="0"/>
                      <a:ext cx="3552825" cy="2887980"/>
                    </a:xfrm>
                    <a:prstGeom prst="rect">
                      <a:avLst/>
                    </a:prstGeom>
                  </pic:spPr>
                </pic:pic>
              </a:graphicData>
            </a:graphic>
          </wp:inline>
        </w:drawing>
      </w:r>
    </w:p>
    <w:p w14:paraId="1D21C78A" w14:textId="77777777" w:rsidR="00010742" w:rsidRDefault="00000000">
      <w:pPr>
        <w:autoSpaceDE w:val="0"/>
        <w:jc w:val="center"/>
        <w:rPr>
          <w:rFonts w:eastAsia="MS PGothic"/>
          <w:bCs/>
          <w:i/>
          <w:sz w:val="20"/>
        </w:rPr>
      </w:pPr>
      <w:r>
        <w:rPr>
          <w:rFonts w:eastAsia="MS PGothic"/>
          <w:bCs/>
          <w:i/>
          <w:sz w:val="20"/>
        </w:rPr>
        <w:t>Fig</w:t>
      </w:r>
      <w:r>
        <w:rPr>
          <w:rFonts w:eastAsia="MS PGothic" w:hint="eastAsia"/>
          <w:bCs/>
          <w:i/>
          <w:sz w:val="20"/>
        </w:rPr>
        <w:t>ure</w:t>
      </w:r>
      <w:r>
        <w:rPr>
          <w:rFonts w:eastAsia="MS PGothic"/>
          <w:bCs/>
          <w:i/>
          <w:sz w:val="20"/>
        </w:rPr>
        <w:t xml:space="preserve"> </w:t>
      </w:r>
      <w:r>
        <w:rPr>
          <w:rFonts w:eastAsia="MS PGothic" w:hint="eastAsia"/>
          <w:bCs/>
          <w:i/>
          <w:sz w:val="20"/>
        </w:rPr>
        <w:t xml:space="preserve">1: </w:t>
      </w:r>
      <w:r>
        <w:rPr>
          <w:rFonts w:eastAsia="MS PGothic"/>
          <w:bCs/>
          <w:i/>
          <w:sz w:val="20"/>
        </w:rPr>
        <w:t xml:space="preserve"> Framework </w:t>
      </w:r>
      <w:r>
        <w:rPr>
          <w:rFonts w:eastAsia="MS PGothic" w:hint="eastAsia"/>
          <w:bCs/>
          <w:i/>
          <w:sz w:val="20"/>
        </w:rPr>
        <w:t>of the analysis process in the study</w:t>
      </w:r>
      <w:r>
        <w:rPr>
          <w:rFonts w:eastAsia="MS PGothic"/>
          <w:bCs/>
          <w:i/>
          <w:sz w:val="20"/>
        </w:rPr>
        <w:t>.</w:t>
      </w:r>
    </w:p>
    <w:p w14:paraId="33F0CBEE" w14:textId="77777777" w:rsidR="00010742" w:rsidRDefault="00000000">
      <w:pPr>
        <w:autoSpaceDE w:val="0"/>
        <w:ind w:firstLineChars="200" w:firstLine="440"/>
        <w:rPr>
          <w:rFonts w:eastAsia="MS PGothic"/>
          <w:sz w:val="22"/>
          <w:lang w:val="en-US"/>
        </w:rPr>
      </w:pPr>
      <w:r>
        <w:rPr>
          <w:rFonts w:eastAsia="MS PGothic" w:hint="eastAsia"/>
          <w:sz w:val="22"/>
          <w:lang w:val="en-US"/>
        </w:rPr>
        <w:t>As shown in Figure 1, this study consists of three parts: First, a database of vulnerabilities and cyber-attack incidents related to ICPSs is established. Then, based on the CWE groups classification principle, the density of CWE groups and the real-world exploitation density of CWE groups are calculated. An improved CVSS model, which considers the consequences of subsequent incidents, is proposed to compute the average impact and exploitability scores for each CWE group, thus constructing a vulnerability prioritization assessment index system. Finally, multiple linear regression is used to validate the effectiveness of the index parameters, and the method is applied to the tank level control system for risk analysis.</w:t>
      </w:r>
    </w:p>
    <w:p w14:paraId="37CC3849" w14:textId="77777777" w:rsidR="00010742" w:rsidRDefault="00000000">
      <w:pPr>
        <w:autoSpaceDE w:val="0"/>
        <w:outlineLvl w:val="1"/>
      </w:pPr>
      <w:r>
        <w:rPr>
          <w:rFonts w:eastAsia="MS PGothic" w:hint="eastAsia"/>
          <w:b/>
          <w:sz w:val="22"/>
          <w:lang w:val="en-US"/>
        </w:rPr>
        <w:t>2.</w:t>
      </w:r>
      <w:r>
        <w:rPr>
          <w:rFonts w:eastAsia="SimSun" w:hint="eastAsia"/>
          <w:b/>
          <w:sz w:val="22"/>
          <w:lang w:val="en-US" w:eastAsia="zh-CN"/>
        </w:rPr>
        <w:t>2</w:t>
      </w:r>
      <w:r>
        <w:rPr>
          <w:rFonts w:eastAsia="MS PGothic" w:hint="eastAsia"/>
          <w:b/>
          <w:sz w:val="22"/>
          <w:lang w:val="en-US"/>
        </w:rPr>
        <w:t xml:space="preserve"> Database construction</w:t>
      </w:r>
    </w:p>
    <w:p w14:paraId="309825A8" w14:textId="77777777" w:rsidR="00010742" w:rsidRDefault="00000000">
      <w:pPr>
        <w:autoSpaceDE w:val="0"/>
        <w:ind w:firstLineChars="200" w:firstLine="440"/>
        <w:rPr>
          <w:rFonts w:eastAsia="MS PGothic"/>
          <w:sz w:val="22"/>
        </w:rPr>
      </w:pPr>
      <w:r>
        <w:rPr>
          <w:rFonts w:eastAsia="MS PGothic" w:hint="eastAsia"/>
          <w:sz w:val="22"/>
        </w:rPr>
        <w:t>Based on the key devices in ICPSs, a search was conducted in the MITRE CVE database, resulting in the collection of 1,053 vulnerabilities. The corresponding CVE identifiers and base scores were retrieved from the National Vulnerability Database (NVD). Additionally, 19 relevant incident cases were collected from the RISI cybersecurity incident database (RISI database), encompassing various industrial sectors such as chemicals, electricity, manufacturing, and transportation. Furthermore, 48 currently exploited vulnerabilities were obtained from the CVEDetails database. The above data together constitute the ICPS-specific vulnerability and cyber-attack incident database, which provides data support for the vulnerability priority assessment.</w:t>
      </w:r>
    </w:p>
    <w:p w14:paraId="57E96F67" w14:textId="77777777" w:rsidR="00010742" w:rsidRDefault="00000000">
      <w:pPr>
        <w:autoSpaceDE w:val="0"/>
        <w:outlineLvl w:val="1"/>
        <w:rPr>
          <w:rFonts w:eastAsia="MS PGothic"/>
          <w:b/>
          <w:sz w:val="22"/>
          <w:lang w:val="en-US"/>
        </w:rPr>
      </w:pPr>
      <w:r>
        <w:rPr>
          <w:rFonts w:eastAsia="MS PGothic" w:hint="eastAsia"/>
          <w:b/>
          <w:sz w:val="22"/>
          <w:lang w:val="en-US"/>
        </w:rPr>
        <w:lastRenderedPageBreak/>
        <w:t>2.3 CWE group classification principle</w:t>
      </w:r>
    </w:p>
    <w:p w14:paraId="3163A64C" w14:textId="77777777" w:rsidR="00010742" w:rsidRDefault="00000000">
      <w:pPr>
        <w:autoSpaceDE w:val="0"/>
        <w:ind w:firstLineChars="200" w:firstLine="440"/>
        <w:rPr>
          <w:rFonts w:eastAsia="MS PGothic"/>
          <w:sz w:val="22"/>
          <w:lang w:val="en-US"/>
        </w:rPr>
      </w:pPr>
      <w:r>
        <w:rPr>
          <w:rFonts w:eastAsia="MS PGothic" w:hint="eastAsia"/>
          <w:sz w:val="22"/>
          <w:lang w:val="en-US"/>
        </w:rPr>
        <w:t>Thomas et al. (2020) proposed a novel CWE groups classification approach specifically for ICPSs, which encompass 95% of the vulnerabilities in the database. Unlike previous studies, this classification approach, while still based on CWE, avoids the definitional ambiguity of the traditional CWE classification approach and provides a clearer reflection of how vulnerabilities manifest in ICPS. As mentioned in the introduction, the currently available cybersecurity incident reports for ICPS are often too brief, making it challenging to map incident causes using the conventional CWE classification approach. In this study, the new CWE group classification approach ensures accurate mapping of cybersecurity incident reports to CWE groups, thereby better reflecting the actual exploitation of vulnerabilities. The detailed definitions of each CWE group are outlined below.</w:t>
      </w:r>
    </w:p>
    <w:p w14:paraId="56EF9051" w14:textId="77777777" w:rsidR="00010742" w:rsidRDefault="00000000">
      <w:pPr>
        <w:autoSpaceDE w:val="0"/>
        <w:ind w:firstLineChars="200" w:firstLine="440"/>
        <w:rPr>
          <w:rFonts w:eastAsia="MS PGothic"/>
          <w:sz w:val="22"/>
          <w:lang w:val="en-US"/>
        </w:rPr>
      </w:pPr>
      <w:r>
        <w:rPr>
          <w:rFonts w:eastAsia="MS PGothic" w:hint="eastAsia"/>
          <w:sz w:val="22"/>
          <w:lang w:val="en-US"/>
        </w:rPr>
        <w:t>1) Web-Based Weaknesses: Attackers exploit vulnerabilities or flaws exposed in web applications to gain unauthorized access. 2)Default Credentials: Attackers use default system passwords or hardcoded sensitive credentials to infiltrate the system. 3)Denial of Service and Resource Exhaustion: Attackers overwhelm the target system with large volumes of requests or data, rendering the system or service unresponsive to legitimate user requests. 4)Exposed Sensitive Data: These vulnerabilities allow unauthorized attackers to access sensitive information, leading to the leakage of user credentials or other sensitive data. 5)Weak and Broken Cryptography: Attackers exploit weak encryption techniques or incorrectly apply strong encryption to gain unauthorized access. 6)Memory and Buffer Management: Attackers input data exceeding the buffer size of a program, causing memory overwrites that can result in the execution of malicious code. 7)Permissions and Resource Access Control: Attackers exploit incorrect privilege allocation or lack of proper access control to perform arbitrary operations on the system. 8)Privilege Escalation and Authentication Weaknesses: Attackers bypass authentication mechanisms by exploiting system vulnerabilities, and gaining elevated privileges to perform unauthorized actions.</w:t>
      </w:r>
    </w:p>
    <w:p w14:paraId="3F80640B" w14:textId="77777777" w:rsidR="00010742" w:rsidRDefault="00000000">
      <w:pPr>
        <w:autoSpaceDE w:val="0"/>
        <w:ind w:firstLineChars="200" w:firstLine="440"/>
        <w:rPr>
          <w:rFonts w:eastAsia="MS PGothic"/>
          <w:sz w:val="22"/>
          <w:lang w:val="en-US"/>
        </w:rPr>
      </w:pPr>
      <w:r>
        <w:rPr>
          <w:rFonts w:eastAsia="MS PGothic" w:hint="eastAsia"/>
          <w:sz w:val="22"/>
          <w:lang w:val="en-US"/>
        </w:rPr>
        <w:t>Based on the above CWE group classification approach and the data from Section 2.2 on ICPS-specific vulnerabilities and cyber-attack incidents, the CWE group density and actual exploit density for each CWE group are calculated, as shown in Figure 2. It is evident that there is a clear positive linear relationship between the top five CWE group densities and exploit densities. This means that the more frequent occurrence of a particular type of vulnerability increases its exposure rate and makes it more susceptible to exploitation by attackers.</w:t>
      </w:r>
    </w:p>
    <w:p w14:paraId="3B8AD40F" w14:textId="77777777" w:rsidR="00010742" w:rsidRDefault="00000000">
      <w:pPr>
        <w:autoSpaceDE w:val="0"/>
        <w:ind w:firstLineChars="200" w:firstLine="480"/>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7153F164" wp14:editId="3C6081F7">
            <wp:extent cx="5240655" cy="2941955"/>
            <wp:effectExtent l="0" t="0" r="1905" b="14605"/>
            <wp:docPr id="212644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4437"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40655" cy="2941955"/>
                    </a:xfrm>
                    <a:prstGeom prst="rect">
                      <a:avLst/>
                    </a:prstGeom>
                    <a:noFill/>
                  </pic:spPr>
                </pic:pic>
              </a:graphicData>
            </a:graphic>
          </wp:inline>
        </w:drawing>
      </w:r>
    </w:p>
    <w:p w14:paraId="57F62A06" w14:textId="77777777" w:rsidR="00010742" w:rsidRDefault="00000000">
      <w:pPr>
        <w:autoSpaceDE w:val="0"/>
        <w:jc w:val="center"/>
        <w:rPr>
          <w:rFonts w:eastAsia="MS PGothic"/>
          <w:bCs/>
          <w:i/>
          <w:sz w:val="20"/>
        </w:rPr>
      </w:pPr>
      <w:r>
        <w:rPr>
          <w:rFonts w:eastAsia="MS PGothic" w:hint="eastAsia"/>
          <w:bCs/>
          <w:i/>
          <w:sz w:val="20"/>
        </w:rPr>
        <w:t>Figure 2:  The CWE groups density and exploit density of top 5 CWE groups.</w:t>
      </w:r>
    </w:p>
    <w:p w14:paraId="19B71B92" w14:textId="77777777" w:rsidR="00010742" w:rsidRDefault="00000000">
      <w:pPr>
        <w:autoSpaceDE w:val="0"/>
        <w:outlineLvl w:val="1"/>
        <w:rPr>
          <w:rFonts w:eastAsia="MS PGothic"/>
          <w:b/>
          <w:sz w:val="22"/>
          <w:lang w:val="en-US"/>
        </w:rPr>
      </w:pPr>
      <w:r>
        <w:rPr>
          <w:rFonts w:eastAsia="MS PGothic" w:hint="eastAsia"/>
          <w:b/>
          <w:sz w:val="22"/>
          <w:lang w:val="en-US"/>
        </w:rPr>
        <w:t>2.4 Improved CVSS model</w:t>
      </w:r>
    </w:p>
    <w:p w14:paraId="20A97F64" w14:textId="77777777" w:rsidR="00010742" w:rsidRDefault="00000000">
      <w:pPr>
        <w:autoSpaceDE w:val="0"/>
        <w:ind w:firstLineChars="200" w:firstLine="440"/>
        <w:rPr>
          <w:rFonts w:eastAsia="MS PGothic"/>
          <w:sz w:val="22"/>
        </w:rPr>
      </w:pPr>
      <w:r>
        <w:rPr>
          <w:rFonts w:eastAsia="MS PGothic" w:hint="eastAsia"/>
          <w:sz w:val="22"/>
        </w:rPr>
        <w:t>To more objectively quantify the prioritization of vulnerability importance, this section takes into account the impact of subsequent incidents on the significance of vulnerabilities. Therefore, on the basis of the CVSS 3.1 framework, additional nodes have been introduced, including operational error, privacy leakage, and C2P Risk. The operation node is determined by the Integrity and Availability scores of the vulnerability, while the C2P risk level is influenced by both the operation and privacy nodes. These nodes are connected through OR gates, and the H, L, and N thresholds for each node are calculated separately. The improved CVSS model is illustrated in Figure 3, and using Eq. (1-4), the impact score, exploitability score, the condition probability of successful attacks, and risk level of the vulnerability are calculated (Zhang et al. 2017).</w:t>
      </w:r>
    </w:p>
    <w:p w14:paraId="2188E085" w14:textId="242DAE00" w:rsidR="00010742" w:rsidRDefault="00020EA1">
      <w:pPr>
        <w:pStyle w:val="MTDisplayEquation"/>
        <w:rPr>
          <w:rFonts w:ascii="Arial" w:hAnsi="Arial"/>
          <w:sz w:val="18"/>
          <w:szCs w:val="20"/>
        </w:rPr>
      </w:pPr>
      <w:r w:rsidRPr="00020EA1">
        <w:rPr>
          <w:rFonts w:ascii="Arial" w:hAnsi="Arial"/>
          <w:position w:val="-64"/>
          <w:szCs w:val="28"/>
        </w:rPr>
        <w:object w:dxaOrig="6399" w:dyaOrig="1380" w14:anchorId="5D66A5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9pt;height:69.4pt" o:ole="">
            <v:imagedata r:id="rId10" o:title=""/>
          </v:shape>
          <o:OLEObject Type="Embed" ProgID="Equation.DSMT4" ShapeID="_x0000_i1025" DrawAspect="Content" ObjectID="_1809773538" r:id="rId11"/>
        </w:object>
      </w:r>
      <w:r>
        <w:rPr>
          <w:rFonts w:ascii="Arial" w:hAnsi="Arial"/>
          <w:sz w:val="18"/>
          <w:szCs w:val="20"/>
        </w:rPr>
        <w:tab/>
      </w:r>
      <w:r>
        <w:rPr>
          <w:rFonts w:ascii="Arial" w:hAnsi="Arial"/>
          <w:sz w:val="18"/>
          <w:szCs w:val="20"/>
        </w:rPr>
        <w:fldChar w:fldCharType="begin"/>
      </w:r>
      <w:r>
        <w:rPr>
          <w:rFonts w:ascii="Arial" w:hAnsi="Arial"/>
          <w:sz w:val="18"/>
          <w:szCs w:val="20"/>
        </w:rPr>
        <w:instrText xml:space="preserve"> MACROBUTTON MTPlaceRef \* MERGEFORMAT </w:instrText>
      </w:r>
      <w:r>
        <w:rPr>
          <w:rFonts w:ascii="Arial" w:hAnsi="Arial"/>
          <w:sz w:val="18"/>
          <w:szCs w:val="20"/>
        </w:rPr>
        <w:fldChar w:fldCharType="begin"/>
      </w:r>
      <w:r>
        <w:rPr>
          <w:rFonts w:ascii="Arial" w:hAnsi="Arial"/>
          <w:sz w:val="18"/>
          <w:szCs w:val="20"/>
        </w:rPr>
        <w:instrText xml:space="preserve"> SEQ MTEqn \h \* MERGEFORMAT </w:instrText>
      </w:r>
      <w:r>
        <w:rPr>
          <w:rFonts w:ascii="Arial" w:hAnsi="Arial"/>
          <w:sz w:val="18"/>
          <w:szCs w:val="20"/>
        </w:rPr>
        <w:fldChar w:fldCharType="end"/>
      </w:r>
      <w:r>
        <w:rPr>
          <w:rFonts w:ascii="Arial" w:hAnsi="Arial"/>
          <w:sz w:val="18"/>
          <w:szCs w:val="20"/>
        </w:rPr>
        <w:instrText>(</w:instrText>
      </w:r>
      <w:r>
        <w:rPr>
          <w:rFonts w:ascii="Arial" w:hAnsi="Arial"/>
          <w:sz w:val="18"/>
          <w:szCs w:val="20"/>
        </w:rPr>
        <w:fldChar w:fldCharType="begin"/>
      </w:r>
      <w:r>
        <w:rPr>
          <w:rFonts w:ascii="Arial" w:hAnsi="Arial"/>
          <w:sz w:val="18"/>
          <w:szCs w:val="20"/>
        </w:rPr>
        <w:instrText xml:space="preserve"> SEQ MTEqn \c \* Arabic \* MERGEFORMAT </w:instrText>
      </w:r>
      <w:r>
        <w:rPr>
          <w:rFonts w:ascii="Arial" w:hAnsi="Arial"/>
          <w:sz w:val="18"/>
          <w:szCs w:val="20"/>
        </w:rPr>
        <w:fldChar w:fldCharType="separate"/>
      </w:r>
      <w:r>
        <w:rPr>
          <w:rFonts w:ascii="Arial" w:hAnsi="Arial"/>
          <w:sz w:val="18"/>
          <w:szCs w:val="20"/>
        </w:rPr>
        <w:instrText>1</w:instrText>
      </w:r>
      <w:r>
        <w:rPr>
          <w:rFonts w:ascii="Arial" w:hAnsi="Arial"/>
          <w:sz w:val="18"/>
          <w:szCs w:val="20"/>
        </w:rPr>
        <w:fldChar w:fldCharType="end"/>
      </w:r>
      <w:r>
        <w:rPr>
          <w:rFonts w:ascii="Arial" w:hAnsi="Arial"/>
          <w:sz w:val="18"/>
          <w:szCs w:val="20"/>
        </w:rPr>
        <w:instrText>)</w:instrText>
      </w:r>
      <w:r>
        <w:rPr>
          <w:rFonts w:ascii="Arial" w:hAnsi="Arial"/>
          <w:sz w:val="18"/>
          <w:szCs w:val="20"/>
        </w:rPr>
        <w:fldChar w:fldCharType="end"/>
      </w:r>
    </w:p>
    <w:p w14:paraId="1B1A02D8" w14:textId="0ADA193E" w:rsidR="00010742" w:rsidRDefault="00020EA1">
      <w:pPr>
        <w:pStyle w:val="MTDisplayEquation"/>
        <w:ind w:firstLineChars="800" w:firstLine="1440"/>
        <w:rPr>
          <w:rFonts w:ascii="Arial" w:hAnsi="Arial"/>
          <w:sz w:val="18"/>
          <w:szCs w:val="20"/>
        </w:rPr>
      </w:pPr>
      <w:r w:rsidRPr="00020EA1">
        <w:rPr>
          <w:rFonts w:ascii="Arial" w:hAnsi="Arial"/>
          <w:position w:val="-10"/>
          <w:sz w:val="18"/>
          <w:szCs w:val="20"/>
        </w:rPr>
        <w:object w:dxaOrig="4300" w:dyaOrig="300" w14:anchorId="45DFE970">
          <v:shape id="_x0000_i1026" type="#_x0000_t75" style="width:214.9pt;height:15pt" o:ole="">
            <v:imagedata r:id="rId12" o:title=""/>
          </v:shape>
          <o:OLEObject Type="Embed" ProgID="Equation.DSMT4" ShapeID="_x0000_i1026" DrawAspect="Content" ObjectID="_1809773539" r:id="rId13"/>
        </w:object>
      </w:r>
      <w:r>
        <w:rPr>
          <w:rFonts w:ascii="Arial" w:hAnsi="Arial"/>
          <w:sz w:val="18"/>
          <w:szCs w:val="20"/>
        </w:rPr>
        <w:tab/>
      </w:r>
      <w:r>
        <w:rPr>
          <w:rFonts w:ascii="Arial" w:hAnsi="Arial"/>
          <w:sz w:val="18"/>
          <w:szCs w:val="20"/>
        </w:rPr>
        <w:fldChar w:fldCharType="begin"/>
      </w:r>
      <w:r>
        <w:rPr>
          <w:rFonts w:ascii="Arial" w:hAnsi="Arial"/>
          <w:sz w:val="18"/>
          <w:szCs w:val="20"/>
        </w:rPr>
        <w:instrText xml:space="preserve"> MACROBUTTON MTPlaceRef \* MERGEFORMAT </w:instrText>
      </w:r>
      <w:r>
        <w:rPr>
          <w:rFonts w:ascii="Arial" w:hAnsi="Arial"/>
          <w:sz w:val="18"/>
          <w:szCs w:val="20"/>
        </w:rPr>
        <w:fldChar w:fldCharType="begin"/>
      </w:r>
      <w:r>
        <w:rPr>
          <w:rFonts w:ascii="Arial" w:hAnsi="Arial"/>
          <w:sz w:val="18"/>
          <w:szCs w:val="20"/>
        </w:rPr>
        <w:instrText xml:space="preserve"> SEQ MTEqn \h \* MERGEFORMAT </w:instrText>
      </w:r>
      <w:r>
        <w:rPr>
          <w:rFonts w:ascii="Arial" w:hAnsi="Arial"/>
          <w:sz w:val="18"/>
          <w:szCs w:val="20"/>
        </w:rPr>
        <w:fldChar w:fldCharType="end"/>
      </w:r>
      <w:r>
        <w:rPr>
          <w:rFonts w:ascii="Arial" w:hAnsi="Arial"/>
          <w:sz w:val="18"/>
          <w:szCs w:val="20"/>
        </w:rPr>
        <w:instrText>(</w:instrText>
      </w:r>
      <w:r>
        <w:rPr>
          <w:rFonts w:ascii="Arial" w:hAnsi="Arial"/>
          <w:sz w:val="18"/>
          <w:szCs w:val="20"/>
        </w:rPr>
        <w:fldChar w:fldCharType="begin"/>
      </w:r>
      <w:r>
        <w:rPr>
          <w:rFonts w:ascii="Arial" w:hAnsi="Arial"/>
          <w:sz w:val="18"/>
          <w:szCs w:val="20"/>
        </w:rPr>
        <w:instrText xml:space="preserve"> SEQ MTEqn \c \* Arabic \* MERGEFORMAT </w:instrText>
      </w:r>
      <w:r>
        <w:rPr>
          <w:rFonts w:ascii="Arial" w:hAnsi="Arial"/>
          <w:sz w:val="18"/>
          <w:szCs w:val="20"/>
        </w:rPr>
        <w:fldChar w:fldCharType="separate"/>
      </w:r>
      <w:r>
        <w:rPr>
          <w:rFonts w:ascii="Arial" w:hAnsi="Arial"/>
          <w:sz w:val="18"/>
          <w:szCs w:val="20"/>
        </w:rPr>
        <w:instrText>2</w:instrText>
      </w:r>
      <w:r>
        <w:rPr>
          <w:rFonts w:ascii="Arial" w:hAnsi="Arial"/>
          <w:sz w:val="18"/>
          <w:szCs w:val="20"/>
        </w:rPr>
        <w:fldChar w:fldCharType="end"/>
      </w:r>
      <w:r>
        <w:rPr>
          <w:rFonts w:ascii="Arial" w:hAnsi="Arial"/>
          <w:sz w:val="18"/>
          <w:szCs w:val="20"/>
        </w:rPr>
        <w:instrText>)</w:instrText>
      </w:r>
      <w:r>
        <w:rPr>
          <w:rFonts w:ascii="Arial" w:hAnsi="Arial"/>
          <w:sz w:val="18"/>
          <w:szCs w:val="20"/>
        </w:rPr>
        <w:fldChar w:fldCharType="end"/>
      </w:r>
    </w:p>
    <w:p w14:paraId="4FEBD89B" w14:textId="0A25E125" w:rsidR="00010742" w:rsidRDefault="00000000">
      <w:pPr>
        <w:pStyle w:val="MTDisplayEquation"/>
        <w:rPr>
          <w:rFonts w:ascii="Arial" w:hAnsi="Arial"/>
          <w:sz w:val="18"/>
          <w:szCs w:val="20"/>
        </w:rPr>
      </w:pPr>
      <w:r>
        <w:rPr>
          <w:rFonts w:ascii="Arial" w:hAnsi="Arial"/>
          <w:sz w:val="18"/>
          <w:szCs w:val="20"/>
        </w:rPr>
        <w:tab/>
      </w:r>
      <w:r w:rsidR="00020EA1" w:rsidRPr="00020EA1">
        <w:rPr>
          <w:rFonts w:ascii="Arial" w:hAnsi="Arial"/>
          <w:position w:val="-10"/>
          <w:sz w:val="18"/>
          <w:szCs w:val="20"/>
        </w:rPr>
        <w:object w:dxaOrig="3420" w:dyaOrig="320" w14:anchorId="3A0B5A8F">
          <v:shape id="_x0000_i1027" type="#_x0000_t75" style="width:171pt;height:15.75pt" o:ole="">
            <v:imagedata r:id="rId14" o:title=""/>
          </v:shape>
          <o:OLEObject Type="Embed" ProgID="Equation.DSMT4" ShapeID="_x0000_i1027" DrawAspect="Content" ObjectID="_1809773540" r:id="rId15"/>
        </w:object>
      </w:r>
      <w:r>
        <w:rPr>
          <w:rFonts w:ascii="Arial" w:hAnsi="Arial"/>
          <w:sz w:val="18"/>
          <w:szCs w:val="20"/>
        </w:rPr>
        <w:tab/>
      </w:r>
      <w:r>
        <w:rPr>
          <w:rFonts w:ascii="Arial" w:hAnsi="Arial"/>
          <w:sz w:val="18"/>
          <w:szCs w:val="20"/>
        </w:rPr>
        <w:fldChar w:fldCharType="begin"/>
      </w:r>
      <w:r>
        <w:rPr>
          <w:rFonts w:ascii="Arial" w:hAnsi="Arial"/>
          <w:sz w:val="18"/>
          <w:szCs w:val="20"/>
        </w:rPr>
        <w:instrText xml:space="preserve"> MACROBUTTON MTPlaceRef \* MERGEFORMAT </w:instrText>
      </w:r>
      <w:r>
        <w:rPr>
          <w:rFonts w:ascii="Arial" w:hAnsi="Arial"/>
          <w:sz w:val="18"/>
          <w:szCs w:val="20"/>
        </w:rPr>
        <w:fldChar w:fldCharType="begin"/>
      </w:r>
      <w:r>
        <w:rPr>
          <w:rFonts w:ascii="Arial" w:hAnsi="Arial"/>
          <w:sz w:val="18"/>
          <w:szCs w:val="20"/>
        </w:rPr>
        <w:instrText xml:space="preserve"> SEQ MTEqn \h \* MERGEFORMAT </w:instrText>
      </w:r>
      <w:r>
        <w:rPr>
          <w:rFonts w:ascii="Arial" w:hAnsi="Arial"/>
          <w:sz w:val="18"/>
          <w:szCs w:val="20"/>
        </w:rPr>
        <w:fldChar w:fldCharType="end"/>
      </w:r>
      <w:r>
        <w:rPr>
          <w:rFonts w:ascii="Arial" w:hAnsi="Arial"/>
          <w:sz w:val="18"/>
          <w:szCs w:val="20"/>
        </w:rPr>
        <w:instrText>(</w:instrText>
      </w:r>
      <w:r>
        <w:rPr>
          <w:rFonts w:ascii="Arial" w:hAnsi="Arial"/>
          <w:sz w:val="18"/>
          <w:szCs w:val="20"/>
        </w:rPr>
        <w:fldChar w:fldCharType="begin"/>
      </w:r>
      <w:r>
        <w:rPr>
          <w:rFonts w:ascii="Arial" w:hAnsi="Arial"/>
          <w:sz w:val="18"/>
          <w:szCs w:val="20"/>
        </w:rPr>
        <w:instrText xml:space="preserve"> SEQ MTEqn \c \* Arabic \* MERGEFORMAT </w:instrText>
      </w:r>
      <w:r>
        <w:rPr>
          <w:rFonts w:ascii="Arial" w:hAnsi="Arial"/>
          <w:sz w:val="18"/>
          <w:szCs w:val="20"/>
        </w:rPr>
        <w:fldChar w:fldCharType="separate"/>
      </w:r>
      <w:r>
        <w:rPr>
          <w:rFonts w:ascii="Arial" w:hAnsi="Arial"/>
          <w:sz w:val="18"/>
          <w:szCs w:val="20"/>
        </w:rPr>
        <w:instrText>3</w:instrText>
      </w:r>
      <w:r>
        <w:rPr>
          <w:rFonts w:ascii="Arial" w:hAnsi="Arial"/>
          <w:sz w:val="18"/>
          <w:szCs w:val="20"/>
        </w:rPr>
        <w:fldChar w:fldCharType="end"/>
      </w:r>
      <w:r>
        <w:rPr>
          <w:rFonts w:ascii="Arial" w:hAnsi="Arial"/>
          <w:sz w:val="18"/>
          <w:szCs w:val="20"/>
        </w:rPr>
        <w:instrText>)</w:instrText>
      </w:r>
      <w:r>
        <w:rPr>
          <w:rFonts w:ascii="Arial" w:hAnsi="Arial"/>
          <w:sz w:val="18"/>
          <w:szCs w:val="20"/>
        </w:rPr>
        <w:fldChar w:fldCharType="end"/>
      </w:r>
    </w:p>
    <w:p w14:paraId="25E19EBB" w14:textId="275F24C0" w:rsidR="00010742" w:rsidRPr="00020EA1" w:rsidRDefault="00020EA1">
      <w:pPr>
        <w:pStyle w:val="MTDisplayEquation"/>
        <w:ind w:left="180" w:hangingChars="100" w:hanging="180"/>
        <w:rPr>
          <w:rFonts w:ascii="Arial" w:eastAsiaTheme="minorEastAsia" w:hAnsi="Arial"/>
          <w:sz w:val="18"/>
          <w:szCs w:val="20"/>
          <w:lang w:eastAsia="zh-CN"/>
        </w:rPr>
      </w:pPr>
      <w:r w:rsidRPr="00020EA1">
        <w:rPr>
          <w:rFonts w:ascii="Arial" w:hAnsi="Arial"/>
          <w:position w:val="-10"/>
          <w:sz w:val="18"/>
          <w:szCs w:val="20"/>
        </w:rPr>
        <w:object w:dxaOrig="7280" w:dyaOrig="320" w14:anchorId="609DF6DD">
          <v:shape id="_x0000_i1028" type="#_x0000_t75" style="width:364.5pt;height:15.75pt" o:ole="">
            <v:imagedata r:id="rId16" o:title=""/>
          </v:shape>
          <o:OLEObject Type="Embed" ProgID="Equation.DSMT4" ShapeID="_x0000_i1028" DrawAspect="Content" ObjectID="_1809773541" r:id="rId17"/>
        </w:object>
      </w:r>
      <w:r>
        <w:rPr>
          <w:rFonts w:ascii="Arial" w:hAnsi="Arial" w:hint="eastAsia"/>
          <w:sz w:val="18"/>
          <w:szCs w:val="20"/>
        </w:rPr>
        <w:t xml:space="preserve">        </w:t>
      </w:r>
      <w:r>
        <w:rPr>
          <w:rFonts w:ascii="Arial" w:eastAsiaTheme="minorEastAsia" w:hAnsi="Arial" w:hint="eastAsia"/>
          <w:sz w:val="18"/>
          <w:szCs w:val="20"/>
          <w:lang w:eastAsia="zh-CN"/>
        </w:rPr>
        <w:t xml:space="preserve">  </w:t>
      </w:r>
      <w:r>
        <w:rPr>
          <w:rFonts w:ascii="Arial" w:hAnsi="Arial" w:hint="eastAsia"/>
          <w:sz w:val="18"/>
          <w:szCs w:val="20"/>
        </w:rPr>
        <w:t xml:space="preserve">      </w:t>
      </w:r>
      <w:r>
        <w:rPr>
          <w:rFonts w:ascii="Arial" w:eastAsiaTheme="minorEastAsia" w:hAnsi="Arial" w:hint="eastAsia"/>
          <w:sz w:val="18"/>
          <w:szCs w:val="20"/>
          <w:lang w:eastAsia="zh-CN"/>
        </w:rPr>
        <w:t>(4)</w:t>
      </w:r>
    </w:p>
    <w:p w14:paraId="5B933F67" w14:textId="77777777" w:rsidR="00010742" w:rsidRDefault="00000000">
      <w:pPr>
        <w:jc w:val="center"/>
      </w:pPr>
      <w:r>
        <w:rPr>
          <w:noProof/>
        </w:rPr>
        <w:lastRenderedPageBreak/>
        <w:drawing>
          <wp:inline distT="0" distB="0" distL="0" distR="0" wp14:anchorId="2714711A" wp14:editId="36C221CA">
            <wp:extent cx="2696005" cy="2246107"/>
            <wp:effectExtent l="0" t="0" r="0" b="1905"/>
            <wp:docPr id="18927915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791569" name="图片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697207" cy="2247109"/>
                    </a:xfrm>
                    <a:prstGeom prst="rect">
                      <a:avLst/>
                    </a:prstGeom>
                    <a:noFill/>
                  </pic:spPr>
                </pic:pic>
              </a:graphicData>
            </a:graphic>
          </wp:inline>
        </w:drawing>
      </w:r>
    </w:p>
    <w:p w14:paraId="3AF43998" w14:textId="77777777" w:rsidR="00010742" w:rsidRDefault="00000000">
      <w:pPr>
        <w:autoSpaceDE w:val="0"/>
        <w:jc w:val="center"/>
        <w:rPr>
          <w:rFonts w:eastAsia="MS PGothic"/>
          <w:bCs/>
          <w:i/>
          <w:sz w:val="20"/>
        </w:rPr>
      </w:pPr>
      <w:r>
        <w:rPr>
          <w:rFonts w:eastAsia="MS PGothic" w:hint="eastAsia"/>
          <w:bCs/>
          <w:i/>
          <w:sz w:val="20"/>
        </w:rPr>
        <w:t>Figure 3:  Improved CVSS model</w:t>
      </w:r>
    </w:p>
    <w:p w14:paraId="46525AA1" w14:textId="77777777" w:rsidR="00010742" w:rsidRDefault="00000000">
      <w:pPr>
        <w:autoSpaceDE w:val="0"/>
        <w:outlineLvl w:val="1"/>
        <w:rPr>
          <w:rFonts w:eastAsia="MS PGothic"/>
          <w:b/>
          <w:sz w:val="22"/>
          <w:lang w:val="en-US"/>
        </w:rPr>
      </w:pPr>
      <w:r>
        <w:rPr>
          <w:rFonts w:eastAsia="MS PGothic" w:hint="eastAsia"/>
          <w:b/>
          <w:sz w:val="22"/>
          <w:lang w:val="en-US"/>
        </w:rPr>
        <w:t>2.5 Index system verification</w:t>
      </w:r>
    </w:p>
    <w:p w14:paraId="606BA73B" w14:textId="77777777" w:rsidR="00010742" w:rsidRDefault="00000000">
      <w:pPr>
        <w:autoSpaceDE w:val="0"/>
        <w:ind w:firstLineChars="200" w:firstLine="440"/>
        <w:rPr>
          <w:rFonts w:eastAsia="MS PGothic"/>
          <w:sz w:val="22"/>
        </w:rPr>
      </w:pPr>
      <w:r>
        <w:rPr>
          <w:rFonts w:eastAsia="MS PGothic" w:hint="eastAsia"/>
          <w:sz w:val="22"/>
        </w:rPr>
        <w:t>In this section, the MATLAB multiple linear regression tool is used to calculate the standard error, and R</w:t>
      </w:r>
      <w:r>
        <w:rPr>
          <w:rFonts w:eastAsia="MS PGothic" w:hint="eastAsia"/>
          <w:sz w:val="22"/>
        </w:rPr>
        <w:t>²</w:t>
      </w:r>
      <w:r>
        <w:rPr>
          <w:rFonts w:eastAsia="MS PGothic" w:hint="eastAsia"/>
          <w:sz w:val="22"/>
        </w:rPr>
        <w:t xml:space="preserve"> of the regression parameters between CWE group density, average impact score, average exploitability score, and CWE group exploit density, in order to verify the effectiveness of the index system. As shown in Table 1, there is a significant correlation between CWE group density and exploit density. Moreover, after applying the improved CVSS model, the R</w:t>
      </w:r>
      <w:r>
        <w:rPr>
          <w:rFonts w:eastAsia="MS PGothic" w:hint="eastAsia"/>
          <w:sz w:val="22"/>
        </w:rPr>
        <w:t>²</w:t>
      </w:r>
      <w:r>
        <w:rPr>
          <w:rFonts w:eastAsia="MS PGothic" w:hint="eastAsia"/>
          <w:sz w:val="22"/>
        </w:rPr>
        <w:t xml:space="preserve"> value increased from 0.955 to 0.994, demonstrating the effectiveness of the vulnerability assessment index system.</w:t>
      </w:r>
    </w:p>
    <w:p w14:paraId="1CFB6CFC" w14:textId="77777777" w:rsidR="00010742" w:rsidRDefault="00000000">
      <w:pPr>
        <w:jc w:val="center"/>
        <w:rPr>
          <w:rFonts w:eastAsia="MS PGothic"/>
          <w:bCs/>
          <w:i/>
          <w:sz w:val="20"/>
        </w:rPr>
      </w:pPr>
      <w:r>
        <w:rPr>
          <w:rFonts w:eastAsia="MS PGothic" w:hint="eastAsia"/>
          <w:bCs/>
          <w:i/>
          <w:sz w:val="20"/>
        </w:rPr>
        <w:t>Table 1</w:t>
      </w:r>
      <w:r>
        <w:rPr>
          <w:rFonts w:eastAsia="MS PGothic" w:hint="eastAsia"/>
          <w:bCs/>
          <w:i/>
          <w:sz w:val="20"/>
        </w:rPr>
        <w:t>：</w:t>
      </w:r>
      <w:r>
        <w:rPr>
          <w:rFonts w:eastAsia="MS PGothic"/>
          <w:bCs/>
          <w:i/>
          <w:sz w:val="20"/>
        </w:rPr>
        <w:t>Results of Multiple Linear Regression</w:t>
      </w:r>
    </w:p>
    <w:tbl>
      <w:tblPr>
        <w:tblStyle w:val="Grigliatabella"/>
        <w:tblW w:w="0" w:type="auto"/>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727"/>
        <w:gridCol w:w="1843"/>
        <w:gridCol w:w="2060"/>
      </w:tblGrid>
      <w:tr w:rsidR="00010742" w14:paraId="6D866934" w14:textId="77777777">
        <w:trPr>
          <w:jc w:val="center"/>
        </w:trPr>
        <w:tc>
          <w:tcPr>
            <w:tcW w:w="2727" w:type="dxa"/>
            <w:tcBorders>
              <w:top w:val="single" w:sz="12" w:space="0" w:color="auto"/>
              <w:left w:val="nil"/>
              <w:bottom w:val="single" w:sz="12" w:space="0" w:color="auto"/>
              <w:right w:val="nil"/>
            </w:tcBorders>
          </w:tcPr>
          <w:p w14:paraId="7490BE42" w14:textId="77777777" w:rsidR="00010742" w:rsidRDefault="00000000">
            <w:pPr>
              <w:jc w:val="center"/>
              <w:rPr>
                <w:b/>
                <w:bCs/>
              </w:rPr>
            </w:pPr>
            <w:r>
              <w:rPr>
                <w:b/>
                <w:bCs/>
              </w:rPr>
              <w:t xml:space="preserve">Traditional </w:t>
            </w:r>
            <w:r>
              <w:rPr>
                <w:rFonts w:hint="eastAsia"/>
                <w:b/>
                <w:bCs/>
              </w:rPr>
              <w:t>CVSS</w:t>
            </w:r>
            <w:r>
              <w:rPr>
                <w:b/>
                <w:bCs/>
              </w:rPr>
              <w:t xml:space="preserve"> model</w:t>
            </w:r>
          </w:p>
        </w:tc>
        <w:tc>
          <w:tcPr>
            <w:tcW w:w="1843" w:type="dxa"/>
            <w:tcBorders>
              <w:top w:val="single" w:sz="12" w:space="0" w:color="auto"/>
              <w:left w:val="nil"/>
              <w:bottom w:val="single" w:sz="12" w:space="0" w:color="auto"/>
              <w:right w:val="nil"/>
            </w:tcBorders>
          </w:tcPr>
          <w:p w14:paraId="6FDFEB73" w14:textId="77777777" w:rsidR="00010742" w:rsidRDefault="00000000">
            <w:pPr>
              <w:jc w:val="center"/>
              <w:rPr>
                <w:b/>
                <w:bCs/>
              </w:rPr>
            </w:pPr>
            <w:r>
              <w:rPr>
                <w:rFonts w:hint="eastAsia"/>
                <w:b/>
                <w:bCs/>
              </w:rPr>
              <w:t>Estimate</w:t>
            </w:r>
          </w:p>
        </w:tc>
        <w:tc>
          <w:tcPr>
            <w:tcW w:w="2060" w:type="dxa"/>
            <w:tcBorders>
              <w:top w:val="single" w:sz="12" w:space="0" w:color="auto"/>
              <w:left w:val="nil"/>
              <w:bottom w:val="single" w:sz="12" w:space="0" w:color="auto"/>
              <w:right w:val="nil"/>
            </w:tcBorders>
          </w:tcPr>
          <w:p w14:paraId="7C58962E" w14:textId="77777777" w:rsidR="00010742" w:rsidRDefault="00000000">
            <w:pPr>
              <w:jc w:val="center"/>
              <w:rPr>
                <w:b/>
                <w:bCs/>
              </w:rPr>
            </w:pPr>
            <w:r>
              <w:rPr>
                <w:rFonts w:hint="eastAsia"/>
                <w:b/>
                <w:bCs/>
              </w:rPr>
              <w:t>S</w:t>
            </w:r>
            <w:r>
              <w:rPr>
                <w:b/>
                <w:bCs/>
              </w:rPr>
              <w:t xml:space="preserve">tandard </w:t>
            </w:r>
            <w:r>
              <w:rPr>
                <w:rFonts w:hint="eastAsia"/>
                <w:b/>
                <w:bCs/>
              </w:rPr>
              <w:t>error</w:t>
            </w:r>
          </w:p>
        </w:tc>
      </w:tr>
      <w:tr w:rsidR="00010742" w14:paraId="7D709AD3" w14:textId="77777777">
        <w:trPr>
          <w:jc w:val="center"/>
        </w:trPr>
        <w:tc>
          <w:tcPr>
            <w:tcW w:w="2727" w:type="dxa"/>
            <w:tcBorders>
              <w:top w:val="single" w:sz="12" w:space="0" w:color="auto"/>
              <w:left w:val="nil"/>
              <w:bottom w:val="nil"/>
              <w:right w:val="nil"/>
            </w:tcBorders>
          </w:tcPr>
          <w:p w14:paraId="587EF1E4" w14:textId="77777777" w:rsidR="00010742" w:rsidRDefault="00000000">
            <w:pPr>
              <w:jc w:val="center"/>
            </w:pPr>
            <w:r>
              <w:rPr>
                <w:rFonts w:hint="eastAsia"/>
              </w:rPr>
              <w:t>Intercept</w:t>
            </w:r>
          </w:p>
        </w:tc>
        <w:tc>
          <w:tcPr>
            <w:tcW w:w="1843" w:type="dxa"/>
            <w:tcBorders>
              <w:top w:val="single" w:sz="12" w:space="0" w:color="auto"/>
              <w:left w:val="nil"/>
              <w:bottom w:val="nil"/>
              <w:right w:val="nil"/>
            </w:tcBorders>
          </w:tcPr>
          <w:p w14:paraId="1912975D" w14:textId="77777777" w:rsidR="00010742" w:rsidRDefault="00000000">
            <w:pPr>
              <w:jc w:val="center"/>
              <w:rPr>
                <w:rFonts w:eastAsiaTheme="minorEastAsia"/>
              </w:rPr>
            </w:pPr>
            <w:r>
              <w:rPr>
                <w:rFonts w:hint="eastAsia"/>
              </w:rPr>
              <w:t>-</w:t>
            </w:r>
            <w:r>
              <w:rPr>
                <w:rFonts w:eastAsiaTheme="minorEastAsia" w:hint="eastAsia"/>
              </w:rPr>
              <w:t>0.119</w:t>
            </w:r>
          </w:p>
        </w:tc>
        <w:tc>
          <w:tcPr>
            <w:tcW w:w="2060" w:type="dxa"/>
            <w:tcBorders>
              <w:top w:val="single" w:sz="12" w:space="0" w:color="auto"/>
              <w:left w:val="nil"/>
              <w:bottom w:val="nil"/>
              <w:right w:val="nil"/>
            </w:tcBorders>
          </w:tcPr>
          <w:p w14:paraId="794594F6" w14:textId="77777777" w:rsidR="00010742" w:rsidRDefault="00000000">
            <w:pPr>
              <w:jc w:val="center"/>
              <w:rPr>
                <w:rFonts w:eastAsiaTheme="minorEastAsia"/>
              </w:rPr>
            </w:pPr>
            <w:r>
              <w:rPr>
                <w:rFonts w:eastAsiaTheme="minorEastAsia" w:hint="eastAsia"/>
              </w:rPr>
              <w:t>0.283</w:t>
            </w:r>
          </w:p>
        </w:tc>
      </w:tr>
      <w:tr w:rsidR="00010742" w14:paraId="2290F7C7" w14:textId="77777777">
        <w:trPr>
          <w:jc w:val="center"/>
        </w:trPr>
        <w:tc>
          <w:tcPr>
            <w:tcW w:w="2727" w:type="dxa"/>
            <w:tcBorders>
              <w:top w:val="nil"/>
              <w:left w:val="nil"/>
              <w:bottom w:val="nil"/>
              <w:right w:val="nil"/>
            </w:tcBorders>
          </w:tcPr>
          <w:p w14:paraId="63F07B6C" w14:textId="77777777" w:rsidR="00010742" w:rsidRDefault="00000000">
            <w:pPr>
              <w:jc w:val="center"/>
            </w:pPr>
            <w:r>
              <w:rPr>
                <w:rFonts w:hint="eastAsia"/>
              </w:rPr>
              <w:t>CWE group density</w:t>
            </w:r>
          </w:p>
        </w:tc>
        <w:tc>
          <w:tcPr>
            <w:tcW w:w="1843" w:type="dxa"/>
            <w:tcBorders>
              <w:top w:val="nil"/>
              <w:left w:val="nil"/>
              <w:bottom w:val="nil"/>
              <w:right w:val="nil"/>
            </w:tcBorders>
          </w:tcPr>
          <w:p w14:paraId="1BBBD84C" w14:textId="77777777" w:rsidR="00010742" w:rsidRDefault="00000000">
            <w:pPr>
              <w:jc w:val="center"/>
              <w:rPr>
                <w:rFonts w:eastAsiaTheme="minorEastAsia"/>
              </w:rPr>
            </w:pPr>
            <w:r>
              <w:rPr>
                <w:rFonts w:eastAsiaTheme="minorEastAsia" w:hint="eastAsia"/>
              </w:rPr>
              <w:t>1.004</w:t>
            </w:r>
          </w:p>
        </w:tc>
        <w:tc>
          <w:tcPr>
            <w:tcW w:w="2060" w:type="dxa"/>
            <w:tcBorders>
              <w:top w:val="nil"/>
              <w:left w:val="nil"/>
              <w:bottom w:val="nil"/>
              <w:right w:val="nil"/>
            </w:tcBorders>
          </w:tcPr>
          <w:p w14:paraId="10658AF8" w14:textId="77777777" w:rsidR="00010742" w:rsidRDefault="00000000">
            <w:pPr>
              <w:jc w:val="center"/>
              <w:rPr>
                <w:rFonts w:eastAsiaTheme="minorEastAsia"/>
              </w:rPr>
            </w:pPr>
            <w:r>
              <w:rPr>
                <w:rFonts w:eastAsiaTheme="minorEastAsia" w:hint="eastAsia"/>
              </w:rPr>
              <w:t>0.734</w:t>
            </w:r>
          </w:p>
        </w:tc>
      </w:tr>
      <w:tr w:rsidR="00010742" w14:paraId="69713484" w14:textId="77777777">
        <w:trPr>
          <w:jc w:val="center"/>
        </w:trPr>
        <w:tc>
          <w:tcPr>
            <w:tcW w:w="2727" w:type="dxa"/>
            <w:tcBorders>
              <w:top w:val="nil"/>
              <w:left w:val="nil"/>
              <w:bottom w:val="nil"/>
              <w:right w:val="nil"/>
            </w:tcBorders>
          </w:tcPr>
          <w:p w14:paraId="2E7E632A" w14:textId="77777777" w:rsidR="00010742" w:rsidRDefault="00000000">
            <w:pPr>
              <w:jc w:val="center"/>
            </w:pPr>
            <w:r>
              <w:t>average impact score</w:t>
            </w:r>
          </w:p>
        </w:tc>
        <w:tc>
          <w:tcPr>
            <w:tcW w:w="1843" w:type="dxa"/>
            <w:tcBorders>
              <w:top w:val="nil"/>
              <w:left w:val="nil"/>
              <w:bottom w:val="nil"/>
              <w:right w:val="nil"/>
            </w:tcBorders>
          </w:tcPr>
          <w:p w14:paraId="41AEFBE1" w14:textId="77777777" w:rsidR="00010742" w:rsidRDefault="00000000">
            <w:pPr>
              <w:jc w:val="center"/>
              <w:rPr>
                <w:rFonts w:eastAsiaTheme="minorEastAsia"/>
              </w:rPr>
            </w:pPr>
            <w:r>
              <w:rPr>
                <w:rFonts w:eastAsiaTheme="minorEastAsia" w:hint="eastAsia"/>
              </w:rPr>
              <w:t>0.021</w:t>
            </w:r>
          </w:p>
        </w:tc>
        <w:tc>
          <w:tcPr>
            <w:tcW w:w="2060" w:type="dxa"/>
            <w:tcBorders>
              <w:top w:val="nil"/>
              <w:left w:val="nil"/>
              <w:bottom w:val="nil"/>
              <w:right w:val="nil"/>
            </w:tcBorders>
          </w:tcPr>
          <w:p w14:paraId="7101B45C" w14:textId="77777777" w:rsidR="00010742" w:rsidRDefault="00000000">
            <w:pPr>
              <w:jc w:val="center"/>
              <w:rPr>
                <w:rFonts w:eastAsiaTheme="minorEastAsia"/>
              </w:rPr>
            </w:pPr>
            <w:r>
              <w:rPr>
                <w:rFonts w:eastAsiaTheme="minorEastAsia" w:hint="eastAsia"/>
              </w:rPr>
              <w:t>0.029</w:t>
            </w:r>
          </w:p>
        </w:tc>
      </w:tr>
      <w:tr w:rsidR="00010742" w14:paraId="282FA48D" w14:textId="77777777">
        <w:trPr>
          <w:jc w:val="center"/>
        </w:trPr>
        <w:tc>
          <w:tcPr>
            <w:tcW w:w="2727" w:type="dxa"/>
            <w:tcBorders>
              <w:top w:val="nil"/>
              <w:left w:val="nil"/>
              <w:bottom w:val="nil"/>
              <w:right w:val="nil"/>
            </w:tcBorders>
          </w:tcPr>
          <w:p w14:paraId="36F898FA" w14:textId="77777777" w:rsidR="00010742" w:rsidRDefault="00000000">
            <w:pPr>
              <w:jc w:val="center"/>
            </w:pPr>
            <w:r>
              <w:t>average exploitability score</w:t>
            </w:r>
          </w:p>
        </w:tc>
        <w:tc>
          <w:tcPr>
            <w:tcW w:w="1843" w:type="dxa"/>
            <w:tcBorders>
              <w:top w:val="nil"/>
              <w:left w:val="nil"/>
              <w:bottom w:val="nil"/>
              <w:right w:val="nil"/>
            </w:tcBorders>
          </w:tcPr>
          <w:p w14:paraId="7A116D4F" w14:textId="77777777" w:rsidR="00010742" w:rsidRDefault="00000000">
            <w:pPr>
              <w:jc w:val="center"/>
              <w:rPr>
                <w:rFonts w:eastAsiaTheme="minorEastAsia"/>
              </w:rPr>
            </w:pPr>
            <w:r>
              <w:rPr>
                <w:rFonts w:eastAsiaTheme="minorEastAsia" w:hint="eastAsia"/>
              </w:rPr>
              <w:t>0.021</w:t>
            </w:r>
          </w:p>
        </w:tc>
        <w:tc>
          <w:tcPr>
            <w:tcW w:w="2060" w:type="dxa"/>
            <w:tcBorders>
              <w:top w:val="nil"/>
              <w:left w:val="nil"/>
              <w:bottom w:val="nil"/>
              <w:right w:val="nil"/>
            </w:tcBorders>
          </w:tcPr>
          <w:p w14:paraId="099B5C46" w14:textId="77777777" w:rsidR="00010742" w:rsidRDefault="00000000">
            <w:pPr>
              <w:jc w:val="center"/>
              <w:rPr>
                <w:rFonts w:eastAsiaTheme="minorEastAsia"/>
              </w:rPr>
            </w:pPr>
            <w:r>
              <w:rPr>
                <w:rFonts w:eastAsiaTheme="minorEastAsia" w:hint="eastAsia"/>
              </w:rPr>
              <w:t>0.095</w:t>
            </w:r>
          </w:p>
        </w:tc>
      </w:tr>
      <w:tr w:rsidR="00010742" w14:paraId="0C6A8FBF" w14:textId="77777777">
        <w:trPr>
          <w:jc w:val="center"/>
        </w:trPr>
        <w:tc>
          <w:tcPr>
            <w:tcW w:w="2727" w:type="dxa"/>
            <w:tcBorders>
              <w:top w:val="nil"/>
              <w:left w:val="nil"/>
              <w:bottom w:val="nil"/>
              <w:right w:val="nil"/>
            </w:tcBorders>
          </w:tcPr>
          <w:p w14:paraId="46C874C3" w14:textId="77777777" w:rsidR="00010742" w:rsidRDefault="00000000">
            <w:pPr>
              <w:jc w:val="center"/>
              <w:rPr>
                <w:b/>
                <w:bCs/>
              </w:rPr>
            </w:pPr>
            <w:r>
              <w:rPr>
                <w:rFonts w:hint="eastAsia"/>
                <w:b/>
                <w:bCs/>
              </w:rPr>
              <w:t>R</w:t>
            </w:r>
            <w:r>
              <w:rPr>
                <w:rFonts w:hint="eastAsia"/>
                <w:b/>
                <w:bCs/>
                <w:vertAlign w:val="superscript"/>
              </w:rPr>
              <w:t>2</w:t>
            </w:r>
          </w:p>
        </w:tc>
        <w:tc>
          <w:tcPr>
            <w:tcW w:w="1843" w:type="dxa"/>
            <w:tcBorders>
              <w:top w:val="nil"/>
              <w:left w:val="nil"/>
              <w:bottom w:val="nil"/>
              <w:right w:val="nil"/>
            </w:tcBorders>
          </w:tcPr>
          <w:p w14:paraId="133437E1" w14:textId="77777777" w:rsidR="00010742" w:rsidRDefault="00000000">
            <w:pPr>
              <w:jc w:val="center"/>
              <w:rPr>
                <w:rFonts w:eastAsiaTheme="minorEastAsia"/>
              </w:rPr>
            </w:pPr>
            <w:r>
              <w:rPr>
                <w:rFonts w:hint="eastAsia"/>
              </w:rPr>
              <w:t>0.9</w:t>
            </w:r>
            <w:r>
              <w:rPr>
                <w:rFonts w:eastAsiaTheme="minorEastAsia" w:hint="eastAsia"/>
              </w:rPr>
              <w:t>55</w:t>
            </w:r>
          </w:p>
        </w:tc>
        <w:tc>
          <w:tcPr>
            <w:tcW w:w="2060" w:type="dxa"/>
            <w:tcBorders>
              <w:top w:val="nil"/>
              <w:left w:val="nil"/>
              <w:bottom w:val="nil"/>
              <w:right w:val="nil"/>
            </w:tcBorders>
          </w:tcPr>
          <w:p w14:paraId="555080D0" w14:textId="77777777" w:rsidR="00010742" w:rsidRDefault="00010742">
            <w:pPr>
              <w:jc w:val="center"/>
            </w:pPr>
          </w:p>
        </w:tc>
      </w:tr>
      <w:tr w:rsidR="00010742" w14:paraId="3A0EA195" w14:textId="77777777">
        <w:trPr>
          <w:jc w:val="center"/>
        </w:trPr>
        <w:tc>
          <w:tcPr>
            <w:tcW w:w="2727" w:type="dxa"/>
            <w:tcBorders>
              <w:top w:val="nil"/>
              <w:left w:val="nil"/>
              <w:bottom w:val="nil"/>
              <w:right w:val="nil"/>
            </w:tcBorders>
          </w:tcPr>
          <w:p w14:paraId="6F19403E" w14:textId="77777777" w:rsidR="00010742" w:rsidRDefault="00000000">
            <w:pPr>
              <w:jc w:val="center"/>
              <w:rPr>
                <w:b/>
                <w:bCs/>
              </w:rPr>
            </w:pPr>
            <w:r>
              <w:rPr>
                <w:rFonts w:hint="eastAsia"/>
                <w:b/>
                <w:bCs/>
              </w:rPr>
              <w:t>Improved CVSS model</w:t>
            </w:r>
          </w:p>
        </w:tc>
        <w:tc>
          <w:tcPr>
            <w:tcW w:w="1843" w:type="dxa"/>
            <w:tcBorders>
              <w:top w:val="nil"/>
              <w:left w:val="nil"/>
              <w:bottom w:val="nil"/>
              <w:right w:val="nil"/>
            </w:tcBorders>
          </w:tcPr>
          <w:p w14:paraId="36C26AA8" w14:textId="77777777" w:rsidR="00010742" w:rsidRDefault="00000000">
            <w:pPr>
              <w:jc w:val="center"/>
              <w:rPr>
                <w:b/>
                <w:bCs/>
              </w:rPr>
            </w:pPr>
            <w:r>
              <w:rPr>
                <w:rFonts w:hint="eastAsia"/>
                <w:b/>
                <w:bCs/>
              </w:rPr>
              <w:t>Estimate</w:t>
            </w:r>
          </w:p>
        </w:tc>
        <w:tc>
          <w:tcPr>
            <w:tcW w:w="2060" w:type="dxa"/>
            <w:tcBorders>
              <w:top w:val="nil"/>
              <w:left w:val="nil"/>
              <w:bottom w:val="nil"/>
              <w:right w:val="nil"/>
            </w:tcBorders>
          </w:tcPr>
          <w:p w14:paraId="5B828AAB" w14:textId="77777777" w:rsidR="00010742" w:rsidRDefault="00000000">
            <w:pPr>
              <w:jc w:val="center"/>
              <w:rPr>
                <w:b/>
                <w:bCs/>
              </w:rPr>
            </w:pPr>
            <w:r>
              <w:rPr>
                <w:rFonts w:hint="eastAsia"/>
                <w:b/>
                <w:bCs/>
              </w:rPr>
              <w:t>S</w:t>
            </w:r>
            <w:r>
              <w:rPr>
                <w:b/>
                <w:bCs/>
              </w:rPr>
              <w:t xml:space="preserve">tandard </w:t>
            </w:r>
            <w:r>
              <w:rPr>
                <w:rFonts w:hint="eastAsia"/>
                <w:b/>
                <w:bCs/>
              </w:rPr>
              <w:t>error</w:t>
            </w:r>
          </w:p>
        </w:tc>
      </w:tr>
      <w:tr w:rsidR="00010742" w14:paraId="61E0B535" w14:textId="77777777">
        <w:trPr>
          <w:jc w:val="center"/>
        </w:trPr>
        <w:tc>
          <w:tcPr>
            <w:tcW w:w="2727" w:type="dxa"/>
            <w:tcBorders>
              <w:top w:val="nil"/>
              <w:left w:val="nil"/>
              <w:bottom w:val="nil"/>
              <w:right w:val="nil"/>
            </w:tcBorders>
          </w:tcPr>
          <w:p w14:paraId="5E599457" w14:textId="77777777" w:rsidR="00010742" w:rsidRDefault="00000000">
            <w:pPr>
              <w:jc w:val="center"/>
            </w:pPr>
            <w:r>
              <w:rPr>
                <w:rFonts w:hint="eastAsia"/>
              </w:rPr>
              <w:t>Intercept</w:t>
            </w:r>
          </w:p>
        </w:tc>
        <w:tc>
          <w:tcPr>
            <w:tcW w:w="1843" w:type="dxa"/>
            <w:tcBorders>
              <w:top w:val="nil"/>
              <w:left w:val="nil"/>
              <w:bottom w:val="nil"/>
              <w:right w:val="nil"/>
            </w:tcBorders>
          </w:tcPr>
          <w:p w14:paraId="2D9CA4D3" w14:textId="77777777" w:rsidR="00010742" w:rsidRDefault="00000000">
            <w:pPr>
              <w:jc w:val="center"/>
              <w:rPr>
                <w:rFonts w:eastAsiaTheme="minorEastAsia"/>
              </w:rPr>
            </w:pPr>
            <w:r>
              <w:rPr>
                <w:rFonts w:hint="eastAsia"/>
              </w:rPr>
              <w:t>-</w:t>
            </w:r>
            <w:r>
              <w:rPr>
                <w:rFonts w:eastAsiaTheme="minorEastAsia" w:hint="eastAsia"/>
              </w:rPr>
              <w:t>0.634</w:t>
            </w:r>
          </w:p>
        </w:tc>
        <w:tc>
          <w:tcPr>
            <w:tcW w:w="2060" w:type="dxa"/>
            <w:tcBorders>
              <w:top w:val="nil"/>
              <w:left w:val="nil"/>
              <w:bottom w:val="nil"/>
              <w:right w:val="nil"/>
            </w:tcBorders>
          </w:tcPr>
          <w:p w14:paraId="6D6BF69C" w14:textId="77777777" w:rsidR="00010742" w:rsidRDefault="00000000">
            <w:pPr>
              <w:jc w:val="center"/>
              <w:rPr>
                <w:rFonts w:eastAsiaTheme="minorEastAsia"/>
              </w:rPr>
            </w:pPr>
            <w:r>
              <w:rPr>
                <w:rFonts w:eastAsiaTheme="minorEastAsia" w:hint="eastAsia"/>
              </w:rPr>
              <w:t>0.257</w:t>
            </w:r>
          </w:p>
        </w:tc>
      </w:tr>
      <w:tr w:rsidR="00010742" w14:paraId="71285D60" w14:textId="77777777">
        <w:trPr>
          <w:jc w:val="center"/>
        </w:trPr>
        <w:tc>
          <w:tcPr>
            <w:tcW w:w="2727" w:type="dxa"/>
            <w:tcBorders>
              <w:top w:val="nil"/>
              <w:left w:val="nil"/>
              <w:bottom w:val="nil"/>
              <w:right w:val="nil"/>
            </w:tcBorders>
          </w:tcPr>
          <w:p w14:paraId="049499E2" w14:textId="77777777" w:rsidR="00010742" w:rsidRDefault="00000000">
            <w:pPr>
              <w:jc w:val="center"/>
            </w:pPr>
            <w:r>
              <w:rPr>
                <w:rFonts w:hint="eastAsia"/>
              </w:rPr>
              <w:t>CWE group density</w:t>
            </w:r>
          </w:p>
        </w:tc>
        <w:tc>
          <w:tcPr>
            <w:tcW w:w="1843" w:type="dxa"/>
            <w:tcBorders>
              <w:top w:val="nil"/>
              <w:left w:val="nil"/>
              <w:bottom w:val="nil"/>
              <w:right w:val="nil"/>
            </w:tcBorders>
          </w:tcPr>
          <w:p w14:paraId="53E02E98" w14:textId="77777777" w:rsidR="00010742" w:rsidRDefault="00000000">
            <w:pPr>
              <w:jc w:val="center"/>
              <w:rPr>
                <w:rFonts w:eastAsiaTheme="minorEastAsia"/>
              </w:rPr>
            </w:pPr>
            <w:r>
              <w:rPr>
                <w:rFonts w:eastAsiaTheme="minorEastAsia" w:hint="eastAsia"/>
              </w:rPr>
              <w:t>0.167</w:t>
            </w:r>
          </w:p>
        </w:tc>
        <w:tc>
          <w:tcPr>
            <w:tcW w:w="2060" w:type="dxa"/>
            <w:tcBorders>
              <w:top w:val="nil"/>
              <w:left w:val="nil"/>
              <w:bottom w:val="nil"/>
              <w:right w:val="nil"/>
            </w:tcBorders>
          </w:tcPr>
          <w:p w14:paraId="5A685F99" w14:textId="77777777" w:rsidR="00010742" w:rsidRDefault="00000000">
            <w:pPr>
              <w:jc w:val="center"/>
              <w:rPr>
                <w:rFonts w:eastAsiaTheme="minorEastAsia"/>
              </w:rPr>
            </w:pPr>
            <w:r>
              <w:rPr>
                <w:rFonts w:eastAsiaTheme="minorEastAsia" w:hint="eastAsia"/>
              </w:rPr>
              <w:t>0.013</w:t>
            </w:r>
          </w:p>
        </w:tc>
      </w:tr>
      <w:tr w:rsidR="00010742" w14:paraId="56E5C71D" w14:textId="77777777">
        <w:trPr>
          <w:jc w:val="center"/>
        </w:trPr>
        <w:tc>
          <w:tcPr>
            <w:tcW w:w="2727" w:type="dxa"/>
            <w:tcBorders>
              <w:top w:val="nil"/>
              <w:left w:val="nil"/>
              <w:bottom w:val="nil"/>
              <w:right w:val="nil"/>
            </w:tcBorders>
          </w:tcPr>
          <w:p w14:paraId="34932230" w14:textId="77777777" w:rsidR="00010742" w:rsidRDefault="00000000">
            <w:pPr>
              <w:jc w:val="center"/>
            </w:pPr>
            <w:r>
              <w:t>average impact score</w:t>
            </w:r>
          </w:p>
        </w:tc>
        <w:tc>
          <w:tcPr>
            <w:tcW w:w="1843" w:type="dxa"/>
            <w:tcBorders>
              <w:top w:val="nil"/>
              <w:left w:val="nil"/>
              <w:bottom w:val="nil"/>
              <w:right w:val="nil"/>
            </w:tcBorders>
          </w:tcPr>
          <w:p w14:paraId="0B935E16" w14:textId="77777777" w:rsidR="00010742" w:rsidRDefault="00000000">
            <w:pPr>
              <w:jc w:val="center"/>
              <w:rPr>
                <w:rFonts w:eastAsiaTheme="minorEastAsia"/>
              </w:rPr>
            </w:pPr>
            <w:r>
              <w:rPr>
                <w:rFonts w:hint="eastAsia"/>
              </w:rPr>
              <w:t>0.</w:t>
            </w:r>
            <w:r>
              <w:rPr>
                <w:rFonts w:eastAsiaTheme="minorEastAsia" w:hint="eastAsia"/>
              </w:rPr>
              <w:t>185</w:t>
            </w:r>
          </w:p>
        </w:tc>
        <w:tc>
          <w:tcPr>
            <w:tcW w:w="2060" w:type="dxa"/>
            <w:tcBorders>
              <w:top w:val="nil"/>
              <w:left w:val="nil"/>
              <w:bottom w:val="nil"/>
              <w:right w:val="nil"/>
            </w:tcBorders>
          </w:tcPr>
          <w:p w14:paraId="2F8D32E2" w14:textId="77777777" w:rsidR="00010742" w:rsidRDefault="00000000">
            <w:pPr>
              <w:jc w:val="center"/>
              <w:rPr>
                <w:rFonts w:eastAsiaTheme="minorEastAsia"/>
              </w:rPr>
            </w:pPr>
            <w:r>
              <w:rPr>
                <w:rFonts w:eastAsiaTheme="minorEastAsia" w:hint="eastAsia"/>
              </w:rPr>
              <w:t>0.067</w:t>
            </w:r>
          </w:p>
        </w:tc>
      </w:tr>
      <w:tr w:rsidR="00010742" w14:paraId="199C8D5B" w14:textId="77777777">
        <w:trPr>
          <w:jc w:val="center"/>
        </w:trPr>
        <w:tc>
          <w:tcPr>
            <w:tcW w:w="2727" w:type="dxa"/>
            <w:tcBorders>
              <w:top w:val="nil"/>
              <w:left w:val="nil"/>
              <w:bottom w:val="nil"/>
              <w:right w:val="nil"/>
            </w:tcBorders>
          </w:tcPr>
          <w:p w14:paraId="48149A85" w14:textId="77777777" w:rsidR="00010742" w:rsidRDefault="00000000">
            <w:pPr>
              <w:jc w:val="center"/>
            </w:pPr>
            <w:r>
              <w:t>average exploitability score</w:t>
            </w:r>
          </w:p>
        </w:tc>
        <w:tc>
          <w:tcPr>
            <w:tcW w:w="1843" w:type="dxa"/>
            <w:tcBorders>
              <w:top w:val="nil"/>
              <w:left w:val="nil"/>
              <w:bottom w:val="nil"/>
              <w:right w:val="nil"/>
            </w:tcBorders>
          </w:tcPr>
          <w:p w14:paraId="5978CB3D" w14:textId="77777777" w:rsidR="00010742" w:rsidRDefault="00000000">
            <w:pPr>
              <w:jc w:val="center"/>
              <w:rPr>
                <w:rFonts w:eastAsiaTheme="minorEastAsia"/>
              </w:rPr>
            </w:pPr>
            <w:r>
              <w:rPr>
                <w:rFonts w:eastAsiaTheme="minorEastAsia" w:hint="eastAsia"/>
              </w:rPr>
              <w:t>0.044</w:t>
            </w:r>
          </w:p>
        </w:tc>
        <w:tc>
          <w:tcPr>
            <w:tcW w:w="2060" w:type="dxa"/>
            <w:tcBorders>
              <w:top w:val="nil"/>
              <w:left w:val="nil"/>
              <w:bottom w:val="nil"/>
              <w:right w:val="nil"/>
            </w:tcBorders>
          </w:tcPr>
          <w:p w14:paraId="0A19C4B8" w14:textId="77777777" w:rsidR="00010742" w:rsidRDefault="00000000">
            <w:pPr>
              <w:jc w:val="center"/>
              <w:rPr>
                <w:rFonts w:eastAsiaTheme="minorEastAsia"/>
              </w:rPr>
            </w:pPr>
            <w:r>
              <w:rPr>
                <w:rFonts w:hint="eastAsia"/>
              </w:rPr>
              <w:t>0.</w:t>
            </w:r>
            <w:r>
              <w:rPr>
                <w:rFonts w:eastAsiaTheme="minorEastAsia" w:hint="eastAsia"/>
              </w:rPr>
              <w:t>034</w:t>
            </w:r>
          </w:p>
        </w:tc>
      </w:tr>
      <w:tr w:rsidR="00010742" w14:paraId="3520D95E" w14:textId="77777777">
        <w:trPr>
          <w:jc w:val="center"/>
        </w:trPr>
        <w:tc>
          <w:tcPr>
            <w:tcW w:w="2727" w:type="dxa"/>
            <w:tcBorders>
              <w:top w:val="nil"/>
              <w:left w:val="nil"/>
              <w:bottom w:val="single" w:sz="12" w:space="0" w:color="auto"/>
              <w:right w:val="nil"/>
            </w:tcBorders>
          </w:tcPr>
          <w:p w14:paraId="25E78C9D" w14:textId="77777777" w:rsidR="00010742" w:rsidRDefault="00000000">
            <w:pPr>
              <w:jc w:val="center"/>
              <w:rPr>
                <w:b/>
                <w:bCs/>
              </w:rPr>
            </w:pPr>
            <w:r>
              <w:rPr>
                <w:rFonts w:hint="eastAsia"/>
                <w:b/>
                <w:bCs/>
              </w:rPr>
              <w:t>R</w:t>
            </w:r>
            <w:r>
              <w:rPr>
                <w:rFonts w:hint="eastAsia"/>
                <w:b/>
                <w:bCs/>
                <w:vertAlign w:val="superscript"/>
              </w:rPr>
              <w:t>2</w:t>
            </w:r>
          </w:p>
        </w:tc>
        <w:tc>
          <w:tcPr>
            <w:tcW w:w="1843" w:type="dxa"/>
            <w:tcBorders>
              <w:top w:val="nil"/>
              <w:left w:val="nil"/>
              <w:bottom w:val="single" w:sz="12" w:space="0" w:color="auto"/>
              <w:right w:val="nil"/>
            </w:tcBorders>
          </w:tcPr>
          <w:p w14:paraId="3F0A317C" w14:textId="77777777" w:rsidR="00010742" w:rsidRDefault="00000000">
            <w:pPr>
              <w:jc w:val="center"/>
              <w:rPr>
                <w:rFonts w:eastAsiaTheme="minorEastAsia"/>
              </w:rPr>
            </w:pPr>
            <w:r>
              <w:rPr>
                <w:rFonts w:hint="eastAsia"/>
              </w:rPr>
              <w:t>0.99</w:t>
            </w:r>
            <w:r>
              <w:rPr>
                <w:rFonts w:eastAsiaTheme="minorEastAsia" w:hint="eastAsia"/>
              </w:rPr>
              <w:t>2</w:t>
            </w:r>
          </w:p>
        </w:tc>
        <w:tc>
          <w:tcPr>
            <w:tcW w:w="2060" w:type="dxa"/>
            <w:tcBorders>
              <w:top w:val="nil"/>
              <w:left w:val="nil"/>
              <w:bottom w:val="single" w:sz="12" w:space="0" w:color="auto"/>
              <w:right w:val="nil"/>
            </w:tcBorders>
          </w:tcPr>
          <w:p w14:paraId="051942B5" w14:textId="77777777" w:rsidR="00010742" w:rsidRDefault="00010742">
            <w:pPr>
              <w:jc w:val="center"/>
            </w:pPr>
          </w:p>
        </w:tc>
      </w:tr>
    </w:tbl>
    <w:p w14:paraId="483FCD28" w14:textId="77777777" w:rsidR="00010742" w:rsidRDefault="00000000">
      <w:pPr>
        <w:autoSpaceDE w:val="0"/>
        <w:outlineLvl w:val="1"/>
        <w:rPr>
          <w:rFonts w:eastAsia="MS PGothic"/>
          <w:b/>
          <w:sz w:val="22"/>
          <w:lang w:val="en-US"/>
        </w:rPr>
      </w:pPr>
      <w:r>
        <w:rPr>
          <w:rFonts w:eastAsia="MS PGothic" w:hint="eastAsia"/>
          <w:b/>
          <w:sz w:val="22"/>
          <w:lang w:val="en-US"/>
        </w:rPr>
        <w:t xml:space="preserve">3. </w:t>
      </w:r>
      <w:r>
        <w:rPr>
          <w:rFonts w:eastAsia="MS PGothic" w:hint="eastAsia"/>
          <w:b/>
          <w:sz w:val="22"/>
        </w:rPr>
        <w:t>Case study: an application to tank level control system</w:t>
      </w:r>
    </w:p>
    <w:p w14:paraId="52AE417C" w14:textId="77777777" w:rsidR="00010742" w:rsidRDefault="00000000">
      <w:pPr>
        <w:autoSpaceDE w:val="0"/>
        <w:outlineLvl w:val="1"/>
        <w:rPr>
          <w:rFonts w:eastAsia="MS PGothic"/>
          <w:b/>
          <w:sz w:val="22"/>
        </w:rPr>
      </w:pPr>
      <w:r>
        <w:rPr>
          <w:rFonts w:eastAsia="MS PGothic" w:hint="eastAsia"/>
          <w:b/>
          <w:sz w:val="22"/>
        </w:rPr>
        <w:t>3.1 Construction of tank level control system</w:t>
      </w:r>
    </w:p>
    <w:p w14:paraId="3156E2A5" w14:textId="48FB2F96" w:rsidR="00010742" w:rsidRPr="00FB4F84" w:rsidRDefault="00000000" w:rsidP="00FB4F84">
      <w:pPr>
        <w:autoSpaceDE w:val="0"/>
        <w:ind w:firstLineChars="200" w:firstLine="440"/>
        <w:rPr>
          <w:rFonts w:eastAsiaTheme="minorEastAsia"/>
          <w:sz w:val="22"/>
          <w:lang w:eastAsia="zh-CN"/>
        </w:rPr>
      </w:pPr>
      <w:r>
        <w:rPr>
          <w:rFonts w:eastAsia="MS PGothic" w:hint="eastAsia"/>
          <w:sz w:val="22"/>
        </w:rPr>
        <w:t xml:space="preserve">This section takes the </w:t>
      </w:r>
      <w:r>
        <w:rPr>
          <w:rFonts w:eastAsia="SimSun" w:hint="eastAsia"/>
          <w:sz w:val="22"/>
          <w:lang w:val="en-US" w:eastAsia="zh-CN"/>
        </w:rPr>
        <w:t xml:space="preserve">real </w:t>
      </w:r>
      <w:r>
        <w:rPr>
          <w:rFonts w:eastAsia="MS PGothic" w:hint="eastAsia"/>
          <w:sz w:val="22"/>
        </w:rPr>
        <w:t>tank level control system as an example to conduct vulnerability prioritization and risk level analysis. As shown in Figure 4, the tank level control system is composed of the management layer, monitoring layer, and control layer. Key equipment includes the Administrator host, HMI, Data server, and PLC. In the control layer, three PLCs are responsible for controlling the level gauge, pump, level interlock device, and control valve</w:t>
      </w:r>
    </w:p>
    <w:p w14:paraId="6D419F78" w14:textId="79A1D8F9" w:rsidR="00010742" w:rsidRDefault="00BA0FD3">
      <w:pPr>
        <w:pStyle w:val="BOAHeading"/>
        <w:jc w:val="center"/>
      </w:pPr>
      <w:r>
        <w:rPr>
          <w:noProof/>
        </w:rPr>
        <w:lastRenderedPageBreak/>
        <w:drawing>
          <wp:inline distT="0" distB="0" distL="0" distR="0" wp14:anchorId="445A8664" wp14:editId="4E727649">
            <wp:extent cx="3878981" cy="4899714"/>
            <wp:effectExtent l="0" t="0" r="7620" b="0"/>
            <wp:docPr id="12844195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9969" cy="4913594"/>
                    </a:xfrm>
                    <a:prstGeom prst="rect">
                      <a:avLst/>
                    </a:prstGeom>
                    <a:noFill/>
                  </pic:spPr>
                </pic:pic>
              </a:graphicData>
            </a:graphic>
          </wp:inline>
        </w:drawing>
      </w:r>
    </w:p>
    <w:p w14:paraId="098FB309" w14:textId="77777777" w:rsidR="00010742" w:rsidRDefault="00000000">
      <w:pPr>
        <w:autoSpaceDE w:val="0"/>
        <w:jc w:val="center"/>
        <w:rPr>
          <w:rFonts w:eastAsia="MS PGothic"/>
          <w:bCs/>
          <w:i/>
          <w:sz w:val="20"/>
        </w:rPr>
      </w:pPr>
      <w:r>
        <w:rPr>
          <w:rFonts w:eastAsia="MS PGothic" w:hint="eastAsia"/>
          <w:bCs/>
          <w:i/>
          <w:sz w:val="20"/>
        </w:rPr>
        <w:t xml:space="preserve">Figure 4: </w:t>
      </w:r>
      <w:r>
        <w:rPr>
          <w:rFonts w:eastAsia="SimSun" w:hint="eastAsia"/>
          <w:bCs/>
          <w:i/>
          <w:sz w:val="20"/>
          <w:lang w:val="en-US" w:eastAsia="zh-CN"/>
        </w:rPr>
        <w:t>The</w:t>
      </w:r>
      <w:r>
        <w:rPr>
          <w:rFonts w:eastAsia="MS PGothic" w:hint="eastAsia"/>
          <w:bCs/>
          <w:i/>
          <w:sz w:val="20"/>
        </w:rPr>
        <w:t xml:space="preserve"> tank level control system</w:t>
      </w:r>
    </w:p>
    <w:p w14:paraId="68D41E3C" w14:textId="77777777" w:rsidR="00010742" w:rsidRDefault="00000000">
      <w:pPr>
        <w:autoSpaceDE w:val="0"/>
        <w:outlineLvl w:val="1"/>
        <w:rPr>
          <w:rFonts w:eastAsia="MS PGothic"/>
          <w:b/>
          <w:sz w:val="22"/>
        </w:rPr>
      </w:pPr>
      <w:r>
        <w:rPr>
          <w:rFonts w:eastAsia="MS PGothic" w:hint="eastAsia"/>
          <w:b/>
          <w:sz w:val="22"/>
        </w:rPr>
        <w:t>3.</w:t>
      </w:r>
      <w:r>
        <w:rPr>
          <w:rFonts w:eastAsia="MS PGothic" w:hint="eastAsia"/>
          <w:b/>
          <w:sz w:val="22"/>
          <w:lang w:val="en-US" w:eastAsia="zh-CN"/>
        </w:rPr>
        <w:t>2</w:t>
      </w:r>
      <w:r>
        <w:rPr>
          <w:rFonts w:eastAsia="MS PGothic" w:hint="eastAsia"/>
          <w:b/>
          <w:sz w:val="22"/>
        </w:rPr>
        <w:t xml:space="preserve"> Risk analysis</w:t>
      </w:r>
    </w:p>
    <w:p w14:paraId="2C98C5F4" w14:textId="77777777" w:rsidR="00010742" w:rsidRDefault="00000000">
      <w:pPr>
        <w:autoSpaceDE w:val="0"/>
        <w:ind w:firstLineChars="200" w:firstLine="440"/>
        <w:rPr>
          <w:rFonts w:eastAsia="MS PGothic"/>
          <w:sz w:val="22"/>
        </w:rPr>
      </w:pPr>
      <w:r>
        <w:rPr>
          <w:rFonts w:eastAsia="MS PGothic" w:hint="eastAsia"/>
          <w:sz w:val="22"/>
        </w:rPr>
        <w:t>Based on the methods outlined in Section 2, an attack graph was established for vulnerabilities in the top 5 CWE groups with an average impact score and exploitability score sum greater than 7. The results of the high-risk vulnerability screening are shown in Table 2, which displays the CVE ID, corresponding device name, the sum of the average impact score and exploitability score, and the associated probability of the successful attack.</w:t>
      </w:r>
    </w:p>
    <w:p w14:paraId="7BEEF987" w14:textId="77777777" w:rsidR="00010742" w:rsidRDefault="00000000">
      <w:pPr>
        <w:jc w:val="center"/>
        <w:rPr>
          <w:rFonts w:eastAsia="MS PGothic"/>
          <w:bCs/>
          <w:i/>
          <w:sz w:val="20"/>
        </w:rPr>
      </w:pPr>
      <w:r>
        <w:rPr>
          <w:rFonts w:eastAsia="MS PGothic" w:hint="eastAsia"/>
          <w:bCs/>
          <w:i/>
          <w:sz w:val="20"/>
        </w:rPr>
        <w:t>Table 2</w:t>
      </w:r>
      <w:r>
        <w:rPr>
          <w:rFonts w:eastAsia="MS PGothic" w:hint="eastAsia"/>
          <w:bCs/>
          <w:i/>
          <w:sz w:val="20"/>
        </w:rPr>
        <w:t>：</w:t>
      </w:r>
      <w:r>
        <w:rPr>
          <w:rFonts w:eastAsia="MS PGothic" w:hint="eastAsia"/>
          <w:bCs/>
          <w:i/>
          <w:sz w:val="20"/>
        </w:rPr>
        <w:t>Result of high-risk vulnerability screening</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701"/>
        <w:gridCol w:w="567"/>
        <w:gridCol w:w="1134"/>
        <w:gridCol w:w="851"/>
        <w:gridCol w:w="1633"/>
      </w:tblGrid>
      <w:tr w:rsidR="00010742" w14:paraId="150E337F" w14:textId="77777777">
        <w:tc>
          <w:tcPr>
            <w:tcW w:w="2410" w:type="dxa"/>
            <w:tcBorders>
              <w:top w:val="single" w:sz="12" w:space="0" w:color="auto"/>
              <w:bottom w:val="single" w:sz="12" w:space="0" w:color="auto"/>
            </w:tcBorders>
          </w:tcPr>
          <w:p w14:paraId="19E7B2B8" w14:textId="77777777" w:rsidR="00010742" w:rsidRDefault="00000000">
            <w:pPr>
              <w:autoSpaceDE w:val="0"/>
              <w:jc w:val="left"/>
              <w:rPr>
                <w:rFonts w:cs="Arial"/>
                <w:szCs w:val="18"/>
              </w:rPr>
            </w:pPr>
            <w:r>
              <w:rPr>
                <w:rFonts w:cs="Arial"/>
                <w:szCs w:val="18"/>
              </w:rPr>
              <w:t>CWE group</w:t>
            </w:r>
          </w:p>
        </w:tc>
        <w:tc>
          <w:tcPr>
            <w:tcW w:w="1701" w:type="dxa"/>
            <w:tcBorders>
              <w:top w:val="single" w:sz="12" w:space="0" w:color="auto"/>
              <w:bottom w:val="single" w:sz="12" w:space="0" w:color="auto"/>
            </w:tcBorders>
          </w:tcPr>
          <w:p w14:paraId="68C00E4A" w14:textId="77777777" w:rsidR="00010742" w:rsidRDefault="00000000">
            <w:pPr>
              <w:autoSpaceDE w:val="0"/>
              <w:jc w:val="left"/>
              <w:rPr>
                <w:rFonts w:cs="Arial"/>
                <w:szCs w:val="18"/>
              </w:rPr>
            </w:pPr>
            <w:r>
              <w:rPr>
                <w:rFonts w:cs="Arial"/>
                <w:szCs w:val="18"/>
              </w:rPr>
              <w:t>CVE number</w:t>
            </w:r>
          </w:p>
        </w:tc>
        <w:tc>
          <w:tcPr>
            <w:tcW w:w="567" w:type="dxa"/>
            <w:tcBorders>
              <w:top w:val="single" w:sz="12" w:space="0" w:color="auto"/>
              <w:bottom w:val="single" w:sz="12" w:space="0" w:color="auto"/>
            </w:tcBorders>
          </w:tcPr>
          <w:p w14:paraId="2AF117BB" w14:textId="77777777" w:rsidR="00010742" w:rsidRDefault="00000000">
            <w:pPr>
              <w:autoSpaceDE w:val="0"/>
              <w:jc w:val="left"/>
              <w:rPr>
                <w:rFonts w:cs="Arial"/>
                <w:szCs w:val="18"/>
              </w:rPr>
            </w:pPr>
            <w:r>
              <w:rPr>
                <w:rFonts w:cs="Arial"/>
                <w:szCs w:val="18"/>
              </w:rPr>
              <w:t>NO.</w:t>
            </w:r>
          </w:p>
        </w:tc>
        <w:tc>
          <w:tcPr>
            <w:tcW w:w="1134" w:type="dxa"/>
            <w:tcBorders>
              <w:top w:val="single" w:sz="12" w:space="0" w:color="auto"/>
              <w:bottom w:val="single" w:sz="12" w:space="0" w:color="auto"/>
            </w:tcBorders>
          </w:tcPr>
          <w:p w14:paraId="7E283B85" w14:textId="77777777" w:rsidR="00010742" w:rsidRDefault="00000000">
            <w:pPr>
              <w:autoSpaceDE w:val="0"/>
              <w:jc w:val="left"/>
              <w:rPr>
                <w:rFonts w:cs="Arial"/>
                <w:szCs w:val="18"/>
              </w:rPr>
            </w:pPr>
            <w:r>
              <w:rPr>
                <w:rFonts w:cs="Arial"/>
                <w:szCs w:val="18"/>
              </w:rPr>
              <w:t>Equipment</w:t>
            </w:r>
          </w:p>
        </w:tc>
        <w:tc>
          <w:tcPr>
            <w:tcW w:w="851" w:type="dxa"/>
            <w:tcBorders>
              <w:top w:val="single" w:sz="12" w:space="0" w:color="auto"/>
              <w:bottom w:val="single" w:sz="12" w:space="0" w:color="auto"/>
            </w:tcBorders>
          </w:tcPr>
          <w:p w14:paraId="68804E4E" w14:textId="77777777" w:rsidR="00010742" w:rsidRDefault="00000000">
            <w:pPr>
              <w:autoSpaceDE w:val="0"/>
              <w:jc w:val="left"/>
              <w:rPr>
                <w:rFonts w:cs="Arial"/>
                <w:szCs w:val="18"/>
              </w:rPr>
            </w:pPr>
            <w:r>
              <w:rPr>
                <w:rFonts w:cs="Arial"/>
                <w:szCs w:val="18"/>
              </w:rPr>
              <w:t>ES+IS</w:t>
            </w:r>
          </w:p>
        </w:tc>
        <w:tc>
          <w:tcPr>
            <w:tcW w:w="1633" w:type="dxa"/>
            <w:tcBorders>
              <w:top w:val="single" w:sz="12" w:space="0" w:color="auto"/>
              <w:bottom w:val="single" w:sz="12" w:space="0" w:color="auto"/>
            </w:tcBorders>
          </w:tcPr>
          <w:p w14:paraId="1D49033E" w14:textId="77777777" w:rsidR="00010742" w:rsidRDefault="00000000">
            <w:pPr>
              <w:autoSpaceDE w:val="0"/>
              <w:jc w:val="left"/>
              <w:rPr>
                <w:rFonts w:cs="Arial"/>
                <w:szCs w:val="18"/>
              </w:rPr>
            </w:pPr>
            <w:r>
              <w:rPr>
                <w:rFonts w:cs="Arial"/>
                <w:szCs w:val="18"/>
              </w:rPr>
              <w:t>Pattack success</w:t>
            </w:r>
          </w:p>
        </w:tc>
      </w:tr>
      <w:tr w:rsidR="00010742" w14:paraId="427ED21C" w14:textId="77777777">
        <w:tc>
          <w:tcPr>
            <w:tcW w:w="2410" w:type="dxa"/>
            <w:vMerge w:val="restart"/>
            <w:tcBorders>
              <w:top w:val="single" w:sz="12" w:space="0" w:color="auto"/>
            </w:tcBorders>
          </w:tcPr>
          <w:p w14:paraId="5CDA5E09" w14:textId="77777777" w:rsidR="00010742" w:rsidRDefault="00000000">
            <w:pPr>
              <w:autoSpaceDE w:val="0"/>
              <w:jc w:val="left"/>
              <w:rPr>
                <w:rFonts w:cs="Arial"/>
                <w:szCs w:val="18"/>
              </w:rPr>
            </w:pPr>
            <w:r>
              <w:rPr>
                <w:rFonts w:cs="Arial"/>
                <w:szCs w:val="18"/>
              </w:rPr>
              <w:t>Memory and Buffer Management</w:t>
            </w:r>
          </w:p>
        </w:tc>
        <w:tc>
          <w:tcPr>
            <w:tcW w:w="1701" w:type="dxa"/>
            <w:tcBorders>
              <w:top w:val="single" w:sz="12" w:space="0" w:color="auto"/>
            </w:tcBorders>
          </w:tcPr>
          <w:p w14:paraId="40566360" w14:textId="77777777" w:rsidR="00010742" w:rsidRDefault="00000000">
            <w:pPr>
              <w:autoSpaceDE w:val="0"/>
              <w:jc w:val="left"/>
              <w:rPr>
                <w:rFonts w:cs="Arial"/>
                <w:szCs w:val="18"/>
              </w:rPr>
            </w:pPr>
            <w:r>
              <w:rPr>
                <w:rFonts w:cs="Arial"/>
                <w:szCs w:val="18"/>
              </w:rPr>
              <w:t>CVE-2022-47393</w:t>
            </w:r>
          </w:p>
        </w:tc>
        <w:tc>
          <w:tcPr>
            <w:tcW w:w="567" w:type="dxa"/>
            <w:tcBorders>
              <w:top w:val="single" w:sz="12" w:space="0" w:color="auto"/>
            </w:tcBorders>
          </w:tcPr>
          <w:p w14:paraId="4D2F2720" w14:textId="77777777" w:rsidR="00010742" w:rsidRDefault="00000000">
            <w:pPr>
              <w:autoSpaceDE w:val="0"/>
              <w:jc w:val="left"/>
              <w:rPr>
                <w:rFonts w:cs="Arial"/>
                <w:szCs w:val="18"/>
              </w:rPr>
            </w:pPr>
            <w:r>
              <w:rPr>
                <w:rFonts w:cs="Arial"/>
                <w:szCs w:val="18"/>
              </w:rPr>
              <w:t>V1</w:t>
            </w:r>
          </w:p>
        </w:tc>
        <w:tc>
          <w:tcPr>
            <w:tcW w:w="1134" w:type="dxa"/>
            <w:tcBorders>
              <w:top w:val="single" w:sz="12" w:space="0" w:color="auto"/>
            </w:tcBorders>
          </w:tcPr>
          <w:p w14:paraId="24FCDAE2" w14:textId="77777777" w:rsidR="00010742" w:rsidRDefault="00000000">
            <w:pPr>
              <w:autoSpaceDE w:val="0"/>
              <w:jc w:val="left"/>
              <w:rPr>
                <w:rFonts w:cs="Arial"/>
                <w:szCs w:val="18"/>
              </w:rPr>
            </w:pPr>
            <w:r>
              <w:rPr>
                <w:rFonts w:cs="Arial"/>
                <w:szCs w:val="18"/>
              </w:rPr>
              <w:t>HMI</w:t>
            </w:r>
          </w:p>
        </w:tc>
        <w:tc>
          <w:tcPr>
            <w:tcW w:w="851" w:type="dxa"/>
            <w:tcBorders>
              <w:top w:val="single" w:sz="12" w:space="0" w:color="auto"/>
            </w:tcBorders>
          </w:tcPr>
          <w:p w14:paraId="1365C4EE" w14:textId="77777777" w:rsidR="00010742" w:rsidRDefault="00000000">
            <w:pPr>
              <w:autoSpaceDE w:val="0"/>
              <w:jc w:val="left"/>
              <w:rPr>
                <w:rFonts w:cs="Arial"/>
                <w:szCs w:val="18"/>
              </w:rPr>
            </w:pPr>
            <w:r>
              <w:rPr>
                <w:rFonts w:cs="Arial"/>
                <w:szCs w:val="18"/>
              </w:rPr>
              <w:t>9.1</w:t>
            </w:r>
          </w:p>
        </w:tc>
        <w:tc>
          <w:tcPr>
            <w:tcW w:w="1633" w:type="dxa"/>
            <w:tcBorders>
              <w:top w:val="single" w:sz="12" w:space="0" w:color="auto"/>
            </w:tcBorders>
          </w:tcPr>
          <w:p w14:paraId="4240941C" w14:textId="77777777" w:rsidR="00010742" w:rsidRDefault="00000000">
            <w:pPr>
              <w:autoSpaceDE w:val="0"/>
              <w:jc w:val="left"/>
              <w:rPr>
                <w:rFonts w:cs="Arial"/>
                <w:szCs w:val="18"/>
              </w:rPr>
            </w:pPr>
            <w:r>
              <w:rPr>
                <w:rFonts w:cs="Arial"/>
                <w:szCs w:val="18"/>
              </w:rPr>
              <w:t>0.727</w:t>
            </w:r>
          </w:p>
        </w:tc>
      </w:tr>
      <w:tr w:rsidR="00010742" w14:paraId="22C4D43E" w14:textId="77777777">
        <w:tc>
          <w:tcPr>
            <w:tcW w:w="2410" w:type="dxa"/>
            <w:vMerge/>
          </w:tcPr>
          <w:p w14:paraId="164F5125" w14:textId="77777777" w:rsidR="00010742" w:rsidRDefault="00010742">
            <w:pPr>
              <w:autoSpaceDE w:val="0"/>
              <w:jc w:val="left"/>
              <w:rPr>
                <w:rFonts w:cs="Arial"/>
                <w:szCs w:val="18"/>
              </w:rPr>
            </w:pPr>
          </w:p>
        </w:tc>
        <w:tc>
          <w:tcPr>
            <w:tcW w:w="1701" w:type="dxa"/>
          </w:tcPr>
          <w:p w14:paraId="7BE8AB2A" w14:textId="77777777" w:rsidR="00010742" w:rsidRDefault="00000000">
            <w:pPr>
              <w:autoSpaceDE w:val="0"/>
              <w:jc w:val="left"/>
              <w:rPr>
                <w:rFonts w:cs="Arial"/>
                <w:szCs w:val="18"/>
              </w:rPr>
            </w:pPr>
            <w:r>
              <w:rPr>
                <w:rFonts w:cs="Arial"/>
                <w:szCs w:val="18"/>
              </w:rPr>
              <w:t>CVE-2022-4046</w:t>
            </w:r>
          </w:p>
        </w:tc>
        <w:tc>
          <w:tcPr>
            <w:tcW w:w="567" w:type="dxa"/>
          </w:tcPr>
          <w:p w14:paraId="27FB6957" w14:textId="77777777" w:rsidR="00010742" w:rsidRDefault="00000000">
            <w:pPr>
              <w:autoSpaceDE w:val="0"/>
              <w:jc w:val="left"/>
              <w:rPr>
                <w:rFonts w:cs="Arial"/>
                <w:szCs w:val="18"/>
              </w:rPr>
            </w:pPr>
            <w:r>
              <w:rPr>
                <w:rFonts w:cs="Arial"/>
                <w:szCs w:val="18"/>
              </w:rPr>
              <w:t>V2</w:t>
            </w:r>
          </w:p>
        </w:tc>
        <w:tc>
          <w:tcPr>
            <w:tcW w:w="1134" w:type="dxa"/>
          </w:tcPr>
          <w:p w14:paraId="7304E47A" w14:textId="77777777" w:rsidR="00010742" w:rsidRDefault="00000000">
            <w:pPr>
              <w:autoSpaceDE w:val="0"/>
              <w:jc w:val="left"/>
              <w:rPr>
                <w:rFonts w:cs="Arial"/>
                <w:szCs w:val="18"/>
              </w:rPr>
            </w:pPr>
            <w:r>
              <w:rPr>
                <w:rFonts w:cs="Arial"/>
                <w:szCs w:val="18"/>
              </w:rPr>
              <w:t>HMI</w:t>
            </w:r>
          </w:p>
        </w:tc>
        <w:tc>
          <w:tcPr>
            <w:tcW w:w="851" w:type="dxa"/>
          </w:tcPr>
          <w:p w14:paraId="1DBE0D2A" w14:textId="77777777" w:rsidR="00010742" w:rsidRDefault="00000000">
            <w:pPr>
              <w:autoSpaceDE w:val="0"/>
              <w:jc w:val="left"/>
              <w:rPr>
                <w:rFonts w:cs="Arial"/>
                <w:szCs w:val="18"/>
              </w:rPr>
            </w:pPr>
            <w:r>
              <w:rPr>
                <w:rFonts w:cs="Arial"/>
                <w:szCs w:val="18"/>
              </w:rPr>
              <w:t>12.2</w:t>
            </w:r>
          </w:p>
        </w:tc>
        <w:tc>
          <w:tcPr>
            <w:tcW w:w="1633" w:type="dxa"/>
          </w:tcPr>
          <w:p w14:paraId="1F0BCD04" w14:textId="77777777" w:rsidR="00010742" w:rsidRDefault="00000000">
            <w:pPr>
              <w:autoSpaceDE w:val="0"/>
              <w:jc w:val="left"/>
              <w:rPr>
                <w:rFonts w:cs="Arial"/>
                <w:szCs w:val="18"/>
              </w:rPr>
            </w:pPr>
            <w:r>
              <w:rPr>
                <w:rFonts w:cs="Arial"/>
                <w:szCs w:val="18"/>
              </w:rPr>
              <w:t>0.727</w:t>
            </w:r>
          </w:p>
        </w:tc>
      </w:tr>
      <w:tr w:rsidR="00010742" w14:paraId="59369367" w14:textId="77777777">
        <w:tc>
          <w:tcPr>
            <w:tcW w:w="2410" w:type="dxa"/>
            <w:vMerge w:val="restart"/>
          </w:tcPr>
          <w:p w14:paraId="740F146E" w14:textId="77777777" w:rsidR="00010742" w:rsidRDefault="00000000">
            <w:pPr>
              <w:autoSpaceDE w:val="0"/>
              <w:jc w:val="left"/>
              <w:rPr>
                <w:rFonts w:cs="Arial"/>
                <w:szCs w:val="18"/>
              </w:rPr>
            </w:pPr>
            <w:r>
              <w:rPr>
                <w:rFonts w:cs="Arial"/>
                <w:szCs w:val="18"/>
              </w:rPr>
              <w:t>Web-Based Weaknesses</w:t>
            </w:r>
          </w:p>
        </w:tc>
        <w:tc>
          <w:tcPr>
            <w:tcW w:w="1701" w:type="dxa"/>
          </w:tcPr>
          <w:p w14:paraId="018FABDD" w14:textId="77777777" w:rsidR="00010742" w:rsidRDefault="00000000">
            <w:pPr>
              <w:autoSpaceDE w:val="0"/>
              <w:jc w:val="left"/>
              <w:rPr>
                <w:rFonts w:cs="Arial"/>
                <w:szCs w:val="18"/>
              </w:rPr>
            </w:pPr>
            <w:r>
              <w:rPr>
                <w:rFonts w:cs="Arial"/>
                <w:szCs w:val="18"/>
              </w:rPr>
              <w:t xml:space="preserve">CVE-2016-8673 </w:t>
            </w:r>
          </w:p>
        </w:tc>
        <w:tc>
          <w:tcPr>
            <w:tcW w:w="567" w:type="dxa"/>
          </w:tcPr>
          <w:p w14:paraId="7FC0DFF9" w14:textId="77777777" w:rsidR="00010742" w:rsidRDefault="00000000">
            <w:pPr>
              <w:autoSpaceDE w:val="0"/>
              <w:jc w:val="left"/>
              <w:rPr>
                <w:rFonts w:cs="Arial"/>
                <w:szCs w:val="18"/>
              </w:rPr>
            </w:pPr>
            <w:r>
              <w:rPr>
                <w:rFonts w:cs="Arial"/>
                <w:szCs w:val="18"/>
              </w:rPr>
              <w:t>V3</w:t>
            </w:r>
          </w:p>
        </w:tc>
        <w:tc>
          <w:tcPr>
            <w:tcW w:w="1134" w:type="dxa"/>
          </w:tcPr>
          <w:p w14:paraId="255D577C" w14:textId="77777777" w:rsidR="00010742" w:rsidRDefault="00000000">
            <w:pPr>
              <w:autoSpaceDE w:val="0"/>
              <w:jc w:val="left"/>
              <w:rPr>
                <w:rFonts w:cs="Arial"/>
                <w:szCs w:val="18"/>
              </w:rPr>
            </w:pPr>
            <w:r>
              <w:rPr>
                <w:rFonts w:cs="Arial"/>
                <w:szCs w:val="18"/>
              </w:rPr>
              <w:t>PLC</w:t>
            </w:r>
          </w:p>
        </w:tc>
        <w:tc>
          <w:tcPr>
            <w:tcW w:w="851" w:type="dxa"/>
          </w:tcPr>
          <w:p w14:paraId="08F1F103" w14:textId="77777777" w:rsidR="00010742" w:rsidRDefault="00000000">
            <w:pPr>
              <w:autoSpaceDE w:val="0"/>
              <w:jc w:val="left"/>
              <w:rPr>
                <w:rFonts w:cs="Arial"/>
                <w:szCs w:val="18"/>
              </w:rPr>
            </w:pPr>
            <w:r>
              <w:rPr>
                <w:rFonts w:cs="Arial"/>
                <w:szCs w:val="18"/>
              </w:rPr>
              <w:t>12.1</w:t>
            </w:r>
          </w:p>
        </w:tc>
        <w:tc>
          <w:tcPr>
            <w:tcW w:w="1633" w:type="dxa"/>
          </w:tcPr>
          <w:p w14:paraId="44B7C613" w14:textId="77777777" w:rsidR="00010742" w:rsidRDefault="00000000">
            <w:pPr>
              <w:autoSpaceDE w:val="0"/>
              <w:jc w:val="left"/>
              <w:rPr>
                <w:rFonts w:cs="Arial"/>
                <w:szCs w:val="18"/>
              </w:rPr>
            </w:pPr>
            <w:r>
              <w:rPr>
                <w:rFonts w:cs="Arial"/>
                <w:szCs w:val="18"/>
              </w:rPr>
              <w:t>0.727</w:t>
            </w:r>
          </w:p>
        </w:tc>
      </w:tr>
      <w:tr w:rsidR="00010742" w14:paraId="231FC2AE" w14:textId="77777777">
        <w:tc>
          <w:tcPr>
            <w:tcW w:w="2410" w:type="dxa"/>
            <w:vMerge/>
          </w:tcPr>
          <w:p w14:paraId="1DC1C1B8" w14:textId="77777777" w:rsidR="00010742" w:rsidRDefault="00010742">
            <w:pPr>
              <w:autoSpaceDE w:val="0"/>
              <w:jc w:val="left"/>
              <w:rPr>
                <w:rFonts w:cs="Arial"/>
                <w:szCs w:val="18"/>
              </w:rPr>
            </w:pPr>
          </w:p>
        </w:tc>
        <w:tc>
          <w:tcPr>
            <w:tcW w:w="1701" w:type="dxa"/>
          </w:tcPr>
          <w:p w14:paraId="2D316784" w14:textId="77777777" w:rsidR="00010742" w:rsidRDefault="00000000">
            <w:pPr>
              <w:autoSpaceDE w:val="0"/>
              <w:jc w:val="left"/>
              <w:rPr>
                <w:rFonts w:cs="Arial"/>
                <w:szCs w:val="18"/>
              </w:rPr>
            </w:pPr>
            <w:r>
              <w:rPr>
                <w:rFonts w:cs="Arial"/>
                <w:szCs w:val="18"/>
              </w:rPr>
              <w:t>CVE-2018-8997</w:t>
            </w:r>
          </w:p>
        </w:tc>
        <w:tc>
          <w:tcPr>
            <w:tcW w:w="567" w:type="dxa"/>
          </w:tcPr>
          <w:p w14:paraId="5B5D0B38" w14:textId="77777777" w:rsidR="00010742" w:rsidRDefault="00000000">
            <w:pPr>
              <w:autoSpaceDE w:val="0"/>
              <w:jc w:val="left"/>
              <w:rPr>
                <w:rFonts w:cs="Arial"/>
                <w:szCs w:val="18"/>
              </w:rPr>
            </w:pPr>
            <w:r>
              <w:rPr>
                <w:rFonts w:cs="Arial"/>
                <w:szCs w:val="18"/>
              </w:rPr>
              <w:t>V4</w:t>
            </w:r>
          </w:p>
        </w:tc>
        <w:tc>
          <w:tcPr>
            <w:tcW w:w="1134" w:type="dxa"/>
          </w:tcPr>
          <w:p w14:paraId="1B843C23" w14:textId="77777777" w:rsidR="00010742" w:rsidRDefault="00000000">
            <w:pPr>
              <w:autoSpaceDE w:val="0"/>
              <w:jc w:val="left"/>
              <w:rPr>
                <w:rFonts w:cs="Arial"/>
                <w:szCs w:val="18"/>
              </w:rPr>
            </w:pPr>
            <w:r>
              <w:rPr>
                <w:rFonts w:cs="Arial"/>
                <w:szCs w:val="18"/>
              </w:rPr>
              <w:t>PLC</w:t>
            </w:r>
          </w:p>
        </w:tc>
        <w:tc>
          <w:tcPr>
            <w:tcW w:w="851" w:type="dxa"/>
          </w:tcPr>
          <w:p w14:paraId="3B03C78F" w14:textId="77777777" w:rsidR="00010742" w:rsidRDefault="00000000">
            <w:pPr>
              <w:autoSpaceDE w:val="0"/>
              <w:jc w:val="left"/>
              <w:rPr>
                <w:rFonts w:cs="Arial"/>
                <w:szCs w:val="18"/>
              </w:rPr>
            </w:pPr>
            <w:r>
              <w:rPr>
                <w:rFonts w:cs="Arial"/>
                <w:szCs w:val="18"/>
              </w:rPr>
              <w:t>12.2</w:t>
            </w:r>
          </w:p>
        </w:tc>
        <w:tc>
          <w:tcPr>
            <w:tcW w:w="1633" w:type="dxa"/>
          </w:tcPr>
          <w:p w14:paraId="1B0B7F4F" w14:textId="77777777" w:rsidR="00010742" w:rsidRDefault="00000000">
            <w:pPr>
              <w:autoSpaceDE w:val="0"/>
              <w:jc w:val="left"/>
              <w:rPr>
                <w:rFonts w:cs="Arial"/>
                <w:szCs w:val="18"/>
              </w:rPr>
            </w:pPr>
            <w:r>
              <w:rPr>
                <w:rFonts w:cs="Arial"/>
                <w:szCs w:val="18"/>
              </w:rPr>
              <w:t>0.345</w:t>
            </w:r>
          </w:p>
        </w:tc>
      </w:tr>
      <w:tr w:rsidR="00010742" w14:paraId="327E1E8A" w14:textId="77777777">
        <w:tc>
          <w:tcPr>
            <w:tcW w:w="2410" w:type="dxa"/>
            <w:vMerge/>
          </w:tcPr>
          <w:p w14:paraId="147C63E8" w14:textId="77777777" w:rsidR="00010742" w:rsidRDefault="00010742">
            <w:pPr>
              <w:autoSpaceDE w:val="0"/>
              <w:jc w:val="left"/>
              <w:rPr>
                <w:rFonts w:cs="Arial"/>
                <w:szCs w:val="18"/>
              </w:rPr>
            </w:pPr>
          </w:p>
        </w:tc>
        <w:tc>
          <w:tcPr>
            <w:tcW w:w="1701" w:type="dxa"/>
          </w:tcPr>
          <w:p w14:paraId="031174D5" w14:textId="77777777" w:rsidR="00010742" w:rsidRDefault="00000000">
            <w:pPr>
              <w:autoSpaceDE w:val="0"/>
              <w:jc w:val="left"/>
              <w:rPr>
                <w:rFonts w:cs="Arial"/>
                <w:szCs w:val="18"/>
              </w:rPr>
            </w:pPr>
            <w:r>
              <w:rPr>
                <w:rFonts w:cs="Arial"/>
                <w:szCs w:val="18"/>
              </w:rPr>
              <w:t>CVE-2017-1498</w:t>
            </w:r>
          </w:p>
        </w:tc>
        <w:tc>
          <w:tcPr>
            <w:tcW w:w="567" w:type="dxa"/>
          </w:tcPr>
          <w:p w14:paraId="4FBBAFAC" w14:textId="77777777" w:rsidR="00010742" w:rsidRDefault="00000000">
            <w:pPr>
              <w:autoSpaceDE w:val="0"/>
              <w:jc w:val="left"/>
              <w:rPr>
                <w:rFonts w:cs="Arial"/>
                <w:szCs w:val="18"/>
              </w:rPr>
            </w:pPr>
            <w:r>
              <w:rPr>
                <w:rFonts w:cs="Arial"/>
                <w:szCs w:val="18"/>
              </w:rPr>
              <w:t>V5</w:t>
            </w:r>
          </w:p>
        </w:tc>
        <w:tc>
          <w:tcPr>
            <w:tcW w:w="1134" w:type="dxa"/>
          </w:tcPr>
          <w:p w14:paraId="6E4F3E56" w14:textId="77777777" w:rsidR="00010742" w:rsidRDefault="00000000">
            <w:pPr>
              <w:autoSpaceDE w:val="0"/>
              <w:jc w:val="left"/>
              <w:rPr>
                <w:rFonts w:cs="Arial"/>
                <w:szCs w:val="18"/>
              </w:rPr>
            </w:pPr>
            <w:r>
              <w:rPr>
                <w:rFonts w:cs="Arial"/>
                <w:szCs w:val="18"/>
              </w:rPr>
              <w:t>AH</w:t>
            </w:r>
          </w:p>
        </w:tc>
        <w:tc>
          <w:tcPr>
            <w:tcW w:w="851" w:type="dxa"/>
          </w:tcPr>
          <w:p w14:paraId="71176CD0" w14:textId="77777777" w:rsidR="00010742" w:rsidRDefault="00000000">
            <w:pPr>
              <w:autoSpaceDE w:val="0"/>
              <w:jc w:val="left"/>
              <w:rPr>
                <w:rFonts w:cs="Arial"/>
                <w:szCs w:val="18"/>
              </w:rPr>
            </w:pPr>
            <w:r>
              <w:rPr>
                <w:rFonts w:cs="Arial"/>
                <w:szCs w:val="18"/>
              </w:rPr>
              <w:t>7.2</w:t>
            </w:r>
          </w:p>
        </w:tc>
        <w:tc>
          <w:tcPr>
            <w:tcW w:w="1633" w:type="dxa"/>
          </w:tcPr>
          <w:p w14:paraId="2AB66645" w14:textId="77777777" w:rsidR="00010742" w:rsidRDefault="00000000">
            <w:pPr>
              <w:autoSpaceDE w:val="0"/>
              <w:jc w:val="left"/>
              <w:rPr>
                <w:rFonts w:cs="Arial"/>
                <w:szCs w:val="18"/>
              </w:rPr>
            </w:pPr>
            <w:r>
              <w:rPr>
                <w:rFonts w:cs="Arial"/>
                <w:szCs w:val="18"/>
              </w:rPr>
              <w:t>0.531</w:t>
            </w:r>
          </w:p>
        </w:tc>
      </w:tr>
      <w:tr w:rsidR="00010742" w14:paraId="65411FA8" w14:textId="77777777">
        <w:tc>
          <w:tcPr>
            <w:tcW w:w="2410" w:type="dxa"/>
          </w:tcPr>
          <w:p w14:paraId="2B6653D3" w14:textId="77777777" w:rsidR="00010742" w:rsidRDefault="00000000">
            <w:pPr>
              <w:autoSpaceDE w:val="0"/>
              <w:jc w:val="left"/>
              <w:rPr>
                <w:rFonts w:cs="Arial"/>
                <w:szCs w:val="18"/>
              </w:rPr>
            </w:pPr>
            <w:r>
              <w:rPr>
                <w:rFonts w:cs="Arial"/>
                <w:szCs w:val="18"/>
              </w:rPr>
              <w:t>Exposed Sensitive Data</w:t>
            </w:r>
          </w:p>
        </w:tc>
        <w:tc>
          <w:tcPr>
            <w:tcW w:w="1701" w:type="dxa"/>
          </w:tcPr>
          <w:p w14:paraId="0FAA8844" w14:textId="77777777" w:rsidR="00010742" w:rsidRDefault="00000000">
            <w:pPr>
              <w:autoSpaceDE w:val="0"/>
              <w:jc w:val="left"/>
              <w:rPr>
                <w:rFonts w:cs="Arial"/>
                <w:szCs w:val="18"/>
              </w:rPr>
            </w:pPr>
            <w:r>
              <w:rPr>
                <w:rFonts w:cs="Arial"/>
                <w:szCs w:val="18"/>
              </w:rPr>
              <w:t xml:space="preserve">CVE-2018-1994 </w:t>
            </w:r>
          </w:p>
        </w:tc>
        <w:tc>
          <w:tcPr>
            <w:tcW w:w="567" w:type="dxa"/>
          </w:tcPr>
          <w:p w14:paraId="1C3A5E8A" w14:textId="77777777" w:rsidR="00010742" w:rsidRDefault="00000000">
            <w:pPr>
              <w:autoSpaceDE w:val="0"/>
              <w:jc w:val="left"/>
              <w:rPr>
                <w:rFonts w:cs="Arial"/>
                <w:szCs w:val="18"/>
              </w:rPr>
            </w:pPr>
            <w:r>
              <w:rPr>
                <w:rFonts w:cs="Arial"/>
                <w:szCs w:val="18"/>
              </w:rPr>
              <w:t>V6</w:t>
            </w:r>
          </w:p>
        </w:tc>
        <w:tc>
          <w:tcPr>
            <w:tcW w:w="1134" w:type="dxa"/>
          </w:tcPr>
          <w:p w14:paraId="064992B4" w14:textId="77777777" w:rsidR="00010742" w:rsidRDefault="00000000">
            <w:pPr>
              <w:autoSpaceDE w:val="0"/>
              <w:jc w:val="left"/>
              <w:rPr>
                <w:rFonts w:cs="Arial"/>
                <w:szCs w:val="18"/>
              </w:rPr>
            </w:pPr>
            <w:r>
              <w:rPr>
                <w:rFonts w:cs="Arial"/>
                <w:szCs w:val="18"/>
              </w:rPr>
              <w:t>DS</w:t>
            </w:r>
          </w:p>
        </w:tc>
        <w:tc>
          <w:tcPr>
            <w:tcW w:w="851" w:type="dxa"/>
          </w:tcPr>
          <w:p w14:paraId="4F8DAA34" w14:textId="77777777" w:rsidR="00010742" w:rsidRDefault="00000000">
            <w:pPr>
              <w:autoSpaceDE w:val="0"/>
              <w:jc w:val="left"/>
              <w:rPr>
                <w:rFonts w:cs="Arial"/>
                <w:szCs w:val="18"/>
              </w:rPr>
            </w:pPr>
            <w:r>
              <w:rPr>
                <w:rFonts w:cs="Arial"/>
                <w:szCs w:val="18"/>
              </w:rPr>
              <w:t>8.5</w:t>
            </w:r>
          </w:p>
        </w:tc>
        <w:tc>
          <w:tcPr>
            <w:tcW w:w="1633" w:type="dxa"/>
          </w:tcPr>
          <w:p w14:paraId="08C76A2E" w14:textId="77777777" w:rsidR="00010742" w:rsidRDefault="00000000">
            <w:pPr>
              <w:autoSpaceDE w:val="0"/>
              <w:jc w:val="left"/>
              <w:rPr>
                <w:rFonts w:cs="Arial"/>
                <w:szCs w:val="18"/>
              </w:rPr>
            </w:pPr>
            <w:r>
              <w:rPr>
                <w:rFonts w:cs="Arial"/>
                <w:szCs w:val="18"/>
              </w:rPr>
              <w:t>0.727</w:t>
            </w:r>
          </w:p>
        </w:tc>
      </w:tr>
      <w:tr w:rsidR="00010742" w14:paraId="6ED472BA" w14:textId="77777777">
        <w:tc>
          <w:tcPr>
            <w:tcW w:w="2410" w:type="dxa"/>
            <w:vMerge w:val="restart"/>
          </w:tcPr>
          <w:p w14:paraId="0E684BAC" w14:textId="77777777" w:rsidR="00010742" w:rsidRDefault="00000000">
            <w:pPr>
              <w:autoSpaceDE w:val="0"/>
              <w:jc w:val="left"/>
              <w:rPr>
                <w:rFonts w:cs="Arial"/>
                <w:szCs w:val="18"/>
              </w:rPr>
            </w:pPr>
            <w:r>
              <w:rPr>
                <w:rFonts w:cs="Arial"/>
                <w:szCs w:val="18"/>
              </w:rPr>
              <w:t>Privilege Escalation and Authentication Weaknesses</w:t>
            </w:r>
          </w:p>
        </w:tc>
        <w:tc>
          <w:tcPr>
            <w:tcW w:w="1701" w:type="dxa"/>
          </w:tcPr>
          <w:p w14:paraId="522BBE94" w14:textId="77777777" w:rsidR="00010742" w:rsidRDefault="00000000">
            <w:pPr>
              <w:autoSpaceDE w:val="0"/>
              <w:jc w:val="left"/>
              <w:rPr>
                <w:rFonts w:cs="Arial"/>
                <w:szCs w:val="18"/>
              </w:rPr>
            </w:pPr>
            <w:r>
              <w:rPr>
                <w:rFonts w:cs="Arial"/>
                <w:szCs w:val="18"/>
              </w:rPr>
              <w:t xml:space="preserve">CVE-2017-0283 </w:t>
            </w:r>
          </w:p>
        </w:tc>
        <w:tc>
          <w:tcPr>
            <w:tcW w:w="567" w:type="dxa"/>
          </w:tcPr>
          <w:p w14:paraId="733B1D56" w14:textId="77777777" w:rsidR="00010742" w:rsidRDefault="00000000">
            <w:pPr>
              <w:autoSpaceDE w:val="0"/>
              <w:jc w:val="left"/>
              <w:rPr>
                <w:rFonts w:cs="Arial"/>
                <w:szCs w:val="18"/>
              </w:rPr>
            </w:pPr>
            <w:r>
              <w:rPr>
                <w:rFonts w:cs="Arial"/>
                <w:szCs w:val="18"/>
              </w:rPr>
              <w:t>V7</w:t>
            </w:r>
          </w:p>
        </w:tc>
        <w:tc>
          <w:tcPr>
            <w:tcW w:w="1134" w:type="dxa"/>
          </w:tcPr>
          <w:p w14:paraId="3DE169D3" w14:textId="77777777" w:rsidR="00010742" w:rsidRDefault="00000000">
            <w:pPr>
              <w:autoSpaceDE w:val="0"/>
              <w:jc w:val="left"/>
              <w:rPr>
                <w:rFonts w:cs="Arial"/>
                <w:szCs w:val="18"/>
              </w:rPr>
            </w:pPr>
            <w:r>
              <w:rPr>
                <w:rFonts w:cs="Arial"/>
                <w:szCs w:val="18"/>
              </w:rPr>
              <w:t>ES</w:t>
            </w:r>
          </w:p>
        </w:tc>
        <w:tc>
          <w:tcPr>
            <w:tcW w:w="851" w:type="dxa"/>
          </w:tcPr>
          <w:p w14:paraId="0BA5879E" w14:textId="77777777" w:rsidR="00010742" w:rsidRDefault="00000000">
            <w:pPr>
              <w:autoSpaceDE w:val="0"/>
              <w:jc w:val="left"/>
              <w:rPr>
                <w:rFonts w:cs="Arial"/>
                <w:szCs w:val="18"/>
              </w:rPr>
            </w:pPr>
            <w:r>
              <w:rPr>
                <w:rFonts w:cs="Arial"/>
                <w:szCs w:val="18"/>
              </w:rPr>
              <w:t>12.2</w:t>
            </w:r>
          </w:p>
        </w:tc>
        <w:tc>
          <w:tcPr>
            <w:tcW w:w="1633" w:type="dxa"/>
          </w:tcPr>
          <w:p w14:paraId="68506235" w14:textId="77777777" w:rsidR="00010742" w:rsidRDefault="00000000">
            <w:pPr>
              <w:autoSpaceDE w:val="0"/>
              <w:jc w:val="left"/>
              <w:rPr>
                <w:rFonts w:cs="Arial"/>
                <w:szCs w:val="18"/>
              </w:rPr>
            </w:pPr>
            <w:r>
              <w:rPr>
                <w:rFonts w:cs="Arial"/>
                <w:szCs w:val="18"/>
              </w:rPr>
              <w:t>0.727</w:t>
            </w:r>
          </w:p>
        </w:tc>
      </w:tr>
      <w:tr w:rsidR="00010742" w14:paraId="444C70C9" w14:textId="77777777">
        <w:tc>
          <w:tcPr>
            <w:tcW w:w="2410" w:type="dxa"/>
            <w:vMerge/>
          </w:tcPr>
          <w:p w14:paraId="674243DA" w14:textId="77777777" w:rsidR="00010742" w:rsidRDefault="00010742">
            <w:pPr>
              <w:autoSpaceDE w:val="0"/>
              <w:jc w:val="left"/>
              <w:rPr>
                <w:rFonts w:cs="Arial"/>
                <w:szCs w:val="18"/>
              </w:rPr>
            </w:pPr>
          </w:p>
        </w:tc>
        <w:tc>
          <w:tcPr>
            <w:tcW w:w="1701" w:type="dxa"/>
          </w:tcPr>
          <w:p w14:paraId="7431ECD1" w14:textId="77777777" w:rsidR="00010742" w:rsidRDefault="00000000">
            <w:pPr>
              <w:autoSpaceDE w:val="0"/>
              <w:jc w:val="left"/>
              <w:rPr>
                <w:rFonts w:cs="Arial"/>
                <w:szCs w:val="18"/>
              </w:rPr>
            </w:pPr>
            <w:r>
              <w:rPr>
                <w:rFonts w:cs="Arial"/>
                <w:szCs w:val="18"/>
              </w:rPr>
              <w:t xml:space="preserve">CVE-2017-8692 </w:t>
            </w:r>
          </w:p>
        </w:tc>
        <w:tc>
          <w:tcPr>
            <w:tcW w:w="567" w:type="dxa"/>
          </w:tcPr>
          <w:p w14:paraId="3A56F9F9" w14:textId="77777777" w:rsidR="00010742" w:rsidRDefault="00000000">
            <w:pPr>
              <w:autoSpaceDE w:val="0"/>
              <w:jc w:val="left"/>
              <w:rPr>
                <w:rFonts w:cs="Arial"/>
                <w:szCs w:val="18"/>
              </w:rPr>
            </w:pPr>
            <w:r>
              <w:rPr>
                <w:rFonts w:cs="Arial"/>
                <w:szCs w:val="18"/>
              </w:rPr>
              <w:t>V8</w:t>
            </w:r>
          </w:p>
        </w:tc>
        <w:tc>
          <w:tcPr>
            <w:tcW w:w="1134" w:type="dxa"/>
          </w:tcPr>
          <w:p w14:paraId="35C09C99" w14:textId="77777777" w:rsidR="00010742" w:rsidRDefault="00000000">
            <w:pPr>
              <w:autoSpaceDE w:val="0"/>
              <w:jc w:val="left"/>
              <w:rPr>
                <w:rFonts w:cs="Arial"/>
                <w:szCs w:val="18"/>
              </w:rPr>
            </w:pPr>
            <w:r>
              <w:rPr>
                <w:rFonts w:cs="Arial"/>
                <w:szCs w:val="18"/>
              </w:rPr>
              <w:t>AH</w:t>
            </w:r>
          </w:p>
        </w:tc>
        <w:tc>
          <w:tcPr>
            <w:tcW w:w="851" w:type="dxa"/>
          </w:tcPr>
          <w:p w14:paraId="39447CF0" w14:textId="77777777" w:rsidR="00010742" w:rsidRDefault="00000000">
            <w:pPr>
              <w:autoSpaceDE w:val="0"/>
              <w:jc w:val="left"/>
              <w:rPr>
                <w:rFonts w:cs="Arial"/>
                <w:szCs w:val="18"/>
              </w:rPr>
            </w:pPr>
            <w:r>
              <w:rPr>
                <w:rFonts w:cs="Arial"/>
                <w:szCs w:val="18"/>
              </w:rPr>
              <w:t>12.1</w:t>
            </w:r>
          </w:p>
        </w:tc>
        <w:tc>
          <w:tcPr>
            <w:tcW w:w="1633" w:type="dxa"/>
          </w:tcPr>
          <w:p w14:paraId="1379D77C" w14:textId="77777777" w:rsidR="00010742" w:rsidRDefault="00000000">
            <w:pPr>
              <w:autoSpaceDE w:val="0"/>
              <w:jc w:val="left"/>
              <w:rPr>
                <w:rFonts w:cs="Arial"/>
                <w:szCs w:val="18"/>
              </w:rPr>
            </w:pPr>
            <w:r>
              <w:rPr>
                <w:rFonts w:cs="Arial"/>
                <w:szCs w:val="18"/>
              </w:rPr>
              <w:t>0.416</w:t>
            </w:r>
          </w:p>
        </w:tc>
      </w:tr>
      <w:tr w:rsidR="00010742" w14:paraId="1756DAD4" w14:textId="77777777">
        <w:tc>
          <w:tcPr>
            <w:tcW w:w="2410" w:type="dxa"/>
            <w:tcBorders>
              <w:bottom w:val="single" w:sz="12" w:space="0" w:color="auto"/>
            </w:tcBorders>
          </w:tcPr>
          <w:p w14:paraId="438FA676" w14:textId="77777777" w:rsidR="00010742" w:rsidRDefault="00000000">
            <w:pPr>
              <w:autoSpaceDE w:val="0"/>
              <w:jc w:val="left"/>
              <w:rPr>
                <w:rFonts w:cs="Arial"/>
                <w:szCs w:val="18"/>
              </w:rPr>
            </w:pPr>
            <w:r>
              <w:rPr>
                <w:rFonts w:cs="Arial"/>
                <w:szCs w:val="18"/>
              </w:rPr>
              <w:lastRenderedPageBreak/>
              <w:t>Weak and Broken Cryptography</w:t>
            </w:r>
          </w:p>
        </w:tc>
        <w:tc>
          <w:tcPr>
            <w:tcW w:w="1701" w:type="dxa"/>
            <w:tcBorders>
              <w:bottom w:val="single" w:sz="12" w:space="0" w:color="auto"/>
            </w:tcBorders>
          </w:tcPr>
          <w:p w14:paraId="78F1D5BB" w14:textId="77777777" w:rsidR="00010742" w:rsidRDefault="00000000">
            <w:pPr>
              <w:autoSpaceDE w:val="0"/>
              <w:jc w:val="left"/>
              <w:rPr>
                <w:rFonts w:cs="Arial"/>
                <w:szCs w:val="18"/>
              </w:rPr>
            </w:pPr>
            <w:r>
              <w:rPr>
                <w:rFonts w:cs="Arial"/>
                <w:szCs w:val="18"/>
              </w:rPr>
              <w:t>CVE-2018-6618</w:t>
            </w:r>
          </w:p>
        </w:tc>
        <w:tc>
          <w:tcPr>
            <w:tcW w:w="567" w:type="dxa"/>
            <w:tcBorders>
              <w:bottom w:val="single" w:sz="12" w:space="0" w:color="auto"/>
            </w:tcBorders>
          </w:tcPr>
          <w:p w14:paraId="70A1511B" w14:textId="77777777" w:rsidR="00010742" w:rsidRDefault="00000000">
            <w:pPr>
              <w:autoSpaceDE w:val="0"/>
              <w:jc w:val="left"/>
              <w:rPr>
                <w:rFonts w:cs="Arial"/>
                <w:szCs w:val="18"/>
              </w:rPr>
            </w:pPr>
            <w:r>
              <w:rPr>
                <w:rFonts w:cs="Arial"/>
                <w:szCs w:val="18"/>
              </w:rPr>
              <w:t>V9</w:t>
            </w:r>
          </w:p>
        </w:tc>
        <w:tc>
          <w:tcPr>
            <w:tcW w:w="1134" w:type="dxa"/>
            <w:tcBorders>
              <w:bottom w:val="single" w:sz="12" w:space="0" w:color="auto"/>
            </w:tcBorders>
          </w:tcPr>
          <w:p w14:paraId="77B1617B" w14:textId="77777777" w:rsidR="00010742" w:rsidRDefault="00000000">
            <w:pPr>
              <w:autoSpaceDE w:val="0"/>
              <w:jc w:val="left"/>
              <w:rPr>
                <w:rFonts w:cs="Arial"/>
                <w:szCs w:val="18"/>
              </w:rPr>
            </w:pPr>
            <w:r>
              <w:rPr>
                <w:rFonts w:cs="Arial"/>
                <w:szCs w:val="18"/>
              </w:rPr>
              <w:t>DS</w:t>
            </w:r>
          </w:p>
        </w:tc>
        <w:tc>
          <w:tcPr>
            <w:tcW w:w="851" w:type="dxa"/>
            <w:tcBorders>
              <w:bottom w:val="single" w:sz="12" w:space="0" w:color="auto"/>
            </w:tcBorders>
          </w:tcPr>
          <w:p w14:paraId="6AF5A271" w14:textId="77777777" w:rsidR="00010742" w:rsidRDefault="00000000">
            <w:pPr>
              <w:autoSpaceDE w:val="0"/>
              <w:jc w:val="left"/>
              <w:rPr>
                <w:rFonts w:cs="Arial"/>
                <w:szCs w:val="18"/>
              </w:rPr>
            </w:pPr>
            <w:r>
              <w:rPr>
                <w:rFonts w:cs="Arial"/>
                <w:szCs w:val="18"/>
              </w:rPr>
              <w:t>12.2</w:t>
            </w:r>
          </w:p>
        </w:tc>
        <w:tc>
          <w:tcPr>
            <w:tcW w:w="1633" w:type="dxa"/>
            <w:tcBorders>
              <w:bottom w:val="single" w:sz="12" w:space="0" w:color="auto"/>
            </w:tcBorders>
          </w:tcPr>
          <w:p w14:paraId="6C65C581" w14:textId="77777777" w:rsidR="00010742" w:rsidRDefault="00000000">
            <w:pPr>
              <w:autoSpaceDE w:val="0"/>
              <w:jc w:val="left"/>
              <w:rPr>
                <w:rFonts w:cs="Arial"/>
                <w:szCs w:val="18"/>
              </w:rPr>
            </w:pPr>
            <w:r>
              <w:rPr>
                <w:rFonts w:cs="Arial"/>
                <w:szCs w:val="18"/>
              </w:rPr>
              <w:t>0.471</w:t>
            </w:r>
          </w:p>
        </w:tc>
      </w:tr>
    </w:tbl>
    <w:p w14:paraId="7A15BF51" w14:textId="77777777" w:rsidR="00010742" w:rsidRDefault="00010742">
      <w:pPr>
        <w:autoSpaceDE w:val="0"/>
        <w:rPr>
          <w:rFonts w:eastAsia="MS PGothic"/>
          <w:sz w:val="22"/>
        </w:rPr>
      </w:pPr>
    </w:p>
    <w:p w14:paraId="2F59917E" w14:textId="77777777" w:rsidR="00010742" w:rsidRDefault="00000000">
      <w:pPr>
        <w:autoSpaceDE w:val="0"/>
        <w:ind w:firstLineChars="200" w:firstLine="440"/>
        <w:rPr>
          <w:rFonts w:eastAsia="MS PGothic"/>
          <w:sz w:val="22"/>
        </w:rPr>
      </w:pPr>
      <w:r>
        <w:rPr>
          <w:rFonts w:eastAsia="MS PGothic" w:hint="eastAsia"/>
          <w:sz w:val="22"/>
        </w:rPr>
        <w:t xml:space="preserve">Using the </w:t>
      </w:r>
      <w:proofErr w:type="spellStart"/>
      <w:r>
        <w:rPr>
          <w:rFonts w:eastAsia="MS PGothic" w:hint="eastAsia"/>
          <w:sz w:val="22"/>
        </w:rPr>
        <w:t>GeNle</w:t>
      </w:r>
      <w:proofErr w:type="spellEnd"/>
      <w:r>
        <w:rPr>
          <w:rFonts w:eastAsia="MS PGothic" w:hint="eastAsia"/>
          <w:sz w:val="22"/>
        </w:rPr>
        <w:t xml:space="preserve"> software, the attack graph is converted into a Bayesian Network (BN), quantifying the probability of successful attack and risk level for each device node, as shown in Figure 5. In this representation, circles denote vulnerability nodes, while squares represent device nodes. The attack success probabilities for the Administrator host, HMI, Data server, and PLC are 0.73, 0.67, 0.62, 0.53, and 0.59, respectively, and the risk level increases with the penetration of attack levels.</w:t>
      </w:r>
    </w:p>
    <w:p w14:paraId="1A2F6D69" w14:textId="652F7B44" w:rsidR="00010742" w:rsidRDefault="00FB4F84" w:rsidP="00FB4F84">
      <w:pPr>
        <w:autoSpaceDE w:val="0"/>
        <w:jc w:val="center"/>
        <w:rPr>
          <w:rFonts w:eastAsiaTheme="minorEastAsia"/>
          <w:sz w:val="22"/>
          <w:lang w:eastAsia="zh-CN"/>
        </w:rPr>
      </w:pPr>
      <w:r w:rsidRPr="00FB4F84">
        <w:rPr>
          <w:noProof/>
        </w:rPr>
        <w:drawing>
          <wp:inline distT="0" distB="0" distL="0" distR="0" wp14:anchorId="6998D2F1" wp14:editId="1CD04A9F">
            <wp:extent cx="4489409" cy="3564142"/>
            <wp:effectExtent l="0" t="0" r="6985" b="0"/>
            <wp:docPr id="2068236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3697" name=""/>
                    <pic:cNvPicPr/>
                  </pic:nvPicPr>
                  <pic:blipFill>
                    <a:blip r:embed="rId20"/>
                    <a:stretch>
                      <a:fillRect/>
                    </a:stretch>
                  </pic:blipFill>
                  <pic:spPr>
                    <a:xfrm>
                      <a:off x="0" y="0"/>
                      <a:ext cx="4496693" cy="3569925"/>
                    </a:xfrm>
                    <a:prstGeom prst="rect">
                      <a:avLst/>
                    </a:prstGeom>
                  </pic:spPr>
                </pic:pic>
              </a:graphicData>
            </a:graphic>
          </wp:inline>
        </w:drawing>
      </w:r>
    </w:p>
    <w:p w14:paraId="4B4FFBA5" w14:textId="2E8D4073" w:rsidR="00010742" w:rsidRPr="00FB4F84" w:rsidRDefault="00FB4F84" w:rsidP="00FB4F84">
      <w:pPr>
        <w:autoSpaceDE w:val="0"/>
        <w:jc w:val="center"/>
        <w:rPr>
          <w:rFonts w:eastAsiaTheme="minorEastAsia"/>
          <w:bCs/>
          <w:i/>
          <w:sz w:val="20"/>
          <w:lang w:eastAsia="zh-CN"/>
        </w:rPr>
      </w:pPr>
      <w:r w:rsidRPr="00FB4F84">
        <w:rPr>
          <w:rFonts w:eastAsia="MS PGothic"/>
          <w:bCs/>
          <w:sz w:val="20"/>
        </w:rPr>
        <w:t>Fig</w:t>
      </w:r>
      <w:r w:rsidRPr="00FB4F84">
        <w:rPr>
          <w:rFonts w:eastAsia="MS PGothic" w:hint="eastAsia"/>
          <w:bCs/>
          <w:sz w:val="20"/>
        </w:rPr>
        <w:t>ure</w:t>
      </w:r>
      <w:r w:rsidRPr="00FB4F84">
        <w:rPr>
          <w:rFonts w:eastAsia="MS PGothic"/>
          <w:bCs/>
          <w:sz w:val="20"/>
        </w:rPr>
        <w:t xml:space="preserve"> </w:t>
      </w:r>
      <w:r w:rsidRPr="00FB4F84">
        <w:rPr>
          <w:rFonts w:eastAsia="MS PGothic" w:hint="eastAsia"/>
          <w:bCs/>
          <w:sz w:val="20"/>
        </w:rPr>
        <w:t xml:space="preserve">5: </w:t>
      </w:r>
      <w:r w:rsidRPr="00FB4F84">
        <w:rPr>
          <w:rFonts w:eastAsia="MS PGothic"/>
          <w:bCs/>
          <w:sz w:val="20"/>
        </w:rPr>
        <w:t xml:space="preserve"> </w:t>
      </w:r>
      <w:r>
        <w:rPr>
          <w:rFonts w:eastAsiaTheme="minorEastAsia" w:hint="eastAsia"/>
          <w:bCs/>
          <w:sz w:val="20"/>
          <w:lang w:eastAsia="zh-CN"/>
        </w:rPr>
        <w:t xml:space="preserve">The </w:t>
      </w:r>
      <w:r w:rsidRPr="00FB4F84">
        <w:rPr>
          <w:rFonts w:eastAsia="MS PGothic"/>
          <w:bCs/>
          <w:sz w:val="20"/>
        </w:rPr>
        <w:t xml:space="preserve">risk calculation </w:t>
      </w:r>
      <w:proofErr w:type="gramStart"/>
      <w:r w:rsidRPr="00FB4F84">
        <w:rPr>
          <w:rFonts w:eastAsia="MS PGothic"/>
          <w:bCs/>
          <w:sz w:val="20"/>
        </w:rPr>
        <w:t>result</w:t>
      </w:r>
      <w:proofErr w:type="gramEnd"/>
      <w:r>
        <w:rPr>
          <w:rFonts w:eastAsiaTheme="minorEastAsia" w:hint="eastAsia"/>
          <w:bCs/>
          <w:sz w:val="20"/>
          <w:lang w:eastAsia="zh-CN"/>
        </w:rPr>
        <w:t xml:space="preserve"> based </w:t>
      </w:r>
      <w:r>
        <w:rPr>
          <w:rFonts w:eastAsia="MS PGothic" w:hint="eastAsia"/>
          <w:sz w:val="22"/>
        </w:rPr>
        <w:t>Bayesian Network</w:t>
      </w:r>
    </w:p>
    <w:p w14:paraId="5675B97D" w14:textId="77777777" w:rsidR="00010742" w:rsidRDefault="00000000">
      <w:pPr>
        <w:pStyle w:val="BOAHeading"/>
        <w:rPr>
          <w:lang w:eastAsia="ko-KR"/>
        </w:rPr>
      </w:pPr>
      <w:r>
        <w:t>4. Conclusion</w:t>
      </w:r>
      <w:r>
        <w:rPr>
          <w:lang w:eastAsia="ko-KR"/>
        </w:rPr>
        <w:t>s</w:t>
      </w:r>
    </w:p>
    <w:p w14:paraId="7D59D45C" w14:textId="77777777" w:rsidR="00010742" w:rsidRDefault="00000000">
      <w:pPr>
        <w:pStyle w:val="BOAReference"/>
        <w:ind w:firstLineChars="200" w:firstLine="440"/>
        <w:jc w:val="both"/>
        <w:rPr>
          <w:rFonts w:eastAsia="MS PGothic"/>
          <w:b w:val="0"/>
          <w:sz w:val="22"/>
        </w:rPr>
      </w:pPr>
      <w:r>
        <w:rPr>
          <w:rFonts w:eastAsia="MS PGothic" w:hint="eastAsia"/>
          <w:b w:val="0"/>
          <w:sz w:val="22"/>
        </w:rPr>
        <w:t>This study developed a vulnerability prioritization assessment method tailored for ICPSs based on an improved CVSS model and a novel CWE) groups classification approach and verified the effectiveness of the assessment index system by applying the incident case-driven. Finally, a case study on a tank level control system was conducted to quantify attack paths and risk levels. The application of this vulnerability assessment method can significantly reduce the complexity of security assessments in ICPSs while ensuring the objectivity of the assessment results to some extent.</w:t>
      </w:r>
    </w:p>
    <w:p w14:paraId="7A34D976" w14:textId="77777777" w:rsidR="00010742" w:rsidRDefault="00000000">
      <w:pPr>
        <w:pStyle w:val="BOAReference"/>
      </w:pPr>
      <w:r>
        <w:t>Acknowledgments</w:t>
      </w:r>
    </w:p>
    <w:p w14:paraId="58877070" w14:textId="77777777" w:rsidR="00010742" w:rsidRDefault="00000000">
      <w:pPr>
        <w:ind w:firstLineChars="200" w:firstLine="440"/>
        <w:rPr>
          <w:rFonts w:eastAsia="MS PGothic"/>
          <w:sz w:val="22"/>
        </w:rPr>
      </w:pPr>
      <w:bookmarkStart w:id="0" w:name="_Hlk175869835"/>
      <w:r>
        <w:rPr>
          <w:rFonts w:eastAsia="MS PGothic" w:hint="eastAsia"/>
          <w:sz w:val="22"/>
        </w:rPr>
        <w:t>This study was supported by the National Natural Science Foundation of China (22478128), and the China Scholarship Council (202406150078).</w:t>
      </w:r>
    </w:p>
    <w:bookmarkEnd w:id="0"/>
    <w:p w14:paraId="5EF15A2B" w14:textId="77777777" w:rsidR="00010742" w:rsidRDefault="00000000">
      <w:pPr>
        <w:pStyle w:val="BOAReference"/>
        <w:rPr>
          <w:rFonts w:eastAsia="SimSun"/>
          <w:lang w:val="fr-FR" w:eastAsia="zh-CN"/>
        </w:rPr>
      </w:pPr>
      <w:r>
        <w:rPr>
          <w:rFonts w:eastAsia="MS PGothic"/>
          <w:lang w:val="fr-FR"/>
        </w:rPr>
        <w:t xml:space="preserve">References </w:t>
      </w:r>
    </w:p>
    <w:p w14:paraId="6C1D0985" w14:textId="77777777" w:rsidR="00010742" w:rsidRDefault="00000000">
      <w:pPr>
        <w:ind w:left="440" w:hangingChars="200" w:hanging="440"/>
        <w:rPr>
          <w:rFonts w:eastAsia="MS PGothic"/>
          <w:sz w:val="22"/>
        </w:rPr>
      </w:pPr>
      <w:r>
        <w:rPr>
          <w:rFonts w:eastAsia="MS PGothic" w:hint="eastAsia"/>
          <w:sz w:val="22"/>
        </w:rPr>
        <w:lastRenderedPageBreak/>
        <w:t xml:space="preserve">Iaiani, M., Tugnoli, A., </w:t>
      </w:r>
      <w:proofErr w:type="spellStart"/>
      <w:r>
        <w:rPr>
          <w:rFonts w:eastAsia="MS PGothic" w:hint="eastAsia"/>
          <w:sz w:val="22"/>
        </w:rPr>
        <w:t>Bonvicini</w:t>
      </w:r>
      <w:proofErr w:type="spellEnd"/>
      <w:r>
        <w:rPr>
          <w:rFonts w:eastAsia="MS PGothic" w:hint="eastAsia"/>
          <w:sz w:val="22"/>
        </w:rPr>
        <w:t>, S., Cozzani, V., 2021, Analysis of Cybersecurity-related Incidents in the Process Industry. Reliability Engineering &amp; System Safety. 209, 107485.</w:t>
      </w:r>
    </w:p>
    <w:p w14:paraId="310334B8" w14:textId="77777777" w:rsidR="00010742" w:rsidRDefault="00000000">
      <w:pPr>
        <w:ind w:left="440" w:hangingChars="200" w:hanging="440"/>
        <w:rPr>
          <w:rFonts w:eastAsia="MS PGothic"/>
          <w:sz w:val="22"/>
        </w:rPr>
      </w:pPr>
      <w:r>
        <w:rPr>
          <w:rFonts w:eastAsia="MS PGothic" w:hint="eastAsia"/>
          <w:sz w:val="22"/>
        </w:rPr>
        <w:t>Wang, Y., Yu, B., Yu, H., Xiao, L., Ji, H., Zhao, Y., 2023, Automotive Cybersecurity Vulnerability Assessment Using the Common Vulnerability Scoring System and Bayesian Network Model. IEEE Systems Journal. 17(2), 2880-2891.</w:t>
      </w:r>
    </w:p>
    <w:p w14:paraId="630A44FE" w14:textId="77777777" w:rsidR="00010742" w:rsidRDefault="00000000">
      <w:pPr>
        <w:ind w:left="440" w:hangingChars="200" w:hanging="440"/>
        <w:rPr>
          <w:rFonts w:eastAsia="MS PGothic"/>
          <w:sz w:val="22"/>
        </w:rPr>
      </w:pPr>
      <w:r>
        <w:rPr>
          <w:rFonts w:eastAsia="MS PGothic" w:hint="eastAsia"/>
          <w:sz w:val="22"/>
        </w:rPr>
        <w:t>Zhu, Q., 2023, Enhancing vulnerability scoring for information security in intelligent computers. International Journal of Intelligent Networks. 4, 253-260.</w:t>
      </w:r>
    </w:p>
    <w:p w14:paraId="1C05AF6C" w14:textId="77777777" w:rsidR="00010742" w:rsidRDefault="00000000">
      <w:pPr>
        <w:ind w:left="440" w:hangingChars="200" w:hanging="440"/>
        <w:rPr>
          <w:rFonts w:eastAsia="MS PGothic"/>
          <w:sz w:val="22"/>
        </w:rPr>
      </w:pPr>
      <w:r>
        <w:rPr>
          <w:rFonts w:eastAsia="MS PGothic" w:hint="eastAsia"/>
          <w:sz w:val="22"/>
        </w:rPr>
        <w:t xml:space="preserve">Falco, G., et al. 2018, CALDERA C, SHROBE H. </w:t>
      </w:r>
      <w:proofErr w:type="spellStart"/>
      <w:r>
        <w:rPr>
          <w:rFonts w:eastAsia="MS PGothic" w:hint="eastAsia"/>
          <w:sz w:val="22"/>
        </w:rPr>
        <w:t>IIoT</w:t>
      </w:r>
      <w:proofErr w:type="spellEnd"/>
      <w:r>
        <w:rPr>
          <w:rFonts w:eastAsia="MS PGothic" w:hint="eastAsia"/>
          <w:sz w:val="22"/>
        </w:rPr>
        <w:t xml:space="preserve"> Cybersecurity Risk </w:t>
      </w:r>
      <w:proofErr w:type="spellStart"/>
      <w:r>
        <w:rPr>
          <w:rFonts w:eastAsia="MS PGothic" w:hint="eastAsia"/>
          <w:sz w:val="22"/>
        </w:rPr>
        <w:t>Modeling</w:t>
      </w:r>
      <w:proofErr w:type="spellEnd"/>
      <w:r>
        <w:rPr>
          <w:rFonts w:eastAsia="MS PGothic" w:hint="eastAsia"/>
          <w:sz w:val="22"/>
        </w:rPr>
        <w:t xml:space="preserve"> for SCADA Systems. IEEE Internet of Things Journal. 5(6), 4486</w:t>
      </w:r>
      <w:r>
        <w:rPr>
          <w:rFonts w:eastAsia="MS PGothic" w:hint="eastAsia"/>
          <w:sz w:val="22"/>
        </w:rPr>
        <w:t>–</w:t>
      </w:r>
      <w:r>
        <w:rPr>
          <w:rFonts w:eastAsia="MS PGothic" w:hint="eastAsia"/>
          <w:sz w:val="22"/>
        </w:rPr>
        <w:t>4495.</w:t>
      </w:r>
    </w:p>
    <w:p w14:paraId="21279256" w14:textId="77777777" w:rsidR="00010742" w:rsidRDefault="00000000">
      <w:pPr>
        <w:ind w:left="440" w:hangingChars="200" w:hanging="440"/>
        <w:rPr>
          <w:rFonts w:eastAsia="MS PGothic"/>
          <w:sz w:val="22"/>
        </w:rPr>
      </w:pPr>
      <w:r>
        <w:rPr>
          <w:rFonts w:eastAsia="MS PGothic" w:hint="eastAsia"/>
          <w:sz w:val="22"/>
        </w:rPr>
        <w:t>Thomas, R.J., Chothia, T., 2020, Learning from vulnerabilities - categorising, understanding and detecting weaknesses in industrial control systems. In: Computer Security. Springer International Publishing, Cham.</w:t>
      </w:r>
    </w:p>
    <w:p w14:paraId="0625A764" w14:textId="77777777" w:rsidR="00010742" w:rsidRDefault="00000000">
      <w:pPr>
        <w:ind w:left="440" w:hangingChars="200" w:hanging="440"/>
        <w:rPr>
          <w:rFonts w:eastAsia="MS PGothic"/>
          <w:sz w:val="22"/>
        </w:rPr>
      </w:pPr>
      <w:r>
        <w:rPr>
          <w:rFonts w:eastAsia="MS PGothic" w:hint="eastAsia"/>
          <w:sz w:val="22"/>
        </w:rPr>
        <w:t xml:space="preserve"> Nayak, K., Marino, D., </w:t>
      </w:r>
      <w:proofErr w:type="spellStart"/>
      <w:r>
        <w:rPr>
          <w:rFonts w:eastAsia="MS PGothic" w:hint="eastAsia"/>
          <w:sz w:val="22"/>
        </w:rPr>
        <w:t>Efstathopoulos</w:t>
      </w:r>
      <w:proofErr w:type="spellEnd"/>
      <w:r>
        <w:rPr>
          <w:rFonts w:eastAsia="MS PGothic" w:hint="eastAsia"/>
          <w:sz w:val="22"/>
        </w:rPr>
        <w:t xml:space="preserve">, P., </w:t>
      </w:r>
      <w:proofErr w:type="spellStart"/>
      <w:r>
        <w:rPr>
          <w:rFonts w:eastAsia="MS PGothic" w:hint="eastAsia"/>
          <w:sz w:val="22"/>
        </w:rPr>
        <w:t>Dumitras</w:t>
      </w:r>
      <w:proofErr w:type="spellEnd"/>
      <w:r>
        <w:rPr>
          <w:rFonts w:eastAsia="MS PGothic" w:hint="eastAsia"/>
          <w:sz w:val="22"/>
        </w:rPr>
        <w:t xml:space="preserve">, T., 2014, Some vulnerabilities are different than others. In: Research in Attacks, Intrusions and </w:t>
      </w:r>
      <w:proofErr w:type="spellStart"/>
      <w:r>
        <w:rPr>
          <w:rFonts w:eastAsia="MS PGothic" w:hint="eastAsia"/>
          <w:sz w:val="22"/>
        </w:rPr>
        <w:t>Defenses</w:t>
      </w:r>
      <w:proofErr w:type="spellEnd"/>
      <w:r>
        <w:rPr>
          <w:rFonts w:eastAsia="MS PGothic" w:hint="eastAsia"/>
          <w:sz w:val="22"/>
        </w:rPr>
        <w:t>. Springer International Publishing, Cham.</w:t>
      </w:r>
    </w:p>
    <w:p w14:paraId="6D935901" w14:textId="77777777" w:rsidR="00010742" w:rsidRDefault="00000000">
      <w:pPr>
        <w:ind w:left="440" w:hangingChars="200" w:hanging="440"/>
        <w:rPr>
          <w:rFonts w:eastAsia="MS PGothic"/>
          <w:sz w:val="22"/>
        </w:rPr>
      </w:pPr>
      <w:r>
        <w:rPr>
          <w:rFonts w:eastAsia="MS PGothic" w:hint="eastAsia"/>
          <w:sz w:val="22"/>
        </w:rPr>
        <w:t>RISI - The Repository of Industrial Security Incidents. https://www.risidata.com/. [dataset].</w:t>
      </w:r>
    </w:p>
    <w:p w14:paraId="48CA659D" w14:textId="77777777" w:rsidR="00010742" w:rsidRDefault="00000000">
      <w:pPr>
        <w:ind w:left="440" w:hangingChars="200" w:hanging="440"/>
        <w:rPr>
          <w:rFonts w:eastAsia="MS PGothic"/>
          <w:sz w:val="22"/>
        </w:rPr>
      </w:pPr>
      <w:r>
        <w:rPr>
          <w:rFonts w:eastAsia="MS PGothic" w:hint="eastAsia"/>
          <w:sz w:val="22"/>
        </w:rPr>
        <w:t>Common vulnerability enumeration (CVE). MITRE, https://www.cve.org/. [dataset].</w:t>
      </w:r>
    </w:p>
    <w:p w14:paraId="17A90165" w14:textId="77777777" w:rsidR="00010742" w:rsidRDefault="00000000">
      <w:pPr>
        <w:ind w:left="440" w:hangingChars="200" w:hanging="440"/>
        <w:rPr>
          <w:rFonts w:eastAsia="MS PGothic"/>
          <w:sz w:val="22"/>
        </w:rPr>
      </w:pPr>
      <w:r>
        <w:rPr>
          <w:rFonts w:eastAsia="MS PGothic" w:hint="eastAsia"/>
          <w:sz w:val="22"/>
        </w:rPr>
        <w:t>Zhang, H., Lou, F., Fu, Y., Tian, Z., 2017, A conditional probability computation method for vulnerability exploitation based on CVSS. 2017 IEEE 2nd International Conference on Data Science in Cyberspace, 238</w:t>
      </w:r>
      <w:r>
        <w:rPr>
          <w:rFonts w:eastAsia="MS PGothic" w:hint="eastAsia"/>
          <w:sz w:val="22"/>
        </w:rPr>
        <w:t>–</w:t>
      </w:r>
      <w:r>
        <w:rPr>
          <w:rFonts w:eastAsia="MS PGothic" w:hint="eastAsia"/>
          <w:sz w:val="22"/>
        </w:rPr>
        <w:t>241.</w:t>
      </w:r>
    </w:p>
    <w:p w14:paraId="49A72C80" w14:textId="77777777" w:rsidR="00010742" w:rsidRDefault="00010742">
      <w:pPr>
        <w:pStyle w:val="BOAReference-text"/>
        <w:rPr>
          <w:rFonts w:eastAsia="SimSun"/>
        </w:rPr>
      </w:pPr>
    </w:p>
    <w:sectPr w:rsidR="00010742">
      <w:headerReference w:type="default" r:id="rId21"/>
      <w:headerReference w:type="first" r:id="rId22"/>
      <w:type w:val="continuous"/>
      <w:pgSz w:w="11906" w:h="16838"/>
      <w:pgMar w:top="1701" w:right="1418" w:bottom="1701" w:left="1701" w:header="1134" w:footer="57" w:gutter="0"/>
      <w:cols w:space="720"/>
      <w:titlePg/>
      <w:docGrid w:linePitch="360" w:charSpace="-28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B48CAB" w14:textId="77777777" w:rsidR="00994E15" w:rsidRDefault="00994E15">
      <w:pPr>
        <w:spacing w:line="240" w:lineRule="auto"/>
      </w:pPr>
      <w:r>
        <w:separator/>
      </w:r>
    </w:p>
  </w:endnote>
  <w:endnote w:type="continuationSeparator" w:id="0">
    <w:p w14:paraId="020052E3" w14:textId="77777777" w:rsidR="00994E15" w:rsidRDefault="00994E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1E2D1" w14:textId="77777777" w:rsidR="00994E15" w:rsidRDefault="00994E15">
      <w:r>
        <w:separator/>
      </w:r>
    </w:p>
  </w:footnote>
  <w:footnote w:type="continuationSeparator" w:id="0">
    <w:p w14:paraId="0E058961" w14:textId="77777777" w:rsidR="00994E15" w:rsidRDefault="00994E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342F5" w14:textId="77777777" w:rsidR="00010742" w:rsidRDefault="00000000">
    <w:pPr>
      <w:pStyle w:val="Titolo1"/>
      <w:pBdr>
        <w:bottom w:val="single" w:sz="4" w:space="1" w:color="auto"/>
      </w:pBdr>
      <w:spacing w:after="480"/>
      <w:jc w:val="center"/>
      <w:rPr>
        <w:color w:val="808080" w:themeColor="background1" w:themeShade="80"/>
      </w:rPr>
    </w:pPr>
    <w:r>
      <w:rPr>
        <w:color w:val="808080" w:themeColor="background1" w:themeShade="80"/>
      </w:rPr>
      <w:t xml:space="preserve">LOSS PREVENTION 2025, </w:t>
    </w:r>
    <w:r>
      <w:rPr>
        <w:i/>
        <w:iCs/>
        <w:color w:val="808080" w:themeColor="background1" w:themeShade="80"/>
      </w:rPr>
      <w:t>Bologna (Italy), 8-11 June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79EC1" w14:textId="77777777" w:rsidR="00010742" w:rsidRDefault="00000000">
    <w:r>
      <w:rPr>
        <w:noProof/>
      </w:rPr>
      <w:drawing>
        <wp:anchor distT="0" distB="0" distL="114300" distR="114300" simplePos="0" relativeHeight="251659264" behindDoc="0" locked="0" layoutInCell="1" allowOverlap="1" wp14:anchorId="5B4E42AF" wp14:editId="6461132E">
          <wp:simplePos x="0" y="0"/>
          <wp:positionH relativeFrom="column">
            <wp:posOffset>1038225</wp:posOffset>
          </wp:positionH>
          <wp:positionV relativeFrom="paragraph">
            <wp:posOffset>-591820</wp:posOffset>
          </wp:positionV>
          <wp:extent cx="3535680" cy="1113790"/>
          <wp:effectExtent l="0" t="0" r="0" b="0"/>
          <wp:wrapSquare wrapText="bothSides"/>
          <wp:docPr id="694924740" name="Immagine 5" descr="Immagine che contiene verdu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924740" name="Immagine 5" descr="Immagine che contiene verdura&#10;&#10;Descrizione generata automa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535680" cy="1113790"/>
                  </a:xfrm>
                  <a:prstGeom prst="rect">
                    <a:avLst/>
                  </a:prstGeom>
                </pic:spPr>
              </pic:pic>
            </a:graphicData>
          </a:graphic>
        </wp:anchor>
      </w:drawing>
    </w:r>
  </w:p>
  <w:p w14:paraId="00425445" w14:textId="77777777" w:rsidR="00010742" w:rsidRDefault="00010742"/>
  <w:p w14:paraId="0BA77BD0" w14:textId="77777777" w:rsidR="00010742" w:rsidRDefault="00010742"/>
  <w:p w14:paraId="33459C81" w14:textId="77777777" w:rsidR="00010742" w:rsidRDefault="0001074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FFFF7C"/>
    <w:lvl w:ilvl="0">
      <w:start w:val="1"/>
      <w:numFmt w:val="decimal"/>
      <w:pStyle w:val="Numeroelenco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Numeroelenco4"/>
      <w:lvlText w:val="%1."/>
      <w:lvlJc w:val="left"/>
      <w:pPr>
        <w:tabs>
          <w:tab w:val="left" w:pos="1209"/>
        </w:tabs>
        <w:ind w:left="1209" w:hanging="360"/>
      </w:pPr>
    </w:lvl>
  </w:abstractNum>
  <w:abstractNum w:abstractNumId="2" w15:restartNumberingAfterBreak="0">
    <w:nsid w:val="FFFFFF7E"/>
    <w:multiLevelType w:val="singleLevel"/>
    <w:tmpl w:val="FFFFFF7E"/>
    <w:lvl w:ilvl="0">
      <w:start w:val="1"/>
      <w:numFmt w:val="decimal"/>
      <w:pStyle w:val="Numeroelenco3"/>
      <w:lvlText w:val="%1."/>
      <w:lvlJc w:val="left"/>
      <w:pPr>
        <w:tabs>
          <w:tab w:val="left" w:pos="926"/>
        </w:tabs>
        <w:ind w:left="926" w:hanging="360"/>
      </w:pPr>
    </w:lvl>
  </w:abstractNum>
  <w:abstractNum w:abstractNumId="3" w15:restartNumberingAfterBreak="0">
    <w:nsid w:val="FFFFFF7F"/>
    <w:multiLevelType w:val="singleLevel"/>
    <w:tmpl w:val="FFFFFF7F"/>
    <w:lvl w:ilvl="0">
      <w:start w:val="1"/>
      <w:numFmt w:val="decimal"/>
      <w:pStyle w:val="Numeroelenco2"/>
      <w:lvlText w:val="%1."/>
      <w:lvlJc w:val="left"/>
      <w:pPr>
        <w:tabs>
          <w:tab w:val="left" w:pos="643"/>
        </w:tabs>
        <w:ind w:left="643" w:hanging="360"/>
      </w:pPr>
    </w:lvl>
  </w:abstractNum>
  <w:abstractNum w:abstractNumId="4" w15:restartNumberingAfterBreak="0">
    <w:nsid w:val="FFFFFF80"/>
    <w:multiLevelType w:val="singleLevel"/>
    <w:tmpl w:val="FFFFFF80"/>
    <w:lvl w:ilvl="0">
      <w:start w:val="1"/>
      <w:numFmt w:val="bullet"/>
      <w:pStyle w:val="Puntoelenco5"/>
      <w:lvlText w:val=""/>
      <w:lvlJc w:val="left"/>
      <w:pPr>
        <w:tabs>
          <w:tab w:val="left" w:pos="1492"/>
        </w:tabs>
        <w:ind w:left="1492" w:hanging="360"/>
      </w:pPr>
      <w:rPr>
        <w:rFonts w:ascii="Symbol" w:hAnsi="Symbol" w:hint="default"/>
      </w:rPr>
    </w:lvl>
  </w:abstractNum>
  <w:abstractNum w:abstractNumId="5" w15:restartNumberingAfterBreak="0">
    <w:nsid w:val="FFFFFF81"/>
    <w:multiLevelType w:val="singleLevel"/>
    <w:tmpl w:val="FFFFFF81"/>
    <w:lvl w:ilvl="0">
      <w:start w:val="1"/>
      <w:numFmt w:val="bullet"/>
      <w:pStyle w:val="Puntoelenco4"/>
      <w:lvlText w:val=""/>
      <w:lvlJc w:val="left"/>
      <w:pPr>
        <w:tabs>
          <w:tab w:val="left" w:pos="1209"/>
        </w:tabs>
        <w:ind w:left="1209" w:hanging="360"/>
      </w:pPr>
      <w:rPr>
        <w:rFonts w:ascii="Symbol" w:hAnsi="Symbol" w:hint="default"/>
      </w:rPr>
    </w:lvl>
  </w:abstractNum>
  <w:abstractNum w:abstractNumId="6" w15:restartNumberingAfterBreak="0">
    <w:nsid w:val="FFFFFF82"/>
    <w:multiLevelType w:val="singleLevel"/>
    <w:tmpl w:val="FFFFFF82"/>
    <w:lvl w:ilvl="0">
      <w:start w:val="1"/>
      <w:numFmt w:val="bullet"/>
      <w:pStyle w:val="Puntoelenco3"/>
      <w:lvlText w:val=""/>
      <w:lvlJc w:val="left"/>
      <w:pPr>
        <w:tabs>
          <w:tab w:val="left" w:pos="926"/>
        </w:tabs>
        <w:ind w:left="926" w:hanging="360"/>
      </w:pPr>
      <w:rPr>
        <w:rFonts w:ascii="Symbol" w:hAnsi="Symbol" w:hint="default"/>
      </w:rPr>
    </w:lvl>
  </w:abstractNum>
  <w:abstractNum w:abstractNumId="7" w15:restartNumberingAfterBreak="0">
    <w:nsid w:val="FFFFFF83"/>
    <w:multiLevelType w:val="singleLevel"/>
    <w:tmpl w:val="FFFFFF83"/>
    <w:lvl w:ilvl="0">
      <w:start w:val="1"/>
      <w:numFmt w:val="bullet"/>
      <w:pStyle w:val="Puntoelenco2"/>
      <w:lvlText w:val=""/>
      <w:lvlJc w:val="left"/>
      <w:pPr>
        <w:tabs>
          <w:tab w:val="left" w:pos="643"/>
        </w:tabs>
        <w:ind w:left="643" w:hanging="360"/>
      </w:pPr>
      <w:rPr>
        <w:rFonts w:ascii="Symbol" w:hAnsi="Symbol" w:hint="default"/>
      </w:rPr>
    </w:lvl>
  </w:abstractNum>
  <w:abstractNum w:abstractNumId="8" w15:restartNumberingAfterBreak="0">
    <w:nsid w:val="FFFFFF88"/>
    <w:multiLevelType w:val="singleLevel"/>
    <w:tmpl w:val="FFFFFF88"/>
    <w:lvl w:ilvl="0">
      <w:start w:val="1"/>
      <w:numFmt w:val="decimal"/>
      <w:pStyle w:val="Numeroelenco"/>
      <w:lvlText w:val="%1."/>
      <w:lvlJc w:val="left"/>
      <w:pPr>
        <w:tabs>
          <w:tab w:val="left" w:pos="360"/>
        </w:tabs>
        <w:ind w:left="360" w:hanging="360"/>
      </w:pPr>
    </w:lvl>
  </w:abstractNum>
  <w:abstractNum w:abstractNumId="9" w15:restartNumberingAfterBreak="0">
    <w:nsid w:val="FFFFFF89"/>
    <w:multiLevelType w:val="singleLevel"/>
    <w:tmpl w:val="FFFFFF89"/>
    <w:lvl w:ilvl="0">
      <w:start w:val="1"/>
      <w:numFmt w:val="bullet"/>
      <w:pStyle w:val="Puntoelenco"/>
      <w:lvlText w:val=""/>
      <w:lvlJc w:val="left"/>
      <w:pPr>
        <w:tabs>
          <w:tab w:val="left" w:pos="360"/>
        </w:tabs>
        <w:ind w:left="360" w:hanging="360"/>
      </w:pPr>
      <w:rPr>
        <w:rFonts w:ascii="Symbol" w:hAnsi="Symbol" w:hint="default"/>
      </w:rPr>
    </w:lvl>
  </w:abstractNum>
  <w:abstractNum w:abstractNumId="10" w15:restartNumberingAfterBreak="0">
    <w:nsid w:val="2438217E"/>
    <w:multiLevelType w:val="multilevel"/>
    <w:tmpl w:val="2438217E"/>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pStyle w:val="BOAheadingx1"/>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6B33C9B"/>
    <w:multiLevelType w:val="multilevel"/>
    <w:tmpl w:val="36B33C9B"/>
    <w:lvl w:ilvl="0">
      <w:start w:val="1"/>
      <w:numFmt w:val="decimal"/>
      <w:suff w:val="space"/>
      <w:lvlText w:val="%1."/>
      <w:lvlJc w:val="left"/>
      <w:pPr>
        <w:ind w:left="0" w:firstLine="0"/>
      </w:pPr>
      <w:rPr>
        <w:rFonts w:ascii="Arial" w:hAnsi="Arial" w:cs="Arial" w:hint="default"/>
        <w:sz w:val="20"/>
        <w:szCs w:val="20"/>
      </w:rPr>
    </w:lvl>
    <w:lvl w:ilvl="1">
      <w:start w:val="1"/>
      <w:numFmt w:val="decimal"/>
      <w:pStyle w:val="CETHeading1"/>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5B591179"/>
    <w:multiLevelType w:val="singleLevel"/>
    <w:tmpl w:val="5B591179"/>
    <w:lvl w:ilvl="0">
      <w:start w:val="2"/>
      <w:numFmt w:val="decimal"/>
      <w:suff w:val="space"/>
      <w:lvlText w:val="%1."/>
      <w:lvlJc w:val="left"/>
    </w:lvl>
  </w:abstractNum>
  <w:num w:numId="1" w16cid:durableId="1816215079">
    <w:abstractNumId w:val="3"/>
  </w:num>
  <w:num w:numId="2" w16cid:durableId="1988393667">
    <w:abstractNumId w:val="5"/>
  </w:num>
  <w:num w:numId="3" w16cid:durableId="868448942">
    <w:abstractNumId w:val="8"/>
  </w:num>
  <w:num w:numId="4" w16cid:durableId="670989872">
    <w:abstractNumId w:val="9"/>
  </w:num>
  <w:num w:numId="5" w16cid:durableId="572860202">
    <w:abstractNumId w:val="6"/>
  </w:num>
  <w:num w:numId="6" w16cid:durableId="463428012">
    <w:abstractNumId w:val="2"/>
  </w:num>
  <w:num w:numId="7" w16cid:durableId="1733969142">
    <w:abstractNumId w:val="7"/>
  </w:num>
  <w:num w:numId="8" w16cid:durableId="741410283">
    <w:abstractNumId w:val="4"/>
  </w:num>
  <w:num w:numId="9" w16cid:durableId="2779948">
    <w:abstractNumId w:val="1"/>
  </w:num>
  <w:num w:numId="10" w16cid:durableId="839583709">
    <w:abstractNumId w:val="0"/>
  </w:num>
  <w:num w:numId="11" w16cid:durableId="936792855">
    <w:abstractNumId w:val="10"/>
  </w:num>
  <w:num w:numId="12" w16cid:durableId="7434536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9860641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14A"/>
    <w:rsid w:val="000027C0"/>
    <w:rsid w:val="00010742"/>
    <w:rsid w:val="000117CB"/>
    <w:rsid w:val="00020EA1"/>
    <w:rsid w:val="0003148D"/>
    <w:rsid w:val="00062A9A"/>
    <w:rsid w:val="000A03B2"/>
    <w:rsid w:val="000D34BE"/>
    <w:rsid w:val="000E36F1"/>
    <w:rsid w:val="000E3A73"/>
    <w:rsid w:val="000E414A"/>
    <w:rsid w:val="0013121F"/>
    <w:rsid w:val="00134DE4"/>
    <w:rsid w:val="00150E59"/>
    <w:rsid w:val="00184AD6"/>
    <w:rsid w:val="001B65C1"/>
    <w:rsid w:val="001C684B"/>
    <w:rsid w:val="001D53FC"/>
    <w:rsid w:val="001F2EC7"/>
    <w:rsid w:val="002065DB"/>
    <w:rsid w:val="002447EF"/>
    <w:rsid w:val="00251550"/>
    <w:rsid w:val="002626FE"/>
    <w:rsid w:val="0027221A"/>
    <w:rsid w:val="00275B61"/>
    <w:rsid w:val="002C633D"/>
    <w:rsid w:val="002D1F12"/>
    <w:rsid w:val="003009B7"/>
    <w:rsid w:val="00302C82"/>
    <w:rsid w:val="0030469C"/>
    <w:rsid w:val="003723D4"/>
    <w:rsid w:val="003A7D1C"/>
    <w:rsid w:val="003B61C3"/>
    <w:rsid w:val="0042639A"/>
    <w:rsid w:val="00426BD4"/>
    <w:rsid w:val="00435501"/>
    <w:rsid w:val="0046164A"/>
    <w:rsid w:val="00462DCD"/>
    <w:rsid w:val="0046419A"/>
    <w:rsid w:val="004A210F"/>
    <w:rsid w:val="004C2084"/>
    <w:rsid w:val="004D1162"/>
    <w:rsid w:val="004E0FFD"/>
    <w:rsid w:val="004E4DD6"/>
    <w:rsid w:val="004F0C80"/>
    <w:rsid w:val="004F5E36"/>
    <w:rsid w:val="005119A5"/>
    <w:rsid w:val="005278B7"/>
    <w:rsid w:val="005346C8"/>
    <w:rsid w:val="00537CCB"/>
    <w:rsid w:val="00581815"/>
    <w:rsid w:val="00591C6C"/>
    <w:rsid w:val="00594E9F"/>
    <w:rsid w:val="005B61E6"/>
    <w:rsid w:val="005C1A57"/>
    <w:rsid w:val="005C648D"/>
    <w:rsid w:val="005C77E1"/>
    <w:rsid w:val="005D6A2F"/>
    <w:rsid w:val="005E1A82"/>
    <w:rsid w:val="005F0A28"/>
    <w:rsid w:val="005F0E5E"/>
    <w:rsid w:val="00620DEE"/>
    <w:rsid w:val="00621A1B"/>
    <w:rsid w:val="00623D69"/>
    <w:rsid w:val="00625639"/>
    <w:rsid w:val="0064184D"/>
    <w:rsid w:val="00660E3E"/>
    <w:rsid w:val="00662E74"/>
    <w:rsid w:val="006A58D2"/>
    <w:rsid w:val="006C5579"/>
    <w:rsid w:val="00704BDF"/>
    <w:rsid w:val="00720C17"/>
    <w:rsid w:val="00736B13"/>
    <w:rsid w:val="007447F3"/>
    <w:rsid w:val="007661C8"/>
    <w:rsid w:val="007C1FD6"/>
    <w:rsid w:val="007D52CD"/>
    <w:rsid w:val="00813288"/>
    <w:rsid w:val="008168FC"/>
    <w:rsid w:val="0082171E"/>
    <w:rsid w:val="008479A2"/>
    <w:rsid w:val="0087637F"/>
    <w:rsid w:val="008A1512"/>
    <w:rsid w:val="008C779C"/>
    <w:rsid w:val="008D0BEB"/>
    <w:rsid w:val="008E566E"/>
    <w:rsid w:val="00901EB6"/>
    <w:rsid w:val="009047CF"/>
    <w:rsid w:val="009425B4"/>
    <w:rsid w:val="009450CE"/>
    <w:rsid w:val="0095164B"/>
    <w:rsid w:val="00994E15"/>
    <w:rsid w:val="00996483"/>
    <w:rsid w:val="009C32E4"/>
    <w:rsid w:val="009E788A"/>
    <w:rsid w:val="00A05A15"/>
    <w:rsid w:val="00A07E93"/>
    <w:rsid w:val="00A1763D"/>
    <w:rsid w:val="00A17CEC"/>
    <w:rsid w:val="00A27EF0"/>
    <w:rsid w:val="00A6255A"/>
    <w:rsid w:val="00A66B9C"/>
    <w:rsid w:val="00A76EFC"/>
    <w:rsid w:val="00A9626B"/>
    <w:rsid w:val="00A97F29"/>
    <w:rsid w:val="00AB0964"/>
    <w:rsid w:val="00AC5F71"/>
    <w:rsid w:val="00AE377D"/>
    <w:rsid w:val="00B31173"/>
    <w:rsid w:val="00B430A4"/>
    <w:rsid w:val="00B61DBF"/>
    <w:rsid w:val="00BA0FD3"/>
    <w:rsid w:val="00BB6185"/>
    <w:rsid w:val="00BB6F9B"/>
    <w:rsid w:val="00BC30C9"/>
    <w:rsid w:val="00BD0920"/>
    <w:rsid w:val="00BE3E58"/>
    <w:rsid w:val="00C01616"/>
    <w:rsid w:val="00C0162B"/>
    <w:rsid w:val="00C345B1"/>
    <w:rsid w:val="00C40142"/>
    <w:rsid w:val="00C57182"/>
    <w:rsid w:val="00C655FD"/>
    <w:rsid w:val="00C867B1"/>
    <w:rsid w:val="00C94434"/>
    <w:rsid w:val="00CA1C95"/>
    <w:rsid w:val="00CA54AA"/>
    <w:rsid w:val="00CA5A9C"/>
    <w:rsid w:val="00CD5FE2"/>
    <w:rsid w:val="00D02B4C"/>
    <w:rsid w:val="00D413E9"/>
    <w:rsid w:val="00D801F0"/>
    <w:rsid w:val="00D84576"/>
    <w:rsid w:val="00D948AD"/>
    <w:rsid w:val="00DE0019"/>
    <w:rsid w:val="00DE264A"/>
    <w:rsid w:val="00E041E7"/>
    <w:rsid w:val="00E1280C"/>
    <w:rsid w:val="00E23CA1"/>
    <w:rsid w:val="00E409A8"/>
    <w:rsid w:val="00E431A8"/>
    <w:rsid w:val="00E466CB"/>
    <w:rsid w:val="00E7209D"/>
    <w:rsid w:val="00EA50E1"/>
    <w:rsid w:val="00EE0131"/>
    <w:rsid w:val="00EF3557"/>
    <w:rsid w:val="00F21D59"/>
    <w:rsid w:val="00F30C64"/>
    <w:rsid w:val="00F72C4F"/>
    <w:rsid w:val="00F879FE"/>
    <w:rsid w:val="00FB4F84"/>
    <w:rsid w:val="00FB730C"/>
    <w:rsid w:val="00FC2171"/>
    <w:rsid w:val="00FC2695"/>
    <w:rsid w:val="00FC3E03"/>
    <w:rsid w:val="00FE6A2D"/>
    <w:rsid w:val="3D1036C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DF6E6F"/>
  <w15:docId w15:val="{E0BFD0AC-E4FA-46DD-9660-7F70817FE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9"/>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qFormat="1"/>
    <w:lsdException w:name="index 2" w:locked="1" w:semiHidden="1" w:unhideWhenUsed="1"/>
    <w:lsdException w:name="index 3" w:locked="1" w:semiHidden="1" w:unhideWhenUsed="1" w:qFormat="1"/>
    <w:lsdException w:name="index 4" w:locked="1" w:semiHidden="1" w:unhideWhenUsed="1"/>
    <w:lsdException w:name="index 5" w:locked="1" w:semiHidden="1" w:unhideWhenUsed="1"/>
    <w:lsdException w:name="index 6" w:locked="1" w:semiHidden="1" w:unhideWhenUsed="1"/>
    <w:lsdException w:name="index 7" w:locked="1" w:semiHidden="1" w:unhideWhenUsed="1" w:qFormat="1"/>
    <w:lsdException w:name="index 8" w:locked="1" w:semiHidden="1" w:unhideWhenUsed="1" w:qFormat="1"/>
    <w:lsdException w:name="index 9" w:locked="1" w:semiHidden="1" w:unhideWhenUsed="1" w:qFormat="1"/>
    <w:lsdException w:name="toc 1" w:locked="1" w:semiHidden="1" w:uiPriority="39" w:unhideWhenUsed="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qFormat="1"/>
    <w:lsdException w:name="toc 6" w:locked="1" w:semiHidden="1" w:uiPriority="39" w:unhideWhenUsed="1" w:qFormat="1"/>
    <w:lsdException w:name="toc 7" w:locked="1" w:semiHidden="1" w:uiPriority="39" w:unhideWhenUsed="1"/>
    <w:lsdException w:name="toc 8" w:locked="1" w:semiHidden="1" w:uiPriority="39" w:unhideWhenUsed="1" w:qFormat="1"/>
    <w:lsdException w:name="toc 9" w:locked="1" w:semiHidden="1" w:uiPriority="39" w:unhideWhenUsed="1" w:qFormat="1"/>
    <w:lsdException w:name="Normal Indent" w:locked="1" w:semiHidden="1" w:unhideWhenUsed="1" w:qFormat="1"/>
    <w:lsdException w:name="footnote text" w:locked="1" w:semiHidden="1" w:unhideWhenUsed="1"/>
    <w:lsdException w:name="annotation text" w:locked="1" w:semiHidden="1" w:unhideWhenUsed="1" w:qFormat="1"/>
    <w:lsdException w:name="header" w:semiHidden="1" w:uiPriority="0" w:unhideWhenUsed="1"/>
    <w:lsdException w:name="footer" w:semiHidden="1" w:unhideWhenUsed="1"/>
    <w:lsdException w:name="index heading" w:locked="1" w:semiHidden="1" w:unhideWhenUsed="1"/>
    <w:lsdException w:name="caption" w:locked="1" w:semiHidden="1" w:uiPriority="35" w:unhideWhenUsed="1" w:qFormat="1"/>
    <w:lsdException w:name="table of figures" w:locked="1" w:semiHidden="1" w:unhideWhenUsed="1" w:qFormat="1"/>
    <w:lsdException w:name="envelope address" w:locked="1" w:semiHidden="1" w:unhideWhenUsed="1" w:qFormat="1"/>
    <w:lsdException w:name="envelope return" w:locked="1" w:semiHidden="1" w:unhideWhenUsed="1" w:qFormat="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qFormat="1"/>
    <w:lsdException w:name="table of authorities" w:locked="1" w:semiHidden="1" w:unhideWhenUsed="1" w:qFormat="1"/>
    <w:lsdException w:name="macro" w:locked="1" w:semiHidden="1" w:unhideWhenUsed="1" w:qFormat="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qFormat="1"/>
    <w:lsdException w:name="List 2" w:locked="1" w:semiHidden="1" w:unhideWhenUsed="1"/>
    <w:lsdException w:name="List 3" w:locked="1" w:semiHidden="1" w:unhideWhenUsed="1" w:qFormat="1"/>
    <w:lsdException w:name="List 4" w:locked="1" w:semiHidden="1" w:unhideWhenUsed="1" w:qFormat="1"/>
    <w:lsdException w:name="List 5" w:locked="1" w:semiHidden="1" w:unhideWhenUsed="1" w:qFormat="1"/>
    <w:lsdException w:name="List Bullet 2" w:locked="1" w:semiHidden="1" w:unhideWhenUsed="1"/>
    <w:lsdException w:name="List Bullet 3" w:locked="1" w:semiHidden="1" w:unhideWhenUsed="1" w:qFormat="1"/>
    <w:lsdException w:name="List Bullet 4" w:locked="1" w:semiHidden="1" w:unhideWhenUsed="1"/>
    <w:lsdException w:name="List Bullet 5" w:locked="1" w:semiHidden="1" w:unhideWhenUsed="1" w:qFormat="1"/>
    <w:lsdException w:name="List Number 2" w:locked="1" w:semiHidden="1" w:unhideWhenUsed="1" w:qFormat="1"/>
    <w:lsdException w:name="List Number 3" w:locked="1" w:semiHidden="1" w:unhideWhenUsed="1" w:qFormat="1"/>
    <w:lsdException w:name="List Number 4" w:locked="1" w:semiHidden="1" w:unhideWhenUsed="1" w:qFormat="1"/>
    <w:lsdException w:name="List Number 5" w:locked="1" w:semiHidden="1" w:unhideWhenUsed="1"/>
    <w:lsdException w:name="Title" w:locked="1" w:uiPriority="10" w:qFormat="1"/>
    <w:lsdException w:name="Closing" w:locked="1" w:semiHidden="1" w:unhideWhenUsed="1"/>
    <w:lsdException w:name="Signature" w:locked="1" w:semiHidden="1" w:unhideWhenUsed="1" w:qFormat="1"/>
    <w:lsdException w:name="Default Paragraph Font" w:semiHidden="1" w:uiPriority="1" w:unhideWhenUsed="1" w:qFormat="1"/>
    <w:lsdException w:name="Body Text" w:semiHidden="1" w:unhideWhenUsed="1" w:qFormat="1"/>
    <w:lsdException w:name="Body Text Indent" w:locked="1" w:semiHidden="1" w:unhideWhenUsed="1"/>
    <w:lsdException w:name="List Continue" w:locked="1" w:semiHidden="1" w:unhideWhenUsed="1" w:qFormat="1"/>
    <w:lsdException w:name="List Continue 2" w:locked="1" w:semiHidden="1" w:unhideWhenUsed="1" w:qFormat="1"/>
    <w:lsdException w:name="List Continue 3" w:locked="1" w:semiHidden="1" w:unhideWhenUsed="1" w:qFormat="1"/>
    <w:lsdException w:name="List Continue 4" w:locked="1" w:semiHidden="1" w:unhideWhenUsed="1" w:qFormat="1"/>
    <w:lsdException w:name="List Continue 5" w:locked="1" w:semiHidden="1" w:unhideWhenUsed="1" w:qFormat="1"/>
    <w:lsdException w:name="Message Header" w:locked="1" w:semiHidden="1" w:unhideWhenUsed="1" w:qFormat="1"/>
    <w:lsdException w:name="Subtitle" w:locked="1" w:uiPriority="11"/>
    <w:lsdException w:name="Salutation" w:locked="1" w:semiHidden="1" w:unhideWhenUsed="1"/>
    <w:lsdException w:name="Date" w:locked="1" w:semiHidden="1" w:unhideWhenUsed="1"/>
    <w:lsdException w:name="Body Text First Indent" w:locked="1" w:semiHidden="1" w:unhideWhenUsed="1" w:qFormat="1"/>
    <w:lsdException w:name="Body Text First Indent 2" w:locked="1" w:semiHidden="1" w:unhideWhenUsed="1"/>
    <w:lsdException w:name="Note Heading" w:locked="1" w:semiHidden="1" w:unhideWhenUsed="1"/>
    <w:lsdException w:name="Body Text 2" w:semiHidden="1" w:unhideWhenUsed="1"/>
    <w:lsdException w:name="Body Text 3" w:semiHidden="1" w:unhideWhenUsed="1" w:qFormat="1"/>
    <w:lsdException w:name="Body Text Indent 2" w:locked="1" w:semiHidden="1" w:unhideWhenUsed="1"/>
    <w:lsdException w:name="Body Text Indent 3" w:locked="1" w:semiHidden="1" w:unhideWhenUsed="1" w:qFormat="1"/>
    <w:lsdException w:name="Block Text" w:locked="1" w:semiHidden="1" w:unhideWhenUsed="1" w:qFormat="1"/>
    <w:lsdException w:name="Hyperlink" w:locked="1" w:semiHidden="1" w:unhideWhenUsed="1"/>
    <w:lsdException w:name="FollowedHyperlink" w:locked="1" w:semiHidden="1" w:unhideWhenUsed="1"/>
    <w:lsdException w:name="Strong" w:locked="1" w:uiPriority="22"/>
    <w:lsdException w:name="Emphasis" w:locked="1" w:uiPriority="20" w:qFormat="1"/>
    <w:lsdException w:name="Document Map" w:locked="1" w:semiHidden="1" w:unhideWhenUsed="1" w:qFormat="1"/>
    <w:lsdException w:name="Plain Text" w:locked="1" w:semiHidden="1" w:unhideWhenUsed="1" w:qFormat="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qFormat="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iPriority="0" w:unhideWhenUsed="1" w:qFormat="1"/>
    <w:lsdException w:name="Table Simple 2" w:locked="1" w:semiHidden="1" w:unhideWhenUsed="1"/>
    <w:lsdException w:name="Table Simple 3" w:locked="1" w:semiHidden="1" w:unhideWhenUsed="1"/>
    <w:lsdException w:name="Table Classic 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qFormat="1"/>
    <w:lsdException w:name="Table Grid" w:locked="1" w:uiPriority="59"/>
    <w:lsdException w:name="Table Theme" w:locked="1"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tabs>
        <w:tab w:val="right" w:pos="7100"/>
      </w:tabs>
      <w:spacing w:line="264" w:lineRule="auto"/>
      <w:jc w:val="both"/>
    </w:pPr>
    <w:rPr>
      <w:rFonts w:ascii="Arial" w:eastAsia="Times New Roman" w:hAnsi="Arial" w:cs="Times New Roman"/>
      <w:sz w:val="18"/>
      <w:lang w:val="en-GB" w:eastAsia="en-US"/>
    </w:rPr>
  </w:style>
  <w:style w:type="paragraph" w:styleId="Titolo1">
    <w:name w:val="heading 1"/>
    <w:basedOn w:val="BOAHeading"/>
    <w:next w:val="Normale"/>
    <w:link w:val="Titolo1Carattere"/>
    <w:uiPriority w:val="9"/>
    <w:locked/>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lock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locke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locke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locked/>
    <w:pPr>
      <w:keepNext/>
      <w:keepLines/>
      <w:spacing w:before="200"/>
      <w:outlineLvl w:val="4"/>
    </w:pPr>
    <w:rPr>
      <w:rFonts w:asciiTheme="majorHAnsi" w:eastAsiaTheme="majorEastAsia" w:hAnsiTheme="majorHAnsi" w:cstheme="majorBidi"/>
      <w:color w:val="244061" w:themeColor="accent1" w:themeShade="80"/>
    </w:rPr>
  </w:style>
  <w:style w:type="paragraph" w:styleId="Titolo6">
    <w:name w:val="heading 6"/>
    <w:basedOn w:val="Normale"/>
    <w:next w:val="Normale"/>
    <w:link w:val="Titolo6Carattere"/>
    <w:uiPriority w:val="9"/>
    <w:semiHidden/>
    <w:unhideWhenUsed/>
    <w:qFormat/>
    <w:locked/>
    <w:pPr>
      <w:keepNext/>
      <w:keepLines/>
      <w:spacing w:before="200"/>
      <w:outlineLvl w:val="5"/>
    </w:pPr>
    <w:rPr>
      <w:rFonts w:asciiTheme="majorHAnsi" w:eastAsiaTheme="majorEastAsia" w:hAnsiTheme="majorHAnsi" w:cstheme="majorBidi"/>
      <w:i/>
      <w:iCs/>
      <w:color w:val="244061" w:themeColor="accent1" w:themeShade="80"/>
    </w:rPr>
  </w:style>
  <w:style w:type="paragraph" w:styleId="Titolo7">
    <w:name w:val="heading 7"/>
    <w:basedOn w:val="Normale"/>
    <w:next w:val="Normale"/>
    <w:link w:val="Titolo7Carattere"/>
    <w:uiPriority w:val="9"/>
    <w:semiHidden/>
    <w:unhideWhenUsed/>
    <w:qFormat/>
    <w:locke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locke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locke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macro">
    <w:name w:val="macro"/>
    <w:link w:val="TestomacroCarattere"/>
    <w:uiPriority w:val="99"/>
    <w:semiHidden/>
    <w:unhideWhenUsed/>
    <w:qFormat/>
    <w:locked/>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heme="minorHAnsi" w:hAnsi="Consolas" w:cs="Consolas"/>
      <w:lang w:val="it-IT" w:eastAsia="en-US"/>
    </w:rPr>
  </w:style>
  <w:style w:type="paragraph" w:customStyle="1" w:styleId="BOAHeading">
    <w:name w:val="BOA Heading"/>
    <w:next w:val="BOAAbstractBody"/>
    <w:autoRedefine/>
    <w:qFormat/>
    <w:pPr>
      <w:keepNext/>
      <w:suppressAutoHyphens/>
      <w:spacing w:before="240" w:after="120"/>
    </w:pPr>
    <w:rPr>
      <w:rFonts w:ascii="Arial" w:eastAsia="MS PGothic" w:hAnsi="Arial" w:cs="Times New Roman"/>
      <w:b/>
      <w:sz w:val="22"/>
      <w:lang w:eastAsia="en-US"/>
    </w:rPr>
  </w:style>
  <w:style w:type="paragraph" w:customStyle="1" w:styleId="BOAAbstractBody">
    <w:name w:val="BOA Abstract Body"/>
    <w:basedOn w:val="Normale"/>
    <w:autoRedefine/>
    <w:qFormat/>
    <w:pPr>
      <w:tabs>
        <w:tab w:val="clear" w:pos="7100"/>
      </w:tabs>
      <w:spacing w:line="240" w:lineRule="atLeast"/>
      <w:ind w:right="-1"/>
    </w:pPr>
    <w:rPr>
      <w:sz w:val="22"/>
      <w:lang w:val="en-US"/>
    </w:rPr>
  </w:style>
  <w:style w:type="paragraph" w:styleId="Elenco3">
    <w:name w:val="List 3"/>
    <w:basedOn w:val="Normale"/>
    <w:uiPriority w:val="99"/>
    <w:semiHidden/>
    <w:unhideWhenUsed/>
    <w:qFormat/>
    <w:locked/>
    <w:pPr>
      <w:ind w:left="849" w:hanging="283"/>
      <w:contextualSpacing/>
    </w:pPr>
  </w:style>
  <w:style w:type="paragraph" w:styleId="Sommario7">
    <w:name w:val="toc 7"/>
    <w:basedOn w:val="Normale"/>
    <w:next w:val="Normale"/>
    <w:autoRedefine/>
    <w:uiPriority w:val="39"/>
    <w:semiHidden/>
    <w:unhideWhenUsed/>
    <w:locked/>
    <w:pPr>
      <w:spacing w:after="100"/>
      <w:ind w:left="1320"/>
    </w:pPr>
  </w:style>
  <w:style w:type="paragraph" w:styleId="Numeroelenco2">
    <w:name w:val="List Number 2"/>
    <w:basedOn w:val="Normale"/>
    <w:uiPriority w:val="99"/>
    <w:semiHidden/>
    <w:unhideWhenUsed/>
    <w:qFormat/>
    <w:locked/>
    <w:pPr>
      <w:numPr>
        <w:numId w:val="1"/>
      </w:numPr>
      <w:contextualSpacing/>
    </w:pPr>
  </w:style>
  <w:style w:type="paragraph" w:styleId="Indicefonti">
    <w:name w:val="table of authorities"/>
    <w:basedOn w:val="Normale"/>
    <w:next w:val="Normale"/>
    <w:uiPriority w:val="99"/>
    <w:semiHidden/>
    <w:unhideWhenUsed/>
    <w:qFormat/>
    <w:locked/>
    <w:pPr>
      <w:ind w:left="220" w:hanging="220"/>
    </w:pPr>
  </w:style>
  <w:style w:type="paragraph" w:styleId="Intestazionenota">
    <w:name w:val="Note Heading"/>
    <w:basedOn w:val="Normale"/>
    <w:next w:val="Normale"/>
    <w:link w:val="IntestazionenotaCarattere"/>
    <w:uiPriority w:val="99"/>
    <w:semiHidden/>
    <w:unhideWhenUsed/>
    <w:locked/>
    <w:pPr>
      <w:spacing w:line="240" w:lineRule="auto"/>
    </w:pPr>
  </w:style>
  <w:style w:type="paragraph" w:styleId="Puntoelenco4">
    <w:name w:val="List Bullet 4"/>
    <w:basedOn w:val="Normale"/>
    <w:uiPriority w:val="99"/>
    <w:semiHidden/>
    <w:unhideWhenUsed/>
    <w:locked/>
    <w:pPr>
      <w:numPr>
        <w:numId w:val="2"/>
      </w:numPr>
      <w:contextualSpacing/>
    </w:pPr>
  </w:style>
  <w:style w:type="paragraph" w:styleId="Indice8">
    <w:name w:val="index 8"/>
    <w:basedOn w:val="Normale"/>
    <w:next w:val="Normale"/>
    <w:autoRedefine/>
    <w:uiPriority w:val="99"/>
    <w:semiHidden/>
    <w:unhideWhenUsed/>
    <w:qFormat/>
    <w:locked/>
    <w:pPr>
      <w:spacing w:line="240" w:lineRule="auto"/>
      <w:ind w:left="1760" w:hanging="220"/>
    </w:pPr>
  </w:style>
  <w:style w:type="paragraph" w:styleId="Firmadipostaelettronica">
    <w:name w:val="E-mail Signature"/>
    <w:basedOn w:val="Normale"/>
    <w:link w:val="FirmadipostaelettronicaCarattere"/>
    <w:uiPriority w:val="99"/>
    <w:semiHidden/>
    <w:unhideWhenUsed/>
    <w:locked/>
    <w:pPr>
      <w:spacing w:line="240" w:lineRule="auto"/>
    </w:pPr>
  </w:style>
  <w:style w:type="paragraph" w:styleId="Numeroelenco">
    <w:name w:val="List Number"/>
    <w:basedOn w:val="Normale"/>
    <w:uiPriority w:val="99"/>
    <w:semiHidden/>
    <w:unhideWhenUsed/>
    <w:qFormat/>
    <w:locked/>
    <w:pPr>
      <w:numPr>
        <w:numId w:val="3"/>
      </w:numPr>
      <w:contextualSpacing/>
    </w:pPr>
  </w:style>
  <w:style w:type="paragraph" w:styleId="Rientronormale">
    <w:name w:val="Normal Indent"/>
    <w:basedOn w:val="Normale"/>
    <w:uiPriority w:val="99"/>
    <w:semiHidden/>
    <w:unhideWhenUsed/>
    <w:qFormat/>
    <w:locked/>
    <w:pPr>
      <w:ind w:left="720"/>
    </w:pPr>
  </w:style>
  <w:style w:type="paragraph" w:styleId="Didascalia">
    <w:name w:val="caption"/>
    <w:basedOn w:val="Normale"/>
    <w:next w:val="Normale"/>
    <w:uiPriority w:val="35"/>
    <w:semiHidden/>
    <w:unhideWhenUsed/>
    <w:qFormat/>
    <w:locked/>
    <w:pPr>
      <w:spacing w:line="240" w:lineRule="auto"/>
    </w:pPr>
    <w:rPr>
      <w:b/>
      <w:bCs/>
      <w:color w:val="4F81BD" w:themeColor="accent1"/>
      <w:szCs w:val="18"/>
    </w:rPr>
  </w:style>
  <w:style w:type="paragraph" w:styleId="Indice5">
    <w:name w:val="index 5"/>
    <w:basedOn w:val="Normale"/>
    <w:next w:val="Normale"/>
    <w:autoRedefine/>
    <w:uiPriority w:val="99"/>
    <w:semiHidden/>
    <w:unhideWhenUsed/>
    <w:locked/>
    <w:pPr>
      <w:spacing w:line="240" w:lineRule="auto"/>
      <w:ind w:left="1100" w:hanging="220"/>
    </w:pPr>
  </w:style>
  <w:style w:type="paragraph" w:styleId="Puntoelenco">
    <w:name w:val="List Bullet"/>
    <w:basedOn w:val="Normale"/>
    <w:uiPriority w:val="99"/>
    <w:semiHidden/>
    <w:unhideWhenUsed/>
    <w:qFormat/>
    <w:locked/>
    <w:pPr>
      <w:numPr>
        <w:numId w:val="4"/>
      </w:numPr>
      <w:contextualSpacing/>
    </w:pPr>
  </w:style>
  <w:style w:type="paragraph" w:styleId="Indirizzodestinatario">
    <w:name w:val="envelope address"/>
    <w:basedOn w:val="Normale"/>
    <w:uiPriority w:val="99"/>
    <w:semiHidden/>
    <w:unhideWhenUsed/>
    <w:qFormat/>
    <w:locke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Mappadocumento">
    <w:name w:val="Document Map"/>
    <w:basedOn w:val="Normale"/>
    <w:link w:val="MappadocumentoCarattere"/>
    <w:uiPriority w:val="99"/>
    <w:semiHidden/>
    <w:unhideWhenUsed/>
    <w:qFormat/>
    <w:locked/>
    <w:pPr>
      <w:spacing w:line="240" w:lineRule="auto"/>
    </w:pPr>
    <w:rPr>
      <w:rFonts w:ascii="Tahoma" w:hAnsi="Tahoma" w:cs="Tahoma"/>
      <w:sz w:val="16"/>
      <w:szCs w:val="16"/>
    </w:rPr>
  </w:style>
  <w:style w:type="paragraph" w:styleId="Titoloindicefonti">
    <w:name w:val="toa heading"/>
    <w:basedOn w:val="Normale"/>
    <w:next w:val="Normale"/>
    <w:uiPriority w:val="99"/>
    <w:semiHidden/>
    <w:unhideWhenUsed/>
    <w:locked/>
    <w:pPr>
      <w:spacing w:before="120"/>
    </w:pPr>
    <w:rPr>
      <w:rFonts w:asciiTheme="majorHAnsi" w:eastAsiaTheme="majorEastAsia" w:hAnsiTheme="majorHAnsi" w:cstheme="majorBidi"/>
      <w:b/>
      <w:bCs/>
      <w:sz w:val="24"/>
      <w:szCs w:val="24"/>
    </w:rPr>
  </w:style>
  <w:style w:type="paragraph" w:styleId="Testocommento">
    <w:name w:val="annotation text"/>
    <w:basedOn w:val="Normale"/>
    <w:link w:val="TestocommentoCarattere"/>
    <w:uiPriority w:val="99"/>
    <w:semiHidden/>
    <w:unhideWhenUsed/>
    <w:qFormat/>
    <w:locked/>
    <w:pPr>
      <w:spacing w:line="240" w:lineRule="auto"/>
    </w:pPr>
  </w:style>
  <w:style w:type="paragraph" w:styleId="Indice6">
    <w:name w:val="index 6"/>
    <w:basedOn w:val="Normale"/>
    <w:next w:val="Normale"/>
    <w:autoRedefine/>
    <w:uiPriority w:val="99"/>
    <w:semiHidden/>
    <w:unhideWhenUsed/>
    <w:locked/>
    <w:pPr>
      <w:spacing w:line="240" w:lineRule="auto"/>
      <w:ind w:left="1320" w:hanging="220"/>
    </w:pPr>
  </w:style>
  <w:style w:type="paragraph" w:styleId="Formuladiapertura">
    <w:name w:val="Salutation"/>
    <w:basedOn w:val="Normale"/>
    <w:next w:val="Normale"/>
    <w:link w:val="FormuladiaperturaCarattere"/>
    <w:uiPriority w:val="99"/>
    <w:semiHidden/>
    <w:unhideWhenUsed/>
    <w:locked/>
  </w:style>
  <w:style w:type="paragraph" w:styleId="Corpodeltesto3">
    <w:name w:val="Body Text 3"/>
    <w:basedOn w:val="Normale"/>
    <w:link w:val="Corpodeltesto3Carattere"/>
    <w:uiPriority w:val="99"/>
    <w:semiHidden/>
    <w:unhideWhenUsed/>
    <w:qFormat/>
    <w:pPr>
      <w:spacing w:after="120"/>
    </w:pPr>
    <w:rPr>
      <w:sz w:val="16"/>
      <w:szCs w:val="16"/>
    </w:rPr>
  </w:style>
  <w:style w:type="paragraph" w:styleId="Formuladichiusura">
    <w:name w:val="Closing"/>
    <w:basedOn w:val="Normale"/>
    <w:link w:val="FormuladichiusuraCarattere"/>
    <w:uiPriority w:val="99"/>
    <w:semiHidden/>
    <w:unhideWhenUsed/>
    <w:locked/>
    <w:pPr>
      <w:spacing w:line="240" w:lineRule="auto"/>
      <w:ind w:left="4252"/>
    </w:pPr>
  </w:style>
  <w:style w:type="paragraph" w:styleId="Puntoelenco3">
    <w:name w:val="List Bullet 3"/>
    <w:basedOn w:val="Normale"/>
    <w:uiPriority w:val="99"/>
    <w:semiHidden/>
    <w:unhideWhenUsed/>
    <w:qFormat/>
    <w:locked/>
    <w:pPr>
      <w:numPr>
        <w:numId w:val="5"/>
      </w:numPr>
      <w:contextualSpacing/>
    </w:pPr>
  </w:style>
  <w:style w:type="paragraph" w:styleId="Corpotesto">
    <w:name w:val="Body Text"/>
    <w:basedOn w:val="Normale"/>
    <w:link w:val="CorpotestoCarattere"/>
    <w:uiPriority w:val="99"/>
    <w:semiHidden/>
    <w:unhideWhenUsed/>
    <w:qFormat/>
    <w:pPr>
      <w:spacing w:after="120"/>
    </w:pPr>
  </w:style>
  <w:style w:type="paragraph" w:styleId="Rientrocorpodeltesto">
    <w:name w:val="Body Text Indent"/>
    <w:basedOn w:val="Normale"/>
    <w:link w:val="RientrocorpodeltestoCarattere"/>
    <w:uiPriority w:val="99"/>
    <w:semiHidden/>
    <w:unhideWhenUsed/>
    <w:locked/>
    <w:pPr>
      <w:spacing w:after="120"/>
      <w:ind w:left="283"/>
    </w:pPr>
  </w:style>
  <w:style w:type="paragraph" w:styleId="Numeroelenco3">
    <w:name w:val="List Number 3"/>
    <w:basedOn w:val="Normale"/>
    <w:uiPriority w:val="99"/>
    <w:semiHidden/>
    <w:unhideWhenUsed/>
    <w:qFormat/>
    <w:locked/>
    <w:pPr>
      <w:numPr>
        <w:numId w:val="6"/>
      </w:numPr>
      <w:contextualSpacing/>
    </w:pPr>
  </w:style>
  <w:style w:type="paragraph" w:styleId="Elenco2">
    <w:name w:val="List 2"/>
    <w:basedOn w:val="Normale"/>
    <w:uiPriority w:val="99"/>
    <w:semiHidden/>
    <w:unhideWhenUsed/>
    <w:locked/>
    <w:pPr>
      <w:ind w:left="566" w:hanging="283"/>
      <w:contextualSpacing/>
    </w:pPr>
  </w:style>
  <w:style w:type="paragraph" w:styleId="Elencocontinua">
    <w:name w:val="List Continue"/>
    <w:basedOn w:val="Normale"/>
    <w:uiPriority w:val="99"/>
    <w:semiHidden/>
    <w:unhideWhenUsed/>
    <w:qFormat/>
    <w:locked/>
    <w:pPr>
      <w:spacing w:after="120"/>
      <w:ind w:left="283"/>
      <w:contextualSpacing/>
    </w:pPr>
  </w:style>
  <w:style w:type="paragraph" w:styleId="Testodelblocco">
    <w:name w:val="Block Text"/>
    <w:basedOn w:val="Normale"/>
    <w:uiPriority w:val="99"/>
    <w:semiHidden/>
    <w:unhideWhenUsed/>
    <w:qFormat/>
    <w:locke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Puntoelenco2">
    <w:name w:val="List Bullet 2"/>
    <w:basedOn w:val="Normale"/>
    <w:uiPriority w:val="99"/>
    <w:semiHidden/>
    <w:unhideWhenUsed/>
    <w:locked/>
    <w:pPr>
      <w:numPr>
        <w:numId w:val="7"/>
      </w:numPr>
      <w:contextualSpacing/>
    </w:pPr>
  </w:style>
  <w:style w:type="paragraph" w:styleId="IndirizzoHTML">
    <w:name w:val="HTML Address"/>
    <w:basedOn w:val="Normale"/>
    <w:link w:val="IndirizzoHTMLCarattere"/>
    <w:uiPriority w:val="99"/>
    <w:semiHidden/>
    <w:unhideWhenUsed/>
    <w:qFormat/>
    <w:locked/>
    <w:pPr>
      <w:spacing w:line="240" w:lineRule="auto"/>
    </w:pPr>
    <w:rPr>
      <w:i/>
      <w:iCs/>
    </w:rPr>
  </w:style>
  <w:style w:type="paragraph" w:styleId="Indice4">
    <w:name w:val="index 4"/>
    <w:basedOn w:val="Normale"/>
    <w:next w:val="Normale"/>
    <w:autoRedefine/>
    <w:uiPriority w:val="99"/>
    <w:semiHidden/>
    <w:unhideWhenUsed/>
    <w:locked/>
    <w:pPr>
      <w:spacing w:line="240" w:lineRule="auto"/>
      <w:ind w:left="880" w:hanging="220"/>
    </w:pPr>
  </w:style>
  <w:style w:type="paragraph" w:styleId="Sommario5">
    <w:name w:val="toc 5"/>
    <w:basedOn w:val="Normale"/>
    <w:next w:val="Normale"/>
    <w:autoRedefine/>
    <w:uiPriority w:val="39"/>
    <w:semiHidden/>
    <w:unhideWhenUsed/>
    <w:qFormat/>
    <w:locked/>
    <w:pPr>
      <w:spacing w:after="100"/>
      <w:ind w:left="880"/>
    </w:pPr>
  </w:style>
  <w:style w:type="paragraph" w:styleId="Sommario3">
    <w:name w:val="toc 3"/>
    <w:basedOn w:val="Normale"/>
    <w:next w:val="Normale"/>
    <w:autoRedefine/>
    <w:uiPriority w:val="39"/>
    <w:semiHidden/>
    <w:unhideWhenUsed/>
    <w:qFormat/>
    <w:locked/>
    <w:pPr>
      <w:spacing w:after="100"/>
      <w:ind w:left="440"/>
    </w:pPr>
  </w:style>
  <w:style w:type="paragraph" w:styleId="Testonormale">
    <w:name w:val="Plain Text"/>
    <w:basedOn w:val="Normale"/>
    <w:link w:val="TestonormaleCarattere"/>
    <w:uiPriority w:val="99"/>
    <w:semiHidden/>
    <w:unhideWhenUsed/>
    <w:qFormat/>
    <w:locked/>
    <w:pPr>
      <w:spacing w:line="240" w:lineRule="auto"/>
    </w:pPr>
    <w:rPr>
      <w:rFonts w:ascii="Consolas" w:hAnsi="Consolas" w:cs="Consolas"/>
      <w:sz w:val="21"/>
      <w:szCs w:val="21"/>
    </w:rPr>
  </w:style>
  <w:style w:type="paragraph" w:styleId="Puntoelenco5">
    <w:name w:val="List Bullet 5"/>
    <w:basedOn w:val="Normale"/>
    <w:uiPriority w:val="99"/>
    <w:semiHidden/>
    <w:unhideWhenUsed/>
    <w:qFormat/>
    <w:locked/>
    <w:pPr>
      <w:numPr>
        <w:numId w:val="8"/>
      </w:numPr>
      <w:contextualSpacing/>
    </w:pPr>
  </w:style>
  <w:style w:type="paragraph" w:styleId="Numeroelenco4">
    <w:name w:val="List Number 4"/>
    <w:basedOn w:val="Normale"/>
    <w:uiPriority w:val="99"/>
    <w:semiHidden/>
    <w:unhideWhenUsed/>
    <w:qFormat/>
    <w:locked/>
    <w:pPr>
      <w:numPr>
        <w:numId w:val="9"/>
      </w:numPr>
      <w:contextualSpacing/>
    </w:pPr>
  </w:style>
  <w:style w:type="paragraph" w:styleId="Sommario8">
    <w:name w:val="toc 8"/>
    <w:basedOn w:val="Normale"/>
    <w:next w:val="Normale"/>
    <w:autoRedefine/>
    <w:uiPriority w:val="39"/>
    <w:semiHidden/>
    <w:unhideWhenUsed/>
    <w:qFormat/>
    <w:locked/>
    <w:pPr>
      <w:spacing w:after="100"/>
      <w:ind w:left="1540"/>
    </w:pPr>
  </w:style>
  <w:style w:type="paragraph" w:styleId="Indice3">
    <w:name w:val="index 3"/>
    <w:basedOn w:val="Normale"/>
    <w:next w:val="Normale"/>
    <w:autoRedefine/>
    <w:uiPriority w:val="99"/>
    <w:semiHidden/>
    <w:unhideWhenUsed/>
    <w:qFormat/>
    <w:locked/>
    <w:pPr>
      <w:spacing w:line="240" w:lineRule="auto"/>
      <w:ind w:left="660" w:hanging="220"/>
    </w:pPr>
  </w:style>
  <w:style w:type="paragraph" w:styleId="Data">
    <w:name w:val="Date"/>
    <w:basedOn w:val="Normale"/>
    <w:next w:val="Normale"/>
    <w:link w:val="DataCarattere"/>
    <w:uiPriority w:val="99"/>
    <w:semiHidden/>
    <w:unhideWhenUsed/>
    <w:locked/>
  </w:style>
  <w:style w:type="paragraph" w:styleId="Rientrocorpodeltesto2">
    <w:name w:val="Body Text Indent 2"/>
    <w:basedOn w:val="Normale"/>
    <w:link w:val="Rientrocorpodeltesto2Carattere"/>
    <w:uiPriority w:val="99"/>
    <w:semiHidden/>
    <w:unhideWhenUsed/>
    <w:locked/>
    <w:pPr>
      <w:spacing w:after="120" w:line="480" w:lineRule="auto"/>
      <w:ind w:left="283"/>
    </w:pPr>
  </w:style>
  <w:style w:type="paragraph" w:styleId="Testonotadichiusura">
    <w:name w:val="endnote text"/>
    <w:basedOn w:val="Normale"/>
    <w:link w:val="TestonotadichiusuraCarattere"/>
    <w:uiPriority w:val="99"/>
    <w:semiHidden/>
    <w:unhideWhenUsed/>
    <w:qFormat/>
    <w:locked/>
    <w:pPr>
      <w:spacing w:line="240" w:lineRule="auto"/>
    </w:pPr>
  </w:style>
  <w:style w:type="paragraph" w:styleId="Elencocontinua5">
    <w:name w:val="List Continue 5"/>
    <w:basedOn w:val="Normale"/>
    <w:uiPriority w:val="99"/>
    <w:semiHidden/>
    <w:unhideWhenUsed/>
    <w:qFormat/>
    <w:locked/>
    <w:pPr>
      <w:spacing w:after="120"/>
      <w:ind w:left="1415"/>
      <w:contextualSpacing/>
    </w:pPr>
  </w:style>
  <w:style w:type="paragraph" w:styleId="Testofumetto">
    <w:name w:val="Balloon Text"/>
    <w:basedOn w:val="Normale"/>
    <w:link w:val="TestofumettoCarattere"/>
    <w:uiPriority w:val="99"/>
    <w:semiHidden/>
    <w:unhideWhenUsed/>
    <w:qFormat/>
    <w:locked/>
    <w:pPr>
      <w:spacing w:line="240" w:lineRule="auto"/>
    </w:pPr>
    <w:rPr>
      <w:rFonts w:ascii="Tahoma" w:hAnsi="Tahoma" w:cs="Tahoma"/>
      <w:sz w:val="16"/>
      <w:szCs w:val="16"/>
    </w:rPr>
  </w:style>
  <w:style w:type="paragraph" w:styleId="Indirizzomittente">
    <w:name w:val="envelope return"/>
    <w:basedOn w:val="Normale"/>
    <w:uiPriority w:val="99"/>
    <w:semiHidden/>
    <w:unhideWhenUsed/>
    <w:qFormat/>
    <w:locked/>
    <w:pPr>
      <w:spacing w:line="240" w:lineRule="auto"/>
    </w:pPr>
    <w:rPr>
      <w:rFonts w:asciiTheme="majorHAnsi" w:eastAsiaTheme="majorEastAsia" w:hAnsiTheme="majorHAnsi" w:cstheme="majorBidi"/>
    </w:rPr>
  </w:style>
  <w:style w:type="paragraph" w:styleId="Firma">
    <w:name w:val="Signature"/>
    <w:basedOn w:val="Normale"/>
    <w:link w:val="FirmaCarattere"/>
    <w:uiPriority w:val="99"/>
    <w:semiHidden/>
    <w:unhideWhenUsed/>
    <w:qFormat/>
    <w:locked/>
    <w:pPr>
      <w:spacing w:line="240" w:lineRule="auto"/>
      <w:ind w:left="4252"/>
    </w:pPr>
  </w:style>
  <w:style w:type="paragraph" w:styleId="Sommario1">
    <w:name w:val="toc 1"/>
    <w:basedOn w:val="Normale"/>
    <w:next w:val="Normale"/>
    <w:autoRedefine/>
    <w:uiPriority w:val="39"/>
    <w:semiHidden/>
    <w:unhideWhenUsed/>
    <w:locked/>
    <w:pPr>
      <w:spacing w:after="100"/>
    </w:pPr>
  </w:style>
  <w:style w:type="paragraph" w:styleId="Elencocontinua4">
    <w:name w:val="List Continue 4"/>
    <w:basedOn w:val="Normale"/>
    <w:uiPriority w:val="99"/>
    <w:semiHidden/>
    <w:unhideWhenUsed/>
    <w:qFormat/>
    <w:locked/>
    <w:pPr>
      <w:spacing w:after="120"/>
      <w:ind w:left="1132"/>
      <w:contextualSpacing/>
    </w:pPr>
  </w:style>
  <w:style w:type="paragraph" w:styleId="Sommario4">
    <w:name w:val="toc 4"/>
    <w:basedOn w:val="Normale"/>
    <w:next w:val="Normale"/>
    <w:autoRedefine/>
    <w:uiPriority w:val="39"/>
    <w:semiHidden/>
    <w:unhideWhenUsed/>
    <w:locked/>
    <w:pPr>
      <w:spacing w:after="100"/>
      <w:ind w:left="660"/>
    </w:pPr>
  </w:style>
  <w:style w:type="paragraph" w:styleId="Titoloindice">
    <w:name w:val="index heading"/>
    <w:basedOn w:val="Normale"/>
    <w:next w:val="Indice1"/>
    <w:uiPriority w:val="99"/>
    <w:semiHidden/>
    <w:unhideWhenUsed/>
    <w:locked/>
    <w:rPr>
      <w:rFonts w:asciiTheme="majorHAnsi" w:eastAsiaTheme="majorEastAsia" w:hAnsiTheme="majorHAnsi" w:cstheme="majorBidi"/>
      <w:b/>
      <w:bCs/>
    </w:rPr>
  </w:style>
  <w:style w:type="paragraph" w:styleId="Indice1">
    <w:name w:val="index 1"/>
    <w:basedOn w:val="Normale"/>
    <w:next w:val="Normale"/>
    <w:autoRedefine/>
    <w:uiPriority w:val="99"/>
    <w:semiHidden/>
    <w:unhideWhenUsed/>
    <w:qFormat/>
    <w:locked/>
    <w:pPr>
      <w:spacing w:line="240" w:lineRule="auto"/>
      <w:ind w:left="220" w:hanging="220"/>
    </w:pPr>
  </w:style>
  <w:style w:type="paragraph" w:styleId="Numeroelenco5">
    <w:name w:val="List Number 5"/>
    <w:basedOn w:val="Normale"/>
    <w:uiPriority w:val="99"/>
    <w:semiHidden/>
    <w:unhideWhenUsed/>
    <w:locked/>
    <w:pPr>
      <w:numPr>
        <w:numId w:val="10"/>
      </w:numPr>
      <w:contextualSpacing/>
    </w:pPr>
  </w:style>
  <w:style w:type="paragraph" w:styleId="Elenco">
    <w:name w:val="List"/>
    <w:basedOn w:val="Normale"/>
    <w:uiPriority w:val="99"/>
    <w:semiHidden/>
    <w:unhideWhenUsed/>
    <w:locked/>
    <w:pPr>
      <w:ind w:left="283" w:hanging="283"/>
      <w:contextualSpacing/>
    </w:pPr>
  </w:style>
  <w:style w:type="paragraph" w:styleId="Testonotaapidipagina">
    <w:name w:val="footnote text"/>
    <w:basedOn w:val="Normale"/>
    <w:link w:val="TestonotaapidipaginaCarattere"/>
    <w:uiPriority w:val="99"/>
    <w:semiHidden/>
    <w:unhideWhenUsed/>
    <w:locked/>
    <w:pPr>
      <w:spacing w:line="240" w:lineRule="auto"/>
    </w:pPr>
  </w:style>
  <w:style w:type="paragraph" w:styleId="Sommario6">
    <w:name w:val="toc 6"/>
    <w:basedOn w:val="Normale"/>
    <w:next w:val="Normale"/>
    <w:autoRedefine/>
    <w:uiPriority w:val="39"/>
    <w:semiHidden/>
    <w:unhideWhenUsed/>
    <w:qFormat/>
    <w:locked/>
    <w:pPr>
      <w:spacing w:after="100"/>
      <w:ind w:left="1100"/>
    </w:pPr>
  </w:style>
  <w:style w:type="paragraph" w:styleId="Elenco5">
    <w:name w:val="List 5"/>
    <w:basedOn w:val="Normale"/>
    <w:uiPriority w:val="99"/>
    <w:semiHidden/>
    <w:unhideWhenUsed/>
    <w:qFormat/>
    <w:locked/>
    <w:pPr>
      <w:ind w:left="1415" w:hanging="283"/>
      <w:contextualSpacing/>
    </w:pPr>
  </w:style>
  <w:style w:type="paragraph" w:styleId="Rientrocorpodeltesto3">
    <w:name w:val="Body Text Indent 3"/>
    <w:basedOn w:val="Normale"/>
    <w:link w:val="Rientrocorpodeltesto3Carattere"/>
    <w:uiPriority w:val="99"/>
    <w:semiHidden/>
    <w:unhideWhenUsed/>
    <w:qFormat/>
    <w:locked/>
    <w:pPr>
      <w:spacing w:after="120"/>
      <w:ind w:left="283"/>
    </w:pPr>
    <w:rPr>
      <w:sz w:val="16"/>
      <w:szCs w:val="16"/>
    </w:rPr>
  </w:style>
  <w:style w:type="paragraph" w:styleId="Indice7">
    <w:name w:val="index 7"/>
    <w:basedOn w:val="Normale"/>
    <w:next w:val="Normale"/>
    <w:autoRedefine/>
    <w:uiPriority w:val="99"/>
    <w:semiHidden/>
    <w:unhideWhenUsed/>
    <w:qFormat/>
    <w:locked/>
    <w:pPr>
      <w:spacing w:line="240" w:lineRule="auto"/>
      <w:ind w:left="1540" w:hanging="220"/>
    </w:pPr>
  </w:style>
  <w:style w:type="paragraph" w:styleId="Indice9">
    <w:name w:val="index 9"/>
    <w:basedOn w:val="Normale"/>
    <w:next w:val="Normale"/>
    <w:autoRedefine/>
    <w:uiPriority w:val="99"/>
    <w:semiHidden/>
    <w:unhideWhenUsed/>
    <w:qFormat/>
    <w:locked/>
    <w:pPr>
      <w:spacing w:line="240" w:lineRule="auto"/>
      <w:ind w:left="1980" w:hanging="220"/>
    </w:pPr>
  </w:style>
  <w:style w:type="paragraph" w:styleId="Indicedellefigure">
    <w:name w:val="table of figures"/>
    <w:basedOn w:val="Normale"/>
    <w:next w:val="Normale"/>
    <w:uiPriority w:val="99"/>
    <w:semiHidden/>
    <w:unhideWhenUsed/>
    <w:qFormat/>
    <w:locked/>
  </w:style>
  <w:style w:type="paragraph" w:styleId="Sommario2">
    <w:name w:val="toc 2"/>
    <w:basedOn w:val="Normale"/>
    <w:next w:val="Normale"/>
    <w:autoRedefine/>
    <w:uiPriority w:val="39"/>
    <w:semiHidden/>
    <w:unhideWhenUsed/>
    <w:qFormat/>
    <w:locked/>
    <w:pPr>
      <w:spacing w:after="100"/>
      <w:ind w:left="220"/>
    </w:pPr>
  </w:style>
  <w:style w:type="paragraph" w:styleId="Sommario9">
    <w:name w:val="toc 9"/>
    <w:basedOn w:val="Normale"/>
    <w:next w:val="Normale"/>
    <w:autoRedefine/>
    <w:uiPriority w:val="39"/>
    <w:semiHidden/>
    <w:unhideWhenUsed/>
    <w:qFormat/>
    <w:locked/>
    <w:pPr>
      <w:spacing w:after="100"/>
      <w:ind w:left="1760"/>
    </w:pPr>
  </w:style>
  <w:style w:type="paragraph" w:styleId="Corpodeltesto2">
    <w:name w:val="Body Text 2"/>
    <w:basedOn w:val="Normale"/>
    <w:link w:val="Corpodeltesto2Carattere"/>
    <w:uiPriority w:val="99"/>
    <w:semiHidden/>
    <w:unhideWhenUsed/>
    <w:pPr>
      <w:spacing w:after="120" w:line="480" w:lineRule="auto"/>
    </w:pPr>
  </w:style>
  <w:style w:type="paragraph" w:styleId="Elenco4">
    <w:name w:val="List 4"/>
    <w:basedOn w:val="Normale"/>
    <w:uiPriority w:val="99"/>
    <w:semiHidden/>
    <w:unhideWhenUsed/>
    <w:qFormat/>
    <w:locked/>
    <w:pPr>
      <w:ind w:left="1132" w:hanging="283"/>
      <w:contextualSpacing/>
    </w:pPr>
  </w:style>
  <w:style w:type="paragraph" w:styleId="Elencocontinua2">
    <w:name w:val="List Continue 2"/>
    <w:basedOn w:val="Normale"/>
    <w:uiPriority w:val="99"/>
    <w:semiHidden/>
    <w:unhideWhenUsed/>
    <w:qFormat/>
    <w:locked/>
    <w:pPr>
      <w:spacing w:after="120"/>
      <w:ind w:left="566"/>
      <w:contextualSpacing/>
    </w:pPr>
  </w:style>
  <w:style w:type="paragraph" w:styleId="Intestazionemessaggio">
    <w:name w:val="Message Header"/>
    <w:basedOn w:val="Normale"/>
    <w:link w:val="IntestazionemessaggioCarattere"/>
    <w:uiPriority w:val="99"/>
    <w:semiHidden/>
    <w:unhideWhenUsed/>
    <w:qFormat/>
    <w:locke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paragraph" w:styleId="PreformattatoHTML">
    <w:name w:val="HTML Preformatted"/>
    <w:basedOn w:val="Normale"/>
    <w:link w:val="PreformattatoHTMLCarattere"/>
    <w:uiPriority w:val="99"/>
    <w:semiHidden/>
    <w:unhideWhenUsed/>
    <w:qFormat/>
    <w:locked/>
    <w:pPr>
      <w:spacing w:line="240" w:lineRule="auto"/>
    </w:pPr>
    <w:rPr>
      <w:rFonts w:ascii="Consolas" w:hAnsi="Consolas" w:cs="Consolas"/>
    </w:rPr>
  </w:style>
  <w:style w:type="paragraph" w:styleId="NormaleWeb">
    <w:name w:val="Normal (Web)"/>
    <w:basedOn w:val="Normale"/>
    <w:uiPriority w:val="99"/>
    <w:semiHidden/>
    <w:unhideWhenUsed/>
    <w:locked/>
    <w:rPr>
      <w:sz w:val="24"/>
      <w:szCs w:val="24"/>
    </w:rPr>
  </w:style>
  <w:style w:type="paragraph" w:styleId="Elencocontinua3">
    <w:name w:val="List Continue 3"/>
    <w:basedOn w:val="Normale"/>
    <w:uiPriority w:val="99"/>
    <w:semiHidden/>
    <w:unhideWhenUsed/>
    <w:qFormat/>
    <w:locked/>
    <w:pPr>
      <w:spacing w:after="120"/>
      <w:ind w:left="849"/>
      <w:contextualSpacing/>
    </w:pPr>
  </w:style>
  <w:style w:type="paragraph" w:styleId="Indice2">
    <w:name w:val="index 2"/>
    <w:basedOn w:val="Normale"/>
    <w:next w:val="Normale"/>
    <w:autoRedefine/>
    <w:uiPriority w:val="99"/>
    <w:semiHidden/>
    <w:unhideWhenUsed/>
    <w:locked/>
    <w:pPr>
      <w:spacing w:line="240" w:lineRule="auto"/>
      <w:ind w:left="440" w:hanging="220"/>
    </w:pPr>
  </w:style>
  <w:style w:type="paragraph" w:styleId="Soggettocommento">
    <w:name w:val="annotation subject"/>
    <w:basedOn w:val="Testocommento"/>
    <w:next w:val="Testocommento"/>
    <w:link w:val="SoggettocommentoCarattere"/>
    <w:uiPriority w:val="99"/>
    <w:semiHidden/>
    <w:unhideWhenUsed/>
    <w:qFormat/>
    <w:locked/>
    <w:rPr>
      <w:b/>
      <w:bCs/>
    </w:rPr>
  </w:style>
  <w:style w:type="paragraph" w:styleId="Primorientrocorpodeltesto">
    <w:name w:val="Body Text First Indent"/>
    <w:basedOn w:val="Corpotesto"/>
    <w:link w:val="PrimorientrocorpodeltestoCarattere"/>
    <w:uiPriority w:val="99"/>
    <w:semiHidden/>
    <w:unhideWhenUsed/>
    <w:qFormat/>
    <w:locked/>
    <w:pPr>
      <w:spacing w:after="200"/>
      <w:ind w:firstLine="360"/>
    </w:pPr>
  </w:style>
  <w:style w:type="paragraph" w:styleId="Primorientrocorpodeltesto2">
    <w:name w:val="Body Text First Indent 2"/>
    <w:basedOn w:val="Rientrocorpodeltesto"/>
    <w:link w:val="Primorientrocorpodeltesto2Carattere"/>
    <w:uiPriority w:val="99"/>
    <w:semiHidden/>
    <w:unhideWhenUsed/>
    <w:locked/>
    <w:pPr>
      <w:spacing w:after="200"/>
      <w:ind w:left="360" w:firstLine="360"/>
    </w:pPr>
  </w:style>
  <w:style w:type="table" w:styleId="Grigliatabella">
    <w:name w:val="Table Grid"/>
    <w:basedOn w:val="Tabellanormale"/>
    <w:uiPriority w:val="59"/>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semplice1">
    <w:name w:val="Table Simple 1"/>
    <w:basedOn w:val="Tabellanormale"/>
    <w:semiHidden/>
    <w:qFormat/>
    <w:locked/>
    <w:pPr>
      <w:numPr>
        <w:ilvl w:val="3"/>
        <w:numId w:val="11"/>
      </w:numPr>
      <w:spacing w:line="264" w:lineRule="auto"/>
      <w:jc w:val="both"/>
    </w:pPr>
    <w:rPr>
      <w:rFonts w:ascii="Times New Roman" w:eastAsia="Times New Roman" w:hAnsi="Times New Roman" w:cs="Times New Roman"/>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paragraph" w:customStyle="1" w:styleId="BOAAuthors">
    <w:name w:val="BOA Authors"/>
    <w:basedOn w:val="BOAAddress"/>
    <w:link w:val="BOAAuthorsCarattere"/>
    <w:autoRedefine/>
    <w:qFormat/>
    <w:pPr>
      <w:spacing w:after="120"/>
    </w:pPr>
    <w:rPr>
      <w:i w:val="0"/>
      <w:sz w:val="24"/>
    </w:rPr>
  </w:style>
  <w:style w:type="paragraph" w:customStyle="1" w:styleId="BOAAddress">
    <w:name w:val="BOA Address"/>
    <w:link w:val="BOAAddressCarattere"/>
    <w:autoRedefine/>
    <w:qFormat/>
    <w:pPr>
      <w:keepNext/>
      <w:suppressAutoHyphens/>
      <w:spacing w:line="276" w:lineRule="auto"/>
      <w:contextualSpacing/>
      <w:jc w:val="center"/>
    </w:pPr>
    <w:rPr>
      <w:rFonts w:ascii="Arial" w:eastAsia="Times New Roman" w:hAnsi="Arial" w:cs="Times New Roman"/>
      <w:i/>
      <w:lang w:val="en-GB" w:eastAsia="en-US"/>
    </w:rPr>
  </w:style>
  <w:style w:type="paragraph" w:customStyle="1" w:styleId="BOATitle">
    <w:name w:val="BOA Title"/>
    <w:next w:val="BOAAddress"/>
    <w:link w:val="BOATitleCarattere"/>
    <w:autoRedefine/>
    <w:qFormat/>
    <w:pPr>
      <w:suppressAutoHyphens/>
      <w:spacing w:before="480" w:after="360" w:line="264" w:lineRule="auto"/>
      <w:jc w:val="center"/>
      <w:outlineLvl w:val="0"/>
    </w:pPr>
    <w:rPr>
      <w:rFonts w:ascii="Arial" w:eastAsia="Times New Roman" w:hAnsi="Arial" w:cs="Times New Roman"/>
      <w:sz w:val="32"/>
      <w:lang w:val="en-GB" w:eastAsia="en-US"/>
    </w:rPr>
  </w:style>
  <w:style w:type="character" w:customStyle="1" w:styleId="BOAAuthorsCarattere">
    <w:name w:val="BOA Authors Carattere"/>
    <w:link w:val="BOAAuthors"/>
    <w:qFormat/>
    <w:rPr>
      <w:rFonts w:ascii="Arial" w:eastAsia="Times New Roman" w:hAnsi="Arial" w:cs="Times New Roman"/>
      <w:sz w:val="24"/>
      <w:szCs w:val="20"/>
      <w:lang w:val="en-GB"/>
    </w:rPr>
  </w:style>
  <w:style w:type="character" w:customStyle="1" w:styleId="BOATitleCarattere">
    <w:name w:val="BOA Title Carattere"/>
    <w:link w:val="BOATitle"/>
    <w:rPr>
      <w:rFonts w:ascii="Arial" w:eastAsia="Times New Roman" w:hAnsi="Arial" w:cs="Times New Roman"/>
      <w:sz w:val="32"/>
      <w:szCs w:val="20"/>
      <w:lang w:val="en-GB"/>
    </w:rPr>
  </w:style>
  <w:style w:type="paragraph" w:customStyle="1" w:styleId="BOAReference">
    <w:name w:val="BOA Reference"/>
    <w:pPr>
      <w:spacing w:before="200" w:after="120"/>
    </w:pPr>
    <w:rPr>
      <w:rFonts w:ascii="Arial" w:eastAsia="Times New Roman" w:hAnsi="Arial" w:cs="Times New Roman"/>
      <w:b/>
      <w:lang w:val="en-GB" w:eastAsia="en-US"/>
    </w:rPr>
  </w:style>
  <w:style w:type="paragraph" w:customStyle="1" w:styleId="BOAReference-text">
    <w:name w:val="BOA Reference-text"/>
    <w:autoRedefine/>
    <w:qFormat/>
    <w:pPr>
      <w:spacing w:line="264" w:lineRule="auto"/>
      <w:ind w:left="284" w:hanging="284"/>
      <w:jc w:val="both"/>
    </w:pPr>
    <w:rPr>
      <w:rFonts w:ascii="Arial" w:eastAsia="Times New Roman" w:hAnsi="Arial" w:cs="Times New Roman"/>
      <w:sz w:val="18"/>
      <w:lang w:val="en-GB" w:eastAsia="en-US"/>
    </w:rPr>
  </w:style>
  <w:style w:type="paragraph" w:customStyle="1" w:styleId="BOACaption">
    <w:name w:val="BOA Caption"/>
    <w:link w:val="BOACaptionCarattere"/>
    <w:autoRedefine/>
    <w:qFormat/>
    <w:pPr>
      <w:spacing w:before="240" w:after="240" w:line="264" w:lineRule="auto"/>
      <w:jc w:val="center"/>
    </w:pPr>
    <w:rPr>
      <w:rFonts w:ascii="Arial" w:eastAsia="MS PGothic" w:hAnsi="Arial" w:cs="Times New Roman"/>
      <w:bCs/>
      <w:i/>
      <w:lang w:val="en-GB" w:eastAsia="en-US"/>
    </w:rPr>
  </w:style>
  <w:style w:type="character" w:customStyle="1" w:styleId="BOACaptionCarattere">
    <w:name w:val="BOA Caption Carattere"/>
    <w:link w:val="BOACaption"/>
    <w:rPr>
      <w:rFonts w:ascii="Arial" w:eastAsia="MS PGothic" w:hAnsi="Arial" w:cs="Times New Roman"/>
      <w:bCs/>
      <w:i/>
      <w:sz w:val="20"/>
      <w:szCs w:val="20"/>
      <w:lang w:val="en-GB"/>
    </w:rPr>
  </w:style>
  <w:style w:type="paragraph" w:customStyle="1" w:styleId="BOAheadingx1">
    <w:name w:val="BOA headingx 1"/>
    <w:next w:val="BOAAbstractBody"/>
    <w:link w:val="BOAheadingx1Carattere"/>
    <w:autoRedefine/>
    <w:qFormat/>
    <w:pPr>
      <w:keepNext/>
      <w:numPr>
        <w:ilvl w:val="2"/>
        <w:numId w:val="11"/>
      </w:numPr>
      <w:suppressAutoHyphens/>
      <w:spacing w:before="120" w:after="120"/>
    </w:pPr>
    <w:rPr>
      <w:rFonts w:ascii="Arial" w:eastAsia="Times New Roman" w:hAnsi="Arial" w:cs="Times New Roman"/>
      <w:b/>
      <w:lang w:eastAsia="en-US"/>
    </w:rPr>
  </w:style>
  <w:style w:type="character" w:customStyle="1" w:styleId="BOAheadingx1Carattere">
    <w:name w:val="BOA headingx 1 Carattere"/>
    <w:link w:val="BOAheadingx1"/>
    <w:rPr>
      <w:rFonts w:ascii="Arial" w:eastAsia="Times New Roman" w:hAnsi="Arial" w:cs="Times New Roman"/>
      <w:b/>
      <w:sz w:val="20"/>
      <w:szCs w:val="20"/>
      <w:lang w:val="en-US"/>
    </w:rPr>
  </w:style>
  <w:style w:type="character" w:customStyle="1" w:styleId="TestofumettoCarattere">
    <w:name w:val="Testo fumetto Carattere"/>
    <w:basedOn w:val="Carpredefinitoparagrafo"/>
    <w:link w:val="Testofumetto"/>
    <w:uiPriority w:val="99"/>
    <w:semiHidden/>
    <w:qFormat/>
    <w:rPr>
      <w:rFonts w:ascii="Tahoma" w:hAnsi="Tahoma" w:cs="Tahoma"/>
      <w:sz w:val="16"/>
      <w:szCs w:val="16"/>
    </w:rPr>
  </w:style>
  <w:style w:type="paragraph" w:customStyle="1" w:styleId="1">
    <w:name w:val="书目1"/>
    <w:basedOn w:val="Normale"/>
    <w:next w:val="Normale"/>
    <w:uiPriority w:val="37"/>
    <w:semiHidden/>
    <w:unhideWhenUsed/>
  </w:style>
  <w:style w:type="character" w:customStyle="1" w:styleId="Corpodeltesto2Carattere">
    <w:name w:val="Corpo del testo 2 Carattere"/>
    <w:basedOn w:val="Carpredefinitoparagrafo"/>
    <w:link w:val="Corpodeltesto2"/>
    <w:uiPriority w:val="99"/>
    <w:semiHidden/>
  </w:style>
  <w:style w:type="character" w:customStyle="1" w:styleId="Corpodeltesto3Carattere">
    <w:name w:val="Corpo del testo 3 Carattere"/>
    <w:basedOn w:val="Carpredefinitoparagrafo"/>
    <w:link w:val="Corpodeltesto3"/>
    <w:uiPriority w:val="99"/>
    <w:semiHidden/>
    <w:qFormat/>
    <w:rPr>
      <w:sz w:val="16"/>
      <w:szCs w:val="16"/>
    </w:rPr>
  </w:style>
  <w:style w:type="character" w:customStyle="1" w:styleId="CorpotestoCarattere">
    <w:name w:val="Corpo testo Carattere"/>
    <w:basedOn w:val="Carpredefinitoparagrafo"/>
    <w:link w:val="Corpotesto"/>
    <w:uiPriority w:val="99"/>
    <w:semiHidden/>
  </w:style>
  <w:style w:type="character" w:customStyle="1" w:styleId="DataCarattere">
    <w:name w:val="Data Carattere"/>
    <w:basedOn w:val="Carpredefinitoparagrafo"/>
    <w:link w:val="Data"/>
    <w:uiPriority w:val="99"/>
    <w:semiHidden/>
  </w:style>
  <w:style w:type="character" w:customStyle="1" w:styleId="FirmaCarattere">
    <w:name w:val="Firma Carattere"/>
    <w:basedOn w:val="Carpredefinitoparagrafo"/>
    <w:link w:val="Firma"/>
    <w:uiPriority w:val="99"/>
    <w:semiHidden/>
    <w:qFormat/>
  </w:style>
  <w:style w:type="character" w:customStyle="1" w:styleId="FirmadipostaelettronicaCarattere">
    <w:name w:val="Firma di posta elettronica Carattere"/>
    <w:basedOn w:val="Carpredefinitoparagrafo"/>
    <w:link w:val="Firmadipostaelettronica"/>
    <w:uiPriority w:val="99"/>
    <w:semiHidden/>
    <w:qFormat/>
  </w:style>
  <w:style w:type="character" w:customStyle="1" w:styleId="FormuladiaperturaCarattere">
    <w:name w:val="Formula di apertura Carattere"/>
    <w:basedOn w:val="Carpredefinitoparagrafo"/>
    <w:link w:val="Formuladiapertura"/>
    <w:uiPriority w:val="99"/>
    <w:semiHidden/>
    <w:qFormat/>
  </w:style>
  <w:style w:type="character" w:customStyle="1" w:styleId="FormuladichiusuraCarattere">
    <w:name w:val="Formula di chiusura Carattere"/>
    <w:basedOn w:val="Carpredefinitoparagrafo"/>
    <w:link w:val="Formuladichiusura"/>
    <w:uiPriority w:val="99"/>
    <w:semiHidden/>
  </w:style>
  <w:style w:type="character" w:customStyle="1" w:styleId="IndirizzoHTMLCarattere">
    <w:name w:val="Indirizzo HTML Carattere"/>
    <w:basedOn w:val="Carpredefinitoparagrafo"/>
    <w:link w:val="IndirizzoHTML"/>
    <w:uiPriority w:val="99"/>
    <w:semiHidden/>
    <w:qFormat/>
    <w:rPr>
      <w:i/>
      <w:iCs/>
    </w:rPr>
  </w:style>
  <w:style w:type="character" w:customStyle="1" w:styleId="IntestazionemessaggioCarattere">
    <w:name w:val="Intestazione messaggio Carattere"/>
    <w:basedOn w:val="Carpredefinitoparagrafo"/>
    <w:link w:val="Intestazionemessaggio"/>
    <w:uiPriority w:val="99"/>
    <w:semiHidden/>
    <w:rPr>
      <w:rFonts w:asciiTheme="majorHAnsi" w:eastAsiaTheme="majorEastAsia" w:hAnsiTheme="majorHAnsi" w:cstheme="majorBidi"/>
      <w:sz w:val="24"/>
      <w:szCs w:val="24"/>
      <w:shd w:val="pct20" w:color="auto" w:fill="auto"/>
    </w:rPr>
  </w:style>
  <w:style w:type="character" w:customStyle="1" w:styleId="IntestazionenotaCarattere">
    <w:name w:val="Intestazione nota Carattere"/>
    <w:basedOn w:val="Carpredefinitoparagrafo"/>
    <w:link w:val="Intestazionenota"/>
    <w:uiPriority w:val="99"/>
    <w:semiHidden/>
    <w:qFormat/>
  </w:style>
  <w:style w:type="character" w:customStyle="1" w:styleId="MappadocumentoCarattere">
    <w:name w:val="Mappa documento Carattere"/>
    <w:basedOn w:val="Carpredefinitoparagrafo"/>
    <w:link w:val="Mappadocumento"/>
    <w:uiPriority w:val="99"/>
    <w:semiHidden/>
    <w:rPr>
      <w:rFonts w:ascii="Tahoma" w:hAnsi="Tahoma" w:cs="Tahoma"/>
      <w:sz w:val="16"/>
      <w:szCs w:val="16"/>
    </w:rPr>
  </w:style>
  <w:style w:type="character" w:customStyle="1" w:styleId="PreformattatoHTMLCarattere">
    <w:name w:val="Preformattato HTML Carattere"/>
    <w:basedOn w:val="Carpredefinitoparagrafo"/>
    <w:link w:val="PreformattatoHTML"/>
    <w:uiPriority w:val="99"/>
    <w:semiHidden/>
    <w:qFormat/>
    <w:rPr>
      <w:rFonts w:ascii="Consolas" w:hAnsi="Consolas" w:cs="Consolas"/>
      <w:sz w:val="20"/>
      <w:szCs w:val="20"/>
    </w:rPr>
  </w:style>
  <w:style w:type="character" w:customStyle="1" w:styleId="PrimorientrocorpodeltestoCarattere">
    <w:name w:val="Primo rientro corpo del testo Carattere"/>
    <w:basedOn w:val="CorpotestoCarattere"/>
    <w:link w:val="Primorientrocorpodeltesto"/>
    <w:uiPriority w:val="99"/>
    <w:semiHidden/>
    <w:qFormat/>
  </w:style>
  <w:style w:type="character" w:customStyle="1" w:styleId="RientrocorpodeltestoCarattere">
    <w:name w:val="Rientro corpo del testo Carattere"/>
    <w:basedOn w:val="Carpredefinitoparagrafo"/>
    <w:link w:val="Rientrocorpodeltesto"/>
    <w:uiPriority w:val="99"/>
    <w:semiHidden/>
  </w:style>
  <w:style w:type="character" w:customStyle="1" w:styleId="Primorientrocorpodeltesto2Carattere">
    <w:name w:val="Primo rientro corpo del testo 2 Carattere"/>
    <w:basedOn w:val="RientrocorpodeltestoCarattere"/>
    <w:link w:val="Primorientrocorpodeltesto2"/>
    <w:uiPriority w:val="99"/>
    <w:semiHidden/>
    <w:qFormat/>
  </w:style>
  <w:style w:type="character" w:customStyle="1" w:styleId="Rientrocorpodeltesto2Carattere">
    <w:name w:val="Rientro corpo del testo 2 Carattere"/>
    <w:basedOn w:val="Carpredefinitoparagrafo"/>
    <w:link w:val="Rientrocorpodeltesto2"/>
    <w:uiPriority w:val="99"/>
    <w:semiHidden/>
    <w:qFormat/>
  </w:style>
  <w:style w:type="character" w:customStyle="1" w:styleId="Rientrocorpodeltesto3Carattere">
    <w:name w:val="Rientro corpo del testo 3 Carattere"/>
    <w:basedOn w:val="Carpredefinitoparagrafo"/>
    <w:link w:val="Rientrocorpodeltesto3"/>
    <w:uiPriority w:val="99"/>
    <w:semiHidden/>
    <w:qFormat/>
    <w:rPr>
      <w:sz w:val="16"/>
      <w:szCs w:val="16"/>
    </w:rPr>
  </w:style>
  <w:style w:type="character" w:customStyle="1" w:styleId="TestocommentoCarattere">
    <w:name w:val="Testo commento Carattere"/>
    <w:basedOn w:val="Carpredefinitoparagrafo"/>
    <w:link w:val="Testocommento"/>
    <w:uiPriority w:val="99"/>
    <w:semiHidden/>
    <w:qFormat/>
    <w:rPr>
      <w:sz w:val="20"/>
      <w:szCs w:val="20"/>
    </w:rPr>
  </w:style>
  <w:style w:type="character" w:customStyle="1" w:styleId="SoggettocommentoCarattere">
    <w:name w:val="Soggetto commento Carattere"/>
    <w:basedOn w:val="TestocommentoCarattere"/>
    <w:link w:val="Soggettocommento"/>
    <w:uiPriority w:val="99"/>
    <w:semiHidden/>
    <w:rPr>
      <w:b/>
      <w:bCs/>
      <w:sz w:val="20"/>
      <w:szCs w:val="20"/>
    </w:rPr>
  </w:style>
  <w:style w:type="character" w:customStyle="1" w:styleId="TestomacroCarattere">
    <w:name w:val="Testo macro Carattere"/>
    <w:basedOn w:val="Carpredefinitoparagrafo"/>
    <w:link w:val="Testomacro"/>
    <w:uiPriority w:val="99"/>
    <w:semiHidden/>
    <w:qFormat/>
    <w:rPr>
      <w:rFonts w:ascii="Consolas" w:hAnsi="Consolas" w:cs="Consolas"/>
      <w:sz w:val="20"/>
      <w:szCs w:val="20"/>
    </w:rPr>
  </w:style>
  <w:style w:type="character" w:customStyle="1" w:styleId="TestonormaleCarattere">
    <w:name w:val="Testo normale Carattere"/>
    <w:basedOn w:val="Carpredefinitoparagrafo"/>
    <w:link w:val="Testonormale"/>
    <w:uiPriority w:val="99"/>
    <w:semiHidden/>
    <w:qFormat/>
    <w:rPr>
      <w:rFonts w:ascii="Consolas" w:hAnsi="Consolas" w:cs="Consolas"/>
      <w:sz w:val="21"/>
      <w:szCs w:val="21"/>
    </w:rPr>
  </w:style>
  <w:style w:type="character" w:customStyle="1" w:styleId="TestonotaapidipaginaCarattere">
    <w:name w:val="Testo nota a piè di pagina Carattere"/>
    <w:basedOn w:val="Carpredefinitoparagrafo"/>
    <w:link w:val="Testonotaapidipagina"/>
    <w:uiPriority w:val="99"/>
    <w:semiHidden/>
    <w:rPr>
      <w:sz w:val="20"/>
      <w:szCs w:val="20"/>
    </w:rPr>
  </w:style>
  <w:style w:type="character" w:customStyle="1" w:styleId="TestonotadichiusuraCarattere">
    <w:name w:val="Testo nota di chiusura Carattere"/>
    <w:basedOn w:val="Carpredefinitoparagrafo"/>
    <w:link w:val="Testonotadichiusura"/>
    <w:uiPriority w:val="99"/>
    <w:semiHidden/>
    <w:rPr>
      <w:sz w:val="20"/>
      <w:szCs w:val="20"/>
    </w:rPr>
  </w:style>
  <w:style w:type="character" w:customStyle="1" w:styleId="Titolo1Carattere">
    <w:name w:val="Titolo 1 Carattere"/>
    <w:basedOn w:val="Carpredefinitoparagrafo"/>
    <w:link w:val="Titolo1"/>
    <w:uiPriority w:val="9"/>
    <w:qFormat/>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qFormat/>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qFormat/>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qFormat/>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qFormat/>
    <w:rPr>
      <w:rFonts w:asciiTheme="majorHAnsi" w:eastAsiaTheme="majorEastAsia" w:hAnsiTheme="majorHAnsi" w:cstheme="majorBidi"/>
      <w:color w:val="244061" w:themeColor="accent1" w:themeShade="80"/>
    </w:rPr>
  </w:style>
  <w:style w:type="character" w:customStyle="1" w:styleId="Titolo6Carattere">
    <w:name w:val="Titolo 6 Carattere"/>
    <w:basedOn w:val="Carpredefinitoparagrafo"/>
    <w:link w:val="Titolo6"/>
    <w:uiPriority w:val="9"/>
    <w:semiHidden/>
    <w:rPr>
      <w:rFonts w:asciiTheme="majorHAnsi" w:eastAsiaTheme="majorEastAsia" w:hAnsiTheme="majorHAnsi" w:cstheme="majorBidi"/>
      <w:i/>
      <w:iCs/>
      <w:color w:val="244061" w:themeColor="accent1" w:themeShade="80"/>
    </w:rPr>
  </w:style>
  <w:style w:type="character" w:customStyle="1" w:styleId="Titolo7Carattere">
    <w:name w:val="Titolo 7 Carattere"/>
    <w:basedOn w:val="Carpredefinitoparagrafo"/>
    <w:link w:val="Titolo7"/>
    <w:uiPriority w:val="9"/>
    <w:semiHidden/>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Pr>
      <w:rFonts w:asciiTheme="majorHAnsi" w:eastAsiaTheme="majorEastAsia" w:hAnsiTheme="majorHAnsi" w:cstheme="majorBidi"/>
      <w:i/>
      <w:iCs/>
      <w:color w:val="404040" w:themeColor="text1" w:themeTint="BF"/>
      <w:sz w:val="20"/>
      <w:szCs w:val="20"/>
    </w:rPr>
  </w:style>
  <w:style w:type="paragraph" w:customStyle="1" w:styleId="TOC1">
    <w:name w:val="TOC 标题1"/>
    <w:basedOn w:val="Titolo1"/>
    <w:next w:val="Normale"/>
    <w:uiPriority w:val="39"/>
    <w:semiHidden/>
    <w:unhideWhenUsed/>
    <w:qFormat/>
    <w:locked/>
    <w:pPr>
      <w:outlineLvl w:val="9"/>
    </w:pPr>
  </w:style>
  <w:style w:type="character" w:customStyle="1" w:styleId="BOAAddressCarattere">
    <w:name w:val="BOA Address Carattere"/>
    <w:basedOn w:val="Carpredefinitoparagrafo"/>
    <w:link w:val="BOAAddress"/>
    <w:qFormat/>
    <w:rPr>
      <w:rFonts w:ascii="Arial" w:eastAsia="Times New Roman" w:hAnsi="Arial" w:cs="Times New Roman"/>
      <w:i/>
      <w:sz w:val="20"/>
      <w:szCs w:val="20"/>
      <w:lang w:val="en-GB"/>
    </w:rPr>
  </w:style>
  <w:style w:type="paragraph" w:customStyle="1" w:styleId="BOAemail">
    <w:name w:val="BOA email"/>
    <w:next w:val="BOAHeading"/>
    <w:autoRedefine/>
    <w:qFormat/>
    <w:pPr>
      <w:spacing w:before="120" w:line="360" w:lineRule="auto"/>
      <w:ind w:left="284" w:hanging="284"/>
      <w:jc w:val="center"/>
    </w:pPr>
    <w:rPr>
      <w:rFonts w:ascii="Arial" w:eastAsia="Times New Roman" w:hAnsi="Arial" w:cs="Times New Roman"/>
      <w:i/>
      <w:lang w:val="en-GB" w:eastAsia="en-US"/>
    </w:rPr>
  </w:style>
  <w:style w:type="character" w:customStyle="1" w:styleId="CETCaptionCarattere">
    <w:name w:val="CET Caption Carattere"/>
    <w:link w:val="CETCaption"/>
    <w:qFormat/>
    <w:rPr>
      <w:rFonts w:ascii="Arial" w:eastAsia="Times New Roman" w:hAnsi="Arial" w:cs="Times New Roman"/>
      <w:i/>
      <w:sz w:val="18"/>
      <w:lang w:val="en-GB" w:eastAsia="zh-CN" w:bidi="ar-SA"/>
    </w:rPr>
  </w:style>
  <w:style w:type="paragraph" w:customStyle="1" w:styleId="CETCaption">
    <w:name w:val="CET Caption"/>
    <w:link w:val="CETCaptionCarattere"/>
    <w:qFormat/>
    <w:pPr>
      <w:spacing w:before="240" w:after="240" w:line="264" w:lineRule="auto"/>
      <w:jc w:val="both"/>
    </w:pPr>
    <w:rPr>
      <w:rFonts w:ascii="Arial" w:eastAsia="Times New Roman" w:hAnsi="Arial" w:cs="Times New Roman"/>
      <w:i/>
      <w:sz w:val="18"/>
      <w:lang w:val="en-GB"/>
    </w:rPr>
  </w:style>
  <w:style w:type="paragraph" w:customStyle="1" w:styleId="MTDisplayEquation">
    <w:name w:val="MTDisplayEquation"/>
    <w:basedOn w:val="Normale"/>
    <w:next w:val="Normale"/>
    <w:qFormat/>
    <w:pPr>
      <w:tabs>
        <w:tab w:val="clear" w:pos="7100"/>
        <w:tab w:val="center" w:pos="4160"/>
        <w:tab w:val="right" w:pos="8300"/>
      </w:tabs>
      <w:jc w:val="left"/>
    </w:pPr>
    <w:rPr>
      <w:rFonts w:ascii="Times New Roman" w:hAnsi="Times New Roman"/>
      <w:sz w:val="24"/>
      <w:szCs w:val="24"/>
    </w:rPr>
  </w:style>
  <w:style w:type="paragraph" w:customStyle="1" w:styleId="CETHeading1">
    <w:name w:val="CET Heading1"/>
    <w:next w:val="Normale"/>
    <w:qFormat/>
    <w:pPr>
      <w:keepNext/>
      <w:numPr>
        <w:ilvl w:val="1"/>
        <w:numId w:val="12"/>
      </w:numPr>
      <w:suppressAutoHyphens/>
      <w:spacing w:before="240" w:after="120"/>
    </w:pPr>
    <w:rPr>
      <w:rFonts w:ascii="Arial" w:eastAsia="Times New Roman" w:hAnsi="Arial" w:cs="Times New Roman"/>
      <w:b/>
      <w:lang w:eastAsia="en-US"/>
    </w:rPr>
  </w:style>
  <w:style w:type="paragraph" w:styleId="Intestazione">
    <w:name w:val="header"/>
    <w:basedOn w:val="Normale"/>
    <w:link w:val="IntestazioneCarattere"/>
    <w:unhideWhenUsed/>
    <w:rsid w:val="00BA0FD3"/>
    <w:pPr>
      <w:tabs>
        <w:tab w:val="clear" w:pos="7100"/>
        <w:tab w:val="center" w:pos="4153"/>
        <w:tab w:val="right" w:pos="8306"/>
      </w:tabs>
      <w:snapToGrid w:val="0"/>
      <w:spacing w:line="240" w:lineRule="auto"/>
      <w:jc w:val="center"/>
    </w:pPr>
    <w:rPr>
      <w:szCs w:val="18"/>
    </w:rPr>
  </w:style>
  <w:style w:type="character" w:customStyle="1" w:styleId="IntestazioneCarattere">
    <w:name w:val="Intestazione Carattere"/>
    <w:basedOn w:val="Carpredefinitoparagrafo"/>
    <w:link w:val="Intestazione"/>
    <w:rsid w:val="00BA0FD3"/>
    <w:rPr>
      <w:rFonts w:ascii="Arial" w:eastAsia="Times New Roman" w:hAnsi="Arial" w:cs="Times New Roman"/>
      <w:sz w:val="18"/>
      <w:szCs w:val="18"/>
      <w:lang w:val="en-GB" w:eastAsia="en-US"/>
    </w:rPr>
  </w:style>
  <w:style w:type="paragraph" w:styleId="Pidipagina">
    <w:name w:val="footer"/>
    <w:basedOn w:val="Normale"/>
    <w:link w:val="PidipaginaCarattere"/>
    <w:uiPriority w:val="99"/>
    <w:unhideWhenUsed/>
    <w:rsid w:val="00BA0FD3"/>
    <w:pPr>
      <w:tabs>
        <w:tab w:val="clear" w:pos="7100"/>
        <w:tab w:val="center" w:pos="4153"/>
        <w:tab w:val="right" w:pos="8306"/>
      </w:tabs>
      <w:snapToGrid w:val="0"/>
      <w:spacing w:line="240" w:lineRule="auto"/>
      <w:jc w:val="left"/>
    </w:pPr>
    <w:rPr>
      <w:szCs w:val="18"/>
    </w:rPr>
  </w:style>
  <w:style w:type="character" w:customStyle="1" w:styleId="PidipaginaCarattere">
    <w:name w:val="Piè di pagina Carattere"/>
    <w:basedOn w:val="Carpredefinitoparagrafo"/>
    <w:link w:val="Pidipagina"/>
    <w:uiPriority w:val="99"/>
    <w:rsid w:val="00BA0FD3"/>
    <w:rPr>
      <w:rFonts w:ascii="Arial" w:eastAsia="Times New Roman" w:hAnsi="Arial" w:cs="Times New Roman"/>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oleObject" Target="embeddings/oleObject2.bin"/><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805583-A2D6-452E-B90B-21AFB6E57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2327</Words>
  <Characters>13269</Characters>
  <Application>Microsoft Office Word</Application>
  <DocSecurity>0</DocSecurity>
  <Lines>110</Lines>
  <Paragraphs>31</Paragraphs>
  <ScaleCrop>false</ScaleCrop>
  <Company>Dipartimento CMIC - Politecnico di Milano</Company>
  <LinksUpToDate>false</LinksUpToDate>
  <CharactersWithSpaces>15565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Sauro Pierucci</cp:lastModifiedBy>
  <cp:revision>2</cp:revision>
  <cp:lastPrinted>2015-05-12T18:31:00Z</cp:lastPrinted>
  <dcterms:created xsi:type="dcterms:W3CDTF">2025-05-26T12:06:00Z</dcterms:created>
  <dcterms:modified xsi:type="dcterms:W3CDTF">2025-05-26T12:06:00Z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eyJoZGlkIjoiOWVkMGExYzk0ZGQwODRiMThhYWZmNzVhNmQ0NDNiOGYiLCJ1c2VySWQiOiI2Njk0MDgxOTQifQ==</vt:lpwstr>
  </property>
  <property fmtid="{D5CDD505-2E9C-101B-9397-08002B2CF9AE}" pid="3" name="KSOProductBuildVer">
    <vt:lpwstr>2052-12.1.0.20784</vt:lpwstr>
  </property>
  <property fmtid="{D5CDD505-2E9C-101B-9397-08002B2CF9AE}" pid="4" name="ICV">
    <vt:lpwstr>DCBFE7B4FE7444288A14137530357889_12</vt:lpwstr>
  </property>
</Properties>
</file>