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0F07041" w14:textId="7E318BD9"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07A558C1" w:rsidR="00E978D0" w:rsidRPr="00B57B36" w:rsidRDefault="00BB6935" w:rsidP="00E978D0">
      <w:pPr>
        <w:pStyle w:val="CETTitle"/>
      </w:pPr>
      <w:r>
        <w:t>Euro</w:t>
      </w:r>
      <w:r w:rsidR="007760A5">
        <w:t>V</w:t>
      </w:r>
      <w:r>
        <w:t xml:space="preserve">alve: </w:t>
      </w:r>
      <w:r w:rsidR="00F0537B">
        <w:t>S</w:t>
      </w:r>
      <w:r>
        <w:t>tabl</w:t>
      </w:r>
      <w:r w:rsidR="00F0537B">
        <w:t>e</w:t>
      </w:r>
      <w:r>
        <w:t xml:space="preserve"> </w:t>
      </w:r>
      <w:r w:rsidR="00F0537B">
        <w:t xml:space="preserve">operation </w:t>
      </w:r>
      <w:r>
        <w:t>of spring-loaded safety valves in gas service through damping and internal modifications</w:t>
      </w:r>
    </w:p>
    <w:p w14:paraId="0488FED2" w14:textId="350A83CF" w:rsidR="00B57E6F" w:rsidRPr="00BB6935" w:rsidRDefault="00BB6935" w:rsidP="00B57E6F">
      <w:pPr>
        <w:pStyle w:val="CETAuthors"/>
        <w:rPr>
          <w:lang w:val="de-DE"/>
        </w:rPr>
      </w:pPr>
      <w:r w:rsidRPr="00BB6935">
        <w:rPr>
          <w:lang w:val="de-DE"/>
        </w:rPr>
        <w:t>Gergely Keszthelyi</w:t>
      </w:r>
      <w:r w:rsidR="00B57E6F" w:rsidRPr="00BB6935">
        <w:rPr>
          <w:vertAlign w:val="superscript"/>
          <w:lang w:val="de-DE"/>
        </w:rPr>
        <w:t>a</w:t>
      </w:r>
      <w:r w:rsidRPr="00BB6935">
        <w:rPr>
          <w:vertAlign w:val="superscript"/>
          <w:lang w:val="de-DE"/>
        </w:rPr>
        <w:t>,</w:t>
      </w:r>
      <w:r w:rsidRPr="00BB6935">
        <w:rPr>
          <w:lang w:val="de-DE"/>
        </w:rPr>
        <w:t>*</w:t>
      </w:r>
      <w:r w:rsidR="00B57E6F" w:rsidRPr="00BB6935">
        <w:rPr>
          <w:lang w:val="de-DE"/>
        </w:rPr>
        <w:t xml:space="preserve">, </w:t>
      </w:r>
      <w:r w:rsidRPr="00BB6935">
        <w:rPr>
          <w:lang w:val="de-DE"/>
        </w:rPr>
        <w:t>Jürgen Schmidt</w:t>
      </w:r>
      <w:r w:rsidR="008124EF">
        <w:rPr>
          <w:vertAlign w:val="superscript"/>
          <w:lang w:val="de-DE"/>
        </w:rPr>
        <w:t>a</w:t>
      </w:r>
      <w:r w:rsidR="00B57E6F" w:rsidRPr="00BB6935">
        <w:rPr>
          <w:lang w:val="de-DE"/>
        </w:rPr>
        <w:t xml:space="preserve">, </w:t>
      </w:r>
      <w:r w:rsidRPr="00BB6935">
        <w:rPr>
          <w:lang w:val="de-DE"/>
        </w:rPr>
        <w:t>Jens Denecke</w:t>
      </w:r>
      <w:r w:rsidR="00AB0502">
        <w:rPr>
          <w:vertAlign w:val="superscript"/>
          <w:lang w:val="de-DE"/>
        </w:rPr>
        <w:t>a,b</w:t>
      </w:r>
    </w:p>
    <w:p w14:paraId="6B2D21B3" w14:textId="0B9DB709" w:rsidR="00B57E6F" w:rsidRPr="00B57B36" w:rsidRDefault="00B57E6F" w:rsidP="00B57E6F">
      <w:pPr>
        <w:pStyle w:val="CETAddress"/>
      </w:pPr>
      <w:r w:rsidRPr="00B57B36">
        <w:rPr>
          <w:vertAlign w:val="superscript"/>
        </w:rPr>
        <w:t>a</w:t>
      </w:r>
      <w:r w:rsidR="008124EF">
        <w:t>CSE Center of Safety Excellence (CSE-Institut), Joseph-von-Fraunhofer-Str. 9, 76327 Pfinztal, Germany</w:t>
      </w:r>
      <w:r w:rsidR="00BB6935">
        <w:t xml:space="preserve"> </w:t>
      </w:r>
      <w:r w:rsidRPr="00B57B36">
        <w:t xml:space="preserve"> </w:t>
      </w:r>
    </w:p>
    <w:p w14:paraId="3D72B0B0" w14:textId="45851F77" w:rsidR="00B57E6F" w:rsidRPr="00B57B36" w:rsidRDefault="00B57E6F" w:rsidP="00B57E6F">
      <w:pPr>
        <w:pStyle w:val="CETAddress"/>
      </w:pPr>
      <w:r w:rsidRPr="00B57B36">
        <w:rPr>
          <w:vertAlign w:val="superscript"/>
        </w:rPr>
        <w:t>b</w:t>
      </w:r>
      <w:r w:rsidR="008124EF">
        <w:t>University of Applied Sciences, Moltkestrasse 30, 76133 Karlsruhe, Germany</w:t>
      </w:r>
    </w:p>
    <w:p w14:paraId="73F1267A" w14:textId="76AE1AB3" w:rsidR="00B57E6F" w:rsidRPr="00B57B36" w:rsidRDefault="008124EF" w:rsidP="00B57E6F">
      <w:pPr>
        <w:pStyle w:val="CETemail"/>
      </w:pPr>
      <w:r>
        <w:t>*</w:t>
      </w:r>
      <w:r w:rsidR="00B57E6F">
        <w:t xml:space="preserve"> </w:t>
      </w:r>
      <w:r>
        <w:t>gergely</w:t>
      </w:r>
      <w:r w:rsidR="00B57E6F" w:rsidRPr="00B57B36">
        <w:t>.</w:t>
      </w:r>
      <w:r>
        <w:t>keszthelyi</w:t>
      </w:r>
      <w:r w:rsidR="00B57E6F" w:rsidRPr="00B57B36">
        <w:t>@</w:t>
      </w:r>
      <w:r>
        <w:t>cse-institut</w:t>
      </w:r>
      <w:r w:rsidR="00B57E6F" w:rsidRPr="00B57B36">
        <w:t>.</w:t>
      </w:r>
      <w:r>
        <w:t>de</w:t>
      </w:r>
    </w:p>
    <w:p w14:paraId="38F76186" w14:textId="451E47A8" w:rsidR="006A6DE5" w:rsidRPr="005A6EB3" w:rsidRDefault="005475FB" w:rsidP="00713B30">
      <w:pPr>
        <w:pStyle w:val="CETBodytext"/>
        <w:rPr>
          <w:lang w:val="en-GB"/>
        </w:rPr>
      </w:pPr>
      <w:r w:rsidRPr="005A6EB3">
        <w:rPr>
          <w:lang w:val="en-GB"/>
        </w:rPr>
        <w:t>The s</w:t>
      </w:r>
      <w:r w:rsidR="00D00B4C" w:rsidRPr="005A6EB3">
        <w:rPr>
          <w:lang w:val="en-GB"/>
        </w:rPr>
        <w:t xml:space="preserve">table operation of safety valves is </w:t>
      </w:r>
      <w:r w:rsidRPr="005A6EB3">
        <w:rPr>
          <w:lang w:val="en-GB"/>
        </w:rPr>
        <w:t>required</w:t>
      </w:r>
      <w:r w:rsidR="00D00B4C" w:rsidRPr="005A6EB3">
        <w:rPr>
          <w:lang w:val="en-GB"/>
        </w:rPr>
        <w:t xml:space="preserve"> for the</w:t>
      </w:r>
      <w:r w:rsidRPr="005A6EB3">
        <w:rPr>
          <w:lang w:val="en-GB"/>
        </w:rPr>
        <w:t xml:space="preserve"> adequate</w:t>
      </w:r>
      <w:r w:rsidR="00D00B4C" w:rsidRPr="005A6EB3">
        <w:rPr>
          <w:lang w:val="en-GB"/>
        </w:rPr>
        <w:t xml:space="preserve"> protection of chemical plants. Instabilities like flattering and chattering of safety valves </w:t>
      </w:r>
      <w:r w:rsidRPr="005A6EB3">
        <w:rPr>
          <w:lang w:val="en-GB"/>
        </w:rPr>
        <w:t xml:space="preserve">have </w:t>
      </w:r>
      <w:r w:rsidR="00D00B4C" w:rsidRPr="005A6EB3">
        <w:rPr>
          <w:lang w:val="en-GB"/>
        </w:rPr>
        <w:t xml:space="preserve">caused severe damage to plants in the past. The publication introduces </w:t>
      </w:r>
      <w:r w:rsidR="00120F1F">
        <w:rPr>
          <w:lang w:val="en-GB"/>
        </w:rPr>
        <w:t xml:space="preserve">the </w:t>
      </w:r>
      <w:r w:rsidR="00F0537B">
        <w:rPr>
          <w:lang w:val="en-GB"/>
        </w:rPr>
        <w:t>results of the</w:t>
      </w:r>
      <w:r w:rsidR="00D00B4C" w:rsidRPr="005A6EB3">
        <w:rPr>
          <w:lang w:val="en-GB"/>
        </w:rPr>
        <w:t xml:space="preserve"> Eurovalve project</w:t>
      </w:r>
      <w:r w:rsidR="00F0537B">
        <w:rPr>
          <w:lang w:val="en-GB"/>
        </w:rPr>
        <w:t xml:space="preserve"> investigated at the CSE Center of Safety Excellence</w:t>
      </w:r>
      <w:r w:rsidRPr="005A6EB3">
        <w:rPr>
          <w:lang w:val="en-GB"/>
        </w:rPr>
        <w:t>.</w:t>
      </w:r>
    </w:p>
    <w:p w14:paraId="63379473" w14:textId="7B56AF0C" w:rsidR="00D00B4C" w:rsidRPr="005A6EB3" w:rsidRDefault="00713B30" w:rsidP="00713B30">
      <w:pPr>
        <w:pStyle w:val="CETBodytext"/>
        <w:rPr>
          <w:lang w:val="en-GB"/>
        </w:rPr>
      </w:pPr>
      <w:r w:rsidRPr="005A6EB3">
        <w:rPr>
          <w:lang w:val="en-GB"/>
        </w:rPr>
        <w:t>Various</w:t>
      </w:r>
      <w:r w:rsidR="00D00B4C" w:rsidRPr="005A6EB3">
        <w:rPr>
          <w:lang w:val="en-GB"/>
        </w:rPr>
        <w:t xml:space="preserve"> model</w:t>
      </w:r>
      <w:r w:rsidRPr="005A6EB3">
        <w:rPr>
          <w:lang w:val="en-GB"/>
        </w:rPr>
        <w:t>s</w:t>
      </w:r>
      <w:r w:rsidR="00D00B4C" w:rsidRPr="005A6EB3">
        <w:rPr>
          <w:lang w:val="en-GB"/>
        </w:rPr>
        <w:t xml:space="preserve"> for safety valves </w:t>
      </w:r>
      <w:r w:rsidRPr="005A6EB3">
        <w:rPr>
          <w:lang w:val="en-GB"/>
        </w:rPr>
        <w:t>are</w:t>
      </w:r>
      <w:r w:rsidR="00D00B4C" w:rsidRPr="005A6EB3">
        <w:rPr>
          <w:lang w:val="en-GB"/>
        </w:rPr>
        <w:t xml:space="preserve"> </w:t>
      </w:r>
      <w:r w:rsidR="005475FB" w:rsidRPr="005A6EB3">
        <w:rPr>
          <w:lang w:val="en-GB"/>
        </w:rPr>
        <w:t>presented along with the</w:t>
      </w:r>
      <w:r w:rsidRPr="005A6EB3">
        <w:rPr>
          <w:lang w:val="en-GB"/>
        </w:rPr>
        <w:t xml:space="preserve"> equations used for</w:t>
      </w:r>
      <w:r w:rsidR="00D00B4C" w:rsidRPr="005A6EB3">
        <w:rPr>
          <w:lang w:val="en-GB"/>
        </w:rPr>
        <w:t xml:space="preserve"> numerical solution.</w:t>
      </w:r>
      <w:r w:rsidRPr="005A6EB3">
        <w:rPr>
          <w:lang w:val="en-GB"/>
        </w:rPr>
        <w:t xml:space="preserve"> </w:t>
      </w:r>
      <w:r w:rsidR="005475FB" w:rsidRPr="005A6EB3">
        <w:rPr>
          <w:lang w:val="en-GB"/>
        </w:rPr>
        <w:t>It is shown that the</w:t>
      </w:r>
      <w:r w:rsidRPr="005A6EB3">
        <w:rPr>
          <w:lang w:val="en-GB"/>
        </w:rPr>
        <w:t xml:space="preserve"> stability of safety valves </w:t>
      </w:r>
      <w:r w:rsidR="00085D42" w:rsidRPr="005A6EB3">
        <w:rPr>
          <w:lang w:val="en-GB"/>
        </w:rPr>
        <w:t>cannot</w:t>
      </w:r>
      <w:r w:rsidR="005475FB" w:rsidRPr="005A6EB3">
        <w:rPr>
          <w:lang w:val="en-GB"/>
        </w:rPr>
        <w:t xml:space="preserve"> be </w:t>
      </w:r>
      <w:r w:rsidR="00362850">
        <w:rPr>
          <w:lang w:val="en-GB"/>
        </w:rPr>
        <w:t xml:space="preserve">precisely </w:t>
      </w:r>
      <w:r w:rsidR="005475FB" w:rsidRPr="005A6EB3">
        <w:rPr>
          <w:lang w:val="en-GB"/>
        </w:rPr>
        <w:t xml:space="preserve">pre-determined with the </w:t>
      </w:r>
      <w:r w:rsidR="00362850">
        <w:rPr>
          <w:lang w:val="en-GB"/>
        </w:rPr>
        <w:t>models currently</w:t>
      </w:r>
      <w:r w:rsidR="005475FB" w:rsidRPr="005A6EB3">
        <w:rPr>
          <w:lang w:val="en-GB"/>
        </w:rPr>
        <w:t xml:space="preserve"> available</w:t>
      </w:r>
      <w:r w:rsidR="00362850">
        <w:rPr>
          <w:lang w:val="en-GB"/>
        </w:rPr>
        <w:t xml:space="preserve">. </w:t>
      </w:r>
      <w:r w:rsidR="00362850" w:rsidRPr="00362850">
        <w:rPr>
          <w:lang w:val="en-GB"/>
        </w:rPr>
        <w:t>Therefore, t</w:t>
      </w:r>
      <w:r w:rsidRPr="00362850">
        <w:rPr>
          <w:lang w:val="en-GB"/>
        </w:rPr>
        <w:t>wo methods of improving the stability that require the modification of the valve are proposed.</w:t>
      </w:r>
    </w:p>
    <w:p w14:paraId="69B19718" w14:textId="627A2DE7" w:rsidR="00713B30" w:rsidRPr="005A6EB3" w:rsidRDefault="00713B30" w:rsidP="00713B30">
      <w:pPr>
        <w:pStyle w:val="CETBodytext"/>
        <w:rPr>
          <w:lang w:val="en-GB"/>
        </w:rPr>
      </w:pPr>
      <w:r w:rsidRPr="005A6EB3">
        <w:rPr>
          <w:lang w:val="en-GB"/>
        </w:rPr>
        <w:t xml:space="preserve">One such solution is the addition of </w:t>
      </w:r>
      <w:r w:rsidR="005A6EB3" w:rsidRPr="005A6EB3">
        <w:rPr>
          <w:lang w:val="en-GB"/>
        </w:rPr>
        <w:t>different types of</w:t>
      </w:r>
      <w:r w:rsidRPr="005A6EB3">
        <w:rPr>
          <w:lang w:val="en-GB"/>
        </w:rPr>
        <w:t xml:space="preserve"> dampers to the safety valves. </w:t>
      </w:r>
      <w:r w:rsidR="002B4154" w:rsidRPr="005A6EB3">
        <w:rPr>
          <w:lang w:val="en-GB"/>
        </w:rPr>
        <w:t xml:space="preserve">Measurements have been conducted to investigate the effect of friction dampers, and the results are </w:t>
      </w:r>
      <w:r w:rsidR="005A6EB3" w:rsidRPr="005A6EB3">
        <w:rPr>
          <w:lang w:val="en-GB"/>
        </w:rPr>
        <w:t xml:space="preserve">analysed. </w:t>
      </w:r>
      <w:r w:rsidR="00362850">
        <w:rPr>
          <w:lang w:val="en-GB"/>
        </w:rPr>
        <w:t>T</w:t>
      </w:r>
      <w:r w:rsidR="002B4154" w:rsidRPr="005A6EB3">
        <w:rPr>
          <w:lang w:val="en-GB"/>
        </w:rPr>
        <w:t xml:space="preserve">he stability of the safety valve improves, but the safety valve </w:t>
      </w:r>
      <w:r w:rsidR="00FD6D70" w:rsidRPr="005A6EB3">
        <w:rPr>
          <w:lang w:val="en-GB"/>
        </w:rPr>
        <w:t>reseating pressure</w:t>
      </w:r>
      <w:r w:rsidR="002B4154" w:rsidRPr="005A6EB3">
        <w:rPr>
          <w:lang w:val="en-GB"/>
        </w:rPr>
        <w:t xml:space="preserve"> drops</w:t>
      </w:r>
      <w:r w:rsidR="005A6EB3" w:rsidRPr="005A6EB3">
        <w:rPr>
          <w:lang w:val="en-GB"/>
        </w:rPr>
        <w:t xml:space="preserve"> below what is </w:t>
      </w:r>
      <w:r w:rsidR="00362850">
        <w:rPr>
          <w:lang w:val="en-GB"/>
        </w:rPr>
        <w:t>permissible</w:t>
      </w:r>
      <w:r w:rsidR="005A6EB3" w:rsidRPr="005A6EB3">
        <w:rPr>
          <w:lang w:val="en-GB"/>
        </w:rPr>
        <w:t xml:space="preserve"> by the standard</w:t>
      </w:r>
      <w:r w:rsidR="002B4154" w:rsidRPr="005A6EB3">
        <w:rPr>
          <w:lang w:val="en-GB"/>
        </w:rPr>
        <w:t xml:space="preserve">. Simulations </w:t>
      </w:r>
      <w:r w:rsidR="006F6E93" w:rsidRPr="005A6EB3">
        <w:rPr>
          <w:lang w:val="en-GB"/>
        </w:rPr>
        <w:t xml:space="preserve">are used to test the effect damping on the system, showing that the </w:t>
      </w:r>
      <w:r w:rsidR="005A6EB3" w:rsidRPr="005A6EB3">
        <w:rPr>
          <w:lang w:val="en-GB"/>
        </w:rPr>
        <w:t>analysed</w:t>
      </w:r>
      <w:r w:rsidR="006F6E93" w:rsidRPr="005A6EB3">
        <w:rPr>
          <w:lang w:val="en-GB"/>
        </w:rPr>
        <w:t xml:space="preserve"> safety valve opens in a stable manner with a damping </w:t>
      </w:r>
      <w:r w:rsidR="00420161" w:rsidRPr="005A6EB3">
        <w:rPr>
          <w:lang w:val="en-GB"/>
        </w:rPr>
        <w:t>that reaches the critical damping of the spring mass-damper system.</w:t>
      </w:r>
    </w:p>
    <w:p w14:paraId="027C5CED" w14:textId="1B5BD63D" w:rsidR="00420161" w:rsidRPr="005A6EB3" w:rsidRDefault="00420161" w:rsidP="00713B30">
      <w:pPr>
        <w:pStyle w:val="CETBodytext"/>
        <w:rPr>
          <w:lang w:val="en-GB"/>
        </w:rPr>
      </w:pPr>
      <w:r w:rsidRPr="005A6EB3">
        <w:rPr>
          <w:lang w:val="en-GB"/>
        </w:rPr>
        <w:t xml:space="preserve">The other </w:t>
      </w:r>
      <w:r w:rsidR="005A6EB3">
        <w:rPr>
          <w:lang w:val="en-GB"/>
        </w:rPr>
        <w:t xml:space="preserve">possible </w:t>
      </w:r>
      <w:r w:rsidRPr="005A6EB3">
        <w:rPr>
          <w:lang w:val="en-GB"/>
        </w:rPr>
        <w:t xml:space="preserve">solution presented in this paper is the modification of the </w:t>
      </w:r>
      <w:r w:rsidR="005A6EB3">
        <w:rPr>
          <w:lang w:val="en-GB"/>
        </w:rPr>
        <w:t xml:space="preserve">force acting on the </w:t>
      </w:r>
      <w:r w:rsidRPr="005A6EB3">
        <w:rPr>
          <w:lang w:val="en-GB"/>
        </w:rPr>
        <w:t xml:space="preserve">safety valve disk. The theoretical effects of modifying the safety valve disk </w:t>
      </w:r>
      <w:r w:rsidR="00F97AF2" w:rsidRPr="005A6EB3">
        <w:rPr>
          <w:lang w:val="en-GB"/>
        </w:rPr>
        <w:t>are</w:t>
      </w:r>
      <w:r w:rsidRPr="005A6EB3">
        <w:rPr>
          <w:lang w:val="en-GB"/>
        </w:rPr>
        <w:t xml:space="preserve"> </w:t>
      </w:r>
      <w:r w:rsidR="005A6EB3">
        <w:rPr>
          <w:lang w:val="en-GB"/>
        </w:rPr>
        <w:t>evaluated</w:t>
      </w:r>
      <w:r w:rsidRPr="005A6EB3">
        <w:rPr>
          <w:lang w:val="en-GB"/>
        </w:rPr>
        <w:t xml:space="preserve"> by varying the effective area of the safety valve. Limits for the effective area are derived based on the requirements of the international standards. Four different cases are examined within and out of these limits, showing that </w:t>
      </w:r>
      <w:r w:rsidR="00362850">
        <w:rPr>
          <w:lang w:val="en-GB"/>
        </w:rPr>
        <w:t>further investigations are necessary</w:t>
      </w:r>
      <w:r w:rsidR="005A6EB3">
        <w:rPr>
          <w:lang w:val="en-GB"/>
        </w:rPr>
        <w:t xml:space="preserve"> </w:t>
      </w:r>
      <w:r w:rsidR="00362850">
        <w:rPr>
          <w:lang w:val="en-GB"/>
        </w:rPr>
        <w:t xml:space="preserve">to </w:t>
      </w:r>
      <w:r w:rsidR="005A6EB3">
        <w:rPr>
          <w:lang w:val="en-GB"/>
        </w:rPr>
        <w:t>adher</w:t>
      </w:r>
      <w:r w:rsidR="00362850">
        <w:rPr>
          <w:lang w:val="en-GB"/>
        </w:rPr>
        <w:t>e</w:t>
      </w:r>
      <w:r w:rsidR="005A6EB3">
        <w:rPr>
          <w:lang w:val="en-GB"/>
        </w:rPr>
        <w:t xml:space="preserve"> the standards</w:t>
      </w:r>
      <w:r w:rsidRPr="005A6EB3">
        <w:rPr>
          <w:lang w:val="en-GB"/>
        </w:rPr>
        <w:t>.</w:t>
      </w:r>
    </w:p>
    <w:p w14:paraId="476B2F2E" w14:textId="58B436E1" w:rsidR="00600535" w:rsidRDefault="00600535" w:rsidP="00600535">
      <w:pPr>
        <w:pStyle w:val="CETHeading1"/>
        <w:rPr>
          <w:lang w:val="en-GB"/>
        </w:rPr>
      </w:pPr>
      <w:r w:rsidRPr="00B57B36">
        <w:rPr>
          <w:lang w:val="en-GB"/>
        </w:rPr>
        <w:t>Introduction</w:t>
      </w:r>
    </w:p>
    <w:p w14:paraId="5AB66E9A" w14:textId="3A26503A" w:rsidR="00F43192" w:rsidRDefault="00CB1162" w:rsidP="00CB1162">
      <w:pPr>
        <w:pStyle w:val="CETBodytext"/>
        <w:rPr>
          <w:lang w:val="en-GB"/>
        </w:rPr>
      </w:pPr>
      <w:r>
        <w:rPr>
          <w:lang w:val="en-GB"/>
        </w:rPr>
        <w:t>Safety valves are used across the chemical and other industries to protect vessels from overpressure. As such,</w:t>
      </w:r>
      <w:r w:rsidR="00DF23C3">
        <w:rPr>
          <w:lang w:val="en-GB"/>
        </w:rPr>
        <w:t xml:space="preserve"> the error-free operation of these devices is paramount. One of the issues </w:t>
      </w:r>
      <w:r w:rsidR="00CE137F">
        <w:rPr>
          <w:lang w:val="en-GB"/>
        </w:rPr>
        <w:t xml:space="preserve">of safety valve operation is </w:t>
      </w:r>
      <w:r w:rsidR="00E1593C">
        <w:rPr>
          <w:lang w:val="en-GB"/>
        </w:rPr>
        <w:t>a</w:t>
      </w:r>
      <w:r w:rsidR="00CE137F">
        <w:rPr>
          <w:lang w:val="en-GB"/>
        </w:rPr>
        <w:t xml:space="preserve"> rapid movement of the safety valve disk called chatter. This phenomenon can have in catastrophic results, such as </w:t>
      </w:r>
      <w:r w:rsidR="00F43192">
        <w:rPr>
          <w:lang w:val="en-GB"/>
        </w:rPr>
        <w:t xml:space="preserve">a refinery explosion in Italy in 1985 </w:t>
      </w:r>
      <w:r w:rsidR="00F43192">
        <w:rPr>
          <w:lang w:val="en-GB"/>
        </w:rPr>
        <w:fldChar w:fldCharType="begin" w:fldLock="1"/>
      </w:r>
      <w:r w:rsidR="00F97AF2">
        <w:rPr>
          <w:lang w:val="en-GB"/>
        </w:rPr>
        <w:instrText>ADDIN CSL_CITATION {"citationItems":[{"id":"ITEM-1","itemData":{"author":[{"dropping-particle":"","family":"European Process Safety Centre","given":"","non-dropping-particle":"","parse-names":false,"suffix":""}],"id":"ITEM-1","issue":"May","issued":{"date-parts":[["2020"]]},"page":"1","title":"Chattering PSV","type":"article"},"uris":["http://www.mendeley.com/documents/?uuid=888a0061-65d6-4a13-81ce-a8a69ff56fb0"]}],"mendeley":{"formattedCitation":"(European Process Safety Centre, 2020)","plainTextFormattedCitation":"(European Process Safety Centre, 2020)","previouslyFormattedCitation":"(European Process Safety Centre 2020)"},"properties":{"noteIndex":0},"schema":"https://github.com/citation-style-language/schema/raw/master/csl-citation.json"}</w:instrText>
      </w:r>
      <w:r w:rsidR="00F43192">
        <w:rPr>
          <w:lang w:val="en-GB"/>
        </w:rPr>
        <w:fldChar w:fldCharType="separate"/>
      </w:r>
      <w:r w:rsidR="00F97AF2" w:rsidRPr="00F97AF2">
        <w:rPr>
          <w:noProof/>
          <w:lang w:val="en-GB"/>
        </w:rPr>
        <w:t>(European Process Safety Centre, 2020)</w:t>
      </w:r>
      <w:r w:rsidR="00F43192">
        <w:rPr>
          <w:lang w:val="en-GB"/>
        </w:rPr>
        <w:fldChar w:fldCharType="end"/>
      </w:r>
      <w:r w:rsidR="00F43192">
        <w:rPr>
          <w:lang w:val="en-GB"/>
        </w:rPr>
        <w:t xml:space="preserve">, or </w:t>
      </w:r>
      <w:r w:rsidR="00E1593C">
        <w:rPr>
          <w:lang w:val="en-GB"/>
        </w:rPr>
        <w:t>a</w:t>
      </w:r>
      <w:r w:rsidR="00F43192">
        <w:rPr>
          <w:lang w:val="en-GB"/>
        </w:rPr>
        <w:t xml:space="preserve"> more recent steam cracker explosion and fire in the Czech Republic in 2015 </w:t>
      </w:r>
      <w:r w:rsidR="00F43192">
        <w:rPr>
          <w:lang w:val="en-GB"/>
        </w:rPr>
        <w:fldChar w:fldCharType="begin" w:fldLock="1"/>
      </w:r>
      <w:r w:rsidR="00F97AF2">
        <w:rPr>
          <w:lang w:val="en-GB"/>
        </w:rPr>
        <w:instrText>ADDIN CSL_CITATION {"citationItems":[{"id":"ITEM-1","itemData":{"DOI":"10.1016/j.jlp.2021.104658","ISSN":"09504230","abstract":"The Refinery and petrochemical production facilities process and produce the gaseous and liquid flammable hydrocarbons under the pressure conditions. In case of any failure, improper design or human mistake there can be autonomous and independent pressure relieve systems activated to release the pressure to the flare systems to protect the equipment against the overpressure, damages and other consequences. The paper describes the failure occurred at the Steam Cracker unit in Litvinov, Czech Republic in 2015. As a result of a loss of cooling followed by loss of reflux event, the pressure relief system of the Propylene Column was activated whereas the pressure relief valves opened up and chattered, resulting in loosening of flange bolts and loss of containment. The release of the propylene vapor ignited, resulting in subsequent explosion and fire at the Propylene Column area. The interruption of steam and instrument air supply caused by the fire damages led to the other extensive fire of four pyrolysis heaters. The extraordinary event description, root cause analysis, investigation as well as the corrective actions are introduced and analyzed.","author":[{"dropping-particle":"","family":"Herink","given":"Tomas","non-dropping-particle":"","parse-names":false,"suffix":""},{"dropping-particle":"","family":"Doskočil","given":"Jan","non-dropping-particle":"","parse-names":false,"suffix":""},{"dropping-particle":"","family":"Růžička","given":"Martin","non-dropping-particle":"","parse-names":false,"suffix":""},{"dropping-particle":"","family":"Henry","given":"Philp A.","non-dropping-particle":"","parse-names":false,"suffix":""},{"dropping-particle":"","family":"Sadowski","given":"Robert A.","non-dropping-particle":"","parse-names":false,"suffix":""},{"dropping-particle":"","family":"Zámostný","given":"Petr","non-dropping-particle":"","parse-names":false,"suffix":""}],"container-title":"Journal of Loss Prevention in the Process Industries","id":"ITEM-1","issue":"August 2021","issued":{"date-parts":[["2022","1"]]},"page":"104658","title":"Propylene column pressure relief valves chattering resulting in explosion and fire of the Steam Cracker unit","type":"article-journal","volume":"74"},"uris":["http://www.mendeley.com/documents/?uuid=3fa83edb-7cb9-4401-9c80-bda1c0297550"]}],"mendeley":{"formattedCitation":"(Herink et al., 2022)","plainTextFormattedCitation":"(Herink et al., 2022)","previouslyFormattedCitation":"(Herink et al. 2022)"},"properties":{"noteIndex":0},"schema":"https://github.com/citation-style-language/schema/raw/master/csl-citation.json"}</w:instrText>
      </w:r>
      <w:r w:rsidR="00F43192">
        <w:rPr>
          <w:lang w:val="en-GB"/>
        </w:rPr>
        <w:fldChar w:fldCharType="separate"/>
      </w:r>
      <w:r w:rsidR="00F97AF2" w:rsidRPr="00F97AF2">
        <w:rPr>
          <w:noProof/>
          <w:lang w:val="en-GB"/>
        </w:rPr>
        <w:t>(Herink et al., 2022)</w:t>
      </w:r>
      <w:r w:rsidR="00F43192">
        <w:rPr>
          <w:lang w:val="en-GB"/>
        </w:rPr>
        <w:fldChar w:fldCharType="end"/>
      </w:r>
      <w:r w:rsidR="00F43192">
        <w:rPr>
          <w:lang w:val="en-GB"/>
        </w:rPr>
        <w:t>.</w:t>
      </w:r>
    </w:p>
    <w:p w14:paraId="4DBC4EF7" w14:textId="7F11623E" w:rsidR="004E480B" w:rsidRDefault="00C24638" w:rsidP="00CB1162">
      <w:pPr>
        <w:pStyle w:val="CETBodytext"/>
        <w:rPr>
          <w:lang w:val="en-GB"/>
        </w:rPr>
      </w:pPr>
      <w:r>
        <w:rPr>
          <w:lang w:val="en-GB"/>
        </w:rPr>
        <w:t>Measurement results from the United States such as the ERPI dataset</w:t>
      </w:r>
      <w:r w:rsidR="003F6E91">
        <w:rPr>
          <w:lang w:val="en-GB"/>
        </w:rPr>
        <w:t xml:space="preserve"> focusing on steam safety valves in the nuclear industry </w:t>
      </w:r>
      <w:r w:rsidR="003F6E91">
        <w:rPr>
          <w:lang w:val="en-GB"/>
        </w:rPr>
        <w:fldChar w:fldCharType="begin" w:fldLock="1"/>
      </w:r>
      <w:r w:rsidR="00F97AF2">
        <w:rPr>
          <w:lang w:val="en-GB"/>
        </w:rPr>
        <w:instrText>ADDIN CSL_CITATION {"citationItems":[{"id":"ITEM-1","itemData":{"abstract":"Seventeen safety and relief valves representative of those utilized in or planned for use in participating domestic PWR's were tested under the full range of selected test conditions. This report contains a listing of the selected test valves and the corresponding ″as tested″ test matrices, valve performance data and principal observations for the tested safety and relief valves. The information contained in this report may be used by the participating utilities in developing their response to the above mentioned USNRC recommendations.","author":[{"dropping-particle":"","family":"EPRI Valve Test Program Staff","given":"","non-dropping-particle":"","parse-names":false,"suffix":""}],"container-title":"Electric Power Research Institute (Report) EPRI NP","id":"ITEM-1","issued":{"date-parts":[["1982"]]},"number-of-pages":"1-262","publisher-place":"Palo Alto CA","title":"Epri PWR Safety and Relief Valve Test Program: Safety and Relief Valve Test Report","type":"report"},"uris":["http://www.mendeley.com/documents/?uuid=938b2368-2e78-4bda-926e-bfdd20978d7b"]}],"mendeley":{"formattedCitation":"(EPRI Valve Test Program Staff, 1982)","plainTextFormattedCitation":"(EPRI Valve Test Program Staff, 1982)","previouslyFormattedCitation":"(EPRI Valve Test Program Staff 1982)"},"properties":{"noteIndex":0},"schema":"https://github.com/citation-style-language/schema/raw/master/csl-citation.json"}</w:instrText>
      </w:r>
      <w:r w:rsidR="003F6E91">
        <w:rPr>
          <w:lang w:val="en-GB"/>
        </w:rPr>
        <w:fldChar w:fldCharType="separate"/>
      </w:r>
      <w:r w:rsidR="00F97AF2" w:rsidRPr="00F97AF2">
        <w:rPr>
          <w:noProof/>
          <w:lang w:val="en-GB"/>
        </w:rPr>
        <w:t>(EPRI Valve Test Program Staff, 1982)</w:t>
      </w:r>
      <w:r w:rsidR="003F6E91">
        <w:rPr>
          <w:lang w:val="en-GB"/>
        </w:rPr>
        <w:fldChar w:fldCharType="end"/>
      </w:r>
      <w:r>
        <w:rPr>
          <w:lang w:val="en-GB"/>
        </w:rPr>
        <w:t xml:space="preserve"> </w:t>
      </w:r>
      <w:r w:rsidR="003F6E91">
        <w:rPr>
          <w:lang w:val="en-GB"/>
        </w:rPr>
        <w:t>or the newer ones conducted by</w:t>
      </w:r>
      <w:r w:rsidR="00F97AF2">
        <w:rPr>
          <w:lang w:val="en-GB"/>
        </w:rPr>
        <w:t xml:space="preserve"> </w:t>
      </w:r>
      <w:r w:rsidR="00F97AF2" w:rsidRPr="004D73B8">
        <w:rPr>
          <w:noProof/>
          <w:lang w:val="en-GB"/>
        </w:rPr>
        <w:t>Aldeeb, Darby and Arndt</w:t>
      </w:r>
      <w:r w:rsidR="003F6E91">
        <w:rPr>
          <w:lang w:val="en-GB"/>
        </w:rPr>
        <w:t xml:space="preserve"> </w:t>
      </w:r>
      <w:r w:rsidR="004D73B8">
        <w:rPr>
          <w:lang w:val="en-GB"/>
        </w:rPr>
        <w:fldChar w:fldCharType="begin" w:fldLock="1"/>
      </w:r>
      <w:r w:rsidR="00F97AF2">
        <w:rPr>
          <w:lang w:val="en-GB"/>
        </w:rPr>
        <w:instrText>ADDIN CSL_CITATION {"citationItems":[{"id":"ITEM-1","itemData":{"DOI":"10.1016/j.jlp.2014.06.002","ISSN":"09504230","abstract":"An experimental testing program designed to evaluate the opening stability characteristics of direct acting pressure relief valves (PRV) in gas/vapor service is described. Three different valve sizes from each of three different manufacturers were tested at two different set pressures to determine their opening characteristics (disk lift vs. time). The valves were tested with several different lengths of inlet piping as well as with and without discharge piping to determine the conditions under which unstable operation (chatter) would occur. Part I of this program described a mathematical model for predicting the dynamic response of PRV's, and the data described in this test program were used to evaluate the accuracy of the model, as described in Part III of this study to follow. © 2014 Elsevier Ltd.","author":[{"dropping-particle":"","family":"Aldeeb","given":"A.A.","non-dropping-particle":"","parse-names":false,"suffix":""},{"dropping-particle":"","family":"Darby","given":"Ron","non-dropping-particle":"","parse-names":false,"suffix":""},{"dropping-particle":"","family":"Arndt","given":"Scott","non-dropping-particle":"","parse-names":false,"suffix":""}],"container-title":"Journal of Loss Prevention in the Process Industries","id":"ITEM-1","issue":"1","issued":{"date-parts":[["2014","9"]]},"page":"127-132","publisher":"Elsevier Ltd","title":"The dynamic response of pressure relief valves in vapor or gas service. Part II: Experimental investigation","type":"article-journal","volume":"31"},"uris":["http://www.mendeley.com/documents/?uuid=1ef3e5f5-6c5f-400e-be8c-39861c163464"]}],"mendeley":{"formattedCitation":"(Aldeeb et al., 2014)","manualFormatting":"(2014)","plainTextFormattedCitation":"(Aldeeb et al., 2014)","previouslyFormattedCitation":"(Aldeeb, Darby, and Arndt 2014)"},"properties":{"noteIndex":0},"schema":"https://github.com/citation-style-language/schema/raw/master/csl-citation.json"}</w:instrText>
      </w:r>
      <w:r w:rsidR="004D73B8">
        <w:rPr>
          <w:lang w:val="en-GB"/>
        </w:rPr>
        <w:fldChar w:fldCharType="separate"/>
      </w:r>
      <w:r w:rsidR="00F97AF2">
        <w:rPr>
          <w:noProof/>
          <w:lang w:val="en-GB"/>
        </w:rPr>
        <w:t>(</w:t>
      </w:r>
      <w:r w:rsidR="004D73B8" w:rsidRPr="004D73B8">
        <w:rPr>
          <w:noProof/>
          <w:lang w:val="en-GB"/>
        </w:rPr>
        <w:t>2014)</w:t>
      </w:r>
      <w:r w:rsidR="004D73B8">
        <w:rPr>
          <w:lang w:val="en-GB"/>
        </w:rPr>
        <w:fldChar w:fldCharType="end"/>
      </w:r>
      <w:r w:rsidR="004D73B8">
        <w:rPr>
          <w:lang w:val="en-GB"/>
        </w:rPr>
        <w:t xml:space="preserve"> on valves </w:t>
      </w:r>
      <w:r w:rsidR="00E1593C">
        <w:rPr>
          <w:lang w:val="en-GB"/>
        </w:rPr>
        <w:t xml:space="preserve">in gas service </w:t>
      </w:r>
      <w:r w:rsidR="004D73B8">
        <w:rPr>
          <w:lang w:val="en-GB"/>
        </w:rPr>
        <w:t>showed that safety valves can chatter even in cases the safety valve is sized according to the current</w:t>
      </w:r>
      <w:r w:rsidR="00E1593C">
        <w:rPr>
          <w:lang w:val="en-GB"/>
        </w:rPr>
        <w:t xml:space="preserve"> regulatory</w:t>
      </w:r>
      <w:r w:rsidR="004D73B8">
        <w:rPr>
          <w:lang w:val="en-GB"/>
        </w:rPr>
        <w:t xml:space="preserve"> standards. As American safety valves are constructed differently to European</w:t>
      </w:r>
      <w:r w:rsidR="00B51C74">
        <w:rPr>
          <w:lang w:val="en-GB"/>
        </w:rPr>
        <w:t>s</w:t>
      </w:r>
      <w:r w:rsidR="004D73B8">
        <w:rPr>
          <w:lang w:val="en-GB"/>
        </w:rPr>
        <w:t xml:space="preserve">, the </w:t>
      </w:r>
      <w:r w:rsidR="00F43192">
        <w:rPr>
          <w:lang w:val="en-GB"/>
        </w:rPr>
        <w:t>Eurovalve project was</w:t>
      </w:r>
      <w:r w:rsidR="004D73B8">
        <w:rPr>
          <w:lang w:val="en-GB"/>
        </w:rPr>
        <w:t xml:space="preserve"> initiated</w:t>
      </w:r>
      <w:r w:rsidR="00F43192">
        <w:rPr>
          <w:lang w:val="en-GB"/>
        </w:rPr>
        <w:t xml:space="preserve"> to</w:t>
      </w:r>
      <w:r w:rsidR="004D73B8">
        <w:rPr>
          <w:lang w:val="en-GB"/>
        </w:rPr>
        <w:t xml:space="preserve"> </w:t>
      </w:r>
      <w:r w:rsidR="00F43192">
        <w:rPr>
          <w:lang w:val="en-GB"/>
        </w:rPr>
        <w:t xml:space="preserve">investigate </w:t>
      </w:r>
      <w:r w:rsidR="001C5FD9">
        <w:rPr>
          <w:lang w:val="en-GB"/>
        </w:rPr>
        <w:t xml:space="preserve">the phenomenon of </w:t>
      </w:r>
      <w:r w:rsidR="00167D74">
        <w:rPr>
          <w:lang w:val="en-GB"/>
        </w:rPr>
        <w:t>chatter and</w:t>
      </w:r>
      <w:r w:rsidR="001C5FD9">
        <w:rPr>
          <w:lang w:val="en-GB"/>
        </w:rPr>
        <w:t xml:space="preserve"> determine its effect on safety valves</w:t>
      </w:r>
      <w:r w:rsidR="00ED67B9">
        <w:rPr>
          <w:lang w:val="en-GB"/>
        </w:rPr>
        <w:t xml:space="preserve"> in gas service</w:t>
      </w:r>
      <w:r w:rsidR="001C5FD9">
        <w:rPr>
          <w:lang w:val="en-GB"/>
        </w:rPr>
        <w:t xml:space="preserve"> designed and sized </w:t>
      </w:r>
      <w:r w:rsidR="001C14D5">
        <w:rPr>
          <w:lang w:val="en-GB"/>
        </w:rPr>
        <w:t>in Europe</w:t>
      </w:r>
      <w:r w:rsidR="00167D74">
        <w:rPr>
          <w:lang w:val="en-GB"/>
        </w:rPr>
        <w:t xml:space="preserve">, and </w:t>
      </w:r>
      <w:r w:rsidR="001C14D5">
        <w:rPr>
          <w:lang w:val="en-GB"/>
        </w:rPr>
        <w:t>present solutions to increase the stability of existing</w:t>
      </w:r>
      <w:r w:rsidR="00E1593C">
        <w:rPr>
          <w:lang w:val="en-GB"/>
        </w:rPr>
        <w:t xml:space="preserve"> European</w:t>
      </w:r>
      <w:r w:rsidR="001C14D5">
        <w:rPr>
          <w:lang w:val="en-GB"/>
        </w:rPr>
        <w:t xml:space="preserve"> safety valves.</w:t>
      </w:r>
    </w:p>
    <w:p w14:paraId="58E0EDCB" w14:textId="41CE3162" w:rsidR="006A6702" w:rsidRDefault="006A6702" w:rsidP="006A6702">
      <w:pPr>
        <w:pStyle w:val="CETHeading1"/>
      </w:pPr>
      <w:r>
        <w:t>Safety valve stability</w:t>
      </w:r>
      <w:r w:rsidR="002318CB">
        <w:t xml:space="preserve"> modelling</w:t>
      </w:r>
    </w:p>
    <w:p w14:paraId="0082C7D6" w14:textId="667C0AC4" w:rsidR="002318CB" w:rsidRDefault="002318CB" w:rsidP="002318CB">
      <w:pPr>
        <w:pStyle w:val="CETBodytext"/>
        <w:rPr>
          <w:lang w:val="en-GB"/>
        </w:rPr>
      </w:pPr>
      <w:r>
        <w:rPr>
          <w:lang w:val="en-GB"/>
        </w:rPr>
        <w:t>The relevant ISO</w:t>
      </w:r>
      <w:r w:rsidR="006D335B">
        <w:rPr>
          <w:lang w:val="en-GB"/>
        </w:rPr>
        <w:t xml:space="preserve"> 4126-7</w:t>
      </w:r>
      <w:r w:rsidR="00E1593C">
        <w:rPr>
          <w:lang w:val="en-GB"/>
        </w:rPr>
        <w:t>:2007</w:t>
      </w:r>
      <w:r>
        <w:rPr>
          <w:lang w:val="en-GB"/>
        </w:rPr>
        <w:t xml:space="preserve"> </w:t>
      </w:r>
      <w:r w:rsidR="006D335B">
        <w:rPr>
          <w:lang w:val="en-GB"/>
        </w:rPr>
        <w:fldChar w:fldCharType="begin" w:fldLock="1"/>
      </w:r>
      <w:r w:rsidR="00F97AF2">
        <w:rPr>
          <w:lang w:val="en-GB"/>
        </w:rPr>
        <w:instrText>ADDIN CSL_CITATION {"citationItems":[{"id":"ITEM-1","itemData":{"author":[{"dropping-particle":"","family":"International Organization for Standardization","given":"","non-dropping-particle":"","parse-names":false,"suffix":""}],"id":"ITEM-1","issued":{"date-parts":[["2007"]]},"page":"37","title":"ISO 4126 Safety devices for protection against excessive pressure – Part 7: Common data","type":"article"},"uris":["http://www.mendeley.com/documents/?uuid=bbba65dd-5c16-4e63-9328-b5a7f6720878"]}],"mendeley":{"formattedCitation":"(International Organization for Standardization, 2007)","plainTextFormattedCitation":"(International Organization for Standardization, 2007)","previouslyFormattedCitation":"(International Organization for Standardization 2007)"},"properties":{"noteIndex":0},"schema":"https://github.com/citation-style-language/schema/raw/master/csl-citation.json"}</w:instrText>
      </w:r>
      <w:r w:rsidR="006D335B">
        <w:rPr>
          <w:lang w:val="en-GB"/>
        </w:rPr>
        <w:fldChar w:fldCharType="separate"/>
      </w:r>
      <w:r w:rsidR="00F97AF2" w:rsidRPr="00F97AF2">
        <w:rPr>
          <w:noProof/>
          <w:lang w:val="en-GB"/>
        </w:rPr>
        <w:t>(International Organization for Standardization, 2007)</w:t>
      </w:r>
      <w:r w:rsidR="006D335B">
        <w:rPr>
          <w:lang w:val="en-GB"/>
        </w:rPr>
        <w:fldChar w:fldCharType="end"/>
      </w:r>
      <w:r w:rsidR="006D335B">
        <w:rPr>
          <w:lang w:val="en-GB"/>
        </w:rPr>
        <w:t xml:space="preserve"> </w:t>
      </w:r>
      <w:r>
        <w:rPr>
          <w:lang w:val="en-GB"/>
        </w:rPr>
        <w:t>and API</w:t>
      </w:r>
      <w:r w:rsidR="006D335B">
        <w:rPr>
          <w:lang w:val="en-GB"/>
        </w:rPr>
        <w:t xml:space="preserve"> 520 </w:t>
      </w:r>
      <w:r w:rsidR="006D335B">
        <w:rPr>
          <w:lang w:val="en-GB"/>
        </w:rPr>
        <w:fldChar w:fldCharType="begin" w:fldLock="1"/>
      </w:r>
      <w:r w:rsidR="00F97AF2">
        <w:rPr>
          <w:lang w:val="en-GB"/>
        </w:rPr>
        <w:instrText>ADDIN CSL_CITATION {"citationItems":[{"id":"ITEM-1","itemData":{"author":[{"dropping-particle":"","family":"American Petroleum Institute","given":"","non-dropping-particle":"","parse-names":false,"suffix":""}],"edition":"6th","id":"ITEM-1","issued":{"date-parts":[["2015"]]},"title":"Sizing, Selection, and Installation of Pressure-relieving Devices; Part II—Installation","type":"book"},"uris":["http://www.mendeley.com/documents/?uuid=1d74f0df-c9bb-4c53-96db-62848620d987"]}],"mendeley":{"formattedCitation":"(American Petroleum Institute, 2015)","plainTextFormattedCitation":"(American Petroleum Institute, 2015)","previouslyFormattedCitation":"(American Petroleum Institute 2015)"},"properties":{"noteIndex":0},"schema":"https://github.com/citation-style-language/schema/raw/master/csl-citation.json"}</w:instrText>
      </w:r>
      <w:r w:rsidR="006D335B">
        <w:rPr>
          <w:lang w:val="en-GB"/>
        </w:rPr>
        <w:fldChar w:fldCharType="separate"/>
      </w:r>
      <w:r w:rsidR="00F97AF2" w:rsidRPr="00F97AF2">
        <w:rPr>
          <w:noProof/>
          <w:lang w:val="en-GB"/>
        </w:rPr>
        <w:t>(American Petroleum Institute, 2015)</w:t>
      </w:r>
      <w:r w:rsidR="006D335B">
        <w:rPr>
          <w:lang w:val="en-GB"/>
        </w:rPr>
        <w:fldChar w:fldCharType="end"/>
      </w:r>
      <w:r>
        <w:rPr>
          <w:lang w:val="en-GB"/>
        </w:rPr>
        <w:t xml:space="preserve"> standards </w:t>
      </w:r>
      <w:r w:rsidR="00E1593C">
        <w:rPr>
          <w:lang w:val="en-GB"/>
        </w:rPr>
        <w:t xml:space="preserve">proscribe </w:t>
      </w:r>
      <w:r>
        <w:rPr>
          <w:lang w:val="en-GB"/>
        </w:rPr>
        <w:t xml:space="preserve">the </w:t>
      </w:r>
      <w:r w:rsidR="00E1593C">
        <w:rPr>
          <w:lang w:val="en-GB"/>
        </w:rPr>
        <w:t xml:space="preserve">use of the </w:t>
      </w:r>
      <w:r>
        <w:rPr>
          <w:lang w:val="en-GB"/>
        </w:rPr>
        <w:t xml:space="preserve">so-called 3% rule to guarantee the </w:t>
      </w:r>
      <w:r w:rsidR="00180E91">
        <w:rPr>
          <w:lang w:val="en-GB"/>
        </w:rPr>
        <w:t>safe operation</w:t>
      </w:r>
      <w:r>
        <w:rPr>
          <w:lang w:val="en-GB"/>
        </w:rPr>
        <w:t xml:space="preserve"> of safety valves. </w:t>
      </w:r>
      <w:r w:rsidR="00ED67B9">
        <w:rPr>
          <w:lang w:val="en-GB"/>
        </w:rPr>
        <w:t xml:space="preserve">This model is based on limiting the stagnation pressure drop in the inlet line to a maximum </w:t>
      </w:r>
      <w:r w:rsidR="00180E91">
        <w:rPr>
          <w:lang w:val="en-GB"/>
        </w:rPr>
        <w:t xml:space="preserve">of </w:t>
      </w:r>
      <w:r w:rsidR="00ED67B9">
        <w:rPr>
          <w:lang w:val="en-GB"/>
        </w:rPr>
        <w:t>3% of the set pressure, and is based on the original research of</w:t>
      </w:r>
      <w:r w:rsidR="00E1593C">
        <w:rPr>
          <w:lang w:val="en-GB"/>
        </w:rPr>
        <w:t xml:space="preserve"> </w:t>
      </w:r>
      <w:r w:rsidR="00E1593C" w:rsidRPr="00F97AF2">
        <w:rPr>
          <w:noProof/>
          <w:lang w:val="en-GB"/>
        </w:rPr>
        <w:t>Sylvander and Katz</w:t>
      </w:r>
      <w:r w:rsidR="00ED67B9">
        <w:rPr>
          <w:lang w:val="en-GB"/>
        </w:rPr>
        <w:t xml:space="preserve"> </w:t>
      </w:r>
      <w:r w:rsidR="00CC2BA1">
        <w:rPr>
          <w:lang w:val="en-GB"/>
        </w:rPr>
        <w:fldChar w:fldCharType="begin" w:fldLock="1"/>
      </w:r>
      <w:r w:rsidR="00F97AF2">
        <w:rPr>
          <w:lang w:val="en-GB"/>
        </w:rPr>
        <w:instrText>ADDIN CSL_CITATION {"citationItems":[{"id":"ITEM-1","itemData":{"DOI":"10.1038/087240a0","ISSN":"0028-0836","author":[{"dropping-particle":"","family":"Sylvander","given":"Nels E.","non-dropping-particle":"","parse-names":false,"suffix":""},{"dropping-particle":"","family":"Katz","given":"Donald L.","non-dropping-particle":"","parse-names":false,"suffix":""}],"container-title":"Engineering research bulletin","id":"ITEM-1","issued":{"date-parts":[["1948"]]},"number-of-pages":"1-143","publisher-place":"Ann Arbor","title":"The Design and Construction of Pressure Relieving Systems","type":"report","volume":"31"},"uris":["http://www.mendeley.com/documents/?uuid=cdc1a343-2223-40a1-9912-19b91e499c9e"]}],"mendeley":{"formattedCitation":"(Sylvander and Katz, 1948)","plainTextFormattedCitation":"(Sylvander and Katz, 1948)","previouslyFormattedCitation":"(Sylvander and Katz 1948)"},"properties":{"noteIndex":0},"schema":"https://github.com/citation-style-language/schema/raw/master/csl-citation.json"}</w:instrText>
      </w:r>
      <w:r w:rsidR="00CC2BA1">
        <w:rPr>
          <w:lang w:val="en-GB"/>
        </w:rPr>
        <w:fldChar w:fldCharType="separate"/>
      </w:r>
      <w:r w:rsidR="00F97AF2" w:rsidRPr="00F97AF2">
        <w:rPr>
          <w:noProof/>
          <w:lang w:val="en-GB"/>
        </w:rPr>
        <w:t>(1948)</w:t>
      </w:r>
      <w:r w:rsidR="00CC2BA1">
        <w:rPr>
          <w:lang w:val="en-GB"/>
        </w:rPr>
        <w:fldChar w:fldCharType="end"/>
      </w:r>
      <w:r w:rsidR="00CC2BA1">
        <w:rPr>
          <w:lang w:val="en-GB"/>
        </w:rPr>
        <w:t>.</w:t>
      </w:r>
    </w:p>
    <w:p w14:paraId="535F6C5C" w14:textId="77777777" w:rsidR="00713B30" w:rsidRDefault="00CC2BA1" w:rsidP="002318CB">
      <w:pPr>
        <w:pStyle w:val="CETBodytext"/>
        <w:rPr>
          <w:lang w:val="en-GB"/>
        </w:rPr>
      </w:pPr>
      <w:r>
        <w:rPr>
          <w:lang w:val="en-GB"/>
        </w:rPr>
        <w:lastRenderedPageBreak/>
        <w:t xml:space="preserve">Since the publication of the </w:t>
      </w:r>
      <w:r w:rsidR="002318CB">
        <w:rPr>
          <w:lang w:val="en-GB"/>
        </w:rPr>
        <w:t xml:space="preserve">3% rule described, there </w:t>
      </w:r>
      <w:r>
        <w:rPr>
          <w:lang w:val="en-GB"/>
        </w:rPr>
        <w:t>have been multiple</w:t>
      </w:r>
      <w:r w:rsidR="002318CB">
        <w:rPr>
          <w:lang w:val="en-GB"/>
        </w:rPr>
        <w:t xml:space="preserve"> </w:t>
      </w:r>
      <w:r>
        <w:rPr>
          <w:lang w:val="en-GB"/>
        </w:rPr>
        <w:t xml:space="preserve">competing </w:t>
      </w:r>
      <w:r w:rsidR="002318CB">
        <w:rPr>
          <w:lang w:val="en-GB"/>
        </w:rPr>
        <w:t xml:space="preserve">methods </w:t>
      </w:r>
      <w:r>
        <w:rPr>
          <w:lang w:val="en-GB"/>
        </w:rPr>
        <w:t>proposed</w:t>
      </w:r>
      <w:r w:rsidR="002318CB">
        <w:rPr>
          <w:lang w:val="en-GB"/>
        </w:rPr>
        <w:t xml:space="preserve"> to predict the stability of the safety valve. Notable examples are</w:t>
      </w:r>
      <w:r w:rsidR="00713B30">
        <w:rPr>
          <w:lang w:val="en-GB"/>
        </w:rPr>
        <w:t>:</w:t>
      </w:r>
    </w:p>
    <w:p w14:paraId="3B91380F" w14:textId="78F242BA" w:rsidR="00713B30" w:rsidRDefault="002318CB" w:rsidP="00713B30">
      <w:pPr>
        <w:pStyle w:val="CETBodytext"/>
        <w:numPr>
          <w:ilvl w:val="0"/>
          <w:numId w:val="24"/>
        </w:numPr>
        <w:rPr>
          <w:lang w:val="en-GB"/>
        </w:rPr>
      </w:pPr>
      <w:r>
        <w:rPr>
          <w:lang w:val="en-GB"/>
        </w:rPr>
        <w:t>the simple force balance</w:t>
      </w:r>
      <w:r w:rsidR="00670A54">
        <w:rPr>
          <w:lang w:val="en-GB"/>
        </w:rPr>
        <w:t xml:space="preserve"> of Melhem</w:t>
      </w:r>
      <w:r>
        <w:rPr>
          <w:lang w:val="en-GB"/>
        </w:rPr>
        <w:t xml:space="preserve"> </w:t>
      </w:r>
      <w:r>
        <w:rPr>
          <w:lang w:val="en-GB"/>
        </w:rPr>
        <w:fldChar w:fldCharType="begin" w:fldLock="1"/>
      </w:r>
      <w:r w:rsidR="00F97AF2">
        <w:rPr>
          <w:lang w:val="en-GB"/>
        </w:rPr>
        <w:instrText>ADDIN CSL_CITATION {"citationItems":[{"id":"ITEM-1","itemData":{"URL":"https://iomosaic.com/docs/default-source/papers/analysis-of-prv-stability-in-relief-systems-part-i.pdf","abstract":"direction angle","accessed":{"date-parts":[["2022","11","10"]]},"author":[{"dropping-particle":"","family":"Melhem","given":"Georges A.","non-dropping-particle":"","parse-names":false,"suffix":""}],"container-title":"ioMosaic Corporation White Paper","id":"ITEM-1","issued":{"date-parts":[["2014"]]},"page":"40","publisher-place":"Salem","title":"Analysis of PRV Stability In Relief Systems Part I – Detailed Dynamics","type":"webpage"},"uris":["http://www.mendeley.com/documents/?uuid=909b414e-6e23-4641-9b67-0e94b9e9e3bc"]},{"id":"ITEM-2","itemData":{"URL":"https://iomosaic.com/docs/default-source/papers/analysis_of_prv_stability_in_relief_systems_partii.pdf","accessed":{"date-parts":[["2022","11","10"]]},"author":[{"dropping-particle":"","family":"Melhem","given":"Georges A.","non-dropping-particle":"","parse-names":false,"suffix":""}],"container-title":"ioMosaic Corporation White Paper","id":"ITEM-2","issued":{"date-parts":[["2014"]]},"note":"The paper concentrates on describing calculation methods fro the speed of sound and the opening time which are both important for thuis model, but often are left out from other models.\nThe description of the model is rather gnomic, as it is most likely better described in the API520 standard.","page":"40","publisher-place":"Salem","title":"Analysis of PRV Stability In Relief Systems Part II - Screening","type":"webpage"},"uris":["http://www.mendeley.com/documents/?uuid=cdffadfe-3f93-4e64-b59b-9d51226197f9"]}],"mendeley":{"formattedCitation":"(Melhem, 2014a, 2014b)","plainTextFormattedCitation":"(Melhem, 2014a, 2014b)","previouslyFormattedCitation":"(Melhem 2014a, 2014b)"},"properties":{"noteIndex":0},"schema":"https://github.com/citation-style-language/schema/raw/master/csl-citation.json"}</w:instrText>
      </w:r>
      <w:r>
        <w:rPr>
          <w:lang w:val="en-GB"/>
        </w:rPr>
        <w:fldChar w:fldCharType="separate"/>
      </w:r>
      <w:r w:rsidR="00F97AF2" w:rsidRPr="00F97AF2">
        <w:rPr>
          <w:noProof/>
          <w:lang w:val="en-GB"/>
        </w:rPr>
        <w:t>( 2014a, 2014b)</w:t>
      </w:r>
      <w:r>
        <w:rPr>
          <w:lang w:val="en-GB"/>
        </w:rPr>
        <w:fldChar w:fldCharType="end"/>
      </w:r>
      <w:r>
        <w:rPr>
          <w:lang w:val="en-GB"/>
        </w:rPr>
        <w:t xml:space="preserve"> based on the forces acting on the valve disk, including the initial Joukowsky wave; </w:t>
      </w:r>
    </w:p>
    <w:p w14:paraId="6DE3D55E" w14:textId="55B20612" w:rsidR="00713B30" w:rsidRDefault="002318CB" w:rsidP="00713B30">
      <w:pPr>
        <w:pStyle w:val="CETBodytext"/>
        <w:numPr>
          <w:ilvl w:val="0"/>
          <w:numId w:val="24"/>
        </w:numPr>
        <w:rPr>
          <w:lang w:val="en-GB"/>
        </w:rPr>
      </w:pPr>
      <w:r>
        <w:rPr>
          <w:lang w:val="en-GB"/>
        </w:rPr>
        <w:t xml:space="preserve">the Izuchi model </w:t>
      </w:r>
      <w:r>
        <w:rPr>
          <w:lang w:val="en-GB"/>
        </w:rPr>
        <w:fldChar w:fldCharType="begin" w:fldLock="1"/>
      </w:r>
      <w:r w:rsidR="00F97AF2">
        <w:rPr>
          <w:lang w:val="en-GB"/>
        </w:rPr>
        <w:instrText>ADDIN CSL_CITATION {"citationItems":[{"id":"ITEM-1","itemData":{"DOI":"10.1299/jsmedmc.2008._238-1_","ISSN":"2424-2993","abstract":"The stability for a safety valve was investigated by experiments and analysis. It was found that the dynamic instability was caused by the interaction effect between the pressure wave propagation through the inlet pipe and the valve disc motion. This dynamic instability is mitigated by the extension of the inlet pipe length because the oscillating motion of the valve disc is attenuated by the mechanical friction of the safety valve before the pressure wave generated by the safety valve opening returns back to the safety valve. This dynamic instability is completely different from the static stability caused by the pressure drop of the inlet piping system. The effect of the outlet area ratio to the orifice area for the safety valve was also investigated and the possibility of the instability tends to increase for the outlet area ratio lower than 6.0. Stability analysis based on the neutral stability searching method is effective to explain the instability for the system with relatively short pipe length of the safety valve inlet. Numerical simulation is useful to predict the stability for both of the effects of the inlet pipe length and the outlet area ratio of the safety valve.","author":[{"dropping-particle":"","family":"Izuchi","given":"Hisao","non-dropping-particle":"","parse-names":false,"suffix":""}],"container-title":"The Proceedings of the Dynamics &amp; Design Conference","id":"ITEM-1","issue":"0","issued":{"date-parts":[["2008"]]},"note":"Not only considers the stability of the system, but also investigates the small outlet area ratio to the orifice area of the safety valve.","page":"238-1-238-6","title":"Stability Analysis of Safety Valve","type":"article-journal","volume":"2008"},"uris":["http://www.mendeley.com/documents/?uuid=ce9ea732-7c5c-4f64-88da-6bdedbbc831e"]}],"mendeley":{"formattedCitation":"(Izuchi, 2008)","plainTextFormattedCitation":"(Izuchi, 2008)","previouslyFormattedCitation":"(Izuchi 2008)"},"properties":{"noteIndex":0},"schema":"https://github.com/citation-style-language/schema/raw/master/csl-citation.json"}</w:instrText>
      </w:r>
      <w:r>
        <w:rPr>
          <w:lang w:val="en-GB"/>
        </w:rPr>
        <w:fldChar w:fldCharType="separate"/>
      </w:r>
      <w:r w:rsidR="00F97AF2" w:rsidRPr="00F97AF2">
        <w:rPr>
          <w:noProof/>
          <w:lang w:val="en-GB"/>
        </w:rPr>
        <w:t>(Izuchi, 2008)</w:t>
      </w:r>
      <w:r>
        <w:rPr>
          <w:lang w:val="en-GB"/>
        </w:rPr>
        <w:fldChar w:fldCharType="end"/>
      </w:r>
      <w:r>
        <w:rPr>
          <w:lang w:val="en-GB"/>
        </w:rPr>
        <w:t xml:space="preserve">, based on a transfer function of the safety valve and its inlet line; </w:t>
      </w:r>
    </w:p>
    <w:p w14:paraId="024A65B0" w14:textId="1FA689F5" w:rsidR="002318CB" w:rsidRDefault="002318CB" w:rsidP="00713B30">
      <w:pPr>
        <w:pStyle w:val="CETBodytext"/>
        <w:numPr>
          <w:ilvl w:val="0"/>
          <w:numId w:val="24"/>
        </w:numPr>
        <w:rPr>
          <w:lang w:val="en-GB"/>
        </w:rPr>
      </w:pPr>
      <w:r>
        <w:rPr>
          <w:lang w:val="en-GB"/>
        </w:rPr>
        <w:t xml:space="preserve">and the quarter-wave model </w:t>
      </w:r>
      <w:r>
        <w:rPr>
          <w:lang w:val="en-GB"/>
        </w:rPr>
        <w:fldChar w:fldCharType="begin" w:fldLock="1"/>
      </w:r>
      <w:r w:rsidR="00F97AF2">
        <w:rPr>
          <w:lang w:val="en-GB"/>
        </w:rPr>
        <w:instrText>ADDIN CSL_CITATION {"citationItems":[{"id":"ITEM-1","itemData":{"DOI":"10.1016/j.jlp.2014.06.005","ISSN":"09504230","abstract":"A synthesis of previous literature is used to derive a model of an in-service direct-spring pressure relief valve. The model couples low-order rigid body mechanics for the valve to one-dimensional gas dynamics within the pipe. Detailed laboratory experiments are also presented for three different commercially available values, for varying mass flow rates and length of inlet pipe. In each case, violent oscillation is found to occur beyond a critical pipe length, which may be triggered either on valve opening or closing. The test results compare favorably to the simulations using the model. In particular, the model reveals that the mechanism of instability is a Hopf bifurcation (flutter instability) involving the fundamental, quarter-wave pipe mode. Furthermore, the concept of the effective area of the valve as a function of valve lift is shown to be useful in explaining sudden jumps observed in the test data. It is argued that these instabilities are not alleviated by the 3% inlet line loss criterion that has recently been proposed as an industry standard. © 2014 Elsevier Ltd.","author":[{"dropping-particle":"","family":"Hős","given":"Csaba J.","non-dropping-particle":"","parse-names":false,"suffix":""},{"dropping-particle":"","family":"Champneys","given":"Alan R.","non-dropping-particle":"","parse-names":false,"suffix":""},{"dropping-particle":"","family":"Paul","given":"Kenneth","non-dropping-particle":"","parse-names":false,"suffix":""},{"dropping-particle":"","family":"McNeely","given":"M.","non-dropping-particle":"","parse-names":false,"suffix":""}],"container-title":"Journal of Loss Prevention in the Process Industries","id":"ITEM-1","issue":"1","issued":{"date-parts":[["2014","9"]]},"page":"70-81","title":"Dynamic behavior of direct spring loaded pressure relief valves in gas service: Model development, measurements and instability mechanisms","type":"article-journal","volume":"31"},"uris":["http://www.mendeley.com/documents/?uuid=03f3381e-c96f-453c-b815-de3b2cd90706"]}],"mendeley":{"formattedCitation":"(Hős et al., 2014)","plainTextFormattedCitation":"(Hős et al., 2014)","previouslyFormattedCitation":"(Hős et al. 2014)"},"properties":{"noteIndex":0},"schema":"https://github.com/citation-style-language/schema/raw/master/csl-citation.json"}</w:instrText>
      </w:r>
      <w:r>
        <w:rPr>
          <w:lang w:val="en-GB"/>
        </w:rPr>
        <w:fldChar w:fldCharType="separate"/>
      </w:r>
      <w:r w:rsidR="00F97AF2" w:rsidRPr="00F97AF2">
        <w:rPr>
          <w:noProof/>
          <w:lang w:val="en-GB"/>
        </w:rPr>
        <w:t>(Hős et al., 2014)</w:t>
      </w:r>
      <w:r>
        <w:rPr>
          <w:lang w:val="en-GB"/>
        </w:rPr>
        <w:fldChar w:fldCharType="end"/>
      </w:r>
      <w:r>
        <w:rPr>
          <w:lang w:val="en-GB"/>
        </w:rPr>
        <w:t>, which assumes that the pressure and velocity distribution in the inlet line follows that of a quarter wave</w:t>
      </w:r>
      <w:r w:rsidR="00CC2BA1">
        <w:rPr>
          <w:lang w:val="en-GB"/>
        </w:rPr>
        <w:t>.</w:t>
      </w:r>
    </w:p>
    <w:p w14:paraId="6B64110F" w14:textId="3EFD0288" w:rsidR="00D42C65" w:rsidRDefault="00CC2BA1" w:rsidP="00A0440F">
      <w:pPr>
        <w:pStyle w:val="CETBodytext"/>
        <w:rPr>
          <w:lang w:val="en-GB"/>
        </w:rPr>
      </w:pPr>
      <w:r>
        <w:rPr>
          <w:lang w:val="en-GB"/>
        </w:rPr>
        <w:t xml:space="preserve">Another option is the numerical modelling of the safety valve and the inlet line, which has been used by </w:t>
      </w:r>
      <w:r w:rsidR="009E4D6A">
        <w:rPr>
          <w:lang w:val="en-GB"/>
        </w:rPr>
        <w:t xml:space="preserve">the </w:t>
      </w:r>
      <w:r w:rsidR="00180E91">
        <w:rPr>
          <w:lang w:val="en-GB"/>
        </w:rPr>
        <w:t>authors</w:t>
      </w:r>
      <w:r w:rsidR="00713B30">
        <w:rPr>
          <w:lang w:val="en-GB"/>
        </w:rPr>
        <w:t xml:space="preserve"> to</w:t>
      </w:r>
      <w:r>
        <w:rPr>
          <w:lang w:val="en-GB"/>
        </w:rPr>
        <w:t xml:space="preserve"> validate their stability models. In these cases, the safety valve is described as a spring-mass-damper </w:t>
      </w:r>
      <w:r w:rsidR="00713B30">
        <w:rPr>
          <w:lang w:val="en-GB"/>
        </w:rPr>
        <w:t>system</w:t>
      </w:r>
      <w:r w:rsidR="009E4D6A">
        <w:rPr>
          <w:lang w:val="en-GB"/>
        </w:rPr>
        <w:t>:</w:t>
      </w:r>
    </w:p>
    <w:tbl>
      <w:tblPr>
        <w:tblW w:w="5000" w:type="pct"/>
        <w:tblLook w:val="04A0" w:firstRow="1" w:lastRow="0" w:firstColumn="1" w:lastColumn="0" w:noHBand="0" w:noVBand="1"/>
      </w:tblPr>
      <w:tblGrid>
        <w:gridCol w:w="7982"/>
        <w:gridCol w:w="805"/>
      </w:tblGrid>
      <w:tr w:rsidR="00D42C65" w:rsidRPr="00B57B36" w14:paraId="138B42F3" w14:textId="77777777" w:rsidTr="004709D3">
        <w:tc>
          <w:tcPr>
            <w:tcW w:w="8188" w:type="dxa"/>
            <w:shd w:val="clear" w:color="auto" w:fill="auto"/>
            <w:vAlign w:val="center"/>
          </w:tcPr>
          <w:p w14:paraId="03094AC0" w14:textId="4207F189" w:rsidR="00D42C65" w:rsidRPr="00B57B36" w:rsidRDefault="00000000" w:rsidP="004709D3">
            <w:pPr>
              <w:pStyle w:val="CETEquation"/>
            </w:pPr>
            <m:oMathPara>
              <m:oMath>
                <m:sSub>
                  <m:sSubPr>
                    <m:ctrlPr>
                      <w:rPr>
                        <w:rFonts w:ascii="Cambria Math" w:hAnsi="Cambria Math"/>
                        <w:i/>
                      </w:rPr>
                    </m:ctrlPr>
                  </m:sSubPr>
                  <m:e>
                    <m:r>
                      <w:rPr>
                        <w:rFonts w:ascii="Cambria Math" w:hAnsi="Cambria Math"/>
                      </w:rPr>
                      <m:t>F</m:t>
                    </m:r>
                  </m:e>
                  <m:sub>
                    <m:r>
                      <w:rPr>
                        <w:rFonts w:ascii="Cambria Math" w:hAnsi="Cambria Math"/>
                      </w:rPr>
                      <m:t>f</m:t>
                    </m:r>
                  </m:sub>
                </m:sSub>
                <m:r>
                  <w:rPr>
                    <w:rFonts w:ascii="Cambria Math" w:hAnsi="Cambria Math"/>
                  </w:rPr>
                  <m:t>=m</m:t>
                </m:r>
                <m:acc>
                  <m:accPr>
                    <m:chr m:val="̈"/>
                    <m:ctrlPr>
                      <w:rPr>
                        <w:rFonts w:ascii="Cambria Math" w:hAnsi="Cambria Math"/>
                        <w:i/>
                      </w:rPr>
                    </m:ctrlPr>
                  </m:accPr>
                  <m:e>
                    <m:r>
                      <w:rPr>
                        <w:rFonts w:ascii="Cambria Math" w:hAnsi="Cambria Math"/>
                      </w:rPr>
                      <m:t>x</m:t>
                    </m:r>
                  </m:e>
                </m:acc>
                <m:r>
                  <w:rPr>
                    <w:rFonts w:ascii="Cambria Math" w:hAnsi="Cambria Math"/>
                  </w:rPr>
                  <m:t>+c</m:t>
                </m:r>
                <m:acc>
                  <m:accPr>
                    <m:chr m:val="̇"/>
                    <m:ctrlPr>
                      <w:rPr>
                        <w:rFonts w:ascii="Cambria Math" w:hAnsi="Cambria Math"/>
                        <w:i/>
                      </w:rPr>
                    </m:ctrlPr>
                  </m:accPr>
                  <m:e>
                    <m:r>
                      <w:rPr>
                        <w:rFonts w:ascii="Cambria Math" w:hAnsi="Cambria Math"/>
                      </w:rPr>
                      <m:t>x</m:t>
                    </m:r>
                  </m:e>
                </m:acc>
                <m:r>
                  <w:rPr>
                    <w:rFonts w:ascii="Cambria Math" w:hAnsi="Cambria Math"/>
                  </w:rPr>
                  <m:t>+k</m:t>
                </m:r>
                <m:d>
                  <m:dPr>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e>
                </m:d>
              </m:oMath>
            </m:oMathPara>
          </w:p>
        </w:tc>
        <w:tc>
          <w:tcPr>
            <w:tcW w:w="815" w:type="dxa"/>
            <w:shd w:val="clear" w:color="auto" w:fill="auto"/>
            <w:vAlign w:val="center"/>
          </w:tcPr>
          <w:p w14:paraId="16855143" w14:textId="77777777" w:rsidR="00D42C65" w:rsidRPr="00B57B36" w:rsidRDefault="00D42C65" w:rsidP="004709D3">
            <w:pPr>
              <w:pStyle w:val="CETEquation"/>
              <w:jc w:val="right"/>
            </w:pPr>
            <w:r w:rsidRPr="00B57B36">
              <w:t>(1)</w:t>
            </w:r>
          </w:p>
        </w:tc>
      </w:tr>
    </w:tbl>
    <w:p w14:paraId="2E7CF628" w14:textId="25B2D18A" w:rsidR="008C074B" w:rsidRDefault="008C074B" w:rsidP="00A0440F">
      <w:pPr>
        <w:pStyle w:val="CETBodytext"/>
        <w:rPr>
          <w:lang w:val="en-GB"/>
        </w:rPr>
      </w:pPr>
      <w:r>
        <w:rPr>
          <w:lang w:val="en-GB"/>
        </w:rPr>
        <w:t>with</w:t>
      </w:r>
      <w:r w:rsidR="006974BD">
        <w:rPr>
          <w:lang w:val="en-GB"/>
        </w:rPr>
        <w:t xml:space="preserve"> the dot denoting the derivation according to time. </w:t>
      </w:r>
      <w:r w:rsidR="00ED2235">
        <w:rPr>
          <w:lang w:val="en-GB"/>
        </w:rPr>
        <w:t xml:space="preserve">The force acting on the valve disk is dependent on multiple factors but is </w:t>
      </w:r>
      <w:r w:rsidR="008644C9">
        <w:rPr>
          <w:lang w:val="en-GB"/>
        </w:rPr>
        <w:t>modeled</w:t>
      </w:r>
      <w:r w:rsidR="00ED2235">
        <w:rPr>
          <w:lang w:val="en-GB"/>
        </w:rPr>
        <w:t xml:space="preserve"> as being </w:t>
      </w:r>
      <w:r w:rsidR="00180E91">
        <w:rPr>
          <w:lang w:val="en-GB"/>
        </w:rPr>
        <w:t xml:space="preserve">only </w:t>
      </w:r>
      <w:r w:rsidR="00ED2235">
        <w:rPr>
          <w:lang w:val="en-GB"/>
        </w:rPr>
        <w:t>dependent on the valve lift and the pressure in front of the valve.</w:t>
      </w:r>
    </w:p>
    <w:p w14:paraId="130C490D" w14:textId="33CF0C87" w:rsidR="008C074B" w:rsidRDefault="00663DC6" w:rsidP="00A0440F">
      <w:pPr>
        <w:pStyle w:val="CETBodytext"/>
        <w:rPr>
          <w:lang w:val="en-GB"/>
        </w:rPr>
      </w:pPr>
      <w:r w:rsidRPr="00663DC6">
        <w:rPr>
          <w:lang w:val="en-GB"/>
        </w:rPr>
        <w:t>One empirical method used to include the lacking factors is the effective area model. Using this model the force acting on the safety valve disk is calculated by multiplying the pressure difference between the inlet and outlet of the safety valve with the effective area.</w:t>
      </w:r>
    </w:p>
    <w:tbl>
      <w:tblPr>
        <w:tblW w:w="5000" w:type="pct"/>
        <w:tblLook w:val="04A0" w:firstRow="1" w:lastRow="0" w:firstColumn="1" w:lastColumn="0" w:noHBand="0" w:noVBand="1"/>
      </w:tblPr>
      <w:tblGrid>
        <w:gridCol w:w="7983"/>
        <w:gridCol w:w="804"/>
      </w:tblGrid>
      <w:tr w:rsidR="006A2F65" w:rsidRPr="00B57B36" w14:paraId="223148F1" w14:textId="77777777" w:rsidTr="004709D3">
        <w:tc>
          <w:tcPr>
            <w:tcW w:w="8188" w:type="dxa"/>
            <w:shd w:val="clear" w:color="auto" w:fill="auto"/>
            <w:vAlign w:val="center"/>
          </w:tcPr>
          <w:p w14:paraId="1DC387D8" w14:textId="550E9D68" w:rsidR="006A2F65" w:rsidRPr="00B57B36" w:rsidRDefault="00000000" w:rsidP="004709D3">
            <w:pPr>
              <w:pStyle w:val="CETEquation"/>
            </w:pPr>
            <m:oMathPara>
              <m:oMath>
                <m:sSub>
                  <m:sSubPr>
                    <m:ctrlPr>
                      <w:rPr>
                        <w:rFonts w:ascii="Cambria Math" w:hAnsi="Cambria Math"/>
                        <w:i/>
                      </w:rPr>
                    </m:ctrlPr>
                  </m:sSubPr>
                  <m:e>
                    <m:r>
                      <w:rPr>
                        <w:rFonts w:ascii="Cambria Math" w:hAnsi="Cambria Math"/>
                      </w:rPr>
                      <m:t>F</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eff</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in</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m:t>
                </m:r>
              </m:oMath>
            </m:oMathPara>
          </w:p>
        </w:tc>
        <w:tc>
          <w:tcPr>
            <w:tcW w:w="815" w:type="dxa"/>
            <w:shd w:val="clear" w:color="auto" w:fill="auto"/>
            <w:vAlign w:val="center"/>
          </w:tcPr>
          <w:p w14:paraId="713F3DC3" w14:textId="6D4A9EBE" w:rsidR="006A2F65" w:rsidRPr="00B57B36" w:rsidRDefault="006A2F65" w:rsidP="004709D3">
            <w:pPr>
              <w:pStyle w:val="CETEquation"/>
              <w:jc w:val="right"/>
            </w:pPr>
            <w:r w:rsidRPr="00B57B36">
              <w:t>(</w:t>
            </w:r>
            <w:r w:rsidR="004946BC">
              <w:t>2</w:t>
            </w:r>
            <w:r w:rsidRPr="00B57B36">
              <w:t>)</w:t>
            </w:r>
          </w:p>
        </w:tc>
      </w:tr>
    </w:tbl>
    <w:p w14:paraId="52F9022A" w14:textId="21A01882" w:rsidR="0039290D" w:rsidRDefault="002B6583" w:rsidP="00167D74">
      <w:pPr>
        <w:pStyle w:val="CETBodytext"/>
        <w:rPr>
          <w:lang w:val="en-GB"/>
        </w:rPr>
      </w:pPr>
      <w:r>
        <w:rPr>
          <w:lang w:val="en-GB"/>
        </w:rPr>
        <w:t>To properly simulate the safety valve in its closed status, the effective area is equal to the area of the nozzle</w:t>
      </w:r>
      <w:r w:rsidR="009552CC">
        <w:rPr>
          <w:lang w:val="en-GB"/>
        </w:rPr>
        <w:t xml:space="preserve"> when the safety valve is closed (i.e. </w:t>
      </w:r>
      <m:oMath>
        <m:r>
          <w:rPr>
            <w:rFonts w:ascii="Cambria Math" w:hAnsi="Cambria Math"/>
            <w:lang w:val="en-GB"/>
          </w:rPr>
          <m:t>x=0</m:t>
        </m:r>
      </m:oMath>
      <w:r w:rsidR="009552CC">
        <w:rPr>
          <w:lang w:val="en-GB"/>
        </w:rPr>
        <w:t>).</w:t>
      </w:r>
    </w:p>
    <w:p w14:paraId="75AD9A71" w14:textId="177A2540" w:rsidR="00C20BE3" w:rsidRDefault="009E4D6A" w:rsidP="00167D74">
      <w:pPr>
        <w:pStyle w:val="CETBodytext"/>
        <w:rPr>
          <w:lang w:val="en-GB"/>
        </w:rPr>
      </w:pPr>
      <w:r>
        <w:rPr>
          <w:lang w:val="en-GB"/>
        </w:rPr>
        <w:t>The inlet pipe is treated as one-dimensional, and the mass, momentum and energy equations are solved on an ideal fluid:</w:t>
      </w:r>
    </w:p>
    <w:tbl>
      <w:tblPr>
        <w:tblW w:w="5000" w:type="pct"/>
        <w:tblLook w:val="04A0" w:firstRow="1" w:lastRow="0" w:firstColumn="1" w:lastColumn="0" w:noHBand="0" w:noVBand="1"/>
      </w:tblPr>
      <w:tblGrid>
        <w:gridCol w:w="7983"/>
        <w:gridCol w:w="804"/>
      </w:tblGrid>
      <w:tr w:rsidR="00A72AEB" w:rsidRPr="00B57B36" w14:paraId="2A7A9BEF" w14:textId="77777777" w:rsidTr="00A72AEB">
        <w:tc>
          <w:tcPr>
            <w:tcW w:w="7983" w:type="dxa"/>
            <w:shd w:val="clear" w:color="auto" w:fill="auto"/>
            <w:vAlign w:val="center"/>
          </w:tcPr>
          <w:p w14:paraId="4A39C7AE" w14:textId="32A47CFE" w:rsidR="00A72AEB" w:rsidRPr="00B57B36" w:rsidRDefault="00000000" w:rsidP="00EE0FDA">
            <w:pPr>
              <w:pStyle w:val="CETEquation"/>
            </w:pPr>
            <m:oMathPara>
              <m:oMath>
                <m:f>
                  <m:fPr>
                    <m:ctrlPr>
                      <w:rPr>
                        <w:rFonts w:ascii="Cambria Math" w:eastAsiaTheme="minorEastAsia" w:hAnsi="Cambria Math"/>
                        <w:i/>
                      </w:rPr>
                    </m:ctrlPr>
                  </m:fPr>
                  <m:num>
                    <m:r>
                      <w:rPr>
                        <w:rFonts w:ascii="Cambria Math" w:eastAsiaTheme="minorEastAsia" w:hAnsi="Cambria Math"/>
                      </w:rPr>
                      <m:t>∂ρ</m:t>
                    </m:r>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ctrlPr>
                      <w:rPr>
                        <w:rFonts w:ascii="Cambria Math" w:hAnsi="Cambria Math"/>
                        <w:i/>
                      </w:rPr>
                    </m:ctrlPr>
                  </m:num>
                  <m:den>
                    <m:r>
                      <w:rPr>
                        <w:rFonts w:ascii="Cambria Math" w:hAnsi="Cambria Math"/>
                      </w:rPr>
                      <m:t>∂l</m:t>
                    </m:r>
                  </m:den>
                </m:f>
                <m:d>
                  <m:dPr>
                    <m:ctrlPr>
                      <w:rPr>
                        <w:rFonts w:ascii="Cambria Math" w:eastAsiaTheme="minorEastAsia" w:hAnsi="Cambria Math"/>
                        <w:i/>
                      </w:rPr>
                    </m:ctrlPr>
                  </m:dPr>
                  <m:e>
                    <m:r>
                      <w:rPr>
                        <w:rFonts w:ascii="Cambria Math" w:eastAsiaTheme="minorEastAsia" w:hAnsi="Cambria Math"/>
                      </w:rPr>
                      <m:t>ρw</m:t>
                    </m:r>
                  </m:e>
                </m:d>
                <m:r>
                  <w:rPr>
                    <w:rFonts w:ascii="Cambria Math" w:eastAsiaTheme="minorEastAsia" w:hAnsi="Cambria Math"/>
                  </w:rPr>
                  <m:t>=0</m:t>
                </m:r>
              </m:oMath>
            </m:oMathPara>
          </w:p>
        </w:tc>
        <w:tc>
          <w:tcPr>
            <w:tcW w:w="804" w:type="dxa"/>
            <w:shd w:val="clear" w:color="auto" w:fill="auto"/>
            <w:vAlign w:val="center"/>
          </w:tcPr>
          <w:p w14:paraId="25AE4ADC" w14:textId="7475F5DF" w:rsidR="00A72AEB" w:rsidRPr="00B57B36" w:rsidRDefault="00A72AEB" w:rsidP="00EE0FDA">
            <w:pPr>
              <w:pStyle w:val="CETEquation"/>
              <w:jc w:val="right"/>
            </w:pPr>
            <w:r w:rsidRPr="00B57B36">
              <w:t>(</w:t>
            </w:r>
            <w:r w:rsidR="0039290D">
              <w:t>3</w:t>
            </w:r>
            <w:r w:rsidRPr="00B57B36">
              <w:t>)</w:t>
            </w:r>
          </w:p>
        </w:tc>
      </w:tr>
      <w:tr w:rsidR="00A72AEB" w:rsidRPr="00B57B36" w14:paraId="3BF075EE" w14:textId="77777777" w:rsidTr="00A72AEB">
        <w:tc>
          <w:tcPr>
            <w:tcW w:w="7983" w:type="dxa"/>
            <w:shd w:val="clear" w:color="auto" w:fill="auto"/>
            <w:vAlign w:val="center"/>
          </w:tcPr>
          <w:p w14:paraId="3CBCFAA3" w14:textId="10CF2ED8" w:rsidR="00A72AEB" w:rsidRPr="00A72AEB" w:rsidRDefault="00000000" w:rsidP="00EE0FDA">
            <w:pPr>
              <w:pStyle w:val="CETEquation"/>
              <w:rPr>
                <w:rFonts w:ascii="Cambria Math" w:hAnsi="Cambria Math"/>
                <w:oMath/>
              </w:rPr>
            </w:pPr>
            <m:oMathPara>
              <m:oMath>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∂t</m:t>
                    </m:r>
                  </m:den>
                </m:f>
                <m:d>
                  <m:dPr>
                    <m:ctrlPr>
                      <w:rPr>
                        <w:rFonts w:ascii="Cambria Math" w:eastAsiaTheme="minorEastAsia" w:hAnsi="Cambria Math"/>
                        <w:i/>
                      </w:rPr>
                    </m:ctrlPr>
                  </m:dPr>
                  <m:e>
                    <m:r>
                      <w:rPr>
                        <w:rFonts w:ascii="Cambria Math" w:eastAsiaTheme="minorEastAsia" w:hAnsi="Cambria Math"/>
                      </w:rPr>
                      <m:t>ρw</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ctrlPr>
                      <w:rPr>
                        <w:rFonts w:ascii="Cambria Math" w:hAnsi="Cambria Math"/>
                        <w:i/>
                      </w:rPr>
                    </m:ctrlPr>
                  </m:num>
                  <m:den>
                    <m:r>
                      <w:rPr>
                        <w:rFonts w:ascii="Cambria Math" w:hAnsi="Cambria Math"/>
                      </w:rPr>
                      <m:t>∂l</m:t>
                    </m:r>
                  </m:den>
                </m:f>
                <m:d>
                  <m:dPr>
                    <m:ctrlPr>
                      <w:rPr>
                        <w:rFonts w:ascii="Cambria Math" w:eastAsiaTheme="minorEastAsia" w:hAnsi="Cambria Math"/>
                        <w:i/>
                      </w:rPr>
                    </m:ctrlPr>
                  </m:dPr>
                  <m:e>
                    <m:r>
                      <w:rPr>
                        <w:rFonts w:ascii="Cambria Math" w:eastAsiaTheme="minorEastAsia" w:hAnsi="Cambria Math"/>
                      </w:rPr>
                      <m:t>ρ</m:t>
                    </m:r>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rPr>
                          <m:t>2</m:t>
                        </m:r>
                      </m:sup>
                    </m:sSup>
                  </m:e>
                </m:d>
                <m:r>
                  <w:rPr>
                    <w:rFonts w:ascii="Cambria Math" w:eastAsiaTheme="minorEastAsia" w:hAnsi="Cambria Math"/>
                  </w:rPr>
                  <m:t>=-pλ</m:t>
                </m:r>
                <m:f>
                  <m:fPr>
                    <m:ctrlPr>
                      <w:rPr>
                        <w:rFonts w:ascii="Cambria Math" w:eastAsiaTheme="minorEastAsia" w:hAnsi="Cambria Math"/>
                        <w:i/>
                      </w:rPr>
                    </m:ctrlPr>
                  </m:fPr>
                  <m:num>
                    <m:r>
                      <w:rPr>
                        <w:rFonts w:ascii="Cambria Math" w:eastAsiaTheme="minorEastAsia" w:hAnsi="Cambria Math"/>
                      </w:rPr>
                      <m:t>w|w|</m:t>
                    </m:r>
                  </m:num>
                  <m:den>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p</m:t>
                        </m:r>
                      </m:sub>
                    </m:sSub>
                  </m:den>
                </m:f>
              </m:oMath>
            </m:oMathPara>
          </w:p>
        </w:tc>
        <w:tc>
          <w:tcPr>
            <w:tcW w:w="804" w:type="dxa"/>
            <w:shd w:val="clear" w:color="auto" w:fill="auto"/>
            <w:vAlign w:val="center"/>
          </w:tcPr>
          <w:p w14:paraId="38E81EC0" w14:textId="2C757838" w:rsidR="00A72AEB" w:rsidRPr="00B57B36" w:rsidRDefault="00A72AEB" w:rsidP="00EE0FDA">
            <w:pPr>
              <w:pStyle w:val="CETEquation"/>
              <w:jc w:val="right"/>
            </w:pPr>
            <w:r w:rsidRPr="00B57B36">
              <w:t>(</w:t>
            </w:r>
            <w:r w:rsidR="0039290D">
              <w:t>4</w:t>
            </w:r>
            <w:r w:rsidRPr="00B57B36">
              <w:t>)</w:t>
            </w:r>
          </w:p>
        </w:tc>
      </w:tr>
      <w:tr w:rsidR="00A72AEB" w:rsidRPr="00B57B36" w14:paraId="6865552B" w14:textId="77777777" w:rsidTr="00A72AEB">
        <w:tc>
          <w:tcPr>
            <w:tcW w:w="7983" w:type="dxa"/>
            <w:shd w:val="clear" w:color="auto" w:fill="auto"/>
            <w:vAlign w:val="center"/>
          </w:tcPr>
          <w:p w14:paraId="12E8FE8F" w14:textId="29A9CDF3" w:rsidR="00A72AEB" w:rsidRPr="00A72AEB" w:rsidRDefault="00000000" w:rsidP="00EE0FDA">
            <w:pPr>
              <w:pStyle w:val="CETEquation"/>
              <w:rPr>
                <w:rFonts w:ascii="Cambria Math" w:hAnsi="Cambria Math"/>
                <w:oMath/>
              </w:rPr>
            </w:pPr>
            <m:oMathPara>
              <m:oMath>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∂t</m:t>
                    </m:r>
                  </m:den>
                </m:f>
                <m:d>
                  <m:dPr>
                    <m:ctrlPr>
                      <w:rPr>
                        <w:rFonts w:ascii="Cambria Math" w:eastAsiaTheme="minorEastAsia" w:hAnsi="Cambria Math"/>
                        <w:i/>
                      </w:rPr>
                    </m:ctrlPr>
                  </m:dPr>
                  <m:e>
                    <m:r>
                      <w:rPr>
                        <w:rFonts w:ascii="Cambria Math" w:eastAsiaTheme="minorEastAsia" w:hAnsi="Cambria Math"/>
                      </w:rPr>
                      <m:t>ρe</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ctrlPr>
                      <w:rPr>
                        <w:rFonts w:ascii="Cambria Math" w:hAnsi="Cambria Math"/>
                        <w:i/>
                      </w:rPr>
                    </m:ctrlPr>
                  </m:num>
                  <m:den>
                    <m:r>
                      <w:rPr>
                        <w:rFonts w:ascii="Cambria Math" w:hAnsi="Cambria Math"/>
                      </w:rPr>
                      <m:t>∂l</m:t>
                    </m:r>
                  </m:den>
                </m:f>
                <m:d>
                  <m:dPr>
                    <m:ctrlPr>
                      <w:rPr>
                        <w:rFonts w:ascii="Cambria Math" w:eastAsiaTheme="minorEastAsia" w:hAnsi="Cambria Math"/>
                        <w:i/>
                      </w:rPr>
                    </m:ctrlPr>
                  </m:dPr>
                  <m:e>
                    <m:r>
                      <w:rPr>
                        <w:rFonts w:ascii="Cambria Math" w:eastAsiaTheme="minorEastAsia" w:hAnsi="Cambria Math"/>
                      </w:rPr>
                      <m:t>ρew+pw</m:t>
                    </m:r>
                  </m:e>
                </m:d>
                <m:r>
                  <w:rPr>
                    <w:rFonts w:ascii="Cambria Math" w:eastAsiaTheme="minorEastAsia" w:hAnsi="Cambria Math"/>
                  </w:rPr>
                  <m:t>=0</m:t>
                </m:r>
              </m:oMath>
            </m:oMathPara>
          </w:p>
        </w:tc>
        <w:tc>
          <w:tcPr>
            <w:tcW w:w="804" w:type="dxa"/>
            <w:shd w:val="clear" w:color="auto" w:fill="auto"/>
            <w:vAlign w:val="center"/>
          </w:tcPr>
          <w:p w14:paraId="0F7A784A" w14:textId="3DCAD4AF" w:rsidR="00A72AEB" w:rsidRPr="00B57B36" w:rsidRDefault="00A72AEB" w:rsidP="00EE0FDA">
            <w:pPr>
              <w:pStyle w:val="CETEquation"/>
              <w:jc w:val="right"/>
            </w:pPr>
            <w:r w:rsidRPr="00B57B36">
              <w:t>(</w:t>
            </w:r>
            <w:r w:rsidR="0039290D">
              <w:t>5</w:t>
            </w:r>
            <w:r w:rsidRPr="00B57B36">
              <w:t>)</w:t>
            </w:r>
          </w:p>
        </w:tc>
      </w:tr>
    </w:tbl>
    <w:p w14:paraId="73D5A7FD" w14:textId="66B1E3A5" w:rsidR="00A72AEB" w:rsidRDefault="00EE22F0" w:rsidP="00167D74">
      <w:pPr>
        <w:pStyle w:val="CETBodytext"/>
      </w:pPr>
      <w:r>
        <w:rPr>
          <w:lang w:val="en-GB"/>
        </w:rPr>
        <w:t>assuming</w:t>
      </w:r>
      <w:r w:rsidR="004946BC">
        <w:rPr>
          <w:lang w:val="en-GB"/>
        </w:rPr>
        <w:t xml:space="preserve"> a constant pipe diameter and </w:t>
      </w:r>
      <w:r w:rsidR="009E4D6A">
        <w:rPr>
          <w:lang w:val="en-GB"/>
        </w:rPr>
        <w:t>constant friction factor</w:t>
      </w:r>
      <w:r w:rsidR="004946BC">
        <w:rPr>
          <w:lang w:val="en-GB"/>
        </w:rPr>
        <w:t xml:space="preserve">. The parameters are always meant as cross sectional averaged, with </w:t>
      </w:r>
      <m:oMath>
        <m:f>
          <m:fPr>
            <m:ctrlPr>
              <w:rPr>
                <w:rFonts w:ascii="Cambria Math" w:eastAsiaTheme="minorEastAsia" w:hAnsi="Cambria Math"/>
                <w:i/>
              </w:rPr>
            </m:ctrlPr>
          </m:fPr>
          <m:num>
            <m:r>
              <w:rPr>
                <w:rFonts w:ascii="Cambria Math" w:eastAsiaTheme="minorEastAsia" w:hAnsi="Cambria Math"/>
              </w:rPr>
              <m:t>∂</m:t>
            </m:r>
            <m:ctrlPr>
              <w:rPr>
                <w:rFonts w:ascii="Cambria Math" w:hAnsi="Cambria Math"/>
                <w:i/>
              </w:rPr>
            </m:ctrlPr>
          </m:num>
          <m:den>
            <m:r>
              <w:rPr>
                <w:rFonts w:ascii="Cambria Math" w:hAnsi="Cambria Math"/>
              </w:rPr>
              <m:t>∂l</m:t>
            </m:r>
          </m:den>
        </m:f>
      </m:oMath>
      <w:r w:rsidR="004946BC">
        <w:t xml:space="preserve"> denoting derivation along the axis of the pipe.</w:t>
      </w:r>
    </w:p>
    <w:p w14:paraId="467CBF3C" w14:textId="1D92D51A" w:rsidR="004946BC" w:rsidRDefault="009E4D6A" w:rsidP="00167D74">
      <w:pPr>
        <w:pStyle w:val="CETBodytext"/>
      </w:pPr>
      <w:r>
        <w:rPr>
          <w:lang w:val="en-GB"/>
        </w:rPr>
        <w:t>The two models are usually coupled by describing the mass flow through the safety valve using the nozzle equation for gas flow</w:t>
      </w:r>
      <w:r>
        <w:t>:</w:t>
      </w:r>
    </w:p>
    <w:tbl>
      <w:tblPr>
        <w:tblW w:w="5000" w:type="pct"/>
        <w:tblLook w:val="04A0" w:firstRow="1" w:lastRow="0" w:firstColumn="1" w:lastColumn="0" w:noHBand="0" w:noVBand="1"/>
      </w:tblPr>
      <w:tblGrid>
        <w:gridCol w:w="7984"/>
        <w:gridCol w:w="803"/>
      </w:tblGrid>
      <w:tr w:rsidR="004946BC" w:rsidRPr="00B57B36" w14:paraId="3CBEFBCB" w14:textId="77777777" w:rsidTr="00EE0FDA">
        <w:tc>
          <w:tcPr>
            <w:tcW w:w="8188" w:type="dxa"/>
            <w:shd w:val="clear" w:color="auto" w:fill="auto"/>
            <w:vAlign w:val="center"/>
          </w:tcPr>
          <w:p w14:paraId="4CA5D3EF" w14:textId="7C1C80E4" w:rsidR="004946BC" w:rsidRPr="009552CC" w:rsidRDefault="00000000" w:rsidP="00EE0FDA">
            <w:pPr>
              <w:pStyle w:val="CETEquation"/>
              <w:rPr>
                <w:i/>
              </w:rPr>
            </w:pPr>
            <m:oMathPara>
              <m:oMath>
                <m:acc>
                  <m:accPr>
                    <m:chr m:val="̇"/>
                    <m:ctrlPr>
                      <w:rPr>
                        <w:rFonts w:ascii="Cambria Math" w:eastAsiaTheme="minorEastAsia" w:hAnsi="Cambria Math"/>
                        <w:i/>
                      </w:rPr>
                    </m:ctrlPr>
                  </m:accPr>
                  <m:e>
                    <m:r>
                      <w:rPr>
                        <w:rFonts w:ascii="Cambria Math" w:eastAsiaTheme="minorEastAsia" w:hAnsi="Cambria Math"/>
                      </w:rPr>
                      <m:t>m</m:t>
                    </m:r>
                  </m:e>
                </m:ac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d</m:t>
                    </m:r>
                  </m:sub>
                </m:sSub>
                <m:r>
                  <w:rPr>
                    <w:rFonts w:ascii="Cambria Math" w:eastAsiaTheme="minorEastAsia" w:hAnsi="Cambria Math"/>
                  </w:rPr>
                  <m:t>⋅</m:t>
                </m:r>
                <m:r>
                  <m:rPr>
                    <m:sty m:val="p"/>
                  </m:rPr>
                  <w:rPr>
                    <w:rFonts w:ascii="Cambria Math" w:eastAsiaTheme="minorEastAsia" w:hAnsi="Cambria Math"/>
                  </w:rPr>
                  <m:t>Ψ</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flow</m:t>
                    </m:r>
                  </m:sub>
                </m:sSub>
                <m:d>
                  <m:dPr>
                    <m:ctrlPr>
                      <w:rPr>
                        <w:rFonts w:ascii="Cambria Math" w:eastAsiaTheme="minorEastAsia" w:hAnsi="Cambria Math"/>
                        <w:i/>
                      </w:rPr>
                    </m:ctrlPr>
                  </m:dPr>
                  <m:e>
                    <m:r>
                      <w:rPr>
                        <w:rFonts w:ascii="Cambria Math" w:eastAsiaTheme="minorEastAsia" w:hAnsi="Cambria Math"/>
                      </w:rPr>
                      <m:t>x</m:t>
                    </m:r>
                  </m:e>
                </m:d>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in,t</m:t>
                            </m:r>
                          </m:sub>
                        </m:sSub>
                      </m:num>
                      <m:den>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in,t</m:t>
                            </m:r>
                          </m:sub>
                        </m:sSub>
                      </m:den>
                    </m:f>
                  </m:e>
                </m:rad>
              </m:oMath>
            </m:oMathPara>
          </w:p>
        </w:tc>
        <w:tc>
          <w:tcPr>
            <w:tcW w:w="815" w:type="dxa"/>
            <w:shd w:val="clear" w:color="auto" w:fill="auto"/>
            <w:vAlign w:val="center"/>
          </w:tcPr>
          <w:p w14:paraId="10C04FB8" w14:textId="348BC7AE" w:rsidR="004946BC" w:rsidRPr="00B57B36" w:rsidRDefault="004946BC" w:rsidP="00EE0FDA">
            <w:pPr>
              <w:pStyle w:val="CETEquation"/>
              <w:jc w:val="right"/>
            </w:pPr>
            <w:r w:rsidRPr="00B57B36">
              <w:t>(</w:t>
            </w:r>
            <w:r w:rsidR="0039290D">
              <w:t>6</w:t>
            </w:r>
            <w:r w:rsidRPr="00B57B36">
              <w:t>)</w:t>
            </w:r>
          </w:p>
        </w:tc>
      </w:tr>
    </w:tbl>
    <w:p w14:paraId="2987244E" w14:textId="601EBE3B" w:rsidR="004946BC" w:rsidRPr="009C4886" w:rsidRDefault="004946BC" w:rsidP="00167D74">
      <w:pPr>
        <w:pStyle w:val="CETBodytext"/>
        <w:rPr>
          <w:lang w:val="en-GB"/>
        </w:rPr>
      </w:pPr>
      <w:r>
        <w:rPr>
          <w:lang w:val="en-GB"/>
        </w:rPr>
        <w:t xml:space="preserve">with the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flow</m:t>
            </m:r>
          </m:sub>
        </m:sSub>
        <m:d>
          <m:dPr>
            <m:ctrlPr>
              <w:rPr>
                <w:rFonts w:ascii="Cambria Math" w:eastAsiaTheme="minorEastAsia" w:hAnsi="Cambria Math"/>
                <w:i/>
              </w:rPr>
            </m:ctrlPr>
          </m:dPr>
          <m:e>
            <m:r>
              <w:rPr>
                <w:rFonts w:ascii="Cambria Math" w:eastAsiaTheme="minorEastAsia" w:hAnsi="Cambria Math"/>
              </w:rPr>
              <m:t>x</m:t>
            </m:r>
          </m:e>
        </m:d>
      </m:oMath>
      <w:r>
        <w:t xml:space="preserve"> being the smallest cross section available for the fluid. This is either the </w:t>
      </w:r>
      <w:r w:rsidR="009C4886">
        <w:rPr>
          <w:lang w:val="en-GB"/>
        </w:rPr>
        <w:t>cylindrical area between the inlet nozzle and the valve disk, or the nozzle itself, whichever is smaller.</w:t>
      </w:r>
    </w:p>
    <w:p w14:paraId="20A19CF1" w14:textId="3D993B29" w:rsidR="002318CB" w:rsidRDefault="00167D74" w:rsidP="00167D74">
      <w:pPr>
        <w:pStyle w:val="CETBodytext"/>
        <w:rPr>
          <w:lang w:val="en-GB"/>
        </w:rPr>
      </w:pPr>
      <w:r>
        <w:rPr>
          <w:lang w:val="en-GB"/>
        </w:rPr>
        <w:t>An analysis</w:t>
      </w:r>
      <w:r w:rsidR="00C20BE3">
        <w:rPr>
          <w:lang w:val="en-GB"/>
        </w:rPr>
        <w:t xml:space="preserve"> </w:t>
      </w:r>
      <w:r>
        <w:rPr>
          <w:lang w:val="en-GB"/>
        </w:rPr>
        <w:t xml:space="preserve">of </w:t>
      </w:r>
      <w:r w:rsidR="009C4886">
        <w:rPr>
          <w:lang w:val="en-GB"/>
        </w:rPr>
        <w:t xml:space="preserve">the models </w:t>
      </w:r>
      <w:r>
        <w:rPr>
          <w:lang w:val="en-GB"/>
        </w:rPr>
        <w:t>used to describe the movement of the safety valve</w:t>
      </w:r>
      <w:r w:rsidR="00C20BE3">
        <w:rPr>
          <w:lang w:val="en-GB"/>
        </w:rPr>
        <w:t xml:space="preserve"> </w:t>
      </w:r>
      <w:r w:rsidR="00C20BE3">
        <w:rPr>
          <w:lang w:val="en-GB"/>
        </w:rPr>
        <w:fldChar w:fldCharType="begin" w:fldLock="1"/>
      </w:r>
      <w:r w:rsidR="00F97AF2">
        <w:rPr>
          <w:lang w:val="en-GB"/>
        </w:rPr>
        <w:instrText>ADDIN CSL_CITATION {"citationItems":[{"id":"ITEM-1","itemData":{"DOI":"10.1016/j.psep.2023.12.040","ISSN":"09575820","author":[{"dropping-particle":"","family":"Keszthelyi","given":"Gergely","non-dropping-particle":"","parse-names":false,"suffix":""},{"dropping-particle":"","family":"Schmidt","given":"Jürgen","non-dropping-particle":"","parse-names":false,"suffix":""},{"dropping-particle":"","family":"Denecke","given":"Jens","non-dropping-particle":"","parse-names":false,"suffix":""}],"container-title":"Process Safety and Environmental Protection","id":"ITEM-1","issue":"February 2024","issued":{"date-parts":[["2024","2"]]},"page":"1097-1109","publisher":"Elsevier Ltd","title":"Evaluation of one-dimensional models to predict chatter in spring-loaded pressure relief valves for gas service","type":"article-journal","volume":"182"},"uris":["http://www.mendeley.com/documents/?uuid=6015d7cd-6c6d-41be-bc3a-5d6b82fdccf2"]}],"mendeley":{"formattedCitation":"(Keszthelyi et al., 2024)","plainTextFormattedCitation":"(Keszthelyi et al., 2024)","previouslyFormattedCitation":"(Keszthelyi, Schmidt, and Denecke 2024)"},"properties":{"noteIndex":0},"schema":"https://github.com/citation-style-language/schema/raw/master/csl-citation.json"}</w:instrText>
      </w:r>
      <w:r w:rsidR="00C20BE3">
        <w:rPr>
          <w:lang w:val="en-GB"/>
        </w:rPr>
        <w:fldChar w:fldCharType="separate"/>
      </w:r>
      <w:r w:rsidR="00F97AF2" w:rsidRPr="00F97AF2">
        <w:rPr>
          <w:noProof/>
          <w:lang w:val="en-GB"/>
        </w:rPr>
        <w:t>(Keszthelyi et al., 2024)</w:t>
      </w:r>
      <w:r w:rsidR="00C20BE3">
        <w:rPr>
          <w:lang w:val="en-GB"/>
        </w:rPr>
        <w:fldChar w:fldCharType="end"/>
      </w:r>
      <w:r>
        <w:rPr>
          <w:lang w:val="en-GB"/>
        </w:rPr>
        <w:t xml:space="preserve"> </w:t>
      </w:r>
      <w:r w:rsidR="00C20BE3">
        <w:rPr>
          <w:lang w:val="en-GB"/>
        </w:rPr>
        <w:t xml:space="preserve">has shown </w:t>
      </w:r>
      <w:r>
        <w:rPr>
          <w:lang w:val="en-GB"/>
        </w:rPr>
        <w:t xml:space="preserve">that the </w:t>
      </w:r>
      <w:r w:rsidR="00180E91">
        <w:rPr>
          <w:lang w:val="en-GB"/>
        </w:rPr>
        <w:t>current</w:t>
      </w:r>
      <w:r>
        <w:rPr>
          <w:lang w:val="en-GB"/>
        </w:rPr>
        <w:t xml:space="preserve"> modelling of safety valves is not sufficient to guarantee the stability of the safety valve</w:t>
      </w:r>
      <w:r w:rsidR="002318CB">
        <w:rPr>
          <w:lang w:val="en-GB"/>
        </w:rPr>
        <w:t xml:space="preserve"> due to the variety of parameters needed to describe the stability of the safety valve, and the changes of the</w:t>
      </w:r>
      <w:r w:rsidR="009E4D6A">
        <w:rPr>
          <w:lang w:val="en-GB"/>
        </w:rPr>
        <w:t>se</w:t>
      </w:r>
      <w:r w:rsidR="002318CB">
        <w:rPr>
          <w:lang w:val="en-GB"/>
        </w:rPr>
        <w:t xml:space="preserve"> parameters during the </w:t>
      </w:r>
      <w:r w:rsidR="00180E91">
        <w:rPr>
          <w:lang w:val="en-GB"/>
        </w:rPr>
        <w:t>lifetime</w:t>
      </w:r>
      <w:r w:rsidR="002318CB">
        <w:rPr>
          <w:lang w:val="en-GB"/>
        </w:rPr>
        <w:t xml:space="preserve"> of the safety valve.</w:t>
      </w:r>
    </w:p>
    <w:p w14:paraId="564C430E" w14:textId="48B09B68" w:rsidR="00167D74" w:rsidRPr="00CB1162" w:rsidRDefault="00167D74" w:rsidP="00167D74">
      <w:pPr>
        <w:pStyle w:val="CETBodytext"/>
        <w:rPr>
          <w:lang w:val="en-GB"/>
        </w:rPr>
      </w:pPr>
      <w:r>
        <w:rPr>
          <w:lang w:val="en-GB"/>
        </w:rPr>
        <w:t xml:space="preserve">There are multiple parameters that could possibly be modified to create a </w:t>
      </w:r>
      <w:r w:rsidR="00180E91">
        <w:rPr>
          <w:lang w:val="en-GB"/>
        </w:rPr>
        <w:t xml:space="preserve">stable </w:t>
      </w:r>
      <w:r>
        <w:rPr>
          <w:lang w:val="en-GB"/>
        </w:rPr>
        <w:t xml:space="preserve">safety valve, such as the fluid force acting on the disk, the moving mass of the safety valve, the spring stiffness of the system, and additional damping within the system. Two such options will be explored in this publication – increasing the damping of the safety valve externally, and </w:t>
      </w:r>
      <w:r w:rsidR="009E4D6A">
        <w:rPr>
          <w:lang w:val="en-GB"/>
        </w:rPr>
        <w:t xml:space="preserve">a </w:t>
      </w:r>
      <w:r>
        <w:rPr>
          <w:lang w:val="en-GB"/>
        </w:rPr>
        <w:t xml:space="preserve">modification of the </w:t>
      </w:r>
      <w:r w:rsidR="00352F4D">
        <w:rPr>
          <w:lang w:val="en-GB"/>
        </w:rPr>
        <w:t>fluid force acting on the valve disk</w:t>
      </w:r>
      <w:r>
        <w:rPr>
          <w:lang w:val="en-GB"/>
        </w:rPr>
        <w:t>.</w:t>
      </w:r>
    </w:p>
    <w:p w14:paraId="5741900F" w14:textId="52FD3ACE" w:rsidR="00453E24" w:rsidRDefault="00F01D0C" w:rsidP="006A6702">
      <w:pPr>
        <w:pStyle w:val="CETHeading1"/>
      </w:pPr>
      <w:r>
        <w:t>Increase</w:t>
      </w:r>
      <w:r w:rsidR="002077CC">
        <w:t>d</w:t>
      </w:r>
      <w:r>
        <w:t xml:space="preserve"> damping</w:t>
      </w:r>
    </w:p>
    <w:p w14:paraId="52D5729D" w14:textId="080C7830" w:rsidR="00EA1194" w:rsidRDefault="006A6702" w:rsidP="006A6702">
      <w:pPr>
        <w:pStyle w:val="CETBodytext"/>
      </w:pPr>
      <w:r w:rsidRPr="00983FCB">
        <w:t>Increasing</w:t>
      </w:r>
      <w:r>
        <w:t xml:space="preserve"> the stability of the safety valve has been</w:t>
      </w:r>
      <w:r w:rsidR="00167D74">
        <w:t xml:space="preserve"> proposed as a solution to safety valve instability as early as </w:t>
      </w:r>
      <w:r w:rsidR="004B05BB">
        <w:t xml:space="preserve">the 1980-s, when Singh </w:t>
      </w:r>
      <w:r w:rsidR="004B05BB">
        <w:fldChar w:fldCharType="begin" w:fldLock="1"/>
      </w:r>
      <w:r w:rsidR="00F97AF2">
        <w:instrText>ADDIN CSL_CITATION {"citationItems":[{"id":"ITEM-1","itemData":{"DOI":"10.1016/0029-5493(82)90215-1","ISSN":"00295493","author":[{"dropping-particle":"","family":"Singh","given":"Avtar","non-dropping-particle":"","parse-names":false,"suffix":""}],"container-title":"Nuclear Engineering and Design","id":"ITEM-1","issue":"2","issued":{"date-parts":[["1982","9"]]},"page":"197-204","title":"An analytical study of the dynamics and stability of a spring loaded safety valve","type":"article-journal","volume":"72"},"uris":["http://www.mendeley.com/documents/?uuid=5b75dc18-3b06-4b82-8115-faa2819e6b75"]}],"mendeley":{"formattedCitation":"(Singh, 1982)","manualFormatting":"(1982)","plainTextFormattedCitation":"(Singh, 1982)","previouslyFormattedCitation":"(Singh 1982)"},"properties":{"noteIndex":0},"schema":"https://github.com/citation-style-language/schema/raw/master/csl-citation.json"}</w:instrText>
      </w:r>
      <w:r w:rsidR="004B05BB">
        <w:fldChar w:fldCharType="separate"/>
      </w:r>
      <w:r w:rsidR="00AD6DB2" w:rsidRPr="00AD6DB2">
        <w:rPr>
          <w:noProof/>
        </w:rPr>
        <w:t>(1982)</w:t>
      </w:r>
      <w:r w:rsidR="004B05BB">
        <w:fldChar w:fldCharType="end"/>
      </w:r>
      <w:r w:rsidR="004B05BB">
        <w:t xml:space="preserve"> calculated the positive effects of damping on a safety valve. The positive effects of damping were also measured by</w:t>
      </w:r>
      <w:r w:rsidR="00F97AF2">
        <w:t xml:space="preserve"> </w:t>
      </w:r>
      <w:r w:rsidR="00F97AF2" w:rsidRPr="004B05BB">
        <w:rPr>
          <w:noProof/>
        </w:rPr>
        <w:t>Cremers, Friedel and Pallaks</w:t>
      </w:r>
      <w:r w:rsidR="004B05BB">
        <w:t xml:space="preserve"> </w:t>
      </w:r>
      <w:r w:rsidR="004B05BB">
        <w:fldChar w:fldCharType="begin" w:fldLock="1"/>
      </w:r>
      <w:r w:rsidR="00F97AF2">
        <w:instrText>ADDIN CSL_CITATION {"citationItems":[{"id":"ITEM-1","itemData":{"DOI":"10.1016/S0950-4230(00)00054-1","ISBN":"4940771830","ISSN":"09504230","author":[{"dropping-particle":"","family":"Cremers","given":"J.","non-dropping-particle":"","parse-names":false,"suffix":""},{"dropping-particle":"","family":"Friedel","given":"Lutz","non-dropping-particle":"","parse-names":false,"suffix":""},{"dropping-particle":"","family":"Pallaks","given":"B.","non-dropping-particle":"","parse-names":false,"suffix":""}],"container-title":"Journal of Loss Prevention in the Process Industries","id":"ITEM-1","issue":"4","issued":{"date-parts":[["2001","7"]]},"note":"No sizing criterion is valid everywhere\nDifferences in the materials (whchi a Joukowsky only takes int o account as the speed of sound.) CO2 needs longer than helium, which would not be the case with the 3% rule (as CO2 is &amp;quot;denser&amp;quot;, a longer pipe would mean more loss!)\nEffect of back pressure ratio needs to be examined.","page":"261-267","title":"Validated sizing rule against chatter of relief valves during gas service","type":"article-journal","volume":"14"},"uris":["http://www.mendeley.com/documents/?uuid=5d82a9d8-87cf-4c3c-8f5f-31a0ea572e1c"]}],"mendeley":{"formattedCitation":"(Cremers et al., 2001)","manualFormatting":"(2001)","plainTextFormattedCitation":"(Cremers et al., 2001)","previouslyFormattedCitation":"(Cremers, Friedel, and Pallaks 2001)"},"properties":{"noteIndex":0},"schema":"https://github.com/citation-style-language/schema/raw/master/csl-citation.json"}</w:instrText>
      </w:r>
      <w:r w:rsidR="004B05BB">
        <w:fldChar w:fldCharType="separate"/>
      </w:r>
      <w:r w:rsidR="004B05BB" w:rsidRPr="004B05BB">
        <w:rPr>
          <w:noProof/>
        </w:rPr>
        <w:t>(2001)</w:t>
      </w:r>
      <w:r w:rsidR="004B05BB">
        <w:fldChar w:fldCharType="end"/>
      </w:r>
      <w:r w:rsidR="004B05BB">
        <w:t>, but neither provided a method for sizing a safety valve damper.</w:t>
      </w:r>
      <w:r w:rsidR="00EA1194">
        <w:t xml:space="preserve"> </w:t>
      </w:r>
      <w:r w:rsidR="009E4D6A">
        <w:t>Hydraulic</w:t>
      </w:r>
      <w:r w:rsidR="00EA1194">
        <w:t xml:space="preserve"> dampers were also patented by </w:t>
      </w:r>
      <w:r w:rsidR="00633C26">
        <w:t>Framatome engineers</w:t>
      </w:r>
      <w:r w:rsidR="00CE7746">
        <w:t>, but</w:t>
      </w:r>
      <w:r w:rsidR="00EC5023">
        <w:t xml:space="preserve"> valves equipped with such dampers</w:t>
      </w:r>
      <w:r w:rsidR="00CE7746">
        <w:t xml:space="preserve"> are currently not available</w:t>
      </w:r>
      <w:r w:rsidR="00CA72B0">
        <w:t>.</w:t>
      </w:r>
    </w:p>
    <w:p w14:paraId="581D5959" w14:textId="57C5D3D1" w:rsidR="00012DBD" w:rsidRDefault="009E4D6A" w:rsidP="006A6702">
      <w:pPr>
        <w:pStyle w:val="CETBodytext"/>
      </w:pPr>
      <w:r>
        <w:lastRenderedPageBreak/>
        <w:t>O</w:t>
      </w:r>
      <w:r w:rsidR="00012DBD">
        <w:t>ther types of</w:t>
      </w:r>
      <w:r w:rsidR="005B2A94">
        <w:t xml:space="preserve"> dampers </w:t>
      </w:r>
      <w:r>
        <w:t xml:space="preserve">are </w:t>
      </w:r>
      <w:r w:rsidR="005B2A94">
        <w:t xml:space="preserve">available as an extension of </w:t>
      </w:r>
      <w:r w:rsidR="00EA1194">
        <w:t>safety valves</w:t>
      </w:r>
      <w:r w:rsidR="00EC5023">
        <w:t>, such as the O-ring damper by LESER, or the graphite element by IMI Bopp&amp;Reuther</w:t>
      </w:r>
      <w:r w:rsidR="00EA1194">
        <w:t xml:space="preserve">. These </w:t>
      </w:r>
      <w:r w:rsidR="00EC5023">
        <w:t xml:space="preserve">elements </w:t>
      </w:r>
      <w:r w:rsidR="00EA1194">
        <w:t xml:space="preserve">are based </w:t>
      </w:r>
      <w:r w:rsidR="00EC5023">
        <w:t>on increasing the friction on the safety valve spindle, and work both during the opening and the closing of a safety valve.</w:t>
      </w:r>
      <w:r w:rsidR="00012DBD">
        <w:t xml:space="preserve"> The</w:t>
      </w:r>
      <w:r w:rsidR="009C4886">
        <w:t xml:space="preserve"> damp</w:t>
      </w:r>
      <w:r>
        <w:t>ing factor</w:t>
      </w:r>
      <w:r w:rsidR="009C4886">
        <w:t xml:space="preserve"> of these elements is not provided, only a qualitative improvement is mentioned in the manufacturer catalogues.</w:t>
      </w:r>
    </w:p>
    <w:p w14:paraId="7AA5FE00" w14:textId="33E7F5D5" w:rsidR="009E4D6A" w:rsidRDefault="009E4D6A" w:rsidP="006A6702">
      <w:pPr>
        <w:pStyle w:val="CETBodytext"/>
      </w:pPr>
      <w:r>
        <w:t xml:space="preserve">To determine the effects of commercial friction dampers on the stability and operation of safety valves, measurements were conducted at the CSE High-Pressure Loop </w:t>
      </w:r>
      <w:r>
        <w:fldChar w:fldCharType="begin" w:fldLock="1"/>
      </w:r>
      <w:r>
        <w:instrText>ADDIN CSL_CITATION {"citationItems":[{"id":"ITEM-1","itemData":{"abstract":"Fluid dynamic effects in the inlet line of a safety valve can result in non-negligible pressure fluctu- ations in front of the valve. This may result in valve instability in the form of valve fluttering. Of partic- ular interest is the transient opening process which leads to a sudden pressure drop in front of the valve disk and causing a negative pressure surge in the inlet line. This paper presents experimental studies show- ing the pressure surges during the fast opening of the valve. It is illustrated how changes in lift are in competition/relation to pressure changes during the opening process. The importance of accurate mod- elling of flow dynamics in the inlet pipe for evaluat- ing valve stability becomes obvious. It also becomes clear that simplified test setups, as they can be found in some cases, are not suitable. In relation to the ex- perimental results, there is also a discussion of dif- ferent simplified stability criteria for safety valve in- stallations presented in the literature. In particular, the sensitivity with regard to fitting parameters that are not available in practice shows the limitations of some of the models","author":[{"dropping-particle":"","family":"Dannenmaier","given":"Tobias S","non-dropping-particle":"","parse-names":false,"suffix":""},{"dropping-particle":"","family":"Schmidt","given":"Jürgen","non-dropping-particle":"","parse-names":false,"suffix":""},{"dropping-particle":"","family":"Denecke","given":"Jens","non-dropping-particle":"","parse-names":false,"suffix":""},{"dropping-particle":"","family":"Odenwald","given":"Oliver","non-dropping-particle":"","parse-names":false,"suffix":""},{"dropping-particle":"","family":"Jablonski","given":"Dariusz","non-dropping-particle":"","parse-names":false,"suffix":""}],"container-title":"Conference on Modelling Fluid Flow (CMFF’18) The 17th International Conference on Fluid Flow Technologies","id":"ITEM-1","issued":{"date-parts":[["2018"]]},"page":"1-16","publisher-place":"Budapest","title":"Formation and Propagation of Pressure Surges In Inlet Lines of Safety Valves and their Influence on Valve Stability","type":"paper-conference"},"uris":["http://www.mendeley.com/documents/?uuid=c5fe3696-5860-430f-93e8-75afe5a05c09"]}],"mendeley":{"formattedCitation":"(Dannenmaier et al., 2018)","plainTextFormattedCitation":"(Dannenmaier et al., 2018)","previouslyFormattedCitation":"(Dannenmaier et al. 2018)"},"properties":{"noteIndex":0},"schema":"https://github.com/citation-style-language/schema/raw/master/csl-citation.json"}</w:instrText>
      </w:r>
      <w:r>
        <w:fldChar w:fldCharType="separate"/>
      </w:r>
      <w:r w:rsidRPr="00F97AF2">
        <w:rPr>
          <w:noProof/>
        </w:rPr>
        <w:t>(Dannenmaier et al., 2018)</w:t>
      </w:r>
      <w:r>
        <w:fldChar w:fldCharType="end"/>
      </w:r>
      <w:r>
        <w:t xml:space="preserve"> with such a device. The measurements were conducted with a European DN25x40 valve, for which the base parameters can be seen in </w:t>
      </w:r>
      <w:r>
        <w:fldChar w:fldCharType="begin"/>
      </w:r>
      <w:r>
        <w:instrText xml:space="preserve"> REF _Ref182575279 \h </w:instrText>
      </w:r>
      <w:r>
        <w:fldChar w:fldCharType="separate"/>
      </w:r>
      <w:r>
        <w:t xml:space="preserve">Table </w:t>
      </w:r>
      <w:r>
        <w:rPr>
          <w:noProof/>
        </w:rPr>
        <w:t>1</w:t>
      </w:r>
      <w:r>
        <w:fldChar w:fldCharType="end"/>
      </w:r>
      <w:r>
        <w:t xml:space="preserve">. The safety valve was connected to a puffer vessel by a 2.25m long, DN25 inlet line, and was without any outlet piping. The pressure was measured in the vessel and in three points along the inlet line, including directly in front of the safety valve. </w:t>
      </w:r>
    </w:p>
    <w:p w14:paraId="5FA80097" w14:textId="5AF26111" w:rsidR="00B40E42" w:rsidRDefault="00B40E42" w:rsidP="00B40E42">
      <w:pPr>
        <w:pStyle w:val="CETTabletitle"/>
      </w:pPr>
      <w:bookmarkStart w:id="1" w:name="_Ref182575279"/>
      <w:r>
        <w:t xml:space="preserve">Table </w:t>
      </w:r>
      <w:r>
        <w:fldChar w:fldCharType="begin"/>
      </w:r>
      <w:r>
        <w:instrText xml:space="preserve"> SEQ Table \* ARABIC </w:instrText>
      </w:r>
      <w:r>
        <w:fldChar w:fldCharType="separate"/>
      </w:r>
      <w:r>
        <w:rPr>
          <w:noProof/>
        </w:rPr>
        <w:t>1</w:t>
      </w:r>
      <w:r>
        <w:fldChar w:fldCharType="end"/>
      </w:r>
      <w:bookmarkEnd w:id="1"/>
      <w:r>
        <w:t>. Parameters of the safety valve tested with increased damping</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B40E42" w:rsidRPr="00B57B36" w14:paraId="67EC6952" w14:textId="77777777" w:rsidTr="009737F6">
        <w:tc>
          <w:tcPr>
            <w:tcW w:w="1134" w:type="dxa"/>
            <w:tcBorders>
              <w:top w:val="single" w:sz="12" w:space="0" w:color="008000"/>
              <w:bottom w:val="single" w:sz="6" w:space="0" w:color="008000"/>
            </w:tcBorders>
            <w:shd w:val="clear" w:color="auto" w:fill="FFFFFF"/>
          </w:tcPr>
          <w:p w14:paraId="3FCD1946" w14:textId="6307F6C8" w:rsidR="00B40E42" w:rsidRPr="00B57B36" w:rsidRDefault="00B40E42" w:rsidP="009737F6">
            <w:pPr>
              <w:pStyle w:val="CETBodytext"/>
              <w:rPr>
                <w:lang w:val="en-GB"/>
              </w:rPr>
            </w:pPr>
            <w:r>
              <w:rPr>
                <w:lang w:val="en-GB"/>
              </w:rPr>
              <w:t>Set pressure</w:t>
            </w:r>
            <w:r w:rsidRPr="00B57B36">
              <w:rPr>
                <w:lang w:val="en-GB"/>
              </w:rPr>
              <w:t xml:space="preserve"> </w:t>
            </w:r>
          </w:p>
        </w:tc>
        <w:tc>
          <w:tcPr>
            <w:tcW w:w="1134" w:type="dxa"/>
            <w:tcBorders>
              <w:top w:val="single" w:sz="12" w:space="0" w:color="008000"/>
              <w:bottom w:val="single" w:sz="6" w:space="0" w:color="008000"/>
            </w:tcBorders>
            <w:shd w:val="clear" w:color="auto" w:fill="FFFFFF"/>
          </w:tcPr>
          <w:p w14:paraId="3A4F6261" w14:textId="78610688" w:rsidR="00B40E42" w:rsidRPr="00B57B36" w:rsidRDefault="00B40E42" w:rsidP="009737F6">
            <w:pPr>
              <w:pStyle w:val="CETBodytext"/>
              <w:rPr>
                <w:lang w:val="en-GB"/>
              </w:rPr>
            </w:pPr>
            <w:r>
              <w:rPr>
                <w:lang w:val="en-GB"/>
              </w:rPr>
              <w:t>Moving mass</w:t>
            </w:r>
          </w:p>
        </w:tc>
        <w:tc>
          <w:tcPr>
            <w:tcW w:w="1134" w:type="dxa"/>
            <w:tcBorders>
              <w:top w:val="single" w:sz="12" w:space="0" w:color="008000"/>
              <w:bottom w:val="single" w:sz="6" w:space="0" w:color="008000"/>
            </w:tcBorders>
            <w:shd w:val="clear" w:color="auto" w:fill="FFFFFF"/>
          </w:tcPr>
          <w:p w14:paraId="127DF5D0" w14:textId="71936933" w:rsidR="00B40E42" w:rsidRPr="00B57B36" w:rsidRDefault="00B40E42" w:rsidP="009737F6">
            <w:pPr>
              <w:pStyle w:val="CETBodytext"/>
              <w:rPr>
                <w:lang w:val="en-GB"/>
              </w:rPr>
            </w:pPr>
            <w:r>
              <w:rPr>
                <w:lang w:val="en-GB"/>
              </w:rPr>
              <w:t>Spring stiff.</w:t>
            </w:r>
          </w:p>
        </w:tc>
        <w:tc>
          <w:tcPr>
            <w:tcW w:w="1134" w:type="dxa"/>
            <w:tcBorders>
              <w:top w:val="single" w:sz="12" w:space="0" w:color="008000"/>
              <w:bottom w:val="single" w:sz="6" w:space="0" w:color="008000"/>
            </w:tcBorders>
            <w:shd w:val="clear" w:color="auto" w:fill="FFFFFF"/>
          </w:tcPr>
          <w:p w14:paraId="054BE67C" w14:textId="2B701F5A" w:rsidR="00B40E42" w:rsidRPr="00B57B36" w:rsidRDefault="00B40E42" w:rsidP="009737F6">
            <w:pPr>
              <w:pStyle w:val="CETBodytext"/>
              <w:ind w:right="-1"/>
              <w:rPr>
                <w:rFonts w:cs="Arial"/>
                <w:szCs w:val="18"/>
                <w:lang w:val="en-GB"/>
              </w:rPr>
            </w:pPr>
            <w:r>
              <w:rPr>
                <w:rFonts w:cs="Arial"/>
                <w:szCs w:val="18"/>
                <w:lang w:val="en-GB"/>
              </w:rPr>
              <w:t>Nozzle diam.</w:t>
            </w:r>
          </w:p>
        </w:tc>
        <w:tc>
          <w:tcPr>
            <w:tcW w:w="1134" w:type="dxa"/>
            <w:tcBorders>
              <w:top w:val="single" w:sz="12" w:space="0" w:color="008000"/>
              <w:bottom w:val="single" w:sz="6" w:space="0" w:color="008000"/>
            </w:tcBorders>
            <w:shd w:val="clear" w:color="auto" w:fill="FFFFFF"/>
          </w:tcPr>
          <w:p w14:paraId="4BD5E62F" w14:textId="23134018" w:rsidR="00B40E42" w:rsidRPr="00B57B36" w:rsidRDefault="004946BC" w:rsidP="009737F6">
            <w:pPr>
              <w:pStyle w:val="CETBodytext"/>
              <w:ind w:right="-1"/>
              <w:rPr>
                <w:rFonts w:cs="Arial"/>
                <w:szCs w:val="18"/>
                <w:lang w:val="en-GB"/>
              </w:rPr>
            </w:pPr>
            <w:r>
              <w:rPr>
                <w:rFonts w:cs="Arial"/>
                <w:szCs w:val="18"/>
                <w:lang w:val="en-GB"/>
              </w:rPr>
              <w:t>Medium</w:t>
            </w:r>
          </w:p>
        </w:tc>
      </w:tr>
      <w:tr w:rsidR="00B40E42" w:rsidRPr="00B57B36" w14:paraId="13C69D88" w14:textId="77777777" w:rsidTr="009737F6">
        <w:tc>
          <w:tcPr>
            <w:tcW w:w="1134" w:type="dxa"/>
            <w:shd w:val="clear" w:color="auto" w:fill="FFFFFF"/>
          </w:tcPr>
          <w:p w14:paraId="73915D3B" w14:textId="53C136B8" w:rsidR="00B40E42" w:rsidRPr="00B57B36" w:rsidRDefault="00B40E42" w:rsidP="009737F6">
            <w:pPr>
              <w:pStyle w:val="CETBodytext"/>
              <w:rPr>
                <w:lang w:val="en-GB"/>
              </w:rPr>
            </w:pPr>
            <w:r>
              <w:rPr>
                <w:lang w:val="en-GB"/>
              </w:rPr>
              <w:t>5.43 bar(g)</w:t>
            </w:r>
          </w:p>
        </w:tc>
        <w:tc>
          <w:tcPr>
            <w:tcW w:w="1134" w:type="dxa"/>
            <w:shd w:val="clear" w:color="auto" w:fill="FFFFFF"/>
          </w:tcPr>
          <w:p w14:paraId="2AB29699" w14:textId="2B5880BC" w:rsidR="00B40E42" w:rsidRPr="00B57B36" w:rsidRDefault="00B40E42" w:rsidP="009737F6">
            <w:pPr>
              <w:pStyle w:val="CETBodytext"/>
              <w:rPr>
                <w:lang w:val="en-GB"/>
              </w:rPr>
            </w:pPr>
            <w:r>
              <w:rPr>
                <w:lang w:val="en-GB"/>
              </w:rPr>
              <w:t>0.396 kg</w:t>
            </w:r>
          </w:p>
        </w:tc>
        <w:tc>
          <w:tcPr>
            <w:tcW w:w="1134" w:type="dxa"/>
            <w:shd w:val="clear" w:color="auto" w:fill="FFFFFF"/>
          </w:tcPr>
          <w:p w14:paraId="2048304B" w14:textId="222BB1E6" w:rsidR="00B40E42" w:rsidRPr="00B57B36" w:rsidRDefault="00B40E42" w:rsidP="009737F6">
            <w:pPr>
              <w:pStyle w:val="CETBodytext"/>
              <w:rPr>
                <w:lang w:val="en-GB"/>
              </w:rPr>
            </w:pPr>
            <w:r>
              <w:rPr>
                <w:lang w:val="en-GB"/>
              </w:rPr>
              <w:t>28.615 kN/m</w:t>
            </w:r>
          </w:p>
        </w:tc>
        <w:tc>
          <w:tcPr>
            <w:tcW w:w="1134" w:type="dxa"/>
            <w:shd w:val="clear" w:color="auto" w:fill="FFFFFF"/>
          </w:tcPr>
          <w:p w14:paraId="0C717661" w14:textId="371E80C2" w:rsidR="00B40E42" w:rsidRPr="00B57B36" w:rsidRDefault="00B40E42" w:rsidP="009737F6">
            <w:pPr>
              <w:pStyle w:val="CETBodytext"/>
              <w:ind w:right="-1"/>
              <w:rPr>
                <w:rFonts w:cs="Arial"/>
                <w:szCs w:val="18"/>
                <w:lang w:val="en-GB"/>
              </w:rPr>
            </w:pPr>
            <w:r>
              <w:rPr>
                <w:rFonts w:cs="Arial"/>
                <w:szCs w:val="18"/>
                <w:lang w:val="en-GB"/>
              </w:rPr>
              <w:t>23 mm</w:t>
            </w:r>
          </w:p>
        </w:tc>
        <w:tc>
          <w:tcPr>
            <w:tcW w:w="1134" w:type="dxa"/>
            <w:shd w:val="clear" w:color="auto" w:fill="FFFFFF"/>
          </w:tcPr>
          <w:p w14:paraId="77D72580" w14:textId="3B36911A" w:rsidR="00B40E42" w:rsidRPr="00B57B36" w:rsidRDefault="004946BC" w:rsidP="009737F6">
            <w:pPr>
              <w:pStyle w:val="CETBodytext"/>
              <w:ind w:right="-1"/>
              <w:rPr>
                <w:rFonts w:cs="Arial"/>
                <w:szCs w:val="18"/>
                <w:lang w:val="en-GB"/>
              </w:rPr>
            </w:pPr>
            <w:r>
              <w:rPr>
                <w:rFonts w:cs="Arial"/>
                <w:szCs w:val="18"/>
                <w:lang w:val="en-GB"/>
              </w:rPr>
              <w:t>Air</w:t>
            </w:r>
          </w:p>
        </w:tc>
      </w:tr>
    </w:tbl>
    <w:p w14:paraId="22022063" w14:textId="35770FDF" w:rsidR="001D50DF" w:rsidRDefault="00826715" w:rsidP="00826715">
      <w:pPr>
        <w:pStyle w:val="CETBodytext"/>
      </w:pPr>
      <w:r>
        <w:t xml:space="preserve">Measurements were conducted with and without the damper. A plot </w:t>
      </w:r>
      <w:r w:rsidR="001D50DF">
        <w:t xml:space="preserve">of </w:t>
      </w:r>
      <w:r>
        <w:t>the lift of the sa</w:t>
      </w:r>
      <w:r w:rsidR="009C5046">
        <w:t xml:space="preserve">fety valve </w:t>
      </w:r>
      <w:r w:rsidR="001D50DF">
        <w:t xml:space="preserve">and the </w:t>
      </w:r>
      <w:r w:rsidR="00597569">
        <w:t>static</w:t>
      </w:r>
      <w:r w:rsidR="001D50DF">
        <w:t xml:space="preserve"> pressure measured </w:t>
      </w:r>
      <w:r w:rsidR="00870A63">
        <w:t xml:space="preserve">at the inlet flange </w:t>
      </w:r>
      <w:r w:rsidR="001D50DF">
        <w:t xml:space="preserve">of the safety valve can be seen in </w:t>
      </w:r>
      <w:r w:rsidR="001D50DF">
        <w:fldChar w:fldCharType="begin"/>
      </w:r>
      <w:r w:rsidR="001D50DF">
        <w:instrText xml:space="preserve"> REF _Ref182818753 \h </w:instrText>
      </w:r>
      <w:r w:rsidR="001D50DF">
        <w:fldChar w:fldCharType="separate"/>
      </w:r>
      <w:r w:rsidR="001D50DF">
        <w:t xml:space="preserve">Figure </w:t>
      </w:r>
      <w:r w:rsidR="001D50DF">
        <w:rPr>
          <w:noProof/>
        </w:rPr>
        <w:t>1</w:t>
      </w:r>
      <w:r w:rsidR="001D50DF">
        <w:fldChar w:fldCharType="end"/>
      </w:r>
      <w:r w:rsidR="001D50DF">
        <w:t>. As the figure shows, the otherwise chattering safety valve opened and closed</w:t>
      </w:r>
      <w:r w:rsidR="00870A63">
        <w:t xml:space="preserve"> in a</w:t>
      </w:r>
      <w:r w:rsidR="001D50DF">
        <w:t xml:space="preserve"> stable</w:t>
      </w:r>
      <w:r w:rsidR="00870A63">
        <w:t xml:space="preserve"> manner</w:t>
      </w:r>
      <w:r w:rsidR="001D50DF">
        <w:t xml:space="preserve"> </w:t>
      </w:r>
      <w:r w:rsidR="00870A63">
        <w:t>with a</w:t>
      </w:r>
      <w:r w:rsidR="001D50DF">
        <w:t xml:space="preserve"> friction damper.</w:t>
      </w:r>
      <w:r w:rsidR="00597569">
        <w:t xml:space="preserve"> </w:t>
      </w:r>
      <w:r w:rsidR="00597569">
        <w:rPr>
          <w:lang w:val="en-GB"/>
        </w:rPr>
        <w:t>The ISO4126-7 standard currently proscribes that the safety valve must achieve its full lift by 110% of the set pressure and must reclose by 85% of the set pressure in gauge. These values can be seen on the black dashed lines.</w:t>
      </w:r>
      <w:r w:rsidR="00597569">
        <w:t xml:space="preserve"> The results show</w:t>
      </w:r>
      <w:r w:rsidR="001D50DF">
        <w:t xml:space="preserve"> that at the time of closing (blue vertical dashed lines) the pressure in front of the safety valve </w:t>
      </w:r>
      <w:r w:rsidR="009A010E">
        <w:t>had</w:t>
      </w:r>
      <w:r w:rsidR="001D50DF">
        <w:t xml:space="preserve"> dropped below the </w:t>
      </w:r>
      <w:r w:rsidR="00FD6D70">
        <w:t>reseating pressure</w:t>
      </w:r>
      <w:r w:rsidR="001D50DF">
        <w:t xml:space="preserve"> required by the ISO standard.</w:t>
      </w:r>
    </w:p>
    <w:p w14:paraId="5A90C349" w14:textId="31C62693" w:rsidR="000137E9" w:rsidRDefault="009A010E" w:rsidP="000137E9">
      <w:pPr>
        <w:pStyle w:val="CETCaption"/>
      </w:pPr>
      <w:r>
        <w:rPr>
          <w:noProof/>
        </w:rPr>
        <w:drawing>
          <wp:inline distT="0" distB="0" distL="0" distR="0" wp14:anchorId="7D2D06A0" wp14:editId="7ECAF143">
            <wp:extent cx="4445000" cy="21032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srcRect t="2682" b="2682"/>
                    <a:stretch>
                      <a:fillRect/>
                    </a:stretch>
                  </pic:blipFill>
                  <pic:spPr bwMode="auto">
                    <a:xfrm>
                      <a:off x="0" y="0"/>
                      <a:ext cx="4459552" cy="2110165"/>
                    </a:xfrm>
                    <a:prstGeom prst="rect">
                      <a:avLst/>
                    </a:prstGeom>
                    <a:noFill/>
                    <a:ln>
                      <a:noFill/>
                    </a:ln>
                    <a:extLst>
                      <a:ext uri="{53640926-AAD7-44D8-BBD7-CCE9431645EC}">
                        <a14:shadowObscured xmlns:a14="http://schemas.microsoft.com/office/drawing/2010/main"/>
                      </a:ext>
                    </a:extLst>
                  </pic:spPr>
                </pic:pic>
              </a:graphicData>
            </a:graphic>
          </wp:inline>
        </w:drawing>
      </w:r>
    </w:p>
    <w:p w14:paraId="5FC46177" w14:textId="424505BC" w:rsidR="00826715" w:rsidRDefault="000137E9" w:rsidP="000137E9">
      <w:pPr>
        <w:pStyle w:val="CETCaption"/>
      </w:pPr>
      <w:bookmarkStart w:id="2" w:name="_Ref182818753"/>
      <w:r>
        <w:t xml:space="preserve">Figure </w:t>
      </w:r>
      <w:r>
        <w:fldChar w:fldCharType="begin"/>
      </w:r>
      <w:r>
        <w:instrText xml:space="preserve"> SEQ Figure \* ARABIC </w:instrText>
      </w:r>
      <w:r>
        <w:fldChar w:fldCharType="separate"/>
      </w:r>
      <w:r w:rsidR="009B3171">
        <w:rPr>
          <w:noProof/>
        </w:rPr>
        <w:t>1</w:t>
      </w:r>
      <w:r>
        <w:fldChar w:fldCharType="end"/>
      </w:r>
      <w:bookmarkEnd w:id="2"/>
      <w:r>
        <w:t xml:space="preserve">. Measurements of </w:t>
      </w:r>
      <w:r w:rsidR="00C768DA">
        <w:t>a</w:t>
      </w:r>
      <w:r>
        <w:t xml:space="preserve"> European safety valve with and without a friction damper</w:t>
      </w:r>
    </w:p>
    <w:p w14:paraId="489027A3" w14:textId="0EBDE249" w:rsidR="00934A11" w:rsidRDefault="006F6E93" w:rsidP="00934A11">
      <w:pPr>
        <w:pStyle w:val="CETBodytext"/>
      </w:pPr>
      <w:r>
        <w:t>Both</w:t>
      </w:r>
      <w:r w:rsidR="00E96196">
        <w:t xml:space="preserve"> effects are</w:t>
      </w:r>
      <w:r w:rsidR="00934A11">
        <w:t xml:space="preserve"> due to the friction force</w:t>
      </w:r>
      <w:r w:rsidR="00B31B20">
        <w:t>, which</w:t>
      </w:r>
      <w:r w:rsidR="00934A11">
        <w:t xml:space="preserve"> </w:t>
      </w:r>
      <w:r w:rsidR="00476FB6">
        <w:t>acts</w:t>
      </w:r>
      <w:r w:rsidR="00B31B20">
        <w:t xml:space="preserve"> in the reverse to the movement of the safety valve disk</w:t>
      </w:r>
      <w:r w:rsidR="00934A11">
        <w:t xml:space="preserve">. During the opening, the friction force works downwards, </w:t>
      </w:r>
      <w:r w:rsidR="00C768DA">
        <w:t>slowing down the</w:t>
      </w:r>
      <w:r w:rsidR="00934A11">
        <w:t xml:space="preserve"> safety valve, and enhancing the stability. However, during closing it works against the closure of the safety valve, meaning that the pressure needs to </w:t>
      </w:r>
      <w:r w:rsidR="00C768DA">
        <w:t>drop further</w:t>
      </w:r>
      <w:r w:rsidR="00934A11">
        <w:t xml:space="preserve"> so that the safety valve can fully close.</w:t>
      </w:r>
    </w:p>
    <w:p w14:paraId="46E879CC" w14:textId="470B302E" w:rsidR="00867833" w:rsidRDefault="00476FB6" w:rsidP="00934A11">
      <w:pPr>
        <w:pStyle w:val="CETBodytext"/>
        <w:rPr>
          <w:lang w:val="en-GB"/>
        </w:rPr>
      </w:pPr>
      <w:r>
        <w:rPr>
          <w:lang w:val="en-GB"/>
        </w:rPr>
        <w:t>To</w:t>
      </w:r>
      <w:r w:rsidR="00867833" w:rsidRPr="00E96196">
        <w:rPr>
          <w:lang w:val="en-GB"/>
        </w:rPr>
        <w:t xml:space="preserve"> further investigat</w:t>
      </w:r>
      <w:r>
        <w:rPr>
          <w:lang w:val="en-GB"/>
        </w:rPr>
        <w:t>e</w:t>
      </w:r>
      <w:r w:rsidR="00867833" w:rsidRPr="00E96196">
        <w:rPr>
          <w:lang w:val="en-GB"/>
        </w:rPr>
        <w:t xml:space="preserve"> of the </w:t>
      </w:r>
      <w:r w:rsidR="00E96196" w:rsidRPr="00E96196">
        <w:rPr>
          <w:lang w:val="en-GB"/>
        </w:rPr>
        <w:t xml:space="preserve">effects of </w:t>
      </w:r>
      <w:r w:rsidR="00200FA7">
        <w:rPr>
          <w:lang w:val="en-GB"/>
        </w:rPr>
        <w:t>stabilizers</w:t>
      </w:r>
      <w:r w:rsidR="00E96196" w:rsidRPr="00E96196">
        <w:rPr>
          <w:lang w:val="en-GB"/>
        </w:rPr>
        <w:t xml:space="preserve">, </w:t>
      </w:r>
      <w:r w:rsidR="00200FA7">
        <w:rPr>
          <w:lang w:val="en-GB"/>
        </w:rPr>
        <w:t>one-dimensional</w:t>
      </w:r>
      <w:r w:rsidR="00E96196">
        <w:rPr>
          <w:lang w:val="en-GB"/>
        </w:rPr>
        <w:t xml:space="preserve"> CFD simulations</w:t>
      </w:r>
      <w:r w:rsidR="00E07A21">
        <w:rPr>
          <w:lang w:val="en-GB"/>
        </w:rPr>
        <w:t xml:space="preserve"> of the opening of a safety valve</w:t>
      </w:r>
      <w:r w:rsidR="00E96196">
        <w:rPr>
          <w:lang w:val="en-GB"/>
        </w:rPr>
        <w:t xml:space="preserve"> </w:t>
      </w:r>
      <w:r w:rsidR="00E07A21">
        <w:rPr>
          <w:lang w:val="en-GB"/>
        </w:rPr>
        <w:t xml:space="preserve">connected to an inlet line </w:t>
      </w:r>
      <w:r w:rsidR="00E96196">
        <w:rPr>
          <w:lang w:val="en-GB"/>
        </w:rPr>
        <w:t xml:space="preserve">were conducted using the simulation model 1DCSE </w:t>
      </w:r>
      <w:r w:rsidR="00E96196">
        <w:rPr>
          <w:lang w:val="en-GB"/>
        </w:rPr>
        <w:fldChar w:fldCharType="begin" w:fldLock="1"/>
      </w:r>
      <w:r w:rsidR="00F97AF2">
        <w:rPr>
          <w:lang w:val="en-GB"/>
        </w:rPr>
        <w:instrText>ADDIN CSL_CITATION {"citationItems":[{"id":"ITEM-1","itemData":{"DOI":"10.1016/j.psep.2023.12.040","ISSN":"09575820","author":[{"dropping-particle":"","family":"Keszthelyi","given":"Gergely","non-dropping-particle":"","parse-names":false,"suffix":""},{"dropping-particle":"","family":"Schmidt","given":"Jürgen","non-dropping-particle":"","parse-names":false,"suffix":""},{"dropping-particle":"","family":"Denecke","given":"Jens","non-dropping-particle":"","parse-names":false,"suffix":""}],"container-title":"Process Safety and Environmental Protection","id":"ITEM-1","issue":"February 2024","issued":{"date-parts":[["2024","2"]]},"page":"1097-1109","publisher":"Elsevier Ltd","title":"Evaluation of one-dimensional models to predict chatter in spring-loaded pressure relief valves for gas service","type":"article-journal","volume":"182"},"uris":["http://www.mendeley.com/documents/?uuid=6015d7cd-6c6d-41be-bc3a-5d6b82fdccf2"]}],"mendeley":{"formattedCitation":"(Keszthelyi et al., 2024)","plainTextFormattedCitation":"(Keszthelyi et al., 2024)","previouslyFormattedCitation":"(Keszthelyi, Schmidt, and Denecke 2024)"},"properties":{"noteIndex":0},"schema":"https://github.com/citation-style-language/schema/raw/master/csl-citation.json"}</w:instrText>
      </w:r>
      <w:r w:rsidR="00E96196">
        <w:rPr>
          <w:lang w:val="en-GB"/>
        </w:rPr>
        <w:fldChar w:fldCharType="separate"/>
      </w:r>
      <w:r w:rsidR="00F97AF2" w:rsidRPr="00F97AF2">
        <w:rPr>
          <w:noProof/>
          <w:lang w:val="en-GB"/>
        </w:rPr>
        <w:t>(Keszthelyi et al., 2024)</w:t>
      </w:r>
      <w:r w:rsidR="00E96196">
        <w:rPr>
          <w:lang w:val="en-GB"/>
        </w:rPr>
        <w:fldChar w:fldCharType="end"/>
      </w:r>
      <w:r w:rsidR="00E96196">
        <w:rPr>
          <w:lang w:val="en-GB"/>
        </w:rPr>
        <w:t xml:space="preserve">. </w:t>
      </w:r>
      <w:r>
        <w:rPr>
          <w:lang w:val="en-GB"/>
        </w:rPr>
        <w:t xml:space="preserve">The input parameters were set to match the measurements described in </w:t>
      </w:r>
      <w:r w:rsidR="00200FA7">
        <w:rPr>
          <w:lang w:val="en-GB"/>
        </w:rPr>
        <w:t>Table 1</w:t>
      </w:r>
      <w:r>
        <w:rPr>
          <w:lang w:val="en-GB"/>
        </w:rPr>
        <w:t xml:space="preserve">. </w:t>
      </w:r>
      <w:r w:rsidR="00E96196">
        <w:rPr>
          <w:lang w:val="en-GB"/>
        </w:rPr>
        <w:t>During the simulations,</w:t>
      </w:r>
      <w:r w:rsidR="00B31B20">
        <w:rPr>
          <w:lang w:val="en-GB"/>
        </w:rPr>
        <w:t xml:space="preserve"> the damping was varied between no damping and a damping equivalent to the</w:t>
      </w:r>
      <w:r>
        <w:rPr>
          <w:lang w:val="en-GB"/>
        </w:rPr>
        <w:t xml:space="preserve"> critical</w:t>
      </w:r>
      <w:r w:rsidR="00B31B20">
        <w:rPr>
          <w:lang w:val="en-GB"/>
        </w:rPr>
        <w:t xml:space="preserve"> damping of the spring-mass damper system</w:t>
      </w:r>
      <w:r w:rsidR="0067051D">
        <w:rPr>
          <w:lang w:val="en-GB"/>
        </w:rPr>
        <w:t xml:space="preserve"> with steps of 0.1</w:t>
      </w:r>
      <w:r w:rsidR="00B31B20">
        <w:rPr>
          <w:lang w:val="en-GB"/>
        </w:rPr>
        <w:t xml:space="preserve">. At every damping, simulations were carried out at </w:t>
      </w:r>
      <w:r w:rsidR="00101F79">
        <w:rPr>
          <w:lang w:val="en-GB"/>
        </w:rPr>
        <w:t xml:space="preserve">19 different </w:t>
      </w:r>
      <w:r w:rsidR="00B31B20">
        <w:rPr>
          <w:lang w:val="en-GB"/>
        </w:rPr>
        <w:t>lengths between 0.5 m and 5 m</w:t>
      </w:r>
      <w:r w:rsidR="00101F79">
        <w:rPr>
          <w:lang w:val="en-GB"/>
        </w:rPr>
        <w:t xml:space="preserve"> with a </w:t>
      </w:r>
      <w:r w:rsidR="00200FA7">
        <w:rPr>
          <w:lang w:val="en-GB"/>
        </w:rPr>
        <w:t>half-meter</w:t>
      </w:r>
      <w:r w:rsidR="00101F79">
        <w:rPr>
          <w:lang w:val="en-GB"/>
        </w:rPr>
        <w:t xml:space="preserve"> step</w:t>
      </w:r>
      <w:r w:rsidR="00D8703F">
        <w:rPr>
          <w:lang w:val="en-GB"/>
        </w:rPr>
        <w:t>, resulting</w:t>
      </w:r>
      <w:r w:rsidR="00B31B20">
        <w:rPr>
          <w:lang w:val="en-GB"/>
        </w:rPr>
        <w:t xml:space="preserve"> in </w:t>
      </w:r>
      <w:r w:rsidR="00910DCA">
        <w:rPr>
          <w:lang w:val="en-GB"/>
        </w:rPr>
        <w:t>209</w:t>
      </w:r>
      <w:r w:rsidR="00B31B20">
        <w:rPr>
          <w:lang w:val="en-GB"/>
        </w:rPr>
        <w:t xml:space="preserve"> simulation</w:t>
      </w:r>
      <w:r w:rsidR="00D8703F">
        <w:rPr>
          <w:lang w:val="en-GB"/>
        </w:rPr>
        <w:t>s</w:t>
      </w:r>
      <w:r w:rsidR="00B31B20">
        <w:rPr>
          <w:lang w:val="en-GB"/>
        </w:rPr>
        <w:t>.</w:t>
      </w:r>
    </w:p>
    <w:p w14:paraId="383010D4" w14:textId="516B3C51" w:rsidR="00EE22F0" w:rsidRDefault="00EE22F0" w:rsidP="00EE22F0">
      <w:pPr>
        <w:pStyle w:val="CETBodytext"/>
        <w:rPr>
          <w:lang w:val="en-GB"/>
        </w:rPr>
      </w:pPr>
      <w:r>
        <w:rPr>
          <w:lang w:val="en-GB"/>
        </w:rPr>
        <w:t xml:space="preserve">The results of the simulations can be seen in </w:t>
      </w:r>
      <w:r>
        <w:rPr>
          <w:lang w:val="en-GB"/>
        </w:rPr>
        <w:fldChar w:fldCharType="begin"/>
      </w:r>
      <w:r>
        <w:rPr>
          <w:lang w:val="en-GB"/>
        </w:rPr>
        <w:instrText xml:space="preserve"> REF _Ref182923453 \h </w:instrText>
      </w:r>
      <w:r>
        <w:rPr>
          <w:lang w:val="en-GB"/>
        </w:rPr>
      </w:r>
      <w:r>
        <w:rPr>
          <w:lang w:val="en-GB"/>
        </w:rPr>
        <w:fldChar w:fldCharType="separate"/>
      </w:r>
      <w:r>
        <w:t xml:space="preserve">Figure </w:t>
      </w:r>
      <w:r>
        <w:rPr>
          <w:noProof/>
        </w:rPr>
        <w:t>2</w:t>
      </w:r>
      <w:r>
        <w:rPr>
          <w:lang w:val="en-GB"/>
        </w:rPr>
        <w:fldChar w:fldCharType="end"/>
      </w:r>
      <w:r>
        <w:rPr>
          <w:lang w:val="en-GB"/>
        </w:rPr>
        <w:t xml:space="preserve">, with the red crosses denoting </w:t>
      </w:r>
      <w:r w:rsidR="007124E5">
        <w:rPr>
          <w:lang w:val="en-GB"/>
        </w:rPr>
        <w:t>an</w:t>
      </w:r>
      <w:r>
        <w:rPr>
          <w:lang w:val="en-GB"/>
        </w:rPr>
        <w:t xml:space="preserve"> </w:t>
      </w:r>
      <w:r w:rsidR="00200FA7">
        <w:rPr>
          <w:lang w:val="en-GB"/>
        </w:rPr>
        <w:t>unstable</w:t>
      </w:r>
      <w:r>
        <w:rPr>
          <w:lang w:val="en-GB"/>
        </w:rPr>
        <w:t xml:space="preserve">, and green crosses denoting a stable simulation. The results show that the safety valve is only stable under </w:t>
      </w:r>
      <w:r w:rsidR="00200FA7">
        <w:rPr>
          <w:lang w:val="en-GB"/>
        </w:rPr>
        <w:t>a</w:t>
      </w:r>
      <w:r>
        <w:rPr>
          <w:lang w:val="en-GB"/>
        </w:rPr>
        <w:t xml:space="preserve"> length</w:t>
      </w:r>
      <w:r w:rsidR="00200FA7">
        <w:rPr>
          <w:lang w:val="en-GB"/>
        </w:rPr>
        <w:t xml:space="preserve"> of less than 1 m with no damping</w:t>
      </w:r>
      <w:r>
        <w:rPr>
          <w:lang w:val="en-GB"/>
        </w:rPr>
        <w:t xml:space="preserve">. Increasing the </w:t>
      </w:r>
      <w:r w:rsidR="007124E5">
        <w:rPr>
          <w:lang w:val="en-GB"/>
        </w:rPr>
        <w:t>relative damping</w:t>
      </w:r>
      <w:r>
        <w:rPr>
          <w:lang w:val="en-GB"/>
        </w:rPr>
        <w:t xml:space="preserve"> does introduce stable </w:t>
      </w:r>
      <w:r w:rsidR="009A010E">
        <w:rPr>
          <w:lang w:val="en-GB"/>
        </w:rPr>
        <w:t>positions but</w:t>
      </w:r>
      <w:r>
        <w:rPr>
          <w:lang w:val="en-GB"/>
        </w:rPr>
        <w:t xml:space="preserve"> does not increase the lowest inlet line length </w:t>
      </w:r>
      <w:r w:rsidR="00200FA7">
        <w:rPr>
          <w:lang w:val="en-GB"/>
        </w:rPr>
        <w:t xml:space="preserve">where </w:t>
      </w:r>
      <w:r>
        <w:rPr>
          <w:lang w:val="en-GB"/>
        </w:rPr>
        <w:t>the safety valve is stable. That value only increases at 90% of</w:t>
      </w:r>
      <w:r w:rsidR="007124E5">
        <w:rPr>
          <w:lang w:val="en-GB"/>
        </w:rPr>
        <w:t xml:space="preserve"> the</w:t>
      </w:r>
      <w:r>
        <w:rPr>
          <w:lang w:val="en-GB"/>
        </w:rPr>
        <w:t xml:space="preserve"> critical damping</w:t>
      </w:r>
      <w:r w:rsidR="007124E5">
        <w:rPr>
          <w:lang w:val="en-GB"/>
        </w:rPr>
        <w:t xml:space="preserve">. </w:t>
      </w:r>
      <w:r w:rsidR="00200FA7">
        <w:rPr>
          <w:lang w:val="en-GB"/>
        </w:rPr>
        <w:t>The safety valve is stable in all inlet pipe lengths tested with a damping equivalent to the critical damping</w:t>
      </w:r>
      <w:r>
        <w:rPr>
          <w:lang w:val="en-GB"/>
        </w:rPr>
        <w:t xml:space="preserve">. </w:t>
      </w:r>
    </w:p>
    <w:p w14:paraId="2A0C629E" w14:textId="4BD02D3C" w:rsidR="00EE22F0" w:rsidRDefault="00EE22F0" w:rsidP="00934A11">
      <w:pPr>
        <w:pStyle w:val="CETBodytext"/>
        <w:rPr>
          <w:lang w:val="en-GB"/>
        </w:rPr>
      </w:pPr>
      <w:r>
        <w:rPr>
          <w:lang w:val="en-GB"/>
        </w:rPr>
        <w:lastRenderedPageBreak/>
        <w:t>The results of the simulation and the measurement align with expectations</w:t>
      </w:r>
      <w:r w:rsidR="00200FA7">
        <w:rPr>
          <w:lang w:val="en-GB"/>
        </w:rPr>
        <w:t>. Increasing the damping can improve the stability of the safety valve, but for the damping to have an effect at all lengths, a high damping was required. This, however, does result in a drop in the reseating pressure of</w:t>
      </w:r>
      <w:r>
        <w:rPr>
          <w:lang w:val="en-GB"/>
        </w:rPr>
        <w:t xml:space="preserve"> the safety valve.</w:t>
      </w:r>
    </w:p>
    <w:p w14:paraId="325D9501" w14:textId="77777777" w:rsidR="00910DCA" w:rsidRDefault="00910DCA" w:rsidP="00910DCA">
      <w:pPr>
        <w:pStyle w:val="CETBodytext"/>
        <w:keepNext/>
      </w:pPr>
      <w:r>
        <w:rPr>
          <w:noProof/>
        </w:rPr>
        <w:drawing>
          <wp:inline distT="0" distB="0" distL="0" distR="0" wp14:anchorId="4A83AD7B" wp14:editId="4E711C27">
            <wp:extent cx="2387600" cy="210538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1"/>
                    <a:srcRect t="11197" b="622"/>
                    <a:stretch/>
                  </pic:blipFill>
                  <pic:spPr bwMode="auto">
                    <a:xfrm>
                      <a:off x="0" y="0"/>
                      <a:ext cx="2393965" cy="2110999"/>
                    </a:xfrm>
                    <a:prstGeom prst="rect">
                      <a:avLst/>
                    </a:prstGeom>
                    <a:noFill/>
                    <a:ln>
                      <a:noFill/>
                    </a:ln>
                    <a:extLst>
                      <a:ext uri="{53640926-AAD7-44D8-BBD7-CCE9431645EC}">
                        <a14:shadowObscured xmlns:a14="http://schemas.microsoft.com/office/drawing/2010/main"/>
                      </a:ext>
                    </a:extLst>
                  </pic:spPr>
                </pic:pic>
              </a:graphicData>
            </a:graphic>
          </wp:inline>
        </w:drawing>
      </w:r>
    </w:p>
    <w:p w14:paraId="1615937C" w14:textId="013BEFA1" w:rsidR="00910DCA" w:rsidRDefault="00910DCA" w:rsidP="00910DCA">
      <w:pPr>
        <w:pStyle w:val="CETCaption"/>
      </w:pPr>
      <w:bookmarkStart w:id="3" w:name="_Ref182923453"/>
      <w:r>
        <w:t xml:space="preserve">Figure </w:t>
      </w:r>
      <w:r>
        <w:fldChar w:fldCharType="begin"/>
      </w:r>
      <w:r>
        <w:instrText xml:space="preserve"> SEQ Figure \* ARABIC </w:instrText>
      </w:r>
      <w:r>
        <w:fldChar w:fldCharType="separate"/>
      </w:r>
      <w:r w:rsidR="009B3171">
        <w:rPr>
          <w:noProof/>
        </w:rPr>
        <w:t>2</w:t>
      </w:r>
      <w:r>
        <w:fldChar w:fldCharType="end"/>
      </w:r>
      <w:bookmarkEnd w:id="3"/>
      <w:r>
        <w:t xml:space="preserve">. Stability map of simulations with varied damping and inlet pipe length. Red crosses mean an </w:t>
      </w:r>
      <w:r w:rsidR="00200FA7">
        <w:t>unstable</w:t>
      </w:r>
      <w:r>
        <w:t>, green crosses</w:t>
      </w:r>
      <w:r>
        <w:rPr>
          <w:noProof/>
        </w:rPr>
        <w:t xml:space="preserve"> mean a stable opening</w:t>
      </w:r>
    </w:p>
    <w:p w14:paraId="677EBFF0" w14:textId="65C5A374" w:rsidR="00600535" w:rsidRDefault="004E480B" w:rsidP="00600535">
      <w:pPr>
        <w:pStyle w:val="CETHeading1"/>
        <w:tabs>
          <w:tab w:val="clear" w:pos="360"/>
          <w:tab w:val="right" w:pos="7100"/>
        </w:tabs>
        <w:jc w:val="both"/>
        <w:rPr>
          <w:lang w:val="en-GB"/>
        </w:rPr>
      </w:pPr>
      <w:r>
        <w:rPr>
          <w:lang w:val="en-GB"/>
        </w:rPr>
        <w:t>Force</w:t>
      </w:r>
      <w:r w:rsidR="00F01D0C">
        <w:rPr>
          <w:lang w:val="en-GB"/>
        </w:rPr>
        <w:t xml:space="preserve"> curve </w:t>
      </w:r>
      <w:r w:rsidR="00200FA7">
        <w:rPr>
          <w:lang w:val="en-GB"/>
        </w:rPr>
        <w:t>optimization</w:t>
      </w:r>
    </w:p>
    <w:p w14:paraId="510C803D" w14:textId="5693512B" w:rsidR="00E07A21" w:rsidRPr="00E07A21" w:rsidRDefault="00E07A21" w:rsidP="00A0440F">
      <w:pPr>
        <w:pStyle w:val="CETBodytext"/>
        <w:rPr>
          <w:lang w:val="en-GB"/>
        </w:rPr>
      </w:pPr>
      <w:r>
        <w:rPr>
          <w:lang w:val="en-GB"/>
        </w:rPr>
        <w:t xml:space="preserve">Another option </w:t>
      </w:r>
      <w:r w:rsidR="00EB34B1">
        <w:rPr>
          <w:lang w:val="en-GB"/>
        </w:rPr>
        <w:t>for securing the stability of the safety valve is changing the fluid force acting on the valve disk, which can</w:t>
      </w:r>
      <w:r w:rsidR="00200FA7">
        <w:rPr>
          <w:lang w:val="en-GB"/>
        </w:rPr>
        <w:t>,</w:t>
      </w:r>
      <w:r w:rsidR="00EB34B1">
        <w:rPr>
          <w:lang w:val="en-GB"/>
        </w:rPr>
        <w:t xml:space="preserve"> for example</w:t>
      </w:r>
      <w:r w:rsidR="00200FA7">
        <w:rPr>
          <w:lang w:val="en-GB"/>
        </w:rPr>
        <w:t>,</w:t>
      </w:r>
      <w:r w:rsidR="00EB34B1">
        <w:rPr>
          <w:lang w:val="en-GB"/>
        </w:rPr>
        <w:t xml:space="preserve"> be achieved by modifying the valve disk itself.</w:t>
      </w:r>
      <w:r>
        <w:rPr>
          <w:lang w:val="en-GB"/>
        </w:rPr>
        <w:t xml:space="preserve"> </w:t>
      </w:r>
      <w:r w:rsidR="00EB34B1">
        <w:rPr>
          <w:lang w:val="en-GB"/>
        </w:rPr>
        <w:t xml:space="preserve">The fluid force </w:t>
      </w:r>
      <w:r w:rsidR="00CF71EE">
        <w:rPr>
          <w:lang w:val="en-GB"/>
        </w:rPr>
        <w:t xml:space="preserve">acting on the disk </w:t>
      </w:r>
      <w:r w:rsidR="00EB34B1">
        <w:rPr>
          <w:lang w:val="en-GB"/>
        </w:rPr>
        <w:t>is often</w:t>
      </w:r>
      <w:r w:rsidR="00CF71EE">
        <w:rPr>
          <w:lang w:val="en-GB"/>
        </w:rPr>
        <w:t xml:space="preserve"> simplified</w:t>
      </w:r>
      <w:r w:rsidR="00EB34B1">
        <w:rPr>
          <w:lang w:val="en-GB"/>
        </w:rPr>
        <w:t xml:space="preserve"> </w:t>
      </w:r>
      <w:r w:rsidR="00200FA7">
        <w:rPr>
          <w:lang w:val="en-GB"/>
        </w:rPr>
        <w:t xml:space="preserve">and </w:t>
      </w:r>
      <w:r w:rsidR="00EB34B1">
        <w:rPr>
          <w:lang w:val="en-GB"/>
        </w:rPr>
        <w:t xml:space="preserve">ignored in </w:t>
      </w:r>
      <w:r w:rsidR="00200FA7">
        <w:rPr>
          <w:lang w:val="en-GB"/>
        </w:rPr>
        <w:t xml:space="preserve">numerical </w:t>
      </w:r>
      <w:r w:rsidR="00EB34B1">
        <w:rPr>
          <w:lang w:val="en-GB"/>
        </w:rPr>
        <w:t xml:space="preserve">simulations or the various </w:t>
      </w:r>
      <w:r w:rsidR="00200FA7">
        <w:rPr>
          <w:lang w:val="en-GB"/>
        </w:rPr>
        <w:t xml:space="preserve">empirical </w:t>
      </w:r>
      <w:r w:rsidR="00EB34B1">
        <w:rPr>
          <w:lang w:val="en-GB"/>
        </w:rPr>
        <w:t>models</w:t>
      </w:r>
      <w:r w:rsidR="00CF71EE">
        <w:rPr>
          <w:lang w:val="en-GB"/>
        </w:rPr>
        <w:t xml:space="preserve"> by taking the effective area shown in Equation 2 as a constant</w:t>
      </w:r>
      <w:r w:rsidR="00EC5F11">
        <w:rPr>
          <w:lang w:val="en-GB"/>
        </w:rPr>
        <w:t xml:space="preserve">. </w:t>
      </w:r>
      <w:r w:rsidR="00EC5F11" w:rsidRPr="00F97AF2">
        <w:rPr>
          <w:noProof/>
          <w:lang w:val="en-GB"/>
        </w:rPr>
        <w:t>Keszthelyi et al.</w:t>
      </w:r>
      <w:r w:rsidR="00EB34B1">
        <w:rPr>
          <w:lang w:val="en-GB"/>
        </w:rPr>
        <w:t xml:space="preserve"> </w:t>
      </w:r>
      <w:r w:rsidR="00EB34B1">
        <w:rPr>
          <w:lang w:val="en-GB"/>
        </w:rPr>
        <w:fldChar w:fldCharType="begin" w:fldLock="1"/>
      </w:r>
      <w:r w:rsidR="00F97AF2">
        <w:rPr>
          <w:lang w:val="en-GB"/>
        </w:rPr>
        <w:instrText>ADDIN CSL_CITATION {"citationItems":[{"id":"ITEM-1","itemData":{"author":[{"dropping-particle":"","family":"Keszthelyi","given":"Gergely","non-dropping-particle":"","parse-names":false,"suffix":""},{"dropping-particle":"","family":"Schmidt","given":"Jürgen","non-dropping-particle":"","parse-names":false,"suffix":""},{"dropping-particle":"","family":"Denecke","given":"Jens","non-dropping-particle":"","parse-names":false,"suffix":""}],"container-title":"Conference on Modelling Fluid Flow (CMFF’22)","id":"ITEM-1","issued":{"date-parts":[["2022"]]},"page":"1-8","publisher-place":"Budapest, Hungary","title":"Effects of Valve Characteristics and Fluid Force on Valve Stability","type":"paper-conference"},"uris":["http://www.mendeley.com/documents/?uuid=d9753c71-a4d1-4a8c-a19d-7fbd39079e4d"]}],"mendeley":{"formattedCitation":"(Keszthelyi et al., 2022)","plainTextFormattedCitation":"(Keszthelyi et al., 2022)","previouslyFormattedCitation":"(Keszthelyi, Schmidt, and Denecke 2022)"},"properties":{"noteIndex":0},"schema":"https://github.com/citation-style-language/schema/raw/master/csl-citation.json"}</w:instrText>
      </w:r>
      <w:r w:rsidR="00EB34B1">
        <w:rPr>
          <w:lang w:val="en-GB"/>
        </w:rPr>
        <w:fldChar w:fldCharType="separate"/>
      </w:r>
      <w:r w:rsidR="00F97AF2" w:rsidRPr="00F97AF2">
        <w:rPr>
          <w:noProof/>
          <w:lang w:val="en-GB"/>
        </w:rPr>
        <w:t>(2022)</w:t>
      </w:r>
      <w:r w:rsidR="00EB34B1">
        <w:rPr>
          <w:lang w:val="en-GB"/>
        </w:rPr>
        <w:fldChar w:fldCharType="end"/>
      </w:r>
      <w:r w:rsidR="00EB34B1">
        <w:rPr>
          <w:lang w:val="en-GB"/>
        </w:rPr>
        <w:t xml:space="preserve"> have shown that </w:t>
      </w:r>
      <w:r w:rsidR="00200FA7">
        <w:rPr>
          <w:lang w:val="en-GB"/>
        </w:rPr>
        <w:t xml:space="preserve">an </w:t>
      </w:r>
      <w:r w:rsidR="00EB34B1">
        <w:rPr>
          <w:lang w:val="en-GB"/>
        </w:rPr>
        <w:t>i</w:t>
      </w:r>
      <w:r w:rsidR="00EC5F11">
        <w:rPr>
          <w:lang w:val="en-GB"/>
        </w:rPr>
        <w:t>ncreas</w:t>
      </w:r>
      <w:r w:rsidR="00200FA7">
        <w:rPr>
          <w:lang w:val="en-GB"/>
        </w:rPr>
        <w:t>e in</w:t>
      </w:r>
      <w:r w:rsidR="00EC5F11">
        <w:rPr>
          <w:lang w:val="en-GB"/>
        </w:rPr>
        <w:t xml:space="preserve"> the effective area</w:t>
      </w:r>
      <w:r w:rsidR="00EB34B1">
        <w:rPr>
          <w:lang w:val="en-GB"/>
        </w:rPr>
        <w:t xml:space="preserve"> </w:t>
      </w:r>
      <w:r w:rsidR="00200FA7">
        <w:rPr>
          <w:lang w:val="en-GB"/>
        </w:rPr>
        <w:t>has</w:t>
      </w:r>
      <w:r w:rsidR="00EB34B1">
        <w:rPr>
          <w:lang w:val="en-GB"/>
        </w:rPr>
        <w:t xml:space="preserve"> a positive effect on valve stability.</w:t>
      </w:r>
      <w:r w:rsidR="00EC23A8">
        <w:rPr>
          <w:lang w:val="en-GB"/>
        </w:rPr>
        <w:t xml:space="preserve"> </w:t>
      </w:r>
      <w:r w:rsidR="00EC5F11">
        <w:rPr>
          <w:lang w:val="en-GB"/>
        </w:rPr>
        <w:t>E</w:t>
      </w:r>
      <w:r w:rsidR="00AD7B32">
        <w:rPr>
          <w:lang w:val="en-GB"/>
        </w:rPr>
        <w:t xml:space="preserve">ffective area modifications </w:t>
      </w:r>
      <w:r w:rsidR="004C6170">
        <w:rPr>
          <w:lang w:val="en-GB"/>
        </w:rPr>
        <w:t>tend to c</w:t>
      </w:r>
      <w:r w:rsidR="00AD7B32">
        <w:rPr>
          <w:lang w:val="en-GB"/>
        </w:rPr>
        <w:t>los</w:t>
      </w:r>
      <w:r w:rsidR="004C6170">
        <w:rPr>
          <w:lang w:val="en-GB"/>
        </w:rPr>
        <w:t xml:space="preserve">e the valve </w:t>
      </w:r>
      <w:r w:rsidR="00AD7B32">
        <w:rPr>
          <w:lang w:val="en-GB"/>
        </w:rPr>
        <w:t xml:space="preserve">at pressures below the </w:t>
      </w:r>
      <w:r w:rsidR="00FD6D70">
        <w:rPr>
          <w:lang w:val="en-GB"/>
        </w:rPr>
        <w:t>reseating pressure</w:t>
      </w:r>
      <w:r w:rsidR="00AD7B32">
        <w:rPr>
          <w:lang w:val="en-GB"/>
        </w:rPr>
        <w:t xml:space="preserve"> proscribed by the standard. </w:t>
      </w:r>
      <w:r w:rsidR="00EB34B1">
        <w:rPr>
          <w:lang w:val="en-GB"/>
        </w:rPr>
        <w:t>The aim is to evaluate theoretical safety valve c</w:t>
      </w:r>
      <w:r w:rsidR="004C6170">
        <w:rPr>
          <w:lang w:val="en-GB"/>
        </w:rPr>
        <w:t xml:space="preserve">haracteristics </w:t>
      </w:r>
      <w:r w:rsidR="00EB34B1">
        <w:rPr>
          <w:lang w:val="en-GB"/>
        </w:rPr>
        <w:t xml:space="preserve">to </w:t>
      </w:r>
      <w:r w:rsidR="004C6170">
        <w:rPr>
          <w:lang w:val="en-GB"/>
        </w:rPr>
        <w:t xml:space="preserve">get </w:t>
      </w:r>
      <w:r w:rsidR="00EB34B1">
        <w:rPr>
          <w:lang w:val="en-GB"/>
        </w:rPr>
        <w:t>possib</w:t>
      </w:r>
      <w:r w:rsidR="004C6170">
        <w:rPr>
          <w:lang w:val="en-GB"/>
        </w:rPr>
        <w:t>le force curves</w:t>
      </w:r>
      <w:r w:rsidR="00EB34B1">
        <w:rPr>
          <w:lang w:val="en-GB"/>
        </w:rPr>
        <w:t xml:space="preserve"> within the limitations prescribed by the standards.</w:t>
      </w:r>
    </w:p>
    <w:p w14:paraId="605D1CF8" w14:textId="235F141B" w:rsidR="00EC23A8" w:rsidRDefault="00E74F00" w:rsidP="00EC23A8">
      <w:pPr>
        <w:pStyle w:val="CETBodytext"/>
        <w:rPr>
          <w:lang w:val="en-GB"/>
        </w:rPr>
      </w:pPr>
      <w:r>
        <w:rPr>
          <w:lang w:val="en-GB"/>
        </w:rPr>
        <w:t xml:space="preserve">To guarantee that the valve fully opens at 110% set pressure the fluid force must be larger than the spring force at every possible opening, as otherwise there could </w:t>
      </w:r>
      <w:r w:rsidR="006B0594">
        <w:rPr>
          <w:lang w:val="en-GB"/>
        </w:rPr>
        <w:t>be</w:t>
      </w:r>
      <w:r>
        <w:rPr>
          <w:lang w:val="en-GB"/>
        </w:rPr>
        <w:t xml:space="preserve"> a stable solution for Equation 1 that is not the full opening of the safety valve. Using the effective area introduced in Equation 2</w:t>
      </w:r>
      <w:r w:rsidR="002A50F0">
        <w:rPr>
          <w:lang w:val="en-GB"/>
        </w:rPr>
        <w:t>, and assuming that the back pressure is the atmospheric pressure</w:t>
      </w:r>
      <w:r>
        <w:rPr>
          <w:lang w:val="en-GB"/>
        </w:rPr>
        <w:t>, this inequality takes the form of</w:t>
      </w:r>
      <w:r w:rsidR="006B0594">
        <w:rPr>
          <w:lang w:val="en-GB"/>
        </w:rPr>
        <w:t>:</w:t>
      </w:r>
      <w:r w:rsidR="00AD7B32">
        <w:rPr>
          <w:lang w:val="en-GB"/>
        </w:rPr>
        <w:t xml:space="preserve"> </w:t>
      </w:r>
    </w:p>
    <w:tbl>
      <w:tblPr>
        <w:tblW w:w="5000" w:type="pct"/>
        <w:tblLook w:val="04A0" w:firstRow="1" w:lastRow="0" w:firstColumn="1" w:lastColumn="0" w:noHBand="0" w:noVBand="1"/>
      </w:tblPr>
      <w:tblGrid>
        <w:gridCol w:w="7983"/>
        <w:gridCol w:w="804"/>
      </w:tblGrid>
      <w:tr w:rsidR="00E74F00" w:rsidRPr="00B57B36" w14:paraId="2EDE78D5" w14:textId="77777777" w:rsidTr="00C70AED">
        <w:tc>
          <w:tcPr>
            <w:tcW w:w="8188" w:type="dxa"/>
            <w:shd w:val="clear" w:color="auto" w:fill="auto"/>
            <w:vAlign w:val="center"/>
          </w:tcPr>
          <w:p w14:paraId="3DD125A9" w14:textId="6A70CF2D" w:rsidR="00E74F00" w:rsidRPr="00E74F00" w:rsidRDefault="00000000" w:rsidP="00C70AED">
            <w:pPr>
              <w:pStyle w:val="CETEquation"/>
              <w:rPr>
                <w:iCs/>
              </w:rPr>
            </w:pPr>
            <m:oMathPara>
              <m:oMath>
                <m:sSub>
                  <m:sSubPr>
                    <m:ctrlPr>
                      <w:rPr>
                        <w:rFonts w:ascii="Cambria Math" w:hAnsi="Cambria Math"/>
                        <w:i/>
                      </w:rPr>
                    </m:ctrlPr>
                  </m:sSubPr>
                  <m:e>
                    <m:r>
                      <w:rPr>
                        <w:rFonts w:ascii="Cambria Math" w:hAnsi="Cambria Math"/>
                      </w:rPr>
                      <m:t>A</m:t>
                    </m:r>
                  </m:e>
                  <m:sub>
                    <m:r>
                      <w:rPr>
                        <w:rFonts w:ascii="Cambria Math" w:hAnsi="Cambria Math"/>
                      </w:rPr>
                      <m:t>eff</m:t>
                    </m:r>
                  </m:sub>
                </m:sSub>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set</m:t>
                        </m:r>
                      </m:sub>
                    </m:sSub>
                    <m:r>
                      <w:rPr>
                        <w:rFonts w:ascii="Cambria Math" w:hAnsi="Cambria Math"/>
                      </w:rPr>
                      <m:t>⋅1.1</m:t>
                    </m:r>
                    <m:ctrlPr>
                      <w:rPr>
                        <w:rFonts w:ascii="Cambria Math" w:hAnsi="Cambria Math"/>
                        <w:i/>
                        <w:iCs/>
                      </w:rPr>
                    </m:ctrlPr>
                  </m:e>
                </m:d>
                <m:r>
                  <w:rPr>
                    <w:rFonts w:ascii="Cambria Math" w:hAnsi="Cambria Math"/>
                  </w:rPr>
                  <m:t>&gt;k⋅(x+</m:t>
                </m:r>
                <m:sSub>
                  <m:sSubPr>
                    <m:ctrlPr>
                      <w:rPr>
                        <w:rFonts w:ascii="Cambria Math" w:hAnsi="Cambria Math"/>
                        <w:i/>
                        <w:iCs/>
                      </w:rPr>
                    </m:ctrlPr>
                  </m:sSubPr>
                  <m:e>
                    <m:r>
                      <w:rPr>
                        <w:rFonts w:ascii="Cambria Math" w:hAnsi="Cambria Math"/>
                      </w:rPr>
                      <m:t>x</m:t>
                    </m:r>
                  </m:e>
                  <m:sub>
                    <m:r>
                      <w:rPr>
                        <w:rFonts w:ascii="Cambria Math" w:hAnsi="Cambria Math"/>
                      </w:rPr>
                      <m:t>0</m:t>
                    </m:r>
                  </m:sub>
                </m:sSub>
                <m:r>
                  <w:rPr>
                    <w:rFonts w:ascii="Cambria Math" w:hAnsi="Cambria Math"/>
                  </w:rPr>
                  <m:t>)</m:t>
                </m:r>
              </m:oMath>
            </m:oMathPara>
          </w:p>
        </w:tc>
        <w:tc>
          <w:tcPr>
            <w:tcW w:w="815" w:type="dxa"/>
            <w:shd w:val="clear" w:color="auto" w:fill="auto"/>
            <w:vAlign w:val="center"/>
          </w:tcPr>
          <w:p w14:paraId="1B9E9C4A" w14:textId="2AA6AC6F" w:rsidR="00E74F00" w:rsidRPr="00B57B36" w:rsidRDefault="00E74F00" w:rsidP="00C70AED">
            <w:pPr>
              <w:pStyle w:val="CETEquation"/>
              <w:jc w:val="right"/>
            </w:pPr>
            <w:r w:rsidRPr="00B57B36">
              <w:t>(</w:t>
            </w:r>
            <w:r w:rsidR="0039290D">
              <w:t>7</w:t>
            </w:r>
            <w:r w:rsidRPr="00B57B36">
              <w:t>)</w:t>
            </w:r>
          </w:p>
        </w:tc>
      </w:tr>
    </w:tbl>
    <w:p w14:paraId="7FF5B947" w14:textId="29D92010" w:rsidR="00E74F00" w:rsidRDefault="002A50F0" w:rsidP="00EC23A8">
      <w:pPr>
        <w:pStyle w:val="CETBodytext"/>
        <w:rPr>
          <w:lang w:val="en-GB"/>
        </w:rPr>
      </w:pPr>
      <w:r>
        <w:rPr>
          <w:lang w:val="en-GB"/>
        </w:rPr>
        <w:t>with the set pressure being defined in bar</w:t>
      </w:r>
      <w:r w:rsidR="00EC5F11">
        <w:rPr>
          <w:lang w:val="en-GB"/>
        </w:rPr>
        <w:t>(g)</w:t>
      </w:r>
      <w:r>
        <w:rPr>
          <w:lang w:val="en-GB"/>
        </w:rPr>
        <w:t xml:space="preserve">. </w:t>
      </w:r>
      <w:r w:rsidR="006B0594">
        <w:rPr>
          <w:lang w:val="en-GB"/>
        </w:rPr>
        <w:t xml:space="preserve">Similarly, for the safety valve to close by reaching the minimum pressure allowed by the standard, the force acting on the disk needs to be smaller than the </w:t>
      </w:r>
      <w:r w:rsidR="00AF14AC">
        <w:rPr>
          <w:lang w:val="en-GB"/>
        </w:rPr>
        <w:t>force exhibited by the spring</w:t>
      </w:r>
      <w:r w:rsidR="00EC5F11">
        <w:rPr>
          <w:lang w:val="en-GB"/>
        </w:rPr>
        <w:t xml:space="preserve"> at every possible opening</w:t>
      </w:r>
      <w:r w:rsidR="00AF14AC">
        <w:rPr>
          <w:lang w:val="en-GB"/>
        </w:rPr>
        <w:t>. This inequality takes the form of:</w:t>
      </w:r>
    </w:p>
    <w:tbl>
      <w:tblPr>
        <w:tblW w:w="5000" w:type="pct"/>
        <w:tblLook w:val="04A0" w:firstRow="1" w:lastRow="0" w:firstColumn="1" w:lastColumn="0" w:noHBand="0" w:noVBand="1"/>
      </w:tblPr>
      <w:tblGrid>
        <w:gridCol w:w="7983"/>
        <w:gridCol w:w="804"/>
      </w:tblGrid>
      <w:tr w:rsidR="00AF14AC" w:rsidRPr="00B57B36" w14:paraId="4EEFF8AF" w14:textId="77777777" w:rsidTr="00C70AED">
        <w:tc>
          <w:tcPr>
            <w:tcW w:w="8188" w:type="dxa"/>
            <w:shd w:val="clear" w:color="auto" w:fill="auto"/>
            <w:vAlign w:val="center"/>
          </w:tcPr>
          <w:p w14:paraId="51DDBDF4" w14:textId="78A1345B" w:rsidR="00AF14AC" w:rsidRPr="00E74F00" w:rsidRDefault="00000000" w:rsidP="00C70AED">
            <w:pPr>
              <w:pStyle w:val="CETEquation"/>
              <w:rPr>
                <w:iCs/>
              </w:rPr>
            </w:pPr>
            <m:oMathPara>
              <m:oMath>
                <m:sSub>
                  <m:sSubPr>
                    <m:ctrlPr>
                      <w:rPr>
                        <w:rFonts w:ascii="Cambria Math" w:hAnsi="Cambria Math"/>
                        <w:i/>
                      </w:rPr>
                    </m:ctrlPr>
                  </m:sSubPr>
                  <m:e>
                    <m:r>
                      <w:rPr>
                        <w:rFonts w:ascii="Cambria Math" w:hAnsi="Cambria Math"/>
                      </w:rPr>
                      <m:t>A</m:t>
                    </m:r>
                  </m:e>
                  <m:sub>
                    <m:r>
                      <w:rPr>
                        <w:rFonts w:ascii="Cambria Math" w:hAnsi="Cambria Math"/>
                      </w:rPr>
                      <m:t>eff</m:t>
                    </m:r>
                  </m:sub>
                </m:sSub>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set</m:t>
                        </m:r>
                      </m:sub>
                    </m:sSub>
                    <m:r>
                      <w:rPr>
                        <w:rFonts w:ascii="Cambria Math" w:hAnsi="Cambria Math"/>
                      </w:rPr>
                      <m:t>⋅0.85</m:t>
                    </m:r>
                  </m:e>
                </m:d>
                <m:r>
                  <w:rPr>
                    <w:rFonts w:ascii="Cambria Math" w:hAnsi="Cambria Math"/>
                  </w:rPr>
                  <m:t>&lt;k⋅(x+</m:t>
                </m:r>
                <m:sSub>
                  <m:sSubPr>
                    <m:ctrlPr>
                      <w:rPr>
                        <w:rFonts w:ascii="Cambria Math" w:hAnsi="Cambria Math"/>
                        <w:i/>
                        <w:iCs/>
                      </w:rPr>
                    </m:ctrlPr>
                  </m:sSubPr>
                  <m:e>
                    <m:r>
                      <w:rPr>
                        <w:rFonts w:ascii="Cambria Math" w:hAnsi="Cambria Math"/>
                      </w:rPr>
                      <m:t>x</m:t>
                    </m:r>
                  </m:e>
                  <m:sub>
                    <m:r>
                      <w:rPr>
                        <w:rFonts w:ascii="Cambria Math" w:hAnsi="Cambria Math"/>
                      </w:rPr>
                      <m:t>0</m:t>
                    </m:r>
                  </m:sub>
                </m:sSub>
                <m:r>
                  <w:rPr>
                    <w:rFonts w:ascii="Cambria Math" w:hAnsi="Cambria Math"/>
                  </w:rPr>
                  <m:t>)</m:t>
                </m:r>
              </m:oMath>
            </m:oMathPara>
          </w:p>
        </w:tc>
        <w:tc>
          <w:tcPr>
            <w:tcW w:w="815" w:type="dxa"/>
            <w:shd w:val="clear" w:color="auto" w:fill="auto"/>
            <w:vAlign w:val="center"/>
          </w:tcPr>
          <w:p w14:paraId="42CD0970" w14:textId="2F166274" w:rsidR="00AF14AC" w:rsidRPr="00B57B36" w:rsidRDefault="00AF14AC" w:rsidP="00C70AED">
            <w:pPr>
              <w:pStyle w:val="CETEquation"/>
              <w:jc w:val="right"/>
            </w:pPr>
            <w:r w:rsidRPr="00B57B36">
              <w:t>(</w:t>
            </w:r>
            <w:r w:rsidR="0039290D">
              <w:t>8</w:t>
            </w:r>
            <w:r w:rsidRPr="00B57B36">
              <w:t>)</w:t>
            </w:r>
          </w:p>
        </w:tc>
      </w:tr>
    </w:tbl>
    <w:p w14:paraId="5B7BF775" w14:textId="624D83D3" w:rsidR="00E74F00" w:rsidRDefault="00AF14AC" w:rsidP="00EC23A8">
      <w:pPr>
        <w:pStyle w:val="CETBodytext"/>
        <w:rPr>
          <w:lang w:val="en-GB"/>
        </w:rPr>
      </w:pPr>
      <w:r>
        <w:rPr>
          <w:lang w:val="en-GB"/>
        </w:rPr>
        <w:t xml:space="preserve">Combining these equations, and </w:t>
      </w:r>
      <w:r w:rsidR="004C6170">
        <w:rPr>
          <w:lang w:val="en-GB"/>
        </w:rPr>
        <w:t>reorganizing</w:t>
      </w:r>
      <w:r>
        <w:rPr>
          <w:lang w:val="en-GB"/>
        </w:rPr>
        <w:t xml:space="preserve"> for the effective area, </w:t>
      </w:r>
      <w:r w:rsidR="004C6170">
        <w:rPr>
          <w:lang w:val="en-GB"/>
        </w:rPr>
        <w:t>it yields</w:t>
      </w:r>
      <w:r>
        <w:rPr>
          <w:lang w:val="en-GB"/>
        </w:rPr>
        <w:t>:</w:t>
      </w:r>
    </w:p>
    <w:tbl>
      <w:tblPr>
        <w:tblW w:w="5000" w:type="pct"/>
        <w:tblLook w:val="04A0" w:firstRow="1" w:lastRow="0" w:firstColumn="1" w:lastColumn="0" w:noHBand="0" w:noVBand="1"/>
      </w:tblPr>
      <w:tblGrid>
        <w:gridCol w:w="7983"/>
        <w:gridCol w:w="804"/>
      </w:tblGrid>
      <w:tr w:rsidR="00AF14AC" w:rsidRPr="00B57B36" w14:paraId="53F37EE6" w14:textId="77777777" w:rsidTr="00C70AED">
        <w:tc>
          <w:tcPr>
            <w:tcW w:w="8188" w:type="dxa"/>
            <w:shd w:val="clear" w:color="auto" w:fill="auto"/>
            <w:vAlign w:val="center"/>
          </w:tcPr>
          <w:p w14:paraId="4CCAA542" w14:textId="7F39C131" w:rsidR="00AF14AC" w:rsidRPr="00E74F00" w:rsidRDefault="00000000" w:rsidP="00C70AED">
            <w:pPr>
              <w:pStyle w:val="CETEquation"/>
              <w:rPr>
                <w:iCs/>
              </w:rPr>
            </w:pPr>
            <m:oMathPara>
              <m:oMath>
                <m:f>
                  <m:fPr>
                    <m:ctrlPr>
                      <w:rPr>
                        <w:rFonts w:ascii="Cambria Math" w:hAnsi="Cambria Math"/>
                        <w:i/>
                        <w:iCs/>
                      </w:rPr>
                    </m:ctrlPr>
                  </m:fPr>
                  <m:num>
                    <m:r>
                      <w:rPr>
                        <w:rFonts w:ascii="Cambria Math" w:hAnsi="Cambria Math"/>
                      </w:rPr>
                      <m:t>k⋅(x+</m:t>
                    </m:r>
                    <m:sSub>
                      <m:sSubPr>
                        <m:ctrlPr>
                          <w:rPr>
                            <w:rFonts w:ascii="Cambria Math" w:hAnsi="Cambria Math"/>
                            <w:i/>
                            <w:iCs/>
                          </w:rPr>
                        </m:ctrlPr>
                      </m:sSubPr>
                      <m:e>
                        <m:r>
                          <w:rPr>
                            <w:rFonts w:ascii="Cambria Math" w:hAnsi="Cambria Math"/>
                          </w:rPr>
                          <m:t>x</m:t>
                        </m:r>
                      </m:e>
                      <m:sub>
                        <m:r>
                          <w:rPr>
                            <w:rFonts w:ascii="Cambria Math" w:hAnsi="Cambria Math"/>
                          </w:rPr>
                          <m:t>0</m:t>
                        </m:r>
                      </m:sub>
                    </m:sSub>
                    <m:r>
                      <w:rPr>
                        <w:rFonts w:ascii="Cambria Math" w:hAnsi="Cambria Math"/>
                      </w:rPr>
                      <m:t>)</m:t>
                    </m:r>
                  </m:num>
                  <m:den>
                    <m:sSub>
                      <m:sSubPr>
                        <m:ctrlPr>
                          <w:rPr>
                            <w:rFonts w:ascii="Cambria Math" w:hAnsi="Cambria Math"/>
                            <w:i/>
                          </w:rPr>
                        </m:ctrlPr>
                      </m:sSubPr>
                      <m:e>
                        <m:r>
                          <w:rPr>
                            <w:rFonts w:ascii="Cambria Math" w:hAnsi="Cambria Math"/>
                          </w:rPr>
                          <m:t>p</m:t>
                        </m:r>
                      </m:e>
                      <m:sub>
                        <m:r>
                          <w:rPr>
                            <w:rFonts w:ascii="Cambria Math" w:hAnsi="Cambria Math"/>
                          </w:rPr>
                          <m:t>set</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1.1</m:t>
                    </m:r>
                  </m:den>
                </m:f>
                <m:r>
                  <w:rPr>
                    <w:rFonts w:ascii="Cambria Math" w:hAnsi="Cambria Math"/>
                  </w:rPr>
                  <m:t>&lt;</m:t>
                </m:r>
                <m:sSub>
                  <m:sSubPr>
                    <m:ctrlPr>
                      <w:rPr>
                        <w:rFonts w:ascii="Cambria Math" w:hAnsi="Cambria Math"/>
                        <w:i/>
                      </w:rPr>
                    </m:ctrlPr>
                  </m:sSubPr>
                  <m:e>
                    <m:r>
                      <w:rPr>
                        <w:rFonts w:ascii="Cambria Math" w:hAnsi="Cambria Math"/>
                      </w:rPr>
                      <m:t>A</m:t>
                    </m:r>
                  </m:e>
                  <m:sub>
                    <m:r>
                      <w:rPr>
                        <w:rFonts w:ascii="Cambria Math" w:hAnsi="Cambria Math"/>
                      </w:rPr>
                      <m:t>eff</m:t>
                    </m:r>
                  </m:sub>
                </m:sSub>
                <m:d>
                  <m:dPr>
                    <m:ctrlPr>
                      <w:rPr>
                        <w:rFonts w:ascii="Cambria Math" w:hAnsi="Cambria Math"/>
                        <w:i/>
                      </w:rPr>
                    </m:ctrlPr>
                  </m:dPr>
                  <m:e>
                    <m:r>
                      <w:rPr>
                        <w:rFonts w:ascii="Cambria Math" w:hAnsi="Cambria Math"/>
                      </w:rPr>
                      <m:t>x</m:t>
                    </m:r>
                  </m:e>
                </m:d>
                <m:r>
                  <w:rPr>
                    <w:rFonts w:ascii="Cambria Math" w:hAnsi="Cambria Math"/>
                  </w:rPr>
                  <m:t>&lt;</m:t>
                </m:r>
                <m:f>
                  <m:fPr>
                    <m:ctrlPr>
                      <w:rPr>
                        <w:rFonts w:ascii="Cambria Math" w:hAnsi="Cambria Math"/>
                        <w:i/>
                        <w:iCs/>
                      </w:rPr>
                    </m:ctrlPr>
                  </m:fPr>
                  <m:num>
                    <m:r>
                      <w:rPr>
                        <w:rFonts w:ascii="Cambria Math" w:hAnsi="Cambria Math"/>
                      </w:rPr>
                      <m:t>k⋅(x+</m:t>
                    </m:r>
                    <m:sSub>
                      <m:sSubPr>
                        <m:ctrlPr>
                          <w:rPr>
                            <w:rFonts w:ascii="Cambria Math" w:hAnsi="Cambria Math"/>
                            <w:i/>
                            <w:iCs/>
                          </w:rPr>
                        </m:ctrlPr>
                      </m:sSubPr>
                      <m:e>
                        <m:r>
                          <w:rPr>
                            <w:rFonts w:ascii="Cambria Math" w:hAnsi="Cambria Math"/>
                          </w:rPr>
                          <m:t>x</m:t>
                        </m:r>
                      </m:e>
                      <m:sub>
                        <m:r>
                          <w:rPr>
                            <w:rFonts w:ascii="Cambria Math" w:hAnsi="Cambria Math"/>
                          </w:rPr>
                          <m:t>0</m:t>
                        </m:r>
                      </m:sub>
                    </m:sSub>
                    <m:r>
                      <w:rPr>
                        <w:rFonts w:ascii="Cambria Math" w:hAnsi="Cambria Math"/>
                      </w:rPr>
                      <m:t>)</m:t>
                    </m:r>
                  </m:num>
                  <m:den>
                    <m:sSub>
                      <m:sSubPr>
                        <m:ctrlPr>
                          <w:rPr>
                            <w:rFonts w:ascii="Cambria Math" w:hAnsi="Cambria Math"/>
                            <w:i/>
                          </w:rPr>
                        </m:ctrlPr>
                      </m:sSubPr>
                      <m:e>
                        <m:r>
                          <w:rPr>
                            <w:rFonts w:ascii="Cambria Math" w:hAnsi="Cambria Math"/>
                          </w:rPr>
                          <m:t>p</m:t>
                        </m:r>
                      </m:e>
                      <m:sub>
                        <m:r>
                          <w:rPr>
                            <w:rFonts w:ascii="Cambria Math" w:hAnsi="Cambria Math"/>
                          </w:rPr>
                          <m:t>set</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0.85</m:t>
                    </m:r>
                  </m:den>
                </m:f>
              </m:oMath>
            </m:oMathPara>
          </w:p>
        </w:tc>
        <w:tc>
          <w:tcPr>
            <w:tcW w:w="815" w:type="dxa"/>
            <w:shd w:val="clear" w:color="auto" w:fill="auto"/>
            <w:vAlign w:val="center"/>
          </w:tcPr>
          <w:p w14:paraId="1532ABBF" w14:textId="0DB79D0D" w:rsidR="00AF14AC" w:rsidRPr="00B57B36" w:rsidRDefault="00AF14AC" w:rsidP="00C70AED">
            <w:pPr>
              <w:pStyle w:val="CETEquation"/>
              <w:jc w:val="right"/>
            </w:pPr>
            <w:r w:rsidRPr="00B57B36">
              <w:t>(</w:t>
            </w:r>
            <w:r w:rsidR="0039290D">
              <w:t>9</w:t>
            </w:r>
            <w:r w:rsidRPr="00B57B36">
              <w:t>)</w:t>
            </w:r>
          </w:p>
        </w:tc>
      </w:tr>
    </w:tbl>
    <w:p w14:paraId="2CB356E8" w14:textId="2DD78611" w:rsidR="00A0440F" w:rsidRDefault="00EC23A8" w:rsidP="00DF7E02">
      <w:pPr>
        <w:pStyle w:val="CETBodytext"/>
        <w:rPr>
          <w:lang w:val="en-GB"/>
        </w:rPr>
      </w:pPr>
      <w:r>
        <w:rPr>
          <w:lang w:val="en-GB"/>
        </w:rPr>
        <w:t xml:space="preserve">Therefore, for the safety valve to open and close as specified within the standard, the </w:t>
      </w:r>
      <w:r w:rsidR="00DB2AA9">
        <w:rPr>
          <w:lang w:val="en-GB"/>
        </w:rPr>
        <w:t xml:space="preserve">force curve must be </w:t>
      </w:r>
      <w:r w:rsidR="004C6170">
        <w:rPr>
          <w:lang w:val="en-GB"/>
        </w:rPr>
        <w:t>optimized</w:t>
      </w:r>
      <w:r w:rsidR="00DB2AA9">
        <w:rPr>
          <w:lang w:val="en-GB"/>
        </w:rPr>
        <w:t xml:space="preserve"> in such a way, that the curve stays between the limits prescribed in Equation</w:t>
      </w:r>
      <w:r w:rsidR="00AF14AC">
        <w:rPr>
          <w:lang w:val="en-GB"/>
        </w:rPr>
        <w:t xml:space="preserve"> </w:t>
      </w:r>
      <w:r w:rsidR="00DF7E02">
        <w:rPr>
          <w:lang w:val="en-GB"/>
        </w:rPr>
        <w:t>9</w:t>
      </w:r>
      <w:r w:rsidR="00953C40">
        <w:rPr>
          <w:lang w:val="en-GB"/>
        </w:rPr>
        <w:t>.</w:t>
      </w:r>
      <w:r w:rsidR="00EC5F11">
        <w:rPr>
          <w:lang w:val="en-GB"/>
        </w:rPr>
        <w:t xml:space="preserve"> A visuali</w:t>
      </w:r>
      <w:r w:rsidR="004C6170">
        <w:rPr>
          <w:lang w:val="en-GB"/>
        </w:rPr>
        <w:t>z</w:t>
      </w:r>
      <w:r w:rsidR="00EC5F11">
        <w:rPr>
          <w:lang w:val="en-GB"/>
        </w:rPr>
        <w:t>ation can be seen in Figure 3, which also shows</w:t>
      </w:r>
      <w:r w:rsidR="00916F6A">
        <w:rPr>
          <w:lang w:val="en-GB"/>
        </w:rPr>
        <w:t xml:space="preserve"> </w:t>
      </w:r>
      <w:r w:rsidR="00EC5F11">
        <w:rPr>
          <w:lang w:val="en-GB"/>
        </w:rPr>
        <w:t>f</w:t>
      </w:r>
      <w:r w:rsidR="00DF7E02">
        <w:rPr>
          <w:lang w:val="en-GB"/>
        </w:rPr>
        <w:t>our selected effective area curves: the constant nozzle area in black as a reference, a suitably large increase in blue, and the maximum and minimum curves modified to start in the nozzle area when the valve is closed in green and orange.</w:t>
      </w:r>
    </w:p>
    <w:p w14:paraId="19C52859" w14:textId="4F0A9241" w:rsidR="00885C0F" w:rsidRDefault="00885C0F" w:rsidP="00127942">
      <w:pPr>
        <w:pStyle w:val="CETBodytext"/>
        <w:rPr>
          <w:lang w:val="en-GB"/>
        </w:rPr>
      </w:pPr>
      <w:r>
        <w:rPr>
          <w:lang w:val="en-GB"/>
        </w:rPr>
        <w:t xml:space="preserve">To evaluate the opening and closing </w:t>
      </w:r>
      <w:r w:rsidR="00953C40">
        <w:rPr>
          <w:lang w:val="en-GB"/>
        </w:rPr>
        <w:t xml:space="preserve">behaviour </w:t>
      </w:r>
      <w:r>
        <w:rPr>
          <w:lang w:val="en-GB"/>
        </w:rPr>
        <w:t xml:space="preserve">of these </w:t>
      </w:r>
      <w:r w:rsidR="00953C40">
        <w:rPr>
          <w:lang w:val="en-GB"/>
        </w:rPr>
        <w:t>effective area curves</w:t>
      </w:r>
      <w:r>
        <w:rPr>
          <w:lang w:val="en-GB"/>
        </w:rPr>
        <w:t>,</w:t>
      </w:r>
      <w:r w:rsidR="00953C40">
        <w:rPr>
          <w:lang w:val="en-GB"/>
        </w:rPr>
        <w:t xml:space="preserve"> a simulation without a pipe were conducted. In these simulations the vessel pressure was increased from 95% of the set pressure to 110% of the set pressure with a pressure increase of 0.1 bar/s, and then after 3 seconds</w:t>
      </w:r>
      <w:r>
        <w:rPr>
          <w:lang w:val="en-GB"/>
        </w:rPr>
        <w:t xml:space="preserve"> </w:t>
      </w:r>
      <w:r w:rsidR="00953C40">
        <w:rPr>
          <w:lang w:val="en-GB"/>
        </w:rPr>
        <w:t xml:space="preserve">the pressure was reduced to 85% of the set pressure, with the same </w:t>
      </w:r>
      <w:r w:rsidR="00EC5F11">
        <w:rPr>
          <w:lang w:val="en-GB"/>
        </w:rPr>
        <w:t>speed</w:t>
      </w:r>
      <w:r w:rsidR="00953C40">
        <w:rPr>
          <w:lang w:val="en-GB"/>
        </w:rPr>
        <w:t>. The results of these simulations can be seen in</w:t>
      </w:r>
      <w:r w:rsidR="00F515E9">
        <w:rPr>
          <w:lang w:val="en-GB"/>
        </w:rPr>
        <w:t xml:space="preserve"> the left</w:t>
      </w:r>
      <w:r w:rsidR="00953C40">
        <w:rPr>
          <w:lang w:val="en-GB"/>
        </w:rPr>
        <w:t xml:space="preserve"> Figure 4, which on the image shows the lift of the different effective area curves tested, with the colours matching the ones seen in Figure 3. </w:t>
      </w:r>
      <w:r w:rsidR="00F515E9">
        <w:rPr>
          <w:lang w:val="en-GB"/>
        </w:rPr>
        <w:t>The right side of Figure 4. shows the results of the same setup, but with an inlet line of one meter. The pressure in the vessel during the opening can be seen in the middle of the image.</w:t>
      </w:r>
    </w:p>
    <w:p w14:paraId="5806637C" w14:textId="77777777" w:rsidR="00AE3676" w:rsidRDefault="00AE3676" w:rsidP="00AE3676">
      <w:pPr>
        <w:pStyle w:val="CETBodytext"/>
        <w:keepNext/>
      </w:pPr>
      <w:r>
        <w:rPr>
          <w:noProof/>
        </w:rPr>
        <w:lastRenderedPageBreak/>
        <w:drawing>
          <wp:inline distT="0" distB="0" distL="0" distR="0" wp14:anchorId="54753FB1" wp14:editId="112EEF0B">
            <wp:extent cx="2209800" cy="21557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12"/>
                    <a:srcRect t="1183" b="1263"/>
                    <a:stretch/>
                  </pic:blipFill>
                  <pic:spPr bwMode="auto">
                    <a:xfrm>
                      <a:off x="0" y="0"/>
                      <a:ext cx="2219026" cy="2164768"/>
                    </a:xfrm>
                    <a:prstGeom prst="rect">
                      <a:avLst/>
                    </a:prstGeom>
                    <a:noFill/>
                    <a:ln>
                      <a:noFill/>
                    </a:ln>
                    <a:extLst>
                      <a:ext uri="{53640926-AAD7-44D8-BBD7-CCE9431645EC}">
                        <a14:shadowObscured xmlns:a14="http://schemas.microsoft.com/office/drawing/2010/main"/>
                      </a:ext>
                    </a:extLst>
                  </pic:spPr>
                </pic:pic>
              </a:graphicData>
            </a:graphic>
          </wp:inline>
        </w:drawing>
      </w:r>
    </w:p>
    <w:p w14:paraId="08237CBE" w14:textId="0C08AD00" w:rsidR="00AE3676" w:rsidRPr="00DB2AA9" w:rsidRDefault="00AE3676" w:rsidP="00AE3676">
      <w:pPr>
        <w:pStyle w:val="CETCaption"/>
      </w:pPr>
      <w:r>
        <w:t xml:space="preserve">Figure </w:t>
      </w:r>
      <w:r>
        <w:fldChar w:fldCharType="begin"/>
      </w:r>
      <w:r>
        <w:instrText xml:space="preserve"> SEQ Figure \* ARABIC </w:instrText>
      </w:r>
      <w:r>
        <w:fldChar w:fldCharType="separate"/>
      </w:r>
      <w:r>
        <w:rPr>
          <w:noProof/>
        </w:rPr>
        <w:t>3</w:t>
      </w:r>
      <w:r>
        <w:fldChar w:fldCharType="end"/>
      </w:r>
      <w:r>
        <w:t xml:space="preserve">. Effective areas used in simulations to compare their opening and closing </w:t>
      </w:r>
      <w:r w:rsidR="00720FCA">
        <w:t>behavior</w:t>
      </w:r>
    </w:p>
    <w:p w14:paraId="095B4BF9" w14:textId="5E8B6CB9" w:rsidR="00127942" w:rsidRDefault="00DB2AA9" w:rsidP="00127942">
      <w:pPr>
        <w:pStyle w:val="CETBodytext"/>
        <w:rPr>
          <w:lang w:val="en-GB"/>
        </w:rPr>
      </w:pPr>
      <w:r>
        <w:rPr>
          <w:lang w:val="en-GB"/>
        </w:rPr>
        <w:t xml:space="preserve">The results of </w:t>
      </w:r>
      <w:r w:rsidR="00EC5F11">
        <w:rPr>
          <w:lang w:val="en-GB"/>
        </w:rPr>
        <w:t>evaluating different force curves</w:t>
      </w:r>
      <w:r>
        <w:rPr>
          <w:lang w:val="en-GB"/>
        </w:rPr>
        <w:t xml:space="preserve"> show that an increase in the additional force acting on the safety valve can drastically improve the stability of the safety valve, at the expense of the </w:t>
      </w:r>
      <w:r w:rsidR="00FD6D70">
        <w:rPr>
          <w:lang w:val="en-GB"/>
        </w:rPr>
        <w:t>reseating pressure</w:t>
      </w:r>
      <w:r>
        <w:rPr>
          <w:lang w:val="en-GB"/>
        </w:rPr>
        <w:t xml:space="preserve"> of the safety valve. However, staying within the limits of the current standard would mean that the improvements in the </w:t>
      </w:r>
      <w:r w:rsidR="007274E7">
        <w:rPr>
          <w:lang w:val="en-GB"/>
        </w:rPr>
        <w:t>safety valve stability are negligible</w:t>
      </w:r>
      <w:r w:rsidR="00EC5F11">
        <w:rPr>
          <w:lang w:val="en-GB"/>
        </w:rPr>
        <w:t xml:space="preserve">. </w:t>
      </w:r>
      <w:r w:rsidR="00720FCA">
        <w:rPr>
          <w:lang w:val="en-GB"/>
        </w:rPr>
        <w:t>Optimization</w:t>
      </w:r>
      <w:r w:rsidR="00EC5F11">
        <w:rPr>
          <w:lang w:val="en-GB"/>
        </w:rPr>
        <w:t xml:space="preserve"> algorithms were tested within the </w:t>
      </w:r>
      <w:r w:rsidR="00720FCA">
        <w:rPr>
          <w:lang w:val="en-GB"/>
        </w:rPr>
        <w:t>limits but</w:t>
      </w:r>
      <w:r w:rsidR="00EC5F11">
        <w:rPr>
          <w:lang w:val="en-GB"/>
        </w:rPr>
        <w:t xml:space="preserve"> could not increase stability</w:t>
      </w:r>
      <w:r w:rsidR="007274E7">
        <w:rPr>
          <w:lang w:val="en-GB"/>
        </w:rPr>
        <w:t>. One possible method to combat this would be to create such designs in which the force curve is not constant (as assumed in this section) but changes during time, reaching higher forces during the opening of the valve, compared to the closing of the valve.</w:t>
      </w:r>
    </w:p>
    <w:p w14:paraId="065BFB0F" w14:textId="77777777" w:rsidR="00AE3676" w:rsidRDefault="00AE3676" w:rsidP="00AE3676">
      <w:pPr>
        <w:pStyle w:val="CETBodytext"/>
        <w:keepNext/>
      </w:pPr>
      <w:r w:rsidRPr="009B3171">
        <w:rPr>
          <w:noProof/>
          <w:lang w:val="en-GB"/>
        </w:rPr>
        <w:drawing>
          <wp:inline distT="0" distB="0" distL="0" distR="0" wp14:anchorId="52425C15" wp14:editId="6E55A1DF">
            <wp:extent cx="5427134" cy="1985424"/>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3"/>
                    <a:srcRect l="8057" t="9378" r="9371"/>
                    <a:stretch/>
                  </pic:blipFill>
                  <pic:spPr bwMode="auto">
                    <a:xfrm>
                      <a:off x="0" y="0"/>
                      <a:ext cx="5449884" cy="1993747"/>
                    </a:xfrm>
                    <a:prstGeom prst="rect">
                      <a:avLst/>
                    </a:prstGeom>
                    <a:ln>
                      <a:noFill/>
                    </a:ln>
                    <a:extLst>
                      <a:ext uri="{53640926-AAD7-44D8-BBD7-CCE9431645EC}">
                        <a14:shadowObscured xmlns:a14="http://schemas.microsoft.com/office/drawing/2010/main"/>
                      </a:ext>
                    </a:extLst>
                  </pic:spPr>
                </pic:pic>
              </a:graphicData>
            </a:graphic>
          </wp:inline>
        </w:drawing>
      </w:r>
    </w:p>
    <w:p w14:paraId="11BB1C89" w14:textId="702061CD" w:rsidR="00AE3676" w:rsidRDefault="00AE3676" w:rsidP="00AE3676">
      <w:pPr>
        <w:pStyle w:val="CETCaption"/>
      </w:pPr>
      <w:r>
        <w:t xml:space="preserve">Figure </w:t>
      </w:r>
      <w:r>
        <w:fldChar w:fldCharType="begin"/>
      </w:r>
      <w:r>
        <w:instrText xml:space="preserve"> SEQ Figure \* ARABIC </w:instrText>
      </w:r>
      <w:r>
        <w:fldChar w:fldCharType="separate"/>
      </w:r>
      <w:r>
        <w:rPr>
          <w:noProof/>
        </w:rPr>
        <w:t>4</w:t>
      </w:r>
      <w:r>
        <w:fldChar w:fldCharType="end"/>
      </w:r>
      <w:r>
        <w:t xml:space="preserve">. The opening of different safety valve effective area curves. The left image shows the opening without inlet piping, while the right one with </w:t>
      </w:r>
      <w:r w:rsidR="00720FCA">
        <w:t>one-meter</w:t>
      </w:r>
      <w:r>
        <w:t xml:space="preserve"> inlet line length</w:t>
      </w:r>
    </w:p>
    <w:p w14:paraId="52DAFDE0" w14:textId="4DB9FD26" w:rsidR="001D0CFB" w:rsidRDefault="00600535" w:rsidP="00600535">
      <w:pPr>
        <w:pStyle w:val="CETHeading1"/>
        <w:rPr>
          <w:lang w:val="en-GB"/>
        </w:rPr>
      </w:pPr>
      <w:r w:rsidRPr="00B57B36">
        <w:rPr>
          <w:lang w:val="en-GB"/>
        </w:rPr>
        <w:t>Conclusions</w:t>
      </w:r>
    </w:p>
    <w:p w14:paraId="733184C0" w14:textId="5EE96424" w:rsidR="00E07A21" w:rsidRDefault="00720FCA" w:rsidP="00E07A21">
      <w:pPr>
        <w:pStyle w:val="CETBodytext"/>
        <w:rPr>
          <w:lang w:val="en-GB"/>
        </w:rPr>
      </w:pPr>
      <w:r>
        <w:rPr>
          <w:lang w:val="en-GB"/>
        </w:rPr>
        <w:t>S</w:t>
      </w:r>
      <w:r w:rsidR="007D293C">
        <w:rPr>
          <w:lang w:val="en-GB"/>
        </w:rPr>
        <w:t xml:space="preserve">afety valve stability is a complex </w:t>
      </w:r>
      <w:r w:rsidR="00EC5F11">
        <w:rPr>
          <w:lang w:val="en-GB"/>
        </w:rPr>
        <w:t xml:space="preserve">phenomenon </w:t>
      </w:r>
      <w:r>
        <w:rPr>
          <w:lang w:val="en-GB"/>
        </w:rPr>
        <w:t>that</w:t>
      </w:r>
      <w:r w:rsidR="00EC5F11">
        <w:rPr>
          <w:lang w:val="en-GB"/>
        </w:rPr>
        <w:t xml:space="preserve"> cannot be predicted with </w:t>
      </w:r>
      <w:r>
        <w:rPr>
          <w:lang w:val="en-GB"/>
        </w:rPr>
        <w:t xml:space="preserve">a </w:t>
      </w:r>
      <w:r w:rsidR="00EC5F11">
        <w:rPr>
          <w:lang w:val="en-GB"/>
        </w:rPr>
        <w:t xml:space="preserve">limited number of inputs. </w:t>
      </w:r>
      <w:r>
        <w:rPr>
          <w:lang w:val="en-GB"/>
        </w:rPr>
        <w:t>This has been proven by v</w:t>
      </w:r>
      <w:r w:rsidR="007D293C">
        <w:rPr>
          <w:lang w:val="en-GB"/>
        </w:rPr>
        <w:t xml:space="preserve">arious </w:t>
      </w:r>
      <w:r w:rsidR="001E28FA">
        <w:rPr>
          <w:lang w:val="en-GB"/>
        </w:rPr>
        <w:t xml:space="preserve">methods tested to </w:t>
      </w:r>
      <w:r>
        <w:rPr>
          <w:lang w:val="en-GB"/>
        </w:rPr>
        <w:t>reliably predict</w:t>
      </w:r>
      <w:r w:rsidR="001E28FA">
        <w:rPr>
          <w:lang w:val="en-GB"/>
        </w:rPr>
        <w:t xml:space="preserve"> </w:t>
      </w:r>
      <w:r>
        <w:rPr>
          <w:lang w:val="en-GB"/>
        </w:rPr>
        <w:t>a</w:t>
      </w:r>
      <w:r w:rsidR="001E28FA">
        <w:rPr>
          <w:lang w:val="en-GB"/>
        </w:rPr>
        <w:t xml:space="preserve"> </w:t>
      </w:r>
      <w:r>
        <w:rPr>
          <w:lang w:val="en-GB"/>
        </w:rPr>
        <w:t>stable valve operation</w:t>
      </w:r>
      <w:r w:rsidR="001E28FA">
        <w:rPr>
          <w:lang w:val="en-GB"/>
        </w:rPr>
        <w:t>.</w:t>
      </w:r>
      <w:r>
        <w:rPr>
          <w:lang w:val="en-GB"/>
        </w:rPr>
        <w:t xml:space="preserve"> </w:t>
      </w:r>
    </w:p>
    <w:p w14:paraId="1E344005" w14:textId="03F1FF59" w:rsidR="00A9614E" w:rsidRPr="00E07A21" w:rsidRDefault="001E28FA" w:rsidP="00E07A21">
      <w:pPr>
        <w:pStyle w:val="CETBodytext"/>
        <w:rPr>
          <w:lang w:val="en-GB"/>
        </w:rPr>
      </w:pPr>
      <w:r>
        <w:rPr>
          <w:lang w:val="en-GB"/>
        </w:rPr>
        <w:t xml:space="preserve">Increasing the damping of the safety valve is an idea explored previously, but no </w:t>
      </w:r>
      <w:r w:rsidR="00720FCA">
        <w:rPr>
          <w:lang w:val="en-GB"/>
        </w:rPr>
        <w:t xml:space="preserve">detailed </w:t>
      </w:r>
      <w:r>
        <w:rPr>
          <w:lang w:val="en-GB"/>
        </w:rPr>
        <w:t xml:space="preserve">measurements </w:t>
      </w:r>
      <w:r w:rsidR="00720FCA">
        <w:rPr>
          <w:lang w:val="en-GB"/>
        </w:rPr>
        <w:t>have</w:t>
      </w:r>
      <w:r>
        <w:rPr>
          <w:lang w:val="en-GB"/>
        </w:rPr>
        <w:t xml:space="preserve"> been </w:t>
      </w:r>
      <w:r w:rsidR="00720FCA">
        <w:rPr>
          <w:lang w:val="en-GB"/>
        </w:rPr>
        <w:t>published</w:t>
      </w:r>
      <w:r>
        <w:rPr>
          <w:lang w:val="en-GB"/>
        </w:rPr>
        <w:t xml:space="preserve">. Measurements with friction dampers available for purchase have shown an improvement in the stability of the safety valve but reduced the </w:t>
      </w:r>
      <w:r w:rsidR="00FD6D70">
        <w:rPr>
          <w:lang w:val="en-GB"/>
        </w:rPr>
        <w:t>reseating pressure</w:t>
      </w:r>
      <w:r>
        <w:rPr>
          <w:lang w:val="en-GB"/>
        </w:rPr>
        <w:t xml:space="preserve"> to a value below </w:t>
      </w:r>
      <w:r w:rsidR="006760B5">
        <w:rPr>
          <w:lang w:val="en-GB"/>
        </w:rPr>
        <w:t>that allowed by</w:t>
      </w:r>
      <w:r>
        <w:rPr>
          <w:lang w:val="en-GB"/>
        </w:rPr>
        <w:t xml:space="preserve"> the standard. One possible solution </w:t>
      </w:r>
      <w:r w:rsidR="00EC5F11">
        <w:rPr>
          <w:lang w:val="en-GB"/>
        </w:rPr>
        <w:t>could</w:t>
      </w:r>
      <w:r>
        <w:rPr>
          <w:lang w:val="en-GB"/>
        </w:rPr>
        <w:t xml:space="preserve"> be </w:t>
      </w:r>
      <w:r w:rsidR="006760B5">
        <w:rPr>
          <w:lang w:val="en-GB"/>
        </w:rPr>
        <w:t xml:space="preserve">a </w:t>
      </w:r>
      <w:r>
        <w:rPr>
          <w:lang w:val="en-GB"/>
        </w:rPr>
        <w:t xml:space="preserve">hydraulic damper, which in patented designs </w:t>
      </w:r>
      <w:r w:rsidR="00EC5F11">
        <w:rPr>
          <w:lang w:val="en-GB"/>
        </w:rPr>
        <w:t>are</w:t>
      </w:r>
      <w:r>
        <w:rPr>
          <w:lang w:val="en-GB"/>
        </w:rPr>
        <w:t xml:space="preserve"> unidirectional </w:t>
      </w:r>
      <w:r w:rsidR="00EC5F11">
        <w:rPr>
          <w:lang w:val="en-GB"/>
        </w:rPr>
        <w:t>with</w:t>
      </w:r>
      <w:r>
        <w:rPr>
          <w:lang w:val="en-GB"/>
        </w:rPr>
        <w:t xml:space="preserve"> the force only act</w:t>
      </w:r>
      <w:r w:rsidR="00EC5F11">
        <w:rPr>
          <w:lang w:val="en-GB"/>
        </w:rPr>
        <w:t>ing</w:t>
      </w:r>
      <w:r>
        <w:rPr>
          <w:lang w:val="en-GB"/>
        </w:rPr>
        <w:t xml:space="preserve"> on when the valve is opening. These </w:t>
      </w:r>
      <w:r w:rsidR="006760B5">
        <w:rPr>
          <w:lang w:val="en-GB"/>
        </w:rPr>
        <w:t>increase</w:t>
      </w:r>
      <w:r>
        <w:rPr>
          <w:lang w:val="en-GB"/>
        </w:rPr>
        <w:t xml:space="preserve"> price</w:t>
      </w:r>
      <w:r w:rsidR="006760B5">
        <w:rPr>
          <w:lang w:val="en-GB"/>
        </w:rPr>
        <w:t>s significantly</w:t>
      </w:r>
      <w:r>
        <w:rPr>
          <w:lang w:val="en-GB"/>
        </w:rPr>
        <w:t xml:space="preserve"> and maintenance requirements.</w:t>
      </w:r>
      <w:r w:rsidR="00404D0A">
        <w:rPr>
          <w:lang w:val="en-GB"/>
        </w:rPr>
        <w:t xml:space="preserve"> </w:t>
      </w:r>
      <w:r w:rsidR="00A9614E">
        <w:rPr>
          <w:lang w:val="en-GB"/>
        </w:rPr>
        <w:t>Evaluat</w:t>
      </w:r>
      <w:r w:rsidR="00916F6A">
        <w:rPr>
          <w:lang w:val="en-GB"/>
        </w:rPr>
        <w:t xml:space="preserve">ion of </w:t>
      </w:r>
      <w:r w:rsidR="00A9614E">
        <w:rPr>
          <w:lang w:val="en-GB"/>
        </w:rPr>
        <w:t xml:space="preserve">the effects of </w:t>
      </w:r>
      <w:r w:rsidR="00916F6A">
        <w:rPr>
          <w:lang w:val="en-GB"/>
        </w:rPr>
        <w:t xml:space="preserve">modifying the force acting on the safety valve has also shown similar results – the </w:t>
      </w:r>
      <w:r w:rsidR="00F515E9">
        <w:rPr>
          <w:lang w:val="en-GB"/>
        </w:rPr>
        <w:t xml:space="preserve">safety valve would not close </w:t>
      </w:r>
      <w:r w:rsidR="00404D0A">
        <w:rPr>
          <w:lang w:val="en-GB"/>
        </w:rPr>
        <w:t xml:space="preserve">with forces large enough to </w:t>
      </w:r>
      <w:r w:rsidR="006760B5">
        <w:rPr>
          <w:lang w:val="en-GB"/>
        </w:rPr>
        <w:t>stabilize</w:t>
      </w:r>
      <w:r w:rsidR="00404D0A">
        <w:rPr>
          <w:lang w:val="en-GB"/>
        </w:rPr>
        <w:t xml:space="preserve"> the valve.</w:t>
      </w:r>
    </w:p>
    <w:p w14:paraId="3AD612CB" w14:textId="5E87E77F" w:rsidR="0090576C" w:rsidRDefault="006760B5" w:rsidP="00600535">
      <w:pPr>
        <w:pStyle w:val="CETBodytext"/>
        <w:rPr>
          <w:lang w:val="en-GB"/>
        </w:rPr>
      </w:pPr>
      <w:r>
        <w:rPr>
          <w:lang w:val="en-GB"/>
        </w:rPr>
        <w:t>I</w:t>
      </w:r>
      <w:r w:rsidR="00A9614E">
        <w:rPr>
          <w:lang w:val="en-GB"/>
        </w:rPr>
        <w:t xml:space="preserve">mproving the stability of the safety valve with a </w:t>
      </w:r>
      <w:r w:rsidR="00EC5F11">
        <w:rPr>
          <w:lang w:val="en-GB"/>
        </w:rPr>
        <w:t xml:space="preserve">constant </w:t>
      </w:r>
      <w:r w:rsidR="00A9614E">
        <w:rPr>
          <w:lang w:val="en-GB"/>
        </w:rPr>
        <w:t>force acting upwards mean</w:t>
      </w:r>
      <w:r w:rsidR="00EC5F11">
        <w:rPr>
          <w:lang w:val="en-GB"/>
        </w:rPr>
        <w:t>s</w:t>
      </w:r>
      <w:r w:rsidR="00A9614E">
        <w:rPr>
          <w:lang w:val="en-GB"/>
        </w:rPr>
        <w:t xml:space="preserve"> a decrease in the pressure at which the safety valve reaches its seat. The solution would be to </w:t>
      </w:r>
      <w:r>
        <w:rPr>
          <w:lang w:val="en-GB"/>
        </w:rPr>
        <w:t>utilize</w:t>
      </w:r>
      <w:r w:rsidR="00A9614E">
        <w:rPr>
          <w:lang w:val="en-GB"/>
        </w:rPr>
        <w:t xml:space="preserve"> such a force that </w:t>
      </w:r>
      <w:r>
        <w:rPr>
          <w:lang w:val="en-GB"/>
        </w:rPr>
        <w:t>appears</w:t>
      </w:r>
      <w:r w:rsidR="00A9614E">
        <w:rPr>
          <w:lang w:val="en-GB"/>
        </w:rPr>
        <w:t xml:space="preserve"> </w:t>
      </w:r>
      <w:r>
        <w:rPr>
          <w:lang w:val="en-GB"/>
        </w:rPr>
        <w:t xml:space="preserve">only </w:t>
      </w:r>
      <w:r w:rsidR="00A9614E">
        <w:rPr>
          <w:lang w:val="en-GB"/>
        </w:rPr>
        <w:t>during the opening of the safety valve or only for a limited time</w:t>
      </w:r>
      <w:r w:rsidR="006C7CE2">
        <w:rPr>
          <w:lang w:val="en-GB"/>
        </w:rPr>
        <w:t xml:space="preserve"> after the opening. Further research is necessary</w:t>
      </w:r>
      <w:r w:rsidR="00EC5F11">
        <w:rPr>
          <w:lang w:val="en-GB"/>
        </w:rPr>
        <w:t xml:space="preserve"> on</w:t>
      </w:r>
      <w:r w:rsidR="006C7CE2">
        <w:rPr>
          <w:lang w:val="en-GB"/>
        </w:rPr>
        <w:t xml:space="preserve"> how such forces could be provided in a cost-effective manner.</w:t>
      </w:r>
    </w:p>
    <w:p w14:paraId="17FF2969" w14:textId="77777777" w:rsidR="006760B5" w:rsidRPr="00A9614E" w:rsidRDefault="006760B5" w:rsidP="00600535">
      <w:pPr>
        <w:pStyle w:val="CETBodytext"/>
        <w:rPr>
          <w:lang w:val="en-GB"/>
        </w:rPr>
      </w:pPr>
    </w:p>
    <w:p w14:paraId="07A6D20F" w14:textId="0ECF229E" w:rsidR="00280FAF" w:rsidRPr="00280FAF" w:rsidRDefault="00280FAF" w:rsidP="00280FAF">
      <w:pPr>
        <w:pStyle w:val="CETHeadingxx"/>
        <w:rPr>
          <w:lang w:val="en-GB"/>
        </w:rPr>
        <w:sectPr w:rsidR="00280FAF" w:rsidRPr="00280FAF" w:rsidSect="00DC73EE">
          <w:type w:val="continuous"/>
          <w:pgSz w:w="11906" w:h="16838" w:code="9"/>
          <w:pgMar w:top="1701" w:right="1418" w:bottom="1701" w:left="1701" w:header="1701" w:footer="0" w:gutter="0"/>
          <w:cols w:space="708"/>
          <w:formProt w:val="0"/>
          <w:titlePg/>
          <w:docGrid w:linePitch="360"/>
        </w:sectPr>
      </w:pPr>
      <w:r>
        <w:lastRenderedPageBreak/>
        <w:t>Nomenclature</w:t>
      </w:r>
    </w:p>
    <w:p w14:paraId="757DF63F" w14:textId="1E468E50" w:rsidR="002A50F0" w:rsidRDefault="00000000" w:rsidP="002A50F0">
      <w:pPr>
        <w:pStyle w:val="CETBodytext"/>
        <w:jc w:val="left"/>
        <w:rPr>
          <w:rFonts w:eastAsia="SimSun"/>
        </w:rPr>
      </w:pPr>
      <m:oMath>
        <m:sSub>
          <m:sSubPr>
            <m:ctrlPr>
              <w:rPr>
                <w:rFonts w:ascii="Cambria Math" w:eastAsia="SimSun" w:hAnsi="Cambria Math"/>
                <w:i/>
              </w:rPr>
            </m:ctrlPr>
          </m:sSubPr>
          <m:e>
            <m:r>
              <w:rPr>
                <w:rFonts w:ascii="Cambria Math" w:eastAsia="SimSun" w:hAnsi="Cambria Math"/>
              </w:rPr>
              <m:t>A</m:t>
            </m:r>
          </m:e>
          <m:sub>
            <m:r>
              <w:rPr>
                <w:rFonts w:ascii="Cambria Math" w:eastAsia="SimSun" w:hAnsi="Cambria Math"/>
              </w:rPr>
              <m:t>eff</m:t>
            </m:r>
          </m:sub>
        </m:sSub>
      </m:oMath>
      <w:r w:rsidR="002A50F0" w:rsidRPr="00280FAF">
        <w:rPr>
          <w:rFonts w:eastAsia="SimSun"/>
        </w:rPr>
        <w:t xml:space="preserve"> – </w:t>
      </w:r>
      <w:r w:rsidR="002A50F0">
        <w:rPr>
          <w:rFonts w:eastAsia="SimSun"/>
        </w:rPr>
        <w:t xml:space="preserve">effective area </w:t>
      </w:r>
      <w:r w:rsidR="002A50F0" w:rsidRPr="00280FAF">
        <w:rPr>
          <w:rFonts w:eastAsia="SimSun"/>
        </w:rPr>
        <w:t>,</w:t>
      </w:r>
      <w:r w:rsidR="002A50F0">
        <w:rPr>
          <w:rFonts w:eastAsia="SimSun"/>
        </w:rPr>
        <w:t xml:space="preserve"> m²</w:t>
      </w:r>
    </w:p>
    <w:p w14:paraId="718AABEC" w14:textId="62880152" w:rsidR="00916F6A" w:rsidRDefault="00000000" w:rsidP="00916F6A">
      <w:pPr>
        <w:pStyle w:val="CETBodytext"/>
        <w:jc w:val="left"/>
        <w:rPr>
          <w:rFonts w:eastAsia="SimSun"/>
        </w:rPr>
      </w:pPr>
      <m:oMath>
        <m:sSub>
          <m:sSubPr>
            <m:ctrlPr>
              <w:rPr>
                <w:rFonts w:ascii="Cambria Math" w:eastAsia="SimSun" w:hAnsi="Cambria Math"/>
                <w:i/>
              </w:rPr>
            </m:ctrlPr>
          </m:sSubPr>
          <m:e>
            <m:r>
              <w:rPr>
                <w:rFonts w:ascii="Cambria Math" w:eastAsia="SimSun" w:hAnsi="Cambria Math"/>
              </w:rPr>
              <m:t>A</m:t>
            </m:r>
          </m:e>
          <m:sub>
            <m:r>
              <w:rPr>
                <w:rFonts w:ascii="Cambria Math" w:eastAsia="SimSun" w:hAnsi="Cambria Math"/>
              </w:rPr>
              <m:t>flow</m:t>
            </m:r>
          </m:sub>
        </m:sSub>
      </m:oMath>
      <w:r w:rsidR="00916F6A" w:rsidRPr="00280FAF">
        <w:rPr>
          <w:rFonts w:eastAsia="SimSun"/>
        </w:rPr>
        <w:t xml:space="preserve"> – </w:t>
      </w:r>
      <w:r w:rsidR="00916F6A">
        <w:rPr>
          <w:rFonts w:eastAsia="SimSun"/>
        </w:rPr>
        <w:t xml:space="preserve">flow area </w:t>
      </w:r>
      <w:r w:rsidR="00916F6A" w:rsidRPr="00280FAF">
        <w:rPr>
          <w:rFonts w:eastAsia="SimSun"/>
        </w:rPr>
        <w:t>,</w:t>
      </w:r>
      <w:r w:rsidR="00916F6A">
        <w:rPr>
          <w:rFonts w:eastAsia="SimSun"/>
        </w:rPr>
        <w:t xml:space="preserve"> m²</w:t>
      </w:r>
    </w:p>
    <w:p w14:paraId="741B0265" w14:textId="37B2251F" w:rsidR="002A50F0" w:rsidRDefault="002A50F0" w:rsidP="002A50F0">
      <w:pPr>
        <w:pStyle w:val="CETBodytext"/>
        <w:jc w:val="left"/>
        <w:rPr>
          <w:rFonts w:eastAsia="SimSun"/>
        </w:rPr>
      </w:pPr>
      <m:oMath>
        <m:r>
          <w:rPr>
            <w:rFonts w:ascii="Cambria Math" w:hAnsi="Cambria Math"/>
          </w:rPr>
          <m:t>c</m:t>
        </m:r>
      </m:oMath>
      <w:r w:rsidRPr="00280FAF">
        <w:rPr>
          <w:rFonts w:eastAsia="SimSun"/>
        </w:rPr>
        <w:t xml:space="preserve"> – </w:t>
      </w:r>
      <w:r>
        <w:rPr>
          <w:rFonts w:eastAsia="SimSun"/>
        </w:rPr>
        <w:t>damping</w:t>
      </w:r>
      <w:r w:rsidRPr="00280FAF">
        <w:rPr>
          <w:rFonts w:eastAsia="SimSun"/>
        </w:rPr>
        <w:t xml:space="preserve">, </w:t>
      </w:r>
      <w:r>
        <w:rPr>
          <w:rFonts w:eastAsia="SimSun"/>
        </w:rPr>
        <w:t>Ns/m</w:t>
      </w:r>
    </w:p>
    <w:p w14:paraId="6378FDF6" w14:textId="729DAF20" w:rsidR="002A50F0" w:rsidRDefault="00000000" w:rsidP="002A50F0">
      <w:pPr>
        <w:pStyle w:val="CETBodytext"/>
        <w:jc w:val="left"/>
        <w:rPr>
          <w:rFonts w:eastAsia="SimSun"/>
        </w:rPr>
      </w:pP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p</m:t>
            </m:r>
          </m:sub>
        </m:sSub>
      </m:oMath>
      <w:r w:rsidR="002A50F0" w:rsidRPr="00280FAF">
        <w:rPr>
          <w:rFonts w:eastAsia="SimSun"/>
        </w:rPr>
        <w:t xml:space="preserve"> – </w:t>
      </w:r>
      <w:r w:rsidR="002A50F0">
        <w:rPr>
          <w:rFonts w:eastAsia="SimSun"/>
        </w:rPr>
        <w:t>pipe internal diameter</w:t>
      </w:r>
      <w:r w:rsidR="002A50F0" w:rsidRPr="00280FAF">
        <w:rPr>
          <w:rFonts w:eastAsia="SimSun"/>
        </w:rPr>
        <w:t xml:space="preserve"> </w:t>
      </w:r>
      <w:r w:rsidR="002A50F0">
        <w:rPr>
          <w:rFonts w:eastAsia="SimSun"/>
        </w:rPr>
        <w:t>m</w:t>
      </w:r>
    </w:p>
    <w:p w14:paraId="139A18EE" w14:textId="2D0D9147" w:rsidR="002A50F0" w:rsidRDefault="002A50F0" w:rsidP="002A50F0">
      <w:pPr>
        <w:pStyle w:val="CETBodytext"/>
        <w:jc w:val="left"/>
        <w:rPr>
          <w:rFonts w:eastAsia="SimSun"/>
        </w:rPr>
      </w:pPr>
      <m:oMath>
        <m:r>
          <w:rPr>
            <w:rFonts w:ascii="Cambria Math" w:eastAsia="SimSun" w:hAnsi="Cambria Math"/>
          </w:rPr>
          <m:t>e</m:t>
        </m:r>
      </m:oMath>
      <w:r w:rsidRPr="00280FAF">
        <w:rPr>
          <w:rFonts w:eastAsia="SimSun"/>
        </w:rPr>
        <w:t xml:space="preserve"> – </w:t>
      </w:r>
      <w:r>
        <w:rPr>
          <w:rFonts w:eastAsia="SimSun"/>
        </w:rPr>
        <w:t>internal energy along the pipe</w:t>
      </w:r>
      <w:r w:rsidRPr="00280FAF">
        <w:rPr>
          <w:rFonts w:eastAsia="SimSun"/>
        </w:rPr>
        <w:t xml:space="preserve">, </w:t>
      </w:r>
      <w:r>
        <w:rPr>
          <w:rFonts w:eastAsia="SimSun"/>
        </w:rPr>
        <w:t>J</w:t>
      </w:r>
    </w:p>
    <w:p w14:paraId="0533EB52" w14:textId="5F0F4DA9" w:rsidR="002A50F0" w:rsidRDefault="00000000" w:rsidP="002A50F0">
      <w:pPr>
        <w:pStyle w:val="CETBodytext"/>
        <w:jc w:val="left"/>
        <w:rPr>
          <w:rFonts w:eastAsia="SimSun"/>
        </w:rPr>
      </w:pPr>
      <m:oMath>
        <m:sSub>
          <m:sSubPr>
            <m:ctrlPr>
              <w:rPr>
                <w:rFonts w:ascii="Cambria Math" w:hAnsi="Cambria Math"/>
                <w:i/>
              </w:rPr>
            </m:ctrlPr>
          </m:sSubPr>
          <m:e>
            <m:r>
              <w:rPr>
                <w:rFonts w:ascii="Cambria Math" w:hAnsi="Cambria Math"/>
              </w:rPr>
              <m:t>F</m:t>
            </m:r>
          </m:e>
          <m:sub>
            <m:r>
              <w:rPr>
                <w:rFonts w:ascii="Cambria Math" w:hAnsi="Cambria Math"/>
              </w:rPr>
              <m:t>f</m:t>
            </m:r>
          </m:sub>
        </m:sSub>
      </m:oMath>
      <w:r w:rsidR="002A50F0" w:rsidRPr="00280FAF">
        <w:rPr>
          <w:rFonts w:eastAsia="SimSun"/>
        </w:rPr>
        <w:t xml:space="preserve">– </w:t>
      </w:r>
      <w:r w:rsidR="002A50F0">
        <w:rPr>
          <w:rFonts w:eastAsia="SimSun"/>
        </w:rPr>
        <w:t>Fluid force</w:t>
      </w:r>
      <w:r w:rsidR="002A50F0" w:rsidRPr="00280FAF">
        <w:rPr>
          <w:rFonts w:eastAsia="SimSun"/>
        </w:rPr>
        <w:t xml:space="preserve">, </w:t>
      </w:r>
      <w:r w:rsidR="002A50F0">
        <w:rPr>
          <w:rFonts w:eastAsia="SimSun"/>
        </w:rPr>
        <w:t>N</w:t>
      </w:r>
    </w:p>
    <w:p w14:paraId="07A09964" w14:textId="00B69767" w:rsidR="00916F6A" w:rsidRDefault="00000000" w:rsidP="00916F6A">
      <w:pPr>
        <w:pStyle w:val="CETBodytext"/>
        <w:jc w:val="left"/>
        <w:rPr>
          <w:rFonts w:eastAsia="SimSun"/>
        </w:rPr>
      </w:pPr>
      <m:oMath>
        <m:sSub>
          <m:sSubPr>
            <m:ctrlPr>
              <w:rPr>
                <w:rFonts w:ascii="Cambria Math" w:hAnsi="Cambria Math"/>
                <w:i/>
              </w:rPr>
            </m:ctrlPr>
          </m:sSubPr>
          <m:e>
            <m:r>
              <w:rPr>
                <w:rFonts w:ascii="Cambria Math" w:hAnsi="Cambria Math"/>
              </w:rPr>
              <m:t>K</m:t>
            </m:r>
          </m:e>
          <m:sub>
            <m:r>
              <w:rPr>
                <w:rFonts w:ascii="Cambria Math" w:hAnsi="Cambria Math"/>
              </w:rPr>
              <m:t>d</m:t>
            </m:r>
          </m:sub>
        </m:sSub>
      </m:oMath>
      <w:r w:rsidR="00916F6A" w:rsidRPr="00280FAF">
        <w:rPr>
          <w:rFonts w:eastAsia="SimSun"/>
        </w:rPr>
        <w:t xml:space="preserve"> – </w:t>
      </w:r>
      <w:r w:rsidR="00916F6A">
        <w:rPr>
          <w:rFonts w:eastAsia="SimSun"/>
        </w:rPr>
        <w:t>discharge coefficient of the valve</w:t>
      </w:r>
      <w:r w:rsidR="00916F6A" w:rsidRPr="00280FAF">
        <w:rPr>
          <w:rFonts w:eastAsia="SimSun"/>
        </w:rPr>
        <w:t xml:space="preserve">, </w:t>
      </w:r>
      <w:r w:rsidR="00916F6A">
        <w:rPr>
          <w:rFonts w:eastAsia="SimSun"/>
        </w:rPr>
        <w:t>-</w:t>
      </w:r>
    </w:p>
    <w:p w14:paraId="08DB96E2" w14:textId="394E950D" w:rsidR="002A50F0" w:rsidRDefault="002A50F0" w:rsidP="002A50F0">
      <w:pPr>
        <w:pStyle w:val="CETBodytext"/>
        <w:jc w:val="left"/>
        <w:rPr>
          <w:rFonts w:eastAsia="SimSun"/>
        </w:rPr>
      </w:pPr>
      <m:oMath>
        <m:r>
          <w:rPr>
            <w:rFonts w:ascii="Cambria Math" w:hAnsi="Cambria Math"/>
          </w:rPr>
          <m:t>k</m:t>
        </m:r>
      </m:oMath>
      <w:r w:rsidRPr="00280FAF">
        <w:rPr>
          <w:rFonts w:eastAsia="SimSun"/>
        </w:rPr>
        <w:t xml:space="preserve"> – </w:t>
      </w:r>
      <w:r>
        <w:rPr>
          <w:rFonts w:eastAsia="SimSun"/>
        </w:rPr>
        <w:t>string stiffness</w:t>
      </w:r>
      <w:r w:rsidRPr="00280FAF">
        <w:rPr>
          <w:rFonts w:eastAsia="SimSun"/>
        </w:rPr>
        <w:t xml:space="preserve">, </w:t>
      </w:r>
      <w:r>
        <w:rPr>
          <w:rFonts w:eastAsia="SimSun"/>
        </w:rPr>
        <w:t>N/m</w:t>
      </w:r>
    </w:p>
    <w:p w14:paraId="4C5C8311" w14:textId="113C6466" w:rsidR="002A50F0" w:rsidRDefault="002A50F0" w:rsidP="002A50F0">
      <w:pPr>
        <w:pStyle w:val="CETBodytext"/>
        <w:jc w:val="left"/>
        <w:rPr>
          <w:rFonts w:eastAsia="SimSun"/>
        </w:rPr>
      </w:pPr>
      <m:oMath>
        <m:r>
          <w:rPr>
            <w:rFonts w:ascii="Cambria Math" w:hAnsi="Cambria Math"/>
          </w:rPr>
          <m:t>l</m:t>
        </m:r>
      </m:oMath>
      <w:r w:rsidRPr="00280FAF">
        <w:rPr>
          <w:rFonts w:eastAsia="SimSun"/>
        </w:rPr>
        <w:t xml:space="preserve"> – </w:t>
      </w:r>
      <w:r>
        <w:rPr>
          <w:rFonts w:eastAsia="SimSun"/>
        </w:rPr>
        <w:t>coordinate along the pipe</w:t>
      </w:r>
      <w:r w:rsidRPr="00280FAF">
        <w:rPr>
          <w:rFonts w:eastAsia="SimSun"/>
        </w:rPr>
        <w:t xml:space="preserve">, </w:t>
      </w:r>
      <w:r>
        <w:rPr>
          <w:rFonts w:eastAsia="SimSun"/>
        </w:rPr>
        <w:t>m</w:t>
      </w:r>
    </w:p>
    <w:p w14:paraId="57590CE2" w14:textId="0337AF4B" w:rsidR="00280FAF" w:rsidRDefault="00D42C65" w:rsidP="00280FAF">
      <w:pPr>
        <w:pStyle w:val="CETBodytext"/>
        <w:jc w:val="left"/>
        <w:rPr>
          <w:rFonts w:eastAsia="SimSun"/>
        </w:rPr>
      </w:pPr>
      <m:oMath>
        <m:r>
          <w:rPr>
            <w:rFonts w:ascii="Cambria Math" w:hAnsi="Cambria Math"/>
          </w:rPr>
          <m:t>m</m:t>
        </m:r>
      </m:oMath>
      <w:r w:rsidRPr="00280FAF">
        <w:rPr>
          <w:rFonts w:eastAsia="SimSun"/>
        </w:rPr>
        <w:t xml:space="preserve"> </w:t>
      </w:r>
      <w:r w:rsidR="00280FAF" w:rsidRPr="00280FAF">
        <w:rPr>
          <w:rFonts w:eastAsia="SimSun"/>
        </w:rPr>
        <w:t xml:space="preserve">– </w:t>
      </w:r>
      <w:r>
        <w:rPr>
          <w:rFonts w:eastAsia="SimSun"/>
        </w:rPr>
        <w:t>moving mass</w:t>
      </w:r>
      <w:r w:rsidR="00280FAF" w:rsidRPr="00280FAF">
        <w:rPr>
          <w:rFonts w:eastAsia="SimSun"/>
        </w:rPr>
        <w:t xml:space="preserve">, </w:t>
      </w:r>
      <w:r>
        <w:rPr>
          <w:rFonts w:eastAsia="SimSun"/>
        </w:rPr>
        <w:t>kg</w:t>
      </w:r>
    </w:p>
    <w:p w14:paraId="5B399035" w14:textId="61784C2D" w:rsidR="00916F6A" w:rsidRDefault="00000000" w:rsidP="00916F6A">
      <w:pPr>
        <w:pStyle w:val="CETBodytext"/>
        <w:jc w:val="left"/>
        <w:rPr>
          <w:rFonts w:eastAsia="SimSun"/>
        </w:rPr>
      </w:pPr>
      <m:oMath>
        <m:acc>
          <m:accPr>
            <m:chr m:val="̇"/>
            <m:ctrlPr>
              <w:rPr>
                <w:rFonts w:ascii="Cambria Math" w:hAnsi="Cambria Math"/>
                <w:i/>
              </w:rPr>
            </m:ctrlPr>
          </m:accPr>
          <m:e>
            <m:r>
              <w:rPr>
                <w:rFonts w:ascii="Cambria Math" w:hAnsi="Cambria Math"/>
              </w:rPr>
              <m:t>m</m:t>
            </m:r>
          </m:e>
        </m:acc>
      </m:oMath>
      <w:r w:rsidR="00916F6A" w:rsidRPr="00280FAF">
        <w:rPr>
          <w:rFonts w:eastAsia="SimSun"/>
        </w:rPr>
        <w:t xml:space="preserve"> – </w:t>
      </w:r>
      <w:r w:rsidR="00916F6A">
        <w:rPr>
          <w:rFonts w:eastAsia="SimSun"/>
        </w:rPr>
        <w:t>mass flow through the valve nozzle</w:t>
      </w:r>
      <w:r w:rsidR="00916F6A" w:rsidRPr="00280FAF">
        <w:rPr>
          <w:rFonts w:eastAsia="SimSun"/>
        </w:rPr>
        <w:t xml:space="preserve">, </w:t>
      </w:r>
      <w:r w:rsidR="00916F6A">
        <w:rPr>
          <w:rFonts w:eastAsia="SimSun"/>
        </w:rPr>
        <w:t>kg/s</w:t>
      </w:r>
    </w:p>
    <w:p w14:paraId="306B5C3D" w14:textId="7D12C0B0" w:rsidR="002A50F0" w:rsidRDefault="002A50F0" w:rsidP="002A50F0">
      <w:pPr>
        <w:pStyle w:val="CETBodytext"/>
        <w:jc w:val="left"/>
        <w:rPr>
          <w:rFonts w:eastAsia="SimSun"/>
        </w:rPr>
      </w:pPr>
      <m:oMath>
        <m:r>
          <w:rPr>
            <w:rFonts w:ascii="Cambria Math" w:hAnsi="Cambria Math"/>
          </w:rPr>
          <m:t>p</m:t>
        </m:r>
      </m:oMath>
      <w:r w:rsidRPr="00280FAF">
        <w:rPr>
          <w:rFonts w:eastAsia="SimSun"/>
        </w:rPr>
        <w:t xml:space="preserve"> – </w:t>
      </w:r>
      <w:r>
        <w:rPr>
          <w:rFonts w:eastAsia="SimSun"/>
        </w:rPr>
        <w:t>pressure along the pipe</w:t>
      </w:r>
      <w:r w:rsidRPr="00280FAF">
        <w:rPr>
          <w:rFonts w:eastAsia="SimSun"/>
        </w:rPr>
        <w:t xml:space="preserve">, </w:t>
      </w:r>
      <w:r>
        <w:rPr>
          <w:rFonts w:eastAsia="SimSun"/>
        </w:rPr>
        <w:t>bar(a)</w:t>
      </w:r>
    </w:p>
    <w:p w14:paraId="1D43C961" w14:textId="7701CDDA" w:rsidR="002A50F0" w:rsidRPr="00280FAF" w:rsidRDefault="00000000" w:rsidP="002A50F0">
      <w:pPr>
        <w:pStyle w:val="CETBodytext"/>
        <w:jc w:val="left"/>
        <w:rPr>
          <w:rFonts w:eastAsia="SimSun"/>
        </w:rPr>
      </w:pPr>
      <m:oMath>
        <m:sSub>
          <m:sSubPr>
            <m:ctrlPr>
              <w:rPr>
                <w:rFonts w:ascii="Cambria Math" w:hAnsi="Cambria Math"/>
                <w:i/>
              </w:rPr>
            </m:ctrlPr>
          </m:sSubPr>
          <m:e>
            <m:r>
              <w:rPr>
                <w:rFonts w:ascii="Cambria Math" w:hAnsi="Cambria Math"/>
              </w:rPr>
              <m:t>p</m:t>
            </m:r>
          </m:e>
          <m:sub>
            <m:r>
              <w:rPr>
                <w:rFonts w:ascii="Cambria Math" w:hAnsi="Cambria Math"/>
              </w:rPr>
              <m:t>back</m:t>
            </m:r>
          </m:sub>
        </m:sSub>
      </m:oMath>
      <w:r w:rsidR="002A50F0" w:rsidRPr="00280FAF">
        <w:rPr>
          <w:rFonts w:eastAsia="SimSun"/>
        </w:rPr>
        <w:t xml:space="preserve"> – </w:t>
      </w:r>
      <w:r w:rsidR="002A50F0">
        <w:rPr>
          <w:rFonts w:eastAsia="SimSun"/>
        </w:rPr>
        <w:t>pressure after the valve</w:t>
      </w:r>
      <w:r w:rsidR="002A50F0" w:rsidRPr="00280FAF">
        <w:rPr>
          <w:rFonts w:eastAsia="SimSun"/>
        </w:rPr>
        <w:t xml:space="preserve">, </w:t>
      </w:r>
      <w:r w:rsidR="002A50F0">
        <w:rPr>
          <w:rFonts w:eastAsia="SimSun"/>
        </w:rPr>
        <w:t>bar(a)</w:t>
      </w:r>
    </w:p>
    <w:p w14:paraId="5231AB93" w14:textId="3803585A" w:rsidR="002A50F0" w:rsidRDefault="00000000" w:rsidP="002A50F0">
      <w:pPr>
        <w:pStyle w:val="CETBodytext"/>
        <w:jc w:val="left"/>
        <w:rPr>
          <w:rFonts w:eastAsia="SimSun"/>
        </w:rPr>
      </w:pPr>
      <m:oMath>
        <m:sSub>
          <m:sSubPr>
            <m:ctrlPr>
              <w:rPr>
                <w:rFonts w:ascii="Cambria Math" w:hAnsi="Cambria Math"/>
                <w:i/>
              </w:rPr>
            </m:ctrlPr>
          </m:sSubPr>
          <m:e>
            <m:r>
              <w:rPr>
                <w:rFonts w:ascii="Cambria Math" w:hAnsi="Cambria Math"/>
              </w:rPr>
              <m:t>p</m:t>
            </m:r>
          </m:e>
          <m:sub>
            <m:r>
              <w:rPr>
                <w:rFonts w:ascii="Cambria Math" w:hAnsi="Cambria Math"/>
              </w:rPr>
              <m:t>in</m:t>
            </m:r>
          </m:sub>
        </m:sSub>
      </m:oMath>
      <w:r w:rsidR="002A50F0" w:rsidRPr="00280FAF">
        <w:rPr>
          <w:rFonts w:eastAsia="SimSun"/>
        </w:rPr>
        <w:t xml:space="preserve"> – </w:t>
      </w:r>
      <w:r w:rsidR="002A50F0">
        <w:rPr>
          <w:rFonts w:eastAsia="SimSun"/>
        </w:rPr>
        <w:t>pressure in front of the valve</w:t>
      </w:r>
      <w:r w:rsidR="002A50F0" w:rsidRPr="00280FAF">
        <w:rPr>
          <w:rFonts w:eastAsia="SimSun"/>
        </w:rPr>
        <w:t xml:space="preserve">, </w:t>
      </w:r>
      <w:r w:rsidR="002A50F0">
        <w:rPr>
          <w:rFonts w:eastAsia="SimSun"/>
        </w:rPr>
        <w:t>bar(a)</w:t>
      </w:r>
    </w:p>
    <w:p w14:paraId="76E39161" w14:textId="5CF38D29" w:rsidR="00916F6A" w:rsidRDefault="00000000" w:rsidP="00916F6A">
      <w:pPr>
        <w:pStyle w:val="CETBodytext"/>
        <w:jc w:val="left"/>
        <w:rPr>
          <w:rFonts w:eastAsia="SimSun"/>
        </w:rPr>
      </w:pPr>
      <m:oMath>
        <m:sSub>
          <m:sSubPr>
            <m:ctrlPr>
              <w:rPr>
                <w:rFonts w:ascii="Cambria Math" w:hAnsi="Cambria Math"/>
                <w:i/>
              </w:rPr>
            </m:ctrlPr>
          </m:sSubPr>
          <m:e>
            <m:r>
              <w:rPr>
                <w:rFonts w:ascii="Cambria Math" w:hAnsi="Cambria Math"/>
              </w:rPr>
              <m:t>p</m:t>
            </m:r>
          </m:e>
          <m:sub>
            <m:r>
              <w:rPr>
                <w:rFonts w:ascii="Cambria Math" w:hAnsi="Cambria Math"/>
              </w:rPr>
              <m:t>in,t</m:t>
            </m:r>
          </m:sub>
        </m:sSub>
      </m:oMath>
      <w:r w:rsidR="00916F6A" w:rsidRPr="00280FAF">
        <w:rPr>
          <w:rFonts w:eastAsia="SimSun"/>
        </w:rPr>
        <w:t xml:space="preserve"> –</w:t>
      </w:r>
      <w:r w:rsidR="00916F6A">
        <w:rPr>
          <w:rFonts w:eastAsia="SimSun"/>
        </w:rPr>
        <w:t>total</w:t>
      </w:r>
      <w:r w:rsidR="00916F6A" w:rsidRPr="00280FAF">
        <w:rPr>
          <w:rFonts w:eastAsia="SimSun"/>
        </w:rPr>
        <w:t xml:space="preserve"> </w:t>
      </w:r>
      <w:r w:rsidR="00916F6A">
        <w:rPr>
          <w:rFonts w:eastAsia="SimSun"/>
        </w:rPr>
        <w:t>pressure in front of the valve</w:t>
      </w:r>
      <w:r w:rsidR="00916F6A" w:rsidRPr="00280FAF">
        <w:rPr>
          <w:rFonts w:eastAsia="SimSun"/>
        </w:rPr>
        <w:t xml:space="preserve">, </w:t>
      </w:r>
      <w:r w:rsidR="00916F6A">
        <w:rPr>
          <w:rFonts w:eastAsia="SimSun"/>
        </w:rPr>
        <w:t>bar(a)</w:t>
      </w:r>
    </w:p>
    <w:p w14:paraId="40553620" w14:textId="202F5EFA" w:rsidR="00916F6A" w:rsidRPr="00280FAF" w:rsidRDefault="00000000" w:rsidP="00916F6A">
      <w:pPr>
        <w:pStyle w:val="CETBodytext"/>
        <w:jc w:val="left"/>
        <w:rPr>
          <w:rFonts w:eastAsia="SimSun"/>
        </w:rPr>
      </w:pPr>
      <m:oMath>
        <m:sSub>
          <m:sSubPr>
            <m:ctrlPr>
              <w:rPr>
                <w:rFonts w:ascii="Cambria Math" w:hAnsi="Cambria Math"/>
                <w:i/>
              </w:rPr>
            </m:ctrlPr>
          </m:sSubPr>
          <m:e>
            <m:r>
              <w:rPr>
                <w:rFonts w:ascii="Cambria Math" w:hAnsi="Cambria Math"/>
              </w:rPr>
              <m:t>p</m:t>
            </m:r>
          </m:e>
          <m:sub>
            <m:r>
              <w:rPr>
                <w:rFonts w:ascii="Cambria Math" w:hAnsi="Cambria Math"/>
              </w:rPr>
              <m:t>set</m:t>
            </m:r>
          </m:sub>
        </m:sSub>
      </m:oMath>
      <w:r w:rsidR="00916F6A" w:rsidRPr="00280FAF">
        <w:rPr>
          <w:rFonts w:eastAsia="SimSun"/>
        </w:rPr>
        <w:t xml:space="preserve"> –</w:t>
      </w:r>
      <w:r w:rsidR="00916F6A">
        <w:rPr>
          <w:rFonts w:eastAsia="SimSun"/>
        </w:rPr>
        <w:t xml:space="preserve"> set</w:t>
      </w:r>
      <w:r w:rsidR="00916F6A" w:rsidRPr="00280FAF">
        <w:rPr>
          <w:rFonts w:eastAsia="SimSun"/>
        </w:rPr>
        <w:t xml:space="preserve"> </w:t>
      </w:r>
      <w:r w:rsidR="00916F6A">
        <w:rPr>
          <w:rFonts w:eastAsia="SimSun"/>
        </w:rPr>
        <w:t>pressure of the valve</w:t>
      </w:r>
      <w:r w:rsidR="00916F6A" w:rsidRPr="00280FAF">
        <w:rPr>
          <w:rFonts w:eastAsia="SimSun"/>
        </w:rPr>
        <w:t xml:space="preserve">, </w:t>
      </w:r>
      <w:r w:rsidR="00916F6A">
        <w:rPr>
          <w:rFonts w:eastAsia="SimSun"/>
        </w:rPr>
        <w:t>bar(g)</w:t>
      </w:r>
    </w:p>
    <w:p w14:paraId="7A1A4BE6" w14:textId="6621C9FB" w:rsidR="002A50F0" w:rsidRDefault="002A50F0" w:rsidP="002A50F0">
      <w:pPr>
        <w:pStyle w:val="CETBodytext"/>
        <w:jc w:val="left"/>
        <w:rPr>
          <w:rFonts w:eastAsia="SimSun"/>
        </w:rPr>
      </w:pPr>
      <m:oMath>
        <m:r>
          <w:rPr>
            <w:rFonts w:ascii="Cambria Math" w:hAnsi="Cambria Math"/>
          </w:rPr>
          <m:t>t</m:t>
        </m:r>
      </m:oMath>
      <w:r w:rsidRPr="00280FAF">
        <w:rPr>
          <w:rFonts w:eastAsia="SimSun"/>
        </w:rPr>
        <w:t xml:space="preserve"> – </w:t>
      </w:r>
      <w:r>
        <w:rPr>
          <w:rFonts w:eastAsia="SimSun"/>
        </w:rPr>
        <w:t>time</w:t>
      </w:r>
      <w:r w:rsidRPr="00280FAF">
        <w:rPr>
          <w:rFonts w:eastAsia="SimSun"/>
        </w:rPr>
        <w:t xml:space="preserve">, </w:t>
      </w:r>
      <w:r>
        <w:rPr>
          <w:rFonts w:eastAsia="SimSun"/>
        </w:rPr>
        <w:t>s</w:t>
      </w:r>
    </w:p>
    <w:p w14:paraId="29C5A054" w14:textId="38726522" w:rsidR="002A50F0" w:rsidRPr="00280FAF" w:rsidRDefault="002A50F0" w:rsidP="002A50F0">
      <w:pPr>
        <w:pStyle w:val="CETBodytext"/>
        <w:jc w:val="left"/>
        <w:rPr>
          <w:rFonts w:eastAsia="SimSun"/>
        </w:rPr>
      </w:pPr>
      <m:oMath>
        <m:r>
          <w:rPr>
            <w:rFonts w:ascii="Cambria Math" w:hAnsi="Cambria Math"/>
          </w:rPr>
          <m:t>x</m:t>
        </m:r>
      </m:oMath>
      <w:r w:rsidRPr="00280FAF">
        <w:rPr>
          <w:rFonts w:eastAsia="SimSun"/>
        </w:rPr>
        <w:t xml:space="preserve"> – </w:t>
      </w:r>
      <w:r>
        <w:rPr>
          <w:rFonts w:eastAsia="SimSun"/>
        </w:rPr>
        <w:t>valve lift</w:t>
      </w:r>
      <w:r w:rsidRPr="00280FAF">
        <w:rPr>
          <w:rFonts w:eastAsia="SimSun"/>
        </w:rPr>
        <w:t>,</w:t>
      </w:r>
      <w:r>
        <w:rPr>
          <w:rFonts w:eastAsia="SimSun"/>
        </w:rPr>
        <w:t xml:space="preserve"> m</w:t>
      </w:r>
    </w:p>
    <w:p w14:paraId="3AC7ED68" w14:textId="136E6F25" w:rsidR="002A50F0" w:rsidRDefault="00000000" w:rsidP="002A50F0">
      <w:pPr>
        <w:pStyle w:val="CETBodytext"/>
        <w:jc w:val="left"/>
        <w:rPr>
          <w:rFonts w:eastAsia="SimSun"/>
        </w:rPr>
      </w:pPr>
      <m:oMath>
        <m:sSub>
          <m:sSubPr>
            <m:ctrlPr>
              <w:rPr>
                <w:rFonts w:ascii="Cambria Math" w:hAnsi="Cambria Math"/>
                <w:i/>
              </w:rPr>
            </m:ctrlPr>
          </m:sSubPr>
          <m:e>
            <m:r>
              <w:rPr>
                <w:rFonts w:ascii="Cambria Math" w:hAnsi="Cambria Math"/>
              </w:rPr>
              <m:t>x</m:t>
            </m:r>
          </m:e>
          <m:sub>
            <m:r>
              <w:rPr>
                <w:rFonts w:ascii="Cambria Math" w:hAnsi="Cambria Math"/>
              </w:rPr>
              <m:t>0</m:t>
            </m:r>
          </m:sub>
        </m:sSub>
      </m:oMath>
      <w:r w:rsidR="002A50F0" w:rsidRPr="00280FAF">
        <w:rPr>
          <w:rFonts w:eastAsia="SimSun"/>
        </w:rPr>
        <w:t xml:space="preserve"> – </w:t>
      </w:r>
      <w:r w:rsidR="002A50F0">
        <w:rPr>
          <w:rFonts w:eastAsia="SimSun"/>
        </w:rPr>
        <w:t>spring pre-compression</w:t>
      </w:r>
      <w:r w:rsidR="002A50F0" w:rsidRPr="00280FAF">
        <w:rPr>
          <w:rFonts w:eastAsia="SimSun"/>
        </w:rPr>
        <w:t>,</w:t>
      </w:r>
      <w:r w:rsidR="002A50F0">
        <w:rPr>
          <w:rFonts w:eastAsia="SimSun"/>
        </w:rPr>
        <w:t xml:space="preserve"> m</w:t>
      </w:r>
    </w:p>
    <w:p w14:paraId="4486A9AF" w14:textId="7C8B17E6" w:rsidR="002A50F0" w:rsidRDefault="002A50F0" w:rsidP="002A50F0">
      <w:pPr>
        <w:pStyle w:val="CETBodytext"/>
        <w:jc w:val="left"/>
        <w:rPr>
          <w:rFonts w:eastAsia="SimSun"/>
        </w:rPr>
      </w:pPr>
      <m:oMath>
        <m:r>
          <w:rPr>
            <w:rFonts w:ascii="Cambria Math" w:hAnsi="Cambria Math"/>
          </w:rPr>
          <m:t>w</m:t>
        </m:r>
      </m:oMath>
      <w:r w:rsidRPr="00280FAF">
        <w:rPr>
          <w:rFonts w:eastAsia="SimSun"/>
        </w:rPr>
        <w:t xml:space="preserve"> – </w:t>
      </w:r>
      <w:r>
        <w:rPr>
          <w:rFonts w:eastAsia="SimSun"/>
        </w:rPr>
        <w:t>velocity along the pipe</w:t>
      </w:r>
      <w:r w:rsidRPr="00280FAF">
        <w:rPr>
          <w:rFonts w:eastAsia="SimSun"/>
        </w:rPr>
        <w:t xml:space="preserve">, </w:t>
      </w:r>
      <w:r>
        <w:rPr>
          <w:rFonts w:eastAsia="SimSun"/>
        </w:rPr>
        <w:t>m/s</w:t>
      </w:r>
    </w:p>
    <w:p w14:paraId="25AD3768" w14:textId="00E6F784" w:rsidR="002A50F0" w:rsidRDefault="002A50F0" w:rsidP="002A50F0">
      <w:pPr>
        <w:pStyle w:val="CETBodytext"/>
        <w:jc w:val="left"/>
        <w:rPr>
          <w:rFonts w:eastAsia="SimSun"/>
        </w:rPr>
      </w:pPr>
      <m:oMath>
        <m:r>
          <w:rPr>
            <w:rFonts w:ascii="Cambria Math" w:hAnsi="Cambria Math"/>
          </w:rPr>
          <m:t>λ</m:t>
        </m:r>
      </m:oMath>
      <w:r w:rsidRPr="00280FAF">
        <w:rPr>
          <w:rFonts w:eastAsia="SimSun"/>
        </w:rPr>
        <w:t xml:space="preserve"> – </w:t>
      </w:r>
      <w:r>
        <w:rPr>
          <w:rFonts w:eastAsia="SimSun"/>
        </w:rPr>
        <w:t>Darcy fiction factor in the pipe</w:t>
      </w:r>
      <w:r w:rsidRPr="00280FAF">
        <w:rPr>
          <w:rFonts w:eastAsia="SimSun"/>
        </w:rPr>
        <w:t xml:space="preserve">, </w:t>
      </w:r>
      <w:r>
        <w:rPr>
          <w:rFonts w:eastAsia="SimSun"/>
        </w:rPr>
        <w:t>-</w:t>
      </w:r>
    </w:p>
    <w:p w14:paraId="0AD88495" w14:textId="70337004" w:rsidR="002A50F0" w:rsidRDefault="002A50F0" w:rsidP="002A50F0">
      <w:pPr>
        <w:pStyle w:val="CETBodytext"/>
        <w:jc w:val="left"/>
        <w:rPr>
          <w:rFonts w:eastAsia="SimSun"/>
        </w:rPr>
      </w:pPr>
      <m:oMath>
        <m:r>
          <w:rPr>
            <w:rFonts w:ascii="Cambria Math" w:hAnsi="Cambria Math"/>
          </w:rPr>
          <m:t>ρ</m:t>
        </m:r>
      </m:oMath>
      <w:r w:rsidRPr="00280FAF">
        <w:rPr>
          <w:rFonts w:eastAsia="SimSun"/>
        </w:rPr>
        <w:t xml:space="preserve"> – </w:t>
      </w:r>
      <w:r>
        <w:rPr>
          <w:rFonts w:eastAsia="SimSun"/>
        </w:rPr>
        <w:t>density along the pipe</w:t>
      </w:r>
      <w:r w:rsidRPr="00280FAF">
        <w:rPr>
          <w:rFonts w:eastAsia="SimSun"/>
        </w:rPr>
        <w:t xml:space="preserve">, </w:t>
      </w:r>
      <w:r w:rsidR="00916F6A">
        <w:rPr>
          <w:rFonts w:eastAsia="SimSun"/>
        </w:rPr>
        <w:t>kg/m³</w:t>
      </w:r>
    </w:p>
    <w:p w14:paraId="131F438A" w14:textId="66951DEB" w:rsidR="00916F6A" w:rsidRPr="00280FAF" w:rsidRDefault="00000000" w:rsidP="00916F6A">
      <w:pPr>
        <w:pStyle w:val="CETBodytext"/>
        <w:jc w:val="left"/>
        <w:rPr>
          <w:rFonts w:eastAsia="SimSun"/>
        </w:rPr>
      </w:pPr>
      <m:oMath>
        <m:sSub>
          <m:sSubPr>
            <m:ctrlPr>
              <w:rPr>
                <w:rFonts w:ascii="Cambria Math" w:hAnsi="Cambria Math"/>
                <w:i/>
              </w:rPr>
            </m:ctrlPr>
          </m:sSubPr>
          <m:e>
            <m:r>
              <w:rPr>
                <w:rFonts w:ascii="Cambria Math" w:hAnsi="Cambria Math"/>
              </w:rPr>
              <m:t>ρ</m:t>
            </m:r>
          </m:e>
          <m:sub>
            <m:r>
              <w:rPr>
                <w:rFonts w:ascii="Cambria Math" w:hAnsi="Cambria Math"/>
              </w:rPr>
              <m:t>in,t</m:t>
            </m:r>
          </m:sub>
        </m:sSub>
      </m:oMath>
      <w:r w:rsidR="00916F6A" w:rsidRPr="00280FAF">
        <w:rPr>
          <w:rFonts w:eastAsia="SimSun"/>
        </w:rPr>
        <w:t xml:space="preserve"> –</w:t>
      </w:r>
      <w:r w:rsidR="00916F6A">
        <w:rPr>
          <w:rFonts w:eastAsia="SimSun"/>
        </w:rPr>
        <w:t>stagn.</w:t>
      </w:r>
      <w:r w:rsidR="00916F6A" w:rsidRPr="00280FAF">
        <w:rPr>
          <w:rFonts w:eastAsia="SimSun"/>
        </w:rPr>
        <w:t xml:space="preserve"> </w:t>
      </w:r>
      <w:r w:rsidR="00916F6A">
        <w:rPr>
          <w:rFonts w:eastAsia="SimSun"/>
        </w:rPr>
        <w:t>density in front of the valve</w:t>
      </w:r>
      <w:r w:rsidR="00916F6A" w:rsidRPr="00280FAF">
        <w:rPr>
          <w:rFonts w:eastAsia="SimSun"/>
        </w:rPr>
        <w:t xml:space="preserve">, </w:t>
      </w:r>
      <w:r w:rsidR="00916F6A">
        <w:rPr>
          <w:rFonts w:eastAsia="SimSun"/>
        </w:rPr>
        <w:t>kg/m³</w:t>
      </w:r>
    </w:p>
    <w:p w14:paraId="0389758D" w14:textId="532B2CE5" w:rsidR="00916F6A" w:rsidRDefault="00916F6A" w:rsidP="00916F6A">
      <w:pPr>
        <w:pStyle w:val="CETBodytext"/>
        <w:jc w:val="left"/>
        <w:rPr>
          <w:rFonts w:eastAsia="SimSun"/>
        </w:rPr>
      </w:pPr>
      <m:oMath>
        <m:r>
          <m:rPr>
            <m:sty m:val="p"/>
          </m:rPr>
          <w:rPr>
            <w:rFonts w:ascii="Cambria Math" w:hAnsi="Cambria Math"/>
          </w:rPr>
          <m:t>Ψ</m:t>
        </m:r>
      </m:oMath>
      <w:r w:rsidRPr="00280FAF">
        <w:rPr>
          <w:rFonts w:eastAsia="SimSun"/>
        </w:rPr>
        <w:t xml:space="preserve"> – </w:t>
      </w:r>
      <w:r w:rsidR="00E61EEE">
        <w:rPr>
          <w:rFonts w:eastAsia="SimSun"/>
        </w:rPr>
        <w:t xml:space="preserve">nozzle </w:t>
      </w:r>
      <w:r>
        <w:rPr>
          <w:rFonts w:eastAsia="SimSun"/>
        </w:rPr>
        <w:t>discharge function</w:t>
      </w:r>
      <w:r w:rsidRPr="00280FAF">
        <w:rPr>
          <w:rFonts w:eastAsia="SimSun"/>
        </w:rPr>
        <w:t xml:space="preserve">, </w:t>
      </w:r>
      <w:r>
        <w:rPr>
          <w:rFonts w:eastAsia="SimSun"/>
        </w:rPr>
        <w:t>-</w:t>
      </w:r>
    </w:p>
    <w:p w14:paraId="38BFE636" w14:textId="11C4DF22" w:rsidR="00280FAF" w:rsidRPr="00E377D0" w:rsidRDefault="00280FAF" w:rsidP="00280FAF">
      <w:pPr>
        <w:pStyle w:val="CETBodytext"/>
        <w:jc w:val="left"/>
        <w:rPr>
          <w:rFonts w:eastAsia="SimSun"/>
        </w:rPr>
        <w:sectPr w:rsidR="00280FAF" w:rsidRPr="00E377D0" w:rsidSect="00DC73EE">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B57B36" w:rsidRDefault="00600535" w:rsidP="00600535">
      <w:pPr>
        <w:pStyle w:val="CETAcknowledgementstitle"/>
      </w:pPr>
      <w:r w:rsidRPr="00B57B36">
        <w:t>Acknowledgments</w:t>
      </w:r>
    </w:p>
    <w:p w14:paraId="33F8138F" w14:textId="1FC94E5E" w:rsidR="00600535" w:rsidRPr="00B57B36" w:rsidRDefault="00F769C0" w:rsidP="00600535">
      <w:pPr>
        <w:pStyle w:val="CETBodytext"/>
        <w:rPr>
          <w:lang w:val="en-GB"/>
        </w:rPr>
      </w:pPr>
      <w:r>
        <w:rPr>
          <w:lang w:val="en-GB"/>
        </w:rPr>
        <w:t xml:space="preserve">Jens Denecke is also working at the </w:t>
      </w:r>
      <w:r>
        <w:t>CSE Center of Safety Excellence (CSE-Institut).</w:t>
      </w:r>
    </w:p>
    <w:p w14:paraId="4F1327F8" w14:textId="77777777" w:rsidR="00600535" w:rsidRPr="00B57B36" w:rsidRDefault="00600535" w:rsidP="00600535">
      <w:pPr>
        <w:pStyle w:val="CETReference"/>
      </w:pPr>
      <w:r w:rsidRPr="00B57B36">
        <w:t>References</w:t>
      </w:r>
    </w:p>
    <w:p w14:paraId="29A5CED5" w14:textId="5D8AF665" w:rsidR="00F97AF2" w:rsidRPr="00F97AF2" w:rsidRDefault="00F43192" w:rsidP="00F97AF2">
      <w:pPr>
        <w:widowControl w:val="0"/>
        <w:autoSpaceDE w:val="0"/>
        <w:autoSpaceDN w:val="0"/>
        <w:adjustRightInd w:val="0"/>
        <w:spacing w:line="240" w:lineRule="auto"/>
        <w:ind w:left="480" w:hanging="480"/>
        <w:rPr>
          <w:rFonts w:cs="Arial"/>
          <w:noProof/>
          <w:szCs w:val="24"/>
        </w:rPr>
      </w:pPr>
      <w:r>
        <w:fldChar w:fldCharType="begin" w:fldLock="1"/>
      </w:r>
      <w:r w:rsidRPr="00C700C8">
        <w:instrText xml:space="preserve">ADDIN Mendeley Bibliography CSL_BIBLIOGRAPHY </w:instrText>
      </w:r>
      <w:r>
        <w:fldChar w:fldCharType="separate"/>
      </w:r>
      <w:r w:rsidR="00F97AF2" w:rsidRPr="00F97AF2">
        <w:rPr>
          <w:rFonts w:cs="Arial"/>
          <w:noProof/>
          <w:szCs w:val="24"/>
        </w:rPr>
        <w:t>Aldeeb, A.A., Darby, R., Arndt, S., 2014. The dynamic response of pressure relief valves in vapor or gas service. Part II: Experimental investigation. J. Loss Prev. Process Ind. 31, 127–132. https://doi.org/10.1016/j.jlp.2014.06.002</w:t>
      </w:r>
    </w:p>
    <w:p w14:paraId="58FC9346" w14:textId="77777777" w:rsidR="00F97AF2" w:rsidRPr="00F97AF2" w:rsidRDefault="00F97AF2" w:rsidP="00F97AF2">
      <w:pPr>
        <w:widowControl w:val="0"/>
        <w:autoSpaceDE w:val="0"/>
        <w:autoSpaceDN w:val="0"/>
        <w:adjustRightInd w:val="0"/>
        <w:spacing w:line="240" w:lineRule="auto"/>
        <w:ind w:left="480" w:hanging="480"/>
        <w:rPr>
          <w:rFonts w:cs="Arial"/>
          <w:noProof/>
          <w:szCs w:val="24"/>
        </w:rPr>
      </w:pPr>
      <w:r w:rsidRPr="00F97AF2">
        <w:rPr>
          <w:rFonts w:cs="Arial"/>
          <w:noProof/>
          <w:szCs w:val="24"/>
        </w:rPr>
        <w:t>American Petroleum Institute, 2015. Sizing, Selection, and Installation of Pressure-relieving Devices; Part II—Installation, 6th ed.</w:t>
      </w:r>
    </w:p>
    <w:p w14:paraId="6CAAD2B9" w14:textId="77777777" w:rsidR="00F97AF2" w:rsidRPr="00663DC6" w:rsidRDefault="00F97AF2" w:rsidP="00F97AF2">
      <w:pPr>
        <w:widowControl w:val="0"/>
        <w:autoSpaceDE w:val="0"/>
        <w:autoSpaceDN w:val="0"/>
        <w:adjustRightInd w:val="0"/>
        <w:spacing w:line="240" w:lineRule="auto"/>
        <w:ind w:left="480" w:hanging="480"/>
        <w:rPr>
          <w:rFonts w:cs="Arial"/>
          <w:noProof/>
          <w:szCs w:val="24"/>
          <w:lang w:val="de-DE"/>
        </w:rPr>
      </w:pPr>
      <w:r w:rsidRPr="00F97AF2">
        <w:rPr>
          <w:rFonts w:cs="Arial"/>
          <w:noProof/>
          <w:szCs w:val="24"/>
        </w:rPr>
        <w:t xml:space="preserve">Cremers, J., Friedel, L., Pallaks, B., 2001. Validated sizing rule against chatter of relief valves during gas service. </w:t>
      </w:r>
      <w:r w:rsidRPr="00663DC6">
        <w:rPr>
          <w:rFonts w:cs="Arial"/>
          <w:noProof/>
          <w:szCs w:val="24"/>
          <w:lang w:val="de-DE"/>
        </w:rPr>
        <w:t>J. Loss Prev. Process Ind. 14, 261–267. https://doi.org/10.1016/S0950-4230(00)00054-1</w:t>
      </w:r>
    </w:p>
    <w:p w14:paraId="7062EB6E" w14:textId="77777777" w:rsidR="00F97AF2" w:rsidRPr="00F97AF2" w:rsidRDefault="00F97AF2" w:rsidP="00F97AF2">
      <w:pPr>
        <w:widowControl w:val="0"/>
        <w:autoSpaceDE w:val="0"/>
        <w:autoSpaceDN w:val="0"/>
        <w:adjustRightInd w:val="0"/>
        <w:spacing w:line="240" w:lineRule="auto"/>
        <w:ind w:left="480" w:hanging="480"/>
        <w:rPr>
          <w:rFonts w:cs="Arial"/>
          <w:noProof/>
          <w:szCs w:val="24"/>
        </w:rPr>
      </w:pPr>
      <w:r w:rsidRPr="00663DC6">
        <w:rPr>
          <w:rFonts w:cs="Arial"/>
          <w:noProof/>
          <w:szCs w:val="24"/>
          <w:lang w:val="de-DE"/>
        </w:rPr>
        <w:t xml:space="preserve">Dannenmaier, T.S., Schmidt, J., Denecke, J., Odenwald, O., Jablonski, D., 2018. </w:t>
      </w:r>
      <w:r w:rsidRPr="00F97AF2">
        <w:rPr>
          <w:rFonts w:cs="Arial"/>
          <w:noProof/>
          <w:szCs w:val="24"/>
        </w:rPr>
        <w:t>Formation and Propagation of Pressure Surges In Inlet Lines of Safety Valves and their Influence on Valve Stability, in: Conference on Modelling Fluid Flow (CMFF’18) The 17th International Conference on Fluid Flow Technologies. Budapest, pp. 1–16.</w:t>
      </w:r>
    </w:p>
    <w:p w14:paraId="1DEECE47" w14:textId="77777777" w:rsidR="00F97AF2" w:rsidRPr="00F97AF2" w:rsidRDefault="00F97AF2" w:rsidP="00F97AF2">
      <w:pPr>
        <w:widowControl w:val="0"/>
        <w:autoSpaceDE w:val="0"/>
        <w:autoSpaceDN w:val="0"/>
        <w:adjustRightInd w:val="0"/>
        <w:spacing w:line="240" w:lineRule="auto"/>
        <w:ind w:left="480" w:hanging="480"/>
        <w:rPr>
          <w:rFonts w:cs="Arial"/>
          <w:noProof/>
          <w:szCs w:val="24"/>
        </w:rPr>
      </w:pPr>
      <w:r w:rsidRPr="00F97AF2">
        <w:rPr>
          <w:rFonts w:cs="Arial"/>
          <w:noProof/>
          <w:szCs w:val="24"/>
        </w:rPr>
        <w:t>EPRI Valve Test Program Staff, 1982. Epri PWR Safety and Relief Valve Test Program: Safety and Relief Valve Test Report, Electric Power Research Institute (Report) EPRI NP. Palo Alto CA.</w:t>
      </w:r>
    </w:p>
    <w:p w14:paraId="6D6C423F" w14:textId="77777777" w:rsidR="00F97AF2" w:rsidRPr="00F97AF2" w:rsidRDefault="00F97AF2" w:rsidP="00F97AF2">
      <w:pPr>
        <w:widowControl w:val="0"/>
        <w:autoSpaceDE w:val="0"/>
        <w:autoSpaceDN w:val="0"/>
        <w:adjustRightInd w:val="0"/>
        <w:spacing w:line="240" w:lineRule="auto"/>
        <w:ind w:left="480" w:hanging="480"/>
        <w:rPr>
          <w:rFonts w:cs="Arial"/>
          <w:noProof/>
          <w:szCs w:val="24"/>
        </w:rPr>
      </w:pPr>
      <w:r w:rsidRPr="00F97AF2">
        <w:rPr>
          <w:rFonts w:cs="Arial"/>
          <w:noProof/>
          <w:szCs w:val="24"/>
        </w:rPr>
        <w:t>European Process Safety Centre, 2020. Chattering PSV.</w:t>
      </w:r>
    </w:p>
    <w:p w14:paraId="6D365D86" w14:textId="77777777" w:rsidR="00F97AF2" w:rsidRPr="00F97AF2" w:rsidRDefault="00F97AF2" w:rsidP="00F97AF2">
      <w:pPr>
        <w:widowControl w:val="0"/>
        <w:autoSpaceDE w:val="0"/>
        <w:autoSpaceDN w:val="0"/>
        <w:adjustRightInd w:val="0"/>
        <w:spacing w:line="240" w:lineRule="auto"/>
        <w:ind w:left="480" w:hanging="480"/>
        <w:rPr>
          <w:rFonts w:cs="Arial"/>
          <w:noProof/>
          <w:szCs w:val="24"/>
        </w:rPr>
      </w:pPr>
      <w:r w:rsidRPr="00F97AF2">
        <w:rPr>
          <w:rFonts w:cs="Arial"/>
          <w:noProof/>
          <w:szCs w:val="24"/>
        </w:rPr>
        <w:t>Herink, T., Doskočil, J., Růžička, M., Henry, P.A., Sadowski, R.A., Zámostný, P., 2022. Propylene column pressure relief valves chattering resulting in explosion and fire of the Steam Cracker unit. J. Loss Prev. Process Ind. 74, 104658. https://doi.org/10.1016/j.jlp.2021.104658</w:t>
      </w:r>
    </w:p>
    <w:p w14:paraId="59AEDA95" w14:textId="77777777" w:rsidR="00F97AF2" w:rsidRPr="00F97AF2" w:rsidRDefault="00F97AF2" w:rsidP="00F97AF2">
      <w:pPr>
        <w:widowControl w:val="0"/>
        <w:autoSpaceDE w:val="0"/>
        <w:autoSpaceDN w:val="0"/>
        <w:adjustRightInd w:val="0"/>
        <w:spacing w:line="240" w:lineRule="auto"/>
        <w:ind w:left="480" w:hanging="480"/>
        <w:rPr>
          <w:rFonts w:cs="Arial"/>
          <w:noProof/>
          <w:szCs w:val="24"/>
        </w:rPr>
      </w:pPr>
      <w:r w:rsidRPr="00F97AF2">
        <w:rPr>
          <w:rFonts w:cs="Arial"/>
          <w:noProof/>
          <w:szCs w:val="24"/>
        </w:rPr>
        <w:t>Hős, C.J., Champneys, A.R., Paul, K., McNeely, M., 2014. Dynamic behavior of direct spring loaded pressure relief valves in gas service: Model development, measurements and instability mechanisms. J. Loss Prev. Process Ind. 31, 70–81. https://doi.org/10.1016/j.jlp.2014.06.005</w:t>
      </w:r>
    </w:p>
    <w:p w14:paraId="24047E8A" w14:textId="77777777" w:rsidR="00F97AF2" w:rsidRPr="00F97AF2" w:rsidRDefault="00F97AF2" w:rsidP="00F97AF2">
      <w:pPr>
        <w:widowControl w:val="0"/>
        <w:autoSpaceDE w:val="0"/>
        <w:autoSpaceDN w:val="0"/>
        <w:adjustRightInd w:val="0"/>
        <w:spacing w:line="240" w:lineRule="auto"/>
        <w:ind w:left="480" w:hanging="480"/>
        <w:rPr>
          <w:rFonts w:cs="Arial"/>
          <w:noProof/>
          <w:szCs w:val="24"/>
        </w:rPr>
      </w:pPr>
      <w:r w:rsidRPr="00F97AF2">
        <w:rPr>
          <w:rFonts w:cs="Arial"/>
          <w:noProof/>
          <w:szCs w:val="24"/>
        </w:rPr>
        <w:t>International Organization for Standardization, 2007. ISO 4126 Safety devices for protection against excessive pressure – Part 7: Common data.</w:t>
      </w:r>
    </w:p>
    <w:p w14:paraId="5B774A00" w14:textId="77777777" w:rsidR="00F97AF2" w:rsidRPr="00E61EEE" w:rsidRDefault="00F97AF2" w:rsidP="00F97AF2">
      <w:pPr>
        <w:widowControl w:val="0"/>
        <w:autoSpaceDE w:val="0"/>
        <w:autoSpaceDN w:val="0"/>
        <w:adjustRightInd w:val="0"/>
        <w:spacing w:line="240" w:lineRule="auto"/>
        <w:ind w:left="480" w:hanging="480"/>
        <w:rPr>
          <w:rFonts w:cs="Arial"/>
          <w:noProof/>
          <w:szCs w:val="24"/>
          <w:lang w:val="de-DE"/>
        </w:rPr>
      </w:pPr>
      <w:r w:rsidRPr="00F97AF2">
        <w:rPr>
          <w:rFonts w:cs="Arial"/>
          <w:noProof/>
          <w:szCs w:val="24"/>
        </w:rPr>
        <w:t xml:space="preserve">Izuchi, H., 2008. Stability Analysis of Safety Valve. </w:t>
      </w:r>
      <w:r w:rsidRPr="00E61EEE">
        <w:rPr>
          <w:rFonts w:cs="Arial"/>
          <w:noProof/>
          <w:szCs w:val="24"/>
          <w:lang w:val="de-DE"/>
        </w:rPr>
        <w:t>Proc. Dyn. Des. Conf. 2008, 238-1-238–6. https://doi.org/10.1299/jsmedmc.2008._238-1_</w:t>
      </w:r>
    </w:p>
    <w:p w14:paraId="0A5EC1FD" w14:textId="77777777" w:rsidR="00F97AF2" w:rsidRPr="00F97AF2" w:rsidRDefault="00F97AF2" w:rsidP="00F97AF2">
      <w:pPr>
        <w:widowControl w:val="0"/>
        <w:autoSpaceDE w:val="0"/>
        <w:autoSpaceDN w:val="0"/>
        <w:adjustRightInd w:val="0"/>
        <w:spacing w:line="240" w:lineRule="auto"/>
        <w:ind w:left="480" w:hanging="480"/>
        <w:rPr>
          <w:rFonts w:cs="Arial"/>
          <w:noProof/>
          <w:szCs w:val="24"/>
        </w:rPr>
      </w:pPr>
      <w:r w:rsidRPr="00E61EEE">
        <w:rPr>
          <w:rFonts w:cs="Arial"/>
          <w:noProof/>
          <w:szCs w:val="24"/>
          <w:lang w:val="de-DE"/>
        </w:rPr>
        <w:t xml:space="preserve">Keszthelyi, G., Schmidt, J., Denecke, J., 2024. </w:t>
      </w:r>
      <w:r w:rsidRPr="00F97AF2">
        <w:rPr>
          <w:rFonts w:cs="Arial"/>
          <w:noProof/>
          <w:szCs w:val="24"/>
        </w:rPr>
        <w:t>Evaluation of one-dimensional models to predict chatter in spring-loaded pressure relief valves for gas service. Process Saf. Environ. Prot. 182, 1097–1109. https://doi.org/10.1016/j.psep.2023.12.040</w:t>
      </w:r>
    </w:p>
    <w:p w14:paraId="7044AE2C" w14:textId="77777777" w:rsidR="00F97AF2" w:rsidRPr="00F97AF2" w:rsidRDefault="00F97AF2" w:rsidP="00F97AF2">
      <w:pPr>
        <w:widowControl w:val="0"/>
        <w:autoSpaceDE w:val="0"/>
        <w:autoSpaceDN w:val="0"/>
        <w:adjustRightInd w:val="0"/>
        <w:spacing w:line="240" w:lineRule="auto"/>
        <w:ind w:left="480" w:hanging="480"/>
        <w:rPr>
          <w:rFonts w:cs="Arial"/>
          <w:noProof/>
          <w:szCs w:val="24"/>
        </w:rPr>
      </w:pPr>
      <w:r w:rsidRPr="00F97AF2">
        <w:rPr>
          <w:rFonts w:cs="Arial"/>
          <w:noProof/>
          <w:szCs w:val="24"/>
        </w:rPr>
        <w:t>Keszthelyi, G., Schmidt, J., Denecke, J., 2022. Effects of Valve Characteristics and Fluid Force on Valve Stability, in: Conference on Modelling Fluid Flow (CMFF’22). Budapest, Hungary, pp. 1–8.</w:t>
      </w:r>
    </w:p>
    <w:p w14:paraId="15DAAEB8" w14:textId="77777777" w:rsidR="00F97AF2" w:rsidRPr="00F97AF2" w:rsidRDefault="00F97AF2" w:rsidP="00F97AF2">
      <w:pPr>
        <w:widowControl w:val="0"/>
        <w:autoSpaceDE w:val="0"/>
        <w:autoSpaceDN w:val="0"/>
        <w:adjustRightInd w:val="0"/>
        <w:spacing w:line="240" w:lineRule="auto"/>
        <w:ind w:left="480" w:hanging="480"/>
        <w:rPr>
          <w:rFonts w:cs="Arial"/>
          <w:noProof/>
          <w:szCs w:val="24"/>
        </w:rPr>
      </w:pPr>
      <w:r w:rsidRPr="00F97AF2">
        <w:rPr>
          <w:rFonts w:cs="Arial"/>
          <w:noProof/>
          <w:szCs w:val="24"/>
        </w:rPr>
        <w:t>Melhem, G.A., 2014a. Analysis of PRV Stability In Relief Systems Part I – Detailed Dynamics [WWW Document]. ioMosaic Corp. White Pap. URL https://iomosaic.com/docs/default-source/papers/analysis-of-prv-stability-in-relief-systems-part-i.pdf (accessed 11.10.22).</w:t>
      </w:r>
    </w:p>
    <w:p w14:paraId="016D8F81" w14:textId="77777777" w:rsidR="00F97AF2" w:rsidRPr="00F97AF2" w:rsidRDefault="00F97AF2" w:rsidP="00F97AF2">
      <w:pPr>
        <w:widowControl w:val="0"/>
        <w:autoSpaceDE w:val="0"/>
        <w:autoSpaceDN w:val="0"/>
        <w:adjustRightInd w:val="0"/>
        <w:spacing w:line="240" w:lineRule="auto"/>
        <w:ind w:left="480" w:hanging="480"/>
        <w:rPr>
          <w:rFonts w:cs="Arial"/>
          <w:noProof/>
          <w:szCs w:val="24"/>
        </w:rPr>
      </w:pPr>
      <w:r w:rsidRPr="00F97AF2">
        <w:rPr>
          <w:rFonts w:cs="Arial"/>
          <w:noProof/>
          <w:szCs w:val="24"/>
        </w:rPr>
        <w:t>Melhem, G.A., 2014b. Analysis of PRV Stability In Relief Systems Part II - Screening [WWW Document]. ioMosaic Corp. White Pap. URL https://iomosaic.com/docs/default-source/papers/analysis_of_prv_stability_in_relief_systems_partii.pdf (accessed 11.10.22).</w:t>
      </w:r>
    </w:p>
    <w:p w14:paraId="6327065A" w14:textId="77777777" w:rsidR="00F97AF2" w:rsidRPr="00E61EEE" w:rsidRDefault="00F97AF2" w:rsidP="00F97AF2">
      <w:pPr>
        <w:widowControl w:val="0"/>
        <w:autoSpaceDE w:val="0"/>
        <w:autoSpaceDN w:val="0"/>
        <w:adjustRightInd w:val="0"/>
        <w:spacing w:line="240" w:lineRule="auto"/>
        <w:ind w:left="480" w:hanging="480"/>
        <w:rPr>
          <w:rFonts w:cs="Arial"/>
          <w:noProof/>
          <w:szCs w:val="24"/>
          <w:lang w:val="de-DE"/>
        </w:rPr>
      </w:pPr>
      <w:r w:rsidRPr="00F97AF2">
        <w:rPr>
          <w:rFonts w:cs="Arial"/>
          <w:noProof/>
          <w:szCs w:val="24"/>
        </w:rPr>
        <w:t xml:space="preserve">Singh, A., 1982. An analytical study of the dynamics and stability of a spring loaded safety valve. </w:t>
      </w:r>
      <w:r w:rsidRPr="00E61EEE">
        <w:rPr>
          <w:rFonts w:cs="Arial"/>
          <w:noProof/>
          <w:szCs w:val="24"/>
          <w:lang w:val="de-DE"/>
        </w:rPr>
        <w:t>Nucl. Eng. Des. 72, 197–204. https://doi.org/10.1016/0029-5493(82)90215-1</w:t>
      </w:r>
    </w:p>
    <w:p w14:paraId="19C4FC68" w14:textId="47671964" w:rsidR="004628D2" w:rsidRDefault="00F97AF2" w:rsidP="00AE3676">
      <w:pPr>
        <w:widowControl w:val="0"/>
        <w:autoSpaceDE w:val="0"/>
        <w:autoSpaceDN w:val="0"/>
        <w:adjustRightInd w:val="0"/>
        <w:spacing w:line="240" w:lineRule="auto"/>
        <w:ind w:left="480" w:hanging="480"/>
      </w:pPr>
      <w:r w:rsidRPr="00E61EEE">
        <w:rPr>
          <w:rFonts w:cs="Arial"/>
          <w:noProof/>
          <w:szCs w:val="24"/>
          <w:lang w:val="de-DE"/>
        </w:rPr>
        <w:t xml:space="preserve">Sylvander, N.E., Katz, D.L., 1948. </w:t>
      </w:r>
      <w:r w:rsidRPr="00F97AF2">
        <w:rPr>
          <w:rFonts w:cs="Arial"/>
          <w:noProof/>
          <w:szCs w:val="24"/>
        </w:rPr>
        <w:t>The Design and Construction of Pressure Relieving Systems, Engineering research bulletin. Ann Arbor. https://doi.org/10.1038/087240a0</w:t>
      </w:r>
      <w:r w:rsidR="00F43192">
        <w:fldChar w:fldCharType="end"/>
      </w: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E26E3" w14:textId="77777777" w:rsidR="0010451C" w:rsidRDefault="0010451C" w:rsidP="004F5E36">
      <w:r>
        <w:separator/>
      </w:r>
    </w:p>
  </w:endnote>
  <w:endnote w:type="continuationSeparator" w:id="0">
    <w:p w14:paraId="15E333FB" w14:textId="77777777" w:rsidR="0010451C" w:rsidRDefault="0010451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BDF11" w14:textId="77777777" w:rsidR="0010451C" w:rsidRDefault="0010451C" w:rsidP="004F5E36">
      <w:r>
        <w:separator/>
      </w:r>
    </w:p>
  </w:footnote>
  <w:footnote w:type="continuationSeparator" w:id="0">
    <w:p w14:paraId="1E2BCD1D" w14:textId="77777777" w:rsidR="0010451C" w:rsidRDefault="0010451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B00D54"/>
    <w:multiLevelType w:val="hybridMultilevel"/>
    <w:tmpl w:val="DEF4F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5EC2198"/>
    <w:multiLevelType w:val="hybridMultilevel"/>
    <w:tmpl w:val="1E3674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3"/>
  </w:num>
  <w:num w:numId="14" w16cid:durableId="145903400">
    <w:abstractNumId w:val="20"/>
  </w:num>
  <w:num w:numId="15" w16cid:durableId="19162326">
    <w:abstractNumId w:val="22"/>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8"/>
  </w:num>
  <w:num w:numId="20" w16cid:durableId="1150947773">
    <w:abstractNumId w:val="16"/>
  </w:num>
  <w:num w:numId="21" w16cid:durableId="124660497">
    <w:abstractNumId w:val="15"/>
  </w:num>
  <w:num w:numId="22" w16cid:durableId="2099861471">
    <w:abstractNumId w:val="14"/>
  </w:num>
  <w:num w:numId="23" w16cid:durableId="84351335">
    <w:abstractNumId w:val="10"/>
  </w:num>
  <w:num w:numId="24" w16cid:durableId="373581953">
    <w:abstractNumId w:val="23"/>
  </w:num>
  <w:num w:numId="25" w16cid:durableId="14093098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2DBD"/>
    <w:rsid w:val="000137E9"/>
    <w:rsid w:val="0003148D"/>
    <w:rsid w:val="00031EEC"/>
    <w:rsid w:val="00044CD4"/>
    <w:rsid w:val="00051566"/>
    <w:rsid w:val="000562A9"/>
    <w:rsid w:val="00062A9A"/>
    <w:rsid w:val="00065058"/>
    <w:rsid w:val="00082089"/>
    <w:rsid w:val="00085D42"/>
    <w:rsid w:val="00086C39"/>
    <w:rsid w:val="000A03B2"/>
    <w:rsid w:val="000D0268"/>
    <w:rsid w:val="000D34BE"/>
    <w:rsid w:val="000E0B3C"/>
    <w:rsid w:val="000E102F"/>
    <w:rsid w:val="000E36F1"/>
    <w:rsid w:val="000E3A73"/>
    <w:rsid w:val="000E414A"/>
    <w:rsid w:val="000E75FD"/>
    <w:rsid w:val="000F093C"/>
    <w:rsid w:val="000F787B"/>
    <w:rsid w:val="00101F79"/>
    <w:rsid w:val="0010451C"/>
    <w:rsid w:val="0012091F"/>
    <w:rsid w:val="00120F1F"/>
    <w:rsid w:val="00126BC2"/>
    <w:rsid w:val="00127942"/>
    <w:rsid w:val="001308B6"/>
    <w:rsid w:val="0013121F"/>
    <w:rsid w:val="00131FE6"/>
    <w:rsid w:val="0013263F"/>
    <w:rsid w:val="001331DF"/>
    <w:rsid w:val="00134DE4"/>
    <w:rsid w:val="0014034D"/>
    <w:rsid w:val="00140FE3"/>
    <w:rsid w:val="00144D16"/>
    <w:rsid w:val="00150E59"/>
    <w:rsid w:val="00152DE3"/>
    <w:rsid w:val="00164CF9"/>
    <w:rsid w:val="001667A6"/>
    <w:rsid w:val="00167D74"/>
    <w:rsid w:val="00180E91"/>
    <w:rsid w:val="0018145E"/>
    <w:rsid w:val="0018171E"/>
    <w:rsid w:val="00184AD6"/>
    <w:rsid w:val="001968FE"/>
    <w:rsid w:val="001A4AF7"/>
    <w:rsid w:val="001B0349"/>
    <w:rsid w:val="001B1E93"/>
    <w:rsid w:val="001B65C1"/>
    <w:rsid w:val="001C14D5"/>
    <w:rsid w:val="001C260F"/>
    <w:rsid w:val="001C5C3A"/>
    <w:rsid w:val="001C5FD9"/>
    <w:rsid w:val="001C684B"/>
    <w:rsid w:val="001D0CFB"/>
    <w:rsid w:val="001D21AF"/>
    <w:rsid w:val="001D50DF"/>
    <w:rsid w:val="001D53FC"/>
    <w:rsid w:val="001D65AC"/>
    <w:rsid w:val="001E28FA"/>
    <w:rsid w:val="001F42A5"/>
    <w:rsid w:val="001F7B9D"/>
    <w:rsid w:val="00200FA7"/>
    <w:rsid w:val="00201C93"/>
    <w:rsid w:val="002077CC"/>
    <w:rsid w:val="00210FB5"/>
    <w:rsid w:val="00211B29"/>
    <w:rsid w:val="002224B4"/>
    <w:rsid w:val="002318CB"/>
    <w:rsid w:val="002447EF"/>
    <w:rsid w:val="00251550"/>
    <w:rsid w:val="00263B05"/>
    <w:rsid w:val="0027221A"/>
    <w:rsid w:val="002759C7"/>
    <w:rsid w:val="00275B61"/>
    <w:rsid w:val="00280FAF"/>
    <w:rsid w:val="00282656"/>
    <w:rsid w:val="00296B83"/>
    <w:rsid w:val="002A333F"/>
    <w:rsid w:val="002A50F0"/>
    <w:rsid w:val="002B4015"/>
    <w:rsid w:val="002B4154"/>
    <w:rsid w:val="002B6583"/>
    <w:rsid w:val="002B78CE"/>
    <w:rsid w:val="002C2FB6"/>
    <w:rsid w:val="002D0FA8"/>
    <w:rsid w:val="002E5FA7"/>
    <w:rsid w:val="002F3309"/>
    <w:rsid w:val="003008CE"/>
    <w:rsid w:val="003009B7"/>
    <w:rsid w:val="00300E56"/>
    <w:rsid w:val="0030152C"/>
    <w:rsid w:val="0030469C"/>
    <w:rsid w:val="00321CA6"/>
    <w:rsid w:val="00323763"/>
    <w:rsid w:val="00323C5F"/>
    <w:rsid w:val="00326C1B"/>
    <w:rsid w:val="00334C09"/>
    <w:rsid w:val="0033535B"/>
    <w:rsid w:val="00352F4D"/>
    <w:rsid w:val="00354F37"/>
    <w:rsid w:val="00362850"/>
    <w:rsid w:val="003723D4"/>
    <w:rsid w:val="00381905"/>
    <w:rsid w:val="00384CC8"/>
    <w:rsid w:val="003871FD"/>
    <w:rsid w:val="0039290D"/>
    <w:rsid w:val="003A1E30"/>
    <w:rsid w:val="003A2829"/>
    <w:rsid w:val="003A7D1C"/>
    <w:rsid w:val="003B0AE3"/>
    <w:rsid w:val="003B304B"/>
    <w:rsid w:val="003B3146"/>
    <w:rsid w:val="003B49CD"/>
    <w:rsid w:val="003B53D8"/>
    <w:rsid w:val="003D1E02"/>
    <w:rsid w:val="003D63AB"/>
    <w:rsid w:val="003E5DA4"/>
    <w:rsid w:val="003F015E"/>
    <w:rsid w:val="003F6E91"/>
    <w:rsid w:val="00400414"/>
    <w:rsid w:val="00404D0A"/>
    <w:rsid w:val="0041446B"/>
    <w:rsid w:val="00420161"/>
    <w:rsid w:val="00420191"/>
    <w:rsid w:val="0044071E"/>
    <w:rsid w:val="004419DE"/>
    <w:rsid w:val="0044329C"/>
    <w:rsid w:val="00453E24"/>
    <w:rsid w:val="00457456"/>
    <w:rsid w:val="004577FE"/>
    <w:rsid w:val="00457B9C"/>
    <w:rsid w:val="0046164A"/>
    <w:rsid w:val="004628D2"/>
    <w:rsid w:val="00462DCD"/>
    <w:rsid w:val="004648AD"/>
    <w:rsid w:val="004703A9"/>
    <w:rsid w:val="004720D6"/>
    <w:rsid w:val="004760DE"/>
    <w:rsid w:val="004763D7"/>
    <w:rsid w:val="00476FB6"/>
    <w:rsid w:val="00493EFC"/>
    <w:rsid w:val="004946BC"/>
    <w:rsid w:val="004A004E"/>
    <w:rsid w:val="004A24CF"/>
    <w:rsid w:val="004B05BB"/>
    <w:rsid w:val="004C3D1D"/>
    <w:rsid w:val="004C3D84"/>
    <w:rsid w:val="004C6170"/>
    <w:rsid w:val="004C7913"/>
    <w:rsid w:val="004D73B8"/>
    <w:rsid w:val="004E23AF"/>
    <w:rsid w:val="004E480B"/>
    <w:rsid w:val="004E4DD6"/>
    <w:rsid w:val="004F5E36"/>
    <w:rsid w:val="00507B47"/>
    <w:rsid w:val="00507BEF"/>
    <w:rsid w:val="00507CC9"/>
    <w:rsid w:val="005119A5"/>
    <w:rsid w:val="005278B7"/>
    <w:rsid w:val="00532016"/>
    <w:rsid w:val="005346C8"/>
    <w:rsid w:val="00541248"/>
    <w:rsid w:val="005424FC"/>
    <w:rsid w:val="00543E7D"/>
    <w:rsid w:val="005475FB"/>
    <w:rsid w:val="00547A68"/>
    <w:rsid w:val="005531C9"/>
    <w:rsid w:val="00554176"/>
    <w:rsid w:val="00554879"/>
    <w:rsid w:val="00563A7C"/>
    <w:rsid w:val="00570C43"/>
    <w:rsid w:val="00583913"/>
    <w:rsid w:val="00592274"/>
    <w:rsid w:val="00597569"/>
    <w:rsid w:val="005A6EB3"/>
    <w:rsid w:val="005B2110"/>
    <w:rsid w:val="005B2A94"/>
    <w:rsid w:val="005B350B"/>
    <w:rsid w:val="005B61E6"/>
    <w:rsid w:val="005C77E1"/>
    <w:rsid w:val="005D668A"/>
    <w:rsid w:val="005D6A2F"/>
    <w:rsid w:val="005E0592"/>
    <w:rsid w:val="005E1A82"/>
    <w:rsid w:val="005E68C8"/>
    <w:rsid w:val="005E794C"/>
    <w:rsid w:val="005F0A28"/>
    <w:rsid w:val="005F0E5E"/>
    <w:rsid w:val="005F7CF3"/>
    <w:rsid w:val="00600535"/>
    <w:rsid w:val="00610CD6"/>
    <w:rsid w:val="00616905"/>
    <w:rsid w:val="00620DEE"/>
    <w:rsid w:val="00621F92"/>
    <w:rsid w:val="0062280A"/>
    <w:rsid w:val="006231E1"/>
    <w:rsid w:val="00625639"/>
    <w:rsid w:val="00631B33"/>
    <w:rsid w:val="00633C26"/>
    <w:rsid w:val="0064184D"/>
    <w:rsid w:val="006422CC"/>
    <w:rsid w:val="00651D18"/>
    <w:rsid w:val="00660E3E"/>
    <w:rsid w:val="006626EC"/>
    <w:rsid w:val="00662E74"/>
    <w:rsid w:val="00663DC6"/>
    <w:rsid w:val="0067051D"/>
    <w:rsid w:val="00670A54"/>
    <w:rsid w:val="006760B5"/>
    <w:rsid w:val="0068060E"/>
    <w:rsid w:val="00680C23"/>
    <w:rsid w:val="00683E23"/>
    <w:rsid w:val="00693766"/>
    <w:rsid w:val="00696EE4"/>
    <w:rsid w:val="006974BD"/>
    <w:rsid w:val="006A2F65"/>
    <w:rsid w:val="006A3281"/>
    <w:rsid w:val="006A6702"/>
    <w:rsid w:val="006A6DE5"/>
    <w:rsid w:val="006B0594"/>
    <w:rsid w:val="006B4888"/>
    <w:rsid w:val="006C2E45"/>
    <w:rsid w:val="006C359C"/>
    <w:rsid w:val="006C5579"/>
    <w:rsid w:val="006C7CE2"/>
    <w:rsid w:val="006D335B"/>
    <w:rsid w:val="006D6E8B"/>
    <w:rsid w:val="006D7209"/>
    <w:rsid w:val="006E1E17"/>
    <w:rsid w:val="006E737D"/>
    <w:rsid w:val="006F6E93"/>
    <w:rsid w:val="00707DD1"/>
    <w:rsid w:val="007124E5"/>
    <w:rsid w:val="00713973"/>
    <w:rsid w:val="00713B30"/>
    <w:rsid w:val="00720A24"/>
    <w:rsid w:val="00720FCA"/>
    <w:rsid w:val="007274E7"/>
    <w:rsid w:val="00732386"/>
    <w:rsid w:val="0073514D"/>
    <w:rsid w:val="00742CF1"/>
    <w:rsid w:val="007447F3"/>
    <w:rsid w:val="0075499F"/>
    <w:rsid w:val="007661C8"/>
    <w:rsid w:val="0077098D"/>
    <w:rsid w:val="007760A5"/>
    <w:rsid w:val="00785BF9"/>
    <w:rsid w:val="007931FA"/>
    <w:rsid w:val="007A4861"/>
    <w:rsid w:val="007A7BBA"/>
    <w:rsid w:val="007B0C50"/>
    <w:rsid w:val="007B48F9"/>
    <w:rsid w:val="007C1A43"/>
    <w:rsid w:val="007D0951"/>
    <w:rsid w:val="007D0CD1"/>
    <w:rsid w:val="007D293C"/>
    <w:rsid w:val="007D314F"/>
    <w:rsid w:val="007D610D"/>
    <w:rsid w:val="0080013E"/>
    <w:rsid w:val="00801759"/>
    <w:rsid w:val="008124EF"/>
    <w:rsid w:val="00813288"/>
    <w:rsid w:val="00813A6E"/>
    <w:rsid w:val="008168FC"/>
    <w:rsid w:val="00821C21"/>
    <w:rsid w:val="00821D3B"/>
    <w:rsid w:val="00826715"/>
    <w:rsid w:val="00830493"/>
    <w:rsid w:val="00830996"/>
    <w:rsid w:val="008345F1"/>
    <w:rsid w:val="008551A3"/>
    <w:rsid w:val="00860324"/>
    <w:rsid w:val="008644C9"/>
    <w:rsid w:val="00865B07"/>
    <w:rsid w:val="008667EA"/>
    <w:rsid w:val="00867833"/>
    <w:rsid w:val="00870A63"/>
    <w:rsid w:val="0087637F"/>
    <w:rsid w:val="00885C0F"/>
    <w:rsid w:val="00892AD5"/>
    <w:rsid w:val="008A1512"/>
    <w:rsid w:val="008C074B"/>
    <w:rsid w:val="008D2B5F"/>
    <w:rsid w:val="008D32B9"/>
    <w:rsid w:val="008D433B"/>
    <w:rsid w:val="008D4A16"/>
    <w:rsid w:val="008E5401"/>
    <w:rsid w:val="008E566E"/>
    <w:rsid w:val="0090161A"/>
    <w:rsid w:val="00901EB6"/>
    <w:rsid w:val="009041F8"/>
    <w:rsid w:val="00904C62"/>
    <w:rsid w:val="0090576C"/>
    <w:rsid w:val="00910DCA"/>
    <w:rsid w:val="00916F6A"/>
    <w:rsid w:val="00922BA8"/>
    <w:rsid w:val="00924DAC"/>
    <w:rsid w:val="00927058"/>
    <w:rsid w:val="00934A11"/>
    <w:rsid w:val="00942750"/>
    <w:rsid w:val="009450CE"/>
    <w:rsid w:val="009459BB"/>
    <w:rsid w:val="00947179"/>
    <w:rsid w:val="0095164B"/>
    <w:rsid w:val="00953C40"/>
    <w:rsid w:val="00954090"/>
    <w:rsid w:val="009552CC"/>
    <w:rsid w:val="0095682B"/>
    <w:rsid w:val="009573E7"/>
    <w:rsid w:val="00963E05"/>
    <w:rsid w:val="00964A45"/>
    <w:rsid w:val="00967843"/>
    <w:rsid w:val="00967D54"/>
    <w:rsid w:val="00971028"/>
    <w:rsid w:val="00983FCB"/>
    <w:rsid w:val="00993B84"/>
    <w:rsid w:val="00994C6A"/>
    <w:rsid w:val="00996483"/>
    <w:rsid w:val="00996F5A"/>
    <w:rsid w:val="009A010E"/>
    <w:rsid w:val="009B041A"/>
    <w:rsid w:val="009B3171"/>
    <w:rsid w:val="009B7DA2"/>
    <w:rsid w:val="009C37C3"/>
    <w:rsid w:val="009C4886"/>
    <w:rsid w:val="009C5046"/>
    <w:rsid w:val="009C7C86"/>
    <w:rsid w:val="009D2FF7"/>
    <w:rsid w:val="009E4D6A"/>
    <w:rsid w:val="009E7884"/>
    <w:rsid w:val="009E788A"/>
    <w:rsid w:val="009F0E08"/>
    <w:rsid w:val="00A0440F"/>
    <w:rsid w:val="00A079AE"/>
    <w:rsid w:val="00A1763D"/>
    <w:rsid w:val="00A17CEC"/>
    <w:rsid w:val="00A27EF0"/>
    <w:rsid w:val="00A40E68"/>
    <w:rsid w:val="00A42361"/>
    <w:rsid w:val="00A500A8"/>
    <w:rsid w:val="00A50B20"/>
    <w:rsid w:val="00A51390"/>
    <w:rsid w:val="00A60D13"/>
    <w:rsid w:val="00A7223D"/>
    <w:rsid w:val="00A72745"/>
    <w:rsid w:val="00A72AEB"/>
    <w:rsid w:val="00A76EFC"/>
    <w:rsid w:val="00A87D50"/>
    <w:rsid w:val="00A91010"/>
    <w:rsid w:val="00A9614E"/>
    <w:rsid w:val="00A97F29"/>
    <w:rsid w:val="00AA702E"/>
    <w:rsid w:val="00AA7D26"/>
    <w:rsid w:val="00AB0502"/>
    <w:rsid w:val="00AB0964"/>
    <w:rsid w:val="00AB3F7E"/>
    <w:rsid w:val="00AB5011"/>
    <w:rsid w:val="00AC7368"/>
    <w:rsid w:val="00AC7B1F"/>
    <w:rsid w:val="00AD16B9"/>
    <w:rsid w:val="00AD6DB2"/>
    <w:rsid w:val="00AD7B32"/>
    <w:rsid w:val="00AE3676"/>
    <w:rsid w:val="00AE377D"/>
    <w:rsid w:val="00AF0EBA"/>
    <w:rsid w:val="00AF14AC"/>
    <w:rsid w:val="00AF2463"/>
    <w:rsid w:val="00B02C8A"/>
    <w:rsid w:val="00B12F9E"/>
    <w:rsid w:val="00B17FBD"/>
    <w:rsid w:val="00B315A6"/>
    <w:rsid w:val="00B31813"/>
    <w:rsid w:val="00B31B20"/>
    <w:rsid w:val="00B33365"/>
    <w:rsid w:val="00B33ED2"/>
    <w:rsid w:val="00B40E42"/>
    <w:rsid w:val="00B4531F"/>
    <w:rsid w:val="00B51C74"/>
    <w:rsid w:val="00B57B36"/>
    <w:rsid w:val="00B57E6F"/>
    <w:rsid w:val="00B8686D"/>
    <w:rsid w:val="00B93F69"/>
    <w:rsid w:val="00BB05F8"/>
    <w:rsid w:val="00BB1DDC"/>
    <w:rsid w:val="00BB6935"/>
    <w:rsid w:val="00BC10ED"/>
    <w:rsid w:val="00BC30C9"/>
    <w:rsid w:val="00BD077D"/>
    <w:rsid w:val="00BE3E58"/>
    <w:rsid w:val="00BF13CE"/>
    <w:rsid w:val="00C01616"/>
    <w:rsid w:val="00C0162B"/>
    <w:rsid w:val="00C068ED"/>
    <w:rsid w:val="00C20BE3"/>
    <w:rsid w:val="00C22E0C"/>
    <w:rsid w:val="00C24638"/>
    <w:rsid w:val="00C345B1"/>
    <w:rsid w:val="00C40142"/>
    <w:rsid w:val="00C52C3C"/>
    <w:rsid w:val="00C57182"/>
    <w:rsid w:val="00C57863"/>
    <w:rsid w:val="00C640AF"/>
    <w:rsid w:val="00C655FD"/>
    <w:rsid w:val="00C700C8"/>
    <w:rsid w:val="00C70FD0"/>
    <w:rsid w:val="00C75407"/>
    <w:rsid w:val="00C768DA"/>
    <w:rsid w:val="00C841C6"/>
    <w:rsid w:val="00C870A8"/>
    <w:rsid w:val="00C94434"/>
    <w:rsid w:val="00CA0D75"/>
    <w:rsid w:val="00CA1C95"/>
    <w:rsid w:val="00CA5A9C"/>
    <w:rsid w:val="00CA72B0"/>
    <w:rsid w:val="00CB0C4D"/>
    <w:rsid w:val="00CB1162"/>
    <w:rsid w:val="00CC2BA1"/>
    <w:rsid w:val="00CC4C20"/>
    <w:rsid w:val="00CD3517"/>
    <w:rsid w:val="00CD5FE2"/>
    <w:rsid w:val="00CE137F"/>
    <w:rsid w:val="00CE7746"/>
    <w:rsid w:val="00CE7C68"/>
    <w:rsid w:val="00CF71EE"/>
    <w:rsid w:val="00D00B4C"/>
    <w:rsid w:val="00D02B4C"/>
    <w:rsid w:val="00D040C4"/>
    <w:rsid w:val="00D10023"/>
    <w:rsid w:val="00D16575"/>
    <w:rsid w:val="00D20AD1"/>
    <w:rsid w:val="00D2582C"/>
    <w:rsid w:val="00D42C65"/>
    <w:rsid w:val="00D43B09"/>
    <w:rsid w:val="00D46B7E"/>
    <w:rsid w:val="00D57C84"/>
    <w:rsid w:val="00D6057D"/>
    <w:rsid w:val="00D71640"/>
    <w:rsid w:val="00D74589"/>
    <w:rsid w:val="00D820F1"/>
    <w:rsid w:val="00D836C5"/>
    <w:rsid w:val="00D84576"/>
    <w:rsid w:val="00D8703F"/>
    <w:rsid w:val="00DA1399"/>
    <w:rsid w:val="00DA1667"/>
    <w:rsid w:val="00DA24C6"/>
    <w:rsid w:val="00DA4D7B"/>
    <w:rsid w:val="00DB2AA9"/>
    <w:rsid w:val="00DC2840"/>
    <w:rsid w:val="00DC73EE"/>
    <w:rsid w:val="00DD271C"/>
    <w:rsid w:val="00DE264A"/>
    <w:rsid w:val="00DE3803"/>
    <w:rsid w:val="00DF23C3"/>
    <w:rsid w:val="00DF5072"/>
    <w:rsid w:val="00DF7E02"/>
    <w:rsid w:val="00E02D18"/>
    <w:rsid w:val="00E041E7"/>
    <w:rsid w:val="00E07A21"/>
    <w:rsid w:val="00E1593C"/>
    <w:rsid w:val="00E23CA1"/>
    <w:rsid w:val="00E409A8"/>
    <w:rsid w:val="00E47CC7"/>
    <w:rsid w:val="00E50C12"/>
    <w:rsid w:val="00E61EEE"/>
    <w:rsid w:val="00E65B91"/>
    <w:rsid w:val="00E7209D"/>
    <w:rsid w:val="00E72EAD"/>
    <w:rsid w:val="00E74F00"/>
    <w:rsid w:val="00E74F11"/>
    <w:rsid w:val="00E77223"/>
    <w:rsid w:val="00E8528B"/>
    <w:rsid w:val="00E85B94"/>
    <w:rsid w:val="00E96196"/>
    <w:rsid w:val="00E978D0"/>
    <w:rsid w:val="00EA1194"/>
    <w:rsid w:val="00EA4613"/>
    <w:rsid w:val="00EA64D5"/>
    <w:rsid w:val="00EA7F91"/>
    <w:rsid w:val="00EB1523"/>
    <w:rsid w:val="00EB34B1"/>
    <w:rsid w:val="00EC0E49"/>
    <w:rsid w:val="00EC101F"/>
    <w:rsid w:val="00EC1D9F"/>
    <w:rsid w:val="00EC23A8"/>
    <w:rsid w:val="00EC5023"/>
    <w:rsid w:val="00EC5F11"/>
    <w:rsid w:val="00ED2235"/>
    <w:rsid w:val="00ED67B9"/>
    <w:rsid w:val="00EE0131"/>
    <w:rsid w:val="00EE17B0"/>
    <w:rsid w:val="00EE22F0"/>
    <w:rsid w:val="00EF06D9"/>
    <w:rsid w:val="00F01D0C"/>
    <w:rsid w:val="00F0537B"/>
    <w:rsid w:val="00F27EE4"/>
    <w:rsid w:val="00F3049E"/>
    <w:rsid w:val="00F30C64"/>
    <w:rsid w:val="00F32BA2"/>
    <w:rsid w:val="00F32CDB"/>
    <w:rsid w:val="00F41EE4"/>
    <w:rsid w:val="00F43192"/>
    <w:rsid w:val="00F515E9"/>
    <w:rsid w:val="00F565FE"/>
    <w:rsid w:val="00F61885"/>
    <w:rsid w:val="00F63A70"/>
    <w:rsid w:val="00F63D8C"/>
    <w:rsid w:val="00F7534E"/>
    <w:rsid w:val="00F769C0"/>
    <w:rsid w:val="00F84D4F"/>
    <w:rsid w:val="00F93EDF"/>
    <w:rsid w:val="00F97AF2"/>
    <w:rsid w:val="00FA1802"/>
    <w:rsid w:val="00FA21D0"/>
    <w:rsid w:val="00FA5F5F"/>
    <w:rsid w:val="00FB730C"/>
    <w:rsid w:val="00FC2695"/>
    <w:rsid w:val="00FC3E03"/>
    <w:rsid w:val="00FC3FC1"/>
    <w:rsid w:val="00FD6D7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D42C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6952</Words>
  <Characters>39630</Characters>
  <Application>Microsoft Office Word</Application>
  <DocSecurity>0</DocSecurity>
  <Lines>330</Lines>
  <Paragraphs>92</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46490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Sauro Pierucci</cp:lastModifiedBy>
  <cp:revision>4</cp:revision>
  <cp:lastPrinted>2015-05-12T18:31:00Z</cp:lastPrinted>
  <dcterms:created xsi:type="dcterms:W3CDTF">2025-02-10T13:16:00Z</dcterms:created>
  <dcterms:modified xsi:type="dcterms:W3CDTF">2025-04-16T11:43:00Z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7th edition</vt:lpwstr>
  </property>
  <property fmtid="{D5CDD505-2E9C-101B-9397-08002B2CF9AE}" pid="6" name="Mendeley Recent Style Id 1_1">
    <vt:lpwstr>http://www.zotero.org/styles/chicago-author-date</vt:lpwstr>
  </property>
  <property fmtid="{D5CDD505-2E9C-101B-9397-08002B2CF9AE}" pid="7" name="Mendeley Recent Style Name 1_1">
    <vt:lpwstr>Chicago Manual of Style 17th edition (author-date)</vt:lpwstr>
  </property>
  <property fmtid="{D5CDD505-2E9C-101B-9397-08002B2CF9AE}" pid="8" name="Mendeley Recent Style Id 2_1">
    <vt:lpwstr>http://www.zotero.org/styles/harvard-cite-them-right</vt:lpwstr>
  </property>
  <property fmtid="{D5CDD505-2E9C-101B-9397-08002B2CF9AE}" pid="9" name="Mendeley Recent Style Name 2_1">
    <vt:lpwstr>Cite Them Right 11th edition - Harvard</vt:lpwstr>
  </property>
  <property fmtid="{D5CDD505-2E9C-101B-9397-08002B2CF9AE}" pid="10" name="Mendeley Recent Style Id 3_1">
    <vt:lpwstr>http://www.zotero.org/styles/elsevier-with-titles</vt:lpwstr>
  </property>
  <property fmtid="{D5CDD505-2E9C-101B-9397-08002B2CF9AE}" pid="11" name="Mendeley Recent Style Name 3_1">
    <vt:lpwstr>Elsevier (numeric, with titles)</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http://www.zotero.org/styles/journal-of-loss-prevention-in-the-process-industries</vt:lpwstr>
  </property>
  <property fmtid="{D5CDD505-2E9C-101B-9397-08002B2CF9AE}" pid="15" name="Mendeley Recent Style Name 5_1">
    <vt:lpwstr>Journal of Loss Prevention in the Process Industries</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9th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http://www.zotero.org/styles/process-safety-and-environmental-protection</vt:lpwstr>
  </property>
  <property fmtid="{D5CDD505-2E9C-101B-9397-08002B2CF9AE}" pid="23" name="Mendeley Recent Style Name 9_1">
    <vt:lpwstr>Process Safety and Environmental Protection</vt:lpwstr>
  </property>
  <property fmtid="{D5CDD505-2E9C-101B-9397-08002B2CF9AE}" pid="24" name="Mendeley Document_1">
    <vt:lpwstr>True</vt:lpwstr>
  </property>
  <property fmtid="{D5CDD505-2E9C-101B-9397-08002B2CF9AE}" pid="25" name="Mendeley Unique User Id_1">
    <vt:lpwstr>6374daab-93cf-3e23-a0df-6ca7a06e400d</vt:lpwstr>
  </property>
  <property fmtid="{D5CDD505-2E9C-101B-9397-08002B2CF9AE}" pid="26" name="Mendeley Citation Style_1">
    <vt:lpwstr>http://www.zotero.org/styles/journal-of-loss-prevention-in-the-process-industries</vt:lpwstr>
  </property>
  <property fmtid="{D5CDD505-2E9C-101B-9397-08002B2CF9AE}" pid="27" name="GrammarlyDocumentId">
    <vt:lpwstr>48bd79ec50b4f3e44851031f6dc8ca224795354a2d02a7f4b4b7fbb3e406c116</vt:lpwstr>
  </property>
</Properties>
</file>