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BB48C" w14:textId="68C7208D" w:rsidR="005C1A57" w:rsidRPr="005C1A57" w:rsidRDefault="00992E29" w:rsidP="00591C6C">
      <w:pPr>
        <w:pStyle w:val="BOATitle"/>
        <w:rPr>
          <w:rFonts w:eastAsia="MS PGothic"/>
        </w:rPr>
      </w:pPr>
      <w:r w:rsidRPr="00992E29">
        <w:rPr>
          <w:rFonts w:eastAsia="MS PGothic"/>
        </w:rPr>
        <w:t>Determination of long-term stabilities of weak autocatalytic</w:t>
      </w:r>
      <w:r w:rsidR="004D140E">
        <w:rPr>
          <w:rFonts w:eastAsia="MS PGothic"/>
        </w:rPr>
        <w:t>ally</w:t>
      </w:r>
      <w:r w:rsidRPr="00992E29">
        <w:rPr>
          <w:rFonts w:eastAsia="MS PGothic"/>
        </w:rPr>
        <w:t xml:space="preserve"> decomposing substances</w:t>
      </w:r>
    </w:p>
    <w:p w14:paraId="29E2E91E" w14:textId="1674C1EA" w:rsidR="005C1A57" w:rsidRPr="00591C6C" w:rsidRDefault="00992E29" w:rsidP="00591C6C">
      <w:pPr>
        <w:pStyle w:val="BOAAuthors"/>
        <w:rPr>
          <w:rFonts w:eastAsia="MS PGothic"/>
        </w:rPr>
      </w:pPr>
      <w:r>
        <w:rPr>
          <w:rFonts w:eastAsia="SimSun"/>
        </w:rPr>
        <w:t>David</w:t>
      </w:r>
      <w:r w:rsidR="005C1A57" w:rsidRPr="00591C6C">
        <w:rPr>
          <w:rFonts w:eastAsia="SimSun"/>
        </w:rPr>
        <w:t xml:space="preserve"> </w:t>
      </w:r>
      <w:r>
        <w:rPr>
          <w:rFonts w:eastAsia="SimSun"/>
        </w:rPr>
        <w:t>Zink</w:t>
      </w:r>
      <w:r w:rsidRPr="00591C6C">
        <w:rPr>
          <w:rFonts w:eastAsia="SimSun"/>
        </w:rPr>
        <w:t>*</w:t>
      </w:r>
      <w:r w:rsidRPr="00992E29">
        <w:rPr>
          <w:rFonts w:eastAsia="SimSun"/>
          <w:vertAlign w:val="superscript"/>
        </w:rPr>
        <w:t>1</w:t>
      </w:r>
      <w:r w:rsidR="005C1A57" w:rsidRPr="00591C6C">
        <w:rPr>
          <w:rFonts w:eastAsia="SimSun"/>
        </w:rPr>
        <w:t xml:space="preserve">, </w:t>
      </w:r>
      <w:r>
        <w:rPr>
          <w:rFonts w:eastAsia="SimSun"/>
        </w:rPr>
        <w:t>Sebastian Kimpel</w:t>
      </w:r>
      <w:r>
        <w:rPr>
          <w:rFonts w:eastAsia="SimSun"/>
          <w:vertAlign w:val="superscript"/>
        </w:rPr>
        <w:t>2</w:t>
      </w:r>
      <w:r>
        <w:rPr>
          <w:rFonts w:eastAsia="SimSun"/>
        </w:rPr>
        <w:t>,</w:t>
      </w:r>
      <w:r w:rsidR="005C1A57" w:rsidRPr="00591C6C">
        <w:rPr>
          <w:rFonts w:eastAsia="SimSun"/>
        </w:rPr>
        <w:t xml:space="preserve"> </w:t>
      </w:r>
      <w:r>
        <w:rPr>
          <w:rFonts w:eastAsia="SimSun"/>
        </w:rPr>
        <w:t>Julian Sartorius</w:t>
      </w:r>
      <w:r w:rsidRPr="00992E29">
        <w:rPr>
          <w:rFonts w:eastAsia="SimSun"/>
          <w:vertAlign w:val="superscript"/>
        </w:rPr>
        <w:t>1</w:t>
      </w:r>
      <w:r>
        <w:rPr>
          <w:rFonts w:eastAsia="SimSun"/>
        </w:rPr>
        <w:t>, Christina Kuchta</w:t>
      </w:r>
      <w:r w:rsidRPr="00992E29">
        <w:rPr>
          <w:rFonts w:eastAsia="SimSun"/>
          <w:vertAlign w:val="superscript"/>
        </w:rPr>
        <w:t>1</w:t>
      </w:r>
      <w:r>
        <w:rPr>
          <w:rFonts w:eastAsia="SimSun"/>
        </w:rPr>
        <w:t>, Christian Bernstein</w:t>
      </w:r>
      <w:r>
        <w:rPr>
          <w:rFonts w:eastAsia="SimSun"/>
          <w:vertAlign w:val="superscript"/>
        </w:rPr>
        <w:t>2</w:t>
      </w:r>
    </w:p>
    <w:p w14:paraId="605A52A9" w14:textId="54E64E47" w:rsidR="00F80AFB" w:rsidRPr="00EA1F70" w:rsidRDefault="005C1A57" w:rsidP="00F80AFB">
      <w:pPr>
        <w:pStyle w:val="BOAAddress"/>
        <w:rPr>
          <w:rFonts w:eastAsia="MS PGothic"/>
          <w:lang w:val="de-DE"/>
        </w:rPr>
      </w:pPr>
      <w:r w:rsidRPr="00EA1F70">
        <w:rPr>
          <w:rFonts w:eastAsia="MS PGothic"/>
          <w:lang w:val="de-DE"/>
        </w:rPr>
        <w:t xml:space="preserve">1 </w:t>
      </w:r>
      <w:r w:rsidR="00F80AFB" w:rsidRPr="00EA1F70">
        <w:rPr>
          <w:rFonts w:eastAsia="MS PGothic"/>
          <w:lang w:val="de-DE"/>
        </w:rPr>
        <w:t>consilab, Industriepark Höchst G830, 65926 Frankfurt am Main</w:t>
      </w:r>
    </w:p>
    <w:p w14:paraId="355BDC5A" w14:textId="2255D030" w:rsidR="00F80AFB" w:rsidRPr="00F80AFB" w:rsidRDefault="005C1A57" w:rsidP="00F80AFB">
      <w:pPr>
        <w:pStyle w:val="BOAAddress"/>
        <w:rPr>
          <w:rFonts w:eastAsia="MS PGothic"/>
          <w:lang w:val="en-US"/>
        </w:rPr>
      </w:pPr>
      <w:r w:rsidRPr="00F80AFB">
        <w:rPr>
          <w:rFonts w:eastAsia="MS PGothic"/>
          <w:lang w:val="en-US"/>
        </w:rPr>
        <w:t xml:space="preserve">2 </w:t>
      </w:r>
      <w:r w:rsidR="00F80AFB" w:rsidRPr="00F80AFB">
        <w:rPr>
          <w:rFonts w:eastAsia="MS PGothic"/>
          <w:lang w:val="en-US"/>
        </w:rPr>
        <w:t>consilab, Chempark Leverkusen, Q18L, 51369 Leverkusen</w:t>
      </w:r>
    </w:p>
    <w:p w14:paraId="42CB37CF" w14:textId="7BD8F229" w:rsidR="005C1A57" w:rsidRPr="00591C6C" w:rsidRDefault="005C1A57" w:rsidP="00F80AFB">
      <w:pPr>
        <w:pStyle w:val="BOAAddress"/>
        <w:rPr>
          <w:rFonts w:eastAsia="MS PGothic"/>
        </w:rPr>
      </w:pPr>
      <w:r w:rsidRPr="00591C6C">
        <w:rPr>
          <w:rFonts w:eastAsia="MS PGothic"/>
        </w:rPr>
        <w:t>*Corresponding author</w:t>
      </w:r>
      <w:r w:rsidRPr="00591C6C">
        <w:rPr>
          <w:rFonts w:eastAsia="MS PGothic"/>
          <w:lang w:eastAsia="ko-KR"/>
        </w:rPr>
        <w:t xml:space="preserve"> E-Mail: </w:t>
      </w:r>
      <w:r w:rsidR="00992E29">
        <w:rPr>
          <w:rFonts w:eastAsia="MS PGothic"/>
        </w:rPr>
        <w:t>David.Zink</w:t>
      </w:r>
      <w:r w:rsidRPr="00591C6C">
        <w:rPr>
          <w:rFonts w:eastAsia="MS PGothic"/>
        </w:rPr>
        <w:t>@</w:t>
      </w:r>
      <w:r w:rsidR="00992E29">
        <w:rPr>
          <w:rFonts w:eastAsia="MS PGothic"/>
        </w:rPr>
        <w:t>consilab</w:t>
      </w:r>
      <w:r w:rsidRPr="00591C6C">
        <w:rPr>
          <w:rFonts w:eastAsia="MS PGothic"/>
        </w:rPr>
        <w:t>.</w:t>
      </w:r>
      <w:r w:rsidR="00992E29">
        <w:rPr>
          <w:rFonts w:eastAsia="MS PGothic"/>
        </w:rPr>
        <w:t>de</w:t>
      </w:r>
    </w:p>
    <w:p w14:paraId="7D788354" w14:textId="77777777" w:rsidR="005C1A57" w:rsidRPr="00621A1B" w:rsidRDefault="005C1A57" w:rsidP="00F879FE">
      <w:pPr>
        <w:pStyle w:val="BOAHeading"/>
      </w:pPr>
      <w:r w:rsidRPr="00621A1B">
        <w:t>1. Introduction</w:t>
      </w:r>
    </w:p>
    <w:p w14:paraId="5E0C7C98" w14:textId="51208579" w:rsidR="00F80AFB" w:rsidRPr="00F80AFB" w:rsidRDefault="00F80AFB" w:rsidP="00F80AFB">
      <w:pPr>
        <w:pStyle w:val="BOAAbstractBody"/>
        <w:rPr>
          <w:rFonts w:eastAsia="MS PGothic"/>
        </w:rPr>
      </w:pPr>
      <w:r w:rsidRPr="00F80AFB">
        <w:rPr>
          <w:rFonts w:eastAsia="MS PGothic"/>
        </w:rPr>
        <w:t>The safety-related assessment of the thermal stability for decomposing substances in context of process safety is typically based on DSC measurements or adiabatic calorimetry described for example in the German guideline TRAS 410. In case of autocatalytic</w:t>
      </w:r>
      <w:r w:rsidR="004D140E">
        <w:rPr>
          <w:rFonts w:eastAsia="MS PGothic"/>
        </w:rPr>
        <w:t>ally</w:t>
      </w:r>
      <w:r w:rsidRPr="00F80AFB">
        <w:rPr>
          <w:rFonts w:eastAsia="MS PGothic"/>
        </w:rPr>
        <w:t xml:space="preserve"> decomposing substances, the assessment is quite challenging. Technical regulations give no specific support </w:t>
      </w:r>
      <w:r w:rsidR="004D140E">
        <w:rPr>
          <w:rFonts w:eastAsia="MS PGothic"/>
        </w:rPr>
        <w:t>and</w:t>
      </w:r>
      <w:r w:rsidRPr="00F80AFB">
        <w:rPr>
          <w:rFonts w:eastAsia="MS PGothic"/>
        </w:rPr>
        <w:t xml:space="preserve"> the assessment is</w:t>
      </w:r>
      <w:r w:rsidR="004D140E">
        <w:rPr>
          <w:rFonts w:eastAsia="MS PGothic"/>
        </w:rPr>
        <w:t xml:space="preserve"> typically</w:t>
      </w:r>
      <w:r w:rsidRPr="00F80AFB">
        <w:rPr>
          <w:rFonts w:eastAsia="MS PGothic"/>
        </w:rPr>
        <w:t xml:space="preserve"> based on a worst-case consideration (e.g. H.3 SADT test).</w:t>
      </w:r>
    </w:p>
    <w:p w14:paraId="2014C5F0" w14:textId="67AD4A19" w:rsidR="00F80AFB" w:rsidRPr="00F80AFB" w:rsidRDefault="00F80AFB" w:rsidP="00F80AFB">
      <w:pPr>
        <w:pStyle w:val="BOAAbstractBody"/>
        <w:rPr>
          <w:rFonts w:eastAsia="MS PGothic"/>
        </w:rPr>
      </w:pPr>
      <w:r w:rsidRPr="00F80AFB">
        <w:rPr>
          <w:rFonts w:eastAsia="MS PGothic"/>
        </w:rPr>
        <w:t>For strong autocatalytic reactions the assessment of the safe storage of a substance based on isothermal induction times is possible, if no relevant heat production rate is present</w:t>
      </w:r>
      <w:r w:rsidR="00FE08EA">
        <w:rPr>
          <w:rFonts w:eastAsia="MS PGothic"/>
        </w:rPr>
        <w:t xml:space="preserve"> during the induction time</w:t>
      </w:r>
      <w:r w:rsidRPr="00F80AFB">
        <w:rPr>
          <w:rFonts w:eastAsia="MS PGothic"/>
        </w:rPr>
        <w:t xml:space="preserve">. That is for example the case for stabilized acrylates, which show a quasi-autocatalytic reaction behavior. </w:t>
      </w:r>
      <w:r w:rsidR="00FE08EA">
        <w:rPr>
          <w:rFonts w:eastAsia="MS PGothic"/>
        </w:rPr>
        <w:t xml:space="preserve">During the period in which stabilization is still present, the heat production rate is nearly zero. If the stabilizer is consumed the polymerization and therefore the heat production rate increases rapidly. </w:t>
      </w:r>
    </w:p>
    <w:p w14:paraId="57FA4CD2" w14:textId="32C8FCB4" w:rsidR="00F80AFB" w:rsidRPr="00F80AFB" w:rsidRDefault="00F80AFB" w:rsidP="00F80AFB">
      <w:pPr>
        <w:pStyle w:val="BOAAbstractBody"/>
        <w:rPr>
          <w:rFonts w:eastAsia="MS PGothic"/>
        </w:rPr>
      </w:pPr>
      <w:r w:rsidRPr="00F80AFB">
        <w:rPr>
          <w:rFonts w:eastAsia="MS PGothic"/>
        </w:rPr>
        <w:t>But what is a possible strategy to assess the storage of a weak autocatalytic</w:t>
      </w:r>
      <w:r w:rsidR="004D140E">
        <w:rPr>
          <w:rFonts w:eastAsia="MS PGothic"/>
        </w:rPr>
        <w:t>ally</w:t>
      </w:r>
      <w:r w:rsidRPr="00F80AFB">
        <w:rPr>
          <w:rFonts w:eastAsia="MS PGothic"/>
        </w:rPr>
        <w:t xml:space="preserve"> decomposing substance? </w:t>
      </w:r>
      <w:bookmarkStart w:id="0" w:name="_Hlk188891419"/>
      <w:r w:rsidR="00DF5705" w:rsidRPr="00DF5705">
        <w:rPr>
          <w:rFonts w:eastAsia="MS PGothic"/>
          <w:lang w:val="en-GB"/>
        </w:rPr>
        <w:t>Weak autocatalytic decomposition means that a significant heat production rate is already present for a fresh, thermally non-aged substance and the heat production rate increases with increasing thermal history, the autocatalytic reaction path of the decomposition</w:t>
      </w:r>
      <w:bookmarkEnd w:id="0"/>
      <w:r w:rsidR="00DF5705" w:rsidRPr="00DF5705">
        <w:rPr>
          <w:rFonts w:eastAsia="MS PGothic"/>
          <w:lang w:val="en-GB"/>
        </w:rPr>
        <w:t>.</w:t>
      </w:r>
      <w:r w:rsidRPr="00F80AFB">
        <w:rPr>
          <w:rFonts w:eastAsia="MS PGothic"/>
        </w:rPr>
        <w:t xml:space="preserve"> Typically, a worst-case consideration is not target oriented, because it is </w:t>
      </w:r>
      <w:r w:rsidR="00564308">
        <w:rPr>
          <w:rFonts w:eastAsia="MS PGothic"/>
        </w:rPr>
        <w:t xml:space="preserve">too </w:t>
      </w:r>
      <w:r w:rsidRPr="00F80AFB">
        <w:rPr>
          <w:rFonts w:eastAsia="MS PGothic"/>
        </w:rPr>
        <w:t>conservative</w:t>
      </w:r>
      <w:r w:rsidR="00564308">
        <w:rPr>
          <w:rFonts w:eastAsia="MS PGothic"/>
        </w:rPr>
        <w:t xml:space="preserve"> for safety-related </w:t>
      </w:r>
      <w:r w:rsidR="004D140E">
        <w:rPr>
          <w:rFonts w:eastAsia="MS PGothic"/>
        </w:rPr>
        <w:t>application</w:t>
      </w:r>
      <w:r w:rsidR="00564308">
        <w:rPr>
          <w:rFonts w:eastAsia="MS PGothic"/>
        </w:rPr>
        <w:t>.</w:t>
      </w:r>
      <w:r w:rsidRPr="00F80AFB">
        <w:rPr>
          <w:rFonts w:eastAsia="MS PGothic"/>
        </w:rPr>
        <w:t xml:space="preserve"> On the other hand, an assessment based on methods for non-autocatalytic</w:t>
      </w:r>
      <w:r w:rsidR="004D140E">
        <w:rPr>
          <w:rFonts w:eastAsia="MS PGothic"/>
        </w:rPr>
        <w:t>ally</w:t>
      </w:r>
      <w:r w:rsidRPr="00F80AFB">
        <w:rPr>
          <w:rFonts w:eastAsia="MS PGothic"/>
        </w:rPr>
        <w:t xml:space="preserve"> decomposing substances underestimates the criticality of the decomposition reaction. </w:t>
      </w:r>
    </w:p>
    <w:p w14:paraId="13532853" w14:textId="3861FCD1" w:rsidR="005C1A57" w:rsidRPr="00F879FE" w:rsidRDefault="00F80AFB" w:rsidP="00F80AFB">
      <w:pPr>
        <w:pStyle w:val="BOAAbstractBody"/>
        <w:rPr>
          <w:rFonts w:eastAsia="MS PGothic"/>
          <w:bCs/>
        </w:rPr>
      </w:pPr>
      <w:r w:rsidRPr="00F80AFB">
        <w:rPr>
          <w:rFonts w:eastAsia="MS PGothic"/>
        </w:rPr>
        <w:t>Nitro aromatic compounds are typical representatives for weak autocatalytic decomposition. Hereby, depending on the melting point of the substance a storage at higher temperatures is necessary and makes a safety-related assessment more relevant.</w:t>
      </w:r>
    </w:p>
    <w:p w14:paraId="783EC6E6" w14:textId="77777777" w:rsidR="005C1A57" w:rsidRPr="00591C6C" w:rsidRDefault="005C1A57" w:rsidP="00F879FE">
      <w:pPr>
        <w:pStyle w:val="BOAHeading"/>
      </w:pPr>
      <w:r w:rsidRPr="00591C6C">
        <w:t>2. Methods</w:t>
      </w:r>
    </w:p>
    <w:p w14:paraId="7F1DCE07" w14:textId="2A80674D" w:rsidR="00EB30EC" w:rsidRPr="00EB30EC" w:rsidRDefault="00EB30EC" w:rsidP="00EB30EC">
      <w:pPr>
        <w:pStyle w:val="BOAAbstractBody"/>
        <w:rPr>
          <w:rFonts w:eastAsia="MS PGothic"/>
          <w:b/>
          <w:bCs/>
        </w:rPr>
      </w:pPr>
      <w:r>
        <w:rPr>
          <w:rFonts w:eastAsia="MS PGothic"/>
          <w:b/>
          <w:bCs/>
        </w:rPr>
        <w:t>DSC-measurements</w:t>
      </w:r>
    </w:p>
    <w:p w14:paraId="163EFF82" w14:textId="6393447A" w:rsidR="00EB30EC" w:rsidRPr="00EB30EC" w:rsidRDefault="00EB30EC" w:rsidP="00EB30EC">
      <w:pPr>
        <w:pStyle w:val="BOAAbstractBody"/>
        <w:rPr>
          <w:rFonts w:cs="Arial"/>
          <w:szCs w:val="22"/>
          <w:lang w:val="en-GB"/>
        </w:rPr>
      </w:pPr>
      <w:r w:rsidRPr="00EB30EC">
        <w:rPr>
          <w:rFonts w:cs="Arial"/>
          <w:szCs w:val="22"/>
          <w:lang w:val="en-GB"/>
        </w:rPr>
        <w:t>The thermal stability of a compound is determined by Differential Scanning Calorimetry (DSC). Here some milligrams of material are weighed into a glass or gold-plated stainless-steel crucible. The glass crucible is then sealed using an oxyhydrogen flame, the steel crucible is closed using a crucible press. These crucibles are then placed in the equipment DSC-1 Star DSC of Mettler-Toledo to record the DSC thermal-trace of the compound. The sample is measured in comparison to a reference crucible. In case of the glass crucible the reference crucible is filled with aluminium oxide. The gold-plated steel reference crucible remains empty. Both, the sample and the reference, are heated with a heating rate of 3</w:t>
      </w:r>
      <w:r w:rsidR="00991EEB">
        <w:rPr>
          <w:rFonts w:cs="Arial"/>
          <w:szCs w:val="22"/>
          <w:lang w:val="en-GB"/>
        </w:rPr>
        <w:t> </w:t>
      </w:r>
      <w:r w:rsidRPr="00EB30EC">
        <w:rPr>
          <w:rFonts w:cs="Arial"/>
          <w:szCs w:val="22"/>
          <w:lang w:val="en-GB"/>
        </w:rPr>
        <w:t>K/min.</w:t>
      </w:r>
    </w:p>
    <w:p w14:paraId="797F3FE0" w14:textId="23B6FA47" w:rsidR="00EB30EC" w:rsidRPr="00EB30EC" w:rsidRDefault="00EB30EC" w:rsidP="00EB30EC">
      <w:pPr>
        <w:pStyle w:val="BOAAbstractBody"/>
        <w:rPr>
          <w:rFonts w:cs="Arial"/>
          <w:szCs w:val="22"/>
          <w:lang w:val="en-GB"/>
        </w:rPr>
      </w:pPr>
      <w:r w:rsidRPr="00EB30EC">
        <w:rPr>
          <w:rFonts w:cs="Arial"/>
          <w:szCs w:val="22"/>
          <w:lang w:val="en-GB"/>
        </w:rPr>
        <w:lastRenderedPageBreak/>
        <w:t xml:space="preserve">The preparation of the sample is carried out under air. Hence there will be residual oxygen within the crucible after sealing. During the test, this residual oxygen may react with the substance and thus cause heat generation of approximately </w:t>
      </w:r>
      <w:r>
        <w:rPr>
          <w:rFonts w:cs="Arial"/>
          <w:szCs w:val="22"/>
          <w:lang w:val="en-GB"/>
        </w:rPr>
        <w:t>-</w:t>
      </w:r>
      <w:r w:rsidRPr="00EB30EC">
        <w:rPr>
          <w:rFonts w:cs="Arial"/>
          <w:szCs w:val="22"/>
          <w:lang w:val="en-GB"/>
        </w:rPr>
        <w:t>20</w:t>
      </w:r>
      <w:r w:rsidR="00991EEB">
        <w:rPr>
          <w:rFonts w:cs="Arial"/>
          <w:szCs w:val="22"/>
          <w:lang w:val="en-GB"/>
        </w:rPr>
        <w:t> </w:t>
      </w:r>
      <w:r w:rsidRPr="00EB30EC">
        <w:rPr>
          <w:rFonts w:cs="Arial"/>
          <w:szCs w:val="22"/>
          <w:lang w:val="en-GB"/>
        </w:rPr>
        <w:t xml:space="preserve">J/g. Because of the low heat generation and the small amount of oxygen present, this effect can be neglected. </w:t>
      </w:r>
    </w:p>
    <w:p w14:paraId="1634B559" w14:textId="21C270C2" w:rsidR="00EB30EC" w:rsidRDefault="00EB30EC" w:rsidP="00EB30EC">
      <w:pPr>
        <w:pStyle w:val="BOAAbstractBody"/>
        <w:rPr>
          <w:rFonts w:cs="Arial"/>
          <w:szCs w:val="22"/>
          <w:lang w:val="en-GB"/>
        </w:rPr>
      </w:pPr>
      <w:r w:rsidRPr="00EB30EC">
        <w:rPr>
          <w:rFonts w:cs="Arial"/>
          <w:szCs w:val="22"/>
          <w:lang w:val="en-GB"/>
        </w:rPr>
        <w:t>The DSC-equipment is regularly calibrated according to established standards. Therefore, the heat generation of a chemical reaction can be determined reliably. According to DIN EN ISO 11357-1 energy values of endothermic signals are indicated by a positive sign, exothermic signals by a negative sign.</w:t>
      </w:r>
    </w:p>
    <w:p w14:paraId="4DF840A7" w14:textId="77777777" w:rsidR="00EB30EC" w:rsidRPr="00EB30EC" w:rsidRDefault="00EB30EC" w:rsidP="00EB30EC">
      <w:pPr>
        <w:pStyle w:val="BOAAbstractBody"/>
        <w:rPr>
          <w:rFonts w:eastAsia="MS PGothic"/>
          <w:b/>
          <w:bCs/>
          <w:lang w:val="en-GB"/>
        </w:rPr>
      </w:pPr>
    </w:p>
    <w:p w14:paraId="60F92DA9" w14:textId="65EB7D59" w:rsidR="00EB30EC" w:rsidRPr="00EB30EC" w:rsidRDefault="00EB30EC" w:rsidP="00F879FE">
      <w:pPr>
        <w:pStyle w:val="BOAAbstractBody"/>
        <w:rPr>
          <w:rFonts w:eastAsia="MS PGothic"/>
          <w:b/>
          <w:bCs/>
        </w:rPr>
      </w:pPr>
      <w:r w:rsidRPr="00EB30EC">
        <w:rPr>
          <w:rFonts w:eastAsia="MS PGothic"/>
          <w:b/>
          <w:bCs/>
        </w:rPr>
        <w:t>Pressure/ Heat Accumulation Test</w:t>
      </w:r>
    </w:p>
    <w:p w14:paraId="79999449" w14:textId="77777777" w:rsidR="00EB30EC" w:rsidRPr="00EB30EC" w:rsidRDefault="00EB30EC" w:rsidP="00EB30EC">
      <w:pPr>
        <w:rPr>
          <w:rFonts w:cs="Arial"/>
          <w:sz w:val="22"/>
          <w:szCs w:val="22"/>
        </w:rPr>
      </w:pPr>
      <w:r w:rsidRPr="00EB30EC">
        <w:rPr>
          <w:rFonts w:cs="Arial"/>
          <w:sz w:val="22"/>
          <w:szCs w:val="22"/>
        </w:rPr>
        <w:t xml:space="preserve">The determination of the adiabatic reaction behaviour is performed in the adiabatic heat-storage test and is carried out according to UN-Transport Guideline, UN-Test H.2. in the experimental setup according to </w:t>
      </w:r>
      <w:proofErr w:type="spellStart"/>
      <w:r w:rsidRPr="00EB30EC">
        <w:rPr>
          <w:rFonts w:cs="Arial"/>
          <w:sz w:val="22"/>
          <w:szCs w:val="22"/>
        </w:rPr>
        <w:t>Grewer</w:t>
      </w:r>
      <w:proofErr w:type="spellEnd"/>
      <w:r w:rsidRPr="00EB30EC">
        <w:rPr>
          <w:rFonts w:cs="Arial"/>
          <w:sz w:val="22"/>
          <w:szCs w:val="22"/>
        </w:rPr>
        <w:t xml:space="preserve"> and </w:t>
      </w:r>
      <w:proofErr w:type="spellStart"/>
      <w:r w:rsidRPr="00EB30EC">
        <w:rPr>
          <w:rFonts w:cs="Arial"/>
          <w:sz w:val="22"/>
          <w:szCs w:val="22"/>
        </w:rPr>
        <w:t>Klais</w:t>
      </w:r>
      <w:proofErr w:type="spellEnd"/>
      <w:r w:rsidRPr="00EB30EC">
        <w:rPr>
          <w:rFonts w:cs="Arial"/>
          <w:sz w:val="22"/>
          <w:szCs w:val="22"/>
        </w:rPr>
        <w:t xml:space="preserve"> and VDI-Guideline 2263 Page 1, respectively. </w:t>
      </w:r>
    </w:p>
    <w:p w14:paraId="13DAB9AC" w14:textId="12A9575E" w:rsidR="00EB30EC" w:rsidRPr="00EB30EC" w:rsidRDefault="00EB30EC" w:rsidP="00EB30EC">
      <w:pPr>
        <w:rPr>
          <w:rFonts w:cs="Arial"/>
          <w:sz w:val="22"/>
          <w:szCs w:val="22"/>
        </w:rPr>
      </w:pPr>
      <w:r w:rsidRPr="00EB30EC">
        <w:rPr>
          <w:rFonts w:cs="Arial"/>
          <w:sz w:val="22"/>
          <w:szCs w:val="22"/>
        </w:rPr>
        <w:t>The test setup consists of a pressure vessel with a volume of approx. 0.75 </w:t>
      </w:r>
      <w:r w:rsidR="00991EEB">
        <w:rPr>
          <w:rFonts w:cs="Arial"/>
          <w:sz w:val="22"/>
          <w:szCs w:val="22"/>
        </w:rPr>
        <w:t>L</w:t>
      </w:r>
      <w:r w:rsidRPr="00EB30EC">
        <w:rPr>
          <w:rFonts w:cs="Arial"/>
          <w:sz w:val="22"/>
          <w:szCs w:val="22"/>
        </w:rPr>
        <w:t>. In this autoclave a Dewar-vessel with a capacity of approximately 0.2 </w:t>
      </w:r>
      <w:r w:rsidR="00991EEB">
        <w:rPr>
          <w:rFonts w:cs="Arial"/>
          <w:sz w:val="22"/>
          <w:szCs w:val="22"/>
        </w:rPr>
        <w:t>L</w:t>
      </w:r>
      <w:r w:rsidRPr="00EB30EC">
        <w:rPr>
          <w:rFonts w:cs="Arial"/>
          <w:sz w:val="22"/>
          <w:szCs w:val="22"/>
        </w:rPr>
        <w:t xml:space="preserve"> is placed. The Dewar-vessel is thermally isolated from its surroundings by a double walled vacuum jacket with a reflective coating. The autoclave is closed, placed in an oven and heated up. After a reaction starts the temperature of the oven is regulated to track the sample temperature. Therefore, above the start temperature reactions or decompositions can be investigated under quasi-adiabatic conditions. The sample temperature is measured with a thermocouple, which is placed in the centre of the sample and surrounded by a glass cover; hence the sample is only in contact with glass. Additionally, the pressure in the headspace is measured and recorded.</w:t>
      </w:r>
    </w:p>
    <w:p w14:paraId="4911A66B" w14:textId="77777777" w:rsidR="00EB30EC" w:rsidRPr="00EB30EC" w:rsidRDefault="00EB30EC" w:rsidP="00EB30EC">
      <w:pPr>
        <w:rPr>
          <w:rFonts w:cs="Arial"/>
          <w:sz w:val="22"/>
          <w:szCs w:val="22"/>
        </w:rPr>
      </w:pPr>
      <w:r w:rsidRPr="00EB30EC">
        <w:rPr>
          <w:rFonts w:cs="Arial"/>
          <w:sz w:val="22"/>
          <w:szCs w:val="22"/>
        </w:rPr>
        <w:t>T</w:t>
      </w:r>
      <w:r w:rsidRPr="00EB30EC">
        <w:rPr>
          <w:rFonts w:cs="Arial"/>
          <w:sz w:val="22"/>
          <w:szCs w:val="22"/>
          <w:lang w:val="en-US"/>
        </w:rPr>
        <w:t>he time resolved course of the temperature and the pressure during the experiment are recorded.</w:t>
      </w:r>
    </w:p>
    <w:p w14:paraId="452A33C8" w14:textId="05897423" w:rsidR="00EB30EC" w:rsidRPr="00EB30EC" w:rsidRDefault="00EB30EC" w:rsidP="00EB30EC">
      <w:pPr>
        <w:rPr>
          <w:rFonts w:cs="Arial"/>
          <w:sz w:val="22"/>
          <w:szCs w:val="22"/>
          <w:lang w:val="en-US"/>
        </w:rPr>
      </w:pPr>
      <w:r w:rsidRPr="00EB30EC">
        <w:rPr>
          <w:rFonts w:cs="Arial"/>
          <w:sz w:val="22"/>
          <w:szCs w:val="22"/>
          <w:lang w:val="en-US"/>
        </w:rPr>
        <w:t xml:space="preserve">The experiments </w:t>
      </w:r>
      <w:r w:rsidR="00991EEB">
        <w:rPr>
          <w:rFonts w:cs="Arial"/>
          <w:sz w:val="22"/>
          <w:szCs w:val="22"/>
          <w:lang w:val="en-US"/>
        </w:rPr>
        <w:t>are</w:t>
      </w:r>
      <w:r w:rsidR="00991EEB" w:rsidRPr="00EB30EC">
        <w:rPr>
          <w:rFonts w:cs="Arial"/>
          <w:sz w:val="22"/>
          <w:szCs w:val="22"/>
          <w:lang w:val="en-US"/>
        </w:rPr>
        <w:t xml:space="preserve"> </w:t>
      </w:r>
      <w:r w:rsidRPr="00EB30EC">
        <w:rPr>
          <w:rFonts w:cs="Arial"/>
          <w:sz w:val="22"/>
          <w:szCs w:val="22"/>
          <w:lang w:val="en-US"/>
        </w:rPr>
        <w:t>typically carried out under nitrogen atmosphere.</w:t>
      </w:r>
    </w:p>
    <w:p w14:paraId="01FCBBA4" w14:textId="77777777" w:rsidR="005C1A57" w:rsidRPr="00591C6C" w:rsidRDefault="005C1A57" w:rsidP="00F879FE">
      <w:pPr>
        <w:pStyle w:val="BOAHeading"/>
      </w:pPr>
      <w:r w:rsidRPr="00591C6C">
        <w:t>3. Results and discussion</w:t>
      </w:r>
    </w:p>
    <w:p w14:paraId="21970BF1" w14:textId="79E37806" w:rsidR="00766A20" w:rsidRDefault="00766A20" w:rsidP="00F879FE">
      <w:pPr>
        <w:pStyle w:val="BOAAbstractBody"/>
        <w:rPr>
          <w:rFonts w:eastAsia="MS PGothic"/>
        </w:rPr>
      </w:pPr>
      <w:r w:rsidRPr="00766A20">
        <w:rPr>
          <w:rFonts w:eastAsia="MS PGothic"/>
        </w:rPr>
        <w:t xml:space="preserve">First, a dynamic DSC of the </w:t>
      </w:r>
      <w:r w:rsidR="00564308">
        <w:rPr>
          <w:rFonts w:eastAsia="MS PGothic"/>
        </w:rPr>
        <w:t>nitro-aromatic-compound</w:t>
      </w:r>
      <w:r w:rsidRPr="00766A20">
        <w:rPr>
          <w:rFonts w:eastAsia="MS PGothic"/>
        </w:rPr>
        <w:t xml:space="preserve"> was measured. Figure 1 shows the thermogram. From this thermogram an autocatalytic decomposition behavior is not obvious. The </w:t>
      </w:r>
      <w:r w:rsidR="002D2F6A">
        <w:rPr>
          <w:rFonts w:eastAsia="MS PGothic"/>
        </w:rPr>
        <w:t xml:space="preserve">isothermal </w:t>
      </w:r>
      <w:r w:rsidRPr="00766A20">
        <w:rPr>
          <w:rFonts w:eastAsia="MS PGothic"/>
        </w:rPr>
        <w:t>DSC at 250</w:t>
      </w:r>
      <w:r w:rsidR="00B45D42">
        <w:rPr>
          <w:rFonts w:eastAsia="MS PGothic"/>
        </w:rPr>
        <w:t> </w:t>
      </w:r>
      <w:r w:rsidRPr="00766A20">
        <w:rPr>
          <w:rFonts w:eastAsia="MS PGothic"/>
        </w:rPr>
        <w:t xml:space="preserve">°C (see </w:t>
      </w:r>
      <w:r w:rsidR="008E5B00">
        <w:rPr>
          <w:rFonts w:eastAsia="MS PGothic"/>
        </w:rPr>
        <w:t>F</w:t>
      </w:r>
      <w:r w:rsidRPr="00766A20">
        <w:rPr>
          <w:rFonts w:eastAsia="MS PGothic"/>
        </w:rPr>
        <w:t>igure 2) clearly shows a weak autocatalytic</w:t>
      </w:r>
      <w:r w:rsidR="00564308">
        <w:rPr>
          <w:rFonts w:eastAsia="MS PGothic"/>
        </w:rPr>
        <w:t xml:space="preserve"> reaction</w:t>
      </w:r>
      <w:r w:rsidRPr="00766A20">
        <w:rPr>
          <w:rFonts w:eastAsia="MS PGothic"/>
        </w:rPr>
        <w:t xml:space="preserve"> behavior. At the beginning of the measurement (0 to 100</w:t>
      </w:r>
      <w:r w:rsidR="008E5B00">
        <w:rPr>
          <w:rFonts w:eastAsia="MS PGothic"/>
        </w:rPr>
        <w:t> </w:t>
      </w:r>
      <w:r w:rsidRPr="00766A20">
        <w:rPr>
          <w:rFonts w:eastAsia="MS PGothic"/>
        </w:rPr>
        <w:t>min), a significant heat flow of approx. -5</w:t>
      </w:r>
      <w:r w:rsidR="008E5B00">
        <w:rPr>
          <w:rFonts w:eastAsia="MS PGothic"/>
        </w:rPr>
        <w:t> </w:t>
      </w:r>
      <w:r w:rsidRPr="00766A20">
        <w:rPr>
          <w:rFonts w:eastAsia="MS PGothic"/>
        </w:rPr>
        <w:t>W/kg is already detected, which, however, increases to a maximum heat flow of -90</w:t>
      </w:r>
      <w:r w:rsidR="008E5B00">
        <w:rPr>
          <w:rFonts w:eastAsia="MS PGothic"/>
        </w:rPr>
        <w:t> </w:t>
      </w:r>
      <w:r w:rsidRPr="00766A20">
        <w:rPr>
          <w:rFonts w:eastAsia="MS PGothic"/>
        </w:rPr>
        <w:t>W/kg after approx. 1700</w:t>
      </w:r>
      <w:r w:rsidR="008E5B00">
        <w:rPr>
          <w:rFonts w:eastAsia="MS PGothic"/>
        </w:rPr>
        <w:t> </w:t>
      </w:r>
      <w:r w:rsidRPr="00766A20">
        <w:rPr>
          <w:rFonts w:eastAsia="MS PGothic"/>
        </w:rPr>
        <w:t xml:space="preserve">min under isothermal conditions. This behavior, an increase of the heat flow with the measuring time, clearly proves the autocatalytic decomposition properties. The evaluation of thermal stability, for example on the basis of the safe handling temperature </w:t>
      </w:r>
      <w:proofErr w:type="spellStart"/>
      <w:r w:rsidRPr="00766A20">
        <w:rPr>
          <w:rFonts w:eastAsia="MS PGothic"/>
        </w:rPr>
        <w:t>T</w:t>
      </w:r>
      <w:r w:rsidRPr="00564308">
        <w:rPr>
          <w:rFonts w:eastAsia="MS PGothic"/>
          <w:vertAlign w:val="subscript"/>
        </w:rPr>
        <w:t>exo</w:t>
      </w:r>
      <w:proofErr w:type="spellEnd"/>
      <w:r w:rsidRPr="00766A20">
        <w:rPr>
          <w:rFonts w:eastAsia="MS PGothic"/>
        </w:rPr>
        <w:t xml:space="preserve"> in the sense of TRAS</w:t>
      </w:r>
      <w:r w:rsidR="008E5B00">
        <w:rPr>
          <w:rFonts w:eastAsia="MS PGothic"/>
        </w:rPr>
        <w:t xml:space="preserve"> </w:t>
      </w:r>
      <w:r w:rsidRPr="00766A20">
        <w:rPr>
          <w:rFonts w:eastAsia="MS PGothic"/>
        </w:rPr>
        <w:t>410, can no longer be regarded as sufficiently reliable. If an autocatalytic decomposition mechanism is detected, an initial worst-case assessment based on isothermal calorimetry is recommended. This evaluation option is also used in the SADT-UN test H.3. As an example, a total of five isothermal DSC measurements of the nitro-aromatic compound were measured at temperatures between 250</w:t>
      </w:r>
      <w:r w:rsidR="008E5B00">
        <w:rPr>
          <w:rFonts w:eastAsia="MS PGothic"/>
        </w:rPr>
        <w:t> </w:t>
      </w:r>
      <w:r w:rsidRPr="00766A20">
        <w:rPr>
          <w:rFonts w:eastAsia="MS PGothic"/>
        </w:rPr>
        <w:t>°C and 290</w:t>
      </w:r>
      <w:r w:rsidR="008E5B00">
        <w:rPr>
          <w:rFonts w:eastAsia="MS PGothic"/>
        </w:rPr>
        <w:t> </w:t>
      </w:r>
      <w:r w:rsidRPr="00766A20">
        <w:rPr>
          <w:rFonts w:eastAsia="MS PGothic"/>
        </w:rPr>
        <w:t>°C (see Figure 3 a)). The peak maxima detected at the corresponding temperatures are plotted according to 0</w:t>
      </w:r>
      <w:r w:rsidR="00795B0F">
        <w:rPr>
          <w:rFonts w:eastAsia="MS PGothic"/>
        </w:rPr>
        <w:t> </w:t>
      </w:r>
      <w:proofErr w:type="spellStart"/>
      <w:r w:rsidRPr="00766A20">
        <w:rPr>
          <w:rFonts w:eastAsia="MS PGothic"/>
        </w:rPr>
        <w:t>th</w:t>
      </w:r>
      <w:r w:rsidR="00795B0F">
        <w:rPr>
          <w:rFonts w:eastAsia="MS PGothic"/>
        </w:rPr>
        <w:t>.</w:t>
      </w:r>
      <w:proofErr w:type="spellEnd"/>
      <w:r w:rsidRPr="00766A20">
        <w:rPr>
          <w:rFonts w:eastAsia="MS PGothic"/>
        </w:rPr>
        <w:t xml:space="preserve"> order Arrhenius kinetics and linearly adjusted. For safety-related conservative reasons, it is advisable to calculate a confidence interval (95</w:t>
      </w:r>
      <w:r w:rsidR="008E5B00">
        <w:rPr>
          <w:rFonts w:eastAsia="MS PGothic"/>
        </w:rPr>
        <w:t> </w:t>
      </w:r>
      <w:r w:rsidRPr="00766A20">
        <w:rPr>
          <w:rFonts w:eastAsia="MS PGothic"/>
        </w:rPr>
        <w:t xml:space="preserve">% in this example), whereby the straight line with the higher temperature-dependent heat production rates should serve as the basis for further calculations (see Figure 3 b) red straight line). </w:t>
      </w:r>
      <w:r w:rsidR="00795B0F">
        <w:t xml:space="preserve">Unlike in conventional screening DSC measurements, </w:t>
      </w:r>
      <w:r w:rsidR="00795B0F" w:rsidRPr="00766A20">
        <w:rPr>
          <w:rFonts w:eastAsia="MS PGothic"/>
        </w:rPr>
        <w:t>small sample weights should be preferred</w:t>
      </w:r>
      <w:r w:rsidR="00795B0F">
        <w:t xml:space="preserve"> </w:t>
      </w:r>
      <w:r w:rsidR="00795B0F">
        <w:rPr>
          <w:rFonts w:eastAsia="MS PGothic"/>
        </w:rPr>
        <w:t>w</w:t>
      </w:r>
      <w:r w:rsidRPr="00766A20">
        <w:rPr>
          <w:rFonts w:eastAsia="MS PGothic"/>
        </w:rPr>
        <w:t xml:space="preserve">hen carrying out isothermal calorimetric measurements. Exothermic </w:t>
      </w:r>
      <w:r w:rsidRPr="00766A20">
        <w:rPr>
          <w:rFonts w:eastAsia="MS PGothic"/>
        </w:rPr>
        <w:lastRenderedPageBreak/>
        <w:t>decomposition can lead to heat build-up inside the crucible</w:t>
      </w:r>
      <w:r w:rsidR="00564308">
        <w:rPr>
          <w:rFonts w:eastAsia="MS PGothic"/>
        </w:rPr>
        <w:t>,</w:t>
      </w:r>
      <w:r w:rsidRPr="00766A20">
        <w:rPr>
          <w:rFonts w:eastAsia="MS PGothic"/>
        </w:rPr>
        <w:t xml:space="preserve"> if the</w:t>
      </w:r>
      <w:r w:rsidR="008E5B00">
        <w:rPr>
          <w:rFonts w:eastAsia="MS PGothic"/>
        </w:rPr>
        <w:t xml:space="preserve"> used</w:t>
      </w:r>
      <w:r w:rsidRPr="00766A20">
        <w:rPr>
          <w:rFonts w:eastAsia="MS PGothic"/>
        </w:rPr>
        <w:t xml:space="preserve"> sample</w:t>
      </w:r>
      <w:r w:rsidR="008E5B00">
        <w:rPr>
          <w:rFonts w:eastAsia="MS PGothic"/>
        </w:rPr>
        <w:t xml:space="preserve"> amount</w:t>
      </w:r>
      <w:r w:rsidRPr="00766A20">
        <w:rPr>
          <w:rFonts w:eastAsia="MS PGothic"/>
        </w:rPr>
        <w:t xml:space="preserve"> is too </w:t>
      </w:r>
      <w:r w:rsidR="008E5B00">
        <w:rPr>
          <w:rFonts w:eastAsia="MS PGothic"/>
        </w:rPr>
        <w:t>much</w:t>
      </w:r>
      <w:r w:rsidRPr="00766A20">
        <w:rPr>
          <w:rFonts w:eastAsia="MS PGothic"/>
        </w:rPr>
        <w:t>, causing the temperature of the test object to exceed the reference/oven temperature. As this effect increases with increasing temperature within a series of measurements and the heat production rate is therefore overestimated at higher temperatures, the activation energy of the derived kinetics increases incorrectly. This leads to lower heat production rates and therefore less critical results when extrapolating towards lower temperatures. In the isothermal DSC measurements shown, the sample weight used was approx. 5</w:t>
      </w:r>
      <w:r w:rsidR="008E5B00">
        <w:rPr>
          <w:rFonts w:eastAsia="MS PGothic"/>
        </w:rPr>
        <w:t> </w:t>
      </w:r>
      <w:r w:rsidRPr="00766A20">
        <w:rPr>
          <w:rFonts w:eastAsia="MS PGothic"/>
        </w:rPr>
        <w:t>mg</w:t>
      </w:r>
      <w:r w:rsidR="00EA1F70">
        <w:rPr>
          <w:rFonts w:eastAsia="MS PGothic"/>
        </w:rPr>
        <w:t>.</w:t>
      </w:r>
    </w:p>
    <w:p w14:paraId="2CEB68B1" w14:textId="31F5F5B6" w:rsidR="002D2F6A" w:rsidRPr="003A5F77" w:rsidRDefault="00176EF0" w:rsidP="002D2F6A">
      <w:pPr>
        <w:pStyle w:val="BOAemail"/>
        <w:rPr>
          <w:rFonts w:eastAsia="MS PGothic"/>
          <w:color w:val="000000"/>
          <w:lang w:val="de-DE"/>
        </w:rPr>
      </w:pPr>
      <w:r>
        <w:rPr>
          <w:noProof/>
        </w:rPr>
        <mc:AlternateContent>
          <mc:Choice Requires="wps">
            <w:drawing>
              <wp:anchor distT="0" distB="0" distL="114300" distR="114300" simplePos="0" relativeHeight="251679744" behindDoc="0" locked="0" layoutInCell="1" allowOverlap="1" wp14:anchorId="222ADAAE" wp14:editId="1AF101B1">
                <wp:simplePos x="0" y="0"/>
                <wp:positionH relativeFrom="margin">
                  <wp:posOffset>1922780</wp:posOffset>
                </wp:positionH>
                <wp:positionV relativeFrom="paragraph">
                  <wp:posOffset>89535</wp:posOffset>
                </wp:positionV>
                <wp:extent cx="1714500" cy="59690"/>
                <wp:effectExtent l="0" t="0" r="19050" b="16510"/>
                <wp:wrapNone/>
                <wp:docPr id="1297631795" name="Rechteck 6"/>
                <wp:cNvGraphicFramePr/>
                <a:graphic xmlns:a="http://schemas.openxmlformats.org/drawingml/2006/main">
                  <a:graphicData uri="http://schemas.microsoft.com/office/word/2010/wordprocessingShape">
                    <wps:wsp>
                      <wps:cNvSpPr/>
                      <wps:spPr>
                        <a:xfrm>
                          <a:off x="0" y="0"/>
                          <a:ext cx="1714500" cy="596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88027" id="Rechteck 6" o:spid="_x0000_s1026" style="position:absolute;margin-left:151.4pt;margin-top:7.05pt;width:135pt;height:4.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" fillcolor="white [3212]" strokecolor="white [3212]" strokeweight="2pt">
                <w10:wrap anchorx="margin"/>
              </v:rect>
            </w:pict>
          </mc:Fallback>
        </mc:AlternateContent>
      </w:r>
      <w:r>
        <w:rPr>
          <w:noProof/>
        </w:rPr>
        <mc:AlternateContent>
          <mc:Choice Requires="wps">
            <w:drawing>
              <wp:anchor distT="0" distB="0" distL="114300" distR="114300" simplePos="0" relativeHeight="251681792" behindDoc="0" locked="0" layoutInCell="1" allowOverlap="1" wp14:anchorId="27878D3D" wp14:editId="5A99C14E">
                <wp:simplePos x="0" y="0"/>
                <wp:positionH relativeFrom="page">
                  <wp:posOffset>3077570</wp:posOffset>
                </wp:positionH>
                <wp:positionV relativeFrom="paragraph">
                  <wp:posOffset>3021586</wp:posOffset>
                </wp:positionV>
                <wp:extent cx="1550727" cy="71508"/>
                <wp:effectExtent l="0" t="0" r="11430" b="24130"/>
                <wp:wrapNone/>
                <wp:docPr id="1598645079" name="Rechteck 6"/>
                <wp:cNvGraphicFramePr/>
                <a:graphic xmlns:a="http://schemas.openxmlformats.org/drawingml/2006/main">
                  <a:graphicData uri="http://schemas.microsoft.com/office/word/2010/wordprocessingShape">
                    <wps:wsp>
                      <wps:cNvSpPr/>
                      <wps:spPr>
                        <a:xfrm>
                          <a:off x="0" y="0"/>
                          <a:ext cx="1550727" cy="7150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3AED3" id="Rechteck 6" o:spid="_x0000_s1026" style="position:absolute;margin-left:242.35pt;margin-top:237.9pt;width:122.1pt;height:5.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" fillcolor="white [3212]" strokecolor="white [3212]" strokeweight="2pt">
                <w10:wrap anchorx="page"/>
              </v:rect>
            </w:pict>
          </mc:Fallback>
        </mc:AlternateContent>
      </w:r>
      <w:r>
        <w:rPr>
          <w:noProof/>
        </w:rPr>
        <mc:AlternateContent>
          <mc:Choice Requires="wps">
            <w:drawing>
              <wp:anchor distT="0" distB="0" distL="114300" distR="114300" simplePos="0" relativeHeight="251677696" behindDoc="0" locked="0" layoutInCell="1" allowOverlap="1" wp14:anchorId="1F54EAB5" wp14:editId="70D68018">
                <wp:simplePos x="0" y="0"/>
                <wp:positionH relativeFrom="column">
                  <wp:posOffset>672304</wp:posOffset>
                </wp:positionH>
                <wp:positionV relativeFrom="paragraph">
                  <wp:posOffset>706120</wp:posOffset>
                </wp:positionV>
                <wp:extent cx="963295" cy="250190"/>
                <wp:effectExtent l="0" t="0" r="27305" b="16510"/>
                <wp:wrapNone/>
                <wp:docPr id="447729768" name="Rechteck 6"/>
                <wp:cNvGraphicFramePr/>
                <a:graphic xmlns:a="http://schemas.openxmlformats.org/drawingml/2006/main">
                  <a:graphicData uri="http://schemas.microsoft.com/office/word/2010/wordprocessingShape">
                    <wps:wsp>
                      <wps:cNvSpPr/>
                      <wps:spPr>
                        <a:xfrm>
                          <a:off x="0" y="0"/>
                          <a:ext cx="963295" cy="2501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B08200" id="Rechteck 6" o:spid="_x0000_s1026" style="position:absolute;margin-left:52.95pt;margin-top:55.6pt;width:75.85pt;height:19.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" fillcolor="white [3212]" strokecolor="white [3212]" strokeweight="2pt"/>
            </w:pict>
          </mc:Fallback>
        </mc:AlternateContent>
      </w:r>
      <w:r>
        <w:rPr>
          <w:noProof/>
        </w:rPr>
        <mc:AlternateContent>
          <mc:Choice Requires="wps">
            <w:drawing>
              <wp:anchor distT="0" distB="0" distL="114300" distR="114300" simplePos="0" relativeHeight="251675648" behindDoc="0" locked="0" layoutInCell="1" allowOverlap="1" wp14:anchorId="213FC711" wp14:editId="6AE484F7">
                <wp:simplePos x="0" y="0"/>
                <wp:positionH relativeFrom="column">
                  <wp:posOffset>691989</wp:posOffset>
                </wp:positionH>
                <wp:positionV relativeFrom="paragraph">
                  <wp:posOffset>323850</wp:posOffset>
                </wp:positionV>
                <wp:extent cx="826818" cy="81887"/>
                <wp:effectExtent l="0" t="0" r="11430" b="13970"/>
                <wp:wrapNone/>
                <wp:docPr id="1703759916" name="Rechteck 6"/>
                <wp:cNvGraphicFramePr/>
                <a:graphic xmlns:a="http://schemas.openxmlformats.org/drawingml/2006/main">
                  <a:graphicData uri="http://schemas.microsoft.com/office/word/2010/wordprocessingShape">
                    <wps:wsp>
                      <wps:cNvSpPr/>
                      <wps:spPr>
                        <a:xfrm>
                          <a:off x="0" y="0"/>
                          <a:ext cx="826818" cy="8188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4B485" id="Rechteck 6" o:spid="_x0000_s1026" style="position:absolute;margin-left:54.5pt;margin-top:25.5pt;width:65.1pt;height: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" fillcolor="white [3212]" strokecolor="white [3212]" strokeweight="2pt"/>
            </w:pict>
          </mc:Fallback>
        </mc:AlternateContent>
      </w:r>
      <w:r>
        <w:rPr>
          <w:noProof/>
        </w:rPr>
        <mc:AlternateContent>
          <mc:Choice Requires="wps">
            <w:drawing>
              <wp:anchor distT="0" distB="0" distL="114300" distR="114300" simplePos="0" relativeHeight="251673600" behindDoc="0" locked="0" layoutInCell="1" allowOverlap="1" wp14:anchorId="420F4628" wp14:editId="0262F1B2">
                <wp:simplePos x="0" y="0"/>
                <wp:positionH relativeFrom="column">
                  <wp:posOffset>680976</wp:posOffset>
                </wp:positionH>
                <wp:positionV relativeFrom="paragraph">
                  <wp:posOffset>261630</wp:posOffset>
                </wp:positionV>
                <wp:extent cx="963386" cy="59871"/>
                <wp:effectExtent l="0" t="0" r="27305" b="16510"/>
                <wp:wrapNone/>
                <wp:docPr id="958648138" name="Rechteck 6"/>
                <wp:cNvGraphicFramePr/>
                <a:graphic xmlns:a="http://schemas.openxmlformats.org/drawingml/2006/main">
                  <a:graphicData uri="http://schemas.microsoft.com/office/word/2010/wordprocessingShape">
                    <wps:wsp>
                      <wps:cNvSpPr/>
                      <wps:spPr>
                        <a:xfrm>
                          <a:off x="0" y="0"/>
                          <a:ext cx="963386" cy="5987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1EE520" id="Rechteck 6" o:spid="_x0000_s1026" style="position:absolute;margin-left:53.6pt;margin-top:20.6pt;width:75.85pt;height:4.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" fillcolor="white [3212]" strokecolor="white [3212]" strokeweight="2pt"/>
            </w:pict>
          </mc:Fallback>
        </mc:AlternateContent>
      </w:r>
      <w:r w:rsidR="002D2F6A">
        <w:rPr>
          <w:noProof/>
        </w:rPr>
        <w:drawing>
          <wp:inline distT="0" distB="0" distL="0" distR="0" wp14:anchorId="755FEB3C" wp14:editId="5EE4E47D">
            <wp:extent cx="4685920" cy="3019425"/>
            <wp:effectExtent l="0" t="0" r="635" b="0"/>
            <wp:docPr id="7890105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6414" cy="3032631"/>
                    </a:xfrm>
                    <a:prstGeom prst="rect">
                      <a:avLst/>
                    </a:prstGeom>
                    <a:noFill/>
                    <a:ln>
                      <a:noFill/>
                    </a:ln>
                  </pic:spPr>
                </pic:pic>
              </a:graphicData>
            </a:graphic>
          </wp:inline>
        </w:drawing>
      </w:r>
    </w:p>
    <w:p w14:paraId="5E1C0E5D" w14:textId="43E02561" w:rsidR="002D2F6A" w:rsidRDefault="002D2F6A" w:rsidP="00976AA6">
      <w:pPr>
        <w:pStyle w:val="BOACaption"/>
      </w:pPr>
      <w:r w:rsidRPr="00F879FE">
        <w:t>Figure 1</w:t>
      </w:r>
      <w:r w:rsidRPr="00F879FE">
        <w:rPr>
          <w:lang w:eastAsia="ko-KR"/>
        </w:rPr>
        <w:t>.</w:t>
      </w:r>
      <w:r w:rsidRPr="00F879FE">
        <w:t xml:space="preserve"> </w:t>
      </w:r>
      <w:r>
        <w:t xml:space="preserve">Dynamic DSC of </w:t>
      </w:r>
      <w:r w:rsidR="00176EF0">
        <w:t xml:space="preserve">nitro-aromatic compound </w:t>
      </w:r>
      <w:r>
        <w:t>in closed crucible (3 K/min)</w:t>
      </w:r>
    </w:p>
    <w:p w14:paraId="6FF920A4" w14:textId="3224E8C9" w:rsidR="002D2F6A" w:rsidRPr="00591C6C" w:rsidRDefault="00176EF0" w:rsidP="002D2F6A">
      <w:pPr>
        <w:pStyle w:val="BOAemail"/>
        <w:rPr>
          <w:rFonts w:eastAsia="MS PGothic"/>
          <w:color w:val="000000"/>
        </w:rPr>
      </w:pPr>
      <w:r>
        <w:rPr>
          <w:noProof/>
        </w:rPr>
        <mc:AlternateContent>
          <mc:Choice Requires="wps">
            <w:drawing>
              <wp:anchor distT="0" distB="0" distL="114300" distR="114300" simplePos="0" relativeHeight="251687936" behindDoc="0" locked="0" layoutInCell="1" allowOverlap="1" wp14:anchorId="5E2B7E94" wp14:editId="2268BD3C">
                <wp:simplePos x="0" y="0"/>
                <wp:positionH relativeFrom="page">
                  <wp:posOffset>2913797</wp:posOffset>
                </wp:positionH>
                <wp:positionV relativeFrom="paragraph">
                  <wp:posOffset>2744831</wp:posOffset>
                </wp:positionV>
                <wp:extent cx="1714500" cy="102358"/>
                <wp:effectExtent l="0" t="0" r="19050" b="12065"/>
                <wp:wrapNone/>
                <wp:docPr id="1361792270" name="Rechteck 6"/>
                <wp:cNvGraphicFramePr/>
                <a:graphic xmlns:a="http://schemas.openxmlformats.org/drawingml/2006/main">
                  <a:graphicData uri="http://schemas.microsoft.com/office/word/2010/wordprocessingShape">
                    <wps:wsp>
                      <wps:cNvSpPr/>
                      <wps:spPr>
                        <a:xfrm>
                          <a:off x="0" y="0"/>
                          <a:ext cx="1714500" cy="10235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8F566" id="Rechteck 6" o:spid="_x0000_s1026" style="position:absolute;margin-left:229.45pt;margin-top:216.15pt;width:135pt;height:8.0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" fillcolor="white [3212]" strokecolor="white [3212]" strokeweight="2pt">
                <w10:wrap anchorx="page"/>
              </v:rect>
            </w:pict>
          </mc:Fallback>
        </mc:AlternateContent>
      </w:r>
      <w:r>
        <w:rPr>
          <w:noProof/>
        </w:rPr>
        <mc:AlternateContent>
          <mc:Choice Requires="wps">
            <w:drawing>
              <wp:anchor distT="0" distB="0" distL="114300" distR="114300" simplePos="0" relativeHeight="251685888" behindDoc="0" locked="0" layoutInCell="1" allowOverlap="1" wp14:anchorId="485DA377" wp14:editId="40E87ACA">
                <wp:simplePos x="0" y="0"/>
                <wp:positionH relativeFrom="column">
                  <wp:posOffset>450850</wp:posOffset>
                </wp:positionH>
                <wp:positionV relativeFrom="paragraph">
                  <wp:posOffset>522131</wp:posOffset>
                </wp:positionV>
                <wp:extent cx="963295" cy="250190"/>
                <wp:effectExtent l="0" t="0" r="27305" b="16510"/>
                <wp:wrapNone/>
                <wp:docPr id="903972865" name="Rechteck 6"/>
                <wp:cNvGraphicFramePr/>
                <a:graphic xmlns:a="http://schemas.openxmlformats.org/drawingml/2006/main">
                  <a:graphicData uri="http://schemas.microsoft.com/office/word/2010/wordprocessingShape">
                    <wps:wsp>
                      <wps:cNvSpPr/>
                      <wps:spPr>
                        <a:xfrm>
                          <a:off x="0" y="0"/>
                          <a:ext cx="963295" cy="2501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236C3F" id="Rechteck 6" o:spid="_x0000_s1026" style="position:absolute;margin-left:35.5pt;margin-top:41.1pt;width:75.85pt;height:19.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" fillcolor="white [3212]" strokecolor="white [3212]" strokeweight="2pt"/>
            </w:pict>
          </mc:Fallback>
        </mc:AlternateContent>
      </w:r>
      <w:r>
        <w:rPr>
          <w:noProof/>
        </w:rPr>
        <mc:AlternateContent>
          <mc:Choice Requires="wps">
            <w:drawing>
              <wp:anchor distT="0" distB="0" distL="114300" distR="114300" simplePos="0" relativeHeight="251684864" behindDoc="0" locked="0" layoutInCell="1" allowOverlap="1" wp14:anchorId="7491FDAC" wp14:editId="27108B6D">
                <wp:simplePos x="0" y="0"/>
                <wp:positionH relativeFrom="column">
                  <wp:posOffset>461484</wp:posOffset>
                </wp:positionH>
                <wp:positionV relativeFrom="paragraph">
                  <wp:posOffset>178435</wp:posOffset>
                </wp:positionV>
                <wp:extent cx="812042" cy="45719"/>
                <wp:effectExtent l="0" t="0" r="26670" b="12065"/>
                <wp:wrapNone/>
                <wp:docPr id="374031049" name="Rechteck 6"/>
                <wp:cNvGraphicFramePr/>
                <a:graphic xmlns:a="http://schemas.openxmlformats.org/drawingml/2006/main">
                  <a:graphicData uri="http://schemas.microsoft.com/office/word/2010/wordprocessingShape">
                    <wps:wsp>
                      <wps:cNvSpPr/>
                      <wps:spPr>
                        <a:xfrm>
                          <a:off x="0" y="0"/>
                          <a:ext cx="812042"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43157" id="Rechteck 6" o:spid="_x0000_s1026" style="position:absolute;margin-left:36.35pt;margin-top:14.05pt;width:63.9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" fillcolor="white [3212]" strokecolor="white [3212]" strokeweight="2pt"/>
            </w:pict>
          </mc:Fallback>
        </mc:AlternateContent>
      </w:r>
      <w:r>
        <w:rPr>
          <w:noProof/>
        </w:rPr>
        <mc:AlternateContent>
          <mc:Choice Requires="wps">
            <w:drawing>
              <wp:anchor distT="0" distB="0" distL="114300" distR="114300" simplePos="0" relativeHeight="251683840" behindDoc="0" locked="0" layoutInCell="1" allowOverlap="1" wp14:anchorId="13126F90" wp14:editId="43A52587">
                <wp:simplePos x="0" y="0"/>
                <wp:positionH relativeFrom="column">
                  <wp:posOffset>461484</wp:posOffset>
                </wp:positionH>
                <wp:positionV relativeFrom="paragraph">
                  <wp:posOffset>117475</wp:posOffset>
                </wp:positionV>
                <wp:extent cx="806346" cy="45719"/>
                <wp:effectExtent l="0" t="0" r="13335" b="12065"/>
                <wp:wrapNone/>
                <wp:docPr id="764587054" name="Rechteck 6"/>
                <wp:cNvGraphicFramePr/>
                <a:graphic xmlns:a="http://schemas.openxmlformats.org/drawingml/2006/main">
                  <a:graphicData uri="http://schemas.microsoft.com/office/word/2010/wordprocessingShape">
                    <wps:wsp>
                      <wps:cNvSpPr/>
                      <wps:spPr>
                        <a:xfrm>
                          <a:off x="0" y="0"/>
                          <a:ext cx="806346"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81EBD" id="Rechteck 6" o:spid="_x0000_s1026" style="position:absolute;margin-left:36.35pt;margin-top:9.25pt;width:63.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" fillcolor="white [3212]" strokecolor="white [3212]" strokeweight="2pt"/>
            </w:pict>
          </mc:Fallback>
        </mc:AlternateContent>
      </w:r>
      <w:r w:rsidR="007E40F0">
        <w:rPr>
          <w:noProof/>
        </w:rPr>
        <mc:AlternateContent>
          <mc:Choice Requires="wps">
            <w:drawing>
              <wp:anchor distT="0" distB="0" distL="114300" distR="114300" simplePos="0" relativeHeight="251686912" behindDoc="0" locked="0" layoutInCell="1" allowOverlap="1" wp14:anchorId="118703AC" wp14:editId="6215D47E">
                <wp:simplePos x="0" y="0"/>
                <wp:positionH relativeFrom="margin">
                  <wp:posOffset>2023745</wp:posOffset>
                </wp:positionH>
                <wp:positionV relativeFrom="paragraph">
                  <wp:posOffset>9525</wp:posOffset>
                </wp:positionV>
                <wp:extent cx="1714500" cy="59690"/>
                <wp:effectExtent l="0" t="0" r="19050" b="16510"/>
                <wp:wrapNone/>
                <wp:docPr id="96812505" name="Rechteck 6"/>
                <wp:cNvGraphicFramePr/>
                <a:graphic xmlns:a="http://schemas.openxmlformats.org/drawingml/2006/main">
                  <a:graphicData uri="http://schemas.microsoft.com/office/word/2010/wordprocessingShape">
                    <wps:wsp>
                      <wps:cNvSpPr/>
                      <wps:spPr>
                        <a:xfrm>
                          <a:off x="0" y="0"/>
                          <a:ext cx="1714500" cy="596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1BEF7" id="Rechteck 6" o:spid="_x0000_s1026" style="position:absolute;margin-left:159.35pt;margin-top:.75pt;width:135pt;height:4.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" fillcolor="white [3212]" strokecolor="white [3212]" strokeweight="2pt">
                <w10:wrap anchorx="margin"/>
              </v:rect>
            </w:pict>
          </mc:Fallback>
        </mc:AlternateContent>
      </w:r>
      <w:r w:rsidR="002D2F6A">
        <w:rPr>
          <w:noProof/>
        </w:rPr>
        <w:drawing>
          <wp:inline distT="0" distB="0" distL="0" distR="0" wp14:anchorId="40E3682A" wp14:editId="4B0A22C6">
            <wp:extent cx="4753759" cy="2819687"/>
            <wp:effectExtent l="0" t="0" r="8890" b="0"/>
            <wp:docPr id="148068124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6629" cy="2827321"/>
                    </a:xfrm>
                    <a:prstGeom prst="rect">
                      <a:avLst/>
                    </a:prstGeom>
                    <a:noFill/>
                    <a:ln>
                      <a:noFill/>
                    </a:ln>
                  </pic:spPr>
                </pic:pic>
              </a:graphicData>
            </a:graphic>
          </wp:inline>
        </w:drawing>
      </w:r>
    </w:p>
    <w:p w14:paraId="43662698" w14:textId="6328B5C9" w:rsidR="002D2F6A" w:rsidRPr="00F879FE" w:rsidRDefault="002D2F6A" w:rsidP="00976AA6">
      <w:pPr>
        <w:pStyle w:val="BOACaption"/>
      </w:pPr>
      <w:r w:rsidRPr="00F879FE">
        <w:t xml:space="preserve">Figure </w:t>
      </w:r>
      <w:r>
        <w:t>2</w:t>
      </w:r>
      <w:r w:rsidRPr="00F879FE">
        <w:rPr>
          <w:lang w:eastAsia="ko-KR"/>
        </w:rPr>
        <w:t>.</w:t>
      </w:r>
      <w:r w:rsidRPr="00F879FE">
        <w:t xml:space="preserve"> </w:t>
      </w:r>
      <w:r>
        <w:t xml:space="preserve">Isothermal DSC of a </w:t>
      </w:r>
      <w:r w:rsidR="00176EF0">
        <w:t xml:space="preserve">nitro-aromatic compound </w:t>
      </w:r>
      <w:r>
        <w:t>in closed crucible at 250 °C</w:t>
      </w:r>
    </w:p>
    <w:p w14:paraId="31D7DD00" w14:textId="77777777" w:rsidR="002D2F6A" w:rsidRPr="00591C6C" w:rsidRDefault="002D2F6A" w:rsidP="002D2F6A">
      <w:pPr>
        <w:pStyle w:val="BOAemail"/>
        <w:ind w:left="0" w:firstLine="0"/>
        <w:rPr>
          <w:rFonts w:eastAsia="MS PGothic"/>
          <w:color w:val="000000"/>
        </w:rPr>
      </w:pPr>
      <w:r w:rsidRPr="005A239D">
        <w:rPr>
          <w:noProof/>
          <w:lang w:eastAsia="de-DE"/>
        </w:rPr>
        <w:lastRenderedPageBreak/>
        <mc:AlternateContent>
          <mc:Choice Requires="wps">
            <w:drawing>
              <wp:anchor distT="0" distB="0" distL="114300" distR="114300" simplePos="0" relativeHeight="251672576" behindDoc="0" locked="0" layoutInCell="1" allowOverlap="1" wp14:anchorId="38BC5A69" wp14:editId="2CE53FD1">
                <wp:simplePos x="0" y="0"/>
                <wp:positionH relativeFrom="margin">
                  <wp:posOffset>-3810</wp:posOffset>
                </wp:positionH>
                <wp:positionV relativeFrom="paragraph">
                  <wp:posOffset>3634105</wp:posOffset>
                </wp:positionV>
                <wp:extent cx="333375" cy="295275"/>
                <wp:effectExtent l="0" t="0" r="0" b="0"/>
                <wp:wrapNone/>
                <wp:docPr id="482921594" name="Textfeld 48292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95275"/>
                        </a:xfrm>
                        <a:prstGeom prst="rect">
                          <a:avLst/>
                        </a:prstGeom>
                        <a:noFill/>
                        <a:ln w="6350">
                          <a:noFill/>
                        </a:ln>
                        <a:effectLst/>
                      </wps:spPr>
                      <wps:txbx>
                        <w:txbxContent>
                          <w:p w14:paraId="26E751E4" w14:textId="77777777" w:rsidR="002D2F6A" w:rsidRPr="00D31CFB" w:rsidRDefault="002D2F6A" w:rsidP="002D2F6A">
                            <w:pPr>
                              <w:jc w:val="left"/>
                              <w:rPr>
                                <w:rFonts w:ascii="Times New Roman" w:hAnsi="Times New Roman"/>
                                <w:sz w:val="24"/>
                                <w:szCs w:val="24"/>
                              </w:rPr>
                            </w:pPr>
                            <w:r>
                              <w:rPr>
                                <w:rFonts w:ascii="Times New Roman" w:hAnsi="Times New Roman"/>
                                <w:sz w:val="24"/>
                                <w:szCs w:val="24"/>
                              </w:rPr>
                              <w:t>b</w:t>
                            </w:r>
                            <w:r w:rsidRPr="00D31CFB">
                              <w:rPr>
                                <w:rFonts w:ascii="Times New Roman" w:hAnsi="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8BC5A69" id="_x0000_t202" coordsize="21600,21600" o:spt="202" path="m,l,21600r21600,l21600,xe">
                <v:stroke joinstyle="miter"/>
                <v:path gradientshapeok="t" o:connecttype="rect"/>
              </v:shapetype>
              <v:shape id="Textfeld 482921594" o:spid="_x0000_s1026" type="#_x0000_t202" style="position:absolute;left:0;text-align:left;margin-left:-.3pt;margin-top:286.15pt;width:26.25pt;height:23.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" filled="f" stroked="f" strokeweight=".5pt">
                <v:textbox>
                  <w:txbxContent>
                    <w:p w14:paraId="26E751E4" w14:textId="77777777" w:rsidR="002D2F6A" w:rsidRPr="00D31CFB" w:rsidRDefault="002D2F6A" w:rsidP="002D2F6A">
                      <w:pPr>
                        <w:jc w:val="left"/>
                        <w:rPr>
                          <w:rFonts w:ascii="Times New Roman" w:hAnsi="Times New Roman"/>
                          <w:sz w:val="24"/>
                          <w:szCs w:val="24"/>
                        </w:rPr>
                      </w:pPr>
                      <w:r>
                        <w:rPr>
                          <w:rFonts w:ascii="Times New Roman" w:hAnsi="Times New Roman"/>
                          <w:sz w:val="24"/>
                          <w:szCs w:val="24"/>
                        </w:rPr>
                        <w:t>b</w:t>
                      </w:r>
                      <w:r w:rsidRPr="00D31CFB">
                        <w:rPr>
                          <w:rFonts w:ascii="Times New Roman" w:hAnsi="Times New Roman"/>
                          <w:sz w:val="24"/>
                          <w:szCs w:val="24"/>
                        </w:rPr>
                        <w:t>)</w:t>
                      </w:r>
                    </w:p>
                  </w:txbxContent>
                </v:textbox>
                <w10:wrap anchorx="margin"/>
              </v:shape>
            </w:pict>
          </mc:Fallback>
        </mc:AlternateContent>
      </w:r>
      <w:r w:rsidRPr="005A239D">
        <w:rPr>
          <w:noProof/>
          <w:lang w:eastAsia="de-DE"/>
        </w:rPr>
        <mc:AlternateContent>
          <mc:Choice Requires="wps">
            <w:drawing>
              <wp:anchor distT="0" distB="0" distL="114300" distR="114300" simplePos="0" relativeHeight="251671552" behindDoc="0" locked="0" layoutInCell="1" allowOverlap="1" wp14:anchorId="71CE0E50" wp14:editId="090807A8">
                <wp:simplePos x="0" y="0"/>
                <wp:positionH relativeFrom="margin">
                  <wp:align>left</wp:align>
                </wp:positionH>
                <wp:positionV relativeFrom="paragraph">
                  <wp:posOffset>5080</wp:posOffset>
                </wp:positionV>
                <wp:extent cx="333375" cy="295275"/>
                <wp:effectExtent l="0" t="0" r="0" b="0"/>
                <wp:wrapNone/>
                <wp:docPr id="1827296978" name="Textfeld 1827296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95275"/>
                        </a:xfrm>
                        <a:prstGeom prst="rect">
                          <a:avLst/>
                        </a:prstGeom>
                        <a:noFill/>
                        <a:ln w="6350">
                          <a:noFill/>
                        </a:ln>
                        <a:effectLst/>
                      </wps:spPr>
                      <wps:txbx>
                        <w:txbxContent>
                          <w:p w14:paraId="133D4DA1" w14:textId="77777777" w:rsidR="002D2F6A" w:rsidRPr="00D31CFB" w:rsidRDefault="002D2F6A" w:rsidP="002D2F6A">
                            <w:pPr>
                              <w:jc w:val="left"/>
                              <w:rPr>
                                <w:rFonts w:ascii="Times New Roman" w:hAnsi="Times New Roman"/>
                                <w:sz w:val="24"/>
                                <w:szCs w:val="24"/>
                              </w:rPr>
                            </w:pPr>
                            <w:r w:rsidRPr="00D31CFB">
                              <w:rPr>
                                <w:rFonts w:ascii="Times New Roman" w:hAnsi="Times New Roman"/>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CE0E50" id="Textfeld 1827296978" o:spid="_x0000_s1027" type="#_x0000_t202" style="position:absolute;left:0;text-align:left;margin-left:0;margin-top:.4pt;width:26.25pt;height:23.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" filled="f" stroked="f" strokeweight=".5pt">
                <v:textbox>
                  <w:txbxContent>
                    <w:p w14:paraId="133D4DA1" w14:textId="77777777" w:rsidR="002D2F6A" w:rsidRPr="00D31CFB" w:rsidRDefault="002D2F6A" w:rsidP="002D2F6A">
                      <w:pPr>
                        <w:jc w:val="left"/>
                        <w:rPr>
                          <w:rFonts w:ascii="Times New Roman" w:hAnsi="Times New Roman"/>
                          <w:sz w:val="24"/>
                          <w:szCs w:val="24"/>
                        </w:rPr>
                      </w:pPr>
                      <w:r w:rsidRPr="00D31CFB">
                        <w:rPr>
                          <w:rFonts w:ascii="Times New Roman" w:hAnsi="Times New Roman"/>
                          <w:sz w:val="24"/>
                          <w:szCs w:val="24"/>
                        </w:rPr>
                        <w:t>a)</w:t>
                      </w:r>
                    </w:p>
                  </w:txbxContent>
                </v:textbox>
                <w10:wrap anchorx="margin"/>
              </v:shape>
            </w:pict>
          </mc:Fallback>
        </mc:AlternateContent>
      </w:r>
      <w:r>
        <w:rPr>
          <w:rFonts w:eastAsia="MS PGothic"/>
          <w:noProof/>
          <w:color w:val="000000"/>
        </w:rPr>
        <w:drawing>
          <wp:inline distT="0" distB="0" distL="0" distR="0" wp14:anchorId="141A5D6C" wp14:editId="527EC436">
            <wp:extent cx="5579745" cy="3558540"/>
            <wp:effectExtent l="0" t="0" r="1905" b="3810"/>
            <wp:docPr id="33463192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24406" name="Grafik 896024406"/>
                    <pic:cNvPicPr/>
                  </pic:nvPicPr>
                  <pic:blipFill rotWithShape="1">
                    <a:blip r:embed="rId10" cstate="print">
                      <a:extLst>
                        <a:ext uri="{28A0092B-C50C-407E-A947-70E740481C1C}">
                          <a14:useLocalDpi xmlns:a14="http://schemas.microsoft.com/office/drawing/2010/main" val="0"/>
                        </a:ext>
                      </a:extLst>
                    </a:blip>
                    <a:srcRect t="13742" b="2915"/>
                    <a:stretch/>
                  </pic:blipFill>
                  <pic:spPr bwMode="auto">
                    <a:xfrm>
                      <a:off x="0" y="0"/>
                      <a:ext cx="5579745" cy="3558540"/>
                    </a:xfrm>
                    <a:prstGeom prst="rect">
                      <a:avLst/>
                    </a:prstGeom>
                    <a:ln>
                      <a:noFill/>
                    </a:ln>
                    <a:extLst>
                      <a:ext uri="{53640926-AAD7-44D8-BBD7-CCE9431645EC}">
                        <a14:shadowObscured xmlns:a14="http://schemas.microsoft.com/office/drawing/2010/main"/>
                      </a:ext>
                    </a:extLst>
                  </pic:spPr>
                </pic:pic>
              </a:graphicData>
            </a:graphic>
          </wp:inline>
        </w:drawing>
      </w:r>
      <w:r>
        <w:rPr>
          <w:rFonts w:eastAsia="MS PGothic"/>
          <w:noProof/>
          <w:color w:val="000000"/>
        </w:rPr>
        <w:drawing>
          <wp:inline distT="0" distB="0" distL="0" distR="0" wp14:anchorId="643A2C7F" wp14:editId="26C9FF05">
            <wp:extent cx="5579745" cy="3543300"/>
            <wp:effectExtent l="0" t="0" r="1905" b="0"/>
            <wp:docPr id="692947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56148" name="Grafik 2128056148"/>
                    <pic:cNvPicPr/>
                  </pic:nvPicPr>
                  <pic:blipFill rotWithShape="1">
                    <a:blip r:embed="rId11" cstate="print">
                      <a:extLst>
                        <a:ext uri="{28A0092B-C50C-407E-A947-70E740481C1C}">
                          <a14:useLocalDpi xmlns:a14="http://schemas.microsoft.com/office/drawing/2010/main" val="0"/>
                        </a:ext>
                      </a:extLst>
                    </a:blip>
                    <a:srcRect t="14050" b="2989"/>
                    <a:stretch/>
                  </pic:blipFill>
                  <pic:spPr bwMode="auto">
                    <a:xfrm>
                      <a:off x="0" y="0"/>
                      <a:ext cx="5579745" cy="3543300"/>
                    </a:xfrm>
                    <a:prstGeom prst="rect">
                      <a:avLst/>
                    </a:prstGeom>
                    <a:ln>
                      <a:noFill/>
                    </a:ln>
                    <a:extLst>
                      <a:ext uri="{53640926-AAD7-44D8-BBD7-CCE9431645EC}">
                        <a14:shadowObscured xmlns:a14="http://schemas.microsoft.com/office/drawing/2010/main"/>
                      </a:ext>
                    </a:extLst>
                  </pic:spPr>
                </pic:pic>
              </a:graphicData>
            </a:graphic>
          </wp:inline>
        </w:drawing>
      </w:r>
    </w:p>
    <w:p w14:paraId="414615BA" w14:textId="1725CF4E" w:rsidR="002D2F6A" w:rsidRPr="00F879FE" w:rsidRDefault="002D2F6A" w:rsidP="00976AA6">
      <w:pPr>
        <w:pStyle w:val="BOACaption"/>
      </w:pPr>
      <w:r w:rsidRPr="00F879FE">
        <w:t xml:space="preserve">Figure </w:t>
      </w:r>
      <w:r>
        <w:t>3</w:t>
      </w:r>
      <w:r w:rsidRPr="00F879FE">
        <w:rPr>
          <w:lang w:eastAsia="ko-KR"/>
        </w:rPr>
        <w:t>.</w:t>
      </w:r>
      <w:r>
        <w:rPr>
          <w:lang w:eastAsia="ko-KR"/>
        </w:rPr>
        <w:t>a)</w:t>
      </w:r>
      <w:r w:rsidRPr="00F879FE">
        <w:t xml:space="preserve"> </w:t>
      </w:r>
      <w:r>
        <w:t xml:space="preserve">Isothermal DSCs of a </w:t>
      </w:r>
      <w:r w:rsidR="00176EF0">
        <w:t>nitro-</w:t>
      </w:r>
      <w:r>
        <w:t>aromatic</w:t>
      </w:r>
      <w:r w:rsidR="00176EF0">
        <w:t xml:space="preserve"> </w:t>
      </w:r>
      <w:r>
        <w:t>compound in closed crucible at different temperatures – time-dependent specific heat production rate, b) Arrhenius-plot with fit of the maximum heat production rates</w:t>
      </w:r>
    </w:p>
    <w:p w14:paraId="194AA0D0" w14:textId="3026E1C3" w:rsidR="00766A20" w:rsidRDefault="00766A20" w:rsidP="00766A20">
      <w:pPr>
        <w:pStyle w:val="BOAAbstractBody"/>
        <w:rPr>
          <w:rFonts w:eastAsia="MS PGothic"/>
        </w:rPr>
      </w:pPr>
      <w:r w:rsidRPr="00766A20">
        <w:rPr>
          <w:rFonts w:eastAsia="MS PGothic"/>
        </w:rPr>
        <w:lastRenderedPageBreak/>
        <w:t>Based on the derived worst-case kinetics (Figure 3 b</w:t>
      </w:r>
      <w:r w:rsidR="008E5B00">
        <w:rPr>
          <w:rFonts w:eastAsia="MS PGothic"/>
        </w:rPr>
        <w:t>,</w:t>
      </w:r>
      <w:r w:rsidRPr="00766A20">
        <w:rPr>
          <w:rFonts w:eastAsia="MS PGothic"/>
        </w:rPr>
        <w:t xml:space="preserve"> red line), adiabatic induction times or SADTs can be determined by means of a simple numerical simulation, taking into account a heat dissipation term. This is shown in Figure 4 for the temperatures 130</w:t>
      </w:r>
      <w:r w:rsidR="008E5B00">
        <w:rPr>
          <w:rFonts w:eastAsia="MS PGothic"/>
        </w:rPr>
        <w:t> </w:t>
      </w:r>
      <w:r w:rsidRPr="00766A20">
        <w:rPr>
          <w:rFonts w:eastAsia="MS PGothic"/>
        </w:rPr>
        <w:t>°C, 140</w:t>
      </w:r>
      <w:r w:rsidR="008E5B00">
        <w:rPr>
          <w:rFonts w:eastAsia="MS PGothic"/>
        </w:rPr>
        <w:t> </w:t>
      </w:r>
      <w:r w:rsidRPr="00766A20">
        <w:rPr>
          <w:rFonts w:eastAsia="MS PGothic"/>
        </w:rPr>
        <w:t>°C and 160</w:t>
      </w:r>
      <w:r w:rsidR="008E5B00">
        <w:rPr>
          <w:rFonts w:eastAsia="MS PGothic"/>
        </w:rPr>
        <w:t> </w:t>
      </w:r>
      <w:r w:rsidRPr="00766A20">
        <w:rPr>
          <w:rFonts w:eastAsia="MS PGothic"/>
        </w:rPr>
        <w:t>°C, where the temperature curve over time was calculated under adiabatic conditions and taking into account a heat dissipation term of 30</w:t>
      </w:r>
      <w:r w:rsidR="008E5B00">
        <w:rPr>
          <w:rFonts w:eastAsia="MS PGothic"/>
        </w:rPr>
        <w:t> </w:t>
      </w:r>
      <w:proofErr w:type="spellStart"/>
      <w:r w:rsidRPr="00766A20">
        <w:rPr>
          <w:rFonts w:eastAsia="MS PGothic"/>
        </w:rPr>
        <w:t>mW</w:t>
      </w:r>
      <w:proofErr w:type="spellEnd"/>
      <w:r w:rsidRPr="00766A20">
        <w:rPr>
          <w:rFonts w:eastAsia="MS PGothic"/>
        </w:rPr>
        <w:t>/(</w:t>
      </w:r>
      <w:proofErr w:type="spellStart"/>
      <w:r w:rsidRPr="00766A20">
        <w:rPr>
          <w:rFonts w:eastAsia="MS PGothic"/>
        </w:rPr>
        <w:t>kg</w:t>
      </w:r>
      <w:r w:rsidR="007E40F0">
        <w:rPr>
          <w:rFonts w:eastAsia="MS PGothic" w:cs="Arial"/>
        </w:rPr>
        <w:t>∙</w:t>
      </w:r>
      <w:r w:rsidRPr="00766A20">
        <w:rPr>
          <w:rFonts w:eastAsia="MS PGothic"/>
        </w:rPr>
        <w:t>K</w:t>
      </w:r>
      <w:proofErr w:type="spellEnd"/>
      <w:r w:rsidRPr="00766A20">
        <w:rPr>
          <w:rFonts w:eastAsia="MS PGothic"/>
        </w:rPr>
        <w:t>). The numerical simulation can be programmed using Microsoft Excel VBA, for example.</w:t>
      </w:r>
    </w:p>
    <w:p w14:paraId="1A7EC424" w14:textId="77777777" w:rsidR="004C44E6" w:rsidRPr="00591C6C" w:rsidRDefault="004C44E6" w:rsidP="004C44E6">
      <w:pPr>
        <w:pStyle w:val="BOAemail"/>
        <w:rPr>
          <w:rFonts w:eastAsia="MS PGothic"/>
          <w:color w:val="000000"/>
        </w:rPr>
      </w:pPr>
      <w:r w:rsidRPr="004846FB">
        <w:rPr>
          <w:noProof/>
        </w:rPr>
        <w:drawing>
          <wp:inline distT="0" distB="0" distL="0" distR="0" wp14:anchorId="43DF0E76" wp14:editId="5F3A9590">
            <wp:extent cx="5579745" cy="2783840"/>
            <wp:effectExtent l="0" t="0" r="1905" b="0"/>
            <wp:docPr id="12839728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72813" name=""/>
                    <pic:cNvPicPr/>
                  </pic:nvPicPr>
                  <pic:blipFill>
                    <a:blip r:embed="rId12"/>
                    <a:stretch>
                      <a:fillRect/>
                    </a:stretch>
                  </pic:blipFill>
                  <pic:spPr>
                    <a:xfrm>
                      <a:off x="0" y="0"/>
                      <a:ext cx="5579745" cy="2783840"/>
                    </a:xfrm>
                    <a:prstGeom prst="rect">
                      <a:avLst/>
                    </a:prstGeom>
                  </pic:spPr>
                </pic:pic>
              </a:graphicData>
            </a:graphic>
          </wp:inline>
        </w:drawing>
      </w:r>
    </w:p>
    <w:p w14:paraId="0C376309" w14:textId="77777777" w:rsidR="004C44E6" w:rsidRDefault="004C44E6" w:rsidP="004C44E6">
      <w:pPr>
        <w:pStyle w:val="BOACaption"/>
      </w:pPr>
      <w:r w:rsidRPr="00F879FE">
        <w:t xml:space="preserve">Figure </w:t>
      </w:r>
      <w:r>
        <w:t>4</w:t>
      </w:r>
      <w:r w:rsidRPr="00F879FE">
        <w:rPr>
          <w:lang w:eastAsia="ko-KR"/>
        </w:rPr>
        <w:t>.</w:t>
      </w:r>
      <w:r w:rsidRPr="00F879FE">
        <w:t xml:space="preserve"> </w:t>
      </w:r>
      <w:r>
        <w:t>Numerical simulation of the time-dependent temperature course based on the maximum autocatalysis kinetic (worst-case consideration) under adiabatic conditions and under consideration of a heat transfer of 30 W/(</w:t>
      </w:r>
      <w:proofErr w:type="spellStart"/>
      <w:r>
        <w:t>kg</w:t>
      </w:r>
      <w:r>
        <w:rPr>
          <w:rFonts w:cs="Arial"/>
        </w:rPr>
        <w:t>∙</w:t>
      </w:r>
      <w:r>
        <w:t>K</w:t>
      </w:r>
      <w:proofErr w:type="spellEnd"/>
      <w:r>
        <w:t>)</w:t>
      </w:r>
    </w:p>
    <w:p w14:paraId="5DC049C9" w14:textId="6405BC01" w:rsidR="00766A20" w:rsidRDefault="00766A20" w:rsidP="00766A20">
      <w:pPr>
        <w:pStyle w:val="BOAAbstractBody"/>
        <w:rPr>
          <w:rFonts w:eastAsia="MS PGothic"/>
        </w:rPr>
      </w:pPr>
      <w:r w:rsidRPr="00766A20">
        <w:rPr>
          <w:rFonts w:eastAsia="MS PGothic"/>
        </w:rPr>
        <w:t xml:space="preserve">The advantage of this worst-case consideration of autocatalytic decomposition is the time-independence of the calculated safety-related parameters. A maximum </w:t>
      </w:r>
      <w:r w:rsidR="004D22D0">
        <w:rPr>
          <w:rFonts w:eastAsia="MS PGothic"/>
        </w:rPr>
        <w:t xml:space="preserve">temperature for the </w:t>
      </w:r>
      <w:r w:rsidRPr="00766A20">
        <w:rPr>
          <w:rFonts w:eastAsia="MS PGothic"/>
        </w:rPr>
        <w:t xml:space="preserve">heating medium can be derived taking into account a representative heat dissipation term, particularly for smaller appliances or pipes. A </w:t>
      </w:r>
      <w:r w:rsidR="008E5B00">
        <w:rPr>
          <w:rFonts w:eastAsia="MS PGothic"/>
        </w:rPr>
        <w:t>main</w:t>
      </w:r>
      <w:r w:rsidR="008E5B00" w:rsidRPr="00766A20">
        <w:rPr>
          <w:rFonts w:eastAsia="MS PGothic"/>
        </w:rPr>
        <w:t xml:space="preserve"> </w:t>
      </w:r>
      <w:r w:rsidRPr="00766A20">
        <w:rPr>
          <w:rFonts w:eastAsia="MS PGothic"/>
        </w:rPr>
        <w:t xml:space="preserve">result of this worst-case consideration is that, for example, a critically self-accelerating decomposition reaction (heat explosion) can be excluded within a pipe network by limiting the </w:t>
      </w:r>
      <w:proofErr w:type="spellStart"/>
      <w:r w:rsidR="004D22D0">
        <w:rPr>
          <w:rFonts w:eastAsia="MS PGothic"/>
        </w:rPr>
        <w:t>teamperature</w:t>
      </w:r>
      <w:proofErr w:type="spellEnd"/>
      <w:r w:rsidR="004D22D0">
        <w:rPr>
          <w:rFonts w:eastAsia="MS PGothic"/>
        </w:rPr>
        <w:t xml:space="preserve"> of the </w:t>
      </w:r>
      <w:r w:rsidRPr="00766A20">
        <w:rPr>
          <w:rFonts w:eastAsia="MS PGothic"/>
        </w:rPr>
        <w:t xml:space="preserve">heating </w:t>
      </w:r>
      <w:proofErr w:type="gramStart"/>
      <w:r w:rsidRPr="00766A20">
        <w:rPr>
          <w:rFonts w:eastAsia="MS PGothic"/>
        </w:rPr>
        <w:t>medium  to</w:t>
      </w:r>
      <w:proofErr w:type="gramEnd"/>
      <w:r w:rsidRPr="00766A20">
        <w:rPr>
          <w:rFonts w:eastAsia="MS PGothic"/>
        </w:rPr>
        <w:t xml:space="preserve"> 140</w:t>
      </w:r>
      <w:r>
        <w:rPr>
          <w:rFonts w:eastAsia="MS PGothic"/>
        </w:rPr>
        <w:t> </w:t>
      </w:r>
      <w:r w:rsidRPr="00766A20">
        <w:rPr>
          <w:rFonts w:eastAsia="MS PGothic"/>
        </w:rPr>
        <w:t xml:space="preserve">°C, regardless of the residence time. This consideration is particularly helpful for pipe networks, as </w:t>
      </w:r>
      <w:r w:rsidR="004D22D0">
        <w:rPr>
          <w:rFonts w:eastAsia="MS PGothic"/>
        </w:rPr>
        <w:t xml:space="preserve">a representative </w:t>
      </w:r>
      <w:r w:rsidRPr="00766A20">
        <w:rPr>
          <w:rFonts w:eastAsia="MS PGothic"/>
        </w:rPr>
        <w:t>temperature monitoring</w:t>
      </w:r>
      <w:r w:rsidR="004D22D0">
        <w:rPr>
          <w:rFonts w:eastAsia="MS PGothic"/>
        </w:rPr>
        <w:t xml:space="preserve"> inside pipes</w:t>
      </w:r>
      <w:r w:rsidRPr="00766A20">
        <w:rPr>
          <w:rFonts w:eastAsia="MS PGothic"/>
        </w:rPr>
        <w:t xml:space="preserve"> is difficult to implement.</w:t>
      </w:r>
    </w:p>
    <w:p w14:paraId="513B4CA7" w14:textId="0A80AF92" w:rsidR="00766A20" w:rsidRPr="00766A20" w:rsidRDefault="00766A20" w:rsidP="00766A20">
      <w:pPr>
        <w:pStyle w:val="BOAAbstractBody"/>
        <w:rPr>
          <w:rFonts w:eastAsia="MS PGothic"/>
        </w:rPr>
      </w:pPr>
      <w:r w:rsidRPr="00766A20">
        <w:rPr>
          <w:rFonts w:eastAsia="MS PGothic"/>
        </w:rPr>
        <w:t xml:space="preserve">Due to its conservatism, this worst-case consideration as a basis for the safety assessment is not expedient for all process conditions. If, for example, </w:t>
      </w:r>
      <w:r w:rsidR="007E40F0">
        <w:rPr>
          <w:rFonts w:eastAsia="MS PGothic"/>
        </w:rPr>
        <w:t xml:space="preserve">maximum heating temperatures </w:t>
      </w:r>
      <w:r w:rsidRPr="00766A20">
        <w:rPr>
          <w:rFonts w:eastAsia="MS PGothic"/>
        </w:rPr>
        <w:t>of 130</w:t>
      </w:r>
      <w:r w:rsidR="008E5B00">
        <w:rPr>
          <w:rFonts w:eastAsia="MS PGothic"/>
        </w:rPr>
        <w:t> </w:t>
      </w:r>
      <w:r w:rsidRPr="00766A20">
        <w:rPr>
          <w:rFonts w:eastAsia="MS PGothic"/>
        </w:rPr>
        <w:t>°C are required in larger tanks, the worst-case consideration would result in an adiabatic induction time of approx. 48</w:t>
      </w:r>
      <w:r w:rsidR="008E5B00">
        <w:rPr>
          <w:rFonts w:eastAsia="MS PGothic"/>
        </w:rPr>
        <w:t> </w:t>
      </w:r>
      <w:r w:rsidRPr="00766A20">
        <w:rPr>
          <w:rFonts w:eastAsia="MS PGothic"/>
        </w:rPr>
        <w:t>hours</w:t>
      </w:r>
      <w:r w:rsidR="007E40F0">
        <w:rPr>
          <w:rFonts w:eastAsia="MS PGothic"/>
        </w:rPr>
        <w:t>. A</w:t>
      </w:r>
      <w:r w:rsidRPr="00766A20">
        <w:rPr>
          <w:rFonts w:eastAsia="MS PGothic"/>
        </w:rPr>
        <w:t>s a result of which</w:t>
      </w:r>
      <w:r w:rsidR="007E40F0">
        <w:rPr>
          <w:rFonts w:eastAsia="MS PGothic"/>
        </w:rPr>
        <w:t xml:space="preserve"> the</w:t>
      </w:r>
      <w:r w:rsidRPr="00766A20">
        <w:rPr>
          <w:rFonts w:eastAsia="MS PGothic"/>
        </w:rPr>
        <w:t xml:space="preserve"> storage of the nitro aromatic compound at 130</w:t>
      </w:r>
      <w:r w:rsidR="0076019D">
        <w:rPr>
          <w:rFonts w:eastAsia="MS PGothic"/>
        </w:rPr>
        <w:t> </w:t>
      </w:r>
      <w:r w:rsidRPr="00766A20">
        <w:rPr>
          <w:rFonts w:eastAsia="MS PGothic"/>
        </w:rPr>
        <w:t xml:space="preserve">°C would be classified as too critical and unsafe </w:t>
      </w:r>
      <w:r w:rsidR="007E40F0">
        <w:rPr>
          <w:rFonts w:eastAsia="MS PGothic"/>
        </w:rPr>
        <w:t>by</w:t>
      </w:r>
      <w:r w:rsidRPr="00766A20">
        <w:rPr>
          <w:rFonts w:eastAsia="MS PGothic"/>
        </w:rPr>
        <w:t xml:space="preserve"> a safety</w:t>
      </w:r>
      <w:r w:rsidR="007E40F0">
        <w:rPr>
          <w:rFonts w:eastAsia="MS PGothic"/>
        </w:rPr>
        <w:t>-related assessment.</w:t>
      </w:r>
    </w:p>
    <w:p w14:paraId="6AF88BF1" w14:textId="4989B3C3" w:rsidR="00766A20" w:rsidRDefault="00766A20" w:rsidP="00766A20">
      <w:pPr>
        <w:pStyle w:val="BOAAbstractBody"/>
        <w:rPr>
          <w:rFonts w:eastAsia="MS PGothic"/>
        </w:rPr>
      </w:pPr>
      <w:r w:rsidRPr="00766A20">
        <w:rPr>
          <w:rFonts w:eastAsia="MS PGothic"/>
        </w:rPr>
        <w:t xml:space="preserve">At this point, it makes sense to derive more detailed decomposition kinetics that take </w:t>
      </w:r>
      <w:r w:rsidR="00395A9E">
        <w:rPr>
          <w:rFonts w:eastAsia="MS PGothic"/>
        </w:rPr>
        <w:t xml:space="preserve">the time dependency of the </w:t>
      </w:r>
      <w:r w:rsidRPr="00766A20">
        <w:rPr>
          <w:rFonts w:eastAsia="MS PGothic"/>
        </w:rPr>
        <w:t>autocatal</w:t>
      </w:r>
      <w:r w:rsidR="00395A9E">
        <w:rPr>
          <w:rFonts w:eastAsia="MS PGothic"/>
        </w:rPr>
        <w:t>ytic decomposition</w:t>
      </w:r>
      <w:r w:rsidRPr="00766A20">
        <w:rPr>
          <w:rFonts w:eastAsia="MS PGothic"/>
        </w:rPr>
        <w:t xml:space="preserve"> into account. </w:t>
      </w:r>
      <w:r w:rsidR="00395A9E">
        <w:rPr>
          <w:rFonts w:eastAsia="MS PGothic"/>
        </w:rPr>
        <w:t>Therefore</w:t>
      </w:r>
      <w:r w:rsidRPr="00766A20">
        <w:rPr>
          <w:rFonts w:eastAsia="MS PGothic"/>
        </w:rPr>
        <w:t xml:space="preserve">, the nitro aromatic compound is investigated </w:t>
      </w:r>
      <w:r w:rsidR="00395A9E">
        <w:rPr>
          <w:rFonts w:eastAsia="MS PGothic"/>
        </w:rPr>
        <w:t>by</w:t>
      </w:r>
      <w:r w:rsidRPr="00766A20">
        <w:rPr>
          <w:rFonts w:eastAsia="MS PGothic"/>
        </w:rPr>
        <w:t xml:space="preserve"> an adiabatic heat</w:t>
      </w:r>
      <w:r w:rsidR="004C44E6">
        <w:rPr>
          <w:rFonts w:eastAsia="MS PGothic"/>
        </w:rPr>
        <w:t>-pressure-</w:t>
      </w:r>
      <w:r w:rsidRPr="00766A20">
        <w:rPr>
          <w:rFonts w:eastAsia="MS PGothic"/>
        </w:rPr>
        <w:t xml:space="preserve">accumulation </w:t>
      </w:r>
      <w:r w:rsidR="004C44E6">
        <w:rPr>
          <w:rFonts w:eastAsia="MS PGothic"/>
        </w:rPr>
        <w:t>test</w:t>
      </w:r>
      <w:r w:rsidRPr="00766A20">
        <w:rPr>
          <w:rFonts w:eastAsia="MS PGothic"/>
        </w:rPr>
        <w:t xml:space="preserve">. The temperature-pressure curve over time is shown in Figure 5. The detected temperatures and pressures illustrate the criticality of the </w:t>
      </w:r>
      <w:r w:rsidR="00395A9E">
        <w:rPr>
          <w:rFonts w:eastAsia="MS PGothic"/>
        </w:rPr>
        <w:t>runaway</w:t>
      </w:r>
      <w:r w:rsidRPr="00766A20">
        <w:rPr>
          <w:rFonts w:eastAsia="MS PGothic"/>
        </w:rPr>
        <w:t xml:space="preserve"> reaction of a nitro</w:t>
      </w:r>
      <w:r w:rsidR="00395A9E">
        <w:rPr>
          <w:rFonts w:eastAsia="MS PGothic"/>
        </w:rPr>
        <w:t>-</w:t>
      </w:r>
      <w:r w:rsidRPr="00766A20">
        <w:rPr>
          <w:rFonts w:eastAsia="MS PGothic"/>
        </w:rPr>
        <w:t>aromatic</w:t>
      </w:r>
      <w:r w:rsidR="00395A9E">
        <w:rPr>
          <w:rFonts w:eastAsia="MS PGothic"/>
        </w:rPr>
        <w:t>-</w:t>
      </w:r>
      <w:r w:rsidRPr="00766A20">
        <w:rPr>
          <w:rFonts w:eastAsia="MS PGothic"/>
        </w:rPr>
        <w:t>compound.</w:t>
      </w:r>
    </w:p>
    <w:p w14:paraId="68884130" w14:textId="77777777" w:rsidR="00F36CF7" w:rsidRPr="00591C6C" w:rsidRDefault="00F36CF7" w:rsidP="00F36CF7">
      <w:pPr>
        <w:pStyle w:val="BOAemail"/>
        <w:rPr>
          <w:rFonts w:eastAsia="MS PGothic"/>
          <w:color w:val="000000"/>
        </w:rPr>
      </w:pPr>
      <w:r w:rsidRPr="00252E92">
        <w:rPr>
          <w:noProof/>
        </w:rPr>
        <w:lastRenderedPageBreak/>
        <w:drawing>
          <wp:inline distT="0" distB="0" distL="0" distR="0" wp14:anchorId="19210D9E" wp14:editId="2414232B">
            <wp:extent cx="5257165" cy="3375660"/>
            <wp:effectExtent l="0" t="0" r="635" b="0"/>
            <wp:docPr id="2057508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7859" name=""/>
                    <pic:cNvPicPr/>
                  </pic:nvPicPr>
                  <pic:blipFill rotWithShape="1">
                    <a:blip r:embed="rId13"/>
                    <a:srcRect t="2393" b="1225"/>
                    <a:stretch/>
                  </pic:blipFill>
                  <pic:spPr bwMode="auto">
                    <a:xfrm>
                      <a:off x="0" y="0"/>
                      <a:ext cx="5262546" cy="3379115"/>
                    </a:xfrm>
                    <a:prstGeom prst="rect">
                      <a:avLst/>
                    </a:prstGeom>
                    <a:ln>
                      <a:noFill/>
                    </a:ln>
                    <a:extLst>
                      <a:ext uri="{53640926-AAD7-44D8-BBD7-CCE9431645EC}">
                        <a14:shadowObscured xmlns:a14="http://schemas.microsoft.com/office/drawing/2010/main"/>
                      </a:ext>
                    </a:extLst>
                  </pic:spPr>
                </pic:pic>
              </a:graphicData>
            </a:graphic>
          </wp:inline>
        </w:drawing>
      </w:r>
    </w:p>
    <w:p w14:paraId="4E39C400" w14:textId="77777777" w:rsidR="00F36CF7" w:rsidRDefault="00F36CF7" w:rsidP="00976AA6">
      <w:pPr>
        <w:pStyle w:val="BOACaption"/>
      </w:pPr>
      <w:r w:rsidRPr="00F879FE">
        <w:t xml:space="preserve">Figure </w:t>
      </w:r>
      <w:r>
        <w:t>5</w:t>
      </w:r>
      <w:r w:rsidRPr="00F879FE">
        <w:rPr>
          <w:lang w:eastAsia="ko-KR"/>
        </w:rPr>
        <w:t>.</w:t>
      </w:r>
      <w:r w:rsidRPr="00F879FE">
        <w:t xml:space="preserve"> </w:t>
      </w:r>
      <w:r>
        <w:t>Temperature and pressure course measured in the adiabatic heat storage test of an aromatic nitro compound</w:t>
      </w:r>
    </w:p>
    <w:p w14:paraId="582FD264" w14:textId="54557FD8" w:rsidR="00766A20" w:rsidRDefault="00766A20" w:rsidP="00766A20">
      <w:pPr>
        <w:pStyle w:val="BOAAbstractBody"/>
        <w:rPr>
          <w:rFonts w:eastAsia="MS PGothic"/>
        </w:rPr>
      </w:pPr>
      <w:r w:rsidRPr="00766A20">
        <w:rPr>
          <w:rFonts w:eastAsia="MS PGothic"/>
        </w:rPr>
        <w:t xml:space="preserve">The Arrhenius plot of the adiabatic temperature curve is shown in Figure 6. The decomposition kinetics at low conversion </w:t>
      </w:r>
      <w:r w:rsidR="0076019D">
        <w:rPr>
          <w:rFonts w:eastAsia="MS PGothic"/>
        </w:rPr>
        <w:t>are</w:t>
      </w:r>
      <w:r w:rsidR="0076019D" w:rsidRPr="00766A20">
        <w:rPr>
          <w:rFonts w:eastAsia="MS PGothic"/>
        </w:rPr>
        <w:t xml:space="preserve"> </w:t>
      </w:r>
      <w:r w:rsidRPr="00766A20">
        <w:rPr>
          <w:rFonts w:eastAsia="MS PGothic"/>
        </w:rPr>
        <w:t>determined by fitting a 0</w:t>
      </w:r>
      <w:r w:rsidR="00536B17">
        <w:rPr>
          <w:rFonts w:eastAsia="MS PGothic"/>
        </w:rPr>
        <w:t> </w:t>
      </w:r>
      <w:proofErr w:type="spellStart"/>
      <w:r w:rsidRPr="00766A20">
        <w:rPr>
          <w:rFonts w:eastAsia="MS PGothic"/>
        </w:rPr>
        <w:t>th</w:t>
      </w:r>
      <w:r w:rsidR="00536B17">
        <w:rPr>
          <w:rFonts w:eastAsia="MS PGothic"/>
        </w:rPr>
        <w:t>.</w:t>
      </w:r>
      <w:proofErr w:type="spellEnd"/>
      <w:r w:rsidRPr="00766A20">
        <w:rPr>
          <w:rFonts w:eastAsia="MS PGothic"/>
        </w:rPr>
        <w:t xml:space="preserve"> order kinetic</w:t>
      </w:r>
      <w:r w:rsidR="0076019D">
        <w:rPr>
          <w:rFonts w:eastAsia="MS PGothic"/>
        </w:rPr>
        <w:t>s</w:t>
      </w:r>
      <w:r w:rsidRPr="00766A20">
        <w:rPr>
          <w:rFonts w:eastAsia="MS PGothic"/>
        </w:rPr>
        <w:t xml:space="preserve"> in a small temperature range (in this example 210</w:t>
      </w:r>
      <w:r w:rsidR="00536B17">
        <w:rPr>
          <w:rFonts w:eastAsia="MS PGothic"/>
        </w:rPr>
        <w:t> °C</w:t>
      </w:r>
      <w:r w:rsidRPr="00766A20">
        <w:rPr>
          <w:rFonts w:eastAsia="MS PGothic"/>
        </w:rPr>
        <w:t xml:space="preserve"> to </w:t>
      </w:r>
      <w:r w:rsidR="00536B17" w:rsidRPr="00766A20">
        <w:rPr>
          <w:rFonts w:eastAsia="MS PGothic"/>
        </w:rPr>
        <w:t>230</w:t>
      </w:r>
      <w:r w:rsidR="00536B17">
        <w:rPr>
          <w:rFonts w:eastAsia="MS PGothic"/>
        </w:rPr>
        <w:t> </w:t>
      </w:r>
      <w:r w:rsidRPr="00766A20">
        <w:rPr>
          <w:rFonts w:eastAsia="MS PGothic"/>
        </w:rPr>
        <w:t xml:space="preserve">°C) at the beginning of the decomposition. </w:t>
      </w:r>
      <w:r w:rsidR="00536B17">
        <w:t xml:space="preserve">The temperature-dependent heat production rate obtained in this manner characterizes the decomposition </w:t>
      </w:r>
      <w:r w:rsidRPr="00766A20">
        <w:rPr>
          <w:rFonts w:eastAsia="MS PGothic"/>
        </w:rPr>
        <w:t>at a conversion of 0</w:t>
      </w:r>
      <w:r w:rsidR="0076019D">
        <w:rPr>
          <w:rFonts w:eastAsia="MS PGothic"/>
        </w:rPr>
        <w:t> </w:t>
      </w:r>
      <w:r w:rsidRPr="00766A20">
        <w:rPr>
          <w:rFonts w:eastAsia="MS PGothic"/>
        </w:rPr>
        <w:t xml:space="preserve">% (see </w:t>
      </w:r>
      <w:r w:rsidR="0076019D">
        <w:rPr>
          <w:rFonts w:eastAsia="MS PGothic"/>
        </w:rPr>
        <w:t>f</w:t>
      </w:r>
      <w:r w:rsidRPr="00766A20">
        <w:rPr>
          <w:rFonts w:eastAsia="MS PGothic"/>
        </w:rPr>
        <w:t>it Figure 6).</w:t>
      </w:r>
      <w:r w:rsidR="00B36F17">
        <w:rPr>
          <w:rFonts w:eastAsia="MS PGothic"/>
        </w:rPr>
        <w:t xml:space="preserve"> Compared to the DSC with a sensitivity of approx. 10 W/kg, the adiabatic heat storage test with a sensitivity of 0.03 W/kg is more reliable to get correct results for low heat production rates (see Figure 7).</w:t>
      </w:r>
    </w:p>
    <w:p w14:paraId="2F2A2F3F" w14:textId="315ED0A4" w:rsidR="00F36CF7" w:rsidRPr="00591C6C" w:rsidRDefault="000E31F1" w:rsidP="00F36CF7">
      <w:pPr>
        <w:pStyle w:val="BOAemail"/>
        <w:rPr>
          <w:rFonts w:eastAsia="MS PGothic"/>
          <w:color w:val="000000"/>
        </w:rPr>
      </w:pPr>
      <w:r w:rsidRPr="005A239D">
        <w:rPr>
          <w:noProof/>
          <w:lang w:eastAsia="de-DE"/>
        </w:rPr>
        <w:lastRenderedPageBreak/>
        <mc:AlternateContent>
          <mc:Choice Requires="wps">
            <w:drawing>
              <wp:anchor distT="0" distB="0" distL="114300" distR="114300" simplePos="0" relativeHeight="251689984" behindDoc="0" locked="0" layoutInCell="1" allowOverlap="1" wp14:anchorId="1D770237" wp14:editId="0F09948D">
                <wp:simplePos x="0" y="0"/>
                <wp:positionH relativeFrom="column">
                  <wp:posOffset>661035</wp:posOffset>
                </wp:positionH>
                <wp:positionV relativeFrom="paragraph">
                  <wp:posOffset>344966</wp:posOffset>
                </wp:positionV>
                <wp:extent cx="4555672" cy="247650"/>
                <wp:effectExtent l="0" t="0" r="0" b="0"/>
                <wp:wrapNone/>
                <wp:docPr id="1810499821" name="Textfeld 1810499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5672" cy="247650"/>
                        </a:xfrm>
                        <a:prstGeom prst="rect">
                          <a:avLst/>
                        </a:prstGeom>
                        <a:noFill/>
                        <a:ln w="6350">
                          <a:noFill/>
                        </a:ln>
                        <a:effectLst/>
                      </wps:spPr>
                      <wps:txbx>
                        <w:txbxContent>
                          <w:p w14:paraId="4304FCB0" w14:textId="60A7F39B" w:rsidR="000E31F1" w:rsidRPr="000E5822" w:rsidRDefault="000E31F1" w:rsidP="000E31F1">
                            <w:pPr>
                              <w:jc w:val="left"/>
                              <w:rPr>
                                <w:rFonts w:ascii="Times New Roman" w:hAnsi="Times New Roman"/>
                                <w:sz w:val="16"/>
                              </w:rPr>
                            </w:pPr>
                            <w:r w:rsidRPr="000E5822">
                              <w:rPr>
                                <w:rFonts w:ascii="Times New Roman" w:hAnsi="Times New Roman"/>
                                <w:sz w:val="16"/>
                              </w:rPr>
                              <w:t xml:space="preserve">          </w:t>
                            </w:r>
                            <w:r>
                              <w:rPr>
                                <w:rFonts w:ascii="Times New Roman" w:hAnsi="Times New Roman"/>
                                <w:sz w:val="16"/>
                              </w:rPr>
                              <w:t xml:space="preserve"> 200</w:t>
                            </w:r>
                            <w:r w:rsidRPr="000E5822">
                              <w:rPr>
                                <w:rFonts w:ascii="Times New Roman" w:hAnsi="Times New Roman"/>
                                <w:sz w:val="16"/>
                              </w:rPr>
                              <w:t xml:space="preserve"> °C    </w:t>
                            </w:r>
                            <w:r>
                              <w:rPr>
                                <w:rFonts w:ascii="Times New Roman" w:hAnsi="Times New Roman"/>
                                <w:sz w:val="16"/>
                              </w:rPr>
                              <w:t xml:space="preserve"> </w:t>
                            </w:r>
                            <w:r w:rsidRPr="000E5822">
                              <w:rPr>
                                <w:rFonts w:ascii="Times New Roman" w:hAnsi="Times New Roman"/>
                                <w:sz w:val="16"/>
                              </w:rPr>
                              <w:t xml:space="preserve">    </w:t>
                            </w:r>
                            <w:r>
                              <w:rPr>
                                <w:rFonts w:ascii="Times New Roman" w:hAnsi="Times New Roman"/>
                                <w:sz w:val="16"/>
                              </w:rPr>
                              <w:t xml:space="preserve">    </w:t>
                            </w:r>
                            <w:r w:rsidRPr="000E5822">
                              <w:rPr>
                                <w:rFonts w:ascii="Times New Roman" w:hAnsi="Times New Roman"/>
                                <w:sz w:val="16"/>
                              </w:rPr>
                              <w:t xml:space="preserve"> </w:t>
                            </w:r>
                            <w:r>
                              <w:rPr>
                                <w:rFonts w:ascii="Times New Roman" w:hAnsi="Times New Roman"/>
                                <w:sz w:val="16"/>
                              </w:rPr>
                              <w:t>225</w:t>
                            </w:r>
                            <w:r w:rsidRPr="000E5822">
                              <w:rPr>
                                <w:rFonts w:ascii="Times New Roman" w:hAnsi="Times New Roman"/>
                                <w:sz w:val="16"/>
                              </w:rPr>
                              <w:t xml:space="preserve"> °C           </w:t>
                            </w:r>
                            <w:r>
                              <w:rPr>
                                <w:rFonts w:ascii="Times New Roman" w:hAnsi="Times New Roman"/>
                                <w:sz w:val="16"/>
                              </w:rPr>
                              <w:t xml:space="preserve"> 250</w:t>
                            </w:r>
                            <w:r w:rsidRPr="000E5822">
                              <w:rPr>
                                <w:rFonts w:ascii="Times New Roman" w:hAnsi="Times New Roman"/>
                                <w:sz w:val="16"/>
                              </w:rPr>
                              <w:t xml:space="preserve"> °C       </w:t>
                            </w:r>
                            <w:r>
                              <w:rPr>
                                <w:rFonts w:ascii="Times New Roman" w:hAnsi="Times New Roman"/>
                                <w:sz w:val="16"/>
                              </w:rPr>
                              <w:t xml:space="preserve"> </w:t>
                            </w:r>
                            <w:r w:rsidRPr="000E5822">
                              <w:rPr>
                                <w:rFonts w:ascii="Times New Roman" w:hAnsi="Times New Roman"/>
                                <w:sz w:val="16"/>
                              </w:rPr>
                              <w:t xml:space="preserve"> </w:t>
                            </w:r>
                            <w:r>
                              <w:rPr>
                                <w:rFonts w:ascii="Times New Roman" w:hAnsi="Times New Roman"/>
                                <w:sz w:val="16"/>
                              </w:rPr>
                              <w:t xml:space="preserve"> </w:t>
                            </w:r>
                            <w:r w:rsidRPr="000E5822">
                              <w:rPr>
                                <w:rFonts w:ascii="Times New Roman" w:hAnsi="Times New Roman"/>
                                <w:sz w:val="16"/>
                              </w:rPr>
                              <w:t xml:space="preserve"> </w:t>
                            </w:r>
                            <w:r>
                              <w:rPr>
                                <w:rFonts w:ascii="Times New Roman" w:hAnsi="Times New Roman"/>
                                <w:sz w:val="16"/>
                              </w:rPr>
                              <w:t>275</w:t>
                            </w:r>
                            <w:r w:rsidRPr="000E5822">
                              <w:rPr>
                                <w:rFonts w:ascii="Times New Roman" w:hAnsi="Times New Roman"/>
                                <w:sz w:val="16"/>
                              </w:rPr>
                              <w:t xml:space="preserve"> °C     </w:t>
                            </w:r>
                            <w:r>
                              <w:rPr>
                                <w:rFonts w:ascii="Times New Roman" w:hAnsi="Times New Roman"/>
                                <w:sz w:val="16"/>
                              </w:rPr>
                              <w:t xml:space="preserve">  </w:t>
                            </w:r>
                            <w:r w:rsidRPr="000E5822">
                              <w:rPr>
                                <w:rFonts w:ascii="Times New Roman" w:hAnsi="Times New Roman"/>
                                <w:sz w:val="16"/>
                              </w:rPr>
                              <w:t xml:space="preserve"> </w:t>
                            </w:r>
                            <w:r>
                              <w:rPr>
                                <w:rFonts w:ascii="Times New Roman" w:hAnsi="Times New Roman"/>
                                <w:sz w:val="16"/>
                              </w:rPr>
                              <w:t>300</w:t>
                            </w:r>
                            <w:r w:rsidRPr="000E5822">
                              <w:rPr>
                                <w:rFonts w:ascii="Times New Roman" w:hAnsi="Times New Roman"/>
                                <w:sz w:val="16"/>
                              </w:rPr>
                              <w:t xml:space="preserve"> °C   </w:t>
                            </w:r>
                            <w:r>
                              <w:rPr>
                                <w:rFonts w:ascii="Times New Roman" w:hAnsi="Times New Roman"/>
                                <w:sz w:val="16"/>
                              </w:rPr>
                              <w:t xml:space="preserve">  </w:t>
                            </w:r>
                            <w:r w:rsidRPr="000E5822">
                              <w:rPr>
                                <w:rFonts w:ascii="Times New Roman" w:hAnsi="Times New Roman"/>
                                <w:sz w:val="16"/>
                              </w:rPr>
                              <w:t xml:space="preserve"> </w:t>
                            </w:r>
                            <w:r>
                              <w:rPr>
                                <w:rFonts w:ascii="Times New Roman" w:hAnsi="Times New Roman"/>
                                <w:sz w:val="16"/>
                              </w:rPr>
                              <w:t xml:space="preserve"> 325</w:t>
                            </w:r>
                            <w:r w:rsidRPr="000E5822">
                              <w:rPr>
                                <w:rFonts w:ascii="Times New Roman" w:hAnsi="Times New Roman"/>
                                <w:sz w:val="16"/>
                              </w:rPr>
                              <w:t xml:space="preserve"> °C </w:t>
                            </w:r>
                            <w:r>
                              <w:rPr>
                                <w:rFonts w:ascii="Times New Roman" w:hAnsi="Times New Roman"/>
                                <w:sz w:val="16"/>
                              </w:rPr>
                              <w:t xml:space="preserve">    350</w:t>
                            </w:r>
                            <w:r w:rsidRPr="000E5822">
                              <w:rPr>
                                <w:rFonts w:ascii="Times New Roman" w:hAnsi="Times New Roman"/>
                                <w:sz w:val="16"/>
                              </w:rPr>
                              <w:t> °</w:t>
                            </w:r>
                            <w:r>
                              <w:rPr>
                                <w:rFonts w:ascii="Times New Roman" w:hAnsi="Times New Roman"/>
                                <w:sz w:val="16"/>
                              </w:rPr>
                              <w:t xml:space="preserve">C   </w:t>
                            </w:r>
                            <w:r w:rsidR="00787332">
                              <w:rPr>
                                <w:rFonts w:ascii="Times New Roman" w:hAnsi="Times New Roman"/>
                                <w:sz w:val="16"/>
                              </w:rPr>
                              <w:t>375</w:t>
                            </w:r>
                            <w:r w:rsidRPr="000E5822">
                              <w:rPr>
                                <w:rFonts w:ascii="Times New Roman" w:hAnsi="Times New Roman"/>
                                <w:sz w:val="16"/>
                              </w:rPr>
                              <w:t> °</w:t>
                            </w:r>
                            <w:r>
                              <w:rPr>
                                <w:rFonts w:ascii="Times New Roman" w:hAnsi="Times New Roman"/>
                                <w:sz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770237" id="Textfeld 1810499821" o:spid="_x0000_s1028" type="#_x0000_t202" style="position:absolute;left:0;text-align:left;margin-left:52.05pt;margin-top:27.15pt;width:358.7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" filled="f" stroked="f" strokeweight=".5pt">
                <v:textbox>
                  <w:txbxContent>
                    <w:p w14:paraId="4304FCB0" w14:textId="60A7F39B" w:rsidR="000E31F1" w:rsidRPr="000E5822" w:rsidRDefault="000E31F1" w:rsidP="000E31F1">
                      <w:pPr>
                        <w:jc w:val="left"/>
                        <w:rPr>
                          <w:rFonts w:ascii="Times New Roman" w:hAnsi="Times New Roman"/>
                          <w:sz w:val="16"/>
                        </w:rPr>
                      </w:pPr>
                      <w:r w:rsidRPr="000E5822">
                        <w:rPr>
                          <w:rFonts w:ascii="Times New Roman" w:hAnsi="Times New Roman"/>
                          <w:sz w:val="16"/>
                        </w:rPr>
                        <w:t xml:space="preserve">          </w:t>
                      </w:r>
                      <w:r>
                        <w:rPr>
                          <w:rFonts w:ascii="Times New Roman" w:hAnsi="Times New Roman"/>
                          <w:sz w:val="16"/>
                        </w:rPr>
                        <w:t xml:space="preserve"> 200</w:t>
                      </w:r>
                      <w:r w:rsidRPr="000E5822">
                        <w:rPr>
                          <w:rFonts w:ascii="Times New Roman" w:hAnsi="Times New Roman"/>
                          <w:sz w:val="16"/>
                        </w:rPr>
                        <w:t xml:space="preserve"> °C    </w:t>
                      </w:r>
                      <w:r>
                        <w:rPr>
                          <w:rFonts w:ascii="Times New Roman" w:hAnsi="Times New Roman"/>
                          <w:sz w:val="16"/>
                        </w:rPr>
                        <w:t xml:space="preserve"> </w:t>
                      </w:r>
                      <w:r w:rsidRPr="000E5822">
                        <w:rPr>
                          <w:rFonts w:ascii="Times New Roman" w:hAnsi="Times New Roman"/>
                          <w:sz w:val="16"/>
                        </w:rPr>
                        <w:t xml:space="preserve">    </w:t>
                      </w:r>
                      <w:r>
                        <w:rPr>
                          <w:rFonts w:ascii="Times New Roman" w:hAnsi="Times New Roman"/>
                          <w:sz w:val="16"/>
                        </w:rPr>
                        <w:t xml:space="preserve">    </w:t>
                      </w:r>
                      <w:r w:rsidRPr="000E5822">
                        <w:rPr>
                          <w:rFonts w:ascii="Times New Roman" w:hAnsi="Times New Roman"/>
                          <w:sz w:val="16"/>
                        </w:rPr>
                        <w:t xml:space="preserve"> </w:t>
                      </w:r>
                      <w:r>
                        <w:rPr>
                          <w:rFonts w:ascii="Times New Roman" w:hAnsi="Times New Roman"/>
                          <w:sz w:val="16"/>
                        </w:rPr>
                        <w:t>225</w:t>
                      </w:r>
                      <w:r w:rsidRPr="000E5822">
                        <w:rPr>
                          <w:rFonts w:ascii="Times New Roman" w:hAnsi="Times New Roman"/>
                          <w:sz w:val="16"/>
                        </w:rPr>
                        <w:t xml:space="preserve"> °C           </w:t>
                      </w:r>
                      <w:r>
                        <w:rPr>
                          <w:rFonts w:ascii="Times New Roman" w:hAnsi="Times New Roman"/>
                          <w:sz w:val="16"/>
                        </w:rPr>
                        <w:t xml:space="preserve"> 250</w:t>
                      </w:r>
                      <w:r w:rsidRPr="000E5822">
                        <w:rPr>
                          <w:rFonts w:ascii="Times New Roman" w:hAnsi="Times New Roman"/>
                          <w:sz w:val="16"/>
                        </w:rPr>
                        <w:t xml:space="preserve"> °C       </w:t>
                      </w:r>
                      <w:r>
                        <w:rPr>
                          <w:rFonts w:ascii="Times New Roman" w:hAnsi="Times New Roman"/>
                          <w:sz w:val="16"/>
                        </w:rPr>
                        <w:t xml:space="preserve"> </w:t>
                      </w:r>
                      <w:r w:rsidRPr="000E5822">
                        <w:rPr>
                          <w:rFonts w:ascii="Times New Roman" w:hAnsi="Times New Roman"/>
                          <w:sz w:val="16"/>
                        </w:rPr>
                        <w:t xml:space="preserve"> </w:t>
                      </w:r>
                      <w:r>
                        <w:rPr>
                          <w:rFonts w:ascii="Times New Roman" w:hAnsi="Times New Roman"/>
                          <w:sz w:val="16"/>
                        </w:rPr>
                        <w:t xml:space="preserve"> </w:t>
                      </w:r>
                      <w:r w:rsidRPr="000E5822">
                        <w:rPr>
                          <w:rFonts w:ascii="Times New Roman" w:hAnsi="Times New Roman"/>
                          <w:sz w:val="16"/>
                        </w:rPr>
                        <w:t xml:space="preserve"> </w:t>
                      </w:r>
                      <w:r>
                        <w:rPr>
                          <w:rFonts w:ascii="Times New Roman" w:hAnsi="Times New Roman"/>
                          <w:sz w:val="16"/>
                        </w:rPr>
                        <w:t>275</w:t>
                      </w:r>
                      <w:r w:rsidRPr="000E5822">
                        <w:rPr>
                          <w:rFonts w:ascii="Times New Roman" w:hAnsi="Times New Roman"/>
                          <w:sz w:val="16"/>
                        </w:rPr>
                        <w:t xml:space="preserve"> °C     </w:t>
                      </w:r>
                      <w:r>
                        <w:rPr>
                          <w:rFonts w:ascii="Times New Roman" w:hAnsi="Times New Roman"/>
                          <w:sz w:val="16"/>
                        </w:rPr>
                        <w:t xml:space="preserve">  </w:t>
                      </w:r>
                      <w:r w:rsidRPr="000E5822">
                        <w:rPr>
                          <w:rFonts w:ascii="Times New Roman" w:hAnsi="Times New Roman"/>
                          <w:sz w:val="16"/>
                        </w:rPr>
                        <w:t xml:space="preserve"> </w:t>
                      </w:r>
                      <w:r>
                        <w:rPr>
                          <w:rFonts w:ascii="Times New Roman" w:hAnsi="Times New Roman"/>
                          <w:sz w:val="16"/>
                        </w:rPr>
                        <w:t>300</w:t>
                      </w:r>
                      <w:r w:rsidRPr="000E5822">
                        <w:rPr>
                          <w:rFonts w:ascii="Times New Roman" w:hAnsi="Times New Roman"/>
                          <w:sz w:val="16"/>
                        </w:rPr>
                        <w:t xml:space="preserve"> °C   </w:t>
                      </w:r>
                      <w:r>
                        <w:rPr>
                          <w:rFonts w:ascii="Times New Roman" w:hAnsi="Times New Roman"/>
                          <w:sz w:val="16"/>
                        </w:rPr>
                        <w:t xml:space="preserve">  </w:t>
                      </w:r>
                      <w:r w:rsidRPr="000E5822">
                        <w:rPr>
                          <w:rFonts w:ascii="Times New Roman" w:hAnsi="Times New Roman"/>
                          <w:sz w:val="16"/>
                        </w:rPr>
                        <w:t xml:space="preserve"> </w:t>
                      </w:r>
                      <w:r>
                        <w:rPr>
                          <w:rFonts w:ascii="Times New Roman" w:hAnsi="Times New Roman"/>
                          <w:sz w:val="16"/>
                        </w:rPr>
                        <w:t xml:space="preserve"> 325</w:t>
                      </w:r>
                      <w:r w:rsidRPr="000E5822">
                        <w:rPr>
                          <w:rFonts w:ascii="Times New Roman" w:hAnsi="Times New Roman"/>
                          <w:sz w:val="16"/>
                        </w:rPr>
                        <w:t xml:space="preserve"> °C </w:t>
                      </w:r>
                      <w:r>
                        <w:rPr>
                          <w:rFonts w:ascii="Times New Roman" w:hAnsi="Times New Roman"/>
                          <w:sz w:val="16"/>
                        </w:rPr>
                        <w:t xml:space="preserve">    350</w:t>
                      </w:r>
                      <w:r w:rsidRPr="000E5822">
                        <w:rPr>
                          <w:rFonts w:ascii="Times New Roman" w:hAnsi="Times New Roman"/>
                          <w:sz w:val="16"/>
                        </w:rPr>
                        <w:t> °</w:t>
                      </w:r>
                      <w:r>
                        <w:rPr>
                          <w:rFonts w:ascii="Times New Roman" w:hAnsi="Times New Roman"/>
                          <w:sz w:val="16"/>
                        </w:rPr>
                        <w:t xml:space="preserve">C   </w:t>
                      </w:r>
                      <w:r w:rsidR="00787332">
                        <w:rPr>
                          <w:rFonts w:ascii="Times New Roman" w:hAnsi="Times New Roman"/>
                          <w:sz w:val="16"/>
                        </w:rPr>
                        <w:t>375</w:t>
                      </w:r>
                      <w:r w:rsidRPr="000E5822">
                        <w:rPr>
                          <w:rFonts w:ascii="Times New Roman" w:hAnsi="Times New Roman"/>
                          <w:sz w:val="16"/>
                        </w:rPr>
                        <w:t> °</w:t>
                      </w:r>
                      <w:r>
                        <w:rPr>
                          <w:rFonts w:ascii="Times New Roman" w:hAnsi="Times New Roman"/>
                          <w:sz w:val="16"/>
                        </w:rPr>
                        <w:t>C</w:t>
                      </w:r>
                    </w:p>
                  </w:txbxContent>
                </v:textbox>
              </v:shape>
            </w:pict>
          </mc:Fallback>
        </mc:AlternateContent>
      </w:r>
      <w:r w:rsidR="00F36CF7" w:rsidRPr="00147015">
        <w:rPr>
          <w:noProof/>
        </w:rPr>
        <w:drawing>
          <wp:inline distT="0" distB="0" distL="0" distR="0" wp14:anchorId="7E630200" wp14:editId="3750A47A">
            <wp:extent cx="5579745" cy="3521075"/>
            <wp:effectExtent l="0" t="0" r="1905" b="3175"/>
            <wp:docPr id="6334422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23423" name=""/>
                    <pic:cNvPicPr/>
                  </pic:nvPicPr>
                  <pic:blipFill>
                    <a:blip r:embed="rId14"/>
                    <a:stretch>
                      <a:fillRect/>
                    </a:stretch>
                  </pic:blipFill>
                  <pic:spPr>
                    <a:xfrm>
                      <a:off x="0" y="0"/>
                      <a:ext cx="5579745" cy="3521075"/>
                    </a:xfrm>
                    <a:prstGeom prst="rect">
                      <a:avLst/>
                    </a:prstGeom>
                  </pic:spPr>
                </pic:pic>
              </a:graphicData>
            </a:graphic>
          </wp:inline>
        </w:drawing>
      </w:r>
    </w:p>
    <w:p w14:paraId="0063593C" w14:textId="77777777" w:rsidR="00F36CF7" w:rsidRDefault="00F36CF7" w:rsidP="00976AA6">
      <w:pPr>
        <w:pStyle w:val="BOACaption"/>
      </w:pPr>
      <w:r w:rsidRPr="00F879FE">
        <w:t xml:space="preserve">Figure </w:t>
      </w:r>
      <w:r>
        <w:t>6</w:t>
      </w:r>
      <w:r w:rsidRPr="00F879FE">
        <w:rPr>
          <w:lang w:eastAsia="ko-KR"/>
        </w:rPr>
        <w:t>.</w:t>
      </w:r>
      <w:r w:rsidRPr="00F879FE">
        <w:t xml:space="preserve"> </w:t>
      </w:r>
      <w:r w:rsidRPr="00970188">
        <w:t>Kinetic evaluation</w:t>
      </w:r>
      <w:r>
        <w:t xml:space="preserve"> at low conversion</w:t>
      </w:r>
      <w:r w:rsidRPr="00970188">
        <w:t xml:space="preserve"> </w:t>
      </w:r>
      <w:r>
        <w:t>of the temperature in the Arrhenius-plot based on the adiabatic heat storage measurement. The kinetic fit is used as the baseline for 0 % conversion in the numerical simulation.</w:t>
      </w:r>
    </w:p>
    <w:p w14:paraId="6CDBC3E8" w14:textId="2A9A23DF" w:rsidR="00766A20" w:rsidRDefault="00766A20" w:rsidP="00766A20">
      <w:pPr>
        <w:pStyle w:val="BOAAbstractBody"/>
        <w:rPr>
          <w:rFonts w:eastAsia="MS PGothic"/>
        </w:rPr>
      </w:pPr>
      <w:r w:rsidRPr="00766A20">
        <w:rPr>
          <w:rFonts w:eastAsia="MS PGothic"/>
        </w:rPr>
        <w:t xml:space="preserve">Figure 7 explains how the </w:t>
      </w:r>
      <w:r>
        <w:rPr>
          <w:rFonts w:eastAsia="MS PGothic"/>
        </w:rPr>
        <w:t>conversion</w:t>
      </w:r>
      <w:r w:rsidRPr="00766A20">
        <w:rPr>
          <w:rFonts w:eastAsia="MS PGothic"/>
        </w:rPr>
        <w:t xml:space="preserve"> dependence of autocatalysis can be described in a simple way. Here, the heat production rates recorded in the isothermal DSCs are plotted against the decomposition energy released up to the respective point in time. The maximum heat production rates (maximum autocatalysis) are achieved for the </w:t>
      </w:r>
      <w:r w:rsidR="00B36F17">
        <w:rPr>
          <w:rFonts w:eastAsia="MS PGothic"/>
        </w:rPr>
        <w:t xml:space="preserve">investigated </w:t>
      </w:r>
      <w:r w:rsidRPr="00766A20">
        <w:rPr>
          <w:rFonts w:eastAsia="MS PGothic"/>
        </w:rPr>
        <w:t>nitro</w:t>
      </w:r>
      <w:r w:rsidR="00B36F17">
        <w:rPr>
          <w:rFonts w:eastAsia="MS PGothic"/>
        </w:rPr>
        <w:t>-</w:t>
      </w:r>
      <w:r w:rsidRPr="00766A20">
        <w:rPr>
          <w:rFonts w:eastAsia="MS PGothic"/>
        </w:rPr>
        <w:t>aromatic</w:t>
      </w:r>
      <w:r w:rsidR="00B36F17">
        <w:rPr>
          <w:rFonts w:eastAsia="MS PGothic"/>
        </w:rPr>
        <w:t>-</w:t>
      </w:r>
      <w:r w:rsidRPr="00766A20">
        <w:rPr>
          <w:rFonts w:eastAsia="MS PGothic"/>
        </w:rPr>
        <w:t>compound at a decomposition energy of approx. -1500</w:t>
      </w:r>
      <w:r w:rsidR="0076019D">
        <w:rPr>
          <w:rFonts w:eastAsia="MS PGothic"/>
        </w:rPr>
        <w:t> </w:t>
      </w:r>
      <w:r w:rsidRPr="00766A20">
        <w:rPr>
          <w:rFonts w:eastAsia="MS PGothic"/>
        </w:rPr>
        <w:t>J/g. In order to be able to describe the conversion dependenc</w:t>
      </w:r>
      <w:r w:rsidR="0076019D">
        <w:rPr>
          <w:rFonts w:eastAsia="MS PGothic"/>
        </w:rPr>
        <w:t>y</w:t>
      </w:r>
      <w:r w:rsidRPr="00766A20">
        <w:rPr>
          <w:rFonts w:eastAsia="MS PGothic"/>
        </w:rPr>
        <w:t xml:space="preserve"> of the autocatalytic decomposition reaction, the function Q̇(</w:t>
      </w:r>
      <w:proofErr w:type="gramStart"/>
      <w:r w:rsidRPr="00766A20">
        <w:rPr>
          <w:rFonts w:eastAsia="MS PGothic"/>
        </w:rPr>
        <w:t>T,C</w:t>
      </w:r>
      <w:proofErr w:type="gramEnd"/>
      <w:r w:rsidRPr="00766A20">
        <w:rPr>
          <w:rFonts w:eastAsia="MS PGothic"/>
        </w:rPr>
        <w:t>) must be determined (C corresponds to conversion). Th</w:t>
      </w:r>
      <w:r w:rsidR="00B36F17">
        <w:rPr>
          <w:rFonts w:eastAsia="MS PGothic"/>
        </w:rPr>
        <w:t>e</w:t>
      </w:r>
      <w:r w:rsidRPr="00766A20">
        <w:rPr>
          <w:rFonts w:eastAsia="MS PGothic"/>
        </w:rPr>
        <w:t xml:space="preserve"> plane Q̇(</w:t>
      </w:r>
      <w:proofErr w:type="gramStart"/>
      <w:r w:rsidRPr="00766A20">
        <w:rPr>
          <w:rFonts w:eastAsia="MS PGothic"/>
        </w:rPr>
        <w:t>T,C</w:t>
      </w:r>
      <w:proofErr w:type="gramEnd"/>
      <w:r w:rsidRPr="00766A20">
        <w:rPr>
          <w:rFonts w:eastAsia="MS PGothic"/>
        </w:rPr>
        <w:t>) is spanned by a simple linear interpolation of the derived kinetics for 0</w:t>
      </w:r>
      <w:r w:rsidR="0076019D">
        <w:rPr>
          <w:rFonts w:eastAsia="MS PGothic"/>
        </w:rPr>
        <w:t> </w:t>
      </w:r>
      <w:r w:rsidRPr="00766A20">
        <w:rPr>
          <w:rFonts w:eastAsia="MS PGothic"/>
        </w:rPr>
        <w:t>% conversion (adiabatic</w:t>
      </w:r>
      <w:r w:rsidR="004C44E6">
        <w:rPr>
          <w:rFonts w:eastAsia="MS PGothic"/>
        </w:rPr>
        <w:t>-</w:t>
      </w:r>
      <w:r w:rsidRPr="00766A20">
        <w:rPr>
          <w:rFonts w:eastAsia="MS PGothic"/>
        </w:rPr>
        <w:t>heat</w:t>
      </w:r>
      <w:r w:rsidR="004C44E6">
        <w:rPr>
          <w:rFonts w:eastAsia="MS PGothic"/>
        </w:rPr>
        <w:t>-pressure-</w:t>
      </w:r>
      <w:r w:rsidRPr="00766A20">
        <w:rPr>
          <w:rFonts w:eastAsia="MS PGothic"/>
        </w:rPr>
        <w:t>accumulation test) and the worst-case kinetics (100</w:t>
      </w:r>
      <w:r w:rsidR="0076019D">
        <w:rPr>
          <w:rFonts w:eastAsia="MS PGothic"/>
        </w:rPr>
        <w:t> </w:t>
      </w:r>
      <w:r w:rsidRPr="00766A20">
        <w:rPr>
          <w:rFonts w:eastAsia="MS PGothic"/>
        </w:rPr>
        <w:t>% conversion corresponds to -1500</w:t>
      </w:r>
      <w:r w:rsidR="0076019D">
        <w:rPr>
          <w:rFonts w:eastAsia="MS PGothic"/>
        </w:rPr>
        <w:t> </w:t>
      </w:r>
      <w:r w:rsidRPr="00766A20">
        <w:rPr>
          <w:rFonts w:eastAsia="MS PGothic"/>
        </w:rPr>
        <w:t>J/g) (see Figure 8, projection Q̇(T,C) into the Q̇(T) plane). From a conservative safety point of view, it is assumed in the simulation that the maximum heat production rate is already reached at a released energy of -1000</w:t>
      </w:r>
      <w:r w:rsidR="0076019D">
        <w:rPr>
          <w:rFonts w:eastAsia="MS PGothic"/>
        </w:rPr>
        <w:t> </w:t>
      </w:r>
      <w:r w:rsidRPr="00766A20">
        <w:rPr>
          <w:rFonts w:eastAsia="MS PGothic"/>
        </w:rPr>
        <w:t xml:space="preserve">J/g. As can be seen from Figure 7, the specific temperature- and </w:t>
      </w:r>
      <w:r>
        <w:rPr>
          <w:rFonts w:eastAsia="MS PGothic"/>
        </w:rPr>
        <w:t>conversion</w:t>
      </w:r>
      <w:r w:rsidRPr="00766A20">
        <w:rPr>
          <w:rFonts w:eastAsia="MS PGothic"/>
        </w:rPr>
        <w:t xml:space="preserve">-dependent heat production rate used for the simulation is higher than the values determined in the DSCs. The following five </w:t>
      </w:r>
      <w:r w:rsidR="00B36F17">
        <w:rPr>
          <w:rFonts w:eastAsia="MS PGothic"/>
        </w:rPr>
        <w:t>parameters</w:t>
      </w:r>
      <w:r w:rsidRPr="00766A20">
        <w:rPr>
          <w:rFonts w:eastAsia="MS PGothic"/>
        </w:rPr>
        <w:t xml:space="preserve"> are therefore </w:t>
      </w:r>
      <w:r w:rsidR="00B36F17">
        <w:rPr>
          <w:rFonts w:eastAsia="MS PGothic"/>
        </w:rPr>
        <w:t xml:space="preserve">necessary </w:t>
      </w:r>
      <w:r w:rsidRPr="00766A20">
        <w:rPr>
          <w:rFonts w:eastAsia="MS PGothic"/>
        </w:rPr>
        <w:t xml:space="preserve">in the description of the heat production rate </w:t>
      </w:r>
      <w:proofErr w:type="gramStart"/>
      <w:r w:rsidRPr="00766A20">
        <w:rPr>
          <w:rFonts w:eastAsia="MS PGothic"/>
        </w:rPr>
        <w:t>Q̇(</w:t>
      </w:r>
      <w:proofErr w:type="gramEnd"/>
      <w:r w:rsidRPr="00766A20">
        <w:rPr>
          <w:rFonts w:eastAsia="MS PGothic"/>
        </w:rPr>
        <w:t>T, C)</w:t>
      </w:r>
      <w:r w:rsidR="0076019D">
        <w:rPr>
          <w:rFonts w:eastAsia="MS PGothic"/>
        </w:rPr>
        <w:t>:</w:t>
      </w:r>
    </w:p>
    <w:p w14:paraId="476602EB" w14:textId="0951EA6C" w:rsidR="00766A20" w:rsidRDefault="0076019D" w:rsidP="00766A20">
      <w:pPr>
        <w:pStyle w:val="BOAAbstractBody"/>
        <w:rPr>
          <w:rFonts w:eastAsia="MS PGothic"/>
        </w:rPr>
      </w:pPr>
      <w:r>
        <w:rPr>
          <w:rFonts w:eastAsia="MS PGothic"/>
        </w:rPr>
        <w:t>t</w:t>
      </w:r>
      <w:r w:rsidR="00766A20" w:rsidRPr="00766A20">
        <w:rPr>
          <w:rFonts w:eastAsia="MS PGothic"/>
        </w:rPr>
        <w:t>he description of the Arrhenius kinetics for 0</w:t>
      </w:r>
      <w:r>
        <w:rPr>
          <w:rFonts w:eastAsia="MS PGothic"/>
        </w:rPr>
        <w:t> </w:t>
      </w:r>
      <w:r w:rsidR="00766A20" w:rsidRPr="00766A20">
        <w:rPr>
          <w:rFonts w:eastAsia="MS PGothic"/>
        </w:rPr>
        <w:t>% conversion based on the adiabatic pressurized heat accumulation test with the pre-exponential factor Q̇</w:t>
      </w:r>
      <w:r w:rsidR="00766A20" w:rsidRPr="00B36F17">
        <w:rPr>
          <w:rFonts w:eastAsia="MS PGothic"/>
          <w:vertAlign w:val="subscript"/>
        </w:rPr>
        <w:t>0</w:t>
      </w:r>
      <w:r w:rsidR="00B36F17">
        <w:rPr>
          <w:rFonts w:eastAsia="MS PGothic"/>
          <w:vertAlign w:val="subscript"/>
        </w:rPr>
        <w:t>,</w:t>
      </w:r>
      <w:r w:rsidR="00766A20" w:rsidRPr="00B36F17">
        <w:rPr>
          <w:rFonts w:eastAsia="MS PGothic"/>
          <w:vertAlign w:val="subscript"/>
        </w:rPr>
        <w:t xml:space="preserve">0%conversion </w:t>
      </w:r>
      <w:r w:rsidR="00766A20" w:rsidRPr="00766A20">
        <w:rPr>
          <w:rFonts w:eastAsia="MS PGothic"/>
        </w:rPr>
        <w:t>and the activation energy E</w:t>
      </w:r>
      <w:r w:rsidR="00766A20" w:rsidRPr="00B36F17">
        <w:rPr>
          <w:rFonts w:eastAsia="MS PGothic"/>
          <w:vertAlign w:val="subscript"/>
        </w:rPr>
        <w:t>A</w:t>
      </w:r>
      <w:r w:rsidR="00B36F17">
        <w:rPr>
          <w:rFonts w:eastAsia="MS PGothic"/>
          <w:vertAlign w:val="subscript"/>
        </w:rPr>
        <w:t>,</w:t>
      </w:r>
      <w:r w:rsidR="00766A20" w:rsidRPr="00B36F17">
        <w:rPr>
          <w:rFonts w:eastAsia="MS PGothic"/>
          <w:vertAlign w:val="subscript"/>
        </w:rPr>
        <w:t>0%conversion</w:t>
      </w:r>
      <w:r w:rsidR="00766A20" w:rsidRPr="00766A20">
        <w:rPr>
          <w:rFonts w:eastAsia="MS PGothic"/>
        </w:rPr>
        <w:t>, the description of the Arrhenius kinetics for 100</w:t>
      </w:r>
      <w:r>
        <w:rPr>
          <w:rFonts w:eastAsia="MS PGothic"/>
        </w:rPr>
        <w:t> </w:t>
      </w:r>
      <w:r w:rsidR="00766A20" w:rsidRPr="00766A20">
        <w:rPr>
          <w:rFonts w:eastAsia="MS PGothic"/>
        </w:rPr>
        <w:t>% conversion (maximum autocatalysis) based on the isothermal DSCs with the pre-exponential factors Q̇</w:t>
      </w:r>
      <w:r w:rsidR="00766A20" w:rsidRPr="00B36F17">
        <w:rPr>
          <w:rFonts w:eastAsia="MS PGothic"/>
          <w:vertAlign w:val="subscript"/>
        </w:rPr>
        <w:t>0</w:t>
      </w:r>
      <w:r w:rsidR="00B36F17">
        <w:rPr>
          <w:rFonts w:eastAsia="MS PGothic"/>
          <w:vertAlign w:val="subscript"/>
        </w:rPr>
        <w:t>,</w:t>
      </w:r>
      <w:r w:rsidR="00766A20" w:rsidRPr="00B36F17">
        <w:rPr>
          <w:rFonts w:eastAsia="MS PGothic"/>
          <w:vertAlign w:val="subscript"/>
        </w:rPr>
        <w:t>100%conversion</w:t>
      </w:r>
      <w:r w:rsidR="00B36F17">
        <w:rPr>
          <w:rFonts w:eastAsia="MS PGothic"/>
        </w:rPr>
        <w:t xml:space="preserve"> a</w:t>
      </w:r>
      <w:r w:rsidR="00766A20" w:rsidRPr="00766A20">
        <w:rPr>
          <w:rFonts w:eastAsia="MS PGothic"/>
        </w:rPr>
        <w:t>nd the activation energy E</w:t>
      </w:r>
      <w:r w:rsidR="00766A20" w:rsidRPr="00B36F17">
        <w:rPr>
          <w:rFonts w:eastAsia="MS PGothic"/>
          <w:vertAlign w:val="subscript"/>
        </w:rPr>
        <w:t>A</w:t>
      </w:r>
      <w:r w:rsidR="00B36F17">
        <w:rPr>
          <w:rFonts w:eastAsia="MS PGothic"/>
          <w:vertAlign w:val="subscript"/>
        </w:rPr>
        <w:t>,</w:t>
      </w:r>
      <w:r w:rsidR="00766A20" w:rsidRPr="00B36F17">
        <w:rPr>
          <w:rFonts w:eastAsia="MS PGothic"/>
          <w:vertAlign w:val="subscript"/>
        </w:rPr>
        <w:t>100%conversion</w:t>
      </w:r>
      <w:r w:rsidR="00766A20" w:rsidRPr="00766A20">
        <w:rPr>
          <w:rFonts w:eastAsia="MS PGothic"/>
        </w:rPr>
        <w:t xml:space="preserve">, as well as the value </w:t>
      </w:r>
      <w:proofErr w:type="spellStart"/>
      <w:r w:rsidR="00766A20" w:rsidRPr="00766A20">
        <w:rPr>
          <w:rFonts w:eastAsia="MS PGothic"/>
        </w:rPr>
        <w:t>Q</w:t>
      </w:r>
      <w:r w:rsidR="00766A20" w:rsidRPr="00B36F17">
        <w:rPr>
          <w:rFonts w:eastAsia="MS PGothic"/>
          <w:vertAlign w:val="subscript"/>
        </w:rPr>
        <w:t>max</w:t>
      </w:r>
      <w:proofErr w:type="spellEnd"/>
      <w:r w:rsidR="00B36F17">
        <w:rPr>
          <w:rFonts w:eastAsia="MS PGothic"/>
          <w:vertAlign w:val="subscript"/>
        </w:rPr>
        <w:t>. autocatalysis</w:t>
      </w:r>
      <w:r w:rsidR="00766A20" w:rsidRPr="00766A20">
        <w:rPr>
          <w:rFonts w:eastAsia="MS PGothic"/>
        </w:rPr>
        <w:t xml:space="preserve"> (here -1000</w:t>
      </w:r>
      <w:r>
        <w:rPr>
          <w:rFonts w:eastAsia="MS PGothic"/>
        </w:rPr>
        <w:t> </w:t>
      </w:r>
      <w:r w:rsidR="00766A20" w:rsidRPr="00766A20">
        <w:rPr>
          <w:rFonts w:eastAsia="MS PGothic"/>
        </w:rPr>
        <w:t>J/g) which describes the conversion dependenc</w:t>
      </w:r>
      <w:r>
        <w:rPr>
          <w:rFonts w:eastAsia="MS PGothic"/>
        </w:rPr>
        <w:t>y</w:t>
      </w:r>
      <w:r w:rsidR="00766A20" w:rsidRPr="00766A20">
        <w:rPr>
          <w:rFonts w:eastAsia="MS PGothic"/>
        </w:rPr>
        <w:t xml:space="preserve">. The smaller </w:t>
      </w:r>
      <w:proofErr w:type="spellStart"/>
      <w:r w:rsidRPr="00766A20">
        <w:rPr>
          <w:rFonts w:eastAsia="MS PGothic"/>
        </w:rPr>
        <w:t>Q</w:t>
      </w:r>
      <w:r w:rsidRPr="00B36F17">
        <w:rPr>
          <w:rFonts w:eastAsia="MS PGothic"/>
          <w:vertAlign w:val="subscript"/>
        </w:rPr>
        <w:t>max</w:t>
      </w:r>
      <w:proofErr w:type="spellEnd"/>
      <w:r>
        <w:rPr>
          <w:rFonts w:eastAsia="MS PGothic"/>
          <w:vertAlign w:val="subscript"/>
        </w:rPr>
        <w:t>. autocatalysis</w:t>
      </w:r>
      <w:r w:rsidRPr="00766A20">
        <w:rPr>
          <w:rFonts w:eastAsia="MS PGothic"/>
        </w:rPr>
        <w:t xml:space="preserve"> </w:t>
      </w:r>
      <w:r w:rsidR="00766A20" w:rsidRPr="00766A20">
        <w:rPr>
          <w:rFonts w:eastAsia="MS PGothic"/>
        </w:rPr>
        <w:t>is selected (see experimental data from the isothermal DSCs</w:t>
      </w:r>
      <w:r w:rsidR="00B36F17">
        <w:rPr>
          <w:rFonts w:eastAsia="MS PGothic"/>
        </w:rPr>
        <w:t xml:space="preserve"> Figure 7</w:t>
      </w:r>
      <w:r w:rsidR="00766A20" w:rsidRPr="00766A20">
        <w:rPr>
          <w:rFonts w:eastAsia="MS PGothic"/>
        </w:rPr>
        <w:t>), the more conservative the model is in terms of safety.</w:t>
      </w:r>
      <w:r w:rsidR="00F36CF7">
        <w:rPr>
          <w:rFonts w:eastAsia="MS PGothic"/>
        </w:rPr>
        <w:t xml:space="preserve"> </w:t>
      </w:r>
    </w:p>
    <w:p w14:paraId="1C922811" w14:textId="77024CA5" w:rsidR="00F62BE2" w:rsidRDefault="00F62BE2" w:rsidP="00766A20">
      <w:pPr>
        <w:pStyle w:val="BOAAbstractBody"/>
        <w:rPr>
          <w:rFonts w:eastAsia="MS PGothic"/>
        </w:rPr>
      </w:pPr>
      <w:r w:rsidRPr="00F62BE2">
        <w:rPr>
          <w:rFonts w:eastAsia="MS PGothic"/>
        </w:rPr>
        <w:lastRenderedPageBreak/>
        <w:t xml:space="preserve">If wide extrapolations to low temperatures are necessary, additional isothermal microcalorimetric measurements, e.g. with TAM or C80, can be used as </w:t>
      </w:r>
      <w:r>
        <w:rPr>
          <w:rFonts w:eastAsia="MS PGothic"/>
        </w:rPr>
        <w:t>base point</w:t>
      </w:r>
      <w:r w:rsidRPr="00F62BE2">
        <w:rPr>
          <w:rFonts w:eastAsia="MS PGothic"/>
        </w:rPr>
        <w:t xml:space="preserve"> for a better model fit.</w:t>
      </w:r>
    </w:p>
    <w:p w14:paraId="0E771865" w14:textId="77777777" w:rsidR="00F36CF7" w:rsidRPr="00591C6C" w:rsidRDefault="00F36CF7" w:rsidP="00F36CF7">
      <w:pPr>
        <w:pStyle w:val="BOAemail"/>
        <w:rPr>
          <w:rFonts w:eastAsia="MS PGothic"/>
          <w:color w:val="000000"/>
        </w:rPr>
      </w:pPr>
      <w:r>
        <w:rPr>
          <w:rFonts w:eastAsia="MS PGothic"/>
          <w:noProof/>
          <w:color w:val="000000"/>
        </w:rPr>
        <w:drawing>
          <wp:inline distT="0" distB="0" distL="0" distR="0" wp14:anchorId="48E579FF" wp14:editId="2686052E">
            <wp:extent cx="5579745" cy="4000500"/>
            <wp:effectExtent l="0" t="0" r="1905" b="0"/>
            <wp:docPr id="106601518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95138" name="Grafik 1974095138"/>
                    <pic:cNvPicPr/>
                  </pic:nvPicPr>
                  <pic:blipFill rotWithShape="1">
                    <a:blip r:embed="rId15" cstate="print">
                      <a:extLst>
                        <a:ext uri="{28A0092B-C50C-407E-A947-70E740481C1C}">
                          <a14:useLocalDpi xmlns:a14="http://schemas.microsoft.com/office/drawing/2010/main" val="0"/>
                        </a:ext>
                      </a:extLst>
                    </a:blip>
                    <a:srcRect t="4015" b="2319"/>
                    <a:stretch/>
                  </pic:blipFill>
                  <pic:spPr bwMode="auto">
                    <a:xfrm>
                      <a:off x="0" y="0"/>
                      <a:ext cx="5579745" cy="4000500"/>
                    </a:xfrm>
                    <a:prstGeom prst="rect">
                      <a:avLst/>
                    </a:prstGeom>
                    <a:ln>
                      <a:noFill/>
                    </a:ln>
                    <a:extLst>
                      <a:ext uri="{53640926-AAD7-44D8-BBD7-CCE9431645EC}">
                        <a14:shadowObscured xmlns:a14="http://schemas.microsoft.com/office/drawing/2010/main"/>
                      </a:ext>
                    </a:extLst>
                  </pic:spPr>
                </pic:pic>
              </a:graphicData>
            </a:graphic>
          </wp:inline>
        </w:drawing>
      </w:r>
    </w:p>
    <w:p w14:paraId="09EFA04E" w14:textId="77777777" w:rsidR="00F36CF7" w:rsidRPr="00F879FE" w:rsidRDefault="00F36CF7" w:rsidP="00976AA6">
      <w:pPr>
        <w:pStyle w:val="BOACaption"/>
      </w:pPr>
      <w:r w:rsidRPr="00F879FE">
        <w:t xml:space="preserve">Figure </w:t>
      </w:r>
      <w:r>
        <w:t>7</w:t>
      </w:r>
      <w:r w:rsidRPr="00F879FE">
        <w:rPr>
          <w:lang w:eastAsia="ko-KR"/>
        </w:rPr>
        <w:t>.</w:t>
      </w:r>
      <w:r w:rsidRPr="00F879FE">
        <w:t xml:space="preserve"> </w:t>
      </w:r>
      <w:r>
        <w:t>Derivation of the temperature- and conversion-dependent heat production rate based on isothermal DSCs and an adiabatic heat storage test</w:t>
      </w:r>
    </w:p>
    <w:p w14:paraId="73B30DB1" w14:textId="269AEC48" w:rsidR="007B6407" w:rsidRDefault="00766A20" w:rsidP="002D2F6A">
      <w:pPr>
        <w:pStyle w:val="BOAAbstractBody"/>
        <w:rPr>
          <w:rFonts w:eastAsia="MS PGothic"/>
        </w:rPr>
      </w:pPr>
      <w:r w:rsidRPr="00766A20">
        <w:rPr>
          <w:rFonts w:eastAsia="MS PGothic"/>
        </w:rPr>
        <w:t>Based on this empirical kinetic model, the heat balance can be calculated numerically. The calculated adiabatic time-dependent temperature curve starting from 130</w:t>
      </w:r>
      <w:r w:rsidR="009D7A44">
        <w:rPr>
          <w:rFonts w:eastAsia="MS PGothic"/>
        </w:rPr>
        <w:t> </w:t>
      </w:r>
      <w:r w:rsidRPr="00766A20">
        <w:rPr>
          <w:rFonts w:eastAsia="MS PGothic"/>
        </w:rPr>
        <w:t>°C of the thermally unaged nitro</w:t>
      </w:r>
      <w:r w:rsidR="009D7A44">
        <w:rPr>
          <w:rFonts w:eastAsia="MS PGothic"/>
        </w:rPr>
        <w:t xml:space="preserve"> </w:t>
      </w:r>
      <w:r w:rsidRPr="00766A20">
        <w:rPr>
          <w:rFonts w:eastAsia="MS PGothic"/>
        </w:rPr>
        <w:t xml:space="preserve">aromatic compound is shown in Figure 8. </w:t>
      </w:r>
    </w:p>
    <w:p w14:paraId="0D9D16EF" w14:textId="34850D9F" w:rsidR="007B6407" w:rsidRDefault="00766A20" w:rsidP="002D2F6A">
      <w:pPr>
        <w:pStyle w:val="BOAAbstractBody"/>
        <w:rPr>
          <w:rFonts w:eastAsia="MS PGothic"/>
        </w:rPr>
      </w:pPr>
      <w:r w:rsidRPr="00766A20">
        <w:rPr>
          <w:rFonts w:eastAsia="MS PGothic"/>
        </w:rPr>
        <w:t>Without taking autocatalysis into account an adiabatic induction time of approx. 7500</w:t>
      </w:r>
      <w:r w:rsidR="009D7A44">
        <w:rPr>
          <w:rFonts w:eastAsia="MS PGothic"/>
        </w:rPr>
        <w:t> </w:t>
      </w:r>
      <w:r w:rsidRPr="00766A20">
        <w:rPr>
          <w:rFonts w:eastAsia="MS PGothic"/>
        </w:rPr>
        <w:t>hours (blue temperature curve</w:t>
      </w:r>
      <w:r w:rsidR="00976AA6">
        <w:rPr>
          <w:rFonts w:eastAsia="MS PGothic"/>
        </w:rPr>
        <w:t xml:space="preserve"> </w:t>
      </w:r>
      <w:r w:rsidR="00976AA6" w:rsidRPr="00766A20">
        <w:rPr>
          <w:rFonts w:eastAsia="MS PGothic"/>
        </w:rPr>
        <w:t xml:space="preserve">Figure </w:t>
      </w:r>
      <w:r w:rsidR="00D95822">
        <w:rPr>
          <w:rFonts w:eastAsia="MS PGothic"/>
        </w:rPr>
        <w:t>9</w:t>
      </w:r>
      <w:r w:rsidRPr="00766A20">
        <w:rPr>
          <w:rFonts w:eastAsia="MS PGothic"/>
        </w:rPr>
        <w:t>)</w:t>
      </w:r>
      <w:r w:rsidR="009D7A44">
        <w:rPr>
          <w:rFonts w:eastAsia="MS PGothic"/>
        </w:rPr>
        <w:t xml:space="preserve"> is obtained</w:t>
      </w:r>
      <w:r w:rsidRPr="00766A20">
        <w:rPr>
          <w:rFonts w:eastAsia="MS PGothic"/>
        </w:rPr>
        <w:t>. The adiabatic induction time based on the worst-case model results in an adiabatic induction time of 48</w:t>
      </w:r>
      <w:r w:rsidR="009D7A44">
        <w:rPr>
          <w:rFonts w:eastAsia="MS PGothic"/>
        </w:rPr>
        <w:t> </w:t>
      </w:r>
      <w:r w:rsidRPr="00766A20">
        <w:rPr>
          <w:rFonts w:eastAsia="MS PGothic"/>
        </w:rPr>
        <w:t>hours (orange temperature curve). Taking</w:t>
      </w:r>
      <w:r w:rsidR="00B36F17">
        <w:rPr>
          <w:rFonts w:eastAsia="MS PGothic"/>
        </w:rPr>
        <w:t xml:space="preserve"> the dependenc</w:t>
      </w:r>
      <w:r w:rsidR="009D7A44">
        <w:rPr>
          <w:rFonts w:eastAsia="MS PGothic"/>
        </w:rPr>
        <w:t>y</w:t>
      </w:r>
      <w:r w:rsidR="00B36F17">
        <w:rPr>
          <w:rFonts w:eastAsia="MS PGothic"/>
        </w:rPr>
        <w:t xml:space="preserve"> of the </w:t>
      </w:r>
      <w:r w:rsidRPr="00766A20">
        <w:rPr>
          <w:rFonts w:eastAsia="MS PGothic"/>
        </w:rPr>
        <w:t>autocatalysis into account results in an adiabatic induction time of approx. 4300</w:t>
      </w:r>
      <w:r w:rsidR="009D7A44">
        <w:rPr>
          <w:rFonts w:eastAsia="MS PGothic"/>
        </w:rPr>
        <w:t> </w:t>
      </w:r>
      <w:r w:rsidRPr="00766A20">
        <w:rPr>
          <w:rFonts w:eastAsia="MS PGothic"/>
        </w:rPr>
        <w:t xml:space="preserve">hours. </w:t>
      </w:r>
    </w:p>
    <w:p w14:paraId="38EF3A20" w14:textId="6F685391" w:rsidR="00E2020F" w:rsidRPr="00F879FE" w:rsidRDefault="00766A20" w:rsidP="002D2F6A">
      <w:pPr>
        <w:pStyle w:val="BOAAbstractBody"/>
      </w:pPr>
      <w:r w:rsidRPr="00766A20">
        <w:rPr>
          <w:rFonts w:eastAsia="MS PGothic"/>
        </w:rPr>
        <w:t>The safety assessment of the storage of the nitro</w:t>
      </w:r>
      <w:r w:rsidR="009D7A44">
        <w:rPr>
          <w:rFonts w:eastAsia="MS PGothic"/>
        </w:rPr>
        <w:t xml:space="preserve"> </w:t>
      </w:r>
      <w:r w:rsidRPr="00766A20">
        <w:rPr>
          <w:rFonts w:eastAsia="MS PGothic"/>
        </w:rPr>
        <w:t>aromatic compound at 130</w:t>
      </w:r>
      <w:r w:rsidR="009D7A44">
        <w:rPr>
          <w:rFonts w:eastAsia="MS PGothic"/>
        </w:rPr>
        <w:t> </w:t>
      </w:r>
      <w:r w:rsidRPr="00766A20">
        <w:rPr>
          <w:rFonts w:eastAsia="MS PGothic"/>
        </w:rPr>
        <w:t>°C can be carried out on the basis of this adiabatic induction time</w:t>
      </w:r>
      <w:r w:rsidR="00976AA6">
        <w:rPr>
          <w:rFonts w:eastAsia="MS PGothic"/>
        </w:rPr>
        <w:t xml:space="preserve"> of 4300 hours</w:t>
      </w:r>
      <w:r w:rsidRPr="00766A20">
        <w:rPr>
          <w:rFonts w:eastAsia="MS PGothic"/>
        </w:rPr>
        <w:t xml:space="preserve">, e.g. taking into account the maximum residence time in the storage tank. If </w:t>
      </w:r>
      <w:r w:rsidR="00976AA6">
        <w:rPr>
          <w:rFonts w:eastAsia="MS PGothic"/>
        </w:rPr>
        <w:t>thermal aging</w:t>
      </w:r>
      <w:r w:rsidRPr="00766A20">
        <w:rPr>
          <w:rFonts w:eastAsia="MS PGothic"/>
        </w:rPr>
        <w:t xml:space="preserve"> takes place in upstream process steps at elevated temperatures, the adiabatic induction time for subsequent storage is reduced. These possible pre-aging processes</w:t>
      </w:r>
      <w:r w:rsidR="00976AA6">
        <w:rPr>
          <w:rFonts w:eastAsia="MS PGothic"/>
        </w:rPr>
        <w:t xml:space="preserve"> or failure scenario</w:t>
      </w:r>
      <w:r w:rsidR="00A87E6A">
        <w:rPr>
          <w:rFonts w:eastAsia="MS PGothic"/>
        </w:rPr>
        <w:t>s</w:t>
      </w:r>
      <w:r w:rsidRPr="00766A20">
        <w:rPr>
          <w:rFonts w:eastAsia="MS PGothic"/>
        </w:rPr>
        <w:t xml:space="preserve"> should be evaluated in a failure analysis. Based on the model presented, the effect of pre-aging on the adiabatic induction time can be taken into account without further experimental inves</w:t>
      </w:r>
      <w:r w:rsidR="00F36CF7">
        <w:rPr>
          <w:rFonts w:eastAsia="MS PGothic"/>
        </w:rPr>
        <w:t>tigations.</w:t>
      </w:r>
    </w:p>
    <w:p w14:paraId="00522275" w14:textId="413D7D9D" w:rsidR="00E41EE2" w:rsidRPr="00591C6C" w:rsidRDefault="003D258C" w:rsidP="00E41EE2">
      <w:pPr>
        <w:pStyle w:val="BOAemail"/>
        <w:rPr>
          <w:rFonts w:eastAsia="MS PGothic"/>
          <w:color w:val="000000"/>
        </w:rPr>
      </w:pPr>
      <w:r w:rsidRPr="005A239D">
        <w:rPr>
          <w:noProof/>
          <w:lang w:eastAsia="de-DE"/>
        </w:rPr>
        <w:lastRenderedPageBreak/>
        <mc:AlternateContent>
          <mc:Choice Requires="wps">
            <w:drawing>
              <wp:anchor distT="0" distB="0" distL="114300" distR="114300" simplePos="0" relativeHeight="251669504" behindDoc="0" locked="0" layoutInCell="1" allowOverlap="1" wp14:anchorId="17CC9F46" wp14:editId="16F29DDA">
                <wp:simplePos x="0" y="0"/>
                <wp:positionH relativeFrom="margin">
                  <wp:posOffset>1485628</wp:posOffset>
                </wp:positionH>
                <wp:positionV relativeFrom="paragraph">
                  <wp:posOffset>2407285</wp:posOffset>
                </wp:positionV>
                <wp:extent cx="4810125" cy="247650"/>
                <wp:effectExtent l="0" t="0" r="0" b="0"/>
                <wp:wrapNone/>
                <wp:docPr id="2027161509" name="Textfeld 202716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0125" cy="247650"/>
                        </a:xfrm>
                        <a:prstGeom prst="rect">
                          <a:avLst/>
                        </a:prstGeom>
                        <a:noFill/>
                        <a:ln w="6350">
                          <a:noFill/>
                        </a:ln>
                        <a:effectLst/>
                      </wps:spPr>
                      <wps:txbx>
                        <w:txbxContent>
                          <w:p w14:paraId="080D8B35" w14:textId="129E95D0" w:rsidR="003D258C" w:rsidRPr="003D258C" w:rsidRDefault="003D258C" w:rsidP="003D258C">
                            <w:pPr>
                              <w:jc w:val="left"/>
                              <w:rPr>
                                <w:rFonts w:ascii="Times New Roman" w:hAnsi="Times New Roman"/>
                                <w:sz w:val="24"/>
                                <w:szCs w:val="24"/>
                              </w:rPr>
                            </w:pPr>
                            <w:r w:rsidRPr="000E5822">
                              <w:rPr>
                                <w:rFonts w:ascii="Times New Roman" w:hAnsi="Times New Roman"/>
                                <w:sz w:val="16"/>
                              </w:rPr>
                              <w:t xml:space="preserve">          </w:t>
                            </w:r>
                            <w:r>
                              <w:rPr>
                                <w:rFonts w:ascii="Times New Roman" w:hAnsi="Times New Roman"/>
                                <w:sz w:val="16"/>
                              </w:rPr>
                              <w:t xml:space="preserve"> </w:t>
                            </w:r>
                            <w:r w:rsidRPr="003D258C">
                              <w:rPr>
                                <w:rFonts w:ascii="Times New Roman" w:hAnsi="Times New Roman"/>
                                <w:sz w:val="24"/>
                                <w:szCs w:val="24"/>
                              </w:rPr>
                              <w:t>Conversion 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CC9F46" id="Textfeld 2027161509" o:spid="_x0000_s1029" type="#_x0000_t202" style="position:absolute;left:0;text-align:left;margin-left:117pt;margin-top:189.55pt;width:378.75pt;height:1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" filled="f" stroked="f" strokeweight=".5pt">
                <v:textbox>
                  <w:txbxContent>
                    <w:p w14:paraId="080D8B35" w14:textId="129E95D0" w:rsidR="003D258C" w:rsidRPr="003D258C" w:rsidRDefault="003D258C" w:rsidP="003D258C">
                      <w:pPr>
                        <w:jc w:val="left"/>
                        <w:rPr>
                          <w:rFonts w:ascii="Times New Roman" w:hAnsi="Times New Roman"/>
                          <w:sz w:val="24"/>
                          <w:szCs w:val="24"/>
                        </w:rPr>
                      </w:pPr>
                      <w:r w:rsidRPr="000E5822">
                        <w:rPr>
                          <w:rFonts w:ascii="Times New Roman" w:hAnsi="Times New Roman"/>
                          <w:sz w:val="16"/>
                        </w:rPr>
                        <w:t xml:space="preserve">          </w:t>
                      </w:r>
                      <w:r>
                        <w:rPr>
                          <w:rFonts w:ascii="Times New Roman" w:hAnsi="Times New Roman"/>
                          <w:sz w:val="16"/>
                        </w:rPr>
                        <w:t xml:space="preserve"> </w:t>
                      </w:r>
                      <w:r w:rsidRPr="003D258C">
                        <w:rPr>
                          <w:rFonts w:ascii="Times New Roman" w:hAnsi="Times New Roman"/>
                          <w:sz w:val="24"/>
                          <w:szCs w:val="24"/>
                        </w:rPr>
                        <w:t>Conversion 0 %</w:t>
                      </w:r>
                    </w:p>
                  </w:txbxContent>
                </v:textbox>
                <w10:wrap anchorx="margin"/>
              </v:shape>
            </w:pict>
          </mc:Fallback>
        </mc:AlternateContent>
      </w:r>
      <w:r w:rsidRPr="005A239D">
        <w:rPr>
          <w:noProof/>
          <w:lang w:eastAsia="de-DE"/>
        </w:rPr>
        <mc:AlternateContent>
          <mc:Choice Requires="wps">
            <w:drawing>
              <wp:anchor distT="0" distB="0" distL="114300" distR="114300" simplePos="0" relativeHeight="251667456" behindDoc="0" locked="0" layoutInCell="1" allowOverlap="1" wp14:anchorId="3D3769E1" wp14:editId="246C75AC">
                <wp:simplePos x="0" y="0"/>
                <wp:positionH relativeFrom="margin">
                  <wp:posOffset>506730</wp:posOffset>
                </wp:positionH>
                <wp:positionV relativeFrom="paragraph">
                  <wp:posOffset>1241425</wp:posOffset>
                </wp:positionV>
                <wp:extent cx="4810125" cy="247650"/>
                <wp:effectExtent l="0" t="0" r="0" b="0"/>
                <wp:wrapNone/>
                <wp:docPr id="180583308" name="Textfeld 18058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0125" cy="247650"/>
                        </a:xfrm>
                        <a:prstGeom prst="rect">
                          <a:avLst/>
                        </a:prstGeom>
                        <a:noFill/>
                        <a:ln w="6350">
                          <a:noFill/>
                        </a:ln>
                        <a:effectLst/>
                      </wps:spPr>
                      <wps:txbx>
                        <w:txbxContent>
                          <w:p w14:paraId="531A789B" w14:textId="36C7F1CE" w:rsidR="003D258C" w:rsidRPr="003D258C" w:rsidRDefault="003D258C" w:rsidP="003D258C">
                            <w:pPr>
                              <w:jc w:val="left"/>
                              <w:rPr>
                                <w:rFonts w:ascii="Times New Roman" w:hAnsi="Times New Roman"/>
                                <w:sz w:val="24"/>
                                <w:szCs w:val="24"/>
                              </w:rPr>
                            </w:pPr>
                            <w:r w:rsidRPr="003D258C">
                              <w:rPr>
                                <w:rFonts w:ascii="Times New Roman" w:hAnsi="Times New Roman"/>
                                <w:sz w:val="24"/>
                                <w:szCs w:val="24"/>
                              </w:rPr>
                              <w:t xml:space="preserve">           Conversion 100 %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3769E1" id="Textfeld 180583308" o:spid="_x0000_s1030" type="#_x0000_t202" style="position:absolute;left:0;text-align:left;margin-left:39.9pt;margin-top:97.75pt;width:378.75pt;height:1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" filled="f" stroked="f" strokeweight=".5pt">
                <v:textbox>
                  <w:txbxContent>
                    <w:p w14:paraId="531A789B" w14:textId="36C7F1CE" w:rsidR="003D258C" w:rsidRPr="003D258C" w:rsidRDefault="003D258C" w:rsidP="003D258C">
                      <w:pPr>
                        <w:jc w:val="left"/>
                        <w:rPr>
                          <w:rFonts w:ascii="Times New Roman" w:hAnsi="Times New Roman"/>
                          <w:sz w:val="24"/>
                          <w:szCs w:val="24"/>
                        </w:rPr>
                      </w:pPr>
                      <w:r w:rsidRPr="003D258C">
                        <w:rPr>
                          <w:rFonts w:ascii="Times New Roman" w:hAnsi="Times New Roman"/>
                          <w:sz w:val="24"/>
                          <w:szCs w:val="24"/>
                        </w:rPr>
                        <w:t xml:space="preserve">           Conversion 100 %</w:t>
                      </w:r>
                    </w:p>
                  </w:txbxContent>
                </v:textbox>
                <w10:wrap anchorx="margin"/>
              </v:shape>
            </w:pict>
          </mc:Fallback>
        </mc:AlternateContent>
      </w:r>
      <w:r w:rsidR="00D30DF8" w:rsidRPr="005A239D">
        <w:rPr>
          <w:noProof/>
          <w:lang w:eastAsia="de-DE"/>
        </w:rPr>
        <mc:AlternateContent>
          <mc:Choice Requires="wps">
            <w:drawing>
              <wp:anchor distT="0" distB="0" distL="114300" distR="114300" simplePos="0" relativeHeight="251661312" behindDoc="0" locked="0" layoutInCell="1" allowOverlap="1" wp14:anchorId="18DD2F56" wp14:editId="3E5AF1E0">
                <wp:simplePos x="0" y="0"/>
                <wp:positionH relativeFrom="column">
                  <wp:posOffset>300990</wp:posOffset>
                </wp:positionH>
                <wp:positionV relativeFrom="paragraph">
                  <wp:posOffset>2948305</wp:posOffset>
                </wp:positionV>
                <wp:extent cx="4810125" cy="247650"/>
                <wp:effectExtent l="0" t="0" r="0" b="0"/>
                <wp:wrapNone/>
                <wp:docPr id="2089539501" name="Textfeld 2089539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0125" cy="247650"/>
                        </a:xfrm>
                        <a:prstGeom prst="rect">
                          <a:avLst/>
                        </a:prstGeom>
                        <a:noFill/>
                        <a:ln w="6350">
                          <a:noFill/>
                        </a:ln>
                        <a:effectLst/>
                      </wps:spPr>
                      <wps:txbx>
                        <w:txbxContent>
                          <w:p w14:paraId="48A00DAD" w14:textId="3C4F4539" w:rsidR="00D30DF8" w:rsidRPr="000E5822" w:rsidRDefault="00D30DF8" w:rsidP="00D30DF8">
                            <w:pPr>
                              <w:jc w:val="left"/>
                              <w:rPr>
                                <w:rFonts w:ascii="Times New Roman" w:hAnsi="Times New Roman"/>
                                <w:sz w:val="16"/>
                              </w:rPr>
                            </w:pPr>
                            <w:r w:rsidRPr="000E5822">
                              <w:rPr>
                                <w:rFonts w:ascii="Times New Roman" w:hAnsi="Times New Roman"/>
                                <w:sz w:val="16"/>
                              </w:rPr>
                              <w:t xml:space="preserve">          </w:t>
                            </w:r>
                            <w:r>
                              <w:rPr>
                                <w:rFonts w:ascii="Times New Roman" w:hAnsi="Times New Roman"/>
                                <w:sz w:val="16"/>
                              </w:rPr>
                              <w:t xml:space="preserve"> 130</w:t>
                            </w:r>
                            <w:r w:rsidRPr="000E5822">
                              <w:rPr>
                                <w:rFonts w:ascii="Times New Roman" w:hAnsi="Times New Roman"/>
                                <w:sz w:val="16"/>
                              </w:rPr>
                              <w:t xml:space="preserve"> °C    </w:t>
                            </w:r>
                            <w:r>
                              <w:rPr>
                                <w:rFonts w:ascii="Times New Roman" w:hAnsi="Times New Roman"/>
                                <w:sz w:val="16"/>
                              </w:rPr>
                              <w:t xml:space="preserve"> </w:t>
                            </w:r>
                            <w:r w:rsidRPr="000E5822">
                              <w:rPr>
                                <w:rFonts w:ascii="Times New Roman" w:hAnsi="Times New Roman"/>
                                <w:sz w:val="16"/>
                              </w:rPr>
                              <w:t xml:space="preserve">    </w:t>
                            </w:r>
                            <w:r>
                              <w:rPr>
                                <w:rFonts w:ascii="Times New Roman" w:hAnsi="Times New Roman"/>
                                <w:sz w:val="16"/>
                              </w:rPr>
                              <w:t xml:space="preserve">    </w:t>
                            </w:r>
                            <w:r w:rsidRPr="000E5822">
                              <w:rPr>
                                <w:rFonts w:ascii="Times New Roman" w:hAnsi="Times New Roman"/>
                                <w:sz w:val="16"/>
                              </w:rPr>
                              <w:t xml:space="preserve"> </w:t>
                            </w:r>
                            <w:r>
                              <w:rPr>
                                <w:rFonts w:ascii="Times New Roman" w:hAnsi="Times New Roman"/>
                                <w:sz w:val="16"/>
                              </w:rPr>
                              <w:t>150</w:t>
                            </w:r>
                            <w:r w:rsidRPr="000E5822">
                              <w:rPr>
                                <w:rFonts w:ascii="Times New Roman" w:hAnsi="Times New Roman"/>
                                <w:sz w:val="16"/>
                              </w:rPr>
                              <w:t xml:space="preserve"> °C           </w:t>
                            </w:r>
                            <w:r>
                              <w:rPr>
                                <w:rFonts w:ascii="Times New Roman" w:hAnsi="Times New Roman"/>
                                <w:sz w:val="16"/>
                              </w:rPr>
                              <w:t xml:space="preserve"> </w:t>
                            </w:r>
                            <w:r w:rsidR="00954C74">
                              <w:rPr>
                                <w:rFonts w:ascii="Times New Roman" w:hAnsi="Times New Roman"/>
                                <w:sz w:val="16"/>
                              </w:rPr>
                              <w:t>17</w:t>
                            </w:r>
                            <w:r>
                              <w:rPr>
                                <w:rFonts w:ascii="Times New Roman" w:hAnsi="Times New Roman"/>
                                <w:sz w:val="16"/>
                              </w:rPr>
                              <w:t>0</w:t>
                            </w:r>
                            <w:r w:rsidRPr="000E5822">
                              <w:rPr>
                                <w:rFonts w:ascii="Times New Roman" w:hAnsi="Times New Roman"/>
                                <w:sz w:val="16"/>
                              </w:rPr>
                              <w:t xml:space="preserve"> °C       </w:t>
                            </w:r>
                            <w:r>
                              <w:rPr>
                                <w:rFonts w:ascii="Times New Roman" w:hAnsi="Times New Roman"/>
                                <w:sz w:val="16"/>
                              </w:rPr>
                              <w:t xml:space="preserve"> </w:t>
                            </w:r>
                            <w:r w:rsidRPr="000E5822">
                              <w:rPr>
                                <w:rFonts w:ascii="Times New Roman" w:hAnsi="Times New Roman"/>
                                <w:sz w:val="16"/>
                              </w:rPr>
                              <w:t xml:space="preserve"> </w:t>
                            </w:r>
                            <w:r>
                              <w:rPr>
                                <w:rFonts w:ascii="Times New Roman" w:hAnsi="Times New Roman"/>
                                <w:sz w:val="16"/>
                              </w:rPr>
                              <w:t xml:space="preserve"> </w:t>
                            </w:r>
                            <w:r w:rsidRPr="000E5822">
                              <w:rPr>
                                <w:rFonts w:ascii="Times New Roman" w:hAnsi="Times New Roman"/>
                                <w:sz w:val="16"/>
                              </w:rPr>
                              <w:t xml:space="preserve"> </w:t>
                            </w:r>
                            <w:r w:rsidR="00954C74">
                              <w:rPr>
                                <w:rFonts w:ascii="Times New Roman" w:hAnsi="Times New Roman"/>
                                <w:sz w:val="16"/>
                              </w:rPr>
                              <w:t>190</w:t>
                            </w:r>
                            <w:r w:rsidRPr="000E5822">
                              <w:rPr>
                                <w:rFonts w:ascii="Times New Roman" w:hAnsi="Times New Roman"/>
                                <w:sz w:val="16"/>
                              </w:rPr>
                              <w:t xml:space="preserve"> °C     </w:t>
                            </w:r>
                            <w:r>
                              <w:rPr>
                                <w:rFonts w:ascii="Times New Roman" w:hAnsi="Times New Roman"/>
                                <w:sz w:val="16"/>
                              </w:rPr>
                              <w:t xml:space="preserve">  </w:t>
                            </w:r>
                            <w:r w:rsidRPr="000E5822">
                              <w:rPr>
                                <w:rFonts w:ascii="Times New Roman" w:hAnsi="Times New Roman"/>
                                <w:sz w:val="16"/>
                              </w:rPr>
                              <w:t xml:space="preserve"> </w:t>
                            </w:r>
                            <w:r w:rsidR="00954C74">
                              <w:rPr>
                                <w:rFonts w:ascii="Times New Roman" w:hAnsi="Times New Roman"/>
                                <w:sz w:val="16"/>
                              </w:rPr>
                              <w:t>21</w:t>
                            </w:r>
                            <w:r>
                              <w:rPr>
                                <w:rFonts w:ascii="Times New Roman" w:hAnsi="Times New Roman"/>
                                <w:sz w:val="16"/>
                              </w:rPr>
                              <w:t>0</w:t>
                            </w:r>
                            <w:r w:rsidRPr="000E5822">
                              <w:rPr>
                                <w:rFonts w:ascii="Times New Roman" w:hAnsi="Times New Roman"/>
                                <w:sz w:val="16"/>
                              </w:rPr>
                              <w:t xml:space="preserve"> °C   </w:t>
                            </w:r>
                            <w:r>
                              <w:rPr>
                                <w:rFonts w:ascii="Times New Roman" w:hAnsi="Times New Roman"/>
                                <w:sz w:val="16"/>
                              </w:rPr>
                              <w:t xml:space="preserve">  </w:t>
                            </w:r>
                            <w:r w:rsidRPr="000E5822">
                              <w:rPr>
                                <w:rFonts w:ascii="Times New Roman" w:hAnsi="Times New Roman"/>
                                <w:sz w:val="16"/>
                              </w:rPr>
                              <w:t xml:space="preserve"> </w:t>
                            </w:r>
                            <w:r w:rsidR="00954C74">
                              <w:rPr>
                                <w:rFonts w:ascii="Times New Roman" w:hAnsi="Times New Roman"/>
                                <w:sz w:val="16"/>
                              </w:rPr>
                              <w:t xml:space="preserve">  230</w:t>
                            </w:r>
                            <w:r w:rsidRPr="000E5822">
                              <w:rPr>
                                <w:rFonts w:ascii="Times New Roman" w:hAnsi="Times New Roman"/>
                                <w:sz w:val="16"/>
                              </w:rPr>
                              <w:t xml:space="preserve"> °C </w:t>
                            </w:r>
                            <w:r>
                              <w:rPr>
                                <w:rFonts w:ascii="Times New Roman" w:hAnsi="Times New Roman"/>
                                <w:sz w:val="16"/>
                              </w:rPr>
                              <w:t xml:space="preserve">    </w:t>
                            </w:r>
                            <w:r w:rsidR="00954C74">
                              <w:rPr>
                                <w:rFonts w:ascii="Times New Roman" w:hAnsi="Times New Roman"/>
                                <w:sz w:val="16"/>
                              </w:rPr>
                              <w:t>2</w:t>
                            </w:r>
                            <w:r>
                              <w:rPr>
                                <w:rFonts w:ascii="Times New Roman" w:hAnsi="Times New Roman"/>
                                <w:sz w:val="16"/>
                              </w:rPr>
                              <w:t>50</w:t>
                            </w:r>
                            <w:r w:rsidRPr="000E5822">
                              <w:rPr>
                                <w:rFonts w:ascii="Times New Roman" w:hAnsi="Times New Roman"/>
                                <w:sz w:val="16"/>
                              </w:rPr>
                              <w:t> °</w:t>
                            </w:r>
                            <w:r>
                              <w:rPr>
                                <w:rFonts w:ascii="Times New Roman" w:hAnsi="Times New Roman"/>
                                <w:sz w:val="16"/>
                              </w:rPr>
                              <w:t xml:space="preserve">C     </w:t>
                            </w:r>
                            <w:r w:rsidR="00954C74">
                              <w:rPr>
                                <w:rFonts w:ascii="Times New Roman" w:hAnsi="Times New Roman"/>
                                <w:sz w:val="16"/>
                              </w:rPr>
                              <w:t>270</w:t>
                            </w:r>
                            <w:r w:rsidRPr="000E5822">
                              <w:rPr>
                                <w:rFonts w:ascii="Times New Roman" w:hAnsi="Times New Roman"/>
                                <w:sz w:val="16"/>
                              </w:rPr>
                              <w:t> °</w:t>
                            </w:r>
                            <w:r>
                              <w:rPr>
                                <w:rFonts w:ascii="Times New Roman" w:hAnsi="Times New Roman"/>
                                <w:sz w:val="16"/>
                              </w:rPr>
                              <w:t>C</w:t>
                            </w:r>
                            <w:r w:rsidR="00954C74">
                              <w:rPr>
                                <w:rFonts w:ascii="Times New Roman" w:hAnsi="Times New Roman"/>
                                <w:sz w:val="16"/>
                              </w:rPr>
                              <w:t xml:space="preserve">      290</w:t>
                            </w:r>
                            <w:r w:rsidR="00954C74" w:rsidRPr="000E5822">
                              <w:rPr>
                                <w:rFonts w:ascii="Times New Roman" w:hAnsi="Times New Roman"/>
                                <w:sz w:val="16"/>
                              </w:rPr>
                              <w:t> °</w:t>
                            </w:r>
                            <w:r w:rsidR="00954C74">
                              <w:rPr>
                                <w:rFonts w:ascii="Times New Roman" w:hAnsi="Times New Roman"/>
                                <w:sz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DD2F56" id="Textfeld 2089539501" o:spid="_x0000_s1031" type="#_x0000_t202" style="position:absolute;left:0;text-align:left;margin-left:23.7pt;margin-top:232.15pt;width:378.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" filled="f" stroked="f" strokeweight=".5pt">
                <v:textbox>
                  <w:txbxContent>
                    <w:p w14:paraId="48A00DAD" w14:textId="3C4F4539" w:rsidR="00D30DF8" w:rsidRPr="000E5822" w:rsidRDefault="00D30DF8" w:rsidP="00D30DF8">
                      <w:pPr>
                        <w:jc w:val="left"/>
                        <w:rPr>
                          <w:rFonts w:ascii="Times New Roman" w:hAnsi="Times New Roman"/>
                          <w:sz w:val="16"/>
                        </w:rPr>
                      </w:pPr>
                      <w:r w:rsidRPr="000E5822">
                        <w:rPr>
                          <w:rFonts w:ascii="Times New Roman" w:hAnsi="Times New Roman"/>
                          <w:sz w:val="16"/>
                        </w:rPr>
                        <w:t xml:space="preserve">          </w:t>
                      </w:r>
                      <w:r>
                        <w:rPr>
                          <w:rFonts w:ascii="Times New Roman" w:hAnsi="Times New Roman"/>
                          <w:sz w:val="16"/>
                        </w:rPr>
                        <w:t xml:space="preserve"> 130</w:t>
                      </w:r>
                      <w:r w:rsidRPr="000E5822">
                        <w:rPr>
                          <w:rFonts w:ascii="Times New Roman" w:hAnsi="Times New Roman"/>
                          <w:sz w:val="16"/>
                        </w:rPr>
                        <w:t xml:space="preserve"> °C    </w:t>
                      </w:r>
                      <w:r>
                        <w:rPr>
                          <w:rFonts w:ascii="Times New Roman" w:hAnsi="Times New Roman"/>
                          <w:sz w:val="16"/>
                        </w:rPr>
                        <w:t xml:space="preserve"> </w:t>
                      </w:r>
                      <w:r w:rsidRPr="000E5822">
                        <w:rPr>
                          <w:rFonts w:ascii="Times New Roman" w:hAnsi="Times New Roman"/>
                          <w:sz w:val="16"/>
                        </w:rPr>
                        <w:t xml:space="preserve">    </w:t>
                      </w:r>
                      <w:r>
                        <w:rPr>
                          <w:rFonts w:ascii="Times New Roman" w:hAnsi="Times New Roman"/>
                          <w:sz w:val="16"/>
                        </w:rPr>
                        <w:t xml:space="preserve">    </w:t>
                      </w:r>
                      <w:r w:rsidRPr="000E5822">
                        <w:rPr>
                          <w:rFonts w:ascii="Times New Roman" w:hAnsi="Times New Roman"/>
                          <w:sz w:val="16"/>
                        </w:rPr>
                        <w:t xml:space="preserve"> </w:t>
                      </w:r>
                      <w:r>
                        <w:rPr>
                          <w:rFonts w:ascii="Times New Roman" w:hAnsi="Times New Roman"/>
                          <w:sz w:val="16"/>
                        </w:rPr>
                        <w:t>150</w:t>
                      </w:r>
                      <w:r w:rsidRPr="000E5822">
                        <w:rPr>
                          <w:rFonts w:ascii="Times New Roman" w:hAnsi="Times New Roman"/>
                          <w:sz w:val="16"/>
                        </w:rPr>
                        <w:t xml:space="preserve"> °C           </w:t>
                      </w:r>
                      <w:r>
                        <w:rPr>
                          <w:rFonts w:ascii="Times New Roman" w:hAnsi="Times New Roman"/>
                          <w:sz w:val="16"/>
                        </w:rPr>
                        <w:t xml:space="preserve"> </w:t>
                      </w:r>
                      <w:r w:rsidR="00954C74">
                        <w:rPr>
                          <w:rFonts w:ascii="Times New Roman" w:hAnsi="Times New Roman"/>
                          <w:sz w:val="16"/>
                        </w:rPr>
                        <w:t>17</w:t>
                      </w:r>
                      <w:r>
                        <w:rPr>
                          <w:rFonts w:ascii="Times New Roman" w:hAnsi="Times New Roman"/>
                          <w:sz w:val="16"/>
                        </w:rPr>
                        <w:t>0</w:t>
                      </w:r>
                      <w:r w:rsidRPr="000E5822">
                        <w:rPr>
                          <w:rFonts w:ascii="Times New Roman" w:hAnsi="Times New Roman"/>
                          <w:sz w:val="16"/>
                        </w:rPr>
                        <w:t xml:space="preserve"> °C       </w:t>
                      </w:r>
                      <w:r>
                        <w:rPr>
                          <w:rFonts w:ascii="Times New Roman" w:hAnsi="Times New Roman"/>
                          <w:sz w:val="16"/>
                        </w:rPr>
                        <w:t xml:space="preserve"> </w:t>
                      </w:r>
                      <w:r w:rsidRPr="000E5822">
                        <w:rPr>
                          <w:rFonts w:ascii="Times New Roman" w:hAnsi="Times New Roman"/>
                          <w:sz w:val="16"/>
                        </w:rPr>
                        <w:t xml:space="preserve"> </w:t>
                      </w:r>
                      <w:r>
                        <w:rPr>
                          <w:rFonts w:ascii="Times New Roman" w:hAnsi="Times New Roman"/>
                          <w:sz w:val="16"/>
                        </w:rPr>
                        <w:t xml:space="preserve"> </w:t>
                      </w:r>
                      <w:r w:rsidRPr="000E5822">
                        <w:rPr>
                          <w:rFonts w:ascii="Times New Roman" w:hAnsi="Times New Roman"/>
                          <w:sz w:val="16"/>
                        </w:rPr>
                        <w:t xml:space="preserve"> </w:t>
                      </w:r>
                      <w:r w:rsidR="00954C74">
                        <w:rPr>
                          <w:rFonts w:ascii="Times New Roman" w:hAnsi="Times New Roman"/>
                          <w:sz w:val="16"/>
                        </w:rPr>
                        <w:t>190</w:t>
                      </w:r>
                      <w:r w:rsidRPr="000E5822">
                        <w:rPr>
                          <w:rFonts w:ascii="Times New Roman" w:hAnsi="Times New Roman"/>
                          <w:sz w:val="16"/>
                        </w:rPr>
                        <w:t xml:space="preserve"> °C     </w:t>
                      </w:r>
                      <w:r>
                        <w:rPr>
                          <w:rFonts w:ascii="Times New Roman" w:hAnsi="Times New Roman"/>
                          <w:sz w:val="16"/>
                        </w:rPr>
                        <w:t xml:space="preserve">  </w:t>
                      </w:r>
                      <w:r w:rsidRPr="000E5822">
                        <w:rPr>
                          <w:rFonts w:ascii="Times New Roman" w:hAnsi="Times New Roman"/>
                          <w:sz w:val="16"/>
                        </w:rPr>
                        <w:t xml:space="preserve"> </w:t>
                      </w:r>
                      <w:r w:rsidR="00954C74">
                        <w:rPr>
                          <w:rFonts w:ascii="Times New Roman" w:hAnsi="Times New Roman"/>
                          <w:sz w:val="16"/>
                        </w:rPr>
                        <w:t>21</w:t>
                      </w:r>
                      <w:r>
                        <w:rPr>
                          <w:rFonts w:ascii="Times New Roman" w:hAnsi="Times New Roman"/>
                          <w:sz w:val="16"/>
                        </w:rPr>
                        <w:t>0</w:t>
                      </w:r>
                      <w:r w:rsidRPr="000E5822">
                        <w:rPr>
                          <w:rFonts w:ascii="Times New Roman" w:hAnsi="Times New Roman"/>
                          <w:sz w:val="16"/>
                        </w:rPr>
                        <w:t xml:space="preserve"> °C   </w:t>
                      </w:r>
                      <w:r>
                        <w:rPr>
                          <w:rFonts w:ascii="Times New Roman" w:hAnsi="Times New Roman"/>
                          <w:sz w:val="16"/>
                        </w:rPr>
                        <w:t xml:space="preserve">  </w:t>
                      </w:r>
                      <w:r w:rsidRPr="000E5822">
                        <w:rPr>
                          <w:rFonts w:ascii="Times New Roman" w:hAnsi="Times New Roman"/>
                          <w:sz w:val="16"/>
                        </w:rPr>
                        <w:t xml:space="preserve"> </w:t>
                      </w:r>
                      <w:r w:rsidR="00954C74">
                        <w:rPr>
                          <w:rFonts w:ascii="Times New Roman" w:hAnsi="Times New Roman"/>
                          <w:sz w:val="16"/>
                        </w:rPr>
                        <w:t xml:space="preserve">  230</w:t>
                      </w:r>
                      <w:r w:rsidRPr="000E5822">
                        <w:rPr>
                          <w:rFonts w:ascii="Times New Roman" w:hAnsi="Times New Roman"/>
                          <w:sz w:val="16"/>
                        </w:rPr>
                        <w:t xml:space="preserve"> °C </w:t>
                      </w:r>
                      <w:r>
                        <w:rPr>
                          <w:rFonts w:ascii="Times New Roman" w:hAnsi="Times New Roman"/>
                          <w:sz w:val="16"/>
                        </w:rPr>
                        <w:t xml:space="preserve">    </w:t>
                      </w:r>
                      <w:r w:rsidR="00954C74">
                        <w:rPr>
                          <w:rFonts w:ascii="Times New Roman" w:hAnsi="Times New Roman"/>
                          <w:sz w:val="16"/>
                        </w:rPr>
                        <w:t>2</w:t>
                      </w:r>
                      <w:r>
                        <w:rPr>
                          <w:rFonts w:ascii="Times New Roman" w:hAnsi="Times New Roman"/>
                          <w:sz w:val="16"/>
                        </w:rPr>
                        <w:t>50</w:t>
                      </w:r>
                      <w:r w:rsidRPr="000E5822">
                        <w:rPr>
                          <w:rFonts w:ascii="Times New Roman" w:hAnsi="Times New Roman"/>
                          <w:sz w:val="16"/>
                        </w:rPr>
                        <w:t> °</w:t>
                      </w:r>
                      <w:r>
                        <w:rPr>
                          <w:rFonts w:ascii="Times New Roman" w:hAnsi="Times New Roman"/>
                          <w:sz w:val="16"/>
                        </w:rPr>
                        <w:t xml:space="preserve">C     </w:t>
                      </w:r>
                      <w:r w:rsidR="00954C74">
                        <w:rPr>
                          <w:rFonts w:ascii="Times New Roman" w:hAnsi="Times New Roman"/>
                          <w:sz w:val="16"/>
                        </w:rPr>
                        <w:t>270</w:t>
                      </w:r>
                      <w:r w:rsidRPr="000E5822">
                        <w:rPr>
                          <w:rFonts w:ascii="Times New Roman" w:hAnsi="Times New Roman"/>
                          <w:sz w:val="16"/>
                        </w:rPr>
                        <w:t> °</w:t>
                      </w:r>
                      <w:r>
                        <w:rPr>
                          <w:rFonts w:ascii="Times New Roman" w:hAnsi="Times New Roman"/>
                          <w:sz w:val="16"/>
                        </w:rPr>
                        <w:t>C</w:t>
                      </w:r>
                      <w:r w:rsidR="00954C74">
                        <w:rPr>
                          <w:rFonts w:ascii="Times New Roman" w:hAnsi="Times New Roman"/>
                          <w:sz w:val="16"/>
                        </w:rPr>
                        <w:t xml:space="preserve">      290</w:t>
                      </w:r>
                      <w:r w:rsidR="00954C74" w:rsidRPr="000E5822">
                        <w:rPr>
                          <w:rFonts w:ascii="Times New Roman" w:hAnsi="Times New Roman"/>
                          <w:sz w:val="16"/>
                        </w:rPr>
                        <w:t> °</w:t>
                      </w:r>
                      <w:r w:rsidR="00954C74">
                        <w:rPr>
                          <w:rFonts w:ascii="Times New Roman" w:hAnsi="Times New Roman"/>
                          <w:sz w:val="16"/>
                        </w:rPr>
                        <w:t>C</w:t>
                      </w:r>
                    </w:p>
                  </w:txbxContent>
                </v:textbox>
              </v:shape>
            </w:pict>
          </mc:Fallback>
        </mc:AlternateContent>
      </w:r>
      <w:r w:rsidR="00D30DF8" w:rsidRPr="00D30DF8">
        <w:rPr>
          <w:noProof/>
        </w:rPr>
        <w:drawing>
          <wp:inline distT="0" distB="0" distL="0" distR="0" wp14:anchorId="212D2195" wp14:editId="41FDFE35">
            <wp:extent cx="5579745" cy="3603625"/>
            <wp:effectExtent l="0" t="0" r="8255" b="0"/>
            <wp:docPr id="15720944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94460" name=""/>
                    <pic:cNvPicPr/>
                  </pic:nvPicPr>
                  <pic:blipFill>
                    <a:blip r:embed="rId16"/>
                    <a:stretch>
                      <a:fillRect/>
                    </a:stretch>
                  </pic:blipFill>
                  <pic:spPr>
                    <a:xfrm>
                      <a:off x="0" y="0"/>
                      <a:ext cx="5579745" cy="3603625"/>
                    </a:xfrm>
                    <a:prstGeom prst="rect">
                      <a:avLst/>
                    </a:prstGeom>
                  </pic:spPr>
                </pic:pic>
              </a:graphicData>
            </a:graphic>
          </wp:inline>
        </w:drawing>
      </w:r>
    </w:p>
    <w:p w14:paraId="6A008E69" w14:textId="105AD478" w:rsidR="00976AA6" w:rsidRDefault="00E41EE2" w:rsidP="00976AA6">
      <w:pPr>
        <w:pStyle w:val="BOACaption"/>
      </w:pPr>
      <w:r w:rsidRPr="00F879FE">
        <w:t xml:space="preserve">Figure </w:t>
      </w:r>
      <w:r w:rsidR="00732A81">
        <w:t>8</w:t>
      </w:r>
      <w:r w:rsidRPr="00F879FE">
        <w:rPr>
          <w:lang w:eastAsia="ko-KR"/>
        </w:rPr>
        <w:t>.</w:t>
      </w:r>
      <w:r w:rsidRPr="00F879FE">
        <w:t xml:space="preserve"> </w:t>
      </w:r>
      <w:r w:rsidR="00D30DF8" w:rsidRPr="00D30DF8">
        <w:t>Arrhenius plots used in the simulation for 0 % conversion</w:t>
      </w:r>
      <w:r w:rsidR="00D30DF8">
        <w:t xml:space="preserve"> based on adiabatic testing</w:t>
      </w:r>
      <w:r w:rsidR="00D30DF8" w:rsidRPr="00D30DF8">
        <w:t xml:space="preserve"> and maximum autocatalytic effect</w:t>
      </w:r>
      <w:r w:rsidR="00D30DF8">
        <w:t xml:space="preserve"> based on isothermal DSCs. The conversion dependency of the heat production rate is described by a simple linear extrapolation at specific temperature between these Arrhenius plots (see explanation </w:t>
      </w:r>
      <w:r w:rsidR="00A87E6A">
        <w:t>F</w:t>
      </w:r>
      <w:r w:rsidR="00D30DF8">
        <w:t>igure 4)</w:t>
      </w:r>
    </w:p>
    <w:p w14:paraId="4FC67B83" w14:textId="0E068F1F" w:rsidR="0005278B" w:rsidRPr="00591C6C" w:rsidRDefault="00976AA6" w:rsidP="00EA1F70">
      <w:pPr>
        <w:tabs>
          <w:tab w:val="clear" w:pos="7100"/>
        </w:tabs>
        <w:spacing w:after="200" w:line="276" w:lineRule="auto"/>
        <w:jc w:val="left"/>
        <w:rPr>
          <w:rFonts w:eastAsia="MS PGothic"/>
          <w:color w:val="000000"/>
        </w:rPr>
      </w:pPr>
      <w:r>
        <w:rPr>
          <w:noProof/>
        </w:rPr>
        <mc:AlternateContent>
          <mc:Choice Requires="wps">
            <w:drawing>
              <wp:anchor distT="0" distB="0" distL="114300" distR="114300" simplePos="0" relativeHeight="251692032" behindDoc="0" locked="0" layoutInCell="1" allowOverlap="1" wp14:anchorId="2CAD4B97" wp14:editId="6CFBD444">
                <wp:simplePos x="0" y="0"/>
                <wp:positionH relativeFrom="margin">
                  <wp:align>left</wp:align>
                </wp:positionH>
                <wp:positionV relativeFrom="paragraph">
                  <wp:posOffset>2719523</wp:posOffset>
                </wp:positionV>
                <wp:extent cx="1932214" cy="176076"/>
                <wp:effectExtent l="0" t="0" r="11430" b="14605"/>
                <wp:wrapNone/>
                <wp:docPr id="1097332693" name="Rechteck 6"/>
                <wp:cNvGraphicFramePr/>
                <a:graphic xmlns:a="http://schemas.openxmlformats.org/drawingml/2006/main">
                  <a:graphicData uri="http://schemas.microsoft.com/office/word/2010/wordprocessingShape">
                    <wps:wsp>
                      <wps:cNvSpPr/>
                      <wps:spPr>
                        <a:xfrm>
                          <a:off x="0" y="0"/>
                          <a:ext cx="1932214" cy="17607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FE8E0" id="Rechteck 6" o:spid="_x0000_s1026" style="position:absolute;margin-left:0;margin-top:214.15pt;width:152.15pt;height:13.8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" fillcolor="white [3212]" strokecolor="white [3212]" strokeweight="2pt">
                <w10:wrap anchorx="margin"/>
              </v:rect>
            </w:pict>
          </mc:Fallback>
        </mc:AlternateContent>
      </w:r>
      <w:r w:rsidR="00AA7E4B" w:rsidRPr="00AA7E4B">
        <w:rPr>
          <w:noProof/>
        </w:rPr>
        <w:drawing>
          <wp:inline distT="0" distB="0" distL="0" distR="0" wp14:anchorId="7C5B9096" wp14:editId="2CAFCFBD">
            <wp:extent cx="5568043" cy="2897765"/>
            <wp:effectExtent l="0" t="0" r="0" b="0"/>
            <wp:docPr id="15774026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02600" name=""/>
                    <pic:cNvPicPr/>
                  </pic:nvPicPr>
                  <pic:blipFill>
                    <a:blip r:embed="rId17"/>
                    <a:stretch>
                      <a:fillRect/>
                    </a:stretch>
                  </pic:blipFill>
                  <pic:spPr>
                    <a:xfrm>
                      <a:off x="0" y="0"/>
                      <a:ext cx="5597587" cy="2913140"/>
                    </a:xfrm>
                    <a:prstGeom prst="rect">
                      <a:avLst/>
                    </a:prstGeom>
                  </pic:spPr>
                </pic:pic>
              </a:graphicData>
            </a:graphic>
          </wp:inline>
        </w:drawing>
      </w:r>
    </w:p>
    <w:p w14:paraId="0C7D2483" w14:textId="3BFAD2EA" w:rsidR="0005278B" w:rsidRDefault="0005278B" w:rsidP="00976AA6">
      <w:pPr>
        <w:pStyle w:val="BOACaption"/>
      </w:pPr>
      <w:r w:rsidRPr="00F879FE">
        <w:t xml:space="preserve">Figure </w:t>
      </w:r>
      <w:r w:rsidR="003065A7">
        <w:t>9</w:t>
      </w:r>
      <w:r w:rsidRPr="00F879FE">
        <w:rPr>
          <w:lang w:eastAsia="ko-KR"/>
        </w:rPr>
        <w:t>.</w:t>
      </w:r>
      <w:r w:rsidRPr="00F879FE">
        <w:t xml:space="preserve"> </w:t>
      </w:r>
      <w:r>
        <w:t>Numerical simulation under adiabatic conditions of the time-dependent temperature course with the detailed conversion dependent kinetics in comparison to the worst-case kinetic</w:t>
      </w:r>
      <w:r w:rsidR="00A87E6A">
        <w:t>s</w:t>
      </w:r>
      <w:r>
        <w:t xml:space="preserve"> and the non-autocatalytic kinetic</w:t>
      </w:r>
      <w:r w:rsidR="00A87E6A">
        <w:t>s</w:t>
      </w:r>
      <w:r>
        <w:t xml:space="preserve"> based on the adiabatic heat storage test</w:t>
      </w:r>
    </w:p>
    <w:p w14:paraId="311252DF" w14:textId="05BB9769" w:rsidR="005C1A57" w:rsidRPr="00215939" w:rsidRDefault="005C1A57" w:rsidP="00F879FE">
      <w:pPr>
        <w:pStyle w:val="BOAHeading"/>
        <w:rPr>
          <w:lang w:eastAsia="ko-KR"/>
        </w:rPr>
      </w:pPr>
      <w:r w:rsidRPr="00215939">
        <w:lastRenderedPageBreak/>
        <w:t>4. Conclusion</w:t>
      </w:r>
      <w:r w:rsidRPr="00215939">
        <w:rPr>
          <w:lang w:eastAsia="ko-KR"/>
        </w:rPr>
        <w:t>s</w:t>
      </w:r>
      <w:r w:rsidR="004B58B5" w:rsidRPr="00215939">
        <w:rPr>
          <w:lang w:eastAsia="ko-KR"/>
        </w:rPr>
        <w:t xml:space="preserve"> and outlook</w:t>
      </w:r>
    </w:p>
    <w:p w14:paraId="1F7FECED" w14:textId="77777777" w:rsidR="00D514BB" w:rsidRPr="00D514BB" w:rsidRDefault="00D514BB" w:rsidP="00D514BB">
      <w:pPr>
        <w:pStyle w:val="BOAAbstractBody"/>
        <w:rPr>
          <w:rFonts w:eastAsia="MS PGothic"/>
        </w:rPr>
      </w:pPr>
      <w:r w:rsidRPr="00D514BB">
        <w:rPr>
          <w:rFonts w:eastAsia="MS PGothic"/>
        </w:rPr>
        <w:t xml:space="preserve">The presented empirical model approach for the description of weak autocatalytic decompositions enables a comprehensive safety assessment with a comparatively low experimental effort. This is made possible by the combination of isothermal DSC measurements and adiabatic calorimetry. The simple linear adjustment of the conversion dependency of the autocatalysis avoids the complex adjustment of a kinetic model. Simple numerical simulation can be used to calculate adiabatic induction times or induction times taking heat dissipation into account, on the basis of which the safety assessment of the process step can be carried out. </w:t>
      </w:r>
    </w:p>
    <w:p w14:paraId="70F671D2" w14:textId="128258B4" w:rsidR="00D514BB" w:rsidRDefault="00D514BB" w:rsidP="00D514BB">
      <w:pPr>
        <w:pStyle w:val="BOAAbstractBody"/>
        <w:rPr>
          <w:rFonts w:eastAsia="MS PGothic"/>
        </w:rPr>
      </w:pPr>
      <w:r w:rsidRPr="00D514BB">
        <w:rPr>
          <w:rFonts w:eastAsia="MS PGothic"/>
        </w:rPr>
        <w:t>This was demonstrated using the example of a nitro-aromatic compound. Once the specific heat production rate Q̇(</w:t>
      </w:r>
      <w:proofErr w:type="gramStart"/>
      <w:r w:rsidRPr="00D514BB">
        <w:rPr>
          <w:rFonts w:eastAsia="MS PGothic"/>
        </w:rPr>
        <w:t>T,C</w:t>
      </w:r>
      <w:proofErr w:type="gramEnd"/>
      <w:r w:rsidRPr="00D514BB">
        <w:rPr>
          <w:rFonts w:eastAsia="MS PGothic"/>
        </w:rPr>
        <w:t>) has been determined, the influence of increased ageing due to, for example</w:t>
      </w:r>
      <w:r w:rsidR="00993E52">
        <w:rPr>
          <w:rFonts w:eastAsia="MS PGothic"/>
        </w:rPr>
        <w:t>,</w:t>
      </w:r>
      <w:r w:rsidRPr="00D514BB">
        <w:rPr>
          <w:rFonts w:eastAsia="MS PGothic"/>
        </w:rPr>
        <w:t xml:space="preserve"> increased residence times caused by errors in operational processes</w:t>
      </w:r>
      <w:r w:rsidR="00993E52">
        <w:rPr>
          <w:rFonts w:eastAsia="MS PGothic"/>
        </w:rPr>
        <w:t>,</w:t>
      </w:r>
      <w:r w:rsidRPr="00D514BB">
        <w:rPr>
          <w:rFonts w:eastAsia="MS PGothic"/>
        </w:rPr>
        <w:t xml:space="preserve"> on the adiabatic induction times can be calculated using an adapted simulation. </w:t>
      </w:r>
    </w:p>
    <w:p w14:paraId="64B0DDBF" w14:textId="74B31FA7" w:rsidR="00D514BB" w:rsidRDefault="00D514BB" w:rsidP="00D514BB">
      <w:pPr>
        <w:pStyle w:val="BOAAbstractBody"/>
        <w:rPr>
          <w:rFonts w:eastAsia="MS PGothic"/>
        </w:rPr>
      </w:pPr>
      <w:r w:rsidRPr="00D514BB">
        <w:rPr>
          <w:rFonts w:eastAsia="MS PGothic"/>
        </w:rPr>
        <w:t>Overall, it should be noted that autocatalytic systems react sensitively to impurities and varying compositions. The derived empirical kinetic model is only applicable to the specific sample composition investigated. This must be taken into account when planning experiments with regard to different sample compositions. In order to be able to identify critical samples, the use of isothermal DSC measurements is recommended, especially for autocatalytically decomposing compounds.</w:t>
      </w:r>
    </w:p>
    <w:p w14:paraId="655E7B75" w14:textId="2D91A757" w:rsidR="00D514BB" w:rsidRDefault="00D514BB">
      <w:pPr>
        <w:tabs>
          <w:tab w:val="clear" w:pos="7100"/>
        </w:tabs>
        <w:spacing w:after="200" w:line="276" w:lineRule="auto"/>
        <w:jc w:val="left"/>
        <w:rPr>
          <w:rFonts w:eastAsia="MS PGothic"/>
        </w:rPr>
      </w:pPr>
    </w:p>
    <w:p w14:paraId="5A7E4A8C" w14:textId="77777777" w:rsidR="00176EF0" w:rsidRDefault="00176EF0">
      <w:pPr>
        <w:tabs>
          <w:tab w:val="clear" w:pos="7100"/>
        </w:tabs>
        <w:spacing w:after="200" w:line="276" w:lineRule="auto"/>
        <w:jc w:val="left"/>
        <w:rPr>
          <w:rFonts w:eastAsia="MS PGothic"/>
          <w:sz w:val="22"/>
          <w:lang w:val="en-US"/>
        </w:rPr>
      </w:pPr>
    </w:p>
    <w:p w14:paraId="11D31778" w14:textId="2AB95FCC" w:rsidR="005C1A57" w:rsidRPr="004C2084" w:rsidRDefault="005C1A57" w:rsidP="00302C82">
      <w:pPr>
        <w:pStyle w:val="BOAReference"/>
        <w:rPr>
          <w:rFonts w:eastAsia="SimSun"/>
          <w:lang w:val="fr-FR" w:eastAsia="zh-CN"/>
        </w:rPr>
      </w:pPr>
      <w:proofErr w:type="spellStart"/>
      <w:r w:rsidRPr="004C2084">
        <w:rPr>
          <w:rFonts w:eastAsia="MS PGothic"/>
          <w:lang w:val="fr-FR"/>
        </w:rPr>
        <w:t>References</w:t>
      </w:r>
      <w:proofErr w:type="spellEnd"/>
      <w:r w:rsidRPr="004C2084">
        <w:rPr>
          <w:rFonts w:eastAsia="MS PGothic"/>
          <w:lang w:val="fr-FR"/>
        </w:rPr>
        <w:t xml:space="preserve"> </w:t>
      </w:r>
    </w:p>
    <w:p w14:paraId="09DF09CA" w14:textId="77777777" w:rsidR="00466AB5" w:rsidRPr="00D514BB" w:rsidRDefault="00466AB5" w:rsidP="008542B1">
      <w:pPr>
        <w:tabs>
          <w:tab w:val="clear" w:pos="7100"/>
        </w:tabs>
        <w:spacing w:after="120" w:line="240" w:lineRule="auto"/>
        <w:ind w:left="284" w:hanging="284"/>
        <w:contextualSpacing/>
        <w:rPr>
          <w:lang w:val="en-US"/>
        </w:rPr>
      </w:pPr>
      <w:r w:rsidRPr="00462E34">
        <w:t>UN-</w:t>
      </w:r>
      <w:proofErr w:type="spellStart"/>
      <w:r w:rsidRPr="00462E34">
        <w:t>Transportbook</w:t>
      </w:r>
      <w:proofErr w:type="spellEnd"/>
      <w:r w:rsidRPr="00462E34">
        <w:t>:</w:t>
      </w:r>
      <w:r w:rsidRPr="00462E34">
        <w:br/>
        <w:t>UN Recommendations</w:t>
      </w:r>
      <w:r w:rsidRPr="00466AB5">
        <w:t xml:space="preserve"> on the Transport of Dangerous Goods: Manual of Tests and Criteria, Rev. 8 (2023) and </w:t>
      </w:r>
      <w:r w:rsidRPr="00D514BB">
        <w:rPr>
          <w:lang w:val="en-US"/>
        </w:rPr>
        <w:t>UN-Model Regulations, Rev. 23 (2023)</w:t>
      </w:r>
    </w:p>
    <w:p w14:paraId="4C874B92" w14:textId="392986C5" w:rsidR="00466AB5" w:rsidRPr="00466AB5" w:rsidRDefault="00466AB5" w:rsidP="008542B1">
      <w:pPr>
        <w:tabs>
          <w:tab w:val="clear" w:pos="7100"/>
        </w:tabs>
        <w:spacing w:after="120" w:line="240" w:lineRule="auto"/>
        <w:ind w:left="284" w:hanging="284"/>
        <w:contextualSpacing/>
      </w:pPr>
      <w:r w:rsidRPr="00215939">
        <w:rPr>
          <w:lang w:val="en-US"/>
        </w:rPr>
        <w:t>VDI Guideline 2263, Part 1: “Dust fires and dust explosions; hazards, assessment, safety measures; safety related</w:t>
      </w:r>
      <w:r w:rsidRPr="00466AB5">
        <w:t xml:space="preserve"> parameters of bulk goods.” (2022)</w:t>
      </w:r>
    </w:p>
    <w:p w14:paraId="7D6AFAEC" w14:textId="77777777" w:rsidR="00466AB5" w:rsidRPr="00161DB4" w:rsidRDefault="00466AB5" w:rsidP="00466AB5">
      <w:pPr>
        <w:tabs>
          <w:tab w:val="clear" w:pos="7100"/>
        </w:tabs>
        <w:spacing w:after="120" w:line="240" w:lineRule="auto"/>
        <w:ind w:left="284" w:hanging="284"/>
        <w:contextualSpacing/>
        <w:rPr>
          <w:lang w:val="de-DE"/>
        </w:rPr>
      </w:pPr>
      <w:r w:rsidRPr="00161DB4">
        <w:rPr>
          <w:lang w:val="de-DE"/>
        </w:rPr>
        <w:t>TRAS 410: „Erkennen und Beherrschen exothermer chemischer Reaktionen“</w:t>
      </w:r>
    </w:p>
    <w:p w14:paraId="160011C7" w14:textId="230CFD1E" w:rsidR="00176EF0" w:rsidRDefault="00176EF0" w:rsidP="00466AB5">
      <w:pPr>
        <w:tabs>
          <w:tab w:val="clear" w:pos="7100"/>
        </w:tabs>
        <w:spacing w:after="120" w:line="240" w:lineRule="auto"/>
        <w:ind w:left="284" w:hanging="284"/>
        <w:contextualSpacing/>
      </w:pPr>
      <w:r w:rsidRPr="00466AB5">
        <w:t>F</w:t>
      </w:r>
      <w:r>
        <w:t>.</w:t>
      </w:r>
      <w:r w:rsidRPr="00466AB5">
        <w:t xml:space="preserve"> Stoessel</w:t>
      </w:r>
      <w:r>
        <w:t xml:space="preserve">: </w:t>
      </w:r>
      <w:r w:rsidRPr="00466AB5">
        <w:t xml:space="preserve">Thermal Safety of Chemical </w:t>
      </w:r>
      <w:proofErr w:type="gramStart"/>
      <w:r w:rsidRPr="00466AB5">
        <w:t>Processes“ by</w:t>
      </w:r>
      <w:proofErr w:type="gramEnd"/>
      <w:r w:rsidRPr="00466AB5">
        <w:t xml:space="preserve"> Francis Stoessel, Wiley-VCH (20</w:t>
      </w:r>
      <w:r>
        <w:t>20</w:t>
      </w:r>
      <w:r w:rsidRPr="00466AB5">
        <w:t>)</w:t>
      </w:r>
    </w:p>
    <w:p w14:paraId="3759FF71" w14:textId="1E7D2103" w:rsidR="00DF5705" w:rsidRDefault="00DF5705" w:rsidP="00466AB5">
      <w:pPr>
        <w:tabs>
          <w:tab w:val="clear" w:pos="7100"/>
        </w:tabs>
        <w:spacing w:after="120" w:line="240" w:lineRule="auto"/>
        <w:ind w:left="284" w:hanging="284"/>
        <w:contextualSpacing/>
      </w:pPr>
      <w:r w:rsidRPr="00DF5705">
        <w:t>S. Kimpel, C. Hernandez, J. Horn</w:t>
      </w:r>
      <w:r>
        <w:t xml:space="preserve">, </w:t>
      </w:r>
      <w:r w:rsidRPr="00DF5705">
        <w:t>2016</w:t>
      </w:r>
      <w:r>
        <w:t>:</w:t>
      </w:r>
      <w:r w:rsidRPr="00DF5705">
        <w:t xml:space="preserve"> An Alternative Way to Determine the Self-Accelerating Decomposition Temperature by Using the Adiabatic Heat- Pressure Accumulation Test, Chemical Engineering Transactions. 48</w:t>
      </w:r>
      <w:r>
        <w:t>,</w:t>
      </w:r>
      <w:r w:rsidRPr="00DF5705">
        <w:t xml:space="preserve"> 139-144</w:t>
      </w:r>
    </w:p>
    <w:p w14:paraId="0C5C820E" w14:textId="44FFAA39" w:rsidR="009047CF" w:rsidRDefault="00176EF0" w:rsidP="00176EF0">
      <w:pPr>
        <w:tabs>
          <w:tab w:val="clear" w:pos="7100"/>
        </w:tabs>
        <w:spacing w:after="120" w:line="240" w:lineRule="auto"/>
        <w:ind w:left="284" w:hanging="284"/>
        <w:contextualSpacing/>
        <w:rPr>
          <w:lang w:val="de-DE"/>
        </w:rPr>
      </w:pPr>
      <w:r w:rsidRPr="00EA1F70">
        <w:rPr>
          <w:lang w:val="de-DE"/>
        </w:rPr>
        <w:t>Th. Grewer, O. Klais: Exotherme Zersetzung — Untersuchung der charakteristischen Stoffeigenschaften, VDI-Verlag</w:t>
      </w:r>
      <w:r>
        <w:rPr>
          <w:lang w:val="de-DE"/>
        </w:rPr>
        <w:t xml:space="preserve"> (</w:t>
      </w:r>
      <w:r w:rsidRPr="00EA1F70">
        <w:rPr>
          <w:lang w:val="de-DE"/>
        </w:rPr>
        <w:t>1988</w:t>
      </w:r>
      <w:r>
        <w:rPr>
          <w:lang w:val="de-DE"/>
        </w:rPr>
        <w:t>)</w:t>
      </w:r>
    </w:p>
    <w:p w14:paraId="08B920DB" w14:textId="77777777" w:rsidR="00DF5705" w:rsidRPr="00EA1F70" w:rsidRDefault="00DF5705" w:rsidP="00EA1F70">
      <w:pPr>
        <w:tabs>
          <w:tab w:val="clear" w:pos="7100"/>
        </w:tabs>
        <w:spacing w:after="120" w:line="240" w:lineRule="auto"/>
        <w:ind w:left="284" w:hanging="284"/>
        <w:contextualSpacing/>
        <w:rPr>
          <w:lang w:val="de-DE"/>
        </w:rPr>
      </w:pPr>
    </w:p>
    <w:sectPr w:rsidR="00DF5705" w:rsidRPr="00EA1F70" w:rsidSect="00F879FE">
      <w:headerReference w:type="default" r:id="rId18"/>
      <w:headerReference w:type="first" r:id="rId19"/>
      <w:type w:val="continuous"/>
      <w:pgSz w:w="11906" w:h="16838" w:code="9"/>
      <w:pgMar w:top="1701" w:right="1418" w:bottom="1701" w:left="1701" w:header="1134" w:footer="57" w:gutter="0"/>
      <w:cols w:space="720"/>
      <w:titlePg/>
      <w:docGrid w:linePitch="360" w:charSpace="-28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900CF" w14:textId="77777777" w:rsidR="004F3F95" w:rsidRDefault="004F3F95" w:rsidP="004F5E36">
      <w:r>
        <w:separator/>
      </w:r>
    </w:p>
  </w:endnote>
  <w:endnote w:type="continuationSeparator" w:id="0">
    <w:p w14:paraId="3F9EB8C6" w14:textId="77777777" w:rsidR="004F3F95" w:rsidRDefault="004F3F9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22B2A" w14:textId="77777777" w:rsidR="004F3F95" w:rsidRDefault="004F3F95" w:rsidP="004F5E36">
      <w:r>
        <w:separator/>
      </w:r>
    </w:p>
  </w:footnote>
  <w:footnote w:type="continuationSeparator" w:id="0">
    <w:p w14:paraId="471CF37B" w14:textId="77777777" w:rsidR="004F3F95" w:rsidRDefault="004F3F95" w:rsidP="004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9B985" w14:textId="0231AB3D" w:rsidR="009047CF" w:rsidRPr="00E1280C" w:rsidRDefault="00426BD4" w:rsidP="00E1280C">
    <w:pPr>
      <w:pStyle w:val="Titolo1"/>
      <w:pBdr>
        <w:bottom w:val="single" w:sz="4" w:space="1" w:color="auto"/>
      </w:pBdr>
      <w:spacing w:after="480"/>
      <w:jc w:val="center"/>
      <w:rPr>
        <w:color w:val="808080" w:themeColor="background1" w:themeShade="80"/>
      </w:rPr>
    </w:pPr>
    <w:r w:rsidRPr="00E1280C">
      <w:rPr>
        <w:color w:val="808080" w:themeColor="background1" w:themeShade="80"/>
      </w:rPr>
      <w:t>LOSS PREVENTION 2025</w:t>
    </w:r>
    <w:r w:rsidR="009047CF" w:rsidRPr="00E1280C">
      <w:rPr>
        <w:color w:val="808080" w:themeColor="background1" w:themeShade="80"/>
      </w:rPr>
      <w:t xml:space="preserve">, </w:t>
    </w:r>
    <w:r w:rsidRPr="00E1280C">
      <w:rPr>
        <w:i/>
        <w:iCs/>
        <w:color w:val="808080" w:themeColor="background1" w:themeShade="80"/>
      </w:rPr>
      <w:t>Bologna</w:t>
    </w:r>
    <w:r w:rsidR="009047CF" w:rsidRPr="00E1280C">
      <w:rPr>
        <w:i/>
        <w:iCs/>
        <w:color w:val="808080" w:themeColor="background1" w:themeShade="80"/>
      </w:rPr>
      <w:t xml:space="preserve"> (Italy)</w:t>
    </w:r>
    <w:r w:rsidRPr="00E1280C">
      <w:rPr>
        <w:i/>
        <w:iCs/>
        <w:color w:val="808080" w:themeColor="background1" w:themeShade="80"/>
      </w:rPr>
      <w:t>, 8-11 June</w:t>
    </w:r>
    <w:r w:rsidR="009047CF" w:rsidRPr="00E1280C">
      <w:rPr>
        <w:i/>
        <w:iCs/>
        <w:color w:val="808080" w:themeColor="background1" w:themeShade="80"/>
      </w:rPr>
      <w:t xml:space="preserve"> 202</w:t>
    </w:r>
    <w:r w:rsidRPr="00E1280C">
      <w:rPr>
        <w:i/>
        <w:iCs/>
        <w:color w:val="808080" w:themeColor="background1" w:themeShade="80"/>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22FA3" w14:textId="5F9F28D5" w:rsidR="00591C6C" w:rsidRDefault="00621A1B">
    <w:r>
      <w:rPr>
        <w:noProof/>
      </w:rPr>
      <w:drawing>
        <wp:anchor distT="0" distB="0" distL="114300" distR="114300" simplePos="0" relativeHeight="251669504" behindDoc="0" locked="0" layoutInCell="1" allowOverlap="1" wp14:anchorId="556BEF13" wp14:editId="4C872F17">
          <wp:simplePos x="0" y="0"/>
          <wp:positionH relativeFrom="column">
            <wp:posOffset>1038225</wp:posOffset>
          </wp:positionH>
          <wp:positionV relativeFrom="paragraph">
            <wp:posOffset>-591820</wp:posOffset>
          </wp:positionV>
          <wp:extent cx="3535680" cy="1113790"/>
          <wp:effectExtent l="0" t="0" r="0" b="0"/>
          <wp:wrapSquare wrapText="bothSides"/>
          <wp:docPr id="694924740" name="Immagine 5" descr="Immagine che contiene verd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24740" name="Immagine 5" descr="Immagine che contiene verdur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535680" cy="1113790"/>
                  </a:xfrm>
                  <a:prstGeom prst="rect">
                    <a:avLst/>
                  </a:prstGeom>
                </pic:spPr>
              </pic:pic>
            </a:graphicData>
          </a:graphic>
          <wp14:sizeRelH relativeFrom="margin">
            <wp14:pctWidth>0</wp14:pctWidth>
          </wp14:sizeRelH>
          <wp14:sizeRelV relativeFrom="margin">
            <wp14:pctHeight>0</wp14:pctHeight>
          </wp14:sizeRelV>
        </wp:anchor>
      </w:drawing>
    </w:r>
  </w:p>
  <w:p w14:paraId="1140215C" w14:textId="0934BFD8" w:rsidR="00591C6C" w:rsidRDefault="00591C6C"/>
  <w:p w14:paraId="6729447D" w14:textId="1087F0ED" w:rsidR="00591C6C" w:rsidRDefault="00591C6C"/>
  <w:p w14:paraId="4F4256FC" w14:textId="0AC917B5" w:rsidR="00591C6C" w:rsidRDefault="00591C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3E8136E"/>
    <w:multiLevelType w:val="hybridMultilevel"/>
    <w:tmpl w:val="178C99BC"/>
    <w:lvl w:ilvl="0" w:tplc="0407000B">
      <w:start w:val="1"/>
      <w:numFmt w:val="bullet"/>
      <w:lvlText w:val=""/>
      <w:lvlJc w:val="left"/>
      <w:pPr>
        <w:ind w:left="644" w:hanging="360"/>
      </w:pPr>
      <w:rPr>
        <w:rFonts w:ascii="Wingdings" w:hAnsi="Wingdings"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1"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2" w15:restartNumberingAfterBreak="0">
    <w:nsid w:val="0AAE6026"/>
    <w:multiLevelType w:val="hybridMultilevel"/>
    <w:tmpl w:val="A072A6DC"/>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20B73F66"/>
    <w:multiLevelType w:val="hybridMultilevel"/>
    <w:tmpl w:val="EE0A7880"/>
    <w:lvl w:ilvl="0" w:tplc="E8582674">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438217E"/>
    <w:multiLevelType w:val="multilevel"/>
    <w:tmpl w:val="739EF9B4"/>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pStyle w:val="BOAheadingx1"/>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351E0394"/>
    <w:multiLevelType w:val="hybridMultilevel"/>
    <w:tmpl w:val="ED14CA0C"/>
    <w:lvl w:ilvl="0" w:tplc="B13489D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8A24C9"/>
    <w:multiLevelType w:val="hybridMultilevel"/>
    <w:tmpl w:val="7E46D96A"/>
    <w:lvl w:ilvl="0" w:tplc="630AE0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7AB4E1CE"/>
    <w:lvl w:ilvl="0" w:tplc="33FE03FA">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ED527C7"/>
    <w:multiLevelType w:val="hybridMultilevel"/>
    <w:tmpl w:val="FEDAAC14"/>
    <w:lvl w:ilvl="0" w:tplc="F5C41A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77310906">
    <w:abstractNumId w:val="14"/>
  </w:num>
  <w:num w:numId="2" w16cid:durableId="288098763">
    <w:abstractNumId w:val="8"/>
  </w:num>
  <w:num w:numId="3" w16cid:durableId="1511682065">
    <w:abstractNumId w:val="3"/>
  </w:num>
  <w:num w:numId="4" w16cid:durableId="145829202">
    <w:abstractNumId w:val="2"/>
  </w:num>
  <w:num w:numId="5" w16cid:durableId="768937665">
    <w:abstractNumId w:val="1"/>
  </w:num>
  <w:num w:numId="6" w16cid:durableId="1727603277">
    <w:abstractNumId w:val="0"/>
  </w:num>
  <w:num w:numId="7" w16cid:durableId="616330930">
    <w:abstractNumId w:val="9"/>
  </w:num>
  <w:num w:numId="8" w16cid:durableId="1591809970">
    <w:abstractNumId w:val="7"/>
  </w:num>
  <w:num w:numId="9" w16cid:durableId="1618289583">
    <w:abstractNumId w:val="6"/>
  </w:num>
  <w:num w:numId="10" w16cid:durableId="2166365">
    <w:abstractNumId w:val="5"/>
  </w:num>
  <w:num w:numId="11" w16cid:durableId="1142505966">
    <w:abstractNumId w:val="4"/>
  </w:num>
  <w:num w:numId="12" w16cid:durableId="1136097017">
    <w:abstractNumId w:val="17"/>
  </w:num>
  <w:num w:numId="13" w16cid:durableId="2075926568">
    <w:abstractNumId w:val="15"/>
  </w:num>
  <w:num w:numId="14" w16cid:durableId="1579899986">
    <w:abstractNumId w:val="18"/>
  </w:num>
  <w:num w:numId="15" w16cid:durableId="100541195">
    <w:abstractNumId w:val="20"/>
  </w:num>
  <w:num w:numId="16" w16cid:durableId="1092121047">
    <w:abstractNumId w:val="22"/>
  </w:num>
  <w:num w:numId="17" w16cid:durableId="2013532079">
    <w:abstractNumId w:val="11"/>
  </w:num>
  <w:num w:numId="18" w16cid:durableId="380059824">
    <w:abstractNumId w:val="21"/>
  </w:num>
  <w:num w:numId="19" w16cid:durableId="214123577">
    <w:abstractNumId w:val="16"/>
  </w:num>
  <w:num w:numId="20" w16cid:durableId="1013991820">
    <w:abstractNumId w:val="12"/>
  </w:num>
  <w:num w:numId="21" w16cid:durableId="461532691">
    <w:abstractNumId w:val="13"/>
  </w:num>
  <w:num w:numId="22" w16cid:durableId="2080710854">
    <w:abstractNumId w:val="19"/>
  </w:num>
  <w:num w:numId="23" w16cid:durableId="2920544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14A"/>
    <w:rsid w:val="000027C0"/>
    <w:rsid w:val="000117CB"/>
    <w:rsid w:val="00011B51"/>
    <w:rsid w:val="000155B0"/>
    <w:rsid w:val="00026BAF"/>
    <w:rsid w:val="0003148D"/>
    <w:rsid w:val="00033B69"/>
    <w:rsid w:val="0005278B"/>
    <w:rsid w:val="00055928"/>
    <w:rsid w:val="00062A9A"/>
    <w:rsid w:val="00072AC6"/>
    <w:rsid w:val="000A03B2"/>
    <w:rsid w:val="000D34BE"/>
    <w:rsid w:val="000E31F1"/>
    <w:rsid w:val="000E36F1"/>
    <w:rsid w:val="000E3A73"/>
    <w:rsid w:val="000E414A"/>
    <w:rsid w:val="000F014B"/>
    <w:rsid w:val="000F5062"/>
    <w:rsid w:val="00100310"/>
    <w:rsid w:val="0013121F"/>
    <w:rsid w:val="00134DE4"/>
    <w:rsid w:val="00147015"/>
    <w:rsid w:val="00150E59"/>
    <w:rsid w:val="00161DB4"/>
    <w:rsid w:val="00176D71"/>
    <w:rsid w:val="00176EF0"/>
    <w:rsid w:val="00182E0F"/>
    <w:rsid w:val="00184AD6"/>
    <w:rsid w:val="001B65C1"/>
    <w:rsid w:val="001C3069"/>
    <w:rsid w:val="001C684B"/>
    <w:rsid w:val="001D53FC"/>
    <w:rsid w:val="001F2EC7"/>
    <w:rsid w:val="002065DB"/>
    <w:rsid w:val="00215939"/>
    <w:rsid w:val="002447EF"/>
    <w:rsid w:val="00251550"/>
    <w:rsid w:val="00252E92"/>
    <w:rsid w:val="00254539"/>
    <w:rsid w:val="002626FE"/>
    <w:rsid w:val="0027221A"/>
    <w:rsid w:val="00275B61"/>
    <w:rsid w:val="00292D3B"/>
    <w:rsid w:val="002C633D"/>
    <w:rsid w:val="002D1F12"/>
    <w:rsid w:val="002D2F6A"/>
    <w:rsid w:val="0030090A"/>
    <w:rsid w:val="003009B7"/>
    <w:rsid w:val="00302C82"/>
    <w:rsid w:val="0030409D"/>
    <w:rsid w:val="0030469C"/>
    <w:rsid w:val="003065A7"/>
    <w:rsid w:val="003723D4"/>
    <w:rsid w:val="00395A9E"/>
    <w:rsid w:val="003A5F77"/>
    <w:rsid w:val="003A7D1C"/>
    <w:rsid w:val="003B61C3"/>
    <w:rsid w:val="003D258C"/>
    <w:rsid w:val="0042639A"/>
    <w:rsid w:val="00426BD4"/>
    <w:rsid w:val="00434267"/>
    <w:rsid w:val="00435501"/>
    <w:rsid w:val="0046164A"/>
    <w:rsid w:val="00462DCD"/>
    <w:rsid w:val="00462E34"/>
    <w:rsid w:val="0046419A"/>
    <w:rsid w:val="00466AB5"/>
    <w:rsid w:val="004734CD"/>
    <w:rsid w:val="004846FB"/>
    <w:rsid w:val="004B58B5"/>
    <w:rsid w:val="004C2084"/>
    <w:rsid w:val="004C44E6"/>
    <w:rsid w:val="004D1162"/>
    <w:rsid w:val="004D140E"/>
    <w:rsid w:val="004D22D0"/>
    <w:rsid w:val="004E0FFD"/>
    <w:rsid w:val="004E4DD6"/>
    <w:rsid w:val="004F3F95"/>
    <w:rsid w:val="004F5E36"/>
    <w:rsid w:val="005119A5"/>
    <w:rsid w:val="00517D26"/>
    <w:rsid w:val="005278B7"/>
    <w:rsid w:val="005346C8"/>
    <w:rsid w:val="00536B17"/>
    <w:rsid w:val="00537CCB"/>
    <w:rsid w:val="00542650"/>
    <w:rsid w:val="00564308"/>
    <w:rsid w:val="00581815"/>
    <w:rsid w:val="00591C6C"/>
    <w:rsid w:val="00594E9F"/>
    <w:rsid w:val="005B1940"/>
    <w:rsid w:val="005B61E6"/>
    <w:rsid w:val="005C1A57"/>
    <w:rsid w:val="005C648D"/>
    <w:rsid w:val="005C77E1"/>
    <w:rsid w:val="005D6A2F"/>
    <w:rsid w:val="005E1A82"/>
    <w:rsid w:val="005F0A28"/>
    <w:rsid w:val="005F0E5E"/>
    <w:rsid w:val="00620DEE"/>
    <w:rsid w:val="00621A1B"/>
    <w:rsid w:val="006239BF"/>
    <w:rsid w:val="00623D69"/>
    <w:rsid w:val="00625639"/>
    <w:rsid w:val="0064184D"/>
    <w:rsid w:val="00657F8D"/>
    <w:rsid w:val="00660E3E"/>
    <w:rsid w:val="00662E74"/>
    <w:rsid w:val="00665051"/>
    <w:rsid w:val="00682608"/>
    <w:rsid w:val="006A58D2"/>
    <w:rsid w:val="006C5579"/>
    <w:rsid w:val="00704205"/>
    <w:rsid w:val="00704BDF"/>
    <w:rsid w:val="00720C17"/>
    <w:rsid w:val="00732A81"/>
    <w:rsid w:val="00736B13"/>
    <w:rsid w:val="007447F3"/>
    <w:rsid w:val="0076019D"/>
    <w:rsid w:val="007661C8"/>
    <w:rsid w:val="00766A20"/>
    <w:rsid w:val="00787332"/>
    <w:rsid w:val="00794BCD"/>
    <w:rsid w:val="00795B0F"/>
    <w:rsid w:val="007B4B22"/>
    <w:rsid w:val="007B6407"/>
    <w:rsid w:val="007D52CD"/>
    <w:rsid w:val="007E295A"/>
    <w:rsid w:val="007E40F0"/>
    <w:rsid w:val="00813288"/>
    <w:rsid w:val="008168FC"/>
    <w:rsid w:val="008479A2"/>
    <w:rsid w:val="00847BF6"/>
    <w:rsid w:val="008542B1"/>
    <w:rsid w:val="0087637F"/>
    <w:rsid w:val="008A1512"/>
    <w:rsid w:val="008A22F9"/>
    <w:rsid w:val="008C4B00"/>
    <w:rsid w:val="008C779C"/>
    <w:rsid w:val="008D0BEB"/>
    <w:rsid w:val="008E566E"/>
    <w:rsid w:val="008E5B00"/>
    <w:rsid w:val="008E7C9F"/>
    <w:rsid w:val="008F29D7"/>
    <w:rsid w:val="00901EB6"/>
    <w:rsid w:val="009047CF"/>
    <w:rsid w:val="009375FF"/>
    <w:rsid w:val="009425B4"/>
    <w:rsid w:val="009450CE"/>
    <w:rsid w:val="0095164B"/>
    <w:rsid w:val="00954C74"/>
    <w:rsid w:val="009633F5"/>
    <w:rsid w:val="00976AA6"/>
    <w:rsid w:val="00991EEB"/>
    <w:rsid w:val="00992E29"/>
    <w:rsid w:val="00993E52"/>
    <w:rsid w:val="00996483"/>
    <w:rsid w:val="009A18C2"/>
    <w:rsid w:val="009C32E4"/>
    <w:rsid w:val="009D7A44"/>
    <w:rsid w:val="009E788A"/>
    <w:rsid w:val="009F2D13"/>
    <w:rsid w:val="009F6336"/>
    <w:rsid w:val="00A05A15"/>
    <w:rsid w:val="00A07E93"/>
    <w:rsid w:val="00A1763D"/>
    <w:rsid w:val="00A17CEC"/>
    <w:rsid w:val="00A276A4"/>
    <w:rsid w:val="00A27EF0"/>
    <w:rsid w:val="00A6255A"/>
    <w:rsid w:val="00A66B9C"/>
    <w:rsid w:val="00A76EFC"/>
    <w:rsid w:val="00A854E1"/>
    <w:rsid w:val="00A87E6A"/>
    <w:rsid w:val="00A9626B"/>
    <w:rsid w:val="00A97F29"/>
    <w:rsid w:val="00AA7E4B"/>
    <w:rsid w:val="00AB0964"/>
    <w:rsid w:val="00AC5F71"/>
    <w:rsid w:val="00AE377D"/>
    <w:rsid w:val="00AF5722"/>
    <w:rsid w:val="00B31173"/>
    <w:rsid w:val="00B34EF3"/>
    <w:rsid w:val="00B36F17"/>
    <w:rsid w:val="00B430A4"/>
    <w:rsid w:val="00B45D42"/>
    <w:rsid w:val="00B61DBF"/>
    <w:rsid w:val="00B95EAC"/>
    <w:rsid w:val="00BB6185"/>
    <w:rsid w:val="00BB6F9B"/>
    <w:rsid w:val="00BC30C9"/>
    <w:rsid w:val="00BD55AE"/>
    <w:rsid w:val="00BE3E58"/>
    <w:rsid w:val="00C01616"/>
    <w:rsid w:val="00C0162B"/>
    <w:rsid w:val="00C345B1"/>
    <w:rsid w:val="00C40142"/>
    <w:rsid w:val="00C57182"/>
    <w:rsid w:val="00C655FD"/>
    <w:rsid w:val="00C72149"/>
    <w:rsid w:val="00C867B1"/>
    <w:rsid w:val="00C94434"/>
    <w:rsid w:val="00CA1041"/>
    <w:rsid w:val="00CA1C95"/>
    <w:rsid w:val="00CA54AA"/>
    <w:rsid w:val="00CA5A9C"/>
    <w:rsid w:val="00CD5FE2"/>
    <w:rsid w:val="00CE6622"/>
    <w:rsid w:val="00D02B4C"/>
    <w:rsid w:val="00D30DF8"/>
    <w:rsid w:val="00D31CFB"/>
    <w:rsid w:val="00D514BB"/>
    <w:rsid w:val="00D7791C"/>
    <w:rsid w:val="00D801F0"/>
    <w:rsid w:val="00D84576"/>
    <w:rsid w:val="00D948AD"/>
    <w:rsid w:val="00D95822"/>
    <w:rsid w:val="00DA06D2"/>
    <w:rsid w:val="00DE0019"/>
    <w:rsid w:val="00DE264A"/>
    <w:rsid w:val="00DF5705"/>
    <w:rsid w:val="00E041E7"/>
    <w:rsid w:val="00E1280C"/>
    <w:rsid w:val="00E2020F"/>
    <w:rsid w:val="00E23CA1"/>
    <w:rsid w:val="00E409A8"/>
    <w:rsid w:val="00E41EE2"/>
    <w:rsid w:val="00E431A8"/>
    <w:rsid w:val="00E466CB"/>
    <w:rsid w:val="00E50649"/>
    <w:rsid w:val="00E7209D"/>
    <w:rsid w:val="00E839ED"/>
    <w:rsid w:val="00E928E3"/>
    <w:rsid w:val="00EA1F70"/>
    <w:rsid w:val="00EA2411"/>
    <w:rsid w:val="00EA50E1"/>
    <w:rsid w:val="00EB30EC"/>
    <w:rsid w:val="00EE0131"/>
    <w:rsid w:val="00EF3557"/>
    <w:rsid w:val="00EF3857"/>
    <w:rsid w:val="00F21D59"/>
    <w:rsid w:val="00F25CD4"/>
    <w:rsid w:val="00F30C64"/>
    <w:rsid w:val="00F36CF7"/>
    <w:rsid w:val="00F62BE2"/>
    <w:rsid w:val="00F639A0"/>
    <w:rsid w:val="00F63FDF"/>
    <w:rsid w:val="00F72C4F"/>
    <w:rsid w:val="00F80AFB"/>
    <w:rsid w:val="00F879FE"/>
    <w:rsid w:val="00FB730C"/>
    <w:rsid w:val="00FC2171"/>
    <w:rsid w:val="00FC2695"/>
    <w:rsid w:val="00FC3E03"/>
    <w:rsid w:val="00FD5EC1"/>
    <w:rsid w:val="00FE08EA"/>
    <w:rsid w:val="00FE6A2D"/>
    <w:rsid w:val="00FF484D"/>
    <w:rsid w:val="00FF52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4A267"/>
  <w15:docId w15:val="{461AE4D9-8438-4D7F-AC67-FE82DE210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BOA table"/>
    <w:qFormat/>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BOAHeading"/>
    <w:next w:val="Normale"/>
    <w:link w:val="Titolo1Carattere"/>
    <w:uiPriority w:val="9"/>
    <w:locked/>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BOAAuthors">
    <w:name w:val="BOA Authors"/>
    <w:basedOn w:val="BOAAddress"/>
    <w:link w:val="BOAAuthorsCarattere"/>
    <w:autoRedefine/>
    <w:qFormat/>
    <w:rsid w:val="00591C6C"/>
    <w:pPr>
      <w:spacing w:after="120"/>
    </w:pPr>
    <w:rPr>
      <w:i w:val="0"/>
      <w:sz w:val="24"/>
    </w:rPr>
  </w:style>
  <w:style w:type="paragraph" w:customStyle="1" w:styleId="BOATitle">
    <w:name w:val="BOA Title"/>
    <w:next w:val="BOAAddress"/>
    <w:link w:val="BOATitleCarattere"/>
    <w:autoRedefine/>
    <w:qFormat/>
    <w:rsid w:val="00F879FE"/>
    <w:pPr>
      <w:suppressAutoHyphens/>
      <w:spacing w:before="480" w:after="360" w:line="264" w:lineRule="auto"/>
      <w:jc w:val="center"/>
      <w:outlineLvl w:val="0"/>
    </w:pPr>
    <w:rPr>
      <w:rFonts w:ascii="Arial" w:eastAsia="Times New Roman" w:hAnsi="Arial" w:cs="Times New Roman"/>
      <w:sz w:val="32"/>
      <w:szCs w:val="20"/>
      <w:lang w:val="en-GB"/>
    </w:rPr>
  </w:style>
  <w:style w:type="character" w:customStyle="1" w:styleId="BOAAuthorsCarattere">
    <w:name w:val="BOA Authors Carattere"/>
    <w:link w:val="BOAAuthors"/>
    <w:rsid w:val="00591C6C"/>
    <w:rPr>
      <w:rFonts w:ascii="Arial" w:eastAsia="Times New Roman" w:hAnsi="Arial" w:cs="Times New Roman"/>
      <w:noProof/>
      <w:sz w:val="24"/>
      <w:szCs w:val="20"/>
      <w:lang w:val="en-GB"/>
    </w:rPr>
  </w:style>
  <w:style w:type="character" w:customStyle="1" w:styleId="BOATitleCarattere">
    <w:name w:val="BOA Title Carattere"/>
    <w:link w:val="BOATitle"/>
    <w:rsid w:val="00F879FE"/>
    <w:rPr>
      <w:rFonts w:ascii="Arial" w:eastAsia="Times New Roman" w:hAnsi="Arial" w:cs="Times New Roman"/>
      <w:sz w:val="32"/>
      <w:szCs w:val="20"/>
      <w:lang w:val="en-GB"/>
    </w:rPr>
  </w:style>
  <w:style w:type="paragraph" w:customStyle="1" w:styleId="BOAHeading">
    <w:name w:val="BOA Heading"/>
    <w:next w:val="BOAAbstractBody"/>
    <w:autoRedefine/>
    <w:qFormat/>
    <w:rsid w:val="00F879FE"/>
    <w:pPr>
      <w:keepNext/>
      <w:suppressAutoHyphens/>
      <w:spacing w:before="240" w:after="120" w:line="240" w:lineRule="auto"/>
    </w:pPr>
    <w:rPr>
      <w:rFonts w:ascii="Arial" w:eastAsia="MS PGothic" w:hAnsi="Arial" w:cs="Times New Roman"/>
      <w:b/>
      <w:szCs w:val="20"/>
      <w:lang w:val="en-US"/>
    </w:rPr>
  </w:style>
  <w:style w:type="paragraph" w:customStyle="1" w:styleId="BOAAddress">
    <w:name w:val="BOA Address"/>
    <w:link w:val="BOAAddressCarattere"/>
    <w:autoRedefine/>
    <w:qFormat/>
    <w:rsid w:val="00591C6C"/>
    <w:pPr>
      <w:keepNext/>
      <w:suppressAutoHyphens/>
      <w:spacing w:after="0"/>
      <w:contextualSpacing/>
      <w:jc w:val="center"/>
    </w:pPr>
    <w:rPr>
      <w:rFonts w:ascii="Arial" w:eastAsia="Times New Roman" w:hAnsi="Arial" w:cs="Times New Roman"/>
      <w:i/>
      <w:noProof/>
      <w:sz w:val="20"/>
      <w:szCs w:val="20"/>
      <w:lang w:val="en-GB"/>
    </w:rPr>
  </w:style>
  <w:style w:type="table" w:styleId="Tabellasemplice1">
    <w:name w:val="Table Simple 1"/>
    <w:basedOn w:val="Tabellanormale"/>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BOAReference">
    <w:name w:val="BOA Reference"/>
    <w:rsid w:val="00302C82"/>
    <w:pPr>
      <w:spacing w:before="200" w:after="120" w:line="240" w:lineRule="auto"/>
    </w:pPr>
    <w:rPr>
      <w:rFonts w:ascii="Arial" w:eastAsia="Times New Roman" w:hAnsi="Arial" w:cs="Times New Roman"/>
      <w:b/>
      <w:sz w:val="20"/>
      <w:szCs w:val="20"/>
      <w:lang w:val="en-GB"/>
    </w:rPr>
  </w:style>
  <w:style w:type="paragraph" w:customStyle="1" w:styleId="BOAReference-text">
    <w:name w:val="BOA Reference-text"/>
    <w:autoRedefine/>
    <w:qForma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BOACaption">
    <w:name w:val="BOA Caption"/>
    <w:link w:val="BOACaptionCarattere"/>
    <w:autoRedefine/>
    <w:qFormat/>
    <w:rsid w:val="00976AA6"/>
    <w:pPr>
      <w:spacing w:before="240" w:after="240" w:line="264" w:lineRule="auto"/>
      <w:jc w:val="both"/>
    </w:pPr>
    <w:rPr>
      <w:rFonts w:ascii="Arial" w:eastAsia="MS PGothic" w:hAnsi="Arial" w:cs="Times New Roman"/>
      <w:bCs/>
      <w:i/>
      <w:sz w:val="20"/>
      <w:szCs w:val="20"/>
      <w:lang w:val="en-GB"/>
    </w:rPr>
  </w:style>
  <w:style w:type="character" w:customStyle="1" w:styleId="BOACaptionCarattere">
    <w:name w:val="BOA Caption Carattere"/>
    <w:link w:val="BOACaption"/>
    <w:rsid w:val="00976AA6"/>
    <w:rPr>
      <w:rFonts w:ascii="Arial" w:eastAsia="MS PGothic" w:hAnsi="Arial" w:cs="Times New Roman"/>
      <w:bCs/>
      <w:i/>
      <w:sz w:val="20"/>
      <w:szCs w:val="20"/>
      <w:lang w:val="en-GB"/>
    </w:rPr>
  </w:style>
  <w:style w:type="paragraph" w:customStyle="1" w:styleId="BOAheadingx1">
    <w:name w:val="BOA headingx 1"/>
    <w:next w:val="BOAAbstractBody"/>
    <w:link w:val="BOAheadingx1Carattere"/>
    <w:autoRedefine/>
    <w:qFormat/>
    <w:rsid w:val="00D948AD"/>
    <w:pPr>
      <w:keepNext/>
      <w:numPr>
        <w:ilvl w:val="2"/>
        <w:numId w:val="1"/>
      </w:numPr>
      <w:suppressAutoHyphens/>
      <w:spacing w:before="120" w:after="120" w:line="240" w:lineRule="auto"/>
    </w:pPr>
    <w:rPr>
      <w:rFonts w:ascii="Arial" w:eastAsia="Times New Roman" w:hAnsi="Arial" w:cs="Times New Roman"/>
      <w:b/>
      <w:sz w:val="20"/>
      <w:szCs w:val="20"/>
      <w:lang w:val="en-US"/>
    </w:rPr>
  </w:style>
  <w:style w:type="character" w:customStyle="1" w:styleId="BOAheadingx1Carattere">
    <w:name w:val="BOA headingx 1 Carattere"/>
    <w:link w:val="BOAheadingx1"/>
    <w:rsid w:val="00D948AD"/>
    <w:rPr>
      <w:rFonts w:ascii="Arial" w:eastAsia="Times New Roman" w:hAnsi="Arial" w:cs="Times New Roman"/>
      <w:b/>
      <w:sz w:val="20"/>
      <w:szCs w:val="20"/>
      <w:lang w:val="en-US"/>
    </w:rPr>
  </w:style>
  <w:style w:type="paragraph" w:styleId="Testofumetto">
    <w:name w:val="Balloon Text"/>
    <w:basedOn w:val="Normale"/>
    <w:link w:val="TestofumettoCarattere"/>
    <w:uiPriority w:val="99"/>
    <w:semiHidden/>
    <w:unhideWhenUsed/>
    <w:lock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Normale"/>
    <w:next w:val="Normale"/>
    <w:uiPriority w:val="37"/>
    <w:semiHidden/>
    <w:unhideWhenUsed/>
    <w:rsid w:val="0003148D"/>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lock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locked/>
    <w:rsid w:val="0003148D"/>
    <w:pPr>
      <w:spacing w:line="240" w:lineRule="auto"/>
    </w:pPr>
    <w:rPr>
      <w:b/>
      <w:bCs/>
      <w:color w:val="4F81BD" w:themeColor="accent1"/>
      <w:szCs w:val="18"/>
    </w:rPr>
  </w:style>
  <w:style w:type="paragraph" w:styleId="Elenco">
    <w:name w:val="List"/>
    <w:basedOn w:val="Normale"/>
    <w:uiPriority w:val="99"/>
    <w:semiHidden/>
    <w:unhideWhenUsed/>
    <w:locked/>
    <w:rsid w:val="0003148D"/>
    <w:pPr>
      <w:ind w:left="283" w:hanging="283"/>
      <w:contextualSpacing/>
    </w:pPr>
  </w:style>
  <w:style w:type="paragraph" w:styleId="Elenco2">
    <w:name w:val="List 2"/>
    <w:basedOn w:val="Normale"/>
    <w:uiPriority w:val="99"/>
    <w:semiHidden/>
    <w:unhideWhenUsed/>
    <w:locked/>
    <w:rsid w:val="0003148D"/>
    <w:pPr>
      <w:ind w:left="566" w:hanging="283"/>
      <w:contextualSpacing/>
    </w:pPr>
  </w:style>
  <w:style w:type="paragraph" w:styleId="Elenco3">
    <w:name w:val="List 3"/>
    <w:basedOn w:val="Normale"/>
    <w:uiPriority w:val="99"/>
    <w:semiHidden/>
    <w:unhideWhenUsed/>
    <w:locked/>
    <w:rsid w:val="0003148D"/>
    <w:pPr>
      <w:ind w:left="849" w:hanging="283"/>
      <w:contextualSpacing/>
    </w:pPr>
  </w:style>
  <w:style w:type="paragraph" w:styleId="Elenco4">
    <w:name w:val="List 4"/>
    <w:basedOn w:val="Normale"/>
    <w:uiPriority w:val="99"/>
    <w:semiHidden/>
    <w:unhideWhenUsed/>
    <w:locked/>
    <w:rsid w:val="0003148D"/>
    <w:pPr>
      <w:ind w:left="1132" w:hanging="283"/>
      <w:contextualSpacing/>
    </w:pPr>
  </w:style>
  <w:style w:type="paragraph" w:styleId="Elenco5">
    <w:name w:val="List 5"/>
    <w:basedOn w:val="Normale"/>
    <w:uiPriority w:val="99"/>
    <w:semiHidden/>
    <w:unhideWhenUsed/>
    <w:locked/>
    <w:rsid w:val="0003148D"/>
    <w:pPr>
      <w:ind w:left="1415" w:hanging="283"/>
      <w:contextualSpacing/>
    </w:pPr>
  </w:style>
  <w:style w:type="paragraph" w:styleId="Elencocontinua">
    <w:name w:val="List Continue"/>
    <w:basedOn w:val="Normale"/>
    <w:uiPriority w:val="99"/>
    <w:semiHidden/>
    <w:unhideWhenUsed/>
    <w:locked/>
    <w:rsid w:val="0003148D"/>
    <w:pPr>
      <w:spacing w:after="120"/>
      <w:ind w:left="283"/>
      <w:contextualSpacing/>
    </w:pPr>
  </w:style>
  <w:style w:type="paragraph" w:styleId="Elencocontinua2">
    <w:name w:val="List Continue 2"/>
    <w:basedOn w:val="Normale"/>
    <w:uiPriority w:val="99"/>
    <w:semiHidden/>
    <w:unhideWhenUsed/>
    <w:locked/>
    <w:rsid w:val="0003148D"/>
    <w:pPr>
      <w:spacing w:after="120"/>
      <w:ind w:left="566"/>
      <w:contextualSpacing/>
    </w:pPr>
  </w:style>
  <w:style w:type="paragraph" w:styleId="Elencocontinua3">
    <w:name w:val="List Continue 3"/>
    <w:basedOn w:val="Normale"/>
    <w:uiPriority w:val="99"/>
    <w:semiHidden/>
    <w:unhideWhenUsed/>
    <w:locked/>
    <w:rsid w:val="0003148D"/>
    <w:pPr>
      <w:spacing w:after="120"/>
      <w:ind w:left="849"/>
      <w:contextualSpacing/>
    </w:pPr>
  </w:style>
  <w:style w:type="paragraph" w:styleId="Elencocontinua4">
    <w:name w:val="List Continue 4"/>
    <w:basedOn w:val="Normale"/>
    <w:uiPriority w:val="99"/>
    <w:semiHidden/>
    <w:unhideWhenUsed/>
    <w:locked/>
    <w:rsid w:val="0003148D"/>
    <w:pPr>
      <w:spacing w:after="120"/>
      <w:ind w:left="1132"/>
      <w:contextualSpacing/>
    </w:pPr>
  </w:style>
  <w:style w:type="paragraph" w:styleId="Elencocontinua5">
    <w:name w:val="List Continue 5"/>
    <w:basedOn w:val="Normale"/>
    <w:uiPriority w:val="99"/>
    <w:semiHidden/>
    <w:unhideWhenUsed/>
    <w:locked/>
    <w:rsid w:val="0003148D"/>
    <w:pPr>
      <w:spacing w:after="120"/>
      <w:ind w:left="1415"/>
      <w:contextualSpacing/>
    </w:pPr>
  </w:style>
  <w:style w:type="paragraph" w:styleId="Firma">
    <w:name w:val="Signature"/>
    <w:basedOn w:val="Normale"/>
    <w:link w:val="FirmaCarattere"/>
    <w:uiPriority w:val="99"/>
    <w:semiHidden/>
    <w:unhideWhenUsed/>
    <w:lock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lock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lock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lock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locked/>
    <w:rsid w:val="0003148D"/>
    <w:pPr>
      <w:spacing w:line="240" w:lineRule="auto"/>
      <w:ind w:left="220" w:hanging="220"/>
    </w:pPr>
  </w:style>
  <w:style w:type="paragraph" w:styleId="Indice2">
    <w:name w:val="index 2"/>
    <w:basedOn w:val="Normale"/>
    <w:next w:val="Normale"/>
    <w:autoRedefine/>
    <w:uiPriority w:val="99"/>
    <w:semiHidden/>
    <w:unhideWhenUsed/>
    <w:locked/>
    <w:rsid w:val="0003148D"/>
    <w:pPr>
      <w:spacing w:line="240" w:lineRule="auto"/>
      <w:ind w:left="440" w:hanging="220"/>
    </w:pPr>
  </w:style>
  <w:style w:type="paragraph" w:styleId="Indice3">
    <w:name w:val="index 3"/>
    <w:basedOn w:val="Normale"/>
    <w:next w:val="Normale"/>
    <w:autoRedefine/>
    <w:uiPriority w:val="99"/>
    <w:semiHidden/>
    <w:unhideWhenUsed/>
    <w:locked/>
    <w:rsid w:val="0003148D"/>
    <w:pPr>
      <w:spacing w:line="240" w:lineRule="auto"/>
      <w:ind w:left="660" w:hanging="220"/>
    </w:pPr>
  </w:style>
  <w:style w:type="paragraph" w:styleId="Indice4">
    <w:name w:val="index 4"/>
    <w:basedOn w:val="Normale"/>
    <w:next w:val="Normale"/>
    <w:autoRedefine/>
    <w:uiPriority w:val="99"/>
    <w:semiHidden/>
    <w:unhideWhenUsed/>
    <w:locked/>
    <w:rsid w:val="0003148D"/>
    <w:pPr>
      <w:spacing w:line="240" w:lineRule="auto"/>
      <w:ind w:left="880" w:hanging="220"/>
    </w:pPr>
  </w:style>
  <w:style w:type="paragraph" w:styleId="Indice5">
    <w:name w:val="index 5"/>
    <w:basedOn w:val="Normale"/>
    <w:next w:val="Normale"/>
    <w:autoRedefine/>
    <w:uiPriority w:val="99"/>
    <w:semiHidden/>
    <w:unhideWhenUsed/>
    <w:locked/>
    <w:rsid w:val="0003148D"/>
    <w:pPr>
      <w:spacing w:line="240" w:lineRule="auto"/>
      <w:ind w:left="1100" w:hanging="220"/>
    </w:pPr>
  </w:style>
  <w:style w:type="paragraph" w:styleId="Indice6">
    <w:name w:val="index 6"/>
    <w:basedOn w:val="Normale"/>
    <w:next w:val="Normale"/>
    <w:autoRedefine/>
    <w:uiPriority w:val="99"/>
    <w:semiHidden/>
    <w:unhideWhenUsed/>
    <w:locked/>
    <w:rsid w:val="0003148D"/>
    <w:pPr>
      <w:spacing w:line="240" w:lineRule="auto"/>
      <w:ind w:left="1320" w:hanging="220"/>
    </w:pPr>
  </w:style>
  <w:style w:type="paragraph" w:styleId="Indice7">
    <w:name w:val="index 7"/>
    <w:basedOn w:val="Normale"/>
    <w:next w:val="Normale"/>
    <w:autoRedefine/>
    <w:uiPriority w:val="99"/>
    <w:semiHidden/>
    <w:unhideWhenUsed/>
    <w:locked/>
    <w:rsid w:val="0003148D"/>
    <w:pPr>
      <w:spacing w:line="240" w:lineRule="auto"/>
      <w:ind w:left="1540" w:hanging="220"/>
    </w:pPr>
  </w:style>
  <w:style w:type="paragraph" w:styleId="Indice8">
    <w:name w:val="index 8"/>
    <w:basedOn w:val="Normale"/>
    <w:next w:val="Normale"/>
    <w:autoRedefine/>
    <w:uiPriority w:val="99"/>
    <w:semiHidden/>
    <w:unhideWhenUsed/>
    <w:locked/>
    <w:rsid w:val="0003148D"/>
    <w:pPr>
      <w:spacing w:line="240" w:lineRule="auto"/>
      <w:ind w:left="1760" w:hanging="220"/>
    </w:pPr>
  </w:style>
  <w:style w:type="paragraph" w:styleId="Indice9">
    <w:name w:val="index 9"/>
    <w:basedOn w:val="Normale"/>
    <w:next w:val="Normale"/>
    <w:autoRedefine/>
    <w:uiPriority w:val="99"/>
    <w:semiHidden/>
    <w:unhideWhenUsed/>
    <w:locked/>
    <w:rsid w:val="0003148D"/>
    <w:pPr>
      <w:spacing w:line="240" w:lineRule="auto"/>
      <w:ind w:left="1980" w:hanging="220"/>
    </w:pPr>
  </w:style>
  <w:style w:type="paragraph" w:styleId="Indicedellefigure">
    <w:name w:val="table of figures"/>
    <w:basedOn w:val="Normale"/>
    <w:next w:val="Normale"/>
    <w:uiPriority w:val="99"/>
    <w:semiHidden/>
    <w:unhideWhenUsed/>
    <w:locked/>
    <w:rsid w:val="0003148D"/>
  </w:style>
  <w:style w:type="paragraph" w:styleId="Indicefonti">
    <w:name w:val="table of authorities"/>
    <w:basedOn w:val="Normale"/>
    <w:next w:val="Normale"/>
    <w:uiPriority w:val="99"/>
    <w:semiHidden/>
    <w:unhideWhenUsed/>
    <w:locked/>
    <w:rsid w:val="0003148D"/>
    <w:pPr>
      <w:ind w:left="220" w:hanging="220"/>
    </w:pPr>
  </w:style>
  <w:style w:type="paragraph" w:styleId="Indirizzodestinatario">
    <w:name w:val="envelope address"/>
    <w:basedOn w:val="Normale"/>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lock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lock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lock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lock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locked/>
    <w:rsid w:val="0003148D"/>
    <w:rPr>
      <w:sz w:val="24"/>
      <w:szCs w:val="24"/>
    </w:rPr>
  </w:style>
  <w:style w:type="paragraph" w:styleId="Numeroelenco">
    <w:name w:val="List Number"/>
    <w:basedOn w:val="Normale"/>
    <w:uiPriority w:val="99"/>
    <w:semiHidden/>
    <w:unhideWhenUsed/>
    <w:locked/>
    <w:rsid w:val="0003148D"/>
    <w:pPr>
      <w:numPr>
        <w:numId w:val="2"/>
      </w:numPr>
      <w:contextualSpacing/>
    </w:pPr>
  </w:style>
  <w:style w:type="paragraph" w:styleId="Numeroelenco2">
    <w:name w:val="List Number 2"/>
    <w:basedOn w:val="Normale"/>
    <w:uiPriority w:val="99"/>
    <w:semiHidden/>
    <w:unhideWhenUsed/>
    <w:locked/>
    <w:rsid w:val="0003148D"/>
    <w:pPr>
      <w:numPr>
        <w:numId w:val="3"/>
      </w:numPr>
      <w:contextualSpacing/>
    </w:pPr>
  </w:style>
  <w:style w:type="paragraph" w:styleId="Numeroelenco3">
    <w:name w:val="List Number 3"/>
    <w:basedOn w:val="Normale"/>
    <w:uiPriority w:val="99"/>
    <w:semiHidden/>
    <w:unhideWhenUsed/>
    <w:locked/>
    <w:rsid w:val="0003148D"/>
    <w:pPr>
      <w:numPr>
        <w:numId w:val="4"/>
      </w:numPr>
      <w:contextualSpacing/>
    </w:pPr>
  </w:style>
  <w:style w:type="paragraph" w:styleId="Numeroelenco4">
    <w:name w:val="List Number 4"/>
    <w:basedOn w:val="Normale"/>
    <w:uiPriority w:val="99"/>
    <w:semiHidden/>
    <w:unhideWhenUsed/>
    <w:locked/>
    <w:rsid w:val="0003148D"/>
    <w:pPr>
      <w:numPr>
        <w:numId w:val="5"/>
      </w:numPr>
      <w:contextualSpacing/>
    </w:pPr>
  </w:style>
  <w:style w:type="paragraph" w:styleId="Numeroelenco5">
    <w:name w:val="List Number 5"/>
    <w:basedOn w:val="Normale"/>
    <w:uiPriority w:val="99"/>
    <w:semiHidden/>
    <w:unhideWhenUsed/>
    <w:locked/>
    <w:rsid w:val="0003148D"/>
    <w:pPr>
      <w:numPr>
        <w:numId w:val="6"/>
      </w:numPr>
      <w:contextualSpacing/>
    </w:pPr>
  </w:style>
  <w:style w:type="paragraph" w:styleId="PreformattatoHTML">
    <w:name w:val="HTML Preformatted"/>
    <w:basedOn w:val="Normale"/>
    <w:link w:val="PreformattatoHTMLCarattere"/>
    <w:uiPriority w:val="99"/>
    <w:semiHidden/>
    <w:unhideWhenUsed/>
    <w:lock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lock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lock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lock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locked/>
    <w:rsid w:val="0003148D"/>
    <w:pPr>
      <w:numPr>
        <w:numId w:val="7"/>
      </w:numPr>
      <w:contextualSpacing/>
    </w:pPr>
  </w:style>
  <w:style w:type="paragraph" w:styleId="Puntoelenco2">
    <w:name w:val="List Bullet 2"/>
    <w:basedOn w:val="Normale"/>
    <w:uiPriority w:val="99"/>
    <w:semiHidden/>
    <w:unhideWhenUsed/>
    <w:locked/>
    <w:rsid w:val="0003148D"/>
    <w:pPr>
      <w:numPr>
        <w:numId w:val="8"/>
      </w:numPr>
      <w:contextualSpacing/>
    </w:pPr>
  </w:style>
  <w:style w:type="paragraph" w:styleId="Puntoelenco3">
    <w:name w:val="List Bullet 3"/>
    <w:basedOn w:val="Normale"/>
    <w:uiPriority w:val="99"/>
    <w:semiHidden/>
    <w:unhideWhenUsed/>
    <w:locked/>
    <w:rsid w:val="0003148D"/>
    <w:pPr>
      <w:numPr>
        <w:numId w:val="9"/>
      </w:numPr>
      <w:contextualSpacing/>
    </w:pPr>
  </w:style>
  <w:style w:type="paragraph" w:styleId="Puntoelenco4">
    <w:name w:val="List Bullet 4"/>
    <w:basedOn w:val="Normale"/>
    <w:uiPriority w:val="99"/>
    <w:semiHidden/>
    <w:unhideWhenUsed/>
    <w:locked/>
    <w:rsid w:val="0003148D"/>
    <w:pPr>
      <w:numPr>
        <w:numId w:val="10"/>
      </w:numPr>
      <w:contextualSpacing/>
    </w:pPr>
  </w:style>
  <w:style w:type="paragraph" w:styleId="Puntoelenco5">
    <w:name w:val="List Bullet 5"/>
    <w:basedOn w:val="Normale"/>
    <w:uiPriority w:val="99"/>
    <w:semiHidden/>
    <w:unhideWhenUsed/>
    <w:locked/>
    <w:rsid w:val="0003148D"/>
    <w:pPr>
      <w:numPr>
        <w:numId w:val="11"/>
      </w:numPr>
      <w:contextualSpacing/>
    </w:pPr>
  </w:style>
  <w:style w:type="paragraph" w:styleId="Rientrocorpodeltesto2">
    <w:name w:val="Body Text Indent 2"/>
    <w:basedOn w:val="Normale"/>
    <w:link w:val="Rientrocorpodeltesto2Carattere"/>
    <w:uiPriority w:val="99"/>
    <w:semiHidden/>
    <w:unhideWhenUsed/>
    <w:lock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lock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locked/>
    <w:rsid w:val="0003148D"/>
    <w:pPr>
      <w:ind w:left="720"/>
    </w:pPr>
  </w:style>
  <w:style w:type="paragraph" w:styleId="Testocommento">
    <w:name w:val="annotation text"/>
    <w:basedOn w:val="Normale"/>
    <w:link w:val="TestocommentoCarattere"/>
    <w:uiPriority w:val="99"/>
    <w:unhideWhenUsed/>
    <w:lock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lock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locked/>
    <w:rsid w:val="0003148D"/>
    <w:pPr>
      <w:spacing w:after="100"/>
    </w:pPr>
  </w:style>
  <w:style w:type="paragraph" w:styleId="Sommario2">
    <w:name w:val="toc 2"/>
    <w:basedOn w:val="Normale"/>
    <w:next w:val="Normale"/>
    <w:autoRedefine/>
    <w:uiPriority w:val="39"/>
    <w:semiHidden/>
    <w:unhideWhenUsed/>
    <w:locked/>
    <w:rsid w:val="0003148D"/>
    <w:pPr>
      <w:spacing w:after="100"/>
      <w:ind w:left="220"/>
    </w:pPr>
  </w:style>
  <w:style w:type="paragraph" w:styleId="Sommario3">
    <w:name w:val="toc 3"/>
    <w:basedOn w:val="Normale"/>
    <w:next w:val="Normale"/>
    <w:autoRedefine/>
    <w:uiPriority w:val="39"/>
    <w:semiHidden/>
    <w:unhideWhenUsed/>
    <w:locked/>
    <w:rsid w:val="0003148D"/>
    <w:pPr>
      <w:spacing w:after="100"/>
      <w:ind w:left="440"/>
    </w:pPr>
  </w:style>
  <w:style w:type="paragraph" w:styleId="Sommario4">
    <w:name w:val="toc 4"/>
    <w:basedOn w:val="Normale"/>
    <w:next w:val="Normale"/>
    <w:autoRedefine/>
    <w:uiPriority w:val="39"/>
    <w:semiHidden/>
    <w:unhideWhenUsed/>
    <w:locked/>
    <w:rsid w:val="0003148D"/>
    <w:pPr>
      <w:spacing w:after="100"/>
      <w:ind w:left="660"/>
    </w:pPr>
  </w:style>
  <w:style w:type="paragraph" w:styleId="Sommario5">
    <w:name w:val="toc 5"/>
    <w:basedOn w:val="Normale"/>
    <w:next w:val="Normale"/>
    <w:autoRedefine/>
    <w:uiPriority w:val="39"/>
    <w:semiHidden/>
    <w:unhideWhenUsed/>
    <w:locked/>
    <w:rsid w:val="0003148D"/>
    <w:pPr>
      <w:spacing w:after="100"/>
      <w:ind w:left="880"/>
    </w:pPr>
  </w:style>
  <w:style w:type="paragraph" w:styleId="Sommario6">
    <w:name w:val="toc 6"/>
    <w:basedOn w:val="Normale"/>
    <w:next w:val="Normale"/>
    <w:autoRedefine/>
    <w:uiPriority w:val="39"/>
    <w:semiHidden/>
    <w:unhideWhenUsed/>
    <w:locked/>
    <w:rsid w:val="0003148D"/>
    <w:pPr>
      <w:spacing w:after="100"/>
      <w:ind w:left="1100"/>
    </w:pPr>
  </w:style>
  <w:style w:type="paragraph" w:styleId="Sommario7">
    <w:name w:val="toc 7"/>
    <w:basedOn w:val="Normale"/>
    <w:next w:val="Normale"/>
    <w:autoRedefine/>
    <w:uiPriority w:val="39"/>
    <w:semiHidden/>
    <w:unhideWhenUsed/>
    <w:locked/>
    <w:rsid w:val="0003148D"/>
    <w:pPr>
      <w:spacing w:after="100"/>
      <w:ind w:left="1320"/>
    </w:pPr>
  </w:style>
  <w:style w:type="paragraph" w:styleId="Sommario8">
    <w:name w:val="toc 8"/>
    <w:basedOn w:val="Normale"/>
    <w:next w:val="Normale"/>
    <w:autoRedefine/>
    <w:uiPriority w:val="39"/>
    <w:semiHidden/>
    <w:unhideWhenUsed/>
    <w:locked/>
    <w:rsid w:val="0003148D"/>
    <w:pPr>
      <w:spacing w:after="100"/>
      <w:ind w:left="1540"/>
    </w:pPr>
  </w:style>
  <w:style w:type="paragraph" w:styleId="Sommario9">
    <w:name w:val="toc 9"/>
    <w:basedOn w:val="Normale"/>
    <w:next w:val="Normale"/>
    <w:autoRedefine/>
    <w:uiPriority w:val="39"/>
    <w:semiHidden/>
    <w:unhideWhenUsed/>
    <w:locked/>
    <w:rsid w:val="0003148D"/>
    <w:pPr>
      <w:spacing w:after="100"/>
      <w:ind w:left="1760"/>
    </w:pPr>
  </w:style>
  <w:style w:type="paragraph" w:styleId="Testodelblocco">
    <w:name w:val="Block Text"/>
    <w:basedOn w:val="Normale"/>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lock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lock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lock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lock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locked/>
    <w:rsid w:val="0003148D"/>
    <w:pPr>
      <w:outlineLvl w:val="9"/>
    </w:pPr>
  </w:style>
  <w:style w:type="character" w:customStyle="1" w:styleId="BOAAddressCarattere">
    <w:name w:val="BOA Address Carattere"/>
    <w:basedOn w:val="Carpredefinitoparagrafo"/>
    <w:link w:val="BOAAddress"/>
    <w:rsid w:val="00591C6C"/>
    <w:rPr>
      <w:rFonts w:ascii="Arial" w:eastAsia="Times New Roman" w:hAnsi="Arial" w:cs="Times New Roman"/>
      <w:i/>
      <w:noProof/>
      <w:sz w:val="20"/>
      <w:szCs w:val="20"/>
      <w:lang w:val="en-GB"/>
    </w:rPr>
  </w:style>
  <w:style w:type="table" w:styleId="Grigliatabella">
    <w:name w:val="Table Grid"/>
    <w:basedOn w:val="Tabellanormale"/>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AAbstractBody">
    <w:name w:val="BOA Abstract Body"/>
    <w:basedOn w:val="Normale"/>
    <w:autoRedefine/>
    <w:qFormat/>
    <w:rsid w:val="00F879FE"/>
    <w:pPr>
      <w:tabs>
        <w:tab w:val="clear" w:pos="7100"/>
      </w:tabs>
      <w:spacing w:line="240" w:lineRule="atLeast"/>
      <w:ind w:right="-1"/>
    </w:pPr>
    <w:rPr>
      <w:sz w:val="22"/>
      <w:lang w:val="en-US"/>
    </w:rPr>
  </w:style>
  <w:style w:type="paragraph" w:customStyle="1" w:styleId="BOAemail">
    <w:name w:val="BOA email"/>
    <w:next w:val="BOAHeading"/>
    <w:autoRedefine/>
    <w:qFormat/>
    <w:rsid w:val="00E1280C"/>
    <w:pPr>
      <w:spacing w:before="120" w:after="0" w:line="360" w:lineRule="auto"/>
      <w:ind w:left="284" w:hanging="284"/>
      <w:jc w:val="center"/>
    </w:pPr>
    <w:rPr>
      <w:rFonts w:ascii="Arial" w:eastAsia="Times New Roman" w:hAnsi="Arial" w:cs="Times New Roman"/>
      <w:i/>
      <w:sz w:val="20"/>
      <w:szCs w:val="20"/>
      <w:lang w:val="en-GB"/>
    </w:rPr>
  </w:style>
  <w:style w:type="character" w:styleId="Rimandocommento">
    <w:name w:val="annotation reference"/>
    <w:uiPriority w:val="99"/>
    <w:semiHidden/>
    <w:unhideWhenUsed/>
    <w:locked/>
    <w:rsid w:val="00466AB5"/>
    <w:rPr>
      <w:sz w:val="16"/>
      <w:szCs w:val="16"/>
    </w:rPr>
  </w:style>
  <w:style w:type="paragraph" w:styleId="Revisione">
    <w:name w:val="Revision"/>
    <w:hidden/>
    <w:uiPriority w:val="99"/>
    <w:semiHidden/>
    <w:rsid w:val="00FE08EA"/>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316879">
      <w:bodyDiv w:val="1"/>
      <w:marLeft w:val="0"/>
      <w:marRight w:val="0"/>
      <w:marTop w:val="0"/>
      <w:marBottom w:val="0"/>
      <w:divBdr>
        <w:top w:val="none" w:sz="0" w:space="0" w:color="auto"/>
        <w:left w:val="none" w:sz="0" w:space="0" w:color="auto"/>
        <w:bottom w:val="none" w:sz="0" w:space="0" w:color="auto"/>
        <w:right w:val="none" w:sz="0" w:space="0" w:color="auto"/>
      </w:divBdr>
    </w:div>
    <w:div w:id="775296180">
      <w:bodyDiv w:val="1"/>
      <w:marLeft w:val="0"/>
      <w:marRight w:val="0"/>
      <w:marTop w:val="0"/>
      <w:marBottom w:val="0"/>
      <w:divBdr>
        <w:top w:val="none" w:sz="0" w:space="0" w:color="auto"/>
        <w:left w:val="none" w:sz="0" w:space="0" w:color="auto"/>
        <w:bottom w:val="none" w:sz="0" w:space="0" w:color="auto"/>
        <w:right w:val="none" w:sz="0" w:space="0" w:color="auto"/>
      </w:divBdr>
    </w:div>
    <w:div w:id="1370648624">
      <w:bodyDiv w:val="1"/>
      <w:marLeft w:val="0"/>
      <w:marRight w:val="0"/>
      <w:marTop w:val="0"/>
      <w:marBottom w:val="0"/>
      <w:divBdr>
        <w:top w:val="none" w:sz="0" w:space="0" w:color="auto"/>
        <w:left w:val="none" w:sz="0" w:space="0" w:color="auto"/>
        <w:bottom w:val="none" w:sz="0" w:space="0" w:color="auto"/>
        <w:right w:val="none" w:sz="0" w:space="0" w:color="auto"/>
      </w:divBdr>
    </w:div>
    <w:div w:id="146204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D1DB8-CAB0-433F-A1E5-F80519E4D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2631</Words>
  <Characters>14997</Characters>
  <Application>Microsoft Office Word</Application>
  <DocSecurity>0</DocSecurity>
  <Lines>124</Lines>
  <Paragraphs>35</Paragraphs>
  <ScaleCrop>false</ScaleCrop>
  <HeadingPairs>
    <vt:vector size="6" baseType="variant">
      <vt:variant>
        <vt:lpstr>Titel</vt:lpstr>
      </vt:variant>
      <vt:variant>
        <vt:i4>1</vt:i4>
      </vt:variant>
      <vt:variant>
        <vt:lpstr>Titolo</vt:lpstr>
      </vt:variant>
      <vt:variant>
        <vt:i4>1</vt:i4>
      </vt:variant>
      <vt:variant>
        <vt:lpstr>Titre</vt:lpstr>
      </vt:variant>
      <vt:variant>
        <vt:i4>1</vt:i4>
      </vt:variant>
    </vt:vector>
  </HeadingPairs>
  <TitlesOfParts>
    <vt:vector size="3" baseType="lpstr">
      <vt:lpstr/>
      <vt:lpstr/>
      <vt:lpstr/>
    </vt:vector>
  </TitlesOfParts>
  <Company>Dipartimento CMIC - Politecnico di Milano</Company>
  <LinksUpToDate>false</LinksUpToDate>
  <CharactersWithSpaces>17593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Sauro Pierucci</cp:lastModifiedBy>
  <cp:revision>2</cp:revision>
  <cp:lastPrinted>2025-01-29T11:40:00Z</cp:lastPrinted>
  <dcterms:created xsi:type="dcterms:W3CDTF">2025-01-30T10:42:00Z</dcterms:created>
  <dcterms:modified xsi:type="dcterms:W3CDTF">2025-01-30T10:42:00Z</dcterms:modified>
</cp:coreProperties>
</file>