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07189">
        <w:trPr>
          <w:trHeight w:val="852"/>
          <w:jc w:val="center"/>
        </w:trPr>
        <w:tc>
          <w:tcPr>
            <w:tcW w:w="6940" w:type="dxa"/>
            <w:vMerge w:val="restart"/>
            <w:tcBorders>
              <w:right w:val="single" w:sz="4" w:space="0" w:color="auto"/>
            </w:tcBorders>
          </w:tcPr>
          <w:p w14:paraId="38C3D2BA" w14:textId="23E101DB"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49B5ABA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1A580260"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8F3DFDD"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0718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BCF19A6"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07189">
        <w:trPr>
          <w:trHeight w:val="68"/>
          <w:jc w:val="center"/>
        </w:trPr>
        <w:tc>
          <w:tcPr>
            <w:tcW w:w="8782" w:type="dxa"/>
            <w:gridSpan w:val="2"/>
          </w:tcPr>
          <w:p w14:paraId="30F07041" w14:textId="318B17E9"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228AB473" w:rsidR="00E978D0" w:rsidRPr="00B57B36" w:rsidRDefault="00154D8A" w:rsidP="00E978D0">
      <w:pPr>
        <w:pStyle w:val="CETTitle"/>
      </w:pPr>
      <w:r>
        <w:t>Determining thermal radiation from a pool fire using computational geometry</w:t>
      </w:r>
    </w:p>
    <w:p w14:paraId="0488FED2" w14:textId="5A3D1518" w:rsidR="00B57E6F" w:rsidRPr="00B57B36" w:rsidRDefault="00707189" w:rsidP="00B57E6F">
      <w:pPr>
        <w:pStyle w:val="CETAuthors"/>
      </w:pPr>
      <w:r>
        <w:t>Mohammad Seyfi</w:t>
      </w:r>
      <w:r w:rsidR="00B57E6F" w:rsidRPr="00B57B36">
        <w:rPr>
          <w:vertAlign w:val="superscript"/>
        </w:rPr>
        <w:t>a</w:t>
      </w:r>
    </w:p>
    <w:p w14:paraId="6B2D21B3" w14:textId="3970EDB4" w:rsidR="00B57E6F" w:rsidRPr="00B57B36" w:rsidRDefault="00B57E6F" w:rsidP="00B57E6F">
      <w:pPr>
        <w:pStyle w:val="CETAddress"/>
      </w:pPr>
      <w:r w:rsidRPr="00B57B36">
        <w:rPr>
          <w:vertAlign w:val="superscript"/>
        </w:rPr>
        <w:t>a</w:t>
      </w:r>
      <w:r w:rsidR="00707189">
        <w:t>Royal HaskoningDHV</w:t>
      </w:r>
      <w:r w:rsidRPr="00B57B36">
        <w:t xml:space="preserve"> </w:t>
      </w:r>
    </w:p>
    <w:p w14:paraId="73F1267A" w14:textId="1AF9E757" w:rsidR="00B57E6F" w:rsidRDefault="00B57E6F" w:rsidP="00B57E6F">
      <w:pPr>
        <w:pStyle w:val="CETemail"/>
      </w:pPr>
      <w:r>
        <w:t xml:space="preserve"> </w:t>
      </w:r>
      <w:r w:rsidR="00707189" w:rsidRPr="000868FE">
        <w:t>mohammad.seyfi@rhdhv.com</w:t>
      </w:r>
    </w:p>
    <w:p w14:paraId="0CCC4188" w14:textId="33F430ED" w:rsidR="002027BD" w:rsidRDefault="006848FD" w:rsidP="00203354">
      <w:pPr>
        <w:pStyle w:val="CETBodytext"/>
        <w:rPr>
          <w:lang w:val="en-GB"/>
        </w:rPr>
      </w:pPr>
      <w:r>
        <w:rPr>
          <w:lang w:val="en-GB"/>
        </w:rPr>
        <w:t>D</w:t>
      </w:r>
      <w:r w:rsidR="00707189" w:rsidRPr="00707189">
        <w:rPr>
          <w:lang w:val="en-GB"/>
        </w:rPr>
        <w:t xml:space="preserve">etermining the failure onset of an object due to incident thermal radiation from a fire has been a challenging topic in </w:t>
      </w:r>
      <w:r>
        <w:rPr>
          <w:lang w:val="en-GB"/>
        </w:rPr>
        <w:t xml:space="preserve">fire consequence analysis in </w:t>
      </w:r>
      <w:r w:rsidR="00707189" w:rsidRPr="00707189">
        <w:rPr>
          <w:lang w:val="en-GB"/>
        </w:rPr>
        <w:t xml:space="preserve">the process </w:t>
      </w:r>
      <w:r w:rsidR="00200393">
        <w:rPr>
          <w:lang w:val="en-GB"/>
        </w:rPr>
        <w:t xml:space="preserve">safety </w:t>
      </w:r>
      <w:r w:rsidR="00707189" w:rsidRPr="00707189">
        <w:rPr>
          <w:lang w:val="en-GB"/>
        </w:rPr>
        <w:t>industr</w:t>
      </w:r>
      <w:r w:rsidR="002E04BB">
        <w:rPr>
          <w:lang w:val="en-GB"/>
        </w:rPr>
        <w:t>y</w:t>
      </w:r>
      <w:r w:rsidR="00707189" w:rsidRPr="00707189">
        <w:rPr>
          <w:lang w:val="en-GB"/>
        </w:rPr>
        <w:t>.</w:t>
      </w:r>
      <w:r w:rsidR="004D59C0" w:rsidRPr="004D59C0">
        <w:rPr>
          <w:lang w:val="en-GB"/>
        </w:rPr>
        <w:t xml:space="preserve"> </w:t>
      </w:r>
      <w:r w:rsidR="004D59C0" w:rsidRPr="00154D8A">
        <w:rPr>
          <w:lang w:val="en-GB"/>
        </w:rPr>
        <w:t xml:space="preserve">Failure of equipment exposed to fire is typically estimated using </w:t>
      </w:r>
      <w:r w:rsidR="004D59C0">
        <w:rPr>
          <w:lang w:val="en-GB"/>
        </w:rPr>
        <w:t xml:space="preserve">an </w:t>
      </w:r>
      <w:r w:rsidR="00D34CB0">
        <w:rPr>
          <w:lang w:val="en-GB"/>
        </w:rPr>
        <w:t>uniform</w:t>
      </w:r>
      <w:r w:rsidR="004D59C0" w:rsidRPr="00154D8A">
        <w:rPr>
          <w:lang w:val="en-GB"/>
        </w:rPr>
        <w:t xml:space="preserve"> flame surface emissive power (SEP) in combination with atmospheric </w:t>
      </w:r>
      <w:r w:rsidR="004D59C0">
        <w:rPr>
          <w:lang w:val="en-GB"/>
        </w:rPr>
        <w:t>absorption</w:t>
      </w:r>
      <w:r w:rsidR="004D59C0" w:rsidRPr="00154D8A">
        <w:rPr>
          <w:lang w:val="en-GB"/>
        </w:rPr>
        <w:t xml:space="preserve"> and a </w:t>
      </w:r>
      <w:r w:rsidR="004D59C0">
        <w:rPr>
          <w:lang w:val="en-GB"/>
        </w:rPr>
        <w:t>view</w:t>
      </w:r>
      <w:r w:rsidR="004D59C0" w:rsidRPr="00154D8A">
        <w:rPr>
          <w:lang w:val="en-GB"/>
        </w:rPr>
        <w:t xml:space="preserve"> factor (</w:t>
      </w:r>
      <w:r w:rsidR="004D59C0">
        <w:rPr>
          <w:lang w:val="en-GB"/>
        </w:rPr>
        <w:t xml:space="preserve">configuration </w:t>
      </w:r>
      <w:r w:rsidR="004D59C0" w:rsidRPr="00154D8A">
        <w:rPr>
          <w:lang w:val="en-GB"/>
        </w:rPr>
        <w:t xml:space="preserve">factor) which is usually determined based on </w:t>
      </w:r>
      <w:r w:rsidR="00236DE1">
        <w:rPr>
          <w:lang w:val="en-GB"/>
        </w:rPr>
        <w:t xml:space="preserve">the most </w:t>
      </w:r>
      <w:r w:rsidR="004D59C0">
        <w:rPr>
          <w:lang w:val="en-GB"/>
        </w:rPr>
        <w:t>conservative orientations and distances</w:t>
      </w:r>
      <w:r w:rsidR="005D7125">
        <w:rPr>
          <w:lang w:val="en-GB"/>
        </w:rPr>
        <w:t xml:space="preserve">, </w:t>
      </w:r>
      <w:r w:rsidR="006707F3">
        <w:rPr>
          <w:lang w:val="en-GB"/>
        </w:rPr>
        <w:t>namely</w:t>
      </w:r>
      <w:r w:rsidR="005D7125" w:rsidRPr="00707189">
        <w:rPr>
          <w:lang w:val="en-GB"/>
        </w:rPr>
        <w:t xml:space="preserve"> the </w:t>
      </w:r>
      <w:r w:rsidR="00601806">
        <w:rPr>
          <w:lang w:val="en-GB"/>
        </w:rPr>
        <w:t>radiation target</w:t>
      </w:r>
      <w:r w:rsidR="005D7125" w:rsidRPr="00707189">
        <w:rPr>
          <w:lang w:val="en-GB"/>
        </w:rPr>
        <w:t xml:space="preserve"> at the shortest distance and perpendicular to the incident radiation direction</w:t>
      </w:r>
      <w:r w:rsidR="004D59C0" w:rsidRPr="00154D8A">
        <w:rPr>
          <w:lang w:val="en-GB"/>
        </w:rPr>
        <w:t>.</w:t>
      </w:r>
      <w:r w:rsidR="0062723A">
        <w:rPr>
          <w:lang w:val="en-GB"/>
        </w:rPr>
        <w:t xml:space="preserve"> </w:t>
      </w:r>
      <w:r w:rsidR="00EE585C">
        <w:rPr>
          <w:lang w:val="en-GB"/>
        </w:rPr>
        <w:t xml:space="preserve">The proposed method in this manuscript </w:t>
      </w:r>
      <w:r>
        <w:rPr>
          <w:lang w:val="en-GB"/>
        </w:rPr>
        <w:t>featur</w:t>
      </w:r>
      <w:r w:rsidR="00EE585C">
        <w:rPr>
          <w:lang w:val="en-GB"/>
        </w:rPr>
        <w:t>es</w:t>
      </w:r>
      <w:r>
        <w:rPr>
          <w:lang w:val="en-GB"/>
        </w:rPr>
        <w:t xml:space="preserve"> </w:t>
      </w:r>
      <w:r w:rsidR="000D7663">
        <w:rPr>
          <w:lang w:val="en-GB"/>
        </w:rPr>
        <w:t>a source-based</w:t>
      </w:r>
      <w:r w:rsidR="004D59C0">
        <w:rPr>
          <w:lang w:val="en-GB"/>
        </w:rPr>
        <w:t xml:space="preserve"> representation of the view factor,</w:t>
      </w:r>
      <w:r w:rsidR="004D59C0" w:rsidRPr="004D59C0">
        <w:rPr>
          <w:lang w:val="en-GB"/>
        </w:rPr>
        <w:t xml:space="preserve"> </w:t>
      </w:r>
      <w:r w:rsidR="004D59C0" w:rsidRPr="00707189">
        <w:rPr>
          <w:lang w:val="en-GB"/>
        </w:rPr>
        <w:t>as opposed to the conventional receiver-based view factor</w:t>
      </w:r>
      <w:r w:rsidR="004D59C0">
        <w:rPr>
          <w:lang w:val="en-GB"/>
        </w:rPr>
        <w:t>s.</w:t>
      </w:r>
      <w:r w:rsidR="000D7663">
        <w:rPr>
          <w:lang w:val="en-GB"/>
        </w:rPr>
        <w:t xml:space="preserve"> </w:t>
      </w:r>
      <w:r w:rsidR="00513BAB" w:rsidRPr="00513BAB">
        <w:rPr>
          <w:lang w:val="en-GB"/>
        </w:rPr>
        <w:t xml:space="preserve">This approach allows for a variable SEP instead of a </w:t>
      </w:r>
      <w:r w:rsidR="007D7BB1">
        <w:rPr>
          <w:lang w:val="en-GB"/>
        </w:rPr>
        <w:t>uniform</w:t>
      </w:r>
      <w:r w:rsidR="00513BAB" w:rsidRPr="00513BAB">
        <w:rPr>
          <w:lang w:val="en-GB"/>
        </w:rPr>
        <w:t xml:space="preserve"> value for the entire flame region.</w:t>
      </w:r>
      <w:r w:rsidR="000D7663">
        <w:rPr>
          <w:lang w:val="en-GB"/>
        </w:rPr>
        <w:t xml:space="preserve"> </w:t>
      </w:r>
      <w:r w:rsidR="00707189" w:rsidRPr="00707189">
        <w:rPr>
          <w:lang w:val="en-GB"/>
        </w:rPr>
        <w:t xml:space="preserve">The </w:t>
      </w:r>
      <w:r w:rsidR="004D59C0">
        <w:rPr>
          <w:lang w:val="en-GB"/>
        </w:rPr>
        <w:t xml:space="preserve">view </w:t>
      </w:r>
      <w:r w:rsidR="00707189" w:rsidRPr="00707189">
        <w:rPr>
          <w:lang w:val="en-GB"/>
        </w:rPr>
        <w:t>factor</w:t>
      </w:r>
      <w:r w:rsidR="000D7663">
        <w:rPr>
          <w:lang w:val="en-GB"/>
        </w:rPr>
        <w:t xml:space="preserve"> </w:t>
      </w:r>
      <w:r w:rsidR="00707189" w:rsidRPr="00707189">
        <w:rPr>
          <w:lang w:val="en-GB"/>
        </w:rPr>
        <w:t>is calculated using computational geometry</w:t>
      </w:r>
      <w:r w:rsidR="0039382A">
        <w:rPr>
          <w:lang w:val="en-GB"/>
        </w:rPr>
        <w:t>,</w:t>
      </w:r>
      <w:r w:rsidR="00707189" w:rsidRPr="00707189">
        <w:rPr>
          <w:lang w:val="en-GB"/>
        </w:rPr>
        <w:t xml:space="preserve"> between </w:t>
      </w:r>
      <w:r w:rsidR="00BE0243">
        <w:rPr>
          <w:lang w:val="en-GB"/>
        </w:rPr>
        <w:t xml:space="preserve">individual </w:t>
      </w:r>
      <w:r w:rsidR="00707189" w:rsidRPr="00707189">
        <w:rPr>
          <w:lang w:val="en-GB"/>
        </w:rPr>
        <w:t xml:space="preserve">segments of the </w:t>
      </w:r>
      <w:r w:rsidR="0039382A">
        <w:rPr>
          <w:lang w:val="en-GB"/>
        </w:rPr>
        <w:t xml:space="preserve">radiation source </w:t>
      </w:r>
      <w:r w:rsidR="00707189" w:rsidRPr="00707189">
        <w:rPr>
          <w:lang w:val="en-GB"/>
        </w:rPr>
        <w:t>and segments of the exposed object</w:t>
      </w:r>
      <w:r w:rsidR="00512C12">
        <w:rPr>
          <w:lang w:val="en-GB"/>
        </w:rPr>
        <w:t xml:space="preserve">, </w:t>
      </w:r>
      <w:r w:rsidR="00BE0243">
        <w:rPr>
          <w:lang w:val="en-GB"/>
        </w:rPr>
        <w:t>based on</w:t>
      </w:r>
      <w:r w:rsidR="000D7663">
        <w:rPr>
          <w:lang w:val="en-GB"/>
        </w:rPr>
        <w:t xml:space="preserve"> analytical solutions </w:t>
      </w:r>
      <w:r w:rsidR="00254034">
        <w:rPr>
          <w:lang w:val="en-GB"/>
        </w:rPr>
        <w:t>of</w:t>
      </w:r>
      <w:r w:rsidR="000D7663">
        <w:rPr>
          <w:lang w:val="en-GB"/>
        </w:rPr>
        <w:t xml:space="preserve"> the view factor between </w:t>
      </w:r>
      <w:r w:rsidR="00254034">
        <w:rPr>
          <w:lang w:val="en-GB"/>
        </w:rPr>
        <w:t>finite surfaces</w:t>
      </w:r>
      <w:r w:rsidR="00707189" w:rsidRPr="00707189">
        <w:rPr>
          <w:lang w:val="en-GB"/>
        </w:rPr>
        <w:t>.</w:t>
      </w:r>
      <w:r w:rsidR="004E74DE">
        <w:rPr>
          <w:lang w:val="en-GB"/>
        </w:rPr>
        <w:t xml:space="preserve"> The total </w:t>
      </w:r>
      <w:r w:rsidR="009D6C60">
        <w:rPr>
          <w:lang w:val="en-GB"/>
        </w:rPr>
        <w:t xml:space="preserve">thermal </w:t>
      </w:r>
      <w:r w:rsidR="004E74DE">
        <w:rPr>
          <w:lang w:val="en-GB"/>
        </w:rPr>
        <w:t xml:space="preserve">radiation </w:t>
      </w:r>
      <w:r w:rsidR="005970FC">
        <w:rPr>
          <w:lang w:val="en-GB"/>
        </w:rPr>
        <w:t xml:space="preserve">flux </w:t>
      </w:r>
      <w:r w:rsidR="00CF4BC4">
        <w:rPr>
          <w:lang w:val="en-GB"/>
        </w:rPr>
        <w:t xml:space="preserve">incident </w:t>
      </w:r>
      <w:r w:rsidR="005970FC">
        <w:rPr>
          <w:lang w:val="en-GB"/>
        </w:rPr>
        <w:t xml:space="preserve">on each segment of the exposed object is thus calculated </w:t>
      </w:r>
      <w:r w:rsidR="009D6C60">
        <w:rPr>
          <w:lang w:val="en-GB"/>
        </w:rPr>
        <w:t>by summing</w:t>
      </w:r>
      <w:r w:rsidR="001032F5">
        <w:rPr>
          <w:lang w:val="en-GB"/>
        </w:rPr>
        <w:t xml:space="preserve"> the radiation</w:t>
      </w:r>
      <w:r w:rsidR="005970FC">
        <w:rPr>
          <w:lang w:val="en-GB"/>
        </w:rPr>
        <w:t xml:space="preserve"> </w:t>
      </w:r>
      <w:r w:rsidR="001032F5">
        <w:rPr>
          <w:lang w:val="en-GB"/>
        </w:rPr>
        <w:t>from each fire segment using</w:t>
      </w:r>
      <w:r w:rsidR="00330655">
        <w:rPr>
          <w:lang w:val="en-GB"/>
        </w:rPr>
        <w:t xml:space="preserve"> </w:t>
      </w:r>
      <w:r w:rsidR="0014205C">
        <w:rPr>
          <w:lang w:val="en-GB"/>
        </w:rPr>
        <w:t xml:space="preserve">a </w:t>
      </w:r>
      <w:r w:rsidR="00330655">
        <w:rPr>
          <w:lang w:val="en-GB"/>
        </w:rPr>
        <w:t xml:space="preserve">separate </w:t>
      </w:r>
      <w:r w:rsidR="005970FC">
        <w:rPr>
          <w:lang w:val="en-GB"/>
        </w:rPr>
        <w:t>SEP and view factor</w:t>
      </w:r>
      <w:r w:rsidR="00F0334B">
        <w:rPr>
          <w:lang w:val="en-GB"/>
        </w:rPr>
        <w:t>.</w:t>
      </w:r>
      <w:r w:rsidR="005D7125">
        <w:rPr>
          <w:lang w:val="en-GB"/>
        </w:rPr>
        <w:t xml:space="preserve"> </w:t>
      </w:r>
      <w:r w:rsidR="00203354" w:rsidRPr="00203354">
        <w:rPr>
          <w:lang w:val="en-GB"/>
        </w:rPr>
        <w:t xml:space="preserve">To evaluate the proposed method </w:t>
      </w:r>
      <w:r w:rsidR="00A43C6D">
        <w:rPr>
          <w:lang w:val="en-GB"/>
        </w:rPr>
        <w:t>with</w:t>
      </w:r>
      <w:r w:rsidR="00203354" w:rsidRPr="00203354">
        <w:rPr>
          <w:lang w:val="en-GB"/>
        </w:rPr>
        <w:t xml:space="preserve"> existing </w:t>
      </w:r>
      <w:r w:rsidR="00A43C6D">
        <w:rPr>
          <w:lang w:val="en-GB"/>
        </w:rPr>
        <w:t>models</w:t>
      </w:r>
      <w:r w:rsidR="00203354" w:rsidRPr="00203354">
        <w:rPr>
          <w:lang w:val="en-GB"/>
        </w:rPr>
        <w:t xml:space="preserve">, a simplified arrangement is considered. This involves a pool fire </w:t>
      </w:r>
      <w:r w:rsidR="00A43C6D">
        <w:rPr>
          <w:lang w:val="en-GB"/>
        </w:rPr>
        <w:t xml:space="preserve">on the ground </w:t>
      </w:r>
      <w:r w:rsidR="00203354" w:rsidRPr="00203354">
        <w:rPr>
          <w:lang w:val="en-GB"/>
        </w:rPr>
        <w:t xml:space="preserve">and a vertical cylindrical storage tank </w:t>
      </w:r>
      <w:r w:rsidR="00A43C6D">
        <w:rPr>
          <w:lang w:val="en-GB"/>
        </w:rPr>
        <w:t>representing</w:t>
      </w:r>
      <w:r w:rsidR="00203354" w:rsidRPr="00203354">
        <w:rPr>
          <w:lang w:val="en-GB"/>
        </w:rPr>
        <w:t xml:space="preserve"> the exposed object</w:t>
      </w:r>
      <w:r w:rsidR="000D7663">
        <w:rPr>
          <w:lang w:val="en-GB"/>
        </w:rPr>
        <w:t>. However, th</w:t>
      </w:r>
      <w:r w:rsidR="00EC36AB">
        <w:rPr>
          <w:lang w:val="en-GB"/>
        </w:rPr>
        <w:t>is</w:t>
      </w:r>
      <w:r w:rsidR="000D7663">
        <w:rPr>
          <w:lang w:val="en-GB"/>
        </w:rPr>
        <w:t xml:space="preserve"> method </w:t>
      </w:r>
      <w:r w:rsidR="00EC36AB">
        <w:rPr>
          <w:lang w:val="en-GB"/>
        </w:rPr>
        <w:t>is</w:t>
      </w:r>
      <w:r>
        <w:rPr>
          <w:lang w:val="en-GB"/>
        </w:rPr>
        <w:t xml:space="preserve"> appli</w:t>
      </w:r>
      <w:r w:rsidR="00EC36AB">
        <w:rPr>
          <w:lang w:val="en-GB"/>
        </w:rPr>
        <w:t>cable</w:t>
      </w:r>
      <w:r>
        <w:rPr>
          <w:lang w:val="en-GB"/>
        </w:rPr>
        <w:t xml:space="preserve"> </w:t>
      </w:r>
      <w:r w:rsidR="000D7663">
        <w:rPr>
          <w:lang w:val="en-GB"/>
        </w:rPr>
        <w:t xml:space="preserve">to a wide range of </w:t>
      </w:r>
      <w:r w:rsidR="00EC36AB">
        <w:rPr>
          <w:lang w:val="en-GB"/>
        </w:rPr>
        <w:t xml:space="preserve">other </w:t>
      </w:r>
      <w:r>
        <w:rPr>
          <w:lang w:val="en-GB"/>
        </w:rPr>
        <w:t>spatial configurations</w:t>
      </w:r>
      <w:r w:rsidR="000D7663">
        <w:rPr>
          <w:lang w:val="en-GB"/>
        </w:rPr>
        <w:t>, including multiple fire sources and exposed objects</w:t>
      </w:r>
      <w:r w:rsidR="008639AE">
        <w:rPr>
          <w:lang w:val="en-GB"/>
        </w:rPr>
        <w:t xml:space="preserve">, as well as </w:t>
      </w:r>
      <w:r w:rsidR="00E76531">
        <w:rPr>
          <w:lang w:val="en-GB"/>
        </w:rPr>
        <w:t>various</w:t>
      </w:r>
      <w:r w:rsidR="001D461B">
        <w:rPr>
          <w:lang w:val="en-GB"/>
        </w:rPr>
        <w:t xml:space="preserve"> shapes for</w:t>
      </w:r>
      <w:r w:rsidR="008639AE">
        <w:rPr>
          <w:lang w:val="en-GB"/>
        </w:rPr>
        <w:t xml:space="preserve"> flames or exposed objects</w:t>
      </w:r>
      <w:r w:rsidR="005D7125">
        <w:rPr>
          <w:lang w:val="en-GB"/>
        </w:rPr>
        <w:t>.</w:t>
      </w:r>
    </w:p>
    <w:p w14:paraId="476B2F2E" w14:textId="588519EE" w:rsidR="00600535" w:rsidRDefault="00600535" w:rsidP="00600535">
      <w:pPr>
        <w:pStyle w:val="CETHeading1"/>
        <w:rPr>
          <w:lang w:val="en-GB"/>
        </w:rPr>
      </w:pPr>
      <w:r w:rsidRPr="00B57B36">
        <w:rPr>
          <w:lang w:val="en-GB"/>
        </w:rPr>
        <w:t>Introduction</w:t>
      </w:r>
    </w:p>
    <w:p w14:paraId="23603BE6" w14:textId="168404FE" w:rsidR="00462079" w:rsidRDefault="00154D8A" w:rsidP="00E46D82">
      <w:pPr>
        <w:pStyle w:val="CETBodytext"/>
        <w:rPr>
          <w:lang w:val="en-GB"/>
        </w:rPr>
      </w:pPr>
      <w:r w:rsidRPr="00154D8A">
        <w:rPr>
          <w:lang w:val="en-GB"/>
        </w:rPr>
        <w:t xml:space="preserve">Domino effects and dynamic risk assessment have been addressed in many research papers with a focus </w:t>
      </w:r>
      <w:r w:rsidR="000F086C">
        <w:rPr>
          <w:lang w:val="en-GB"/>
        </w:rPr>
        <w:t>on</w:t>
      </w:r>
      <w:r w:rsidRPr="00154D8A">
        <w:rPr>
          <w:lang w:val="en-GB"/>
        </w:rPr>
        <w:t xml:space="preserve"> the probability of fire escalation</w:t>
      </w:r>
      <w:r w:rsidR="00BC64AC">
        <w:rPr>
          <w:lang w:val="en-GB"/>
        </w:rPr>
        <w:t xml:space="preserve"> via thermal load</w:t>
      </w:r>
      <w:r w:rsidR="005B5FEB">
        <w:rPr>
          <w:lang w:val="en-GB"/>
        </w:rPr>
        <w:t xml:space="preserve"> on nearby objects</w:t>
      </w:r>
      <w:r w:rsidRPr="00154D8A">
        <w:rPr>
          <w:lang w:val="en-GB"/>
        </w:rPr>
        <w:t xml:space="preserve">. </w:t>
      </w:r>
      <w:r w:rsidR="0078640F">
        <w:rPr>
          <w:lang w:val="en-GB"/>
        </w:rPr>
        <w:t>Many</w:t>
      </w:r>
      <w:r w:rsidRPr="00154D8A">
        <w:rPr>
          <w:lang w:val="en-GB"/>
        </w:rPr>
        <w:t xml:space="preserve"> studies are risk-based and use probit functions and the concept of time to failure (ttf). Several of these studies </w:t>
      </w:r>
      <w:r w:rsidR="005B5FEB">
        <w:rPr>
          <w:lang w:val="en-GB"/>
        </w:rPr>
        <w:t>were</w:t>
      </w:r>
      <w:r w:rsidRPr="00154D8A">
        <w:rPr>
          <w:lang w:val="en-GB"/>
        </w:rPr>
        <w:t xml:space="preserve"> summarized in the paper by Zhou</w:t>
      </w:r>
      <w:r w:rsidR="00EA6A2A">
        <w:rPr>
          <w:lang w:val="en-GB"/>
        </w:rPr>
        <w:t xml:space="preserve"> et al.</w:t>
      </w:r>
      <w:r w:rsidRPr="00154D8A">
        <w:rPr>
          <w:lang w:val="en-GB"/>
        </w:rPr>
        <w:t xml:space="preserve"> </w:t>
      </w:r>
      <w:r w:rsidR="0078640F">
        <w:rPr>
          <w:lang w:val="en-GB"/>
        </w:rPr>
        <w:t>(</w:t>
      </w:r>
      <w:r w:rsidRPr="00154D8A">
        <w:rPr>
          <w:lang w:val="en-GB"/>
        </w:rPr>
        <w:t xml:space="preserve">2021). The proposed formulas for ttf in atmospheric and pressurized installations </w:t>
      </w:r>
      <w:r w:rsidR="00D87E52">
        <w:rPr>
          <w:lang w:val="en-GB"/>
        </w:rPr>
        <w:t xml:space="preserve">by </w:t>
      </w:r>
      <w:r w:rsidRPr="00154D8A">
        <w:rPr>
          <w:lang w:val="en-GB"/>
        </w:rPr>
        <w:t xml:space="preserve">Cozzani </w:t>
      </w:r>
      <w:r w:rsidR="00743990">
        <w:rPr>
          <w:lang w:val="en-GB"/>
        </w:rPr>
        <w:t>(</w:t>
      </w:r>
      <w:r w:rsidRPr="00154D8A">
        <w:rPr>
          <w:lang w:val="en-GB"/>
        </w:rPr>
        <w:t xml:space="preserve">2005) are frequently used in these studies. The </w:t>
      </w:r>
      <w:r w:rsidR="00867AD2">
        <w:rPr>
          <w:lang w:val="en-GB"/>
        </w:rPr>
        <w:t>fundamental</w:t>
      </w:r>
      <w:r w:rsidRPr="00154D8A">
        <w:rPr>
          <w:lang w:val="en-GB"/>
        </w:rPr>
        <w:t xml:space="preserve"> assumption for such probit functions is that the target equipment which is exposed to fire effects is completely safe </w:t>
      </w:r>
      <w:r w:rsidR="00DA6778">
        <w:rPr>
          <w:lang w:val="en-GB"/>
        </w:rPr>
        <w:t>if</w:t>
      </w:r>
      <w:r w:rsidRPr="00154D8A">
        <w:rPr>
          <w:lang w:val="en-GB"/>
        </w:rPr>
        <w:t xml:space="preserve"> mitigation measures can be in place before ttf (Jia</w:t>
      </w:r>
      <w:r w:rsidR="00EA6A2A">
        <w:rPr>
          <w:lang w:val="en-GB"/>
        </w:rPr>
        <w:t xml:space="preserve"> et al.</w:t>
      </w:r>
      <w:r w:rsidRPr="00154D8A">
        <w:rPr>
          <w:lang w:val="en-GB"/>
        </w:rPr>
        <w:t>, 2017).</w:t>
      </w:r>
      <w:r w:rsidR="00867AD2">
        <w:rPr>
          <w:lang w:val="en-GB"/>
        </w:rPr>
        <w:t xml:space="preserve"> </w:t>
      </w:r>
      <w:r w:rsidR="00883B08">
        <w:rPr>
          <w:lang w:val="en-GB"/>
        </w:rPr>
        <w:t>Despite their advantages for risk-based studies,</w:t>
      </w:r>
      <w:r w:rsidRPr="00154D8A">
        <w:rPr>
          <w:lang w:val="en-GB"/>
        </w:rPr>
        <w:t xml:space="preserve"> probit functions </w:t>
      </w:r>
      <w:r w:rsidR="00883B08">
        <w:rPr>
          <w:lang w:val="en-GB"/>
        </w:rPr>
        <w:t xml:space="preserve">have limitations </w:t>
      </w:r>
      <w:r w:rsidR="00867AD2">
        <w:rPr>
          <w:lang w:val="en-GB"/>
        </w:rPr>
        <w:t xml:space="preserve">for </w:t>
      </w:r>
      <w:r w:rsidR="00883B08">
        <w:rPr>
          <w:lang w:val="en-GB"/>
        </w:rPr>
        <w:t xml:space="preserve">determining the </w:t>
      </w:r>
      <w:r w:rsidRPr="00154D8A">
        <w:rPr>
          <w:lang w:val="en-GB"/>
        </w:rPr>
        <w:t xml:space="preserve">failure onset of an exposed object based on its actual characteristics. Since probit functions consider the exposed object as a single equipment, it is </w:t>
      </w:r>
      <w:r w:rsidRPr="004E55FA">
        <w:t>not</w:t>
      </w:r>
      <w:r w:rsidRPr="00154D8A">
        <w:rPr>
          <w:lang w:val="en-GB"/>
        </w:rPr>
        <w:t xml:space="preserve"> possible – </w:t>
      </w:r>
      <w:r w:rsidR="004E55FA" w:rsidRPr="00867AD2">
        <w:rPr>
          <w:lang w:val="en-GB"/>
        </w:rPr>
        <w:t>to</w:t>
      </w:r>
      <w:r w:rsidRPr="00867AD2">
        <w:rPr>
          <w:lang w:val="en-GB"/>
        </w:rPr>
        <w:t xml:space="preserve"> the knowledge of th</w:t>
      </w:r>
      <w:r w:rsidR="00867AD2">
        <w:rPr>
          <w:lang w:val="en-GB"/>
        </w:rPr>
        <w:t>is</w:t>
      </w:r>
      <w:r w:rsidRPr="00867AD2">
        <w:rPr>
          <w:lang w:val="en-GB"/>
        </w:rPr>
        <w:t xml:space="preserve"> author</w:t>
      </w:r>
      <w:r w:rsidR="00867AD2">
        <w:rPr>
          <w:lang w:val="en-GB"/>
        </w:rPr>
        <w:t xml:space="preserve"> </w:t>
      </w:r>
      <w:r w:rsidRPr="00867AD2">
        <w:rPr>
          <w:lang w:val="en-GB"/>
        </w:rPr>
        <w:t xml:space="preserve">– </w:t>
      </w:r>
      <w:r w:rsidRPr="00154D8A">
        <w:rPr>
          <w:lang w:val="en-GB"/>
        </w:rPr>
        <w:t xml:space="preserve">to distinguish between </w:t>
      </w:r>
      <w:r w:rsidR="00BC64AC">
        <w:rPr>
          <w:lang w:val="en-GB"/>
        </w:rPr>
        <w:t xml:space="preserve">different </w:t>
      </w:r>
      <w:r w:rsidR="00867AD2">
        <w:rPr>
          <w:lang w:val="en-GB"/>
        </w:rPr>
        <w:t xml:space="preserve">segments </w:t>
      </w:r>
      <w:r w:rsidRPr="00154D8A">
        <w:rPr>
          <w:lang w:val="en-GB"/>
        </w:rPr>
        <w:t xml:space="preserve">of </w:t>
      </w:r>
      <w:r w:rsidR="00867AD2">
        <w:rPr>
          <w:lang w:val="en-GB"/>
        </w:rPr>
        <w:t xml:space="preserve">an </w:t>
      </w:r>
      <w:r w:rsidRPr="00154D8A">
        <w:rPr>
          <w:lang w:val="en-GB"/>
        </w:rPr>
        <w:t>exposed object</w:t>
      </w:r>
      <w:r w:rsidR="00BC64AC">
        <w:rPr>
          <w:lang w:val="en-GB"/>
        </w:rPr>
        <w:t xml:space="preserve"> in terms of thermal load</w:t>
      </w:r>
      <w:r w:rsidRPr="00154D8A">
        <w:rPr>
          <w:lang w:val="en-GB"/>
        </w:rPr>
        <w:t xml:space="preserve">. </w:t>
      </w:r>
      <w:r w:rsidR="004E55FA">
        <w:rPr>
          <w:lang w:val="en-GB"/>
        </w:rPr>
        <w:t>In some cases</w:t>
      </w:r>
      <w:r w:rsidR="00883B08">
        <w:rPr>
          <w:lang w:val="en-GB"/>
        </w:rPr>
        <w:t xml:space="preserve">, it is </w:t>
      </w:r>
      <w:r w:rsidR="00EF3DFF">
        <w:rPr>
          <w:lang w:val="en-GB"/>
        </w:rPr>
        <w:t>useful</w:t>
      </w:r>
      <w:r w:rsidR="004E55FA">
        <w:rPr>
          <w:lang w:val="en-GB"/>
        </w:rPr>
        <w:t xml:space="preserve"> to </w:t>
      </w:r>
      <w:r w:rsidR="00BC64AC">
        <w:rPr>
          <w:lang w:val="en-GB"/>
        </w:rPr>
        <w:t xml:space="preserve">estimate the time to failure based on the thermal load on different segments of </w:t>
      </w:r>
      <w:r w:rsidR="00EF3DFF">
        <w:rPr>
          <w:lang w:val="en-GB"/>
        </w:rPr>
        <w:t>an exposed</w:t>
      </w:r>
      <w:r w:rsidR="00BC64AC">
        <w:rPr>
          <w:lang w:val="en-GB"/>
        </w:rPr>
        <w:t xml:space="preserve"> object which is exposed to fire</w:t>
      </w:r>
      <w:r w:rsidR="004E55FA">
        <w:rPr>
          <w:lang w:val="en-GB"/>
        </w:rPr>
        <w:t>.</w:t>
      </w:r>
      <w:r w:rsidR="00D85447">
        <w:rPr>
          <w:lang w:val="en-GB"/>
        </w:rPr>
        <w:t xml:space="preserve"> </w:t>
      </w:r>
      <w:r w:rsidR="00BC64AC">
        <w:rPr>
          <w:lang w:val="en-GB"/>
        </w:rPr>
        <w:t xml:space="preserve">For atmospheric storage tanks, an </w:t>
      </w:r>
      <w:r w:rsidR="00D85447" w:rsidRPr="00154D8A">
        <w:rPr>
          <w:lang w:val="en-GB"/>
        </w:rPr>
        <w:t xml:space="preserve">assessment by Amin et al. </w:t>
      </w:r>
      <w:r w:rsidR="00BC64AC">
        <w:rPr>
          <w:lang w:val="en-GB"/>
        </w:rPr>
        <w:t>(</w:t>
      </w:r>
      <w:r w:rsidR="00D85447" w:rsidRPr="00154D8A">
        <w:rPr>
          <w:lang w:val="en-GB"/>
        </w:rPr>
        <w:t xml:space="preserve">2024) </w:t>
      </w:r>
      <w:r w:rsidR="00883B08">
        <w:rPr>
          <w:lang w:val="en-GB"/>
        </w:rPr>
        <w:t>considered</w:t>
      </w:r>
      <w:r w:rsidR="00BC64AC">
        <w:rPr>
          <w:lang w:val="en-GB"/>
        </w:rPr>
        <w:t xml:space="preserve"> </w:t>
      </w:r>
      <w:r w:rsidR="00883B08">
        <w:rPr>
          <w:lang w:val="en-GB"/>
        </w:rPr>
        <w:t xml:space="preserve">distinct </w:t>
      </w:r>
      <w:r w:rsidR="00D85447" w:rsidRPr="00154D8A">
        <w:rPr>
          <w:lang w:val="en-GB"/>
        </w:rPr>
        <w:t>regions</w:t>
      </w:r>
      <w:r w:rsidR="00BC42AA">
        <w:rPr>
          <w:lang w:val="en-GB"/>
        </w:rPr>
        <w:t xml:space="preserve"> for the exposed tank</w:t>
      </w:r>
      <w:r w:rsidR="00D85447" w:rsidRPr="00154D8A">
        <w:rPr>
          <w:lang w:val="en-GB"/>
        </w:rPr>
        <w:t xml:space="preserve"> </w:t>
      </w:r>
      <w:r w:rsidR="00292249">
        <w:rPr>
          <w:lang w:val="en-GB"/>
        </w:rPr>
        <w:t>in contact with</w:t>
      </w:r>
      <w:r w:rsidR="00D85447" w:rsidRPr="00154D8A">
        <w:rPr>
          <w:lang w:val="en-GB"/>
        </w:rPr>
        <w:t xml:space="preserve"> the liquid, the vapor, and the corresponding interface.</w:t>
      </w:r>
      <w:r w:rsidR="004E55FA">
        <w:rPr>
          <w:lang w:val="en-GB"/>
        </w:rPr>
        <w:t xml:space="preserve"> It is thus </w:t>
      </w:r>
      <w:r w:rsidR="00883B08">
        <w:rPr>
          <w:lang w:val="en-GB"/>
        </w:rPr>
        <w:t>worthwhile</w:t>
      </w:r>
      <w:r w:rsidR="004E55FA">
        <w:rPr>
          <w:lang w:val="en-GB"/>
        </w:rPr>
        <w:t xml:space="preserve"> to </w:t>
      </w:r>
      <w:r w:rsidR="00883B08">
        <w:rPr>
          <w:lang w:val="en-GB"/>
        </w:rPr>
        <w:t>obtain</w:t>
      </w:r>
      <w:r w:rsidR="004E55FA">
        <w:rPr>
          <w:lang w:val="en-GB"/>
        </w:rPr>
        <w:t xml:space="preserve"> </w:t>
      </w:r>
      <w:r w:rsidRPr="00154D8A">
        <w:rPr>
          <w:lang w:val="en-GB"/>
        </w:rPr>
        <w:t>insight</w:t>
      </w:r>
      <w:r w:rsidR="00BC64AC">
        <w:rPr>
          <w:lang w:val="en-GB"/>
        </w:rPr>
        <w:t>s</w:t>
      </w:r>
      <w:r w:rsidRPr="00154D8A">
        <w:rPr>
          <w:lang w:val="en-GB"/>
        </w:rPr>
        <w:t xml:space="preserve"> in the </w:t>
      </w:r>
      <w:r w:rsidR="00BC64AC">
        <w:rPr>
          <w:lang w:val="en-GB"/>
        </w:rPr>
        <w:t xml:space="preserve">distribution of thermal load from a </w:t>
      </w:r>
      <w:r w:rsidR="00BC64AC" w:rsidRPr="00154D8A">
        <w:rPr>
          <w:lang w:val="en-GB"/>
        </w:rPr>
        <w:t>fire</w:t>
      </w:r>
      <w:r w:rsidR="00BC64AC">
        <w:rPr>
          <w:lang w:val="en-GB"/>
        </w:rPr>
        <w:t xml:space="preserve"> on different segments of an exposed object</w:t>
      </w:r>
      <w:r w:rsidR="004E55FA">
        <w:rPr>
          <w:lang w:val="en-GB"/>
        </w:rPr>
        <w:t xml:space="preserve">, without the need to carry out cumbersome </w:t>
      </w:r>
      <w:r w:rsidR="004E55FA" w:rsidRPr="00BC64AC">
        <w:rPr>
          <w:lang w:val="en-GB"/>
        </w:rPr>
        <w:t>calculations by Computational Fluid Dynamics (CFD)</w:t>
      </w:r>
      <w:r w:rsidRPr="00BC64AC">
        <w:rPr>
          <w:lang w:val="en-GB"/>
        </w:rPr>
        <w:t>.</w:t>
      </w:r>
      <w:r w:rsidR="00942434">
        <w:rPr>
          <w:lang w:val="en-GB"/>
        </w:rPr>
        <w:t xml:space="preserve"> </w:t>
      </w:r>
      <w:r w:rsidR="00495A10">
        <w:rPr>
          <w:lang w:val="en-GB"/>
        </w:rPr>
        <w:t xml:space="preserve">Although </w:t>
      </w:r>
      <w:r w:rsidR="0010449A">
        <w:rPr>
          <w:lang w:val="en-GB"/>
        </w:rPr>
        <w:t>specific analysis of complicated situations</w:t>
      </w:r>
      <w:r w:rsidR="0076230A">
        <w:rPr>
          <w:lang w:val="en-GB"/>
        </w:rPr>
        <w:t xml:space="preserve">, such as partial confinement and irregular geometries </w:t>
      </w:r>
      <w:r w:rsidR="00501C76">
        <w:rPr>
          <w:lang w:val="en-GB"/>
        </w:rPr>
        <w:t xml:space="preserve">may only be possible with CFD analyses, </w:t>
      </w:r>
      <w:r w:rsidR="001A5E4B">
        <w:rPr>
          <w:lang w:val="en-GB"/>
        </w:rPr>
        <w:t xml:space="preserve">simple analytical models for flame shapes may be sufficient </w:t>
      </w:r>
      <w:r w:rsidR="00501C76">
        <w:rPr>
          <w:lang w:val="en-GB"/>
        </w:rPr>
        <w:t xml:space="preserve">when approximate results are </w:t>
      </w:r>
      <w:r w:rsidR="00332C84">
        <w:rPr>
          <w:lang w:val="en-GB"/>
        </w:rPr>
        <w:t xml:space="preserve">more </w:t>
      </w:r>
      <w:r w:rsidR="00332C84" w:rsidRPr="00C41D26">
        <w:rPr>
          <w:lang w:val="en-GB"/>
        </w:rPr>
        <w:t xml:space="preserve">suitable </w:t>
      </w:r>
      <w:r w:rsidR="001B6966" w:rsidRPr="00C41D26">
        <w:rPr>
          <w:lang w:val="en-GB"/>
        </w:rPr>
        <w:t>(</w:t>
      </w:r>
      <w:r w:rsidR="001B6966" w:rsidRPr="00B074B8">
        <w:t>Palazzi and Fabiano, 2012</w:t>
      </w:r>
      <w:r w:rsidR="001B6966" w:rsidRPr="00C41D26">
        <w:rPr>
          <w:lang w:val="en-GB"/>
        </w:rPr>
        <w:t xml:space="preserve">) </w:t>
      </w:r>
      <w:r w:rsidR="00501C76" w:rsidRPr="00C41D26">
        <w:rPr>
          <w:lang w:val="en-GB"/>
        </w:rPr>
        <w:t xml:space="preserve">to </w:t>
      </w:r>
      <w:r w:rsidR="0012037C" w:rsidRPr="00C41D26">
        <w:rPr>
          <w:lang w:val="en-GB"/>
        </w:rPr>
        <w:t>quick</w:t>
      </w:r>
      <w:r w:rsidR="00332C84" w:rsidRPr="00C41D26">
        <w:rPr>
          <w:lang w:val="en-GB"/>
        </w:rPr>
        <w:t>ly</w:t>
      </w:r>
      <w:r w:rsidR="0012037C">
        <w:rPr>
          <w:lang w:val="en-GB"/>
        </w:rPr>
        <w:t xml:space="preserve"> evaluat</w:t>
      </w:r>
      <w:r w:rsidR="00332C84">
        <w:rPr>
          <w:lang w:val="en-GB"/>
        </w:rPr>
        <w:t>e</w:t>
      </w:r>
      <w:r w:rsidR="0012037C">
        <w:rPr>
          <w:lang w:val="en-GB"/>
        </w:rPr>
        <w:t xml:space="preserve"> </w:t>
      </w:r>
      <w:r w:rsidR="000F5D86">
        <w:rPr>
          <w:lang w:val="en-GB"/>
        </w:rPr>
        <w:t xml:space="preserve">various </w:t>
      </w:r>
      <w:r w:rsidR="00513144">
        <w:rPr>
          <w:lang w:val="en-GB"/>
        </w:rPr>
        <w:t>arrangements</w:t>
      </w:r>
      <w:r w:rsidR="000F5D86">
        <w:rPr>
          <w:lang w:val="en-GB"/>
        </w:rPr>
        <w:t xml:space="preserve"> </w:t>
      </w:r>
      <w:r w:rsidR="00513144">
        <w:rPr>
          <w:lang w:val="en-GB"/>
        </w:rPr>
        <w:t xml:space="preserve">and </w:t>
      </w:r>
      <w:r w:rsidR="000F5D86">
        <w:rPr>
          <w:lang w:val="en-GB"/>
        </w:rPr>
        <w:t>scenarios</w:t>
      </w:r>
      <w:r w:rsidR="0095651F">
        <w:rPr>
          <w:lang w:val="en-GB"/>
        </w:rPr>
        <w:t xml:space="preserve">, especially during early stages of a </w:t>
      </w:r>
      <w:r w:rsidR="00513144">
        <w:rPr>
          <w:lang w:val="en-GB"/>
        </w:rPr>
        <w:t xml:space="preserve">new or modification </w:t>
      </w:r>
      <w:r w:rsidR="0095651F">
        <w:rPr>
          <w:lang w:val="en-GB"/>
        </w:rPr>
        <w:t>project</w:t>
      </w:r>
      <w:r w:rsidR="000F5D86">
        <w:rPr>
          <w:lang w:val="en-GB"/>
        </w:rPr>
        <w:t xml:space="preserve">. </w:t>
      </w:r>
      <w:r w:rsidR="00504AB1">
        <w:rPr>
          <w:lang w:val="en-GB"/>
        </w:rPr>
        <w:t xml:space="preserve">The </w:t>
      </w:r>
      <w:r w:rsidR="00A059DD">
        <w:rPr>
          <w:lang w:val="en-GB"/>
        </w:rPr>
        <w:t>proposed</w:t>
      </w:r>
      <w:r w:rsidR="00504AB1">
        <w:rPr>
          <w:lang w:val="en-GB"/>
        </w:rPr>
        <w:t xml:space="preserve"> </w:t>
      </w:r>
      <w:r w:rsidR="00406595">
        <w:rPr>
          <w:lang w:val="en-GB"/>
        </w:rPr>
        <w:t xml:space="preserve">method </w:t>
      </w:r>
      <w:r w:rsidR="000508BF">
        <w:rPr>
          <w:lang w:val="en-GB"/>
        </w:rPr>
        <w:t>combines</w:t>
      </w:r>
      <w:r w:rsidR="00195342">
        <w:rPr>
          <w:lang w:val="en-GB"/>
        </w:rPr>
        <w:t xml:space="preserve"> the advantage of </w:t>
      </w:r>
      <w:r w:rsidR="00267354">
        <w:rPr>
          <w:lang w:val="en-GB"/>
        </w:rPr>
        <w:t>simplified analyses</w:t>
      </w:r>
      <w:r w:rsidR="003B28DF">
        <w:rPr>
          <w:lang w:val="en-GB"/>
        </w:rPr>
        <w:t>,</w:t>
      </w:r>
      <w:r w:rsidR="00195342">
        <w:rPr>
          <w:lang w:val="en-GB"/>
        </w:rPr>
        <w:t xml:space="preserve"> which</w:t>
      </w:r>
      <w:r w:rsidR="00AC551B">
        <w:rPr>
          <w:lang w:val="en-GB"/>
        </w:rPr>
        <w:t xml:space="preserve"> require </w:t>
      </w:r>
      <w:r w:rsidR="001A1C7B">
        <w:rPr>
          <w:lang w:val="en-GB"/>
        </w:rPr>
        <w:t xml:space="preserve">minimal </w:t>
      </w:r>
      <w:r w:rsidR="00A57FD0">
        <w:rPr>
          <w:lang w:val="en-GB"/>
        </w:rPr>
        <w:t>input data,</w:t>
      </w:r>
      <w:r w:rsidR="000E0A22">
        <w:rPr>
          <w:lang w:val="en-GB"/>
        </w:rPr>
        <w:t xml:space="preserve"> </w:t>
      </w:r>
      <w:r w:rsidR="001A1C7B">
        <w:rPr>
          <w:lang w:val="en-GB"/>
        </w:rPr>
        <w:t xml:space="preserve">with the benefits of </w:t>
      </w:r>
      <w:r w:rsidR="00A57FD0">
        <w:rPr>
          <w:lang w:val="en-GB"/>
        </w:rPr>
        <w:t>detailed analyses</w:t>
      </w:r>
      <w:r w:rsidR="001A1C7B">
        <w:rPr>
          <w:lang w:val="en-GB"/>
        </w:rPr>
        <w:t>,</w:t>
      </w:r>
      <w:r w:rsidR="00A57FD0">
        <w:rPr>
          <w:lang w:val="en-GB"/>
        </w:rPr>
        <w:t xml:space="preserve"> </w:t>
      </w:r>
      <w:r w:rsidR="00461F97">
        <w:rPr>
          <w:lang w:val="en-GB"/>
        </w:rPr>
        <w:t xml:space="preserve">which </w:t>
      </w:r>
      <w:r w:rsidR="001A1C7B">
        <w:rPr>
          <w:lang w:val="en-GB"/>
        </w:rPr>
        <w:t>offer</w:t>
      </w:r>
      <w:r w:rsidR="00FC7E48">
        <w:rPr>
          <w:lang w:val="en-GB"/>
        </w:rPr>
        <w:t xml:space="preserve"> </w:t>
      </w:r>
      <w:r w:rsidR="005C79E9">
        <w:rPr>
          <w:lang w:val="en-GB"/>
        </w:rPr>
        <w:t xml:space="preserve">more refined </w:t>
      </w:r>
      <w:r w:rsidR="00CD4BA7">
        <w:rPr>
          <w:lang w:val="en-GB"/>
        </w:rPr>
        <w:t xml:space="preserve">and detailed </w:t>
      </w:r>
      <w:r w:rsidR="005C79E9">
        <w:rPr>
          <w:lang w:val="en-GB"/>
        </w:rPr>
        <w:t>results</w:t>
      </w:r>
      <w:r w:rsidR="002B3002">
        <w:rPr>
          <w:lang w:val="en-GB"/>
        </w:rPr>
        <w:t>.</w:t>
      </w:r>
    </w:p>
    <w:p w14:paraId="39DF963C" w14:textId="739996C7" w:rsidR="002027BD" w:rsidRDefault="004E55FA" w:rsidP="00E46D82">
      <w:pPr>
        <w:pStyle w:val="CETBodytext"/>
        <w:rPr>
          <w:lang w:val="en-GB"/>
        </w:rPr>
      </w:pPr>
      <w:r w:rsidRPr="00BC64AC">
        <w:rPr>
          <w:lang w:val="en-GB"/>
        </w:rPr>
        <w:lastRenderedPageBreak/>
        <w:t xml:space="preserve">This study utilizes computational geometry to provide </w:t>
      </w:r>
      <w:r w:rsidR="00BC64AC" w:rsidRPr="00BC64AC">
        <w:rPr>
          <w:lang w:val="en-GB"/>
        </w:rPr>
        <w:t xml:space="preserve">a distribution of </w:t>
      </w:r>
      <w:r w:rsidRPr="00BC64AC">
        <w:rPr>
          <w:lang w:val="en-GB"/>
        </w:rPr>
        <w:t xml:space="preserve">incident thermal radiation from different segments of </w:t>
      </w:r>
      <w:r w:rsidR="00BC64AC" w:rsidRPr="00BC64AC">
        <w:rPr>
          <w:lang w:val="en-GB"/>
        </w:rPr>
        <w:t>flames</w:t>
      </w:r>
      <w:r w:rsidR="00D85447" w:rsidRPr="00BC64AC">
        <w:rPr>
          <w:lang w:val="en-GB"/>
        </w:rPr>
        <w:t xml:space="preserve"> </w:t>
      </w:r>
      <w:r w:rsidR="00883B08">
        <w:rPr>
          <w:lang w:val="en-GB"/>
        </w:rPr>
        <w:t>perceived by</w:t>
      </w:r>
      <w:r w:rsidRPr="00BC64AC">
        <w:rPr>
          <w:lang w:val="en-GB"/>
        </w:rPr>
        <w:t xml:space="preserve"> different segments of an exposed object</w:t>
      </w:r>
      <w:r w:rsidR="00D85447" w:rsidRPr="00BC64AC">
        <w:rPr>
          <w:lang w:val="en-GB"/>
        </w:rPr>
        <w:t xml:space="preserve">. </w:t>
      </w:r>
      <w:r w:rsidR="00B15FF0">
        <w:rPr>
          <w:lang w:val="en-GB"/>
        </w:rPr>
        <w:t xml:space="preserve">As pool fires </w:t>
      </w:r>
      <w:r w:rsidR="009311AB">
        <w:rPr>
          <w:lang w:val="en-GB"/>
        </w:rPr>
        <w:t>are</w:t>
      </w:r>
      <w:r w:rsidR="00783BA2">
        <w:rPr>
          <w:lang w:val="en-GB"/>
        </w:rPr>
        <w:t xml:space="preserve"> among the most explored scenarios in </w:t>
      </w:r>
      <w:r w:rsidR="00783BA2" w:rsidRPr="00AC4072">
        <w:rPr>
          <w:lang w:val="en-GB"/>
        </w:rPr>
        <w:t>literature</w:t>
      </w:r>
      <w:r w:rsidR="001B5540" w:rsidRPr="00AC4072">
        <w:rPr>
          <w:lang w:val="en-GB"/>
        </w:rPr>
        <w:t xml:space="preserve"> </w:t>
      </w:r>
      <w:r w:rsidR="001B5540" w:rsidRPr="00B074B8">
        <w:t>(Fabiano et al., 2020</w:t>
      </w:r>
      <w:r w:rsidR="001B5540" w:rsidRPr="00AC4072">
        <w:rPr>
          <w:lang w:val="en-GB"/>
        </w:rPr>
        <w:t>),</w:t>
      </w:r>
      <w:r w:rsidR="001B5540">
        <w:rPr>
          <w:lang w:val="en-GB"/>
        </w:rPr>
        <w:t xml:space="preserve"> </w:t>
      </w:r>
      <w:r w:rsidR="003661B3">
        <w:rPr>
          <w:lang w:val="en-GB"/>
        </w:rPr>
        <w:t>a</w:t>
      </w:r>
      <w:r w:rsidR="005638F5">
        <w:rPr>
          <w:lang w:val="en-GB"/>
        </w:rPr>
        <w:t>n a</w:t>
      </w:r>
      <w:r w:rsidR="00D85447" w:rsidRPr="00BC64AC">
        <w:rPr>
          <w:lang w:val="en-GB"/>
        </w:rPr>
        <w:t>pplication of the proposed method</w:t>
      </w:r>
      <w:r w:rsidR="005638F5">
        <w:rPr>
          <w:lang w:val="en-GB"/>
        </w:rPr>
        <w:t xml:space="preserve"> is </w:t>
      </w:r>
      <w:r w:rsidR="00883B08">
        <w:rPr>
          <w:lang w:val="en-GB"/>
        </w:rPr>
        <w:t>presented</w:t>
      </w:r>
      <w:r w:rsidR="005638F5">
        <w:rPr>
          <w:lang w:val="en-GB"/>
        </w:rPr>
        <w:t xml:space="preserve"> </w:t>
      </w:r>
      <w:r w:rsidR="00883B08">
        <w:rPr>
          <w:lang w:val="en-GB"/>
        </w:rPr>
        <w:t>based on</w:t>
      </w:r>
      <w:r w:rsidR="005638F5">
        <w:rPr>
          <w:lang w:val="en-GB"/>
        </w:rPr>
        <w:t xml:space="preserve"> </w:t>
      </w:r>
      <w:r w:rsidR="00D85447" w:rsidRPr="00BC64AC">
        <w:rPr>
          <w:lang w:val="en-GB"/>
        </w:rPr>
        <w:t xml:space="preserve">a pool fire on the ground and a cylindrical </w:t>
      </w:r>
      <w:r w:rsidR="00A36C1E">
        <w:rPr>
          <w:lang w:val="en-GB"/>
        </w:rPr>
        <w:t>vertical</w:t>
      </w:r>
      <w:r w:rsidR="00D85447" w:rsidRPr="00BC64AC">
        <w:rPr>
          <w:lang w:val="en-GB"/>
        </w:rPr>
        <w:t xml:space="preserve"> s</w:t>
      </w:r>
      <w:r w:rsidR="00D85447">
        <w:rPr>
          <w:lang w:val="en-GB"/>
        </w:rPr>
        <w:t xml:space="preserve">torage tank as the exposed object. </w:t>
      </w:r>
      <w:r w:rsidR="005638F5">
        <w:rPr>
          <w:lang w:val="en-GB"/>
        </w:rPr>
        <w:t>T</w:t>
      </w:r>
      <w:r w:rsidR="00BC64AC">
        <w:rPr>
          <w:lang w:val="en-GB"/>
        </w:rPr>
        <w:t>he proposed model</w:t>
      </w:r>
      <w:r w:rsidR="00E011F9">
        <w:rPr>
          <w:lang w:val="en-GB"/>
        </w:rPr>
        <w:t xml:space="preserve"> </w:t>
      </w:r>
      <w:r w:rsidR="00BC64AC">
        <w:rPr>
          <w:lang w:val="en-GB"/>
        </w:rPr>
        <w:t xml:space="preserve">can </w:t>
      </w:r>
      <w:r w:rsidR="00A36C1E">
        <w:rPr>
          <w:lang w:val="en-GB"/>
        </w:rPr>
        <w:t xml:space="preserve">also </w:t>
      </w:r>
      <w:r w:rsidR="00BC64AC">
        <w:rPr>
          <w:lang w:val="en-GB"/>
        </w:rPr>
        <w:t xml:space="preserve">be applied </w:t>
      </w:r>
      <w:r w:rsidR="00883B08">
        <w:rPr>
          <w:lang w:val="en-GB"/>
        </w:rPr>
        <w:t>to</w:t>
      </w:r>
      <w:r w:rsidR="00BC64AC">
        <w:rPr>
          <w:lang w:val="en-GB"/>
        </w:rPr>
        <w:t xml:space="preserve"> </w:t>
      </w:r>
      <w:r w:rsidR="006A4A41">
        <w:rPr>
          <w:lang w:val="en-GB"/>
        </w:rPr>
        <w:t xml:space="preserve">other </w:t>
      </w:r>
      <w:r w:rsidR="00E011F9">
        <w:rPr>
          <w:lang w:val="en-GB"/>
        </w:rPr>
        <w:t>situations</w:t>
      </w:r>
      <w:r w:rsidR="002E65F8" w:rsidRPr="002E65F8">
        <w:rPr>
          <w:lang w:val="en-GB"/>
        </w:rPr>
        <w:t xml:space="preserve"> </w:t>
      </w:r>
      <w:r w:rsidR="002E65F8">
        <w:rPr>
          <w:lang w:val="en-GB"/>
        </w:rPr>
        <w:t>including tank fires, jet fires (without flame impingement) and fireballs</w:t>
      </w:r>
      <w:r w:rsidR="006A4A41">
        <w:rPr>
          <w:lang w:val="en-GB"/>
        </w:rPr>
        <w:t xml:space="preserve"> </w:t>
      </w:r>
      <w:r w:rsidR="002E65F8">
        <w:rPr>
          <w:lang w:val="en-GB"/>
        </w:rPr>
        <w:t xml:space="preserve">with </w:t>
      </w:r>
      <w:r w:rsidR="00BC64AC">
        <w:rPr>
          <w:lang w:val="en-GB"/>
        </w:rPr>
        <w:t>multiple fire sources and exposed objects</w:t>
      </w:r>
      <w:r w:rsidR="006A4A41">
        <w:rPr>
          <w:lang w:val="en-GB"/>
        </w:rPr>
        <w:t xml:space="preserve">, </w:t>
      </w:r>
      <w:r w:rsidR="002E65F8">
        <w:rPr>
          <w:lang w:val="en-GB"/>
        </w:rPr>
        <w:t xml:space="preserve">and in general any arrangement </w:t>
      </w:r>
      <w:r w:rsidR="00EA6A2A">
        <w:rPr>
          <w:lang w:val="en-GB"/>
        </w:rPr>
        <w:t>where thermal load on an object is primarily by thermal radiation</w:t>
      </w:r>
      <w:r w:rsidR="002E65F8">
        <w:rPr>
          <w:lang w:val="en-GB"/>
        </w:rPr>
        <w:t>.</w:t>
      </w:r>
    </w:p>
    <w:p w14:paraId="6FA26F17" w14:textId="515C9A48" w:rsidR="005657F3" w:rsidRDefault="005657F3" w:rsidP="00AD71F0">
      <w:pPr>
        <w:pStyle w:val="CETHeading1"/>
      </w:pPr>
      <w:r w:rsidRPr="00AD71F0">
        <w:t>Methodology</w:t>
      </w:r>
    </w:p>
    <w:p w14:paraId="56DAF99D" w14:textId="54A2C6DE" w:rsidR="00636FE8" w:rsidRDefault="003C13D5" w:rsidP="001F4073">
      <w:pPr>
        <w:pStyle w:val="CETBodytext"/>
        <w:rPr>
          <w:rStyle w:val="CETCaptionCarattere"/>
          <w:i w:val="0"/>
        </w:rPr>
      </w:pPr>
      <w:r w:rsidRPr="003C13D5">
        <w:t>The</w:t>
      </w:r>
      <w:r w:rsidR="00592E3D">
        <w:t xml:space="preserve"> actual</w:t>
      </w:r>
      <w:r w:rsidRPr="003C13D5">
        <w:t xml:space="preserve"> impact of </w:t>
      </w:r>
      <w:r w:rsidR="00592E3D">
        <w:t xml:space="preserve">a </w:t>
      </w:r>
      <w:r w:rsidRPr="003C13D5">
        <w:t xml:space="preserve">fire on an exposed object through </w:t>
      </w:r>
      <w:r w:rsidR="00592E3D">
        <w:t xml:space="preserve">thermal </w:t>
      </w:r>
      <w:r w:rsidRPr="003C13D5">
        <w:t xml:space="preserve">radiation is </w:t>
      </w:r>
      <w:r w:rsidR="00592E3D">
        <w:t xml:space="preserve">a function of the </w:t>
      </w:r>
      <w:r w:rsidR="003664C6">
        <w:t xml:space="preserve">characteristics of the </w:t>
      </w:r>
      <w:r w:rsidR="00592E3D">
        <w:t xml:space="preserve">radiation </w:t>
      </w:r>
      <w:r>
        <w:t>emitt</w:t>
      </w:r>
      <w:r w:rsidR="00592E3D">
        <w:t>ing surface,</w:t>
      </w:r>
      <w:r>
        <w:t xml:space="preserve"> </w:t>
      </w:r>
      <w:r w:rsidR="00592E3D">
        <w:t xml:space="preserve">atmospheric absorption, and </w:t>
      </w:r>
      <w:r w:rsidR="00CA3288">
        <w:t xml:space="preserve">the </w:t>
      </w:r>
      <w:r w:rsidR="00592E3D">
        <w:t xml:space="preserve">surface of </w:t>
      </w:r>
      <w:r w:rsidR="00CA3288">
        <w:t xml:space="preserve">the </w:t>
      </w:r>
      <w:r>
        <w:t xml:space="preserve">radiation </w:t>
      </w:r>
      <w:r w:rsidR="00592E3D">
        <w:t>receiving object</w:t>
      </w:r>
      <w:r w:rsidRPr="003C13D5">
        <w:t xml:space="preserve">. </w:t>
      </w:r>
      <w:r w:rsidR="00592E3D">
        <w:t xml:space="preserve">The </w:t>
      </w:r>
      <w:r w:rsidR="00DB426A">
        <w:t xml:space="preserve">proposed model considers a variable SEP along the flame height and provides the </w:t>
      </w:r>
      <w:r w:rsidR="00592E3D">
        <w:t xml:space="preserve">incident </w:t>
      </w:r>
      <w:r w:rsidR="00950EBF">
        <w:t>thermal radiation flux</w:t>
      </w:r>
      <w:r w:rsidR="00291300" w:rsidRPr="00291300">
        <w:t xml:space="preserve"> </w:t>
      </w:r>
      <w:r w:rsidR="00592E3D">
        <w:t xml:space="preserve">on </w:t>
      </w:r>
      <w:r w:rsidR="00291300" w:rsidRPr="00291300">
        <w:t xml:space="preserve">each segment of the exposed object </w:t>
      </w:r>
      <w:r w:rsidR="00DB426A">
        <w:t xml:space="preserve">based on a </w:t>
      </w:r>
      <w:r w:rsidR="00291300" w:rsidRPr="00291300">
        <w:t>sum</w:t>
      </w:r>
      <w:r w:rsidR="00DB426A">
        <w:t>mation</w:t>
      </w:r>
      <w:r w:rsidR="00291300" w:rsidRPr="00291300">
        <w:t xml:space="preserve"> of </w:t>
      </w:r>
      <w:r w:rsidR="00DB426A">
        <w:t xml:space="preserve">thermal </w:t>
      </w:r>
      <w:r w:rsidR="00291300" w:rsidRPr="00291300">
        <w:t>radiation</w:t>
      </w:r>
      <w:r w:rsidR="00950EBF">
        <w:t xml:space="preserve"> </w:t>
      </w:r>
      <w:r w:rsidR="00DB426A">
        <w:t xml:space="preserve">originating from </w:t>
      </w:r>
      <w:r w:rsidR="00291300" w:rsidRPr="00291300">
        <w:t>different segments of the flame</w:t>
      </w:r>
      <w:r w:rsidR="00DB426A">
        <w:t>.</w:t>
      </w:r>
      <w:r w:rsidR="00A2696A">
        <w:t xml:space="preserve"> </w:t>
      </w:r>
      <w:r w:rsidR="00DB426A">
        <w:t xml:space="preserve">Thus, </w:t>
      </w:r>
      <w:r w:rsidR="00A2696A">
        <w:t>a distribution is given for the incident thermal radiation flux on the exposed object.</w:t>
      </w:r>
      <w:r w:rsidR="001F4073" w:rsidRPr="001F4073">
        <w:rPr>
          <w:rStyle w:val="CETCaptionCarattere"/>
          <w:i w:val="0"/>
        </w:rPr>
        <w:t xml:space="preserve"> </w:t>
      </w:r>
      <w:r w:rsidR="001028DB" w:rsidRPr="00592E3D">
        <w:t xml:space="preserve">Figure 1 </w:t>
      </w:r>
      <w:r w:rsidR="001028DB">
        <w:t xml:space="preserve">illustrates the main </w:t>
      </w:r>
      <w:r w:rsidR="008C665A">
        <w:t xml:space="preserve">principles of </w:t>
      </w:r>
      <w:r w:rsidR="001028DB">
        <w:t>the proposed method</w:t>
      </w:r>
      <w:r w:rsidR="008C665A">
        <w:t xml:space="preserve">, as compared with </w:t>
      </w:r>
      <w:r w:rsidR="001028DB">
        <w:t>conventional consequence modelling for thermal radiation</w:t>
      </w:r>
      <w:r w:rsidR="008C665A">
        <w:rPr>
          <w:rStyle w:val="CETCaptionCarattere"/>
          <w:i w:val="0"/>
        </w:rPr>
        <w:t>.</w:t>
      </w:r>
    </w:p>
    <w:p w14:paraId="6584E886" w14:textId="05296749" w:rsidR="00FF5283" w:rsidRDefault="00A2696A" w:rsidP="00ED70E0">
      <w:pPr>
        <w:pStyle w:val="CETCaption"/>
        <w:rPr>
          <w:rStyle w:val="CETCaptionCarattere"/>
        </w:rPr>
      </w:pPr>
      <w:r w:rsidRPr="00A2696A">
        <w:rPr>
          <w:rStyle w:val="CETCaptionCarattere"/>
          <w:i/>
          <w:noProof/>
        </w:rPr>
        <w:drawing>
          <wp:inline distT="0" distB="0" distL="0" distR="0" wp14:anchorId="606BD45E" wp14:editId="13C1A597">
            <wp:extent cx="4889470" cy="854806"/>
            <wp:effectExtent l="0" t="0" r="6985" b="2540"/>
            <wp:docPr id="106854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42203" name="Picture 1"/>
                    <pic:cNvPicPr/>
                  </pic:nvPicPr>
                  <pic:blipFill rotWithShape="1">
                    <a:blip r:embed="rId10"/>
                    <a:srcRect t="9167"/>
                    <a:stretch/>
                  </pic:blipFill>
                  <pic:spPr bwMode="auto">
                    <a:xfrm>
                      <a:off x="0" y="0"/>
                      <a:ext cx="4891611" cy="855180"/>
                    </a:xfrm>
                    <a:prstGeom prst="rect">
                      <a:avLst/>
                    </a:prstGeom>
                    <a:ln>
                      <a:noFill/>
                    </a:ln>
                    <a:extLst>
                      <a:ext uri="{53640926-AAD7-44D8-BBD7-CCE9431645EC}">
                        <a14:shadowObscured xmlns:a14="http://schemas.microsoft.com/office/drawing/2010/main"/>
                      </a:ext>
                    </a:extLst>
                  </pic:spPr>
                </pic:pic>
              </a:graphicData>
            </a:graphic>
          </wp:inline>
        </w:drawing>
      </w:r>
      <w:r w:rsidR="0008370A">
        <w:rPr>
          <w:rStyle w:val="CETCaptionCarattere"/>
          <w:i/>
        </w:rPr>
        <w:br/>
      </w:r>
      <w:r w:rsidR="004E55FA" w:rsidRPr="001C24C6">
        <w:rPr>
          <w:rStyle w:val="CETCaptionCarattere"/>
          <w:i/>
        </w:rPr>
        <w:t>Figure 1</w:t>
      </w:r>
      <w:r w:rsidR="00E46D82">
        <w:rPr>
          <w:rStyle w:val="CETCaptionCarattere"/>
          <w:i/>
        </w:rPr>
        <w:t>:</w:t>
      </w:r>
      <w:r w:rsidR="004E55FA" w:rsidRPr="001C24C6">
        <w:rPr>
          <w:rStyle w:val="CETCaptionCarattere"/>
          <w:i/>
        </w:rPr>
        <w:t xml:space="preserve"> </w:t>
      </w:r>
      <w:r w:rsidR="002151BC">
        <w:rPr>
          <w:rStyle w:val="CETCaptionCarattere"/>
          <w:i/>
        </w:rPr>
        <w:t>T</w:t>
      </w:r>
      <w:r w:rsidR="004E55FA" w:rsidRPr="001C24C6">
        <w:rPr>
          <w:rStyle w:val="CETCaptionCarattere"/>
          <w:i/>
        </w:rPr>
        <w:t xml:space="preserve">he proposed </w:t>
      </w:r>
      <w:r w:rsidR="001C24C6" w:rsidRPr="001C24C6">
        <w:rPr>
          <w:rStyle w:val="CETCaptionCarattere"/>
          <w:i/>
        </w:rPr>
        <w:t xml:space="preserve">method </w:t>
      </w:r>
      <w:r w:rsidR="002151BC">
        <w:rPr>
          <w:rStyle w:val="CETCaptionCarattere"/>
          <w:i/>
        </w:rPr>
        <w:t xml:space="preserve">for fire </w:t>
      </w:r>
      <w:r w:rsidR="001C24C6" w:rsidRPr="001C24C6">
        <w:rPr>
          <w:rStyle w:val="CETCaptionCarattere"/>
          <w:i/>
        </w:rPr>
        <w:t>consequence modelling</w:t>
      </w:r>
    </w:p>
    <w:p w14:paraId="299CA6C5" w14:textId="597B2833" w:rsidR="004E55FA" w:rsidRPr="004B4C04" w:rsidRDefault="00AD71F0" w:rsidP="00AD71F0">
      <w:pPr>
        <w:pStyle w:val="CETHeadingxx"/>
      </w:pPr>
      <w:r>
        <w:t>2</w:t>
      </w:r>
      <w:r w:rsidR="00E73E58">
        <w:t xml:space="preserve">.1 Radiation from </w:t>
      </w:r>
      <w:r w:rsidR="00710857">
        <w:t xml:space="preserve">the </w:t>
      </w:r>
      <w:r w:rsidR="00E73E58">
        <w:t>pool fire</w:t>
      </w:r>
    </w:p>
    <w:p w14:paraId="7AE7CB40" w14:textId="3025D56C" w:rsidR="00F4290E" w:rsidRDefault="00D44F53" w:rsidP="00E46D82">
      <w:pPr>
        <w:pStyle w:val="CETBodytext"/>
      </w:pPr>
      <w:r>
        <w:t>C</w:t>
      </w:r>
      <w:r w:rsidR="00F4290E">
        <w:t xml:space="preserve">onventional </w:t>
      </w:r>
      <w:r>
        <w:t xml:space="preserve">thermal </w:t>
      </w:r>
      <w:r w:rsidR="002F3394" w:rsidRPr="002F3394">
        <w:t xml:space="preserve">radiation modelling </w:t>
      </w:r>
      <w:r>
        <w:t xml:space="preserve">generally </w:t>
      </w:r>
      <w:r w:rsidR="00F4290E">
        <w:t xml:space="preserve">uses </w:t>
      </w:r>
      <w:r w:rsidR="002F3394" w:rsidRPr="002F3394">
        <w:t xml:space="preserve">the </w:t>
      </w:r>
      <w:r w:rsidR="00E51B90" w:rsidRPr="002F3394">
        <w:t xml:space="preserve">solid flame </w:t>
      </w:r>
      <w:r w:rsidR="002F3394" w:rsidRPr="002F3394">
        <w:t xml:space="preserve">model, </w:t>
      </w:r>
      <w:r w:rsidR="000612F3">
        <w:t>in which</w:t>
      </w:r>
      <w:r w:rsidR="002F3394" w:rsidRPr="002F3394">
        <w:t xml:space="preserve"> the flame region is represented by a cylinder, with dimensions determine</w:t>
      </w:r>
      <w:r>
        <w:t>d</w:t>
      </w:r>
      <w:r w:rsidR="002F3394" w:rsidRPr="002F3394">
        <w:t xml:space="preserve"> by the flame base diameter, the visible flam</w:t>
      </w:r>
      <w:r>
        <w:t>e</w:t>
      </w:r>
      <w:r w:rsidR="002F3394" w:rsidRPr="002F3394">
        <w:t xml:space="preserve"> height, and the flam</w:t>
      </w:r>
      <w:r>
        <w:t>e</w:t>
      </w:r>
      <w:r w:rsidR="002F3394" w:rsidRPr="002F3394">
        <w:t xml:space="preserve"> tilt </w:t>
      </w:r>
      <w:r>
        <w:t xml:space="preserve">angle </w:t>
      </w:r>
      <w:r w:rsidR="002F3394" w:rsidRPr="002F3394">
        <w:t>due to wind (Beyler, 2016).</w:t>
      </w:r>
      <w:r w:rsidR="002F3394">
        <w:t xml:space="preserve"> </w:t>
      </w:r>
      <w:r w:rsidR="000612F3">
        <w:t>Several</w:t>
      </w:r>
      <w:r w:rsidR="005307EA">
        <w:t xml:space="preserve"> e</w:t>
      </w:r>
      <w:r w:rsidR="00F4290E">
        <w:t xml:space="preserve">xperimental </w:t>
      </w:r>
      <w:r w:rsidR="005307EA">
        <w:t xml:space="preserve">studies </w:t>
      </w:r>
      <w:r w:rsidR="000612F3">
        <w:t xml:space="preserve">demonstrate </w:t>
      </w:r>
      <w:r w:rsidR="00F4290E">
        <w:t xml:space="preserve">that the largest portion of the total thermal radiation from a </w:t>
      </w:r>
      <w:r w:rsidR="005307EA">
        <w:t xml:space="preserve">large hydrocarbon </w:t>
      </w:r>
      <w:r w:rsidR="00F4290E">
        <w:t xml:space="preserve">pool fire is emitted from the flame region. </w:t>
      </w:r>
      <w:r w:rsidR="00F07C50">
        <w:t>O</w:t>
      </w:r>
      <w:r w:rsidR="00F4290E">
        <w:t xml:space="preserve">nly </w:t>
      </w:r>
      <w:r w:rsidR="00F07C50">
        <w:t xml:space="preserve">this </w:t>
      </w:r>
      <w:r w:rsidR="00F4290E">
        <w:t xml:space="preserve">region is </w:t>
      </w:r>
      <w:r w:rsidR="00F07C50">
        <w:t xml:space="preserve">thus </w:t>
      </w:r>
      <w:r w:rsidR="00F4290E">
        <w:t xml:space="preserve">considered </w:t>
      </w:r>
      <w:r w:rsidR="00F07C50">
        <w:t>in this study</w:t>
      </w:r>
      <w:r w:rsidR="003C0EA5">
        <w:t xml:space="preserve"> </w:t>
      </w:r>
      <w:r w:rsidR="00B50599">
        <w:t xml:space="preserve">as </w:t>
      </w:r>
      <w:r w:rsidR="003C0EA5">
        <w:t>a [tilted] cylinder</w:t>
      </w:r>
      <w:r w:rsidR="00F07C50">
        <w:t xml:space="preserve">, </w:t>
      </w:r>
      <w:r w:rsidR="00F4290E">
        <w:t xml:space="preserve">although the same </w:t>
      </w:r>
      <w:r w:rsidR="005307EA">
        <w:t xml:space="preserve">method can be </w:t>
      </w:r>
      <w:r w:rsidR="00F4290E">
        <w:t>appli</w:t>
      </w:r>
      <w:r w:rsidR="005307EA">
        <w:t>ed</w:t>
      </w:r>
      <w:r w:rsidR="00F4290E">
        <w:t xml:space="preserve"> to the smok</w:t>
      </w:r>
      <w:r w:rsidR="008C04B7">
        <w:t>e</w:t>
      </w:r>
      <w:r w:rsidR="00F4290E">
        <w:t xml:space="preserve"> </w:t>
      </w:r>
      <w:r w:rsidR="00F07C50">
        <w:t xml:space="preserve">plume </w:t>
      </w:r>
      <w:r w:rsidR="005307EA">
        <w:t xml:space="preserve">above </w:t>
      </w:r>
      <w:r w:rsidR="00F4290E">
        <w:t>the mean flame height.</w:t>
      </w:r>
    </w:p>
    <w:p w14:paraId="7587A1B1" w14:textId="77777777" w:rsidR="00FB1C93" w:rsidRDefault="00B50599" w:rsidP="00E46D82">
      <w:pPr>
        <w:pStyle w:val="CETBodytext"/>
        <w:rPr>
          <w:color w:val="000000" w:themeColor="text1"/>
        </w:rPr>
      </w:pPr>
      <w:r>
        <w:t xml:space="preserve">In consequence </w:t>
      </w:r>
      <w:r w:rsidR="005307EA" w:rsidRPr="002F3394">
        <w:t>modelling</w:t>
      </w:r>
      <w:r>
        <w:t xml:space="preserve">, </w:t>
      </w:r>
      <w:r w:rsidR="00F4290E">
        <w:t>an average SEP</w:t>
      </w:r>
      <w:r w:rsidR="000902E9">
        <w:t xml:space="preserve"> is typically considered </w:t>
      </w:r>
      <w:r w:rsidR="002A43FC">
        <w:t xml:space="preserve">either </w:t>
      </w:r>
      <w:r w:rsidR="00FA774B">
        <w:t xml:space="preserve">for </w:t>
      </w:r>
      <w:r w:rsidR="00F4290E">
        <w:t xml:space="preserve">the entire </w:t>
      </w:r>
      <w:r w:rsidR="00731E4E">
        <w:t>pool fire</w:t>
      </w:r>
      <w:r w:rsidR="001178EE">
        <w:t xml:space="preserve"> </w:t>
      </w:r>
      <w:r w:rsidR="005307EA">
        <w:t>(single zone)</w:t>
      </w:r>
      <w:r w:rsidR="002A43FC">
        <w:t xml:space="preserve"> or</w:t>
      </w:r>
      <w:r w:rsidR="00C14D2D">
        <w:t xml:space="preserve"> for the entire luminous and smoky regions (two</w:t>
      </w:r>
      <w:r w:rsidR="002E7B06">
        <w:t xml:space="preserve"> </w:t>
      </w:r>
      <w:r w:rsidR="00C14D2D">
        <w:t>zone</w:t>
      </w:r>
      <w:r w:rsidR="002E7B06">
        <w:t>s</w:t>
      </w:r>
      <w:r w:rsidR="00C14D2D">
        <w:t>)</w:t>
      </w:r>
      <w:r w:rsidR="00FA774B" w:rsidRPr="00FA774B">
        <w:t xml:space="preserve"> </w:t>
      </w:r>
      <w:r w:rsidR="00FA774B">
        <w:t xml:space="preserve">based on </w:t>
      </w:r>
      <w:r w:rsidR="00FA774B" w:rsidRPr="00291300">
        <w:rPr>
          <w:color w:val="000000" w:themeColor="text1"/>
        </w:rPr>
        <w:t xml:space="preserve">the fuel </w:t>
      </w:r>
      <w:r w:rsidR="002E7B06">
        <w:rPr>
          <w:color w:val="000000" w:themeColor="text1"/>
        </w:rPr>
        <w:t xml:space="preserve">burning </w:t>
      </w:r>
      <w:r w:rsidR="0091279F">
        <w:rPr>
          <w:color w:val="000000" w:themeColor="text1"/>
        </w:rPr>
        <w:t xml:space="preserve">characteristics </w:t>
      </w:r>
      <w:r w:rsidR="00FA774B" w:rsidRPr="00291300">
        <w:rPr>
          <w:color w:val="000000" w:themeColor="text1"/>
        </w:rPr>
        <w:t xml:space="preserve">and the </w:t>
      </w:r>
      <w:r w:rsidR="00FA774B">
        <w:rPr>
          <w:color w:val="000000" w:themeColor="text1"/>
        </w:rPr>
        <w:t xml:space="preserve">fire </w:t>
      </w:r>
      <w:r w:rsidR="00FA774B" w:rsidRPr="00291300">
        <w:rPr>
          <w:color w:val="000000" w:themeColor="text1"/>
        </w:rPr>
        <w:t>surface area</w:t>
      </w:r>
      <w:r w:rsidR="00F4290E">
        <w:rPr>
          <w:color w:val="000000" w:themeColor="text1"/>
        </w:rPr>
        <w:t xml:space="preserve"> </w:t>
      </w:r>
      <w:r w:rsidR="005B5BFB">
        <w:rPr>
          <w:color w:val="000000" w:themeColor="text1"/>
        </w:rPr>
        <w:t>(Xu, 2019)</w:t>
      </w:r>
      <w:r w:rsidR="004E55FA" w:rsidRPr="00291300">
        <w:rPr>
          <w:color w:val="000000" w:themeColor="text1"/>
        </w:rPr>
        <w:t>.</w:t>
      </w:r>
      <w:r w:rsidR="00E73E58">
        <w:rPr>
          <w:color w:val="000000" w:themeColor="text1"/>
        </w:rPr>
        <w:t xml:space="preserve"> </w:t>
      </w:r>
      <w:r w:rsidR="005307EA">
        <w:rPr>
          <w:color w:val="000000" w:themeColor="text1"/>
        </w:rPr>
        <w:t xml:space="preserve">Both single-zone and two-zone models </w:t>
      </w:r>
      <w:r w:rsidR="00A77011">
        <w:rPr>
          <w:color w:val="000000" w:themeColor="text1"/>
        </w:rPr>
        <w:t xml:space="preserve">may be useful when considering </w:t>
      </w:r>
      <w:r w:rsidR="005307EA">
        <w:rPr>
          <w:color w:val="000000" w:themeColor="text1"/>
        </w:rPr>
        <w:t xml:space="preserve">fire </w:t>
      </w:r>
      <w:r w:rsidR="00A77011">
        <w:rPr>
          <w:color w:val="000000" w:themeColor="text1"/>
        </w:rPr>
        <w:t>effects on distant objects and observers</w:t>
      </w:r>
      <w:r w:rsidR="005307EA">
        <w:rPr>
          <w:color w:val="000000" w:themeColor="text1"/>
        </w:rPr>
        <w:t>.</w:t>
      </w:r>
      <w:r w:rsidR="00A77011">
        <w:rPr>
          <w:color w:val="000000" w:themeColor="text1"/>
        </w:rPr>
        <w:t xml:space="preserve"> </w:t>
      </w:r>
      <w:r w:rsidR="005307EA">
        <w:rPr>
          <w:color w:val="000000" w:themeColor="text1"/>
        </w:rPr>
        <w:t xml:space="preserve">Yet, they </w:t>
      </w:r>
      <w:r w:rsidR="005B5BFB">
        <w:rPr>
          <w:color w:val="000000" w:themeColor="text1"/>
        </w:rPr>
        <w:t xml:space="preserve">may not be </w:t>
      </w:r>
      <w:r w:rsidR="004238A2">
        <w:rPr>
          <w:color w:val="000000" w:themeColor="text1"/>
        </w:rPr>
        <w:t>sufficient for</w:t>
      </w:r>
      <w:r w:rsidR="00A77011">
        <w:rPr>
          <w:color w:val="000000" w:themeColor="text1"/>
        </w:rPr>
        <w:t xml:space="preserve"> short distances</w:t>
      </w:r>
      <w:r w:rsidR="005307EA">
        <w:rPr>
          <w:color w:val="000000" w:themeColor="text1"/>
        </w:rPr>
        <w:t xml:space="preserve"> where the variation in SEP at different elevations </w:t>
      </w:r>
      <w:r w:rsidR="009C345F">
        <w:rPr>
          <w:color w:val="000000" w:themeColor="text1"/>
        </w:rPr>
        <w:t xml:space="preserve">can impact </w:t>
      </w:r>
      <w:r w:rsidR="004238A2">
        <w:rPr>
          <w:color w:val="000000" w:themeColor="text1"/>
        </w:rPr>
        <w:t>the incident radiation flux from different flame regions</w:t>
      </w:r>
      <w:r w:rsidR="005B5BFB">
        <w:rPr>
          <w:color w:val="000000" w:themeColor="text1"/>
        </w:rPr>
        <w:t>.</w:t>
      </w:r>
    </w:p>
    <w:p w14:paraId="69686B5F" w14:textId="0EFB9011" w:rsidR="004442E5" w:rsidRDefault="00AE1B2B" w:rsidP="00E46D82">
      <w:pPr>
        <w:pStyle w:val="CETBodytext"/>
      </w:pPr>
      <w:r>
        <w:t>Since t</w:t>
      </w:r>
      <w:r w:rsidRPr="00353DF6">
        <w:t xml:space="preserve">he </w:t>
      </w:r>
      <w:r>
        <w:t xml:space="preserve">emissive power </w:t>
      </w:r>
      <w:r w:rsidRPr="00353DF6">
        <w:t xml:space="preserve">from a pool fire is not </w:t>
      </w:r>
      <w:r>
        <w:t xml:space="preserve">entirely </w:t>
      </w:r>
      <w:r w:rsidRPr="00353DF6">
        <w:t xml:space="preserve">uniform over </w:t>
      </w:r>
      <w:r>
        <w:t xml:space="preserve">the </w:t>
      </w:r>
      <w:r w:rsidRPr="00353DF6">
        <w:t>flame surface area</w:t>
      </w:r>
      <w:r>
        <w:t xml:space="preserve">, </w:t>
      </w:r>
      <w:r w:rsidR="00FB1C93">
        <w:rPr>
          <w:color w:val="000000" w:themeColor="text1"/>
        </w:rPr>
        <w:t xml:space="preserve">a variable SEP is used </w:t>
      </w:r>
      <w:r>
        <w:rPr>
          <w:color w:val="000000" w:themeColor="text1"/>
        </w:rPr>
        <w:t xml:space="preserve">in the proposed method </w:t>
      </w:r>
      <w:r w:rsidR="00FB1C93">
        <w:rPr>
          <w:color w:val="000000" w:themeColor="text1"/>
        </w:rPr>
        <w:t>for different segments of the pool fire</w:t>
      </w:r>
      <w:r w:rsidR="00B265FD">
        <w:rPr>
          <w:color w:val="000000" w:themeColor="text1"/>
        </w:rPr>
        <w:t xml:space="preserve"> based on the elevation from the pool</w:t>
      </w:r>
      <w:r w:rsidR="00FB1C93">
        <w:rPr>
          <w:color w:val="000000" w:themeColor="text1"/>
        </w:rPr>
        <w:t xml:space="preserve">. </w:t>
      </w:r>
      <w:r w:rsidR="009C345F">
        <w:t xml:space="preserve">To focus on the differentiating </w:t>
      </w:r>
      <w:r w:rsidR="00C7014A">
        <w:t>aspects</w:t>
      </w:r>
      <w:r w:rsidR="009C345F" w:rsidRPr="00592E3D">
        <w:t xml:space="preserve"> of th</w:t>
      </w:r>
      <w:r w:rsidR="00FB1C93">
        <w:t xml:space="preserve">is </w:t>
      </w:r>
      <w:r w:rsidR="009C345F" w:rsidRPr="00592E3D">
        <w:t>method, it is assumed that both radiation source and the exposed object act as gray surfaces</w:t>
      </w:r>
      <w:r w:rsidR="009C345F">
        <w:t xml:space="preserve">, having no spectral and directional </w:t>
      </w:r>
      <w:r w:rsidR="00B265FD">
        <w:t xml:space="preserve">radiation </w:t>
      </w:r>
      <w:r w:rsidR="009C345F">
        <w:t>dependencies (Howell</w:t>
      </w:r>
      <w:r w:rsidR="00BE44F0">
        <w:t xml:space="preserve"> et al.</w:t>
      </w:r>
      <w:r w:rsidR="009C345F">
        <w:t>, 2020)</w:t>
      </w:r>
      <w:r w:rsidR="009C345F" w:rsidRPr="00592E3D">
        <w:t xml:space="preserve">. This is </w:t>
      </w:r>
      <w:r w:rsidR="009C345F">
        <w:t xml:space="preserve">typically true for conventional thermal radiation modelling, </w:t>
      </w:r>
      <w:r w:rsidR="00EC0DB6">
        <w:t>except for</w:t>
      </w:r>
      <w:r w:rsidR="009C345F">
        <w:t xml:space="preserve"> </w:t>
      </w:r>
      <w:r w:rsidR="00B265FD">
        <w:t xml:space="preserve">some </w:t>
      </w:r>
      <w:r w:rsidR="009C345F">
        <w:t>CFD</w:t>
      </w:r>
      <w:r w:rsidR="00B265FD">
        <w:t xml:space="preserve"> studies</w:t>
      </w:r>
      <w:r w:rsidR="009C345F">
        <w:t>.</w:t>
      </w:r>
      <w:r w:rsidR="00C7014A">
        <w:t xml:space="preserve"> </w:t>
      </w:r>
      <w:r w:rsidR="00E73E58" w:rsidRPr="00353DF6">
        <w:t xml:space="preserve">By neglecting the spectral and directional dependencies of thermal radiation intensity from any surface, the emissive power is the </w:t>
      </w:r>
      <w:r w:rsidR="0082152A">
        <w:t xml:space="preserve">total </w:t>
      </w:r>
      <w:r w:rsidR="00E73E58" w:rsidRPr="00353DF6">
        <w:t>rate of radiation emission per unit area of the radiation emitting surface</w:t>
      </w:r>
      <w:r w:rsidR="00A157F6">
        <w:t>, and</w:t>
      </w:r>
      <w:r w:rsidR="00E73E58" w:rsidRPr="00353DF6">
        <w:t xml:space="preserve"> </w:t>
      </w:r>
      <w:r w:rsidR="00A157F6">
        <w:t>t</w:t>
      </w:r>
      <w:r w:rsidR="00E73E58" w:rsidRPr="00353DF6">
        <w:t xml:space="preserve">he hemispherical emissive power </w:t>
      </w:r>
      <w:r w:rsidR="00424A14" w:rsidRPr="00353DF6">
        <w:t>is thus only dependent on the temperature of the radiation source</w:t>
      </w:r>
      <w:r w:rsidR="00A157F6">
        <w:t xml:space="preserve"> </w:t>
      </w:r>
      <w:r w:rsidR="00A157F6" w:rsidRPr="00353DF6">
        <w:t>(Howell et al., 2020)</w:t>
      </w:r>
      <w:r w:rsidR="00424A14" w:rsidRPr="00353DF6">
        <w:t xml:space="preserve">. </w:t>
      </w:r>
      <w:r w:rsidR="00C97F5A">
        <w:t>The general trend in temperature variation along the flame height is similar between l</w:t>
      </w:r>
      <w:r w:rsidR="0082152A" w:rsidRPr="005B5BFB">
        <w:t>arge</w:t>
      </w:r>
      <w:r w:rsidR="0082152A" w:rsidRPr="00353DF6">
        <w:t xml:space="preserve"> hydrocarbon pool fires </w:t>
      </w:r>
      <w:r w:rsidR="00C97F5A">
        <w:t xml:space="preserve">and </w:t>
      </w:r>
      <w:r w:rsidR="0082152A" w:rsidRPr="00353DF6">
        <w:t xml:space="preserve">small pool fires </w:t>
      </w:r>
      <w:r w:rsidR="0082152A" w:rsidRPr="005B5BFB">
        <w:t>(Beyler, 2016)</w:t>
      </w:r>
      <w:r w:rsidR="0082152A" w:rsidRPr="00353DF6">
        <w:t>.</w:t>
      </w:r>
      <w:r w:rsidR="0082152A">
        <w:t xml:space="preserve"> </w:t>
      </w:r>
      <w:r w:rsidR="00353DF6" w:rsidRPr="00353DF6">
        <w:t xml:space="preserve">For small pool fires, the temperature can be calculated based on the fire heat release rate, the flame shape, and the height above the base </w:t>
      </w:r>
      <w:r w:rsidR="00166CB3">
        <w:t>[</w:t>
      </w:r>
      <w:r w:rsidR="00353DF6" w:rsidRPr="00353DF6">
        <w:t>of the virtual origin</w:t>
      </w:r>
      <w:r w:rsidR="00166CB3">
        <w:t>]</w:t>
      </w:r>
      <w:r w:rsidR="00353DF6" w:rsidRPr="00353DF6">
        <w:t xml:space="preserve"> </w:t>
      </w:r>
      <w:r w:rsidR="00353DF6" w:rsidRPr="00B079A6">
        <w:t xml:space="preserve">of the pool fire. </w:t>
      </w:r>
      <w:r w:rsidR="0082152A">
        <w:t>S</w:t>
      </w:r>
      <w:r w:rsidR="00353DF6" w:rsidRPr="00B079A6">
        <w:t xml:space="preserve">emi-empirical correlations </w:t>
      </w:r>
      <w:r w:rsidR="0082152A">
        <w:t xml:space="preserve">exist </w:t>
      </w:r>
      <w:r w:rsidR="00353DF6" w:rsidRPr="00B079A6">
        <w:t xml:space="preserve">for the temperature along the centerline of </w:t>
      </w:r>
      <w:r w:rsidR="0082152A">
        <w:t xml:space="preserve">small </w:t>
      </w:r>
      <w:r w:rsidR="00353DF6" w:rsidRPr="00B079A6">
        <w:t>fire plume</w:t>
      </w:r>
      <w:r w:rsidR="0082152A">
        <w:t>s</w:t>
      </w:r>
      <w:r w:rsidR="00353DF6" w:rsidRPr="00B079A6">
        <w:t xml:space="preserve">, </w:t>
      </w:r>
      <w:r w:rsidR="0082152A">
        <w:t xml:space="preserve">and similarly for </w:t>
      </w:r>
      <w:r w:rsidR="00353DF6" w:rsidRPr="00B079A6">
        <w:t>the radial distribution of temperature based on the centerline temperature (</w:t>
      </w:r>
      <w:r w:rsidR="00E51B90" w:rsidRPr="00B079A6">
        <w:t>Heskestad</w:t>
      </w:r>
      <w:r w:rsidR="00353DF6" w:rsidRPr="00B079A6">
        <w:t xml:space="preserve">, 2016). However, thermal radiation trends from small pool fires cannot </w:t>
      </w:r>
      <w:r w:rsidR="0082152A">
        <w:t xml:space="preserve">necessarily </w:t>
      </w:r>
      <w:r w:rsidR="00353DF6" w:rsidRPr="00B079A6">
        <w:t>be used for large pool fires, which are the subject</w:t>
      </w:r>
      <w:r w:rsidR="00353DF6" w:rsidRPr="00353DF6">
        <w:t xml:space="preserve"> of interest in </w:t>
      </w:r>
      <w:r w:rsidR="00353DF6">
        <w:t xml:space="preserve">the </w:t>
      </w:r>
      <w:r w:rsidR="00353DF6" w:rsidRPr="00353DF6">
        <w:t xml:space="preserve">process industry. </w:t>
      </w:r>
      <w:r w:rsidR="0082152A">
        <w:t xml:space="preserve">Experimental studies have </w:t>
      </w:r>
      <w:r w:rsidR="00353DF6" w:rsidRPr="00B079A6">
        <w:t>show</w:t>
      </w:r>
      <w:r w:rsidR="0082152A">
        <w:t>n</w:t>
      </w:r>
      <w:r w:rsidR="00353DF6" w:rsidRPr="00B079A6">
        <w:t xml:space="preserve"> that </w:t>
      </w:r>
      <w:r w:rsidR="0082152A" w:rsidRPr="00B079A6">
        <w:t xml:space="preserve">the radiative fraction drops significantly </w:t>
      </w:r>
      <w:r w:rsidR="0082152A">
        <w:t xml:space="preserve">with large pool </w:t>
      </w:r>
      <w:r w:rsidR="00353DF6" w:rsidRPr="00B079A6">
        <w:t>diameter</w:t>
      </w:r>
      <w:r w:rsidR="0082152A">
        <w:t>s</w:t>
      </w:r>
      <w:r w:rsidR="00353DF6" w:rsidRPr="00B079A6">
        <w:t>, primarily due to the obscuration effect of smoke and partial block</w:t>
      </w:r>
      <w:r w:rsidR="0082152A">
        <w:t>ing</w:t>
      </w:r>
      <w:r w:rsidR="00353DF6" w:rsidRPr="00B079A6">
        <w:t xml:space="preserve"> </w:t>
      </w:r>
      <w:r w:rsidR="0082152A">
        <w:t xml:space="preserve">of </w:t>
      </w:r>
      <w:r w:rsidR="00353DF6" w:rsidRPr="00B079A6">
        <w:t>the radiation from the luminous flame region (</w:t>
      </w:r>
      <w:r w:rsidR="00B079A6" w:rsidRPr="00B079A6">
        <w:t>Beyler</w:t>
      </w:r>
      <w:r w:rsidR="00353DF6" w:rsidRPr="00B079A6">
        <w:t>, 2016).</w:t>
      </w:r>
      <w:r w:rsidR="005D0A9F" w:rsidRPr="00B079A6">
        <w:t xml:space="preserve"> </w:t>
      </w:r>
      <w:r w:rsidR="00CD4EFE">
        <w:t>For the case study in this</w:t>
      </w:r>
      <w:r w:rsidR="00D34ADA">
        <w:t xml:space="preserve"> manuscript, a correlation is assumed for </w:t>
      </w:r>
      <w:r w:rsidR="00DC6344">
        <w:t xml:space="preserve">the empirically obtained data </w:t>
      </w:r>
      <w:r w:rsidR="00421E82">
        <w:t xml:space="preserve">by </w:t>
      </w:r>
      <w:r w:rsidR="00421E82" w:rsidRPr="00B079A6">
        <w:t>Múnoz et al. (2004)</w:t>
      </w:r>
      <w:r w:rsidR="00421E82">
        <w:t xml:space="preserve"> for an average SEP at different elevations</w:t>
      </w:r>
      <w:r w:rsidR="00CF7C62">
        <w:t>.</w:t>
      </w:r>
    </w:p>
    <w:p w14:paraId="1827C8A3" w14:textId="63ED5F0E" w:rsidR="004E55FA" w:rsidRDefault="00AD71F0" w:rsidP="00AD71F0">
      <w:pPr>
        <w:pStyle w:val="CETHeadingxx"/>
      </w:pPr>
      <w:r>
        <w:lastRenderedPageBreak/>
        <w:t>2</w:t>
      </w:r>
      <w:r w:rsidR="00EC335D">
        <w:t xml:space="preserve">.2 </w:t>
      </w:r>
      <w:r w:rsidR="004E55FA" w:rsidRPr="004B4C04">
        <w:t>View factor</w:t>
      </w:r>
    </w:p>
    <w:p w14:paraId="762FCEC9" w14:textId="3FEEDDA6" w:rsidR="00CF54B2" w:rsidRDefault="008360D3" w:rsidP="00A024DA">
      <w:pPr>
        <w:pStyle w:val="CETBodytext"/>
      </w:pPr>
      <w:r>
        <w:t>The</w:t>
      </w:r>
      <w:r w:rsidRPr="008360D3">
        <w:t xml:space="preserve"> view factor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ub>
        </m:sSub>
      </m:oMath>
      <w:r w:rsidRPr="008360D3">
        <w:t xml:space="preserve"> is</w:t>
      </w:r>
      <w:r w:rsidR="005145EC">
        <w:t>,</w:t>
      </w:r>
      <w:r w:rsidRPr="008360D3">
        <w:t xml:space="preserve"> by definition</w:t>
      </w:r>
      <w:r w:rsidR="005145EC">
        <w:t>,</w:t>
      </w:r>
      <w:r w:rsidRPr="008360D3">
        <w:t xml:space="preserve"> a fraction of the diffusely radiated energy leaving surface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8360D3">
        <w:t xml:space="preserve"> which is incident on surface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8360D3">
        <w:t xml:space="preserve"> (Howell et al</w:t>
      </w:r>
      <w:r w:rsidR="008A7051">
        <w:t>.</w:t>
      </w:r>
      <w:r w:rsidRPr="008360D3">
        <w:t>, 2020)</w:t>
      </w:r>
      <w:r>
        <w:t>.</w:t>
      </w:r>
      <w:r w:rsidRPr="008360D3">
        <w:t xml:space="preserve"> Several analytical solutions exist for the view factor between </w:t>
      </w:r>
      <w:r w:rsidR="00A024DA">
        <w:t xml:space="preserve">finite </w:t>
      </w:r>
      <w:r w:rsidRPr="008360D3">
        <w:t xml:space="preserve">surfaces in specific </w:t>
      </w:r>
      <w:r w:rsidR="00991E48">
        <w:t>configurations</w:t>
      </w:r>
      <w:r w:rsidRPr="008360D3">
        <w:t>, though the direct application of such solutions to real geometries may not be practical</w:t>
      </w:r>
      <w:r>
        <w:t xml:space="preserve">, </w:t>
      </w:r>
      <w:r w:rsidR="00A024DA">
        <w:t>thus</w:t>
      </w:r>
      <w:r>
        <w:t xml:space="preserve"> numerical integration may be </w:t>
      </w:r>
      <w:r w:rsidR="00A024DA">
        <w:t>necessary</w:t>
      </w:r>
      <w:r>
        <w:t xml:space="preserve">. </w:t>
      </w:r>
      <w:r w:rsidR="00552A5B">
        <w:t xml:space="preserve">To eliminate the need for numerical integration for </w:t>
      </w:r>
      <w:r w:rsidR="007F1FE8">
        <w:t xml:space="preserve">the </w:t>
      </w:r>
      <w:r w:rsidR="00B15D8E">
        <w:t xml:space="preserve">present </w:t>
      </w:r>
      <w:r w:rsidR="00903F4D">
        <w:t>case study</w:t>
      </w:r>
      <w:r w:rsidR="007F1FE8">
        <w:t>, a</w:t>
      </w:r>
      <w:r>
        <w:t xml:space="preserve"> rather </w:t>
      </w:r>
      <w:r w:rsidR="00C946BD">
        <w:t xml:space="preserve">simplified </w:t>
      </w:r>
      <w:r w:rsidR="000376B3">
        <w:t xml:space="preserve">approach is </w:t>
      </w:r>
      <w:r w:rsidR="00B15D8E">
        <w:t>adopted</w:t>
      </w:r>
      <w:r w:rsidR="007F1FE8">
        <w:t>.</w:t>
      </w:r>
      <w:r w:rsidR="003A07E8">
        <w:t xml:space="preserve"> The</w:t>
      </w:r>
      <w:r w:rsidRPr="008360D3">
        <w:t xml:space="preserve"> view factor </w:t>
      </w:r>
      <w:r w:rsidR="00496EE0">
        <w:t xml:space="preserve">is </w:t>
      </w:r>
      <w:r w:rsidR="00B15D8E">
        <w:t xml:space="preserve">calculated </w:t>
      </w:r>
      <w:r w:rsidR="00496EE0">
        <w:t xml:space="preserve">based on the described </w:t>
      </w:r>
      <w:r w:rsidR="00B15D8E">
        <w:t xml:space="preserve">form </w:t>
      </w:r>
      <w:r w:rsidR="00496EE0">
        <w:t xml:space="preserve">by Ehlert and Smith (1993) for </w:t>
      </w:r>
      <w:r w:rsidR="00C946BD">
        <w:t xml:space="preserve">two finite </w:t>
      </w:r>
      <w:r w:rsidR="001F255F">
        <w:t>plates</w:t>
      </w:r>
      <w:r w:rsidR="005F125B">
        <w:t xml:space="preserve">, </w:t>
      </w:r>
      <w:r w:rsidR="00F77F55">
        <w:t xml:space="preserve">as </w:t>
      </w:r>
      <w:r w:rsidR="00CF54B2">
        <w:t xml:space="preserve">given </w:t>
      </w:r>
      <w:r w:rsidR="00F77F55">
        <w:t>in Eq(1)</w:t>
      </w:r>
      <w:r w:rsidR="00C24396">
        <w:t>, and shown in Figure 2a.</w:t>
      </w:r>
      <w:r w:rsidR="00E907B1">
        <w:t xml:space="preserve"> Here, the finite areas A</w:t>
      </w:r>
      <w:r w:rsidR="00E907B1" w:rsidRPr="00AD7FB3">
        <w:rPr>
          <w:vertAlign w:val="subscript"/>
        </w:rPr>
        <w:t>1</w:t>
      </w:r>
      <w:r w:rsidR="00E907B1">
        <w:t xml:space="preserve"> and A</w:t>
      </w:r>
      <w:r w:rsidR="00E907B1" w:rsidRPr="006B6CAC">
        <w:rPr>
          <w:vertAlign w:val="subscript"/>
        </w:rPr>
        <w:t>2</w:t>
      </w:r>
      <w:r w:rsidR="00E907B1">
        <w:t xml:space="preserve"> represent the flame and the exposed segments, respectively, as seen in Figure 2b.</w:t>
      </w:r>
    </w:p>
    <w:tbl>
      <w:tblPr>
        <w:tblW w:w="5000" w:type="pct"/>
        <w:tblLook w:val="04A0" w:firstRow="1" w:lastRow="0" w:firstColumn="1" w:lastColumn="0" w:noHBand="0" w:noVBand="1"/>
      </w:tblPr>
      <w:tblGrid>
        <w:gridCol w:w="8351"/>
        <w:gridCol w:w="436"/>
      </w:tblGrid>
      <w:tr w:rsidR="00CF54B2" w:rsidRPr="002724BC" w14:paraId="7763E707" w14:textId="77777777" w:rsidTr="0092764E">
        <w:trPr>
          <w:trHeight w:val="509"/>
        </w:trPr>
        <w:tc>
          <w:tcPr>
            <w:tcW w:w="8364" w:type="dxa"/>
            <w:shd w:val="clear" w:color="auto" w:fill="auto"/>
            <w:vAlign w:val="center"/>
          </w:tcPr>
          <w:p w14:paraId="4BC45923" w14:textId="34C29523" w:rsidR="00CF54B2" w:rsidRPr="00D62290" w:rsidRDefault="00000000" w:rsidP="00DA5102">
            <w:pPr>
              <w:pStyle w:val="CETEquation"/>
              <w:rPr>
                <w:rFonts w:asciiTheme="minorBidi" w:hAnsiTheme="minorBidi" w:cstheme="minorBidi"/>
              </w:rPr>
            </w:pPr>
            <m:oMathPara>
              <m:oMathParaPr>
                <m:jc m:val="left"/>
              </m:oMathParaPr>
              <m:oMath>
                <m:sSub>
                  <m:sSubPr>
                    <m:ctrlPr>
                      <w:rPr>
                        <w:rFonts w:ascii="Cambria Math" w:hAnsi="Cambria Math" w:cstheme="minorBidi"/>
                      </w:rPr>
                    </m:ctrlPr>
                  </m:sSubPr>
                  <m:e>
                    <m:r>
                      <w:rPr>
                        <w:rFonts w:ascii="Cambria Math" w:hAnsi="Cambria Math" w:cstheme="minorBidi"/>
                      </w:rPr>
                      <m:t>F</m:t>
                    </m:r>
                    <m:ctrlPr>
                      <w:rPr>
                        <w:rFonts w:ascii="Cambria Math" w:hAnsi="Cambria Math" w:cstheme="minorBidi"/>
                        <w:i/>
                      </w:rPr>
                    </m:ctrlPr>
                  </m:e>
                  <m:sub>
                    <m:sSub>
                      <m:sSubPr>
                        <m:ctrlPr>
                          <w:rPr>
                            <w:rFonts w:ascii="Cambria Math" w:hAnsi="Cambria Math" w:cstheme="minorBidi"/>
                          </w:rPr>
                        </m:ctrlPr>
                      </m:sSubPr>
                      <m:e>
                        <m:r>
                          <w:rPr>
                            <w:rFonts w:ascii="Cambria Math" w:hAnsi="Cambria Math" w:cstheme="minorBidi"/>
                          </w:rPr>
                          <m:t>A</m:t>
                        </m:r>
                      </m:e>
                      <m:sub>
                        <m:r>
                          <m:rPr>
                            <m:sty m:val="p"/>
                          </m:rPr>
                          <w:rPr>
                            <w:rFonts w:ascii="Cambria Math" w:hAnsi="Cambria Math" w:cstheme="minorBidi"/>
                          </w:rPr>
                          <m:t>1</m:t>
                        </m:r>
                      </m:sub>
                    </m:sSub>
                    <m:r>
                      <m:rPr>
                        <m:sty m:val="p"/>
                      </m:rPr>
                      <w:rPr>
                        <w:rFonts w:ascii="Cambria Math" w:hAnsi="Cambria Math" w:cstheme="minorBidi"/>
                      </w:rPr>
                      <m:t>-</m:t>
                    </m:r>
                    <m:sSub>
                      <m:sSubPr>
                        <m:ctrlPr>
                          <w:rPr>
                            <w:rFonts w:ascii="Cambria Math" w:hAnsi="Cambria Math" w:cstheme="minorBidi"/>
                          </w:rPr>
                        </m:ctrlPr>
                      </m:sSubPr>
                      <m:e>
                        <m:r>
                          <m:rPr>
                            <m:sty m:val="p"/>
                          </m:rPr>
                          <w:rPr>
                            <w:rFonts w:ascii="Cambria Math" w:hAnsi="Cambria Math" w:cstheme="minorBidi"/>
                          </w:rPr>
                          <m:t>A</m:t>
                        </m:r>
                      </m:e>
                      <m:sub>
                        <m:r>
                          <m:rPr>
                            <m:sty m:val="p"/>
                          </m:rPr>
                          <w:rPr>
                            <w:rFonts w:ascii="Cambria Math" w:hAnsi="Cambria Math" w:cstheme="minorBidi"/>
                          </w:rPr>
                          <m:t>2</m:t>
                        </m:r>
                      </m:sub>
                    </m:sSub>
                  </m:sub>
                </m:sSub>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1</m:t>
                    </m:r>
                  </m:num>
                  <m:den>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x</m:t>
                            </m:r>
                          </m:e>
                          <m:sub>
                            <m:r>
                              <w:rPr>
                                <w:rFonts w:ascii="Cambria Math" w:hAnsi="Cambria Math" w:cstheme="minorBidi"/>
                              </w:rPr>
                              <m:t>2</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x</m:t>
                            </m:r>
                          </m:e>
                          <m:sub>
                            <m:r>
                              <w:rPr>
                                <w:rFonts w:ascii="Cambria Math" w:hAnsi="Cambria Math" w:cstheme="minorBidi"/>
                              </w:rPr>
                              <m:t>1</m:t>
                            </m:r>
                          </m:sub>
                        </m:sSub>
                      </m:e>
                    </m:d>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y</m:t>
                            </m:r>
                          </m:e>
                          <m:sub>
                            <m:r>
                              <w:rPr>
                                <w:rFonts w:ascii="Cambria Math" w:hAnsi="Cambria Math" w:cstheme="minorBidi"/>
                              </w:rPr>
                              <m:t>2</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y</m:t>
                            </m:r>
                          </m:e>
                          <m:sub>
                            <m:r>
                              <w:rPr>
                                <w:rFonts w:ascii="Cambria Math" w:hAnsi="Cambria Math" w:cstheme="minorBidi"/>
                              </w:rPr>
                              <m:t>1</m:t>
                            </m:r>
                          </m:sub>
                        </m:sSub>
                      </m:e>
                    </m:d>
                  </m:den>
                </m:f>
                <m:nary>
                  <m:naryPr>
                    <m:chr m:val="∑"/>
                    <m:limLoc m:val="undOvr"/>
                    <m:ctrlPr>
                      <w:rPr>
                        <w:rFonts w:ascii="Cambria Math" w:hAnsi="Cambria Math" w:cstheme="minorBidi"/>
                        <w:i/>
                      </w:rPr>
                    </m:ctrlPr>
                  </m:naryPr>
                  <m:sub>
                    <m:r>
                      <w:rPr>
                        <w:rFonts w:ascii="Cambria Math" w:hAnsi="Cambria Math" w:cstheme="minorBidi"/>
                      </w:rPr>
                      <m:t>l=1</m:t>
                    </m:r>
                  </m:sub>
                  <m:sup>
                    <m:r>
                      <w:rPr>
                        <w:rFonts w:ascii="Cambria Math" w:hAnsi="Cambria Math" w:cstheme="minorBidi"/>
                      </w:rPr>
                      <m:t>2</m:t>
                    </m:r>
                  </m:sup>
                  <m:e>
                    <m:nary>
                      <m:naryPr>
                        <m:chr m:val="∑"/>
                        <m:limLoc m:val="undOvr"/>
                        <m:ctrlPr>
                          <w:rPr>
                            <w:rFonts w:ascii="Cambria Math" w:hAnsi="Cambria Math" w:cstheme="minorBidi"/>
                            <w:i/>
                          </w:rPr>
                        </m:ctrlPr>
                      </m:naryPr>
                      <m:sub>
                        <m:r>
                          <w:rPr>
                            <w:rFonts w:ascii="Cambria Math" w:hAnsi="Cambria Math" w:cstheme="minorBidi"/>
                          </w:rPr>
                          <m:t>k=1</m:t>
                        </m:r>
                      </m:sub>
                      <m:sup>
                        <m:r>
                          <w:rPr>
                            <w:rFonts w:ascii="Cambria Math" w:hAnsi="Cambria Math" w:cstheme="minorBidi"/>
                          </w:rPr>
                          <m:t>2</m:t>
                        </m:r>
                      </m:sup>
                      <m:e>
                        <m:nary>
                          <m:naryPr>
                            <m:chr m:val="∑"/>
                            <m:limLoc m:val="undOvr"/>
                            <m:ctrlPr>
                              <w:rPr>
                                <w:rFonts w:ascii="Cambria Math" w:hAnsi="Cambria Math" w:cstheme="minorBidi"/>
                                <w:i/>
                              </w:rPr>
                            </m:ctrlPr>
                          </m:naryPr>
                          <m:sub>
                            <m:r>
                              <w:rPr>
                                <w:rFonts w:ascii="Cambria Math" w:hAnsi="Cambria Math" w:cstheme="minorBidi"/>
                              </w:rPr>
                              <m:t>j=1</m:t>
                            </m:r>
                          </m:sub>
                          <m:sup>
                            <m:r>
                              <w:rPr>
                                <w:rFonts w:ascii="Cambria Math" w:hAnsi="Cambria Math" w:cstheme="minorBidi"/>
                              </w:rPr>
                              <m:t>2</m:t>
                            </m:r>
                          </m:sup>
                          <m:e>
                            <m:nary>
                              <m:naryPr>
                                <m:chr m:val="∑"/>
                                <m:limLoc m:val="undOvr"/>
                                <m:ctrlPr>
                                  <w:rPr>
                                    <w:rFonts w:ascii="Cambria Math" w:hAnsi="Cambria Math" w:cstheme="minorBidi"/>
                                    <w:i/>
                                  </w:rPr>
                                </m:ctrlPr>
                              </m:naryPr>
                              <m:sub>
                                <m:r>
                                  <w:rPr>
                                    <w:rFonts w:ascii="Cambria Math" w:hAnsi="Cambria Math" w:cstheme="minorBidi"/>
                                  </w:rPr>
                                  <m:t>i=1</m:t>
                                </m:r>
                              </m:sub>
                              <m:sup>
                                <m:r>
                                  <w:rPr>
                                    <w:rFonts w:ascii="Cambria Math" w:hAnsi="Cambria Math" w:cstheme="minorBidi"/>
                                  </w:rPr>
                                  <m:t>2</m:t>
                                </m:r>
                              </m:sup>
                              <m:e>
                                <m:sSup>
                                  <m:sSupPr>
                                    <m:ctrlPr>
                                      <w:rPr>
                                        <w:rFonts w:ascii="Cambria Math" w:hAnsi="Cambria Math" w:cstheme="minorBidi"/>
                                        <w:i/>
                                      </w:rPr>
                                    </m:ctrlPr>
                                  </m:sSupPr>
                                  <m:e>
                                    <m:d>
                                      <m:dPr>
                                        <m:ctrlPr>
                                          <w:rPr>
                                            <w:rFonts w:ascii="Cambria Math" w:hAnsi="Cambria Math" w:cstheme="minorBidi"/>
                                            <w:i/>
                                          </w:rPr>
                                        </m:ctrlPr>
                                      </m:dPr>
                                      <m:e>
                                        <m:r>
                                          <w:rPr>
                                            <w:rFonts w:ascii="Cambria Math" w:hAnsi="Cambria Math" w:cstheme="minorBidi"/>
                                          </w:rPr>
                                          <m:t>-1</m:t>
                                        </m:r>
                                      </m:e>
                                    </m:d>
                                  </m:e>
                                  <m:sup>
                                    <m:d>
                                      <m:dPr>
                                        <m:ctrlPr>
                                          <w:rPr>
                                            <w:rFonts w:ascii="Cambria Math" w:hAnsi="Cambria Math" w:cstheme="minorBidi"/>
                                            <w:i/>
                                          </w:rPr>
                                        </m:ctrlPr>
                                      </m:dPr>
                                      <m:e>
                                        <m:r>
                                          <w:rPr>
                                            <w:rFonts w:ascii="Cambria Math" w:hAnsi="Cambria Math" w:cstheme="minorBidi"/>
                                          </w:rPr>
                                          <m:t>i+j+k+l</m:t>
                                        </m:r>
                                      </m:e>
                                    </m:d>
                                  </m:sup>
                                </m:sSup>
                                <m:r>
                                  <w:rPr>
                                    <w:rFonts w:ascii="Cambria Math" w:hAnsi="Cambria Math" w:cstheme="minorBidi"/>
                                  </w:rPr>
                                  <m:t>G</m:t>
                                </m:r>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x</m:t>
                                        </m:r>
                                      </m:e>
                                      <m:sub>
                                        <m:r>
                                          <w:rPr>
                                            <w:rFonts w:ascii="Cambria Math" w:hAnsi="Cambria Math" w:cstheme="minorBidi"/>
                                          </w:rPr>
                                          <m:t>i</m:t>
                                        </m:r>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y</m:t>
                                        </m:r>
                                      </m:e>
                                      <m:sub>
                                        <m:r>
                                          <w:rPr>
                                            <w:rFonts w:ascii="Cambria Math" w:hAnsi="Cambria Math" w:cstheme="minorBidi"/>
                                          </w:rPr>
                                          <m:t>j</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η</m:t>
                                        </m:r>
                                      </m:e>
                                      <m:sub>
                                        <m:r>
                                          <w:rPr>
                                            <w:rFonts w:ascii="Cambria Math" w:hAnsi="Cambria Math" w:cstheme="minorBidi"/>
                                          </w:rPr>
                                          <m:t>k</m:t>
                                        </m:r>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ξ</m:t>
                                        </m:r>
                                      </m:e>
                                      <m:sub>
                                        <m:r>
                                          <w:rPr>
                                            <w:rFonts w:ascii="Cambria Math" w:hAnsi="Cambria Math" w:cstheme="minorBidi"/>
                                          </w:rPr>
                                          <m:t>l</m:t>
                                        </m:r>
                                      </m:sub>
                                    </m:sSub>
                                  </m:e>
                                </m:d>
                              </m:e>
                            </m:nary>
                          </m:e>
                        </m:nary>
                      </m:e>
                    </m:nary>
                  </m:e>
                </m:nary>
              </m:oMath>
            </m:oMathPara>
          </w:p>
          <w:p w14:paraId="0151E150" w14:textId="05B1A285" w:rsidR="00D62290" w:rsidRPr="006B6CAC" w:rsidRDefault="006F38DA" w:rsidP="006B6CAC">
            <w:pPr>
              <w:pStyle w:val="CETBodytext"/>
            </w:pPr>
            <m:oMathPara>
              <m:oMathParaPr>
                <m:jc m:val="left"/>
              </m:oMathParaPr>
              <m:oMath>
                <m:r>
                  <w:rPr>
                    <w:rFonts w:ascii="Cambria Math" w:hAnsi="Cambria Math"/>
                  </w:rPr>
                  <m:t>G=</m:t>
                </m:r>
                <m:f>
                  <m:fPr>
                    <m:ctrlPr>
                      <w:rPr>
                        <w:rFonts w:ascii="Cambria Math" w:hAnsi="Cambria Math"/>
                        <w:i/>
                      </w:rPr>
                    </m:ctrlPr>
                  </m:fPr>
                  <m:num>
                    <m:r>
                      <w:rPr>
                        <w:rFonts w:ascii="Cambria Math" w:hAnsi="Cambria Math"/>
                      </w:rPr>
                      <m:t>1</m:t>
                    </m:r>
                  </m:num>
                  <m:den>
                    <m:r>
                      <w:rPr>
                        <w:rFonts w:ascii="Cambria Math" w:hAnsi="Cambria Math"/>
                      </w:rPr>
                      <m:t>2π</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y-η</m:t>
                        </m:r>
                      </m:e>
                    </m:d>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x-ξ</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ctrlPr>
                              <w:rPr>
                                <w:rFonts w:ascii="Cambria Math" w:hAnsi="Cambria Math"/>
                              </w:rPr>
                            </m:ctrlPr>
                          </m:sup>
                        </m:sSup>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y-η</m:t>
                                </m:r>
                              </m:num>
                              <m:den>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x-ξ</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den>
                            </m:f>
                          </m:e>
                        </m:d>
                      </m:e>
                    </m:func>
                    <m:r>
                      <w:rPr>
                        <w:rFonts w:ascii="Cambria Math" w:hAnsi="Cambria Math"/>
                      </w:rPr>
                      <m:t>+</m:t>
                    </m:r>
                    <m:d>
                      <m:dPr>
                        <m:ctrlPr>
                          <w:rPr>
                            <w:rFonts w:ascii="Cambria Math" w:hAnsi="Cambria Math"/>
                            <w:i/>
                          </w:rPr>
                        </m:ctrlPr>
                      </m:dPr>
                      <m:e>
                        <m:r>
                          <w:rPr>
                            <w:rFonts w:ascii="Cambria Math" w:hAnsi="Cambria Math"/>
                          </w:rPr>
                          <m:t>x-ξ</m:t>
                        </m:r>
                      </m:e>
                    </m:d>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y-η</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ctrlPr>
                              <w:rPr>
                                <w:rFonts w:ascii="Cambria Math" w:hAnsi="Cambria Math"/>
                              </w:rPr>
                            </m:ctrlPr>
                          </m:sup>
                        </m:sSup>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x-ξ</m:t>
                                </m:r>
                              </m:num>
                              <m:den>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y-η</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den>
                            </m:f>
                          </m:e>
                        </m:d>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2</m:t>
                        </m:r>
                      </m:den>
                    </m:f>
                    <m:func>
                      <m:funcPr>
                        <m:ctrlPr>
                          <w:rPr>
                            <w:rFonts w:ascii="Cambria Math" w:hAnsi="Cambria Math"/>
                            <w:i/>
                          </w:rPr>
                        </m:ctrlPr>
                      </m:funcPr>
                      <m:fName>
                        <m:r>
                          <m:rPr>
                            <m:sty m:val="p"/>
                          </m:rPr>
                          <w:rPr>
                            <w:rFonts w:ascii="Cambria Math" w:hAnsi="Cambria Math"/>
                          </w:rPr>
                          <m:t>ln</m:t>
                        </m:r>
                        <m:ctrlPr>
                          <w:rPr>
                            <w:rFonts w:ascii="Cambria Math" w:hAnsi="Cambria Math"/>
                          </w:rPr>
                        </m:ctrlPr>
                      </m:fName>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x-ξ</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y-η</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e>
                        </m:d>
                      </m:e>
                    </m:func>
                  </m:e>
                </m:d>
              </m:oMath>
            </m:oMathPara>
          </w:p>
        </w:tc>
        <w:tc>
          <w:tcPr>
            <w:tcW w:w="423" w:type="dxa"/>
            <w:shd w:val="clear" w:color="auto" w:fill="auto"/>
            <w:vAlign w:val="center"/>
          </w:tcPr>
          <w:p w14:paraId="3D3D654C" w14:textId="77777777" w:rsidR="00CF54B2" w:rsidRPr="00DA5102" w:rsidRDefault="00CF54B2" w:rsidP="00DA5102">
            <w:pPr>
              <w:pStyle w:val="CETEquation"/>
              <w:jc w:val="right"/>
              <w:rPr>
                <w:rFonts w:asciiTheme="minorBidi" w:hAnsiTheme="minorBidi" w:cstheme="minorBidi"/>
              </w:rPr>
            </w:pPr>
            <w:r w:rsidRPr="00DA5102">
              <w:rPr>
                <w:rFonts w:asciiTheme="minorBidi" w:hAnsiTheme="minorBidi" w:cstheme="minorBidi"/>
              </w:rPr>
              <w:t>(1)</w:t>
            </w:r>
          </w:p>
        </w:tc>
      </w:tr>
    </w:tbl>
    <w:p w14:paraId="57B6CBA5" w14:textId="7CB783AF" w:rsidR="008938D2" w:rsidRDefault="005513EE" w:rsidP="0052759C">
      <w:pPr>
        <w:pStyle w:val="CETBodytext"/>
      </w:pPr>
      <w:r>
        <w:t xml:space="preserve">Note that </w:t>
      </w:r>
      <w:r w:rsidR="00FC2AB7">
        <w:t xml:space="preserve">the view factor as described by Ehlert and Smith (1993) is applicable to parallel </w:t>
      </w:r>
      <w:r w:rsidR="002B74DF">
        <w:t>plates</w:t>
      </w:r>
      <w:r w:rsidR="00451095">
        <w:t xml:space="preserve">, while the flame and exposed segments in the present </w:t>
      </w:r>
      <w:r w:rsidR="00903F4D">
        <w:t>case study</w:t>
      </w:r>
      <w:r w:rsidR="00451095">
        <w:t xml:space="preserve"> are not necessarily parallel. </w:t>
      </w:r>
      <w:r w:rsidR="00FD6DA2">
        <w:t>Since</w:t>
      </w:r>
      <w:r w:rsidR="00FA2469">
        <w:t xml:space="preserve"> </w:t>
      </w:r>
      <w:r w:rsidR="00E07F32">
        <w:t xml:space="preserve">the radiation intensity </w:t>
      </w:r>
      <w:r w:rsidR="00FD6DA2">
        <w:t xml:space="preserve">is </w:t>
      </w:r>
      <w:r w:rsidR="00187A08">
        <w:t>independen</w:t>
      </w:r>
      <w:r w:rsidR="0089560E">
        <w:t>t</w:t>
      </w:r>
      <w:r w:rsidR="00187A08">
        <w:t xml:space="preserve"> </w:t>
      </w:r>
      <w:r w:rsidR="00E07F32">
        <w:t xml:space="preserve">of </w:t>
      </w:r>
      <w:r w:rsidR="00892341">
        <w:t>the direction of emission</w:t>
      </w:r>
      <w:r w:rsidR="00E9248B">
        <w:t xml:space="preserve"> </w:t>
      </w:r>
      <w:r w:rsidR="00E07F32">
        <w:t xml:space="preserve">for gray surfaces, </w:t>
      </w:r>
      <w:r w:rsidR="005709F3">
        <w:t xml:space="preserve">the </w:t>
      </w:r>
      <w:r w:rsidR="00E9248B">
        <w:t xml:space="preserve">amount of radiation emitted by </w:t>
      </w:r>
      <w:r w:rsidR="008A7051">
        <w:t xml:space="preserve">each </w:t>
      </w:r>
      <w:r w:rsidR="00E9248B">
        <w:t xml:space="preserve">flame </w:t>
      </w:r>
      <w:r w:rsidR="008A7051">
        <w:t>segment</w:t>
      </w:r>
      <w:r w:rsidR="00E9248B">
        <w:t xml:space="preserve"> that is intercepted</w:t>
      </w:r>
      <w:r w:rsidR="008A7051">
        <w:t xml:space="preserve"> by </w:t>
      </w:r>
      <w:r w:rsidR="00E70180">
        <w:t>each</w:t>
      </w:r>
      <w:r w:rsidR="008A7051">
        <w:t xml:space="preserve"> exposed segment</w:t>
      </w:r>
      <w:r w:rsidR="00985EFC">
        <w:t xml:space="preserve"> depends </w:t>
      </w:r>
      <w:r w:rsidR="006419D6">
        <w:t xml:space="preserve">solely </w:t>
      </w:r>
      <w:r w:rsidR="00985EFC">
        <w:t xml:space="preserve">on the solid angle </w:t>
      </w:r>
      <w:r w:rsidR="00257590">
        <w:t>that the exposed segment occupies when viewed from the flame segment</w:t>
      </w:r>
      <w:r w:rsidR="00753EAF">
        <w:t xml:space="preserve">. </w:t>
      </w:r>
      <w:r w:rsidR="006916E9">
        <w:t>I</w:t>
      </w:r>
      <w:r w:rsidR="00F622B8">
        <w:t xml:space="preserve">t is the projected area that matters </w:t>
      </w:r>
      <w:r w:rsidR="006916E9">
        <w:t>in radiative exchange, rather than the true surface area (Howel</w:t>
      </w:r>
      <w:r w:rsidR="003701E7">
        <w:t>l et al., 2020</w:t>
      </w:r>
      <w:r w:rsidR="006916E9">
        <w:t xml:space="preserve">). </w:t>
      </w:r>
      <w:r w:rsidR="003701E7">
        <w:t>Thus, the</w:t>
      </w:r>
      <w:r w:rsidR="00753EAF">
        <w:t xml:space="preserve"> view factor </w:t>
      </w:r>
      <w:r w:rsidR="00487ED6">
        <w:t xml:space="preserve">from a </w:t>
      </w:r>
      <w:r w:rsidR="00C4404B">
        <w:t xml:space="preserve">flame </w:t>
      </w:r>
      <w:r w:rsidR="00487ED6">
        <w:t>segment to an</w:t>
      </w:r>
      <w:r w:rsidR="00C4404B">
        <w:t xml:space="preserve"> exposed segment is </w:t>
      </w:r>
      <w:r w:rsidR="003F3C54">
        <w:t xml:space="preserve">approximated with </w:t>
      </w:r>
      <w:r w:rsidR="00C4404B">
        <w:t xml:space="preserve">the view factor between the </w:t>
      </w:r>
      <w:r w:rsidR="00A31994">
        <w:t xml:space="preserve">projection of </w:t>
      </w:r>
      <w:r w:rsidR="001C2312">
        <w:t xml:space="preserve">that </w:t>
      </w:r>
      <w:r w:rsidR="00A31994">
        <w:t xml:space="preserve">flame segment </w:t>
      </w:r>
      <w:r w:rsidR="003A1AB5">
        <w:t>on</w:t>
      </w:r>
      <w:r w:rsidR="00A31994">
        <w:t>to a parallel plate with the exposed segment</w:t>
      </w:r>
      <w:r w:rsidR="00316B2E">
        <w:t xml:space="preserve">, </w:t>
      </w:r>
      <w:r w:rsidR="003F3C54">
        <w:t>forming</w:t>
      </w:r>
      <w:r w:rsidR="00B575BD">
        <w:t xml:space="preserve"> </w:t>
      </w:r>
      <w:r w:rsidR="00316B2E">
        <w:t xml:space="preserve">the same solid angle. </w:t>
      </w:r>
      <w:r w:rsidR="00B614FF">
        <w:t xml:space="preserve">Such approximation is </w:t>
      </w:r>
      <w:r w:rsidR="003A1AB5">
        <w:t>valid</w:t>
      </w:r>
      <w:r w:rsidR="00D30A20">
        <w:t xml:space="preserve"> when </w:t>
      </w:r>
      <w:r w:rsidR="00094870">
        <w:t xml:space="preserve">these segments </w:t>
      </w:r>
      <w:r w:rsidR="006368F0">
        <w:t>are</w:t>
      </w:r>
      <w:r w:rsidR="00F9602F">
        <w:t xml:space="preserve"> sufficiently</w:t>
      </w:r>
      <w:r w:rsidR="006368F0">
        <w:t xml:space="preserve"> </w:t>
      </w:r>
      <w:r w:rsidR="00F9602F">
        <w:t>small</w:t>
      </w:r>
      <w:r w:rsidR="00AC295D">
        <w:t xml:space="preserve"> compared to</w:t>
      </w:r>
      <w:r w:rsidR="006368F0">
        <w:t xml:space="preserve"> th</w:t>
      </w:r>
      <w:r w:rsidR="00395E3C">
        <w:t>e</w:t>
      </w:r>
      <w:r w:rsidR="006368F0">
        <w:t xml:space="preserve"> </w:t>
      </w:r>
      <w:r w:rsidR="00452C66">
        <w:t>distance</w:t>
      </w:r>
      <w:r w:rsidR="00AC295D">
        <w:t xml:space="preserve"> between the fire and the exposed object</w:t>
      </w:r>
      <w:r w:rsidR="006D6286">
        <w:t xml:space="preserve">. </w:t>
      </w:r>
      <w:r w:rsidR="00CD4154">
        <w:t xml:space="preserve">A </w:t>
      </w:r>
      <w:r w:rsidR="008619BE">
        <w:t xml:space="preserve">suitable surface area </w:t>
      </w:r>
      <w:r w:rsidR="003448A2">
        <w:t xml:space="preserve">needs to be determined </w:t>
      </w:r>
      <w:r w:rsidR="00CD4154">
        <w:t>which does not impact the distribution of incident thermal radiation flux</w:t>
      </w:r>
      <w:r w:rsidR="00FE0CF4">
        <w:t xml:space="preserve">. </w:t>
      </w:r>
      <w:r w:rsidR="00494762">
        <w:t>For the arrangements in the present case-studies, this was determined based on a sensitivity analysis.</w:t>
      </w:r>
    </w:p>
    <w:p w14:paraId="503A086F" w14:textId="65C10E8E" w:rsidR="00B753F9" w:rsidRDefault="00DF2669" w:rsidP="006B6CAC">
      <w:pPr>
        <w:pStyle w:val="CETCaption"/>
        <w:spacing w:after="0"/>
      </w:pPr>
      <w:r>
        <w:rPr>
          <w:noProof/>
          <w:lang w:val="en-US"/>
        </w:rPr>
        <mc:AlternateContent>
          <mc:Choice Requires="wps">
            <w:drawing>
              <wp:anchor distT="0" distB="0" distL="114300" distR="114300" simplePos="0" relativeHeight="251664384" behindDoc="0" locked="0" layoutInCell="1" allowOverlap="1" wp14:anchorId="189A7834" wp14:editId="368DD937">
                <wp:simplePos x="0" y="0"/>
                <wp:positionH relativeFrom="column">
                  <wp:posOffset>1860762</wp:posOffset>
                </wp:positionH>
                <wp:positionV relativeFrom="paragraph">
                  <wp:posOffset>1127125</wp:posOffset>
                </wp:positionV>
                <wp:extent cx="274955" cy="240030"/>
                <wp:effectExtent l="0" t="0" r="10795" b="26670"/>
                <wp:wrapNone/>
                <wp:docPr id="1368039729" name="Text Box 3"/>
                <wp:cNvGraphicFramePr/>
                <a:graphic xmlns:a="http://schemas.openxmlformats.org/drawingml/2006/main">
                  <a:graphicData uri="http://schemas.microsoft.com/office/word/2010/wordprocessingShape">
                    <wps:wsp>
                      <wps:cNvSpPr txBox="1"/>
                      <wps:spPr>
                        <a:xfrm>
                          <a:off x="0" y="0"/>
                          <a:ext cx="274955" cy="240030"/>
                        </a:xfrm>
                        <a:prstGeom prst="rect">
                          <a:avLst/>
                        </a:prstGeom>
                        <a:solidFill>
                          <a:schemeClr val="lt1"/>
                        </a:solidFill>
                        <a:ln w="6350">
                          <a:solidFill>
                            <a:schemeClr val="tx1"/>
                          </a:solidFill>
                        </a:ln>
                      </wps:spPr>
                      <wps:txbx>
                        <w:txbxContent>
                          <w:p w14:paraId="4309813C" w14:textId="77777777" w:rsidR="00B753F9" w:rsidRPr="006B6CAC" w:rsidRDefault="00B753F9" w:rsidP="00B753F9">
                            <w:pPr>
                              <w:rPr>
                                <w:b/>
                                <w:bCs/>
                                <w:sz w:val="20"/>
                                <w:szCs w:val="22"/>
                              </w:rPr>
                            </w:pPr>
                            <w:r w:rsidRPr="006B6CAC">
                              <w:rPr>
                                <w:b/>
                                <w:bCs/>
                                <w:sz w:val="20"/>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A7834" id="_x0000_t202" coordsize="21600,21600" o:spt="202" path="m,l,21600r21600,l21600,xe">
                <v:stroke joinstyle="miter"/>
                <v:path gradientshapeok="t" o:connecttype="rect"/>
              </v:shapetype>
              <v:shape id="Text Box 3" o:spid="_x0000_s1026" type="#_x0000_t202" style="position:absolute;left:0;text-align:left;margin-left:146.5pt;margin-top:88.75pt;width:21.65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" fillcolor="white [3201]" strokecolor="black [3213]" strokeweight=".5pt">
                <v:textbox>
                  <w:txbxContent>
                    <w:p w14:paraId="4309813C" w14:textId="77777777" w:rsidR="00B753F9" w:rsidRPr="006B6CAC" w:rsidRDefault="00B753F9" w:rsidP="00B753F9">
                      <w:pPr>
                        <w:rPr>
                          <w:b/>
                          <w:bCs/>
                          <w:sz w:val="20"/>
                          <w:szCs w:val="22"/>
                        </w:rPr>
                      </w:pPr>
                      <w:r w:rsidRPr="006B6CAC">
                        <w:rPr>
                          <w:b/>
                          <w:bCs/>
                          <w:sz w:val="20"/>
                          <w:szCs w:val="22"/>
                        </w:rPr>
                        <w:t>b</w:t>
                      </w:r>
                    </w:p>
                  </w:txbxContent>
                </v:textbox>
              </v:shape>
            </w:pict>
          </mc:Fallback>
        </mc:AlternateContent>
      </w:r>
      <w:r w:rsidR="008C6C09">
        <w:rPr>
          <w:noProof/>
          <w:lang w:val="en-US"/>
        </w:rPr>
        <mc:AlternateContent>
          <mc:Choice Requires="wps">
            <w:drawing>
              <wp:anchor distT="0" distB="0" distL="114300" distR="114300" simplePos="0" relativeHeight="251652096" behindDoc="0" locked="0" layoutInCell="1" allowOverlap="1" wp14:anchorId="2C480F54" wp14:editId="6E554063">
                <wp:simplePos x="0" y="0"/>
                <wp:positionH relativeFrom="column">
                  <wp:posOffset>2539153</wp:posOffset>
                </wp:positionH>
                <wp:positionV relativeFrom="paragraph">
                  <wp:posOffset>1144623</wp:posOffset>
                </wp:positionV>
                <wp:extent cx="1168072" cy="250190"/>
                <wp:effectExtent l="0" t="0" r="0" b="0"/>
                <wp:wrapNone/>
                <wp:docPr id="333875993" name="Text Box 2"/>
                <wp:cNvGraphicFramePr/>
                <a:graphic xmlns:a="http://schemas.openxmlformats.org/drawingml/2006/main">
                  <a:graphicData uri="http://schemas.microsoft.com/office/word/2010/wordprocessingShape">
                    <wps:wsp>
                      <wps:cNvSpPr txBox="1"/>
                      <wps:spPr>
                        <a:xfrm>
                          <a:off x="0" y="0"/>
                          <a:ext cx="1168072" cy="250190"/>
                        </a:xfrm>
                        <a:prstGeom prst="rect">
                          <a:avLst/>
                        </a:prstGeom>
                        <a:noFill/>
                        <a:ln w="6350">
                          <a:noFill/>
                        </a:ln>
                      </wps:spPr>
                      <wps:txbx>
                        <w:txbxContent>
                          <w:p w14:paraId="03F963E2" w14:textId="6FD9B336" w:rsidR="00A23C2A" w:rsidRPr="00306616" w:rsidRDefault="00A84921" w:rsidP="00A23C2A">
                            <w:pPr>
                              <w:jc w:val="center"/>
                              <w:rPr>
                                <w:b/>
                                <w:bCs/>
                                <w:sz w:val="14"/>
                                <w:szCs w:val="16"/>
                              </w:rPr>
                            </w:pPr>
                            <w:r>
                              <w:rPr>
                                <w:b/>
                                <w:bCs/>
                                <w:sz w:val="14"/>
                                <w:szCs w:val="16"/>
                              </w:rPr>
                              <w:t>A f</w:t>
                            </w:r>
                            <w:r w:rsidR="00A23C2A" w:rsidRPr="00306616">
                              <w:rPr>
                                <w:b/>
                                <w:bCs/>
                                <w:sz w:val="14"/>
                                <w:szCs w:val="16"/>
                              </w:rPr>
                              <w:t>lame segment</w:t>
                            </w:r>
                            <w:r w:rsidR="00A64B9E">
                              <w:rPr>
                                <w:b/>
                                <w:bCs/>
                                <w:sz w:val="14"/>
                                <w:szCs w:val="16"/>
                              </w:rPr>
                              <w:t xml:space="preserve"> – A</w:t>
                            </w:r>
                            <w:r w:rsidR="00A64B9E" w:rsidRPr="006B6CAC">
                              <w:rPr>
                                <w:b/>
                                <w:bCs/>
                                <w:sz w:val="14"/>
                                <w:szCs w:val="1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80F54" id="Text Box 2" o:spid="_x0000_s1027" type="#_x0000_t202" style="position:absolute;left:0;text-align:left;margin-left:199.95pt;margin-top:90.15pt;width:91.95pt;height:19.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" filled="f" stroked="f" strokeweight=".5pt">
                <v:textbox>
                  <w:txbxContent>
                    <w:p w14:paraId="03F963E2" w14:textId="6FD9B336" w:rsidR="00A23C2A" w:rsidRPr="00306616" w:rsidRDefault="00A84921" w:rsidP="00A23C2A">
                      <w:pPr>
                        <w:jc w:val="center"/>
                        <w:rPr>
                          <w:b/>
                          <w:bCs/>
                          <w:sz w:val="14"/>
                          <w:szCs w:val="16"/>
                        </w:rPr>
                      </w:pPr>
                      <w:r>
                        <w:rPr>
                          <w:b/>
                          <w:bCs/>
                          <w:sz w:val="14"/>
                          <w:szCs w:val="16"/>
                        </w:rPr>
                        <w:t>A f</w:t>
                      </w:r>
                      <w:r w:rsidR="00A23C2A" w:rsidRPr="00306616">
                        <w:rPr>
                          <w:b/>
                          <w:bCs/>
                          <w:sz w:val="14"/>
                          <w:szCs w:val="16"/>
                        </w:rPr>
                        <w:t>lame segment</w:t>
                      </w:r>
                      <w:r w:rsidR="00A64B9E">
                        <w:rPr>
                          <w:b/>
                          <w:bCs/>
                          <w:sz w:val="14"/>
                          <w:szCs w:val="16"/>
                        </w:rPr>
                        <w:t xml:space="preserve"> – A</w:t>
                      </w:r>
                      <w:r w:rsidR="00A64B9E" w:rsidRPr="006B6CAC">
                        <w:rPr>
                          <w:b/>
                          <w:bCs/>
                          <w:sz w:val="14"/>
                          <w:szCs w:val="16"/>
                          <w:vertAlign w:val="subscript"/>
                        </w:rPr>
                        <w:t>1</w:t>
                      </w:r>
                    </w:p>
                  </w:txbxContent>
                </v:textbox>
              </v:shape>
            </w:pict>
          </mc:Fallback>
        </mc:AlternateContent>
      </w:r>
      <w:r w:rsidR="008C6C09">
        <w:rPr>
          <w:noProof/>
          <w:lang w:val="en-US"/>
        </w:rPr>
        <mc:AlternateContent>
          <mc:Choice Requires="wps">
            <w:drawing>
              <wp:anchor distT="0" distB="0" distL="114300" distR="114300" simplePos="0" relativeHeight="251656192" behindDoc="0" locked="0" layoutInCell="1" allowOverlap="1" wp14:anchorId="4D735C79" wp14:editId="368A86CC">
                <wp:simplePos x="0" y="0"/>
                <wp:positionH relativeFrom="column">
                  <wp:posOffset>2656064</wp:posOffset>
                </wp:positionH>
                <wp:positionV relativeFrom="paragraph">
                  <wp:posOffset>357505</wp:posOffset>
                </wp:positionV>
                <wp:extent cx="1327089" cy="250190"/>
                <wp:effectExtent l="0" t="0" r="0" b="0"/>
                <wp:wrapNone/>
                <wp:docPr id="2036836194" name="Text Box 2"/>
                <wp:cNvGraphicFramePr/>
                <a:graphic xmlns:a="http://schemas.openxmlformats.org/drawingml/2006/main">
                  <a:graphicData uri="http://schemas.microsoft.com/office/word/2010/wordprocessingShape">
                    <wps:wsp>
                      <wps:cNvSpPr txBox="1"/>
                      <wps:spPr>
                        <a:xfrm>
                          <a:off x="0" y="0"/>
                          <a:ext cx="1327089" cy="250190"/>
                        </a:xfrm>
                        <a:prstGeom prst="rect">
                          <a:avLst/>
                        </a:prstGeom>
                        <a:noFill/>
                        <a:ln w="6350">
                          <a:noFill/>
                        </a:ln>
                      </wps:spPr>
                      <wps:txbx>
                        <w:txbxContent>
                          <w:p w14:paraId="37415406" w14:textId="5969D278" w:rsidR="00A23C2A" w:rsidRPr="00306616" w:rsidRDefault="00A84921" w:rsidP="00A23C2A">
                            <w:pPr>
                              <w:jc w:val="center"/>
                              <w:rPr>
                                <w:b/>
                                <w:bCs/>
                                <w:sz w:val="14"/>
                                <w:szCs w:val="16"/>
                              </w:rPr>
                            </w:pPr>
                            <w:r>
                              <w:rPr>
                                <w:b/>
                                <w:bCs/>
                                <w:sz w:val="14"/>
                                <w:szCs w:val="16"/>
                              </w:rPr>
                              <w:t>An e</w:t>
                            </w:r>
                            <w:r w:rsidR="00A23C2A" w:rsidRPr="00306616">
                              <w:rPr>
                                <w:b/>
                                <w:bCs/>
                                <w:sz w:val="14"/>
                                <w:szCs w:val="16"/>
                              </w:rPr>
                              <w:t>xposed segment</w:t>
                            </w:r>
                            <w:r w:rsidR="00A64B9E">
                              <w:rPr>
                                <w:b/>
                                <w:bCs/>
                                <w:sz w:val="14"/>
                                <w:szCs w:val="16"/>
                              </w:rPr>
                              <w:t xml:space="preserve"> – A</w:t>
                            </w:r>
                            <w:r w:rsidR="00A64B9E" w:rsidRPr="006B6CAC">
                              <w:rPr>
                                <w:b/>
                                <w:bCs/>
                                <w:sz w:val="14"/>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735C79" id="_x0000_s1028" type="#_x0000_t202" style="position:absolute;left:0;text-align:left;margin-left:209.15pt;margin-top:28.15pt;width:104.5pt;height:19.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" filled="f" stroked="f" strokeweight=".5pt">
                <v:textbox>
                  <w:txbxContent>
                    <w:p w14:paraId="37415406" w14:textId="5969D278" w:rsidR="00A23C2A" w:rsidRPr="00306616" w:rsidRDefault="00A84921" w:rsidP="00A23C2A">
                      <w:pPr>
                        <w:jc w:val="center"/>
                        <w:rPr>
                          <w:b/>
                          <w:bCs/>
                          <w:sz w:val="14"/>
                          <w:szCs w:val="16"/>
                        </w:rPr>
                      </w:pPr>
                      <w:r>
                        <w:rPr>
                          <w:b/>
                          <w:bCs/>
                          <w:sz w:val="14"/>
                          <w:szCs w:val="16"/>
                        </w:rPr>
                        <w:t>An e</w:t>
                      </w:r>
                      <w:r w:rsidR="00A23C2A" w:rsidRPr="00306616">
                        <w:rPr>
                          <w:b/>
                          <w:bCs/>
                          <w:sz w:val="14"/>
                          <w:szCs w:val="16"/>
                        </w:rPr>
                        <w:t>xposed segment</w:t>
                      </w:r>
                      <w:r w:rsidR="00A64B9E">
                        <w:rPr>
                          <w:b/>
                          <w:bCs/>
                          <w:sz w:val="14"/>
                          <w:szCs w:val="16"/>
                        </w:rPr>
                        <w:t xml:space="preserve"> – A</w:t>
                      </w:r>
                      <w:r w:rsidR="00A64B9E" w:rsidRPr="006B6CAC">
                        <w:rPr>
                          <w:b/>
                          <w:bCs/>
                          <w:sz w:val="14"/>
                          <w:szCs w:val="16"/>
                          <w:vertAlign w:val="subscript"/>
                        </w:rPr>
                        <w:t>2</w:t>
                      </w:r>
                    </w:p>
                  </w:txbxContent>
                </v:textbox>
              </v:shape>
            </w:pict>
          </mc:Fallback>
        </mc:AlternateContent>
      </w:r>
      <w:r w:rsidR="004B7258">
        <w:rPr>
          <w:noProof/>
          <w:lang w:val="en-US"/>
        </w:rPr>
        <mc:AlternateContent>
          <mc:Choice Requires="wps">
            <w:drawing>
              <wp:anchor distT="0" distB="0" distL="114300" distR="114300" simplePos="0" relativeHeight="251660288" behindDoc="0" locked="0" layoutInCell="1" allowOverlap="1" wp14:anchorId="4985962C" wp14:editId="4666EE0C">
                <wp:simplePos x="0" y="0"/>
                <wp:positionH relativeFrom="column">
                  <wp:posOffset>122837</wp:posOffset>
                </wp:positionH>
                <wp:positionV relativeFrom="paragraph">
                  <wp:posOffset>1169105</wp:posOffset>
                </wp:positionV>
                <wp:extent cx="275183" cy="240390"/>
                <wp:effectExtent l="0" t="0" r="10795" b="26670"/>
                <wp:wrapNone/>
                <wp:docPr id="1893884551" name="Text Box 3"/>
                <wp:cNvGraphicFramePr/>
                <a:graphic xmlns:a="http://schemas.openxmlformats.org/drawingml/2006/main">
                  <a:graphicData uri="http://schemas.microsoft.com/office/word/2010/wordprocessingShape">
                    <wps:wsp>
                      <wps:cNvSpPr txBox="1"/>
                      <wps:spPr>
                        <a:xfrm>
                          <a:off x="0" y="0"/>
                          <a:ext cx="275183" cy="240390"/>
                        </a:xfrm>
                        <a:prstGeom prst="rect">
                          <a:avLst/>
                        </a:prstGeom>
                        <a:solidFill>
                          <a:schemeClr val="lt1"/>
                        </a:solidFill>
                        <a:ln w="6350">
                          <a:solidFill>
                            <a:schemeClr val="tx1"/>
                          </a:solidFill>
                        </a:ln>
                      </wps:spPr>
                      <wps:txbx>
                        <w:txbxContent>
                          <w:p w14:paraId="7CBE2436" w14:textId="77777777" w:rsidR="00B753F9" w:rsidRPr="006B6CAC" w:rsidRDefault="00B753F9" w:rsidP="00B753F9">
                            <w:pPr>
                              <w:rPr>
                                <w:b/>
                                <w:bCs/>
                                <w:sz w:val="20"/>
                                <w:szCs w:val="22"/>
                              </w:rPr>
                            </w:pPr>
                            <w:r w:rsidRPr="006B6CAC">
                              <w:rPr>
                                <w:b/>
                                <w:bCs/>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5962C" id="_x0000_s1029" type="#_x0000_t202" style="position:absolute;left:0;text-align:left;margin-left:9.65pt;margin-top:92.05pt;width:21.65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" fillcolor="white [3201]" strokecolor="black [3213]" strokeweight=".5pt">
                <v:textbox>
                  <w:txbxContent>
                    <w:p w14:paraId="7CBE2436" w14:textId="77777777" w:rsidR="00B753F9" w:rsidRPr="006B6CAC" w:rsidRDefault="00B753F9" w:rsidP="00B753F9">
                      <w:pPr>
                        <w:rPr>
                          <w:b/>
                          <w:bCs/>
                          <w:sz w:val="20"/>
                          <w:szCs w:val="22"/>
                        </w:rPr>
                      </w:pPr>
                      <w:r w:rsidRPr="006B6CAC">
                        <w:rPr>
                          <w:b/>
                          <w:bCs/>
                          <w:sz w:val="20"/>
                          <w:szCs w:val="22"/>
                        </w:rPr>
                        <w:t>a</w:t>
                      </w:r>
                    </w:p>
                  </w:txbxContent>
                </v:textbox>
              </v:shape>
            </w:pict>
          </mc:Fallback>
        </mc:AlternateContent>
      </w:r>
      <w:r w:rsidR="00B753F9" w:rsidRPr="009F3E25">
        <w:rPr>
          <w:noProof/>
          <w:lang w:val="en-US"/>
        </w:rPr>
        <w:drawing>
          <wp:inline distT="0" distB="0" distL="0" distR="0" wp14:anchorId="1CD51427" wp14:editId="49C18C80">
            <wp:extent cx="1567957" cy="1440000"/>
            <wp:effectExtent l="0" t="0" r="0" b="8255"/>
            <wp:docPr id="682539945" name="Picture 1" descr="A diagram of a rectangular object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39945" name="Picture 1" descr="A diagram of a rectangular object with arrows&#10;&#10;AI-generated content may be incorrect."/>
                    <pic:cNvPicPr/>
                  </pic:nvPicPr>
                  <pic:blipFill rotWithShape="1">
                    <a:blip r:embed="rId11"/>
                    <a:srcRect b="7189"/>
                    <a:stretch/>
                  </pic:blipFill>
                  <pic:spPr bwMode="auto">
                    <a:xfrm>
                      <a:off x="0" y="0"/>
                      <a:ext cx="1567957" cy="1440000"/>
                    </a:xfrm>
                    <a:prstGeom prst="rect">
                      <a:avLst/>
                    </a:prstGeom>
                    <a:ln>
                      <a:noFill/>
                    </a:ln>
                    <a:extLst>
                      <a:ext uri="{53640926-AAD7-44D8-BBD7-CCE9431645EC}">
                        <a14:shadowObscured xmlns:a14="http://schemas.microsoft.com/office/drawing/2010/main"/>
                      </a:ext>
                    </a:extLst>
                  </pic:spPr>
                </pic:pic>
              </a:graphicData>
            </a:graphic>
          </wp:inline>
        </w:drawing>
      </w:r>
      <w:r w:rsidR="00C54B80">
        <w:t xml:space="preserve">     </w:t>
      </w:r>
      <w:r w:rsidR="00B753F9">
        <w:t xml:space="preserve"> </w:t>
      </w:r>
      <w:r w:rsidR="00A23C2A" w:rsidRPr="00A23C2A">
        <w:rPr>
          <w:noProof/>
        </w:rPr>
        <w:drawing>
          <wp:inline distT="0" distB="0" distL="0" distR="0" wp14:anchorId="1B7C20D2" wp14:editId="0323CBE0">
            <wp:extent cx="3189637" cy="1440000"/>
            <wp:effectExtent l="0" t="0" r="0" b="8255"/>
            <wp:docPr id="67470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8674" name=""/>
                    <pic:cNvPicPr/>
                  </pic:nvPicPr>
                  <pic:blipFill>
                    <a:blip r:embed="rId12"/>
                    <a:stretch>
                      <a:fillRect/>
                    </a:stretch>
                  </pic:blipFill>
                  <pic:spPr>
                    <a:xfrm>
                      <a:off x="0" y="0"/>
                      <a:ext cx="3189637" cy="1440000"/>
                    </a:xfrm>
                    <a:prstGeom prst="rect">
                      <a:avLst/>
                    </a:prstGeom>
                    <a:ln>
                      <a:noFill/>
                    </a:ln>
                  </pic:spPr>
                </pic:pic>
              </a:graphicData>
            </a:graphic>
          </wp:inline>
        </w:drawing>
      </w:r>
      <w:r w:rsidR="00A23C2A" w:rsidRPr="00A23C2A">
        <w:t xml:space="preserve"> </w:t>
      </w:r>
    </w:p>
    <w:p w14:paraId="3A82DA97" w14:textId="7596D391" w:rsidR="00A23C2A" w:rsidRDefault="00A23C2A" w:rsidP="00ED70E0">
      <w:pPr>
        <w:pStyle w:val="CETCaption"/>
      </w:pPr>
      <w:r w:rsidRPr="005D0A9F">
        <w:t xml:space="preserve">Figure </w:t>
      </w:r>
      <w:r w:rsidR="002724BC">
        <w:t>2</w:t>
      </w:r>
      <w:r w:rsidRPr="005D0A9F">
        <w:t xml:space="preserve">. </w:t>
      </w:r>
      <w:r w:rsidR="00C54B80">
        <w:t>Arrangement</w:t>
      </w:r>
      <w:r>
        <w:t xml:space="preserve"> of </w:t>
      </w:r>
      <w:r w:rsidR="00F95A12">
        <w:t xml:space="preserve">(a) </w:t>
      </w:r>
      <w:r w:rsidR="007810AE" w:rsidRPr="00ED70E0">
        <w:t>parallel</w:t>
      </w:r>
      <w:r w:rsidR="007810AE">
        <w:t xml:space="preserve"> </w:t>
      </w:r>
      <w:r w:rsidR="00F95A12">
        <w:t>plate</w:t>
      </w:r>
      <w:r w:rsidR="00C54B80">
        <w:t>s</w:t>
      </w:r>
      <w:r w:rsidR="00F95A12">
        <w:t xml:space="preserve"> as </w:t>
      </w:r>
      <w:r w:rsidR="007810AE">
        <w:t>given</w:t>
      </w:r>
      <w:r w:rsidR="00F95A12">
        <w:t xml:space="preserve"> by Ehlert and Smith (1993)</w:t>
      </w:r>
      <w:r w:rsidR="007810AE">
        <w:t>, and (b)</w:t>
      </w:r>
      <w:r w:rsidR="00F95A12">
        <w:t xml:space="preserve"> </w:t>
      </w:r>
      <w:r>
        <w:t>flame segments and exposed segments</w:t>
      </w:r>
      <w:r w:rsidR="002724BC">
        <w:t xml:space="preserve"> </w:t>
      </w:r>
      <w:r w:rsidR="00D163C1">
        <w:t>in</w:t>
      </w:r>
      <w:r w:rsidR="002724BC">
        <w:t xml:space="preserve"> </w:t>
      </w:r>
      <w:r w:rsidR="007810AE">
        <w:t>the present study</w:t>
      </w:r>
    </w:p>
    <w:p w14:paraId="344EEFED" w14:textId="517C63CA" w:rsidR="004D12EF" w:rsidRDefault="00B4337D" w:rsidP="006B6CAC">
      <w:pPr>
        <w:pStyle w:val="CETheadingx"/>
      </w:pPr>
      <w:r>
        <w:t>C</w:t>
      </w:r>
      <w:r w:rsidR="008E6279">
        <w:t xml:space="preserve">alculation of </w:t>
      </w:r>
      <w:r>
        <w:t xml:space="preserve">incident </w:t>
      </w:r>
      <w:r w:rsidR="00EC5F5A">
        <w:t xml:space="preserve">radiation </w:t>
      </w:r>
      <w:r>
        <w:t>flux distribution</w:t>
      </w:r>
    </w:p>
    <w:p w14:paraId="36034877" w14:textId="42F6C0B0" w:rsidR="001B0127" w:rsidRDefault="002724BC" w:rsidP="006B6CAC">
      <w:pPr>
        <w:pStyle w:val="CETBodytext"/>
      </w:pPr>
      <w:r>
        <w:t>T</w:t>
      </w:r>
      <w:r w:rsidR="00F77F55" w:rsidRPr="00F77F55">
        <w:t>he software Rhino Grasshopper®</w:t>
      </w:r>
      <w:r>
        <w:t xml:space="preserve"> (McNeel et al., 2024)</w:t>
      </w:r>
      <w:r w:rsidR="00F77F55" w:rsidRPr="00F77F55">
        <w:t xml:space="preserve"> </w:t>
      </w:r>
      <w:r>
        <w:t>is used to calculate the view factor.</w:t>
      </w:r>
      <w:r w:rsidR="00F4493A">
        <w:t xml:space="preserve"> </w:t>
      </w:r>
      <w:r w:rsidR="00556760">
        <w:t>Although th</w:t>
      </w:r>
      <w:r w:rsidR="00A87280">
        <w:t>is</w:t>
      </w:r>
      <w:r w:rsidR="00556760">
        <w:t xml:space="preserve"> </w:t>
      </w:r>
      <w:r w:rsidR="00A7332E">
        <w:t xml:space="preserve">software </w:t>
      </w:r>
      <w:r w:rsidR="00556760">
        <w:t xml:space="preserve">is not </w:t>
      </w:r>
      <w:r w:rsidR="004B315C">
        <w:t>originally</w:t>
      </w:r>
      <w:r w:rsidR="00556760">
        <w:t xml:space="preserve"> purposed for such calculations, its capa</w:t>
      </w:r>
      <w:r w:rsidR="00712FD5">
        <w:t xml:space="preserve">bilities in </w:t>
      </w:r>
      <w:r w:rsidR="00556760">
        <w:t xml:space="preserve">computational geometry </w:t>
      </w:r>
      <w:r w:rsidR="00A87280">
        <w:t xml:space="preserve">are </w:t>
      </w:r>
      <w:r w:rsidR="00712FD5">
        <w:t>useful for calculating the view factor. A</w:t>
      </w:r>
      <w:r w:rsidR="00307C84">
        <w:t xml:space="preserve">n example </w:t>
      </w:r>
      <w:r w:rsidR="00697D02">
        <w:t xml:space="preserve">is presented </w:t>
      </w:r>
      <w:r w:rsidR="00307C84">
        <w:t xml:space="preserve">by </w:t>
      </w:r>
      <w:r w:rsidR="006E2C12">
        <w:t>Cabeza-Lainez et al. (</w:t>
      </w:r>
      <w:r w:rsidR="008B2AC7">
        <w:t>2022)</w:t>
      </w:r>
      <w:r w:rsidR="00697D02">
        <w:t xml:space="preserve"> for </w:t>
      </w:r>
      <w:r w:rsidR="00CD5F39">
        <w:t xml:space="preserve">calculating </w:t>
      </w:r>
      <w:r w:rsidR="00697D02">
        <w:t xml:space="preserve">the view factor from a </w:t>
      </w:r>
      <w:r w:rsidR="00894BA2">
        <w:t xml:space="preserve">spherical </w:t>
      </w:r>
      <w:r w:rsidR="00697D02">
        <w:t>fireball to a flat surface</w:t>
      </w:r>
      <w:r w:rsidR="008B2AC7">
        <w:t xml:space="preserve">. </w:t>
      </w:r>
      <w:r w:rsidR="00582DC1">
        <w:t>For the present study, u</w:t>
      </w:r>
      <w:r w:rsidR="00C45F30">
        <w:t xml:space="preserve">sing computational geometry provides an immediate update of the incident thermal radiation flux distribution on the entire exposed object when adjusting input parameters such as the location and size of the pool fire and the exposed object, the wind speed and direction, and the fire characteristics of the flammable liquid. </w:t>
      </w:r>
      <w:r w:rsidR="00582DC1">
        <w:t>Here, t</w:t>
      </w:r>
      <w:r>
        <w:t xml:space="preserve">he </w:t>
      </w:r>
      <w:r w:rsidR="00F4493A">
        <w:t xml:space="preserve">view factor is </w:t>
      </w:r>
      <w:r w:rsidR="006A2A32">
        <w:t xml:space="preserve">separately </w:t>
      </w:r>
      <w:r w:rsidR="00F4493A">
        <w:t xml:space="preserve">calculated </w:t>
      </w:r>
      <w:r w:rsidR="00373EBA">
        <w:t xml:space="preserve">between </w:t>
      </w:r>
      <w:r w:rsidR="00C45F30">
        <w:t xml:space="preserve">individual </w:t>
      </w:r>
      <w:r w:rsidR="004F57C9">
        <w:t>flame and exposed segment</w:t>
      </w:r>
      <w:r w:rsidR="00C45F30">
        <w:t>s</w:t>
      </w:r>
      <w:r w:rsidR="004F57C9">
        <w:t xml:space="preserve"> </w:t>
      </w:r>
      <w:r w:rsidR="005F4FCF">
        <w:t>based on Eq(1) and using geometric inputs from Grasshopper</w:t>
      </w:r>
      <w:r w:rsidR="004B421D">
        <w:t>.</w:t>
      </w:r>
      <w:r w:rsidR="003C2D4A">
        <w:t xml:space="preserve"> </w:t>
      </w:r>
      <w:r w:rsidR="004B421D">
        <w:t>T</w:t>
      </w:r>
      <w:r w:rsidR="00F4493A">
        <w:t xml:space="preserve">he total incident </w:t>
      </w:r>
      <w:r w:rsidR="00950EBF">
        <w:t>thermal radiation flux</w:t>
      </w:r>
      <w:r w:rsidR="00F4493A">
        <w:t xml:space="preserve"> </w:t>
      </w:r>
      <w:r w:rsidR="003C2D4A">
        <w:t xml:space="preserve">on </w:t>
      </w:r>
      <w:r w:rsidR="00F4493A">
        <w:t xml:space="preserve">each flame segment is </w:t>
      </w:r>
      <w:r w:rsidR="004B421D">
        <w:t xml:space="preserve">then </w:t>
      </w:r>
      <w:r w:rsidR="00F4493A">
        <w:t xml:space="preserve">calculated as the sum of </w:t>
      </w:r>
      <w:r w:rsidR="000E59B9">
        <w:t xml:space="preserve">the </w:t>
      </w:r>
      <w:r w:rsidR="00950EBF">
        <w:t xml:space="preserve">radiation </w:t>
      </w:r>
      <w:r w:rsidR="00F4493A">
        <w:t xml:space="preserve">from </w:t>
      </w:r>
      <w:r w:rsidR="000E59B9">
        <w:t xml:space="preserve">each </w:t>
      </w:r>
      <w:r w:rsidR="00F4493A">
        <w:t>flame segment</w:t>
      </w:r>
      <w:r w:rsidR="00EA58D3">
        <w:t xml:space="preserve"> based on its SEP and view factor</w:t>
      </w:r>
      <w:r>
        <w:t>.</w:t>
      </w:r>
      <w:r w:rsidR="00232530">
        <w:t xml:space="preserve"> </w:t>
      </w:r>
    </w:p>
    <w:p w14:paraId="22FFA4D4" w14:textId="3CAA04C5" w:rsidR="0007608E" w:rsidRDefault="00C32D89" w:rsidP="006B6CAC">
      <w:pPr>
        <w:pStyle w:val="CETheadingx"/>
      </w:pPr>
      <w:r>
        <w:lastRenderedPageBreak/>
        <w:t>Application to a case study</w:t>
      </w:r>
    </w:p>
    <w:p w14:paraId="148E2328" w14:textId="71DFCFCD" w:rsidR="00793A2E" w:rsidRDefault="00273E52" w:rsidP="00EF1435">
      <w:pPr>
        <w:pStyle w:val="CETBodytext"/>
      </w:pPr>
      <w:r>
        <w:t>To</w:t>
      </w:r>
      <w:r w:rsidR="0007608E">
        <w:t xml:space="preserve"> </w:t>
      </w:r>
      <w:r w:rsidR="0014170D">
        <w:t xml:space="preserve">demonstrate the application of the </w:t>
      </w:r>
      <w:r w:rsidR="00123E40">
        <w:t>proposed</w:t>
      </w:r>
      <w:r w:rsidR="0014170D">
        <w:t xml:space="preserve"> method, </w:t>
      </w:r>
      <w:r w:rsidR="00123E40">
        <w:t xml:space="preserve">a </w:t>
      </w:r>
      <w:r w:rsidR="00A837B8">
        <w:t>gasoline</w:t>
      </w:r>
      <w:r w:rsidR="0056791E">
        <w:t xml:space="preserve"> pool fire </w:t>
      </w:r>
      <w:r w:rsidR="00123E40">
        <w:t xml:space="preserve">is </w:t>
      </w:r>
      <w:r w:rsidR="00FA1415">
        <w:t>considered</w:t>
      </w:r>
      <w:r w:rsidR="006111CC">
        <w:t>.</w:t>
      </w:r>
      <w:r w:rsidR="00A0037E">
        <w:t xml:space="preserve"> </w:t>
      </w:r>
      <w:r w:rsidR="006111CC">
        <w:t>T</w:t>
      </w:r>
      <w:r w:rsidR="00D25C3B">
        <w:t xml:space="preserve">he </w:t>
      </w:r>
      <w:r w:rsidR="005D61BC">
        <w:t xml:space="preserve">resulting </w:t>
      </w:r>
      <w:r w:rsidR="00D25C3B">
        <w:t xml:space="preserve">incident thermal radiation flux is </w:t>
      </w:r>
      <w:r w:rsidR="00A0037E">
        <w:t xml:space="preserve">compared with </w:t>
      </w:r>
      <w:r w:rsidR="005D61BC">
        <w:t xml:space="preserve">existing </w:t>
      </w:r>
      <w:r w:rsidR="003C1D49">
        <w:t xml:space="preserve">view factor solutions </w:t>
      </w:r>
      <w:r w:rsidR="00793A2E">
        <w:t xml:space="preserve">as described by Beyler (2016) </w:t>
      </w:r>
      <w:r w:rsidR="008B6627">
        <w:t xml:space="preserve">for simplified </w:t>
      </w:r>
      <w:r w:rsidR="005D61BC">
        <w:t>geometries</w:t>
      </w:r>
      <w:r w:rsidR="008B6627">
        <w:t xml:space="preserve">, </w:t>
      </w:r>
      <w:r w:rsidR="00CE4B94">
        <w:t xml:space="preserve">as well as </w:t>
      </w:r>
      <w:r w:rsidR="009C2469">
        <w:t xml:space="preserve">radiation </w:t>
      </w:r>
      <w:r w:rsidR="00CE4B94">
        <w:t xml:space="preserve">results </w:t>
      </w:r>
      <w:r w:rsidR="009C2469">
        <w:t xml:space="preserve">of </w:t>
      </w:r>
      <w:r w:rsidR="008B6627">
        <w:t xml:space="preserve">pool fire </w:t>
      </w:r>
      <w:r w:rsidR="00092BE8">
        <w:t xml:space="preserve">models </w:t>
      </w:r>
      <w:r w:rsidR="009C2469">
        <w:t xml:space="preserve">using </w:t>
      </w:r>
      <w:r w:rsidR="00A0037E">
        <w:t xml:space="preserve">free-field </w:t>
      </w:r>
      <w:r w:rsidR="00B30894">
        <w:t xml:space="preserve">consequence modelling, </w:t>
      </w:r>
      <w:r w:rsidR="009C2469">
        <w:t>typical</w:t>
      </w:r>
      <w:r w:rsidR="00B30894">
        <w:t>ly</w:t>
      </w:r>
      <w:r w:rsidR="009C2469">
        <w:t xml:space="preserve"> </w:t>
      </w:r>
      <w:r w:rsidR="00092BE8">
        <w:t xml:space="preserve">applied </w:t>
      </w:r>
      <w:r w:rsidR="009C2469">
        <w:t>in the process industry</w:t>
      </w:r>
      <w:r w:rsidR="006113F2">
        <w:t>.</w:t>
      </w:r>
      <w:r w:rsidR="00CA1D9C">
        <w:t xml:space="preserve"> </w:t>
      </w:r>
      <w:r w:rsidR="00793A2E">
        <w:t>For the latter, a comparison is made with the commercial software PHAST</w:t>
      </w:r>
      <w:r w:rsidR="009A4AAA">
        <w:rPr>
          <w:vertAlign w:val="superscript"/>
        </w:rPr>
        <w:t>TM</w:t>
      </w:r>
      <w:r w:rsidR="00793A2E">
        <w:t xml:space="preserve"> </w:t>
      </w:r>
      <w:r w:rsidR="000216CD">
        <w:t xml:space="preserve">(version </w:t>
      </w:r>
      <w:r w:rsidR="006501FA">
        <w:t>8</w:t>
      </w:r>
      <w:r w:rsidR="00E52DC2">
        <w:t>.</w:t>
      </w:r>
      <w:r w:rsidR="006501FA">
        <w:t>9</w:t>
      </w:r>
      <w:r w:rsidR="000216CD">
        <w:t xml:space="preserve">) </w:t>
      </w:r>
      <w:r w:rsidR="00793A2E">
        <w:t xml:space="preserve">from </w:t>
      </w:r>
      <w:r w:rsidR="00793A2E" w:rsidRPr="000D441C">
        <w:t xml:space="preserve">DNV </w:t>
      </w:r>
      <w:r w:rsidR="00E52DC2">
        <w:t xml:space="preserve">AS </w:t>
      </w:r>
      <w:r w:rsidR="00793A2E" w:rsidRPr="000D441C">
        <w:t>(</w:t>
      </w:r>
      <w:r w:rsidR="000216CD" w:rsidRPr="000D441C">
        <w:t>2023</w:t>
      </w:r>
      <w:r w:rsidR="00793A2E" w:rsidRPr="000D441C">
        <w:t xml:space="preserve">). </w:t>
      </w:r>
      <w:r w:rsidR="00793A2E">
        <w:t>Note that the correlation as described by Beyler (2016) is only applicable to vertical fire plumes, while the pool fire modelling in PHAST is only applicable to tilted fire plumes, thus no direct comparison could be made between the two models. The present method is however applicable to both vertical and tilted fire plumes, and comparisons are thus made separately for each case.</w:t>
      </w:r>
    </w:p>
    <w:p w14:paraId="7C52975A" w14:textId="18033823" w:rsidR="00037D7A" w:rsidRDefault="00092BE8" w:rsidP="00037D7A">
      <w:r>
        <w:t xml:space="preserve">To </w:t>
      </w:r>
      <w:r w:rsidR="00713C24">
        <w:t>ensure</w:t>
      </w:r>
      <w:r w:rsidR="00EB5999">
        <w:t xml:space="preserve"> consistency between the </w:t>
      </w:r>
      <w:r w:rsidR="00713C24">
        <w:t xml:space="preserve">inputs </w:t>
      </w:r>
      <w:r w:rsidR="00BD39DA">
        <w:t xml:space="preserve">for the mean flame height, the flame tilt angle and SEP, the </w:t>
      </w:r>
      <w:r w:rsidR="00B54505">
        <w:t xml:space="preserve">empirical </w:t>
      </w:r>
      <w:r w:rsidR="00713C24">
        <w:t xml:space="preserve">correlations and data </w:t>
      </w:r>
      <w:r w:rsidR="00BD39DA">
        <w:t xml:space="preserve">from </w:t>
      </w:r>
      <w:r w:rsidR="00191F21">
        <w:t xml:space="preserve">Múnoz et al. </w:t>
      </w:r>
      <w:r w:rsidR="001B32CB">
        <w:t>(2004</w:t>
      </w:r>
      <w:r w:rsidR="00191F21">
        <w:t>)</w:t>
      </w:r>
      <w:r w:rsidR="001B32CB">
        <w:t xml:space="preserve"> </w:t>
      </w:r>
      <w:r w:rsidR="00B54505">
        <w:t xml:space="preserve">are </w:t>
      </w:r>
      <w:r w:rsidR="00CD4632">
        <w:t xml:space="preserve">used for </w:t>
      </w:r>
      <w:r w:rsidR="00844881">
        <w:t xml:space="preserve">these </w:t>
      </w:r>
      <w:r w:rsidR="00CD4632">
        <w:t>variables</w:t>
      </w:r>
      <w:r w:rsidR="003E0EFB">
        <w:t>.</w:t>
      </w:r>
      <w:r w:rsidR="005F6B8B">
        <w:t xml:space="preserve"> </w:t>
      </w:r>
      <w:r w:rsidR="003E0EFB">
        <w:t xml:space="preserve">However, </w:t>
      </w:r>
      <w:r w:rsidR="00397E48">
        <w:t xml:space="preserve">the </w:t>
      </w:r>
      <w:r w:rsidR="003E0EFB">
        <w:t xml:space="preserve">proposed method </w:t>
      </w:r>
      <w:r w:rsidR="00397E48">
        <w:t xml:space="preserve">is independent of </w:t>
      </w:r>
      <w:r w:rsidR="00B90FDA">
        <w:t xml:space="preserve">the </w:t>
      </w:r>
      <w:r w:rsidR="00557076">
        <w:t xml:space="preserve">specific </w:t>
      </w:r>
      <w:r w:rsidR="00AA17FC">
        <w:t>model</w:t>
      </w:r>
      <w:r w:rsidR="00447885">
        <w:t xml:space="preserve"> </w:t>
      </w:r>
      <w:r w:rsidR="00557076">
        <w:t xml:space="preserve">used </w:t>
      </w:r>
      <w:r w:rsidR="00B8176F">
        <w:t xml:space="preserve">for </w:t>
      </w:r>
      <w:r w:rsidR="00B90FDA">
        <w:t xml:space="preserve">its </w:t>
      </w:r>
      <w:r w:rsidR="00B8176F">
        <w:t xml:space="preserve">inputs </w:t>
      </w:r>
      <w:r w:rsidR="00447885">
        <w:t xml:space="preserve">and can </w:t>
      </w:r>
      <w:r w:rsidR="007311F3">
        <w:t xml:space="preserve">employ </w:t>
      </w:r>
      <w:r w:rsidR="000F2543">
        <w:t xml:space="preserve">other </w:t>
      </w:r>
      <w:r w:rsidR="00B90FDA">
        <w:t xml:space="preserve">correlations </w:t>
      </w:r>
      <w:r w:rsidR="007311F3">
        <w:t xml:space="preserve">that may be </w:t>
      </w:r>
      <w:r w:rsidR="00B90FDA">
        <w:t xml:space="preserve">more suitable for </w:t>
      </w:r>
      <w:r w:rsidR="00CB7702">
        <w:t xml:space="preserve">other </w:t>
      </w:r>
      <w:r w:rsidR="00B90FDA">
        <w:t>arrangements</w:t>
      </w:r>
      <w:r w:rsidR="00397E48">
        <w:t>.</w:t>
      </w:r>
      <w:r w:rsidR="00AA17FC">
        <w:t xml:space="preserve"> For the present case-studies, </w:t>
      </w:r>
      <w:r w:rsidR="005F6B8B">
        <w:t>Eq(2) and Eq(3)</w:t>
      </w:r>
      <w:r w:rsidR="00AA17FC">
        <w:t xml:space="preserve"> are used for the mean flame height and the mean flame tilt angle</w:t>
      </w:r>
      <w:r w:rsidR="00711E84">
        <w:t xml:space="preserve"> (Múnoz et al., 2004)</w:t>
      </w:r>
      <w:r w:rsidR="00873DE0">
        <w:t>.</w:t>
      </w:r>
      <w:r w:rsidR="00703256">
        <w:t xml:space="preserve"> </w:t>
      </w:r>
      <w:r w:rsidR="00EF1435">
        <w:t xml:space="preserve">For parameters </w:t>
      </w:r>
      <m:oMath>
        <m:acc>
          <m:accPr>
            <m:chr m:val="̇"/>
            <m:ctrlPr>
              <w:rPr>
                <w:rFonts w:ascii="Cambria Math" w:hAnsi="Cambria Math"/>
                <w:i/>
                <w:lang w:val="en-US"/>
              </w:rPr>
            </m:ctrlPr>
          </m:accPr>
          <m:e>
            <m:r>
              <w:rPr>
                <w:rFonts w:ascii="Cambria Math" w:hAnsi="Cambria Math"/>
              </w:rPr>
              <m:t>m"</m:t>
            </m:r>
          </m:e>
        </m:acc>
      </m:oMath>
      <w:r w:rsidR="00EF1435">
        <w:t xml:space="preserve"> and </w:t>
      </w:r>
      <m:oMath>
        <m:r>
          <w:rPr>
            <w:rFonts w:ascii="Cambria Math" w:hAnsi="Cambria Math"/>
          </w:rPr>
          <m:t>kβ</m:t>
        </m:r>
      </m:oMath>
      <w:r w:rsidR="00EF1435">
        <w:t>, the values by Babrauskas</w:t>
      </w:r>
      <w:r w:rsidR="00EF1435" w:rsidRPr="00B079A6">
        <w:t xml:space="preserve"> (201</w:t>
      </w:r>
      <w:r w:rsidR="00EF1435">
        <w:t>6</w:t>
      </w:r>
      <w:r w:rsidR="00EF1435" w:rsidRPr="00B079A6">
        <w:t>)</w:t>
      </w:r>
      <w:r w:rsidR="00EF1435">
        <w:t xml:space="preserve"> are used for gasoline pools</w:t>
      </w:r>
      <w:r w:rsidR="00EF1435" w:rsidRPr="00B079A6">
        <w:t>.</w:t>
      </w:r>
      <w:r w:rsidR="00EF1435">
        <w:t xml:space="preserve"> </w:t>
      </w:r>
      <w:r w:rsidR="00037D7A">
        <w:t>The empirical data by Múnoz et al. (2004) is also used to determine SEP at each elevation, and a linear correlation is fitted to this experimental data.</w:t>
      </w:r>
      <w:r w:rsidR="00037D7A" w:rsidRPr="00037D7A">
        <w:t xml:space="preserve"> </w:t>
      </w:r>
      <w:r w:rsidR="00037D7A">
        <w:t xml:space="preserve">A more detailed description of the nomenclature can be found in Beyler (2016). </w:t>
      </w:r>
    </w:p>
    <w:p w14:paraId="18C2E74A" w14:textId="3B2206C7" w:rsidR="00CF7C62" w:rsidRDefault="00CF7C62" w:rsidP="00ED2501">
      <w:pPr>
        <w:pStyle w:val="CETBodytext"/>
      </w:pPr>
    </w:p>
    <w:tbl>
      <w:tblPr>
        <w:tblW w:w="5000" w:type="pct"/>
        <w:tblLook w:val="04A0" w:firstRow="1" w:lastRow="0" w:firstColumn="1" w:lastColumn="0" w:noHBand="0" w:noVBand="1"/>
      </w:tblPr>
      <w:tblGrid>
        <w:gridCol w:w="7984"/>
        <w:gridCol w:w="803"/>
      </w:tblGrid>
      <w:tr w:rsidR="00990236" w:rsidRPr="002724BC" w14:paraId="05F1BEB3" w14:textId="77777777" w:rsidTr="006714B1">
        <w:trPr>
          <w:trHeight w:val="509"/>
        </w:trPr>
        <w:tc>
          <w:tcPr>
            <w:tcW w:w="7984" w:type="dxa"/>
            <w:shd w:val="clear" w:color="auto" w:fill="auto"/>
            <w:vAlign w:val="center"/>
          </w:tcPr>
          <w:p w14:paraId="2DE2BC43" w14:textId="3DB69B38" w:rsidR="00990236" w:rsidRPr="006B6CAC" w:rsidRDefault="00000000" w:rsidP="006B6CAC">
            <w:pPr>
              <w:pStyle w:val="CETEquation"/>
              <w:rPr>
                <w:rFonts w:asciiTheme="minorBidi" w:hAnsiTheme="minorBidi" w:cstheme="minorBidi"/>
              </w:rPr>
            </w:pPr>
            <m:oMathPara>
              <m:oMathParaPr>
                <m:jc m:val="left"/>
              </m:oMathParaPr>
              <m:oMath>
                <m:f>
                  <m:fPr>
                    <m:ctrlPr>
                      <w:rPr>
                        <w:rFonts w:ascii="Cambria Math" w:hAnsi="Cambria Math" w:cstheme="minorBidi"/>
                        <w:i/>
                      </w:rPr>
                    </m:ctrlPr>
                  </m:fPr>
                  <m:num>
                    <m:r>
                      <w:rPr>
                        <w:rFonts w:ascii="Cambria Math" w:hAnsi="Cambria Math" w:cstheme="minorBidi"/>
                      </w:rPr>
                      <m:t>H</m:t>
                    </m:r>
                  </m:num>
                  <m:den>
                    <m:r>
                      <w:rPr>
                        <w:rFonts w:ascii="Cambria Math" w:hAnsi="Cambria Math" w:cstheme="minorBidi"/>
                      </w:rPr>
                      <m:t>D</m:t>
                    </m:r>
                  </m:den>
                </m:f>
                <m:r>
                  <w:rPr>
                    <w:rFonts w:ascii="Cambria Math" w:hAnsi="Cambria Math" w:cstheme="minorBidi"/>
                  </w:rPr>
                  <m:t xml:space="preserve">=7.74 </m:t>
                </m:r>
                <m:sSup>
                  <m:sSupPr>
                    <m:ctrlPr>
                      <w:rPr>
                        <w:rFonts w:ascii="Cambria Math" w:hAnsi="Cambria Math" w:cstheme="minorBidi"/>
                        <w:i/>
                      </w:rPr>
                    </m:ctrlPr>
                  </m:sSupPr>
                  <m:e>
                    <m:d>
                      <m:dPr>
                        <m:ctrlPr>
                          <w:rPr>
                            <w:rFonts w:ascii="Cambria Math" w:hAnsi="Cambria Math" w:cstheme="minorBidi"/>
                            <w:i/>
                          </w:rPr>
                        </m:ctrlPr>
                      </m:dPr>
                      <m:e>
                        <m:sSup>
                          <m:sSupPr>
                            <m:ctrlPr>
                              <w:rPr>
                                <w:rFonts w:ascii="Cambria Math" w:hAnsi="Cambria Math" w:cstheme="minorBidi"/>
                                <w:i/>
                              </w:rPr>
                            </m:ctrlPr>
                          </m:sSupPr>
                          <m:e>
                            <m:r>
                              <w:rPr>
                                <w:rFonts w:ascii="Cambria Math" w:hAnsi="Cambria Math" w:cstheme="minorBidi"/>
                              </w:rPr>
                              <m:t>m</m:t>
                            </m:r>
                          </m:e>
                          <m:sup>
                            <m:r>
                              <w:rPr>
                                <w:rFonts w:ascii="Cambria Math" w:hAnsi="Cambria Math" w:cstheme="minorBidi"/>
                              </w:rPr>
                              <m:t>*</m:t>
                            </m:r>
                          </m:sup>
                        </m:sSup>
                      </m:e>
                    </m:d>
                  </m:e>
                  <m:sup>
                    <m:r>
                      <w:rPr>
                        <w:rFonts w:ascii="Cambria Math" w:hAnsi="Cambria Math" w:cstheme="minorBidi"/>
                      </w:rPr>
                      <m:t>0.375</m:t>
                    </m:r>
                  </m:sup>
                </m:sSup>
                <m:sSup>
                  <m:sSupPr>
                    <m:ctrlPr>
                      <w:rPr>
                        <w:rFonts w:ascii="Cambria Math" w:hAnsi="Cambria Math" w:cstheme="minorBidi"/>
                        <w:i/>
                      </w:rPr>
                    </m:ctrlPr>
                  </m:sSupPr>
                  <m:e>
                    <m:d>
                      <m:dPr>
                        <m:ctrlPr>
                          <w:rPr>
                            <w:rFonts w:ascii="Cambria Math" w:hAnsi="Cambria Math" w:cstheme="minorBidi"/>
                            <w:i/>
                          </w:rPr>
                        </m:ctrlPr>
                      </m:dPr>
                      <m:e>
                        <m:sSup>
                          <m:sSupPr>
                            <m:ctrlPr>
                              <w:rPr>
                                <w:rFonts w:ascii="Cambria Math" w:hAnsi="Cambria Math" w:cstheme="minorBidi"/>
                                <w:i/>
                              </w:rPr>
                            </m:ctrlPr>
                          </m:sSupPr>
                          <m:e>
                            <m:r>
                              <w:rPr>
                                <w:rFonts w:ascii="Cambria Math" w:hAnsi="Cambria Math" w:cstheme="minorBidi"/>
                              </w:rPr>
                              <m:t>u</m:t>
                            </m:r>
                          </m:e>
                          <m:sup>
                            <m:r>
                              <w:rPr>
                                <w:rFonts w:ascii="Cambria Math" w:hAnsi="Cambria Math" w:cstheme="minorBidi"/>
                              </w:rPr>
                              <m:t>*</m:t>
                            </m:r>
                          </m:sup>
                        </m:sSup>
                      </m:e>
                    </m:d>
                  </m:e>
                  <m:sup>
                    <m:r>
                      <w:rPr>
                        <w:rFonts w:ascii="Cambria Math" w:hAnsi="Cambria Math" w:cstheme="minorBidi"/>
                      </w:rPr>
                      <m:t>-0.096</m:t>
                    </m:r>
                  </m:sup>
                </m:sSup>
              </m:oMath>
            </m:oMathPara>
          </w:p>
        </w:tc>
        <w:tc>
          <w:tcPr>
            <w:tcW w:w="803" w:type="dxa"/>
            <w:shd w:val="clear" w:color="auto" w:fill="auto"/>
            <w:vAlign w:val="center"/>
          </w:tcPr>
          <w:p w14:paraId="6E5D2217" w14:textId="1EC3AEF8" w:rsidR="00990236" w:rsidRPr="00DA5102" w:rsidRDefault="00990236" w:rsidP="006714B1">
            <w:pPr>
              <w:pStyle w:val="CETEquation"/>
              <w:jc w:val="right"/>
              <w:rPr>
                <w:rFonts w:asciiTheme="minorBidi" w:hAnsiTheme="minorBidi" w:cstheme="minorBidi"/>
              </w:rPr>
            </w:pPr>
            <w:r w:rsidRPr="00DA5102">
              <w:rPr>
                <w:rFonts w:asciiTheme="minorBidi" w:hAnsiTheme="minorBidi" w:cstheme="minorBidi"/>
              </w:rPr>
              <w:t>(</w:t>
            </w:r>
            <w:r w:rsidR="001E71CF">
              <w:rPr>
                <w:rFonts w:asciiTheme="minorBidi" w:hAnsiTheme="minorBidi" w:cstheme="minorBidi"/>
              </w:rPr>
              <w:t>2</w:t>
            </w:r>
            <w:r w:rsidRPr="00DA5102">
              <w:rPr>
                <w:rFonts w:asciiTheme="minorBidi" w:hAnsiTheme="minorBidi" w:cstheme="minorBidi"/>
              </w:rPr>
              <w:t>)</w:t>
            </w:r>
          </w:p>
        </w:tc>
      </w:tr>
      <w:tr w:rsidR="00AE1956" w:rsidRPr="002724BC" w14:paraId="1217FF2A" w14:textId="77777777" w:rsidTr="006714B1">
        <w:trPr>
          <w:trHeight w:val="509"/>
        </w:trPr>
        <w:tc>
          <w:tcPr>
            <w:tcW w:w="7984" w:type="dxa"/>
            <w:shd w:val="clear" w:color="auto" w:fill="auto"/>
            <w:vAlign w:val="center"/>
          </w:tcPr>
          <w:p w14:paraId="7C5E9DB5" w14:textId="1DECE565" w:rsidR="00AE1956" w:rsidRPr="006B6CAC" w:rsidRDefault="00000000" w:rsidP="00990236">
            <w:pPr>
              <w:pStyle w:val="CETEquation"/>
              <w:rPr>
                <w:rFonts w:ascii="Cambria Math" w:hAnsi="Cambria Math"/>
                <w:i/>
              </w:rPr>
            </w:pPr>
            <m:oMath>
              <m:func>
                <m:funcPr>
                  <m:ctrlPr>
                    <w:rPr>
                      <w:rFonts w:ascii="Cambria Math" w:hAnsi="Cambria Math"/>
                      <w:i/>
                    </w:rPr>
                  </m:ctrlPr>
                </m:funcPr>
                <m:fName>
                  <m:r>
                    <m:rPr>
                      <m:sty m:val="p"/>
                    </m:rPr>
                    <w:rPr>
                      <w:rFonts w:ascii="Cambria Math" w:hAnsi="Cambria Math"/>
                    </w:rPr>
                    <m:t>cos</m:t>
                  </m:r>
                  <m:ctrlPr>
                    <w:rPr>
                      <w:rFonts w:ascii="Cambria Math" w:hAnsi="Cambria Math"/>
                    </w:rPr>
                  </m:ctrlPr>
                </m:fName>
                <m:e>
                  <m:r>
                    <w:rPr>
                      <w:rFonts w:ascii="Cambria Math" w:hAnsi="Cambria Math"/>
                    </w:rPr>
                    <m:t>θ</m:t>
                  </m:r>
                </m:e>
              </m:func>
              <m:r>
                <w:rPr>
                  <w:rFonts w:ascii="Cambria Math" w:hAnsi="Cambria Math"/>
                </w:rPr>
                <m:t>=0.96</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m:t>
                          </m:r>
                        </m:sup>
                      </m:sSup>
                    </m:e>
                  </m:d>
                </m:e>
                <m:sup>
                  <m:r>
                    <w:rPr>
                      <w:rFonts w:ascii="Cambria Math" w:hAnsi="Cambria Math"/>
                    </w:rPr>
                    <m:t>-0.26</m:t>
                  </m:r>
                </m:sup>
              </m:sSup>
            </m:oMath>
            <w:r w:rsidR="00E356E2">
              <w:t xml:space="preserve">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≥1</m:t>
              </m:r>
            </m:oMath>
            <w:r w:rsidR="008D2E92">
              <w:t xml:space="preserve">          </w:t>
            </w:r>
            <w:r w:rsidR="001A79E4">
              <w:t>or</w:t>
            </w:r>
            <w:r w:rsidR="00737EC0">
              <w:t xml:space="preserve">    </w:t>
            </w:r>
            <w:r w:rsidR="00D564D7">
              <w:t xml:space="preserve">  </w:t>
            </w:r>
            <w:r w:rsidR="008D2E92">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=1</m:t>
              </m:r>
            </m:oMath>
            <w:r w:rsidR="00D564D7">
              <w:t xml:space="preserve">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&lt;1</m:t>
              </m:r>
            </m:oMath>
          </w:p>
        </w:tc>
        <w:tc>
          <w:tcPr>
            <w:tcW w:w="803" w:type="dxa"/>
            <w:shd w:val="clear" w:color="auto" w:fill="auto"/>
            <w:vAlign w:val="center"/>
          </w:tcPr>
          <w:p w14:paraId="54D53325" w14:textId="4FAC6868" w:rsidR="00AE1956" w:rsidRPr="00DA5102" w:rsidRDefault="00E356E2" w:rsidP="006714B1">
            <w:pPr>
              <w:pStyle w:val="CETEquation"/>
              <w:jc w:val="right"/>
              <w:rPr>
                <w:rFonts w:asciiTheme="minorBidi" w:hAnsiTheme="minorBidi" w:cstheme="minorBidi"/>
              </w:rPr>
            </w:pPr>
            <w:r>
              <w:rPr>
                <w:rFonts w:asciiTheme="minorBidi" w:hAnsiTheme="minorBidi" w:cstheme="minorBidi"/>
              </w:rPr>
              <w:t>(3)</w:t>
            </w:r>
          </w:p>
        </w:tc>
      </w:tr>
    </w:tbl>
    <w:p w14:paraId="16A9F4C6" w14:textId="00E350D4" w:rsidR="00445CC5" w:rsidRDefault="00445CC5">
      <w:r>
        <w:t>Where:</w:t>
      </w:r>
    </w:p>
    <w:tbl>
      <w:tblPr>
        <w:tblW w:w="5000" w:type="pct"/>
        <w:tblLook w:val="04A0" w:firstRow="1" w:lastRow="0" w:firstColumn="1" w:lastColumn="0" w:noHBand="0" w:noVBand="1"/>
      </w:tblPr>
      <w:tblGrid>
        <w:gridCol w:w="7984"/>
        <w:gridCol w:w="803"/>
      </w:tblGrid>
      <w:tr w:rsidR="001E71CF" w:rsidRPr="002724BC" w14:paraId="7EB82993" w14:textId="77777777" w:rsidTr="006714B1">
        <w:trPr>
          <w:trHeight w:val="509"/>
        </w:trPr>
        <w:tc>
          <w:tcPr>
            <w:tcW w:w="7984" w:type="dxa"/>
            <w:shd w:val="clear" w:color="auto" w:fill="auto"/>
            <w:vAlign w:val="center"/>
          </w:tcPr>
          <w:p w14:paraId="4D614B74" w14:textId="33A9D88F" w:rsidR="001E71CF" w:rsidRPr="00D441C2" w:rsidRDefault="00000000" w:rsidP="00990236">
            <w:pPr>
              <w:pStyle w:val="CETEquation"/>
            </w:pP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gD</m:t>
                      </m:r>
                    </m:e>
                  </m:rad>
                </m:den>
              </m:f>
              <m:r>
                <w:rPr>
                  <w:rFonts w:ascii="Cambria Math" w:hAnsi="Cambria Math"/>
                </w:rPr>
                <m:t xml:space="preserve"> </m:t>
              </m:r>
            </m:oMath>
            <w:r w:rsidR="00E94597">
              <w:t xml:space="preserve">          </w:t>
            </w:r>
            <w:r w:rsidR="00341B38">
              <w:t xml:space="preserve">           </w:t>
            </w:r>
            <w:r w:rsidR="00E94597">
              <w:t xml:space="preserve">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w</m:t>
                      </m:r>
                    </m:sub>
                  </m:sSub>
                </m:num>
                <m:den>
                  <m:sSup>
                    <m:sSupPr>
                      <m:ctrlPr>
                        <w:rPr>
                          <w:rFonts w:ascii="Cambria Math" w:hAnsi="Cambria Math"/>
                          <w:i/>
                        </w:rPr>
                      </m:ctrlPr>
                    </m:sSupPr>
                    <m:e>
                      <m:d>
                        <m:dPr>
                          <m:ctrlPr>
                            <w:rPr>
                              <w:rFonts w:ascii="Cambria Math" w:hAnsi="Cambria Math"/>
                              <w:i/>
                            </w:rPr>
                          </m:ctrlPr>
                        </m:dPr>
                        <m:e>
                          <m:r>
                            <w:rPr>
                              <w:rFonts w:ascii="Cambria Math" w:hAnsi="Cambria Math"/>
                            </w:rPr>
                            <m:t>g</m:t>
                          </m:r>
                          <m:acc>
                            <m:accPr>
                              <m:chr m:val="̇"/>
                              <m:ctrlPr>
                                <w:rPr>
                                  <w:rFonts w:ascii="Cambria Math" w:hAnsi="Cambria Math"/>
                                  <w:i/>
                                </w:rPr>
                              </m:ctrlPr>
                            </m:accPr>
                            <m:e>
                              <m:r>
                                <w:rPr>
                                  <w:rFonts w:ascii="Cambria Math" w:hAnsi="Cambria Math"/>
                                </w:rPr>
                                <m:t>m"</m:t>
                              </m:r>
                            </m:e>
                          </m:acc>
                          <m:r>
                            <w:rPr>
                              <w:rFonts w:ascii="Cambria Math" w:hAnsi="Cambria Math"/>
                            </w:rPr>
                            <m:t>D/</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 xml:space="preserve"> </m:t>
                          </m:r>
                        </m:e>
                      </m:d>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m:t>
                  </m:r>
                </m:den>
              </m:f>
              <m:r>
                <w:rPr>
                  <w:rFonts w:ascii="Cambria Math" w:hAnsi="Cambria Math"/>
                </w:rPr>
                <m:t xml:space="preserve">  </m:t>
              </m:r>
            </m:oMath>
            <w:r w:rsidR="00DC446D">
              <w:t xml:space="preserve">   </w:t>
            </w:r>
            <w:r w:rsidR="00D967D2">
              <w:t xml:space="preserve">           </w:t>
            </w:r>
            <w:r w:rsidR="00DC446D">
              <w:t xml:space="preserve">    </w:t>
            </w:r>
            <m:oMath>
              <m:acc>
                <m:accPr>
                  <m:chr m:val="̇"/>
                  <m:ctrlPr>
                    <w:rPr>
                      <w:rFonts w:ascii="Cambria Math" w:hAnsi="Cambria Math"/>
                      <w:i/>
                    </w:rPr>
                  </m:ctrlPr>
                </m:accPr>
                <m:e>
                  <m:r>
                    <w:rPr>
                      <w:rFonts w:ascii="Cambria Math" w:hAnsi="Cambria Math"/>
                    </w:rPr>
                    <m:t>m"</m:t>
                  </m:r>
                </m:e>
              </m:acc>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m</m:t>
                      </m:r>
                    </m:e>
                  </m:acc>
                </m:e>
                <m:sub>
                  <m:r>
                    <w:rPr>
                      <w:rFonts w:ascii="Cambria Math" w:hAnsi="Cambria Math"/>
                    </w:rPr>
                    <m:t>∞</m:t>
                  </m:r>
                </m:sub>
                <m:sup>
                  <m:r>
                    <w:rPr>
                      <w:rFonts w:ascii="Cambria Math" w:hAnsi="Cambria Math"/>
                    </w:rPr>
                    <m:t>"</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-kβD</m:t>
                      </m:r>
                    </m:sup>
                  </m:sSup>
                </m:e>
              </m:d>
            </m:oMath>
          </w:p>
        </w:tc>
        <w:tc>
          <w:tcPr>
            <w:tcW w:w="803" w:type="dxa"/>
            <w:shd w:val="clear" w:color="auto" w:fill="auto"/>
            <w:vAlign w:val="center"/>
          </w:tcPr>
          <w:p w14:paraId="28988878" w14:textId="4A154445" w:rsidR="001E71CF" w:rsidRPr="00DA5102" w:rsidRDefault="001E71CF" w:rsidP="006B6CAC">
            <w:pPr>
              <w:pStyle w:val="CETEquation"/>
              <w:jc w:val="center"/>
              <w:rPr>
                <w:rFonts w:asciiTheme="minorBidi" w:hAnsiTheme="minorBidi" w:cstheme="minorBidi"/>
              </w:rPr>
            </w:pPr>
          </w:p>
        </w:tc>
      </w:tr>
    </w:tbl>
    <w:p w14:paraId="2602BF98" w14:textId="2695883F" w:rsidR="008E6279" w:rsidRDefault="00A850B6">
      <w:pPr>
        <w:pStyle w:val="CETHeading1"/>
      </w:pPr>
      <w:r>
        <w:t>Results</w:t>
      </w:r>
      <w:r w:rsidR="005E63CE">
        <w:t xml:space="preserve"> </w:t>
      </w:r>
      <w:r>
        <w:t>and discussion</w:t>
      </w:r>
    </w:p>
    <w:p w14:paraId="3326A09C" w14:textId="0DFAA3A6" w:rsidR="0048460A" w:rsidRDefault="000A2092" w:rsidP="0048460A">
      <w:pPr>
        <w:pStyle w:val="CETBodytext"/>
      </w:pPr>
      <w:r>
        <w:t xml:space="preserve">An example </w:t>
      </w:r>
      <w:r w:rsidR="00D6186A">
        <w:t xml:space="preserve">distribution of incident radiation heat flux </w:t>
      </w:r>
      <w:r>
        <w:t xml:space="preserve">on the exposed tank from a vertical or tilted pool fire using the </w:t>
      </w:r>
      <w:r w:rsidR="002C239B">
        <w:t xml:space="preserve">proposed method </w:t>
      </w:r>
      <w:r w:rsidR="00D6186A">
        <w:t xml:space="preserve">is </w:t>
      </w:r>
      <w:r w:rsidR="00C3362B">
        <w:t>shown in Figure 3</w:t>
      </w:r>
      <w:r>
        <w:t>a and Figure 3b, respectively</w:t>
      </w:r>
      <w:r w:rsidR="00C3362B">
        <w:t>.</w:t>
      </w:r>
      <w:r w:rsidR="004B38E7">
        <w:t xml:space="preserve"> </w:t>
      </w:r>
      <w:r w:rsidR="002C239B">
        <w:t>T</w:t>
      </w:r>
      <w:r w:rsidR="004B38E7">
        <w:t xml:space="preserve">he incident flux is </w:t>
      </w:r>
      <w:r w:rsidR="002C239B">
        <w:t xml:space="preserve">evidently </w:t>
      </w:r>
      <w:r w:rsidR="004B38E7">
        <w:t xml:space="preserve">higher </w:t>
      </w:r>
      <w:r w:rsidR="00D33656">
        <w:t xml:space="preserve">on </w:t>
      </w:r>
      <w:r w:rsidR="00656D59">
        <w:t xml:space="preserve">the </w:t>
      </w:r>
      <w:r w:rsidR="00D33656">
        <w:t xml:space="preserve">exposed segments </w:t>
      </w:r>
      <w:r w:rsidR="00884F95">
        <w:t xml:space="preserve">at shorter distances and facing the fire plume. </w:t>
      </w:r>
      <w:r w:rsidR="00AC42BD">
        <w:t xml:space="preserve">Since the </w:t>
      </w:r>
      <w:r w:rsidR="00DC68FA">
        <w:t xml:space="preserve">segments on the sides of the </w:t>
      </w:r>
      <w:r w:rsidR="00AC42BD">
        <w:t xml:space="preserve">exposed </w:t>
      </w:r>
      <w:r w:rsidR="00DC68FA">
        <w:t xml:space="preserve">tank </w:t>
      </w:r>
      <w:r w:rsidR="00D33656">
        <w:t xml:space="preserve">are ‘seen’ by a </w:t>
      </w:r>
      <w:r w:rsidR="00DC68FA">
        <w:t xml:space="preserve">smaller </w:t>
      </w:r>
      <w:r w:rsidR="00D33656">
        <w:t>number of flame segments</w:t>
      </w:r>
      <w:r w:rsidR="007B59BD">
        <w:t>, due to both the angle and the distance</w:t>
      </w:r>
      <w:r w:rsidR="00AC42BD">
        <w:t xml:space="preserve">, the total incident radiation is </w:t>
      </w:r>
      <w:r w:rsidR="007B59BD">
        <w:t>significantly smaller</w:t>
      </w:r>
      <w:r w:rsidR="00CA38FA">
        <w:t xml:space="preserve"> for these segments</w:t>
      </w:r>
      <w:r w:rsidR="00D33656">
        <w:t>.</w:t>
      </w:r>
      <w:r w:rsidR="00A850B6">
        <w:t xml:space="preserve"> </w:t>
      </w:r>
      <w:r w:rsidR="00A5099D">
        <w:t xml:space="preserve">The closest exposed segments </w:t>
      </w:r>
      <w:r w:rsidR="00F57F80">
        <w:t xml:space="preserve">to the center of the pool fire are selected for comparing the results with the </w:t>
      </w:r>
      <w:r w:rsidR="00987A22">
        <w:t xml:space="preserve">calculations </w:t>
      </w:r>
      <w:r w:rsidR="00F93CD1">
        <w:t>using the</w:t>
      </w:r>
      <w:r w:rsidR="00987A22">
        <w:t xml:space="preserve"> descri</w:t>
      </w:r>
      <w:r w:rsidR="00F93CD1">
        <w:t>bed solution</w:t>
      </w:r>
      <w:r w:rsidR="00987A22">
        <w:t xml:space="preserve"> by Beyler (2016) and using PHAST.</w:t>
      </w:r>
      <w:r w:rsidR="00723439" w:rsidRPr="00723439">
        <w:t xml:space="preserve"> </w:t>
      </w:r>
      <w:r w:rsidR="00723439">
        <w:t xml:space="preserve">For simplicity of reading the results, the exposed tank is divided over 5 vertical segments, which are </w:t>
      </w:r>
      <w:r w:rsidR="00812A21">
        <w:t xml:space="preserve">given by </w:t>
      </w:r>
      <w:r w:rsidR="00F52F97">
        <w:t>S</w:t>
      </w:r>
      <w:r w:rsidR="00812A21">
        <w:t xml:space="preserve">1 to </w:t>
      </w:r>
      <w:r w:rsidR="00F52F97">
        <w:t>S</w:t>
      </w:r>
      <w:r w:rsidR="00812A21">
        <w:t xml:space="preserve">5 in the </w:t>
      </w:r>
      <w:r w:rsidR="00076309">
        <w:t>remaining</w:t>
      </w:r>
      <w:r w:rsidR="00812A21">
        <w:t xml:space="preserve"> sections</w:t>
      </w:r>
      <w:r w:rsidR="00076309">
        <w:t xml:space="preserve"> of this </w:t>
      </w:r>
      <w:r w:rsidR="00761152">
        <w:t>study</w:t>
      </w:r>
      <w:r w:rsidR="00812A21">
        <w:t>.</w:t>
      </w:r>
    </w:p>
    <w:p w14:paraId="5E2D4B37" w14:textId="2338604B" w:rsidR="00970F30" w:rsidRDefault="00CB21DC" w:rsidP="006B6CAC">
      <w:pPr>
        <w:pStyle w:val="CETCaption"/>
      </w:pPr>
      <w:r>
        <w:rPr>
          <w:noProof/>
        </w:rPr>
        <mc:AlternateContent>
          <mc:Choice Requires="wps">
            <w:drawing>
              <wp:anchor distT="0" distB="0" distL="114300" distR="114300" simplePos="0" relativeHeight="251680768" behindDoc="0" locked="0" layoutInCell="1" allowOverlap="1" wp14:anchorId="26C98D49" wp14:editId="00D5638E">
                <wp:simplePos x="0" y="0"/>
                <wp:positionH relativeFrom="column">
                  <wp:posOffset>2866500</wp:posOffset>
                </wp:positionH>
                <wp:positionV relativeFrom="paragraph">
                  <wp:posOffset>1437019</wp:posOffset>
                </wp:positionV>
                <wp:extent cx="274955" cy="240030"/>
                <wp:effectExtent l="0" t="0" r="10795" b="26670"/>
                <wp:wrapNone/>
                <wp:docPr id="929657520" name="Text Box 3"/>
                <wp:cNvGraphicFramePr/>
                <a:graphic xmlns:a="http://schemas.openxmlformats.org/drawingml/2006/main">
                  <a:graphicData uri="http://schemas.microsoft.com/office/word/2010/wordprocessingShape">
                    <wps:wsp>
                      <wps:cNvSpPr txBox="1"/>
                      <wps:spPr>
                        <a:xfrm>
                          <a:off x="0" y="0"/>
                          <a:ext cx="274955" cy="240030"/>
                        </a:xfrm>
                        <a:prstGeom prst="rect">
                          <a:avLst/>
                        </a:prstGeom>
                        <a:solidFill>
                          <a:schemeClr val="lt1"/>
                        </a:solidFill>
                        <a:ln w="6350">
                          <a:solidFill>
                            <a:schemeClr val="tx1"/>
                          </a:solidFill>
                        </a:ln>
                      </wps:spPr>
                      <wps:txbx>
                        <w:txbxContent>
                          <w:p w14:paraId="0D8FBDF2" w14:textId="77777777" w:rsidR="00C33EB9" w:rsidRPr="006B6CAC" w:rsidRDefault="00C33EB9" w:rsidP="00C33EB9">
                            <w:pPr>
                              <w:rPr>
                                <w:b/>
                                <w:bCs/>
                                <w:sz w:val="20"/>
                                <w:szCs w:val="22"/>
                              </w:rPr>
                            </w:pPr>
                            <w:r w:rsidRPr="006B6CAC">
                              <w:rPr>
                                <w:b/>
                                <w:bCs/>
                                <w:sz w:val="20"/>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8D49" id="_x0000_s1030" type="#_x0000_t202" style="position:absolute;left:0;text-align:left;margin-left:225.7pt;margin-top:113.15pt;width:21.65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" fillcolor="white [3201]" strokecolor="black [3213]" strokeweight=".5pt">
                <v:textbox>
                  <w:txbxContent>
                    <w:p w14:paraId="0D8FBDF2" w14:textId="77777777" w:rsidR="00C33EB9" w:rsidRPr="006B6CAC" w:rsidRDefault="00C33EB9" w:rsidP="00C33EB9">
                      <w:pPr>
                        <w:rPr>
                          <w:b/>
                          <w:bCs/>
                          <w:sz w:val="20"/>
                          <w:szCs w:val="22"/>
                        </w:rPr>
                      </w:pPr>
                      <w:r w:rsidRPr="006B6CAC">
                        <w:rPr>
                          <w:b/>
                          <w:bCs/>
                          <w:sz w:val="20"/>
                          <w:szCs w:val="22"/>
                        </w:rPr>
                        <w:t>b</w:t>
                      </w:r>
                    </w:p>
                  </w:txbxContent>
                </v:textbox>
              </v:shape>
            </w:pict>
          </mc:Fallback>
        </mc:AlternateContent>
      </w:r>
      <w:r w:rsidR="002F7870">
        <w:rPr>
          <w:noProof/>
        </w:rPr>
        <mc:AlternateContent>
          <mc:Choice Requires="wps">
            <w:drawing>
              <wp:anchor distT="0" distB="0" distL="114300" distR="114300" simplePos="0" relativeHeight="251679744" behindDoc="0" locked="0" layoutInCell="1" allowOverlap="1" wp14:anchorId="04671C26" wp14:editId="2B136194">
                <wp:simplePos x="0" y="0"/>
                <wp:positionH relativeFrom="column">
                  <wp:posOffset>127550</wp:posOffset>
                </wp:positionH>
                <wp:positionV relativeFrom="paragraph">
                  <wp:posOffset>1450684</wp:posOffset>
                </wp:positionV>
                <wp:extent cx="274955" cy="240030"/>
                <wp:effectExtent l="0" t="0" r="10795" b="26670"/>
                <wp:wrapNone/>
                <wp:docPr id="806257488" name="Text Box 3"/>
                <wp:cNvGraphicFramePr/>
                <a:graphic xmlns:a="http://schemas.openxmlformats.org/drawingml/2006/main">
                  <a:graphicData uri="http://schemas.microsoft.com/office/word/2010/wordprocessingShape">
                    <wps:wsp>
                      <wps:cNvSpPr txBox="1"/>
                      <wps:spPr>
                        <a:xfrm>
                          <a:off x="0" y="0"/>
                          <a:ext cx="274955" cy="240030"/>
                        </a:xfrm>
                        <a:prstGeom prst="rect">
                          <a:avLst/>
                        </a:prstGeom>
                        <a:solidFill>
                          <a:schemeClr val="lt1"/>
                        </a:solidFill>
                        <a:ln w="6350">
                          <a:solidFill>
                            <a:schemeClr val="tx1"/>
                          </a:solidFill>
                        </a:ln>
                      </wps:spPr>
                      <wps:txbx>
                        <w:txbxContent>
                          <w:p w14:paraId="2427C4EA" w14:textId="77777777" w:rsidR="00C33EB9" w:rsidRPr="006B6CAC" w:rsidRDefault="00C33EB9" w:rsidP="00C33EB9">
                            <w:pPr>
                              <w:rPr>
                                <w:b/>
                                <w:bCs/>
                                <w:sz w:val="20"/>
                                <w:szCs w:val="22"/>
                              </w:rPr>
                            </w:pPr>
                            <w:r w:rsidRPr="006B6CAC">
                              <w:rPr>
                                <w:b/>
                                <w:bCs/>
                                <w:sz w:val="20"/>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1C26" id="_x0000_s1031" type="#_x0000_t202" style="position:absolute;left:0;text-align:left;margin-left:10.05pt;margin-top:114.25pt;width:21.65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" fillcolor="white [3201]" strokecolor="black [3213]" strokeweight=".5pt">
                <v:textbox>
                  <w:txbxContent>
                    <w:p w14:paraId="2427C4EA" w14:textId="77777777" w:rsidR="00C33EB9" w:rsidRPr="006B6CAC" w:rsidRDefault="00C33EB9" w:rsidP="00C33EB9">
                      <w:pPr>
                        <w:rPr>
                          <w:b/>
                          <w:bCs/>
                          <w:sz w:val="20"/>
                          <w:szCs w:val="22"/>
                        </w:rPr>
                      </w:pPr>
                      <w:r w:rsidRPr="006B6CAC">
                        <w:rPr>
                          <w:b/>
                          <w:bCs/>
                          <w:sz w:val="20"/>
                          <w:szCs w:val="22"/>
                        </w:rPr>
                        <w:t>a</w:t>
                      </w:r>
                    </w:p>
                  </w:txbxContent>
                </v:textbox>
              </v:shape>
            </w:pict>
          </mc:Fallback>
        </mc:AlternateContent>
      </w:r>
      <w:r w:rsidR="00FE7FE9" w:rsidRPr="00FE7FE9">
        <w:rPr>
          <w:noProof/>
        </w:rPr>
        <w:drawing>
          <wp:inline distT="0" distB="0" distL="0" distR="0" wp14:anchorId="3EC0FF8C" wp14:editId="2DD6537D">
            <wp:extent cx="2230047" cy="1440000"/>
            <wp:effectExtent l="0" t="0" r="0" b="8255"/>
            <wp:docPr id="1883910821" name="Picture 1" descr="A red cylinder with red lines and green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0821" name="Picture 1" descr="A red cylinder with red lines and green numbers&#10;&#10;AI-generated content may be incorrect."/>
                    <pic:cNvPicPr/>
                  </pic:nvPicPr>
                  <pic:blipFill>
                    <a:blip r:embed="rId13"/>
                    <a:stretch>
                      <a:fillRect/>
                    </a:stretch>
                  </pic:blipFill>
                  <pic:spPr>
                    <a:xfrm>
                      <a:off x="0" y="0"/>
                      <a:ext cx="2230047" cy="1440000"/>
                    </a:xfrm>
                    <a:prstGeom prst="rect">
                      <a:avLst/>
                    </a:prstGeom>
                  </pic:spPr>
                </pic:pic>
              </a:graphicData>
            </a:graphic>
          </wp:inline>
        </w:drawing>
      </w:r>
      <w:r w:rsidR="000315C4">
        <w:t xml:space="preserve"> </w:t>
      </w:r>
      <w:r w:rsidR="00CB50D6" w:rsidRPr="00CB50D6">
        <w:rPr>
          <w:noProof/>
        </w:rPr>
        <w:drawing>
          <wp:inline distT="0" distB="0" distL="0" distR="0" wp14:anchorId="565C5955" wp14:editId="1D43C6FD">
            <wp:extent cx="2191045" cy="1440000"/>
            <wp:effectExtent l="0" t="0" r="0" b="8255"/>
            <wp:docPr id="1762466386" name="Picture 1" descr="A red cylinder with a red cone and a red cylinder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6386" name="Picture 1" descr="A red cylinder with a red cone and a red cylinder with red lines&#10;&#10;AI-generated content may be incorrect."/>
                    <pic:cNvPicPr/>
                  </pic:nvPicPr>
                  <pic:blipFill>
                    <a:blip r:embed="rId14"/>
                    <a:stretch>
                      <a:fillRect/>
                    </a:stretch>
                  </pic:blipFill>
                  <pic:spPr>
                    <a:xfrm>
                      <a:off x="0" y="0"/>
                      <a:ext cx="2191045" cy="1440000"/>
                    </a:xfrm>
                    <a:prstGeom prst="rect">
                      <a:avLst/>
                    </a:prstGeom>
                  </pic:spPr>
                </pic:pic>
              </a:graphicData>
            </a:graphic>
          </wp:inline>
        </w:drawing>
      </w:r>
    </w:p>
    <w:p w14:paraId="4B163E89" w14:textId="61C03FD7" w:rsidR="00232CB6" w:rsidRDefault="000926B2" w:rsidP="00ED70E0">
      <w:pPr>
        <w:pStyle w:val="CETCaption"/>
      </w:pPr>
      <w:r w:rsidRPr="005D0A9F">
        <w:t xml:space="preserve">Figure </w:t>
      </w:r>
      <w:r w:rsidR="00D41AF3">
        <w:t>3</w:t>
      </w:r>
      <w:r w:rsidRPr="005D0A9F">
        <w:t xml:space="preserve">. </w:t>
      </w:r>
      <w:r w:rsidR="001509C4">
        <w:t>Distribution of i</w:t>
      </w:r>
      <w:r w:rsidR="00C33EB9">
        <w:t xml:space="preserve">ncident </w:t>
      </w:r>
      <w:r w:rsidR="00C33EB9" w:rsidRPr="00ED70E0">
        <w:t>thermal</w:t>
      </w:r>
      <w:r w:rsidR="00C33EB9">
        <w:t xml:space="preserve"> radiation flux </w:t>
      </w:r>
      <w:r w:rsidR="001509C4">
        <w:t xml:space="preserve">on an exposed storage tank shell from (a) </w:t>
      </w:r>
      <w:r w:rsidR="00CB21DC">
        <w:t xml:space="preserve">a </w:t>
      </w:r>
      <w:r w:rsidR="001509C4">
        <w:t xml:space="preserve">vertical fire plume, </w:t>
      </w:r>
      <w:r w:rsidR="00761152">
        <w:t xml:space="preserve">and </w:t>
      </w:r>
      <w:r w:rsidR="001509C4">
        <w:t xml:space="preserve">(b) </w:t>
      </w:r>
      <w:r w:rsidR="00761152">
        <w:t xml:space="preserve">a </w:t>
      </w:r>
      <w:r w:rsidR="001509C4">
        <w:t>tilted fire plume, using the present method.</w:t>
      </w:r>
    </w:p>
    <w:p w14:paraId="0194A3EA" w14:textId="63193994" w:rsidR="00AF449C" w:rsidRDefault="0048460A" w:rsidP="00A01FC1">
      <w:pPr>
        <w:pStyle w:val="CETBodytext"/>
      </w:pPr>
      <w:r w:rsidRPr="0048460A">
        <w:t xml:space="preserve">The method described by Beyler (2016) </w:t>
      </w:r>
      <w:r w:rsidR="000C2290">
        <w:t>applies to</w:t>
      </w:r>
      <w:r w:rsidRPr="0048460A">
        <w:t xml:space="preserve"> vertical cylinder</w:t>
      </w:r>
      <w:r w:rsidR="000C2290">
        <w:t>s</w:t>
      </w:r>
      <w:r w:rsidRPr="0048460A">
        <w:t xml:space="preserve"> and calculates the view factor to a parallel target </w:t>
      </w:r>
      <w:r w:rsidR="00325F7C">
        <w:t xml:space="preserve">separately for each </w:t>
      </w:r>
      <w:r w:rsidRPr="0048460A">
        <w:t xml:space="preserve">portion of the cylinder </w:t>
      </w:r>
      <w:r w:rsidR="000C2290">
        <w:t>that fall</w:t>
      </w:r>
      <w:r w:rsidR="00325F7C">
        <w:t>s</w:t>
      </w:r>
      <w:r w:rsidR="000C2290">
        <w:t xml:space="preserve"> </w:t>
      </w:r>
      <w:r w:rsidRPr="0048460A">
        <w:t xml:space="preserve">below </w:t>
      </w:r>
      <w:r w:rsidR="00325F7C">
        <w:t xml:space="preserve">or </w:t>
      </w:r>
      <w:r w:rsidRPr="0048460A">
        <w:t xml:space="preserve">above the </w:t>
      </w:r>
      <w:r w:rsidR="003F75F1">
        <w:t>exposed element</w:t>
      </w:r>
      <w:r w:rsidRPr="0048460A">
        <w:t xml:space="preserve">. </w:t>
      </w:r>
      <w:r w:rsidR="002B2915">
        <w:t xml:space="preserve">For a vertical fire plume, </w:t>
      </w:r>
      <w:r w:rsidRPr="0048460A">
        <w:t xml:space="preserve">Figure 6 </w:t>
      </w:r>
      <w:r w:rsidR="002B2915">
        <w:t>illustrates</w:t>
      </w:r>
      <w:r w:rsidRPr="0048460A">
        <w:t xml:space="preserve"> a comparison </w:t>
      </w:r>
      <w:r w:rsidR="00AE79B8">
        <w:t xml:space="preserve">of results </w:t>
      </w:r>
      <w:r w:rsidR="00D26497">
        <w:t xml:space="preserve">for exposed segments at different elevations </w:t>
      </w:r>
      <w:r w:rsidR="00AE79B8">
        <w:t xml:space="preserve">at </w:t>
      </w:r>
      <w:r w:rsidR="00D26497">
        <w:t>various</w:t>
      </w:r>
      <w:r w:rsidR="00AE79B8">
        <w:t xml:space="preserve"> horizontal distance</w:t>
      </w:r>
      <w:r w:rsidR="00374D5B">
        <w:t xml:space="preserve">s, using </w:t>
      </w:r>
      <w:r w:rsidR="00C651F9">
        <w:t xml:space="preserve">both </w:t>
      </w:r>
      <w:r w:rsidRPr="0048460A">
        <w:t xml:space="preserve">the present method and the method described by Beyler (2016). The relative differences between the two methods are summarized in Table 1. </w:t>
      </w:r>
      <w:r w:rsidR="00504C2F">
        <w:t>T</w:t>
      </w:r>
      <w:r w:rsidRPr="0048460A">
        <w:t xml:space="preserve">he present method </w:t>
      </w:r>
      <w:r w:rsidR="00C651F9">
        <w:t>predicts</w:t>
      </w:r>
      <w:r w:rsidRPr="0048460A">
        <w:t xml:space="preserve"> slightly more </w:t>
      </w:r>
      <w:r w:rsidRPr="0048460A">
        <w:lastRenderedPageBreak/>
        <w:t>conservative incident radiation flux</w:t>
      </w:r>
      <w:r w:rsidR="00C651F9">
        <w:t xml:space="preserve"> values</w:t>
      </w:r>
      <w:r w:rsidRPr="0048460A">
        <w:t xml:space="preserve">, </w:t>
      </w:r>
      <w:r w:rsidR="00AF449C">
        <w:t>ranging</w:t>
      </w:r>
      <w:r w:rsidRPr="0048460A">
        <w:t xml:space="preserve"> </w:t>
      </w:r>
      <w:r w:rsidR="00AF449C">
        <w:t xml:space="preserve">from </w:t>
      </w:r>
      <w:r w:rsidRPr="0048460A">
        <w:t xml:space="preserve">13% and 30% higher </w:t>
      </w:r>
      <w:r w:rsidR="00AF449C">
        <w:t xml:space="preserve">values </w:t>
      </w:r>
      <w:r w:rsidRPr="0048460A">
        <w:t xml:space="preserve">compared to </w:t>
      </w:r>
      <w:r w:rsidR="00AF449C">
        <w:t xml:space="preserve">those obtained using </w:t>
      </w:r>
      <w:r w:rsidRPr="0048460A">
        <w:t xml:space="preserve">the method by Beyler. </w:t>
      </w:r>
      <w:r w:rsidR="00A514BE">
        <w:t>A</w:t>
      </w:r>
      <w:r w:rsidR="00463562">
        <w:t>ddition</w:t>
      </w:r>
      <w:r w:rsidR="00A514BE">
        <w:t>ally</w:t>
      </w:r>
      <w:r w:rsidR="00463562">
        <w:t>,</w:t>
      </w:r>
      <w:r w:rsidR="008A3D96">
        <w:t xml:space="preserve"> </w:t>
      </w:r>
      <w:r w:rsidR="002E6342">
        <w:t xml:space="preserve">a similar </w:t>
      </w:r>
      <w:r w:rsidR="00461C93">
        <w:t xml:space="preserve">impact </w:t>
      </w:r>
      <w:r w:rsidR="002E6342">
        <w:t xml:space="preserve">from </w:t>
      </w:r>
      <w:r w:rsidR="00461C93">
        <w:t xml:space="preserve">the </w:t>
      </w:r>
      <w:r w:rsidR="002E6342">
        <w:t xml:space="preserve">elevation of the </w:t>
      </w:r>
      <w:r w:rsidR="00461C93">
        <w:t>exposed segment on the total incident radiation</w:t>
      </w:r>
      <w:r w:rsidR="0083099E" w:rsidRPr="0083099E">
        <w:t xml:space="preserve"> </w:t>
      </w:r>
      <w:r w:rsidR="0083099E">
        <w:t>is observed</w:t>
      </w:r>
      <w:r w:rsidR="00504C2F">
        <w:t xml:space="preserve"> </w:t>
      </w:r>
      <w:r w:rsidR="0083099E">
        <w:t xml:space="preserve">(seen </w:t>
      </w:r>
      <w:r w:rsidR="00504C2F">
        <w:t>Figure 4</w:t>
      </w:r>
      <w:r w:rsidR="0083099E">
        <w:t>),</w:t>
      </w:r>
      <w:r w:rsidR="00504C2F">
        <w:t xml:space="preserve"> </w:t>
      </w:r>
      <w:r w:rsidR="001E09AB">
        <w:t xml:space="preserve">thus </w:t>
      </w:r>
      <w:r w:rsidR="00504C2F">
        <w:t>a good agreement is found</w:t>
      </w:r>
      <w:r w:rsidR="00D62B11" w:rsidRPr="00D62B11">
        <w:t xml:space="preserve"> </w:t>
      </w:r>
      <w:r w:rsidR="00D62B11">
        <w:t>with the resulting values using descriptions by Beyler</w:t>
      </w:r>
      <w:r w:rsidR="001E09AB">
        <w:t>.</w:t>
      </w:r>
      <w:r w:rsidR="0007445A">
        <w:t xml:space="preserve"> Note that this comparison cannot be </w:t>
      </w:r>
      <w:r w:rsidR="00BE2B50">
        <w:t>extended</w:t>
      </w:r>
      <w:r w:rsidR="0007445A">
        <w:t xml:space="preserve"> </w:t>
      </w:r>
      <w:r w:rsidR="00BE2B50">
        <w:t>to</w:t>
      </w:r>
      <w:r w:rsidR="0007445A">
        <w:t xml:space="preserve"> other </w:t>
      </w:r>
      <w:r w:rsidR="00067060">
        <w:t>segments</w:t>
      </w:r>
      <w:r w:rsidR="00BE2B50">
        <w:t xml:space="preserve">, as </w:t>
      </w:r>
      <w:r w:rsidR="00067060">
        <w:t>Beyler</w:t>
      </w:r>
      <w:r w:rsidR="00BE2B50">
        <w:t>’s method</w:t>
      </w:r>
      <w:r w:rsidR="00067060">
        <w:t xml:space="preserve"> </w:t>
      </w:r>
      <w:r w:rsidR="002E6342">
        <w:t>is not applicable to angled exposed surfaces.</w:t>
      </w:r>
    </w:p>
    <w:p w14:paraId="28629423" w14:textId="13DD8497" w:rsidR="0048460A" w:rsidRPr="0048460A" w:rsidRDefault="0045470A" w:rsidP="00A01FC1">
      <w:pPr>
        <w:pStyle w:val="CETBodytext"/>
      </w:pPr>
      <w:r>
        <w:t xml:space="preserve">For a tilted fire plume, </w:t>
      </w:r>
      <w:r w:rsidR="0048460A" w:rsidRPr="0048460A">
        <w:t xml:space="preserve">the results from the present method are compared </w:t>
      </w:r>
      <w:r w:rsidR="00C30C8E">
        <w:t>with</w:t>
      </w:r>
      <w:r>
        <w:t xml:space="preserve"> those from </w:t>
      </w:r>
      <w:r w:rsidR="0048460A" w:rsidRPr="0048460A">
        <w:t xml:space="preserve">consequence modelling in PHAST </w:t>
      </w:r>
      <w:r w:rsidR="00B16B1C">
        <w:t>under</w:t>
      </w:r>
      <w:r w:rsidR="0048460A" w:rsidRPr="0048460A">
        <w:t xml:space="preserve"> weather condition 1.5/F</w:t>
      </w:r>
      <w:r w:rsidR="00B60051" w:rsidRPr="00B60051">
        <w:t xml:space="preserve"> </w:t>
      </w:r>
      <w:r w:rsidR="00B16B1C">
        <w:t>and</w:t>
      </w:r>
      <w:r w:rsidR="00B60051">
        <w:t xml:space="preserve"> three </w:t>
      </w:r>
      <w:r w:rsidR="00B60051" w:rsidRPr="0048460A">
        <w:t>wind directions</w:t>
      </w:r>
      <w:r w:rsidR="007B5878">
        <w:t xml:space="preserve"> with respect to the </w:t>
      </w:r>
      <w:r w:rsidR="0060569D">
        <w:t xml:space="preserve">exposed tank: </w:t>
      </w:r>
      <w:r w:rsidR="00B16B1C">
        <w:t>downwind (DW)</w:t>
      </w:r>
      <w:r w:rsidR="00B55888">
        <w:t>, in crosswind (CW) and upwind (UW)</w:t>
      </w:r>
      <w:r w:rsidR="0048460A" w:rsidRPr="0048460A">
        <w:t xml:space="preserve">. </w:t>
      </w:r>
      <w:r w:rsidR="009937E2">
        <w:t>Since</w:t>
      </w:r>
      <w:r w:rsidR="0048460A" w:rsidRPr="0048460A">
        <w:t xml:space="preserve"> this</w:t>
      </w:r>
      <w:r w:rsidR="006501FA">
        <w:t xml:space="preserve"> [version of the]</w:t>
      </w:r>
      <w:r w:rsidR="0048460A" w:rsidRPr="0048460A">
        <w:t xml:space="preserve"> software does not have a dedicated substance for gasoline, n-octane is used</w:t>
      </w:r>
      <w:r w:rsidR="00AB430D">
        <w:t xml:space="preserve"> as a representative substance</w:t>
      </w:r>
      <w:r w:rsidR="0048460A" w:rsidRPr="0048460A">
        <w:t xml:space="preserve">. </w:t>
      </w:r>
      <w:r w:rsidR="00B60051">
        <w:t>A</w:t>
      </w:r>
      <w:r w:rsidR="0048460A" w:rsidRPr="0048460A">
        <w:t xml:space="preserve"> comparison of </w:t>
      </w:r>
      <w:r w:rsidR="00B60051">
        <w:t xml:space="preserve">relative difference between the </w:t>
      </w:r>
      <w:r w:rsidR="0048460A" w:rsidRPr="0048460A">
        <w:t xml:space="preserve">results is summarized in Table 2. </w:t>
      </w:r>
      <w:r w:rsidR="009937E2">
        <w:t>R</w:t>
      </w:r>
      <w:r w:rsidR="0048460A" w:rsidRPr="0048460A">
        <w:t xml:space="preserve">esults </w:t>
      </w:r>
      <w:r w:rsidR="006C2FD2">
        <w:t xml:space="preserve">from the present method </w:t>
      </w:r>
      <w:r w:rsidR="0048460A" w:rsidRPr="0048460A">
        <w:t xml:space="preserve">are </w:t>
      </w:r>
      <w:r w:rsidR="00B75080">
        <w:t xml:space="preserve">in fair agreement but generally smaller </w:t>
      </w:r>
      <w:r w:rsidR="009554EE">
        <w:t xml:space="preserve">than </w:t>
      </w:r>
      <w:r w:rsidR="0048460A" w:rsidRPr="0048460A">
        <w:t>th</w:t>
      </w:r>
      <w:r w:rsidR="00F97737">
        <w:t xml:space="preserve">ose </w:t>
      </w:r>
      <w:r w:rsidR="00CC69A2">
        <w:t xml:space="preserve">obtained </w:t>
      </w:r>
      <w:r w:rsidR="009554EE">
        <w:t>using</w:t>
      </w:r>
      <w:r w:rsidR="0048460A" w:rsidRPr="0048460A">
        <w:t xml:space="preserve"> PHAST</w:t>
      </w:r>
      <w:r w:rsidR="009554EE">
        <w:t xml:space="preserve">, </w:t>
      </w:r>
      <w:r w:rsidR="0095775C">
        <w:t xml:space="preserve">resulting in </w:t>
      </w:r>
      <w:r w:rsidR="009554EE">
        <w:t>a negative deviation in several cases</w:t>
      </w:r>
      <w:r w:rsidR="00F97737">
        <w:t>.</w:t>
      </w:r>
      <w:r w:rsidR="0048460A" w:rsidRPr="0048460A">
        <w:t xml:space="preserve"> </w:t>
      </w:r>
      <w:r w:rsidR="00F97737">
        <w:t>T</w:t>
      </w:r>
      <w:r w:rsidR="0048460A" w:rsidRPr="0048460A">
        <w:t>he</w:t>
      </w:r>
      <w:r w:rsidR="0095775C">
        <w:t>se</w:t>
      </w:r>
      <w:r w:rsidR="0048460A" w:rsidRPr="0048460A">
        <w:t xml:space="preserve"> deviations </w:t>
      </w:r>
      <w:r w:rsidR="00F97737">
        <w:t>can be</w:t>
      </w:r>
      <w:r w:rsidR="0048460A" w:rsidRPr="0048460A">
        <w:t xml:space="preserve"> </w:t>
      </w:r>
      <w:r w:rsidR="0095775C">
        <w:t xml:space="preserve">attributed to </w:t>
      </w:r>
      <w:r w:rsidR="0048460A" w:rsidRPr="0048460A">
        <w:t>different basic assumptions</w:t>
      </w:r>
      <w:r w:rsidR="006A2BA8">
        <w:t xml:space="preserve"> in the present method and the model in PHAST</w:t>
      </w:r>
      <w:r w:rsidR="0048460A" w:rsidRPr="0048460A">
        <w:t xml:space="preserve">, </w:t>
      </w:r>
      <w:r w:rsidR="00F57DD0">
        <w:t xml:space="preserve">such as </w:t>
      </w:r>
      <w:r w:rsidR="0048460A" w:rsidRPr="0048460A">
        <w:t xml:space="preserve">the burning characteristics of </w:t>
      </w:r>
      <w:r w:rsidR="00663656">
        <w:t>gasoline (and n-octane)</w:t>
      </w:r>
      <w:r w:rsidR="0048460A" w:rsidRPr="0048460A">
        <w:t xml:space="preserve">, </w:t>
      </w:r>
      <w:r w:rsidR="00663656">
        <w:t xml:space="preserve">as well as the implemented </w:t>
      </w:r>
      <w:r w:rsidR="0048460A" w:rsidRPr="0048460A">
        <w:t xml:space="preserve">correlations </w:t>
      </w:r>
      <w:r w:rsidR="0062718F">
        <w:t>for</w:t>
      </w:r>
      <w:r w:rsidR="0048460A" w:rsidRPr="0048460A">
        <w:t xml:space="preserve"> model</w:t>
      </w:r>
      <w:r w:rsidR="0062718F">
        <w:t>ling</w:t>
      </w:r>
      <w:r w:rsidR="0048460A" w:rsidRPr="0048460A">
        <w:t xml:space="preserve"> </w:t>
      </w:r>
      <w:r w:rsidR="0062718F">
        <w:t xml:space="preserve">a </w:t>
      </w:r>
      <w:r w:rsidR="0048460A" w:rsidRPr="0048460A">
        <w:t xml:space="preserve">tilted fire plume and atmospheric </w:t>
      </w:r>
      <w:r w:rsidR="00663656">
        <w:t>absorption</w:t>
      </w:r>
      <w:r w:rsidR="00DA4788">
        <w:t>.</w:t>
      </w:r>
      <w:r w:rsidR="0048460A" w:rsidRPr="0048460A">
        <w:t xml:space="preserve"> </w:t>
      </w:r>
      <w:r w:rsidR="00DA4788">
        <w:t>A variable SEP with height</w:t>
      </w:r>
      <w:r w:rsidR="0070697C">
        <w:t>,</w:t>
      </w:r>
      <w:r w:rsidR="00DA4788">
        <w:t xml:space="preserve"> which is not considered in PHAST (except </w:t>
      </w:r>
      <w:r w:rsidR="0070697C">
        <w:t xml:space="preserve">only </w:t>
      </w:r>
      <w:r w:rsidR="00DA4788">
        <w:t xml:space="preserve">for two zones) </w:t>
      </w:r>
      <w:r w:rsidR="00326336">
        <w:t xml:space="preserve">plays a role </w:t>
      </w:r>
      <w:r w:rsidR="00DA238D">
        <w:t xml:space="preserve">and </w:t>
      </w:r>
      <w:r w:rsidR="0048460A" w:rsidRPr="0048460A">
        <w:t>results in a higher incident radiation flux at lower segments of the exposed tank</w:t>
      </w:r>
      <w:r w:rsidR="00DA238D">
        <w:t xml:space="preserve"> using the present method</w:t>
      </w:r>
      <w:r w:rsidR="0048460A" w:rsidRPr="0048460A">
        <w:t>.</w:t>
      </w:r>
      <w:r w:rsidR="00DA238D">
        <w:t xml:space="preserve"> </w:t>
      </w:r>
    </w:p>
    <w:p w14:paraId="19CC052A" w14:textId="77777777" w:rsidR="0048460A" w:rsidRPr="0048460A" w:rsidRDefault="0048460A" w:rsidP="0048460A">
      <w:pPr>
        <w:pStyle w:val="CETBodytextItalic"/>
        <w:rPr>
          <w:i w:val="0"/>
          <w:iCs/>
        </w:rPr>
      </w:pPr>
    </w:p>
    <w:p w14:paraId="14B122B5" w14:textId="1F9ADBE4" w:rsidR="0075690B" w:rsidRDefault="0075690B" w:rsidP="006B6CAC">
      <w:pPr>
        <w:pStyle w:val="CETBodytextItalic"/>
      </w:pPr>
      <w:r w:rsidRPr="00B57B36">
        <w:t xml:space="preserve">Table </w:t>
      </w:r>
      <w:r w:rsidR="0059625A">
        <w:t>1</w:t>
      </w:r>
      <w:r w:rsidRPr="00B57B36">
        <w:t xml:space="preserve">: </w:t>
      </w:r>
      <w:r w:rsidR="003A6A72">
        <w:t>Relative d</w:t>
      </w:r>
      <w:r w:rsidR="00B87083">
        <w:t>ifferences</w:t>
      </w:r>
      <w:r w:rsidR="005356CA">
        <w:t xml:space="preserve"> </w:t>
      </w:r>
      <w:r w:rsidR="0060569D">
        <w:t xml:space="preserve">of </w:t>
      </w:r>
      <w:r w:rsidR="00B87083">
        <w:t xml:space="preserve">incident thermal radiation flux from a vertical fire plume </w:t>
      </w:r>
      <w:r w:rsidR="00302846">
        <w:t>using</w:t>
      </w:r>
      <w:r w:rsidR="005356CA">
        <w:t xml:space="preserve"> the </w:t>
      </w:r>
      <w:r w:rsidR="00217FEA">
        <w:t>present</w:t>
      </w:r>
      <w:r w:rsidR="005356CA">
        <w:t xml:space="preserve"> method and </w:t>
      </w:r>
      <w:r w:rsidR="00B87083">
        <w:t>the method described by Beyler (2016)</w:t>
      </w:r>
      <w:r w:rsidR="00E53060">
        <w:t>. Columns represent the horizontal distance.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38"/>
        <w:gridCol w:w="822"/>
        <w:gridCol w:w="822"/>
        <w:gridCol w:w="822"/>
        <w:gridCol w:w="822"/>
      </w:tblGrid>
      <w:tr w:rsidR="0062377C" w:rsidRPr="008C5CC3" w14:paraId="6B16A24B" w14:textId="77777777" w:rsidTr="00A37C4C">
        <w:trPr>
          <w:trHeight w:val="305"/>
        </w:trPr>
        <w:tc>
          <w:tcPr>
            <w:tcW w:w="2438" w:type="dxa"/>
            <w:tcBorders>
              <w:top w:val="single" w:sz="12" w:space="0" w:color="008000"/>
              <w:bottom w:val="single" w:sz="6" w:space="0" w:color="008000"/>
            </w:tcBorders>
            <w:shd w:val="clear" w:color="auto" w:fill="FFFFFF"/>
            <w:vAlign w:val="center"/>
          </w:tcPr>
          <w:p w14:paraId="379098D7" w14:textId="0A836684" w:rsidR="0062377C" w:rsidRPr="00E46D82" w:rsidRDefault="00A37C4C" w:rsidP="001125F5">
            <w:pPr>
              <w:pStyle w:val="CETBodytext"/>
              <w:jc w:val="left"/>
              <w:rPr>
                <w:b/>
                <w:bCs/>
              </w:rPr>
            </w:pPr>
            <w:r>
              <w:rPr>
                <w:b/>
                <w:bCs/>
              </w:rPr>
              <w:t>Segment on exposed tank</w:t>
            </w:r>
          </w:p>
        </w:tc>
        <w:tc>
          <w:tcPr>
            <w:tcW w:w="822" w:type="dxa"/>
            <w:tcBorders>
              <w:top w:val="single" w:sz="12" w:space="0" w:color="008000"/>
              <w:bottom w:val="single" w:sz="6" w:space="0" w:color="008000"/>
            </w:tcBorders>
            <w:shd w:val="clear" w:color="auto" w:fill="FFFFFF"/>
            <w:vAlign w:val="center"/>
          </w:tcPr>
          <w:p w14:paraId="41443258" w14:textId="4069B851" w:rsidR="0062377C" w:rsidRPr="008C5CC3" w:rsidRDefault="0062377C" w:rsidP="001125F5">
            <w:pPr>
              <w:pStyle w:val="CETBodytext"/>
              <w:jc w:val="left"/>
              <w:rPr>
                <w:b/>
                <w:bCs/>
              </w:rPr>
            </w:pPr>
            <w:r>
              <w:rPr>
                <w:b/>
                <w:bCs/>
              </w:rPr>
              <w:t>5 m</w:t>
            </w:r>
          </w:p>
        </w:tc>
        <w:tc>
          <w:tcPr>
            <w:tcW w:w="822" w:type="dxa"/>
            <w:tcBorders>
              <w:top w:val="single" w:sz="12" w:space="0" w:color="008000"/>
              <w:bottom w:val="single" w:sz="6" w:space="0" w:color="008000"/>
            </w:tcBorders>
            <w:shd w:val="clear" w:color="auto" w:fill="FFFFFF"/>
            <w:vAlign w:val="center"/>
          </w:tcPr>
          <w:p w14:paraId="704C2352" w14:textId="2F3B038B" w:rsidR="0062377C" w:rsidRPr="008C5CC3" w:rsidRDefault="0062377C" w:rsidP="001125F5">
            <w:pPr>
              <w:pStyle w:val="CETBodytext"/>
              <w:jc w:val="left"/>
              <w:rPr>
                <w:b/>
                <w:bCs/>
              </w:rPr>
            </w:pPr>
            <w:r>
              <w:rPr>
                <w:b/>
                <w:bCs/>
              </w:rPr>
              <w:t>10 m</w:t>
            </w:r>
          </w:p>
        </w:tc>
        <w:tc>
          <w:tcPr>
            <w:tcW w:w="822" w:type="dxa"/>
            <w:tcBorders>
              <w:top w:val="single" w:sz="12" w:space="0" w:color="008000"/>
              <w:bottom w:val="single" w:sz="6" w:space="0" w:color="008000"/>
            </w:tcBorders>
            <w:shd w:val="clear" w:color="auto" w:fill="FFFFFF"/>
            <w:vAlign w:val="center"/>
          </w:tcPr>
          <w:p w14:paraId="33F3FA53" w14:textId="781ED749" w:rsidR="0062377C" w:rsidRPr="008C5CC3" w:rsidRDefault="0062377C" w:rsidP="001125F5">
            <w:pPr>
              <w:pStyle w:val="CETBodytext"/>
              <w:jc w:val="left"/>
              <w:rPr>
                <w:b/>
                <w:bCs/>
              </w:rPr>
            </w:pPr>
            <w:r>
              <w:rPr>
                <w:b/>
                <w:bCs/>
              </w:rPr>
              <w:t>15 m</w:t>
            </w:r>
          </w:p>
        </w:tc>
        <w:tc>
          <w:tcPr>
            <w:tcW w:w="822" w:type="dxa"/>
            <w:tcBorders>
              <w:top w:val="single" w:sz="12" w:space="0" w:color="008000"/>
              <w:bottom w:val="single" w:sz="6" w:space="0" w:color="008000"/>
            </w:tcBorders>
            <w:shd w:val="clear" w:color="auto" w:fill="FFFFFF"/>
            <w:vAlign w:val="center"/>
          </w:tcPr>
          <w:p w14:paraId="31D70D9B" w14:textId="501D1953" w:rsidR="0062377C" w:rsidRPr="008C5CC3" w:rsidRDefault="0062377C" w:rsidP="001125F5">
            <w:pPr>
              <w:pStyle w:val="CETBodytext"/>
              <w:jc w:val="left"/>
              <w:rPr>
                <w:b/>
                <w:bCs/>
              </w:rPr>
            </w:pPr>
            <w:r>
              <w:rPr>
                <w:b/>
                <w:bCs/>
              </w:rPr>
              <w:t>20 m</w:t>
            </w:r>
          </w:p>
        </w:tc>
      </w:tr>
      <w:tr w:rsidR="006B6CAC" w:rsidRPr="001B0127" w14:paraId="1856746C" w14:textId="77777777" w:rsidTr="00A37C4C">
        <w:trPr>
          <w:trHeight w:val="340"/>
        </w:trPr>
        <w:tc>
          <w:tcPr>
            <w:tcW w:w="2438" w:type="dxa"/>
            <w:shd w:val="clear" w:color="auto" w:fill="FFFFFF"/>
            <w:vAlign w:val="center"/>
          </w:tcPr>
          <w:p w14:paraId="5E5D10A1" w14:textId="30BB88E0" w:rsidR="0015725B" w:rsidRPr="00B57B36" w:rsidRDefault="0015725B" w:rsidP="0015725B">
            <w:pPr>
              <w:pStyle w:val="CETBodytext"/>
              <w:jc w:val="left"/>
              <w:rPr>
                <w:lang w:val="en-GB"/>
              </w:rPr>
            </w:pPr>
            <w:r>
              <w:rPr>
                <w:lang w:val="en-GB"/>
              </w:rPr>
              <w:t>S1</w:t>
            </w:r>
          </w:p>
        </w:tc>
        <w:tc>
          <w:tcPr>
            <w:tcW w:w="822" w:type="dxa"/>
            <w:shd w:val="clear" w:color="auto" w:fill="FFFFFF"/>
          </w:tcPr>
          <w:p w14:paraId="3353D438" w14:textId="34AE40F6" w:rsidR="0015725B" w:rsidRPr="001B0127" w:rsidRDefault="0015725B" w:rsidP="0015725B">
            <w:pPr>
              <w:pStyle w:val="CETBodytext"/>
              <w:jc w:val="left"/>
              <w:rPr>
                <w:lang w:val="en-GB"/>
              </w:rPr>
            </w:pPr>
            <w:r w:rsidRPr="00B06AAC">
              <w:t>28%</w:t>
            </w:r>
          </w:p>
        </w:tc>
        <w:tc>
          <w:tcPr>
            <w:tcW w:w="822" w:type="dxa"/>
            <w:shd w:val="clear" w:color="auto" w:fill="FFFFFF"/>
          </w:tcPr>
          <w:p w14:paraId="3201391E" w14:textId="1BFF0046" w:rsidR="0015725B" w:rsidRPr="001B0127" w:rsidRDefault="0015725B" w:rsidP="0015725B">
            <w:pPr>
              <w:pStyle w:val="CETBodytext"/>
              <w:jc w:val="left"/>
              <w:rPr>
                <w:lang w:val="en-GB"/>
              </w:rPr>
            </w:pPr>
            <w:r w:rsidRPr="00B06AAC">
              <w:t>21%</w:t>
            </w:r>
          </w:p>
        </w:tc>
        <w:tc>
          <w:tcPr>
            <w:tcW w:w="822" w:type="dxa"/>
            <w:shd w:val="clear" w:color="auto" w:fill="FFFFFF"/>
          </w:tcPr>
          <w:p w14:paraId="73F90664" w14:textId="20BA4E48" w:rsidR="0015725B" w:rsidRPr="001B0127" w:rsidRDefault="0015725B" w:rsidP="0015725B">
            <w:pPr>
              <w:pStyle w:val="CETBodytext"/>
              <w:ind w:right="-1"/>
              <w:jc w:val="left"/>
              <w:rPr>
                <w:rFonts w:cs="Arial"/>
                <w:szCs w:val="18"/>
                <w:lang w:val="en-GB"/>
              </w:rPr>
            </w:pPr>
            <w:r w:rsidRPr="00B06AAC">
              <w:t>17%</w:t>
            </w:r>
          </w:p>
        </w:tc>
        <w:tc>
          <w:tcPr>
            <w:tcW w:w="822" w:type="dxa"/>
            <w:shd w:val="clear" w:color="auto" w:fill="FFFFFF"/>
          </w:tcPr>
          <w:p w14:paraId="33772A02" w14:textId="2659D342" w:rsidR="0015725B" w:rsidRPr="001B0127" w:rsidRDefault="0015725B" w:rsidP="0015725B">
            <w:pPr>
              <w:pStyle w:val="CETBodytext"/>
              <w:ind w:right="-1"/>
              <w:jc w:val="left"/>
              <w:rPr>
                <w:rFonts w:cs="Arial"/>
                <w:szCs w:val="18"/>
                <w:lang w:val="en-GB"/>
              </w:rPr>
            </w:pPr>
            <w:r w:rsidRPr="00B06AAC">
              <w:t>15%</w:t>
            </w:r>
          </w:p>
        </w:tc>
      </w:tr>
      <w:tr w:rsidR="006B6CAC" w:rsidRPr="009540C7" w14:paraId="0D8DC211" w14:textId="77777777" w:rsidTr="00A37C4C">
        <w:trPr>
          <w:trHeight w:val="340"/>
        </w:trPr>
        <w:tc>
          <w:tcPr>
            <w:tcW w:w="2438" w:type="dxa"/>
            <w:shd w:val="clear" w:color="auto" w:fill="FFFFFF"/>
            <w:vAlign w:val="center"/>
          </w:tcPr>
          <w:p w14:paraId="47BD1EFD" w14:textId="27DB360E" w:rsidR="0015725B" w:rsidRPr="00881C04" w:rsidRDefault="0015725B" w:rsidP="0015725B">
            <w:pPr>
              <w:pStyle w:val="CETBodytext"/>
              <w:ind w:right="-1"/>
              <w:jc w:val="left"/>
              <w:rPr>
                <w:rFonts w:cs="Arial"/>
                <w:color w:val="FF0000"/>
                <w:szCs w:val="18"/>
                <w:lang w:val="en-GB"/>
              </w:rPr>
            </w:pPr>
            <w:r>
              <w:rPr>
                <w:lang w:val="en-GB"/>
              </w:rPr>
              <w:t>S2</w:t>
            </w:r>
          </w:p>
        </w:tc>
        <w:tc>
          <w:tcPr>
            <w:tcW w:w="822" w:type="dxa"/>
            <w:shd w:val="clear" w:color="auto" w:fill="FFFFFF"/>
          </w:tcPr>
          <w:p w14:paraId="3D5A9BE3" w14:textId="5F0A602B" w:rsidR="0015725B" w:rsidRPr="00B57B36" w:rsidRDefault="0015725B" w:rsidP="0015725B">
            <w:pPr>
              <w:pStyle w:val="CETBodytext"/>
              <w:ind w:right="-1"/>
              <w:jc w:val="left"/>
              <w:rPr>
                <w:rFonts w:cs="Arial"/>
                <w:szCs w:val="18"/>
                <w:lang w:val="en-GB"/>
              </w:rPr>
            </w:pPr>
            <w:r w:rsidRPr="00B06AAC">
              <w:t>30%</w:t>
            </w:r>
          </w:p>
        </w:tc>
        <w:tc>
          <w:tcPr>
            <w:tcW w:w="822" w:type="dxa"/>
            <w:shd w:val="clear" w:color="auto" w:fill="FFFFFF"/>
          </w:tcPr>
          <w:p w14:paraId="581B3459" w14:textId="2C183F9E" w:rsidR="0015725B" w:rsidRPr="00B57B36" w:rsidRDefault="0015725B" w:rsidP="0015725B">
            <w:pPr>
              <w:pStyle w:val="CETBodytext"/>
              <w:ind w:right="-1"/>
              <w:jc w:val="left"/>
              <w:rPr>
                <w:rFonts w:cs="Arial"/>
                <w:szCs w:val="18"/>
                <w:lang w:val="en-GB"/>
              </w:rPr>
            </w:pPr>
            <w:r w:rsidRPr="00B06AAC">
              <w:t>22%</w:t>
            </w:r>
          </w:p>
        </w:tc>
        <w:tc>
          <w:tcPr>
            <w:tcW w:w="822" w:type="dxa"/>
            <w:shd w:val="clear" w:color="auto" w:fill="FFFFFF"/>
          </w:tcPr>
          <w:p w14:paraId="26B40EDA" w14:textId="394D5CC0" w:rsidR="0015725B" w:rsidRPr="00B57B36" w:rsidRDefault="0015725B" w:rsidP="0015725B">
            <w:pPr>
              <w:pStyle w:val="CETBodytext"/>
              <w:ind w:right="-1"/>
              <w:jc w:val="left"/>
              <w:rPr>
                <w:rFonts w:cs="Arial"/>
                <w:szCs w:val="18"/>
                <w:lang w:val="en-GB"/>
              </w:rPr>
            </w:pPr>
            <w:r w:rsidRPr="00B06AAC">
              <w:t>17%</w:t>
            </w:r>
          </w:p>
        </w:tc>
        <w:tc>
          <w:tcPr>
            <w:tcW w:w="822" w:type="dxa"/>
            <w:shd w:val="clear" w:color="auto" w:fill="FFFFFF"/>
          </w:tcPr>
          <w:p w14:paraId="64AA96D6" w14:textId="67EC0F1C" w:rsidR="0015725B" w:rsidRPr="00B57B36" w:rsidRDefault="0015725B" w:rsidP="0015725B">
            <w:pPr>
              <w:pStyle w:val="CETBodytext"/>
              <w:ind w:right="-1"/>
              <w:jc w:val="left"/>
              <w:rPr>
                <w:rFonts w:cs="Arial"/>
                <w:szCs w:val="18"/>
                <w:lang w:val="en-GB"/>
              </w:rPr>
            </w:pPr>
            <w:r w:rsidRPr="00B06AAC">
              <w:t>13%</w:t>
            </w:r>
          </w:p>
        </w:tc>
      </w:tr>
      <w:tr w:rsidR="006B6CAC" w14:paraId="359F4579" w14:textId="77777777" w:rsidTr="00A37C4C">
        <w:trPr>
          <w:trHeight w:val="340"/>
        </w:trPr>
        <w:tc>
          <w:tcPr>
            <w:tcW w:w="2438" w:type="dxa"/>
            <w:shd w:val="clear" w:color="auto" w:fill="FFFFFF"/>
            <w:vAlign w:val="center"/>
          </w:tcPr>
          <w:p w14:paraId="125ABF80" w14:textId="2EECB78F" w:rsidR="0015725B" w:rsidRDefault="0015725B" w:rsidP="0015725B">
            <w:pPr>
              <w:pStyle w:val="CETBodytext"/>
              <w:ind w:right="-1"/>
              <w:jc w:val="left"/>
              <w:rPr>
                <w:lang w:val="en-GB"/>
              </w:rPr>
            </w:pPr>
            <w:r>
              <w:rPr>
                <w:lang w:val="en-GB"/>
              </w:rPr>
              <w:t>S3</w:t>
            </w:r>
          </w:p>
        </w:tc>
        <w:tc>
          <w:tcPr>
            <w:tcW w:w="822" w:type="dxa"/>
            <w:shd w:val="clear" w:color="auto" w:fill="FFFFFF"/>
          </w:tcPr>
          <w:p w14:paraId="3E714341" w14:textId="660C8B72" w:rsidR="0015725B" w:rsidRDefault="0015725B" w:rsidP="0015725B">
            <w:pPr>
              <w:pStyle w:val="CETBodytext"/>
              <w:ind w:right="-1"/>
              <w:jc w:val="left"/>
              <w:rPr>
                <w:lang w:val="en-GB"/>
              </w:rPr>
            </w:pPr>
            <w:r w:rsidRPr="00B06AAC">
              <w:t>30%</w:t>
            </w:r>
          </w:p>
        </w:tc>
        <w:tc>
          <w:tcPr>
            <w:tcW w:w="822" w:type="dxa"/>
            <w:shd w:val="clear" w:color="auto" w:fill="FFFFFF"/>
          </w:tcPr>
          <w:p w14:paraId="1A2DDF78" w14:textId="0A4E924C" w:rsidR="0015725B" w:rsidRDefault="0015725B" w:rsidP="0015725B">
            <w:pPr>
              <w:pStyle w:val="CETBodytext"/>
              <w:ind w:right="-1"/>
              <w:jc w:val="left"/>
              <w:rPr>
                <w:lang w:val="en-GB"/>
              </w:rPr>
            </w:pPr>
            <w:r w:rsidRPr="00B06AAC">
              <w:t>22%</w:t>
            </w:r>
          </w:p>
        </w:tc>
        <w:tc>
          <w:tcPr>
            <w:tcW w:w="822" w:type="dxa"/>
            <w:shd w:val="clear" w:color="auto" w:fill="FFFFFF"/>
          </w:tcPr>
          <w:p w14:paraId="6CE2C3AD" w14:textId="034F2715" w:rsidR="0015725B" w:rsidRDefault="0015725B" w:rsidP="0015725B">
            <w:pPr>
              <w:pStyle w:val="CETBodytext"/>
              <w:ind w:right="-1"/>
              <w:jc w:val="left"/>
              <w:rPr>
                <w:rFonts w:cs="Arial"/>
                <w:szCs w:val="18"/>
                <w:lang w:val="en-GB"/>
              </w:rPr>
            </w:pPr>
            <w:r w:rsidRPr="00B06AAC">
              <w:t>19%</w:t>
            </w:r>
          </w:p>
        </w:tc>
        <w:tc>
          <w:tcPr>
            <w:tcW w:w="822" w:type="dxa"/>
            <w:shd w:val="clear" w:color="auto" w:fill="FFFFFF"/>
          </w:tcPr>
          <w:p w14:paraId="5279AFD2" w14:textId="0E9B1052" w:rsidR="0015725B" w:rsidRDefault="0015725B" w:rsidP="0015725B">
            <w:pPr>
              <w:pStyle w:val="CETBodytext"/>
              <w:ind w:right="-1"/>
              <w:jc w:val="left"/>
              <w:rPr>
                <w:rFonts w:cs="Arial"/>
                <w:szCs w:val="18"/>
                <w:lang w:val="en-GB"/>
              </w:rPr>
            </w:pPr>
            <w:r w:rsidRPr="00B06AAC">
              <w:t>13%</w:t>
            </w:r>
          </w:p>
        </w:tc>
      </w:tr>
      <w:tr w:rsidR="006B6CAC" w14:paraId="61D50475" w14:textId="77777777" w:rsidTr="00A37C4C">
        <w:trPr>
          <w:trHeight w:val="340"/>
        </w:trPr>
        <w:tc>
          <w:tcPr>
            <w:tcW w:w="2438" w:type="dxa"/>
            <w:shd w:val="clear" w:color="auto" w:fill="FFFFFF"/>
            <w:vAlign w:val="center"/>
          </w:tcPr>
          <w:p w14:paraId="3A390B00" w14:textId="34A7187B" w:rsidR="0015725B" w:rsidRDefault="0015725B" w:rsidP="0015725B">
            <w:pPr>
              <w:pStyle w:val="CETBodytext"/>
              <w:ind w:right="-1"/>
              <w:jc w:val="left"/>
              <w:rPr>
                <w:lang w:val="en-GB"/>
              </w:rPr>
            </w:pPr>
            <w:r>
              <w:rPr>
                <w:lang w:val="en-GB"/>
              </w:rPr>
              <w:t>S4</w:t>
            </w:r>
          </w:p>
        </w:tc>
        <w:tc>
          <w:tcPr>
            <w:tcW w:w="822" w:type="dxa"/>
            <w:shd w:val="clear" w:color="auto" w:fill="FFFFFF"/>
          </w:tcPr>
          <w:p w14:paraId="3967C2E3" w14:textId="6DCDDC66" w:rsidR="0015725B" w:rsidRDefault="0015725B" w:rsidP="0015725B">
            <w:pPr>
              <w:pStyle w:val="CETBodytext"/>
              <w:ind w:right="-1"/>
              <w:jc w:val="left"/>
              <w:rPr>
                <w:lang w:val="en-GB"/>
              </w:rPr>
            </w:pPr>
            <w:r w:rsidRPr="00B06AAC">
              <w:t>29%</w:t>
            </w:r>
          </w:p>
        </w:tc>
        <w:tc>
          <w:tcPr>
            <w:tcW w:w="822" w:type="dxa"/>
            <w:shd w:val="clear" w:color="auto" w:fill="FFFFFF"/>
          </w:tcPr>
          <w:p w14:paraId="5CAC47AB" w14:textId="0D8D3842" w:rsidR="0015725B" w:rsidRDefault="0015725B" w:rsidP="0015725B">
            <w:pPr>
              <w:pStyle w:val="CETBodytext"/>
              <w:ind w:right="-1"/>
              <w:jc w:val="left"/>
              <w:rPr>
                <w:lang w:val="en-GB"/>
              </w:rPr>
            </w:pPr>
            <w:r w:rsidRPr="00B06AAC">
              <w:t>22%</w:t>
            </w:r>
          </w:p>
        </w:tc>
        <w:tc>
          <w:tcPr>
            <w:tcW w:w="822" w:type="dxa"/>
            <w:shd w:val="clear" w:color="auto" w:fill="FFFFFF"/>
          </w:tcPr>
          <w:p w14:paraId="584656B8" w14:textId="7DB3F18C" w:rsidR="0015725B" w:rsidRDefault="0015725B" w:rsidP="0015725B">
            <w:pPr>
              <w:pStyle w:val="CETBodytext"/>
              <w:ind w:right="-1"/>
              <w:jc w:val="left"/>
              <w:rPr>
                <w:rFonts w:cs="Arial"/>
                <w:szCs w:val="18"/>
                <w:lang w:val="en-GB"/>
              </w:rPr>
            </w:pPr>
            <w:r w:rsidRPr="00B06AAC">
              <w:t>17%</w:t>
            </w:r>
          </w:p>
        </w:tc>
        <w:tc>
          <w:tcPr>
            <w:tcW w:w="822" w:type="dxa"/>
            <w:shd w:val="clear" w:color="auto" w:fill="FFFFFF"/>
          </w:tcPr>
          <w:p w14:paraId="1D79A464" w14:textId="7B468330" w:rsidR="0015725B" w:rsidRDefault="0015725B" w:rsidP="0015725B">
            <w:pPr>
              <w:pStyle w:val="CETBodytext"/>
              <w:ind w:right="-1"/>
              <w:jc w:val="left"/>
              <w:rPr>
                <w:rFonts w:cs="Arial"/>
                <w:szCs w:val="18"/>
                <w:lang w:val="en-GB"/>
              </w:rPr>
            </w:pPr>
            <w:r w:rsidRPr="00B06AAC">
              <w:t>13%</w:t>
            </w:r>
          </w:p>
        </w:tc>
      </w:tr>
      <w:tr w:rsidR="0015725B" w14:paraId="5FB433FE" w14:textId="77777777" w:rsidTr="00A37C4C">
        <w:trPr>
          <w:trHeight w:val="340"/>
        </w:trPr>
        <w:tc>
          <w:tcPr>
            <w:tcW w:w="2438" w:type="dxa"/>
            <w:shd w:val="clear" w:color="auto" w:fill="FFFFFF"/>
            <w:vAlign w:val="center"/>
          </w:tcPr>
          <w:p w14:paraId="2608C0C9" w14:textId="49C210ED" w:rsidR="0015725B" w:rsidRDefault="0015725B" w:rsidP="0015725B">
            <w:pPr>
              <w:pStyle w:val="CETBodytext"/>
              <w:ind w:right="-1"/>
              <w:jc w:val="left"/>
              <w:rPr>
                <w:lang w:val="en-GB"/>
              </w:rPr>
            </w:pPr>
            <w:r>
              <w:rPr>
                <w:lang w:val="en-GB"/>
              </w:rPr>
              <w:t>S5</w:t>
            </w:r>
          </w:p>
        </w:tc>
        <w:tc>
          <w:tcPr>
            <w:tcW w:w="822" w:type="dxa"/>
            <w:shd w:val="clear" w:color="auto" w:fill="FFFFFF"/>
          </w:tcPr>
          <w:p w14:paraId="38D8AEAB" w14:textId="5B23C80A" w:rsidR="0015725B" w:rsidRPr="001720E7" w:rsidRDefault="0015725B" w:rsidP="0015725B">
            <w:pPr>
              <w:pStyle w:val="CETBodytext"/>
              <w:ind w:right="-1"/>
              <w:jc w:val="left"/>
            </w:pPr>
            <w:r w:rsidRPr="00B06AAC">
              <w:t>26%</w:t>
            </w:r>
          </w:p>
        </w:tc>
        <w:tc>
          <w:tcPr>
            <w:tcW w:w="822" w:type="dxa"/>
            <w:shd w:val="clear" w:color="auto" w:fill="FFFFFF"/>
          </w:tcPr>
          <w:p w14:paraId="6BB1B32E" w14:textId="06BE0E5D" w:rsidR="0015725B" w:rsidRPr="001720E7" w:rsidRDefault="0015725B" w:rsidP="0015725B">
            <w:pPr>
              <w:pStyle w:val="CETBodytext"/>
              <w:ind w:right="-1"/>
              <w:jc w:val="left"/>
            </w:pPr>
            <w:r w:rsidRPr="00B06AAC">
              <w:t>20%</w:t>
            </w:r>
          </w:p>
        </w:tc>
        <w:tc>
          <w:tcPr>
            <w:tcW w:w="822" w:type="dxa"/>
            <w:shd w:val="clear" w:color="auto" w:fill="FFFFFF"/>
          </w:tcPr>
          <w:p w14:paraId="1B33DC7B" w14:textId="4439BA63" w:rsidR="0015725B" w:rsidRPr="001720E7" w:rsidRDefault="0015725B" w:rsidP="0015725B">
            <w:pPr>
              <w:pStyle w:val="CETBodytext"/>
              <w:ind w:right="-1"/>
              <w:jc w:val="left"/>
            </w:pPr>
            <w:r w:rsidRPr="00B06AAC">
              <w:t>16%</w:t>
            </w:r>
          </w:p>
        </w:tc>
        <w:tc>
          <w:tcPr>
            <w:tcW w:w="822" w:type="dxa"/>
            <w:shd w:val="clear" w:color="auto" w:fill="FFFFFF"/>
          </w:tcPr>
          <w:p w14:paraId="2F9E1C66" w14:textId="75B02F12" w:rsidR="0015725B" w:rsidRPr="001720E7" w:rsidRDefault="0015725B" w:rsidP="0015725B">
            <w:pPr>
              <w:pStyle w:val="CETBodytext"/>
              <w:ind w:right="-1"/>
              <w:jc w:val="left"/>
            </w:pPr>
            <w:r w:rsidRPr="00B06AAC">
              <w:t>14%</w:t>
            </w:r>
          </w:p>
        </w:tc>
      </w:tr>
    </w:tbl>
    <w:p w14:paraId="785DB428" w14:textId="3F7F6AFA" w:rsidR="0075690B" w:rsidRPr="00E53060" w:rsidRDefault="00D537F1" w:rsidP="006B6CAC">
      <w:pPr>
        <w:pStyle w:val="CETTabletitle"/>
      </w:pPr>
      <w:r w:rsidRPr="00B57B36">
        <w:t xml:space="preserve">Table </w:t>
      </w:r>
      <w:r w:rsidR="00287E86">
        <w:t>2</w:t>
      </w:r>
      <w:r w:rsidRPr="00B57B36">
        <w:t xml:space="preserve">: </w:t>
      </w:r>
      <w:r w:rsidR="007124DA">
        <w:t>Relative d</w:t>
      </w:r>
      <w:r w:rsidR="00C97C3B">
        <w:t xml:space="preserve">ifferences </w:t>
      </w:r>
      <w:r w:rsidR="00347404">
        <w:t>of</w:t>
      </w:r>
      <w:r w:rsidR="00C97C3B">
        <w:t xml:space="preserve"> incident thermal radiation flux from a </w:t>
      </w:r>
      <w:r w:rsidR="00217FEA">
        <w:t>tilted</w:t>
      </w:r>
      <w:r w:rsidR="00C97C3B">
        <w:t xml:space="preserve"> fire plume </w:t>
      </w:r>
      <w:r w:rsidR="003A6A72">
        <w:t>using</w:t>
      </w:r>
      <w:r w:rsidR="00C97C3B">
        <w:t xml:space="preserve"> the pre</w:t>
      </w:r>
      <w:r w:rsidR="00217FEA">
        <w:t>s</w:t>
      </w:r>
      <w:r w:rsidR="00C97C3B">
        <w:t xml:space="preserve">ent method and </w:t>
      </w:r>
      <w:r w:rsidR="00137FBD">
        <w:t>using</w:t>
      </w:r>
      <w:r>
        <w:t xml:space="preserve"> PHAST</w:t>
      </w:r>
      <w:r w:rsidR="00C423F9">
        <w:rPr>
          <w:vertAlign w:val="superscript"/>
        </w:rPr>
        <w:t>TM</w:t>
      </w:r>
      <w:r w:rsidR="00E53060">
        <w:t>.</w:t>
      </w:r>
      <w:r w:rsidR="00055122" w:rsidRPr="00055122">
        <w:t xml:space="preserve"> Columns represent the horizontal distance</w:t>
      </w:r>
      <w:r w:rsidR="00055122">
        <w:t xml:space="preserve"> and wind direction.</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97"/>
        <w:gridCol w:w="810"/>
        <w:gridCol w:w="810"/>
        <w:gridCol w:w="810"/>
        <w:gridCol w:w="810"/>
        <w:gridCol w:w="810"/>
        <w:gridCol w:w="810"/>
        <w:gridCol w:w="810"/>
        <w:gridCol w:w="810"/>
        <w:gridCol w:w="810"/>
      </w:tblGrid>
      <w:tr w:rsidR="006B6CAC" w:rsidRPr="00B57B36" w14:paraId="6822736B" w14:textId="77777777" w:rsidTr="006B6CAC">
        <w:trPr>
          <w:trHeight w:val="305"/>
        </w:trPr>
        <w:tc>
          <w:tcPr>
            <w:tcW w:w="851" w:type="pct"/>
            <w:tcBorders>
              <w:top w:val="single" w:sz="12" w:space="0" w:color="008000"/>
              <w:bottom w:val="single" w:sz="6" w:space="0" w:color="008000"/>
            </w:tcBorders>
            <w:shd w:val="clear" w:color="auto" w:fill="FFFFFF"/>
            <w:vAlign w:val="center"/>
          </w:tcPr>
          <w:p w14:paraId="5412C371" w14:textId="6D8145E7" w:rsidR="000173DE" w:rsidRPr="00E46D82" w:rsidRDefault="000173DE" w:rsidP="00C92CF0">
            <w:pPr>
              <w:pStyle w:val="CETBodytext"/>
              <w:jc w:val="left"/>
              <w:rPr>
                <w:b/>
                <w:bCs/>
              </w:rPr>
            </w:pPr>
            <w:r>
              <w:rPr>
                <w:b/>
                <w:bCs/>
              </w:rPr>
              <w:t>Segment</w:t>
            </w:r>
            <w:r w:rsidR="007124DA">
              <w:rPr>
                <w:b/>
                <w:bCs/>
              </w:rPr>
              <w:t xml:space="preserve"> on exposed tank</w:t>
            </w:r>
          </w:p>
        </w:tc>
        <w:tc>
          <w:tcPr>
            <w:tcW w:w="461" w:type="pct"/>
            <w:tcBorders>
              <w:top w:val="single" w:sz="12" w:space="0" w:color="008000"/>
              <w:bottom w:val="single" w:sz="6" w:space="0" w:color="008000"/>
            </w:tcBorders>
            <w:shd w:val="clear" w:color="auto" w:fill="FFFFFF"/>
            <w:vAlign w:val="center"/>
          </w:tcPr>
          <w:p w14:paraId="6EE0B65E" w14:textId="245D45B1" w:rsidR="000173DE" w:rsidRPr="008C5CC3" w:rsidRDefault="000173DE" w:rsidP="00C92CF0">
            <w:pPr>
              <w:pStyle w:val="CETBodytext"/>
              <w:jc w:val="left"/>
              <w:rPr>
                <w:b/>
                <w:bCs/>
              </w:rPr>
            </w:pPr>
            <w:r>
              <w:rPr>
                <w:b/>
                <w:bCs/>
              </w:rPr>
              <w:t>10 m (DW)</w:t>
            </w:r>
          </w:p>
        </w:tc>
        <w:tc>
          <w:tcPr>
            <w:tcW w:w="461" w:type="pct"/>
            <w:tcBorders>
              <w:top w:val="single" w:sz="12" w:space="0" w:color="008000"/>
              <w:bottom w:val="single" w:sz="6" w:space="0" w:color="008000"/>
            </w:tcBorders>
            <w:shd w:val="clear" w:color="auto" w:fill="FFFFFF"/>
            <w:vAlign w:val="center"/>
          </w:tcPr>
          <w:p w14:paraId="3DC118B4" w14:textId="258D6682" w:rsidR="000173DE" w:rsidRPr="008C5CC3" w:rsidRDefault="000173DE" w:rsidP="00C92CF0">
            <w:pPr>
              <w:pStyle w:val="CETBodytext"/>
              <w:jc w:val="left"/>
              <w:rPr>
                <w:b/>
                <w:bCs/>
              </w:rPr>
            </w:pPr>
            <w:r>
              <w:rPr>
                <w:b/>
                <w:bCs/>
              </w:rPr>
              <w:t>15 m (DW)</w:t>
            </w:r>
          </w:p>
        </w:tc>
        <w:tc>
          <w:tcPr>
            <w:tcW w:w="461" w:type="pct"/>
            <w:tcBorders>
              <w:top w:val="single" w:sz="12" w:space="0" w:color="008000"/>
              <w:bottom w:val="single" w:sz="6" w:space="0" w:color="008000"/>
            </w:tcBorders>
            <w:shd w:val="clear" w:color="auto" w:fill="FFFFFF"/>
            <w:vAlign w:val="center"/>
          </w:tcPr>
          <w:p w14:paraId="33DD823D" w14:textId="5FC68720" w:rsidR="000173DE" w:rsidRPr="008C5CC3" w:rsidRDefault="000173DE" w:rsidP="00C92CF0">
            <w:pPr>
              <w:pStyle w:val="CETBodytext"/>
              <w:jc w:val="left"/>
              <w:rPr>
                <w:b/>
                <w:bCs/>
              </w:rPr>
            </w:pPr>
            <w:r>
              <w:rPr>
                <w:b/>
                <w:bCs/>
              </w:rPr>
              <w:t>20 m (DW)</w:t>
            </w:r>
          </w:p>
        </w:tc>
        <w:tc>
          <w:tcPr>
            <w:tcW w:w="461" w:type="pct"/>
            <w:tcBorders>
              <w:top w:val="single" w:sz="12" w:space="0" w:color="008000"/>
              <w:bottom w:val="single" w:sz="6" w:space="0" w:color="008000"/>
            </w:tcBorders>
            <w:shd w:val="clear" w:color="auto" w:fill="FFFFFF"/>
            <w:vAlign w:val="center"/>
          </w:tcPr>
          <w:p w14:paraId="59F2F7ED" w14:textId="473937EF" w:rsidR="000173DE" w:rsidRDefault="000173DE" w:rsidP="00C92CF0">
            <w:pPr>
              <w:pStyle w:val="CETBodytext"/>
              <w:jc w:val="left"/>
              <w:rPr>
                <w:b/>
                <w:bCs/>
              </w:rPr>
            </w:pPr>
            <w:r>
              <w:rPr>
                <w:b/>
                <w:bCs/>
              </w:rPr>
              <w:t>10 m (CW)</w:t>
            </w:r>
          </w:p>
        </w:tc>
        <w:tc>
          <w:tcPr>
            <w:tcW w:w="461" w:type="pct"/>
            <w:tcBorders>
              <w:top w:val="single" w:sz="12" w:space="0" w:color="008000"/>
              <w:bottom w:val="single" w:sz="6" w:space="0" w:color="008000"/>
            </w:tcBorders>
            <w:shd w:val="clear" w:color="auto" w:fill="FFFFFF"/>
            <w:vAlign w:val="center"/>
          </w:tcPr>
          <w:p w14:paraId="7B349E4B" w14:textId="5AB00399" w:rsidR="000173DE" w:rsidRDefault="000173DE" w:rsidP="00C92CF0">
            <w:pPr>
              <w:pStyle w:val="CETBodytext"/>
              <w:jc w:val="left"/>
              <w:rPr>
                <w:b/>
                <w:bCs/>
              </w:rPr>
            </w:pPr>
            <w:r>
              <w:rPr>
                <w:b/>
                <w:bCs/>
              </w:rPr>
              <w:t>15 m (CW)</w:t>
            </w:r>
          </w:p>
        </w:tc>
        <w:tc>
          <w:tcPr>
            <w:tcW w:w="461" w:type="pct"/>
            <w:tcBorders>
              <w:top w:val="single" w:sz="12" w:space="0" w:color="008000"/>
              <w:bottom w:val="single" w:sz="6" w:space="0" w:color="008000"/>
            </w:tcBorders>
            <w:shd w:val="clear" w:color="auto" w:fill="FFFFFF"/>
            <w:vAlign w:val="center"/>
          </w:tcPr>
          <w:p w14:paraId="595906EF" w14:textId="0D93A321" w:rsidR="000173DE" w:rsidRDefault="000173DE" w:rsidP="00C92CF0">
            <w:pPr>
              <w:pStyle w:val="CETBodytext"/>
              <w:jc w:val="left"/>
              <w:rPr>
                <w:b/>
                <w:bCs/>
              </w:rPr>
            </w:pPr>
            <w:r>
              <w:rPr>
                <w:b/>
                <w:bCs/>
              </w:rPr>
              <w:t>20 m (CW)</w:t>
            </w:r>
          </w:p>
        </w:tc>
        <w:tc>
          <w:tcPr>
            <w:tcW w:w="461" w:type="pct"/>
            <w:tcBorders>
              <w:top w:val="single" w:sz="12" w:space="0" w:color="008000"/>
              <w:bottom w:val="single" w:sz="6" w:space="0" w:color="008000"/>
            </w:tcBorders>
            <w:shd w:val="clear" w:color="auto" w:fill="FFFFFF"/>
            <w:vAlign w:val="center"/>
          </w:tcPr>
          <w:p w14:paraId="1EE602BE" w14:textId="038446FF" w:rsidR="000173DE" w:rsidRDefault="000173DE" w:rsidP="00C92CF0">
            <w:pPr>
              <w:pStyle w:val="CETBodytext"/>
              <w:jc w:val="left"/>
              <w:rPr>
                <w:b/>
                <w:bCs/>
              </w:rPr>
            </w:pPr>
            <w:r>
              <w:rPr>
                <w:b/>
                <w:bCs/>
              </w:rPr>
              <w:t>10 m (UW)</w:t>
            </w:r>
          </w:p>
        </w:tc>
        <w:tc>
          <w:tcPr>
            <w:tcW w:w="461" w:type="pct"/>
            <w:tcBorders>
              <w:top w:val="single" w:sz="12" w:space="0" w:color="008000"/>
              <w:bottom w:val="single" w:sz="6" w:space="0" w:color="008000"/>
            </w:tcBorders>
            <w:shd w:val="clear" w:color="auto" w:fill="FFFFFF"/>
            <w:vAlign w:val="center"/>
          </w:tcPr>
          <w:p w14:paraId="03EB8DFA" w14:textId="5E4DBBD2" w:rsidR="000173DE" w:rsidRDefault="000173DE" w:rsidP="00C92CF0">
            <w:pPr>
              <w:pStyle w:val="CETBodytext"/>
              <w:jc w:val="left"/>
              <w:rPr>
                <w:b/>
                <w:bCs/>
              </w:rPr>
            </w:pPr>
            <w:r>
              <w:rPr>
                <w:b/>
                <w:bCs/>
              </w:rPr>
              <w:t>15 m (UW)</w:t>
            </w:r>
          </w:p>
        </w:tc>
        <w:tc>
          <w:tcPr>
            <w:tcW w:w="461" w:type="pct"/>
            <w:tcBorders>
              <w:top w:val="single" w:sz="12" w:space="0" w:color="008000"/>
              <w:bottom w:val="single" w:sz="6" w:space="0" w:color="008000"/>
            </w:tcBorders>
            <w:shd w:val="clear" w:color="auto" w:fill="FFFFFF"/>
            <w:vAlign w:val="center"/>
          </w:tcPr>
          <w:p w14:paraId="412A3C9C" w14:textId="5C6EFD00" w:rsidR="000173DE" w:rsidRDefault="000173DE" w:rsidP="00C92CF0">
            <w:pPr>
              <w:pStyle w:val="CETBodytext"/>
              <w:jc w:val="left"/>
              <w:rPr>
                <w:b/>
                <w:bCs/>
              </w:rPr>
            </w:pPr>
            <w:r>
              <w:rPr>
                <w:b/>
                <w:bCs/>
              </w:rPr>
              <w:t>20 m (UW)</w:t>
            </w:r>
          </w:p>
        </w:tc>
      </w:tr>
      <w:tr w:rsidR="006B6CAC" w:rsidRPr="00B57B36" w14:paraId="604B85CE" w14:textId="77777777" w:rsidTr="006B6CAC">
        <w:trPr>
          <w:trHeight w:val="340"/>
        </w:trPr>
        <w:tc>
          <w:tcPr>
            <w:tcW w:w="851" w:type="pct"/>
            <w:shd w:val="clear" w:color="auto" w:fill="FFFFFF"/>
            <w:vAlign w:val="center"/>
          </w:tcPr>
          <w:p w14:paraId="40DFD1DA" w14:textId="7268D87A" w:rsidR="00D87B02" w:rsidRPr="006B6CAC" w:rsidRDefault="00D87B02" w:rsidP="00D87B02">
            <w:pPr>
              <w:pStyle w:val="CETBodytext"/>
              <w:ind w:right="-1"/>
              <w:jc w:val="left"/>
              <w:rPr>
                <w:rFonts w:cs="Arial"/>
                <w:szCs w:val="18"/>
                <w:lang w:val="en-GB"/>
              </w:rPr>
            </w:pPr>
            <w:r w:rsidRPr="006B6CAC">
              <w:rPr>
                <w:rFonts w:cs="Arial"/>
                <w:szCs w:val="18"/>
                <w:lang w:val="en-GB"/>
              </w:rPr>
              <w:t>S1</w:t>
            </w:r>
          </w:p>
        </w:tc>
        <w:tc>
          <w:tcPr>
            <w:tcW w:w="461" w:type="pct"/>
            <w:shd w:val="clear" w:color="auto" w:fill="FFFFFF"/>
          </w:tcPr>
          <w:p w14:paraId="65827E78" w14:textId="4F3E36A9" w:rsidR="00D87B02" w:rsidRPr="00B57B36" w:rsidRDefault="00D87B02" w:rsidP="00D87B02">
            <w:pPr>
              <w:pStyle w:val="CETBodytext"/>
              <w:ind w:right="-1"/>
              <w:jc w:val="left"/>
              <w:rPr>
                <w:rFonts w:cs="Arial"/>
                <w:szCs w:val="18"/>
                <w:lang w:val="en-GB"/>
              </w:rPr>
            </w:pPr>
            <w:r w:rsidRPr="00D404EA">
              <w:t>-35%</w:t>
            </w:r>
          </w:p>
        </w:tc>
        <w:tc>
          <w:tcPr>
            <w:tcW w:w="461" w:type="pct"/>
            <w:shd w:val="clear" w:color="auto" w:fill="FFFFFF"/>
          </w:tcPr>
          <w:p w14:paraId="5A3ABF79" w14:textId="03CE67C2" w:rsidR="00D87B02" w:rsidRPr="00B57B36" w:rsidRDefault="00D87B02" w:rsidP="00D87B02">
            <w:pPr>
              <w:pStyle w:val="CETBodytext"/>
              <w:ind w:right="-1"/>
              <w:jc w:val="left"/>
              <w:rPr>
                <w:rFonts w:cs="Arial"/>
                <w:szCs w:val="18"/>
                <w:lang w:val="en-GB"/>
              </w:rPr>
            </w:pPr>
            <w:r w:rsidRPr="00BE7121">
              <w:t>-37%</w:t>
            </w:r>
          </w:p>
        </w:tc>
        <w:tc>
          <w:tcPr>
            <w:tcW w:w="461" w:type="pct"/>
            <w:shd w:val="clear" w:color="auto" w:fill="FFFFFF"/>
          </w:tcPr>
          <w:p w14:paraId="1AD064CB" w14:textId="7AFA15EA" w:rsidR="00D87B02" w:rsidRPr="00B57B36" w:rsidRDefault="00D87B02" w:rsidP="00D87B02">
            <w:pPr>
              <w:pStyle w:val="CETBodytext"/>
              <w:ind w:right="-1"/>
              <w:jc w:val="left"/>
              <w:rPr>
                <w:rFonts w:cs="Arial"/>
                <w:szCs w:val="18"/>
                <w:lang w:val="en-GB"/>
              </w:rPr>
            </w:pPr>
            <w:r w:rsidRPr="009C1235">
              <w:t>-33%</w:t>
            </w:r>
          </w:p>
        </w:tc>
        <w:tc>
          <w:tcPr>
            <w:tcW w:w="461" w:type="pct"/>
            <w:shd w:val="clear" w:color="auto" w:fill="FFFFFF"/>
          </w:tcPr>
          <w:p w14:paraId="2CA77384" w14:textId="5D67E494" w:rsidR="00D87B02" w:rsidRPr="00A7791D" w:rsidRDefault="00D87B02" w:rsidP="00D87B02">
            <w:pPr>
              <w:pStyle w:val="CETBodytext"/>
              <w:ind w:right="-1"/>
              <w:jc w:val="left"/>
            </w:pPr>
            <w:r w:rsidRPr="00383FD7">
              <w:t>-2%</w:t>
            </w:r>
          </w:p>
        </w:tc>
        <w:tc>
          <w:tcPr>
            <w:tcW w:w="461" w:type="pct"/>
            <w:shd w:val="clear" w:color="auto" w:fill="FFFFFF"/>
          </w:tcPr>
          <w:p w14:paraId="7D9A931F" w14:textId="6F207F87" w:rsidR="00D87B02" w:rsidRPr="00A7791D" w:rsidRDefault="00D87B02" w:rsidP="00D87B02">
            <w:pPr>
              <w:pStyle w:val="CETBodytext"/>
              <w:ind w:right="-1"/>
              <w:jc w:val="left"/>
            </w:pPr>
            <w:r w:rsidRPr="00EA5E76">
              <w:t>-17%</w:t>
            </w:r>
          </w:p>
        </w:tc>
        <w:tc>
          <w:tcPr>
            <w:tcW w:w="461" w:type="pct"/>
            <w:shd w:val="clear" w:color="auto" w:fill="FFFFFF"/>
          </w:tcPr>
          <w:p w14:paraId="6A5C3D2F" w14:textId="2646CE07" w:rsidR="00D87B02" w:rsidRPr="00A7791D" w:rsidRDefault="00D87B02" w:rsidP="00D87B02">
            <w:pPr>
              <w:pStyle w:val="CETBodytext"/>
              <w:ind w:right="-1"/>
              <w:jc w:val="left"/>
            </w:pPr>
            <w:r w:rsidRPr="005E0297">
              <w:t>-18%</w:t>
            </w:r>
          </w:p>
        </w:tc>
        <w:tc>
          <w:tcPr>
            <w:tcW w:w="461" w:type="pct"/>
            <w:shd w:val="clear" w:color="auto" w:fill="FFFFFF"/>
          </w:tcPr>
          <w:p w14:paraId="58866DCB" w14:textId="0C525153" w:rsidR="00D87B02" w:rsidRPr="00A7791D" w:rsidRDefault="00D87B02" w:rsidP="00D87B02">
            <w:pPr>
              <w:pStyle w:val="CETBodytext"/>
              <w:ind w:right="-1"/>
              <w:jc w:val="left"/>
            </w:pPr>
            <w:r w:rsidRPr="00A013C6">
              <w:t>27%</w:t>
            </w:r>
          </w:p>
        </w:tc>
        <w:tc>
          <w:tcPr>
            <w:tcW w:w="461" w:type="pct"/>
            <w:shd w:val="clear" w:color="auto" w:fill="FFFFFF"/>
          </w:tcPr>
          <w:p w14:paraId="3D429EF6" w14:textId="38FB4C8A" w:rsidR="00D87B02" w:rsidRPr="00A7791D" w:rsidRDefault="00D87B02" w:rsidP="00D87B02">
            <w:pPr>
              <w:pStyle w:val="CETBodytext"/>
              <w:ind w:right="-1"/>
              <w:jc w:val="left"/>
            </w:pPr>
            <w:r w:rsidRPr="00D00F52">
              <w:t>13%</w:t>
            </w:r>
          </w:p>
        </w:tc>
        <w:tc>
          <w:tcPr>
            <w:tcW w:w="461" w:type="pct"/>
            <w:shd w:val="clear" w:color="auto" w:fill="FFFFFF"/>
          </w:tcPr>
          <w:p w14:paraId="6404E67B" w14:textId="69271104" w:rsidR="00D87B02" w:rsidRPr="00A7791D" w:rsidRDefault="00D87B02" w:rsidP="00D87B02">
            <w:pPr>
              <w:pStyle w:val="CETBodytext"/>
              <w:ind w:right="-1"/>
              <w:jc w:val="left"/>
            </w:pPr>
            <w:r w:rsidRPr="002B7AEF">
              <w:t>7%</w:t>
            </w:r>
          </w:p>
        </w:tc>
      </w:tr>
      <w:tr w:rsidR="006B6CAC" w:rsidRPr="00B57B36" w14:paraId="07CA5438" w14:textId="77777777" w:rsidTr="006B6CAC">
        <w:trPr>
          <w:trHeight w:val="340"/>
        </w:trPr>
        <w:tc>
          <w:tcPr>
            <w:tcW w:w="851" w:type="pct"/>
            <w:shd w:val="clear" w:color="auto" w:fill="FFFFFF"/>
            <w:vAlign w:val="center"/>
          </w:tcPr>
          <w:p w14:paraId="107E7062" w14:textId="20BD3F87" w:rsidR="00D87B02" w:rsidRDefault="00D87B02" w:rsidP="00D87B02">
            <w:pPr>
              <w:pStyle w:val="CETBodytext"/>
              <w:ind w:right="-1"/>
              <w:jc w:val="left"/>
              <w:rPr>
                <w:lang w:val="en-GB"/>
              </w:rPr>
            </w:pPr>
            <w:r>
              <w:rPr>
                <w:lang w:val="en-GB"/>
              </w:rPr>
              <w:t>S2</w:t>
            </w:r>
          </w:p>
        </w:tc>
        <w:tc>
          <w:tcPr>
            <w:tcW w:w="461" w:type="pct"/>
            <w:shd w:val="clear" w:color="auto" w:fill="FFFFFF"/>
          </w:tcPr>
          <w:p w14:paraId="5DAA1686" w14:textId="20C3D3ED" w:rsidR="00D87B02" w:rsidRDefault="00D87B02" w:rsidP="00D87B02">
            <w:pPr>
              <w:pStyle w:val="CETBodytext"/>
              <w:ind w:right="-1"/>
              <w:jc w:val="left"/>
              <w:rPr>
                <w:lang w:val="en-GB"/>
              </w:rPr>
            </w:pPr>
            <w:r w:rsidRPr="00D404EA">
              <w:t>-34%</w:t>
            </w:r>
          </w:p>
        </w:tc>
        <w:tc>
          <w:tcPr>
            <w:tcW w:w="461" w:type="pct"/>
            <w:shd w:val="clear" w:color="auto" w:fill="FFFFFF"/>
          </w:tcPr>
          <w:p w14:paraId="612EF1FD" w14:textId="206F21D2" w:rsidR="00D87B02" w:rsidRDefault="00D87B02" w:rsidP="00D87B02">
            <w:pPr>
              <w:pStyle w:val="CETBodytext"/>
              <w:ind w:right="-1"/>
              <w:jc w:val="left"/>
              <w:rPr>
                <w:lang w:val="en-GB"/>
              </w:rPr>
            </w:pPr>
            <w:r w:rsidRPr="00BE7121">
              <w:t>-35%</w:t>
            </w:r>
          </w:p>
        </w:tc>
        <w:tc>
          <w:tcPr>
            <w:tcW w:w="461" w:type="pct"/>
            <w:shd w:val="clear" w:color="auto" w:fill="FFFFFF"/>
          </w:tcPr>
          <w:p w14:paraId="6106528C" w14:textId="6727B80D" w:rsidR="00D87B02" w:rsidRDefault="00D87B02" w:rsidP="00D87B02">
            <w:pPr>
              <w:pStyle w:val="CETBodytext"/>
              <w:ind w:right="-1"/>
              <w:jc w:val="left"/>
              <w:rPr>
                <w:rFonts w:cs="Arial"/>
                <w:szCs w:val="18"/>
                <w:lang w:val="en-GB"/>
              </w:rPr>
            </w:pPr>
            <w:r w:rsidRPr="009C1235">
              <w:t>-33%</w:t>
            </w:r>
          </w:p>
        </w:tc>
        <w:tc>
          <w:tcPr>
            <w:tcW w:w="461" w:type="pct"/>
            <w:shd w:val="clear" w:color="auto" w:fill="FFFFFF"/>
          </w:tcPr>
          <w:p w14:paraId="22D1E391" w14:textId="75B8F693" w:rsidR="00D87B02" w:rsidRPr="00A7791D" w:rsidRDefault="00D87B02" w:rsidP="00D87B02">
            <w:pPr>
              <w:pStyle w:val="CETBodytext"/>
              <w:ind w:right="-1"/>
              <w:jc w:val="left"/>
            </w:pPr>
            <w:r w:rsidRPr="00383FD7">
              <w:t>-9%</w:t>
            </w:r>
          </w:p>
        </w:tc>
        <w:tc>
          <w:tcPr>
            <w:tcW w:w="461" w:type="pct"/>
            <w:shd w:val="clear" w:color="auto" w:fill="FFFFFF"/>
          </w:tcPr>
          <w:p w14:paraId="023B1CE3" w14:textId="4CC94525" w:rsidR="00D87B02" w:rsidRPr="00A7791D" w:rsidRDefault="00D87B02" w:rsidP="00D87B02">
            <w:pPr>
              <w:pStyle w:val="CETBodytext"/>
              <w:ind w:right="-1"/>
              <w:jc w:val="left"/>
            </w:pPr>
            <w:r w:rsidRPr="00EA5E76">
              <w:t>-17%</w:t>
            </w:r>
          </w:p>
        </w:tc>
        <w:tc>
          <w:tcPr>
            <w:tcW w:w="461" w:type="pct"/>
            <w:shd w:val="clear" w:color="auto" w:fill="FFFFFF"/>
          </w:tcPr>
          <w:p w14:paraId="79BABCC8" w14:textId="055AAEAD" w:rsidR="00D87B02" w:rsidRPr="00A7791D" w:rsidRDefault="00D87B02" w:rsidP="00D87B02">
            <w:pPr>
              <w:pStyle w:val="CETBodytext"/>
              <w:ind w:right="-1"/>
              <w:jc w:val="left"/>
            </w:pPr>
            <w:r w:rsidRPr="005E0297">
              <w:t>-21%</w:t>
            </w:r>
          </w:p>
        </w:tc>
        <w:tc>
          <w:tcPr>
            <w:tcW w:w="461" w:type="pct"/>
            <w:shd w:val="clear" w:color="auto" w:fill="FFFFFF"/>
          </w:tcPr>
          <w:p w14:paraId="2756ED32" w14:textId="4D069280" w:rsidR="00D87B02" w:rsidRPr="00A7791D" w:rsidRDefault="00D87B02" w:rsidP="00D87B02">
            <w:pPr>
              <w:pStyle w:val="CETBodytext"/>
              <w:ind w:right="-1"/>
              <w:jc w:val="left"/>
            </w:pPr>
            <w:r w:rsidRPr="00A013C6">
              <w:t>14%</w:t>
            </w:r>
          </w:p>
        </w:tc>
        <w:tc>
          <w:tcPr>
            <w:tcW w:w="461" w:type="pct"/>
            <w:shd w:val="clear" w:color="auto" w:fill="FFFFFF"/>
          </w:tcPr>
          <w:p w14:paraId="7E7411F2" w14:textId="1BB41284" w:rsidR="00D87B02" w:rsidRPr="00A7791D" w:rsidRDefault="00D87B02" w:rsidP="00D87B02">
            <w:pPr>
              <w:pStyle w:val="CETBodytext"/>
              <w:ind w:right="-1"/>
              <w:jc w:val="left"/>
            </w:pPr>
            <w:r w:rsidRPr="00D00F52">
              <w:t>4%</w:t>
            </w:r>
          </w:p>
        </w:tc>
        <w:tc>
          <w:tcPr>
            <w:tcW w:w="461" w:type="pct"/>
            <w:shd w:val="clear" w:color="auto" w:fill="FFFFFF"/>
          </w:tcPr>
          <w:p w14:paraId="62CAC599" w14:textId="1AC4C0AA" w:rsidR="00D87B02" w:rsidRPr="00A7791D" w:rsidRDefault="00D87B02" w:rsidP="00D87B02">
            <w:pPr>
              <w:pStyle w:val="CETBodytext"/>
              <w:ind w:right="-1"/>
              <w:jc w:val="left"/>
            </w:pPr>
            <w:r w:rsidRPr="002B7AEF">
              <w:t>0%</w:t>
            </w:r>
          </w:p>
        </w:tc>
      </w:tr>
      <w:tr w:rsidR="006B6CAC" w:rsidRPr="00B57B36" w14:paraId="0A5C1FEF" w14:textId="77777777" w:rsidTr="006B6CAC">
        <w:trPr>
          <w:trHeight w:val="340"/>
        </w:trPr>
        <w:tc>
          <w:tcPr>
            <w:tcW w:w="851" w:type="pct"/>
            <w:shd w:val="clear" w:color="auto" w:fill="FFFFFF"/>
            <w:vAlign w:val="center"/>
          </w:tcPr>
          <w:p w14:paraId="3F981381" w14:textId="78F19601" w:rsidR="00D87B02" w:rsidRDefault="00D87B02" w:rsidP="00D87B02">
            <w:pPr>
              <w:pStyle w:val="CETBodytext"/>
              <w:ind w:right="-1"/>
              <w:jc w:val="left"/>
              <w:rPr>
                <w:lang w:val="en-GB"/>
              </w:rPr>
            </w:pPr>
            <w:r>
              <w:rPr>
                <w:lang w:val="en-GB"/>
              </w:rPr>
              <w:t>S3</w:t>
            </w:r>
          </w:p>
        </w:tc>
        <w:tc>
          <w:tcPr>
            <w:tcW w:w="461" w:type="pct"/>
            <w:shd w:val="clear" w:color="auto" w:fill="FFFFFF"/>
          </w:tcPr>
          <w:p w14:paraId="48310B10" w14:textId="13A5FF78" w:rsidR="00D87B02" w:rsidRDefault="00D87B02" w:rsidP="00D87B02">
            <w:pPr>
              <w:pStyle w:val="CETBodytext"/>
              <w:ind w:right="-1"/>
              <w:jc w:val="left"/>
              <w:rPr>
                <w:lang w:val="en-GB"/>
              </w:rPr>
            </w:pPr>
            <w:r w:rsidRPr="00D404EA">
              <w:t>-37%</w:t>
            </w:r>
          </w:p>
        </w:tc>
        <w:tc>
          <w:tcPr>
            <w:tcW w:w="461" w:type="pct"/>
            <w:shd w:val="clear" w:color="auto" w:fill="FFFFFF"/>
          </w:tcPr>
          <w:p w14:paraId="1C823E6E" w14:textId="62712C6F" w:rsidR="00D87B02" w:rsidRDefault="00D87B02" w:rsidP="00D87B02">
            <w:pPr>
              <w:pStyle w:val="CETBodytext"/>
              <w:ind w:right="-1"/>
              <w:jc w:val="left"/>
              <w:rPr>
                <w:lang w:val="en-GB"/>
              </w:rPr>
            </w:pPr>
            <w:r w:rsidRPr="00BE7121">
              <w:t>-33%</w:t>
            </w:r>
          </w:p>
        </w:tc>
        <w:tc>
          <w:tcPr>
            <w:tcW w:w="461" w:type="pct"/>
            <w:shd w:val="clear" w:color="auto" w:fill="FFFFFF"/>
          </w:tcPr>
          <w:p w14:paraId="4BA1BEBA" w14:textId="79CCC946" w:rsidR="00D87B02" w:rsidRDefault="00D87B02" w:rsidP="00D87B02">
            <w:pPr>
              <w:pStyle w:val="CETBodytext"/>
              <w:ind w:right="-1"/>
              <w:jc w:val="left"/>
              <w:rPr>
                <w:rFonts w:cs="Arial"/>
                <w:szCs w:val="18"/>
                <w:lang w:val="en-GB"/>
              </w:rPr>
            </w:pPr>
            <w:r w:rsidRPr="009C1235">
              <w:t>-30%</w:t>
            </w:r>
          </w:p>
        </w:tc>
        <w:tc>
          <w:tcPr>
            <w:tcW w:w="461" w:type="pct"/>
            <w:shd w:val="clear" w:color="auto" w:fill="FFFFFF"/>
          </w:tcPr>
          <w:p w14:paraId="4718D6BF" w14:textId="53D86C6C" w:rsidR="00D87B02" w:rsidRPr="00A7791D" w:rsidRDefault="00D87B02" w:rsidP="00D87B02">
            <w:pPr>
              <w:pStyle w:val="CETBodytext"/>
              <w:ind w:right="-1"/>
              <w:jc w:val="left"/>
            </w:pPr>
            <w:r w:rsidRPr="00383FD7">
              <w:t>-17%</w:t>
            </w:r>
          </w:p>
        </w:tc>
        <w:tc>
          <w:tcPr>
            <w:tcW w:w="461" w:type="pct"/>
            <w:shd w:val="clear" w:color="auto" w:fill="FFFFFF"/>
          </w:tcPr>
          <w:p w14:paraId="7318900B" w14:textId="606E73E2" w:rsidR="00D87B02" w:rsidRPr="00A7791D" w:rsidRDefault="00D87B02" w:rsidP="00D87B02">
            <w:pPr>
              <w:pStyle w:val="CETBodytext"/>
              <w:ind w:right="-1"/>
              <w:jc w:val="left"/>
            </w:pPr>
            <w:r w:rsidRPr="00EA5E76">
              <w:t>-20%</w:t>
            </w:r>
          </w:p>
        </w:tc>
        <w:tc>
          <w:tcPr>
            <w:tcW w:w="461" w:type="pct"/>
            <w:shd w:val="clear" w:color="auto" w:fill="FFFFFF"/>
          </w:tcPr>
          <w:p w14:paraId="0D56D266" w14:textId="02EBC4F2" w:rsidR="00D87B02" w:rsidRPr="00A7791D" w:rsidRDefault="00D87B02" w:rsidP="00D87B02">
            <w:pPr>
              <w:pStyle w:val="CETBodytext"/>
              <w:ind w:right="-1"/>
              <w:jc w:val="left"/>
            </w:pPr>
            <w:r w:rsidRPr="005E0297">
              <w:t>-25%</w:t>
            </w:r>
          </w:p>
        </w:tc>
        <w:tc>
          <w:tcPr>
            <w:tcW w:w="461" w:type="pct"/>
            <w:shd w:val="clear" w:color="auto" w:fill="FFFFFF"/>
          </w:tcPr>
          <w:p w14:paraId="3C05638D" w14:textId="102F1EEE" w:rsidR="00D87B02" w:rsidRPr="00A7791D" w:rsidRDefault="00D87B02" w:rsidP="00D87B02">
            <w:pPr>
              <w:pStyle w:val="CETBodytext"/>
              <w:ind w:right="-1"/>
              <w:jc w:val="left"/>
            </w:pPr>
            <w:r w:rsidRPr="00A013C6">
              <w:t>4%</w:t>
            </w:r>
          </w:p>
        </w:tc>
        <w:tc>
          <w:tcPr>
            <w:tcW w:w="461" w:type="pct"/>
            <w:shd w:val="clear" w:color="auto" w:fill="FFFFFF"/>
          </w:tcPr>
          <w:p w14:paraId="01C27555" w14:textId="66371743" w:rsidR="00D87B02" w:rsidRPr="00A7791D" w:rsidRDefault="00D87B02" w:rsidP="00D87B02">
            <w:pPr>
              <w:pStyle w:val="CETBodytext"/>
              <w:ind w:right="-1"/>
              <w:jc w:val="left"/>
            </w:pPr>
            <w:r w:rsidRPr="00D00F52">
              <w:t>-4%</w:t>
            </w:r>
          </w:p>
        </w:tc>
        <w:tc>
          <w:tcPr>
            <w:tcW w:w="461" w:type="pct"/>
            <w:shd w:val="clear" w:color="auto" w:fill="FFFFFF"/>
          </w:tcPr>
          <w:p w14:paraId="6D5B49A2" w14:textId="091FF70E" w:rsidR="00D87B02" w:rsidRPr="00A7791D" w:rsidRDefault="00D87B02" w:rsidP="00D87B02">
            <w:pPr>
              <w:pStyle w:val="CETBodytext"/>
              <w:ind w:right="-1"/>
              <w:jc w:val="left"/>
            </w:pPr>
            <w:r w:rsidRPr="002B7AEF">
              <w:t>-6%</w:t>
            </w:r>
          </w:p>
        </w:tc>
      </w:tr>
      <w:tr w:rsidR="006B6CAC" w:rsidRPr="00B57B36" w14:paraId="1CCD9740" w14:textId="77777777" w:rsidTr="006B6CAC">
        <w:trPr>
          <w:trHeight w:val="340"/>
        </w:trPr>
        <w:tc>
          <w:tcPr>
            <w:tcW w:w="851" w:type="pct"/>
            <w:shd w:val="clear" w:color="auto" w:fill="FFFFFF"/>
            <w:vAlign w:val="center"/>
          </w:tcPr>
          <w:p w14:paraId="76F79616" w14:textId="1271570A" w:rsidR="00D87B02" w:rsidRDefault="00D87B02" w:rsidP="00D87B02">
            <w:pPr>
              <w:pStyle w:val="CETBodytext"/>
              <w:ind w:right="-1"/>
              <w:jc w:val="left"/>
              <w:rPr>
                <w:lang w:val="en-GB"/>
              </w:rPr>
            </w:pPr>
            <w:r>
              <w:rPr>
                <w:lang w:val="en-GB"/>
              </w:rPr>
              <w:t>S4</w:t>
            </w:r>
          </w:p>
        </w:tc>
        <w:tc>
          <w:tcPr>
            <w:tcW w:w="461" w:type="pct"/>
            <w:shd w:val="clear" w:color="auto" w:fill="FFFFFF"/>
          </w:tcPr>
          <w:p w14:paraId="1345D357" w14:textId="6246664C" w:rsidR="00D87B02" w:rsidRPr="001720E7" w:rsidRDefault="00D87B02" w:rsidP="00D87B02">
            <w:pPr>
              <w:pStyle w:val="CETBodytext"/>
              <w:ind w:right="-1"/>
              <w:jc w:val="left"/>
            </w:pPr>
            <w:r w:rsidRPr="00D404EA">
              <w:t>-41%</w:t>
            </w:r>
          </w:p>
        </w:tc>
        <w:tc>
          <w:tcPr>
            <w:tcW w:w="461" w:type="pct"/>
            <w:shd w:val="clear" w:color="auto" w:fill="FFFFFF"/>
          </w:tcPr>
          <w:p w14:paraId="78C96221" w14:textId="2AC2928A" w:rsidR="00D87B02" w:rsidRPr="001720E7" w:rsidRDefault="00D87B02" w:rsidP="00D87B02">
            <w:pPr>
              <w:pStyle w:val="CETBodytext"/>
              <w:ind w:right="-1"/>
              <w:jc w:val="left"/>
            </w:pPr>
            <w:r w:rsidRPr="00BE7121">
              <w:t>-34%</w:t>
            </w:r>
          </w:p>
        </w:tc>
        <w:tc>
          <w:tcPr>
            <w:tcW w:w="461" w:type="pct"/>
            <w:shd w:val="clear" w:color="auto" w:fill="FFFFFF"/>
          </w:tcPr>
          <w:p w14:paraId="60C68EA9" w14:textId="40527A9D" w:rsidR="00D87B02" w:rsidRPr="001720E7" w:rsidRDefault="00D87B02" w:rsidP="00D87B02">
            <w:pPr>
              <w:pStyle w:val="CETBodytext"/>
              <w:ind w:right="-1"/>
              <w:jc w:val="left"/>
            </w:pPr>
            <w:r w:rsidRPr="009C1235">
              <w:t>-33%</w:t>
            </w:r>
          </w:p>
        </w:tc>
        <w:tc>
          <w:tcPr>
            <w:tcW w:w="461" w:type="pct"/>
            <w:shd w:val="clear" w:color="auto" w:fill="FFFFFF"/>
          </w:tcPr>
          <w:p w14:paraId="691D2BD7" w14:textId="30C4515D" w:rsidR="00D87B02" w:rsidRPr="00A7791D" w:rsidRDefault="00D87B02" w:rsidP="00D87B02">
            <w:pPr>
              <w:pStyle w:val="CETBodytext"/>
              <w:ind w:right="-1"/>
              <w:jc w:val="left"/>
            </w:pPr>
            <w:r w:rsidRPr="00383FD7">
              <w:t>-25%</w:t>
            </w:r>
          </w:p>
        </w:tc>
        <w:tc>
          <w:tcPr>
            <w:tcW w:w="461" w:type="pct"/>
            <w:shd w:val="clear" w:color="auto" w:fill="FFFFFF"/>
          </w:tcPr>
          <w:p w14:paraId="2CD062EF" w14:textId="08607DF8" w:rsidR="00D87B02" w:rsidRPr="00A7791D" w:rsidRDefault="00D87B02" w:rsidP="00D87B02">
            <w:pPr>
              <w:pStyle w:val="CETBodytext"/>
              <w:ind w:right="-1"/>
              <w:jc w:val="left"/>
            </w:pPr>
            <w:r w:rsidRPr="00EA5E76">
              <w:t>-22%</w:t>
            </w:r>
          </w:p>
        </w:tc>
        <w:tc>
          <w:tcPr>
            <w:tcW w:w="461" w:type="pct"/>
            <w:shd w:val="clear" w:color="auto" w:fill="FFFFFF"/>
          </w:tcPr>
          <w:p w14:paraId="364CEA10" w14:textId="29EF1DD4" w:rsidR="00D87B02" w:rsidRPr="00A7791D" w:rsidRDefault="00D87B02" w:rsidP="00D87B02">
            <w:pPr>
              <w:pStyle w:val="CETBodytext"/>
              <w:ind w:right="-1"/>
              <w:jc w:val="left"/>
            </w:pPr>
            <w:r w:rsidRPr="005E0297">
              <w:t>-25%</w:t>
            </w:r>
          </w:p>
        </w:tc>
        <w:tc>
          <w:tcPr>
            <w:tcW w:w="461" w:type="pct"/>
            <w:shd w:val="clear" w:color="auto" w:fill="FFFFFF"/>
          </w:tcPr>
          <w:p w14:paraId="295EDE69" w14:textId="7AC24F8C" w:rsidR="00D87B02" w:rsidRPr="00A7791D" w:rsidRDefault="00D87B02" w:rsidP="00D87B02">
            <w:pPr>
              <w:pStyle w:val="CETBodytext"/>
              <w:ind w:right="-1"/>
              <w:jc w:val="left"/>
            </w:pPr>
            <w:r w:rsidRPr="00A013C6">
              <w:t>-9%</w:t>
            </w:r>
          </w:p>
        </w:tc>
        <w:tc>
          <w:tcPr>
            <w:tcW w:w="461" w:type="pct"/>
            <w:shd w:val="clear" w:color="auto" w:fill="FFFFFF"/>
          </w:tcPr>
          <w:p w14:paraId="6582AA6F" w14:textId="6A843FDA" w:rsidR="00D87B02" w:rsidRPr="00A7791D" w:rsidRDefault="00D87B02" w:rsidP="00D87B02">
            <w:pPr>
              <w:pStyle w:val="CETBodytext"/>
              <w:ind w:right="-1"/>
              <w:jc w:val="left"/>
            </w:pPr>
            <w:r w:rsidRPr="00D00F52">
              <w:t>-7%</w:t>
            </w:r>
          </w:p>
        </w:tc>
        <w:tc>
          <w:tcPr>
            <w:tcW w:w="461" w:type="pct"/>
            <w:shd w:val="clear" w:color="auto" w:fill="FFFFFF"/>
          </w:tcPr>
          <w:p w14:paraId="003DC59A" w14:textId="2A557787" w:rsidR="00D87B02" w:rsidRPr="00A7791D" w:rsidRDefault="00D87B02" w:rsidP="00D87B02">
            <w:pPr>
              <w:pStyle w:val="CETBodytext"/>
              <w:ind w:right="-1"/>
              <w:jc w:val="left"/>
            </w:pPr>
            <w:r w:rsidRPr="002B7AEF">
              <w:t>-6%</w:t>
            </w:r>
          </w:p>
        </w:tc>
      </w:tr>
      <w:tr w:rsidR="006B6CAC" w:rsidRPr="00B57B36" w14:paraId="487364E7" w14:textId="77777777" w:rsidTr="006B6CAC">
        <w:trPr>
          <w:trHeight w:val="340"/>
        </w:trPr>
        <w:tc>
          <w:tcPr>
            <w:tcW w:w="851" w:type="pct"/>
            <w:shd w:val="clear" w:color="auto" w:fill="FFFFFF"/>
            <w:vAlign w:val="center"/>
          </w:tcPr>
          <w:p w14:paraId="539C5A48" w14:textId="6835F1BA" w:rsidR="00D87B02" w:rsidRDefault="00D87B02" w:rsidP="00D87B02">
            <w:pPr>
              <w:pStyle w:val="CETBodytext"/>
              <w:ind w:right="-1"/>
              <w:jc w:val="left"/>
              <w:rPr>
                <w:lang w:val="en-GB"/>
              </w:rPr>
            </w:pPr>
            <w:r>
              <w:rPr>
                <w:lang w:val="en-GB"/>
              </w:rPr>
              <w:t>S5</w:t>
            </w:r>
          </w:p>
        </w:tc>
        <w:tc>
          <w:tcPr>
            <w:tcW w:w="461" w:type="pct"/>
            <w:shd w:val="clear" w:color="auto" w:fill="FFFFFF"/>
          </w:tcPr>
          <w:p w14:paraId="30404E21" w14:textId="41CF6B4B" w:rsidR="00D87B02" w:rsidRPr="001720E7" w:rsidRDefault="00D87B02" w:rsidP="00D87B02">
            <w:pPr>
              <w:pStyle w:val="CETBodytext"/>
              <w:ind w:right="-1"/>
              <w:jc w:val="left"/>
            </w:pPr>
            <w:r w:rsidRPr="00D404EA">
              <w:t>-49%</w:t>
            </w:r>
          </w:p>
        </w:tc>
        <w:tc>
          <w:tcPr>
            <w:tcW w:w="461" w:type="pct"/>
            <w:shd w:val="clear" w:color="auto" w:fill="FFFFFF"/>
          </w:tcPr>
          <w:p w14:paraId="2E0216E4" w14:textId="057C8769" w:rsidR="00D87B02" w:rsidRPr="001720E7" w:rsidRDefault="00D87B02" w:rsidP="00D87B02">
            <w:pPr>
              <w:pStyle w:val="CETBodytext"/>
              <w:ind w:right="-1"/>
              <w:jc w:val="left"/>
            </w:pPr>
            <w:r w:rsidRPr="00BE7121">
              <w:t>-34%</w:t>
            </w:r>
          </w:p>
        </w:tc>
        <w:tc>
          <w:tcPr>
            <w:tcW w:w="461" w:type="pct"/>
            <w:shd w:val="clear" w:color="auto" w:fill="FFFFFF"/>
          </w:tcPr>
          <w:p w14:paraId="2134E692" w14:textId="3736C05D" w:rsidR="00D87B02" w:rsidRPr="001720E7" w:rsidRDefault="00D87B02" w:rsidP="00D87B02">
            <w:pPr>
              <w:pStyle w:val="CETBodytext"/>
              <w:ind w:right="-1"/>
              <w:jc w:val="left"/>
            </w:pPr>
            <w:r w:rsidRPr="009C1235">
              <w:t>-31%</w:t>
            </w:r>
          </w:p>
        </w:tc>
        <w:tc>
          <w:tcPr>
            <w:tcW w:w="461" w:type="pct"/>
            <w:shd w:val="clear" w:color="auto" w:fill="FFFFFF"/>
          </w:tcPr>
          <w:p w14:paraId="73180BC6" w14:textId="7672265D" w:rsidR="00D87B02" w:rsidRPr="00A7791D" w:rsidRDefault="00D87B02" w:rsidP="00D87B02">
            <w:pPr>
              <w:pStyle w:val="CETBodytext"/>
              <w:ind w:right="-1"/>
              <w:jc w:val="left"/>
            </w:pPr>
            <w:r w:rsidRPr="00383FD7">
              <w:t>-33%</w:t>
            </w:r>
          </w:p>
        </w:tc>
        <w:tc>
          <w:tcPr>
            <w:tcW w:w="461" w:type="pct"/>
            <w:shd w:val="clear" w:color="auto" w:fill="FFFFFF"/>
          </w:tcPr>
          <w:p w14:paraId="01FF2136" w14:textId="78CD56E7" w:rsidR="00D87B02" w:rsidRPr="00A7791D" w:rsidRDefault="00D87B02" w:rsidP="00D87B02">
            <w:pPr>
              <w:pStyle w:val="CETBodytext"/>
              <w:ind w:right="-1"/>
              <w:jc w:val="left"/>
            </w:pPr>
            <w:r w:rsidRPr="00EA5E76">
              <w:t>-26%</w:t>
            </w:r>
          </w:p>
        </w:tc>
        <w:tc>
          <w:tcPr>
            <w:tcW w:w="461" w:type="pct"/>
            <w:shd w:val="clear" w:color="auto" w:fill="FFFFFF"/>
          </w:tcPr>
          <w:p w14:paraId="02F43A43" w14:textId="55582469" w:rsidR="00D87B02" w:rsidRPr="00A7791D" w:rsidRDefault="00D87B02" w:rsidP="00D87B02">
            <w:pPr>
              <w:pStyle w:val="CETBodytext"/>
              <w:ind w:right="-1"/>
              <w:jc w:val="left"/>
            </w:pPr>
            <w:r w:rsidRPr="005E0297">
              <w:t>-25%</w:t>
            </w:r>
          </w:p>
        </w:tc>
        <w:tc>
          <w:tcPr>
            <w:tcW w:w="461" w:type="pct"/>
            <w:shd w:val="clear" w:color="auto" w:fill="FFFFFF"/>
          </w:tcPr>
          <w:p w14:paraId="04DAFA91" w14:textId="0B72ABD1" w:rsidR="00D87B02" w:rsidRPr="00A7791D" w:rsidRDefault="00D87B02" w:rsidP="00D87B02">
            <w:pPr>
              <w:pStyle w:val="CETBodytext"/>
              <w:ind w:right="-1"/>
              <w:jc w:val="left"/>
            </w:pPr>
            <w:r w:rsidRPr="00A013C6">
              <w:t>-19%</w:t>
            </w:r>
          </w:p>
        </w:tc>
        <w:tc>
          <w:tcPr>
            <w:tcW w:w="461" w:type="pct"/>
            <w:shd w:val="clear" w:color="auto" w:fill="FFFFFF"/>
          </w:tcPr>
          <w:p w14:paraId="5BF670AB" w14:textId="6E927837" w:rsidR="00D87B02" w:rsidRPr="00A7791D" w:rsidRDefault="00D87B02" w:rsidP="00D87B02">
            <w:pPr>
              <w:pStyle w:val="CETBodytext"/>
              <w:ind w:right="-1"/>
              <w:jc w:val="left"/>
            </w:pPr>
            <w:r w:rsidRPr="00D00F52">
              <w:t>-11%</w:t>
            </w:r>
          </w:p>
        </w:tc>
        <w:tc>
          <w:tcPr>
            <w:tcW w:w="461" w:type="pct"/>
            <w:shd w:val="clear" w:color="auto" w:fill="FFFFFF"/>
          </w:tcPr>
          <w:p w14:paraId="6C7D5C7D" w14:textId="2BD74CA9" w:rsidR="00D87B02" w:rsidRPr="00A7791D" w:rsidRDefault="00D87B02" w:rsidP="00D87B02">
            <w:pPr>
              <w:pStyle w:val="CETBodytext"/>
              <w:ind w:right="-1"/>
              <w:jc w:val="left"/>
            </w:pPr>
            <w:r w:rsidRPr="002B7AEF">
              <w:t>-18%</w:t>
            </w:r>
          </w:p>
        </w:tc>
      </w:tr>
    </w:tbl>
    <w:p w14:paraId="6F771F6A" w14:textId="77777777" w:rsidR="00287E86" w:rsidRDefault="00287E86" w:rsidP="006B6CAC">
      <w:pPr>
        <w:pStyle w:val="CETCaption"/>
        <w:spacing w:after="0"/>
      </w:pPr>
      <w:r w:rsidRPr="002A7D7A">
        <w:rPr>
          <w:noProof/>
        </w:rPr>
        <w:drawing>
          <wp:inline distT="0" distB="0" distL="0" distR="0" wp14:anchorId="53C51E13" wp14:editId="6D510A37">
            <wp:extent cx="5347344" cy="2087880"/>
            <wp:effectExtent l="0" t="0" r="5715" b="7620"/>
            <wp:docPr id="1078181915" name="Chart 1">
              <a:extLst xmlns:a="http://schemas.openxmlformats.org/drawingml/2006/main">
                <a:ext uri="{FF2B5EF4-FFF2-40B4-BE49-F238E27FC236}">
                  <a16:creationId xmlns:a16="http://schemas.microsoft.com/office/drawing/2014/main" id="{1F39BAD1-B52D-78E5-F756-CEA43B82E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F94043" w14:textId="3A65A7ED" w:rsidR="001F4073" w:rsidRDefault="00287E86" w:rsidP="00070817">
      <w:pPr>
        <w:pStyle w:val="CETCaption"/>
        <w:spacing w:before="0"/>
      </w:pPr>
      <w:r w:rsidRPr="00BD158A">
        <w:rPr>
          <w:lang w:val="en-US"/>
        </w:rPr>
        <w:t xml:space="preserve">Figure </w:t>
      </w:r>
      <w:r w:rsidR="00504C2F" w:rsidRPr="00BD158A">
        <w:rPr>
          <w:lang w:val="en-US"/>
        </w:rPr>
        <w:t>4</w:t>
      </w:r>
      <w:r w:rsidRPr="00BD158A">
        <w:rPr>
          <w:lang w:val="en-US"/>
        </w:rPr>
        <w:t>. Comparison of incident thermal radiation flux from a vertical fire plume with the method described by Beyler (2016)</w:t>
      </w:r>
      <w:r w:rsidR="007D3310">
        <w:rPr>
          <w:lang w:val="en-US"/>
        </w:rPr>
        <w:t>.</w:t>
      </w:r>
    </w:p>
    <w:p w14:paraId="519B2B3F" w14:textId="679B7CCB" w:rsidR="00512C12" w:rsidRDefault="00600535" w:rsidP="00AD71F0">
      <w:pPr>
        <w:pStyle w:val="CETHeading1"/>
      </w:pPr>
      <w:r w:rsidRPr="00AD71F0">
        <w:lastRenderedPageBreak/>
        <w:t>Conclusions</w:t>
      </w:r>
    </w:p>
    <w:p w14:paraId="114B7AEC" w14:textId="4714FF54" w:rsidR="00A62502" w:rsidRDefault="00412429" w:rsidP="00600535">
      <w:pPr>
        <w:pStyle w:val="CETBodytext"/>
      </w:pPr>
      <w:r>
        <w:t>A</w:t>
      </w:r>
      <w:r w:rsidR="00AD6A33">
        <w:t xml:space="preserve"> method </w:t>
      </w:r>
      <w:r>
        <w:t xml:space="preserve">is proposed to </w:t>
      </w:r>
      <w:r w:rsidR="009B769C">
        <w:t>determine</w:t>
      </w:r>
      <w:r w:rsidR="00AD6A33">
        <w:t xml:space="preserve"> </w:t>
      </w:r>
      <w:r w:rsidR="009B769C">
        <w:t>the</w:t>
      </w:r>
      <w:r w:rsidR="00AD6A33">
        <w:t xml:space="preserve"> </w:t>
      </w:r>
      <w:r>
        <w:t xml:space="preserve">distribution </w:t>
      </w:r>
      <w:r w:rsidR="00AD6A33">
        <w:t xml:space="preserve">of </w:t>
      </w:r>
      <w:r>
        <w:t xml:space="preserve">incident thermal radiation flux on </w:t>
      </w:r>
      <w:r w:rsidR="00AD6A33">
        <w:t xml:space="preserve">typical equipment and installations in </w:t>
      </w:r>
      <w:r w:rsidR="005B5562">
        <w:t xml:space="preserve">the </w:t>
      </w:r>
      <w:r w:rsidR="00AD6A33">
        <w:t xml:space="preserve">process </w:t>
      </w:r>
      <w:r w:rsidR="007049D1">
        <w:t xml:space="preserve">safety </w:t>
      </w:r>
      <w:r w:rsidR="00AD6A33">
        <w:t>industry.</w:t>
      </w:r>
      <w:r>
        <w:t xml:space="preserve"> </w:t>
      </w:r>
      <w:r w:rsidR="005B5562">
        <w:t>Th</w:t>
      </w:r>
      <w:r w:rsidR="000B69D5">
        <w:t xml:space="preserve">is method </w:t>
      </w:r>
      <w:r w:rsidR="002A28CF">
        <w:t>calculat</w:t>
      </w:r>
      <w:r w:rsidR="000B69D5">
        <w:t>es</w:t>
      </w:r>
      <w:r w:rsidR="002A28CF">
        <w:t xml:space="preserve"> the incident radiation </w:t>
      </w:r>
      <w:r w:rsidR="00FC2850">
        <w:t xml:space="preserve">based on </w:t>
      </w:r>
      <w:r w:rsidR="00732D89">
        <w:t xml:space="preserve">radiation emission from </w:t>
      </w:r>
      <w:r w:rsidR="00F24C5F">
        <w:t xml:space="preserve">individual </w:t>
      </w:r>
      <w:r w:rsidR="00732D89">
        <w:t xml:space="preserve">segments of the fire plume and </w:t>
      </w:r>
      <w:r w:rsidR="00FC2850">
        <w:t>the</w:t>
      </w:r>
      <w:r w:rsidR="00732D89">
        <w:t xml:space="preserve"> view factor </w:t>
      </w:r>
      <w:r w:rsidR="00FD4333">
        <w:t>from</w:t>
      </w:r>
      <w:r w:rsidR="00732D89">
        <w:t xml:space="preserve"> the fire source</w:t>
      </w:r>
      <w:r w:rsidR="000B69D5">
        <w:t xml:space="preserve"> to the exposed object.</w:t>
      </w:r>
      <w:r w:rsidR="00732D89">
        <w:t xml:space="preserve"> </w:t>
      </w:r>
      <w:r w:rsidR="000B69D5">
        <w:t xml:space="preserve">This is opposed to </w:t>
      </w:r>
      <w:r w:rsidR="00FD4333">
        <w:t xml:space="preserve">the conventional approach </w:t>
      </w:r>
      <w:r w:rsidR="00154987">
        <w:t>which</w:t>
      </w:r>
      <w:r w:rsidR="00233C55">
        <w:t xml:space="preserve"> </w:t>
      </w:r>
      <w:r w:rsidR="00C73071">
        <w:t xml:space="preserve">typically </w:t>
      </w:r>
      <w:r w:rsidR="00154987">
        <w:t xml:space="preserve">considers </w:t>
      </w:r>
      <w:r w:rsidR="00233C55">
        <w:t>a uniform surface emissive power (SEP)</w:t>
      </w:r>
      <w:r w:rsidR="00FE2CC0">
        <w:t xml:space="preserve"> and a </w:t>
      </w:r>
      <w:r w:rsidR="00FD4333">
        <w:t xml:space="preserve">view factor </w:t>
      </w:r>
      <w:r w:rsidR="00FE2CC0">
        <w:t xml:space="preserve">from the </w:t>
      </w:r>
      <w:r w:rsidR="00732D89">
        <w:t>exposed object</w:t>
      </w:r>
      <w:r w:rsidR="00C73071">
        <w:t xml:space="preserve"> to the fire source</w:t>
      </w:r>
      <w:r w:rsidR="00732D89">
        <w:t xml:space="preserve">. </w:t>
      </w:r>
      <w:r w:rsidR="007E44B2">
        <w:t xml:space="preserve">The radiation from individual </w:t>
      </w:r>
      <w:r w:rsidR="002A6087">
        <w:t xml:space="preserve">fire </w:t>
      </w:r>
      <w:r w:rsidR="007E44B2">
        <w:t xml:space="preserve">segments is </w:t>
      </w:r>
      <w:r w:rsidR="002A6087">
        <w:t xml:space="preserve">determined </w:t>
      </w:r>
      <w:r w:rsidR="00082D83">
        <w:t xml:space="preserve">using the local SEP and existing solutions for </w:t>
      </w:r>
      <w:r>
        <w:t>view factor</w:t>
      </w:r>
      <w:r w:rsidR="00A6229D">
        <w:t xml:space="preserve">s </w:t>
      </w:r>
      <w:r w:rsidR="00082D83">
        <w:t xml:space="preserve">between </w:t>
      </w:r>
      <w:r w:rsidR="002A6087">
        <w:t xml:space="preserve">two </w:t>
      </w:r>
      <w:r w:rsidR="00082D83">
        <w:t xml:space="preserve">finite </w:t>
      </w:r>
      <w:r w:rsidR="00511B7D">
        <w:t>surfaces</w:t>
      </w:r>
      <w:r w:rsidR="00AD6A33">
        <w:t xml:space="preserve">. </w:t>
      </w:r>
      <w:r w:rsidR="00511B7D">
        <w:t>I</w:t>
      </w:r>
      <w:r w:rsidR="00A62502">
        <w:t>nput variables for the</w:t>
      </w:r>
      <w:r w:rsidR="008F18DE">
        <w:t xml:space="preserve">se calculations are </w:t>
      </w:r>
      <w:r w:rsidR="00511B7D">
        <w:t xml:space="preserve">derived </w:t>
      </w:r>
      <w:r w:rsidR="008F18DE">
        <w:t>using computational geometry</w:t>
      </w:r>
      <w:r w:rsidR="00B82CE6">
        <w:t xml:space="preserve">, </w:t>
      </w:r>
      <w:r w:rsidR="00511B7D">
        <w:t xml:space="preserve">allowing </w:t>
      </w:r>
      <w:r w:rsidR="00B82CE6">
        <w:t xml:space="preserve">results </w:t>
      </w:r>
      <w:r w:rsidR="00DA51A6">
        <w:t xml:space="preserve">to </w:t>
      </w:r>
      <w:r w:rsidR="00B82CE6">
        <w:t>be readily updated with any adjustment</w:t>
      </w:r>
      <w:r w:rsidR="00DA51A6">
        <w:t>s</w:t>
      </w:r>
      <w:r w:rsidR="00B82CE6">
        <w:t xml:space="preserve"> </w:t>
      </w:r>
      <w:r w:rsidR="00DA51A6">
        <w:t xml:space="preserve">to </w:t>
      </w:r>
      <w:r w:rsidR="00B82CE6">
        <w:t>input parameters</w:t>
      </w:r>
      <w:r w:rsidR="00DA51A6">
        <w:t xml:space="preserve">, such as the </w:t>
      </w:r>
      <w:r w:rsidR="005E2C87">
        <w:t xml:space="preserve">pool </w:t>
      </w:r>
      <w:r w:rsidR="00DA51A6">
        <w:t xml:space="preserve">fire </w:t>
      </w:r>
      <w:r w:rsidR="005E2C87">
        <w:t xml:space="preserve">characteristics and </w:t>
      </w:r>
      <w:r w:rsidR="00DA51A6">
        <w:t>size</w:t>
      </w:r>
      <w:r w:rsidR="005E2C87">
        <w:t xml:space="preserve">, </w:t>
      </w:r>
      <w:r w:rsidR="00DA51A6">
        <w:t>the locations</w:t>
      </w:r>
      <w:r w:rsidR="005E2C87">
        <w:t xml:space="preserve"> and </w:t>
      </w:r>
      <w:r w:rsidR="001C1FDA">
        <w:t xml:space="preserve">shapes </w:t>
      </w:r>
      <w:r w:rsidR="005E2C87">
        <w:t xml:space="preserve">of </w:t>
      </w:r>
      <w:r w:rsidR="001C1FDA">
        <w:t>the</w:t>
      </w:r>
      <w:r w:rsidR="00BC1D28">
        <w:t xml:space="preserve"> flames and</w:t>
      </w:r>
      <w:r w:rsidR="001C1FDA">
        <w:t xml:space="preserve"> </w:t>
      </w:r>
      <w:r w:rsidR="005E2C87">
        <w:t>exposed object</w:t>
      </w:r>
      <w:r w:rsidR="00443F03">
        <w:t>s</w:t>
      </w:r>
      <w:r w:rsidR="00B82CE6">
        <w:t>. Th</w:t>
      </w:r>
      <w:r w:rsidR="00443F03">
        <w:t>e proposed</w:t>
      </w:r>
      <w:r w:rsidR="008C7BA0">
        <w:t xml:space="preserve"> method is </w:t>
      </w:r>
      <w:r w:rsidR="00FE6D28">
        <w:t xml:space="preserve">suitable for </w:t>
      </w:r>
      <w:r w:rsidR="008C7BA0">
        <w:t>preliminary consequence analyses</w:t>
      </w:r>
      <w:r w:rsidR="003D35F5">
        <w:t xml:space="preserve"> involving </w:t>
      </w:r>
      <w:r w:rsidR="00FE6D28">
        <w:t>numerous</w:t>
      </w:r>
      <w:r w:rsidR="003D35F5">
        <w:t xml:space="preserve"> scenarios</w:t>
      </w:r>
      <w:r w:rsidR="00400DB5">
        <w:t xml:space="preserve"> yet</w:t>
      </w:r>
      <w:r w:rsidR="003D35F5">
        <w:t xml:space="preserve"> </w:t>
      </w:r>
      <w:r w:rsidR="00AC57D2">
        <w:t xml:space="preserve">also provides more refined results </w:t>
      </w:r>
      <w:r w:rsidR="00400DB5">
        <w:t xml:space="preserve">than conventional modelling regarding </w:t>
      </w:r>
      <w:r w:rsidR="00344FFB">
        <w:t>thermal radiation effects</w:t>
      </w:r>
      <w:r w:rsidR="00AC57D2">
        <w:t>.</w:t>
      </w:r>
    </w:p>
    <w:p w14:paraId="0A72136C" w14:textId="7A4A7FC9" w:rsidR="00A9736F" w:rsidRDefault="00B435BA" w:rsidP="00887466">
      <w:pPr>
        <w:pStyle w:val="CETBodytext"/>
      </w:pPr>
      <w:r>
        <w:t>A</w:t>
      </w:r>
      <w:r w:rsidR="00132DB0">
        <w:t xml:space="preserve"> pool fire and a cylindrical storage tank are considered as </w:t>
      </w:r>
      <w:r w:rsidR="00647A06">
        <w:t>the</w:t>
      </w:r>
      <w:r>
        <w:t xml:space="preserve"> </w:t>
      </w:r>
      <w:r w:rsidR="00903F4D">
        <w:t>case study</w:t>
      </w:r>
      <w:r>
        <w:t xml:space="preserve"> </w:t>
      </w:r>
      <w:r w:rsidR="009D60FA">
        <w:t xml:space="preserve">to compare the results </w:t>
      </w:r>
      <w:r w:rsidR="004C1755">
        <w:t xml:space="preserve">obtained </w:t>
      </w:r>
      <w:r w:rsidR="005F2352">
        <w:t xml:space="preserve">using the present method </w:t>
      </w:r>
      <w:r w:rsidR="009D60FA">
        <w:t xml:space="preserve">with </w:t>
      </w:r>
      <w:r w:rsidR="004C1755">
        <w:t xml:space="preserve">results obtained using </w:t>
      </w:r>
      <w:r w:rsidR="008859D4">
        <w:t xml:space="preserve">geometric </w:t>
      </w:r>
      <w:r w:rsidR="009D60FA">
        <w:t xml:space="preserve">solutions for simplified </w:t>
      </w:r>
      <w:r w:rsidR="00647A06">
        <w:t xml:space="preserve">geometries, </w:t>
      </w:r>
      <w:r w:rsidR="005F2352">
        <w:t>as well as</w:t>
      </w:r>
      <w:r w:rsidR="00647A06">
        <w:t xml:space="preserve"> with results from </w:t>
      </w:r>
      <w:r w:rsidR="00B32347">
        <w:t>common free-field consequence analys</w:t>
      </w:r>
      <w:r w:rsidR="00647A06">
        <w:t>e</w:t>
      </w:r>
      <w:r w:rsidR="00B32347">
        <w:t xml:space="preserve">s in the process </w:t>
      </w:r>
      <w:r w:rsidR="007049D1">
        <w:t xml:space="preserve">safety </w:t>
      </w:r>
      <w:r w:rsidR="00B32347">
        <w:t>industry.</w:t>
      </w:r>
      <w:r>
        <w:t xml:space="preserve"> </w:t>
      </w:r>
      <w:r w:rsidR="00253768">
        <w:t xml:space="preserve">A similar behavior is </w:t>
      </w:r>
      <w:r w:rsidR="00B41C4F">
        <w:t>seen</w:t>
      </w:r>
      <w:r w:rsidR="00253768">
        <w:t xml:space="preserve"> </w:t>
      </w:r>
      <w:r w:rsidR="00F5334B">
        <w:t xml:space="preserve">with </w:t>
      </w:r>
      <w:r w:rsidR="00427726">
        <w:t xml:space="preserve">both </w:t>
      </w:r>
      <w:r w:rsidR="00F5334B">
        <w:t xml:space="preserve">geometric solutions and </w:t>
      </w:r>
      <w:r w:rsidR="00337620">
        <w:t xml:space="preserve">free-field modelling </w:t>
      </w:r>
      <w:r w:rsidR="000D5C67">
        <w:t>regarding</w:t>
      </w:r>
      <w:r w:rsidR="00427726">
        <w:t xml:space="preserve"> </w:t>
      </w:r>
      <w:r w:rsidR="00253768">
        <w:t xml:space="preserve">the </w:t>
      </w:r>
      <w:r w:rsidR="00427726">
        <w:t xml:space="preserve">total </w:t>
      </w:r>
      <w:r w:rsidR="004A609C">
        <w:t xml:space="preserve">thermal </w:t>
      </w:r>
      <w:r w:rsidR="00253768">
        <w:t xml:space="preserve">radiation </w:t>
      </w:r>
      <w:r w:rsidR="00427726">
        <w:t xml:space="preserve">incident on exposed segments </w:t>
      </w:r>
      <w:r w:rsidR="00253768">
        <w:t>at different heights.</w:t>
      </w:r>
      <w:r w:rsidR="00FB1927" w:rsidRPr="00FB1927">
        <w:t xml:space="preserve"> </w:t>
      </w:r>
      <w:r w:rsidR="00FB1927">
        <w:t xml:space="preserve">The incident radiation flux </w:t>
      </w:r>
      <w:r w:rsidR="00470F6B">
        <w:t xml:space="preserve">obtained </w:t>
      </w:r>
      <w:r w:rsidR="00FB1927">
        <w:t xml:space="preserve">using the proposed method </w:t>
      </w:r>
      <w:r w:rsidR="00470F6B">
        <w:t xml:space="preserve">aligns well with </w:t>
      </w:r>
      <w:r w:rsidR="00FB1927">
        <w:t>those from geometric solutions for simple configurations</w:t>
      </w:r>
      <w:r w:rsidR="00FC78FF">
        <w:t xml:space="preserve">, showing </w:t>
      </w:r>
      <w:r w:rsidR="00FB1927">
        <w:t>a relative difference of up to 30%</w:t>
      </w:r>
      <w:r w:rsidR="00FC78FF">
        <w:t>.</w:t>
      </w:r>
      <w:r w:rsidR="00FB1927">
        <w:t xml:space="preserve"> </w:t>
      </w:r>
      <w:r w:rsidR="00FC78FF">
        <w:t xml:space="preserve">Results are also in good agreement with </w:t>
      </w:r>
      <w:r w:rsidR="00FB1927">
        <w:t xml:space="preserve">more practical free-field consequence </w:t>
      </w:r>
      <w:r w:rsidR="00782D21">
        <w:t>modelling</w:t>
      </w:r>
      <w:r w:rsidR="00887466">
        <w:t xml:space="preserve">, with a </w:t>
      </w:r>
      <w:r w:rsidR="00FB1927">
        <w:t>relative difference of up to 40%.</w:t>
      </w:r>
      <w:r w:rsidR="00887466">
        <w:t xml:space="preserve"> </w:t>
      </w:r>
      <w:r w:rsidR="00146E11">
        <w:t xml:space="preserve">This difference </w:t>
      </w:r>
      <w:r w:rsidR="00CE67F2">
        <w:t xml:space="preserve">is partly </w:t>
      </w:r>
      <w:r w:rsidR="00736B2D">
        <w:t>due to</w:t>
      </w:r>
      <w:r w:rsidR="00DB2C55">
        <w:t xml:space="preserve"> the</w:t>
      </w:r>
      <w:r w:rsidR="00736B2D">
        <w:t xml:space="preserve"> adopti</w:t>
      </w:r>
      <w:r w:rsidR="00DB2C55">
        <w:t>on of</w:t>
      </w:r>
      <w:r w:rsidR="00736B2D">
        <w:t xml:space="preserve"> a variable SEP in the proposed </w:t>
      </w:r>
      <w:r w:rsidR="00CB6364">
        <w:t>method and</w:t>
      </w:r>
      <w:r w:rsidR="00736B2D">
        <w:t xml:space="preserve"> partly </w:t>
      </w:r>
      <w:r w:rsidR="00CE67F2">
        <w:t xml:space="preserve">attributed to differing basic assumptions </w:t>
      </w:r>
      <w:r w:rsidR="00261BD0">
        <w:t>for representing</w:t>
      </w:r>
      <w:r w:rsidR="00C41BC7">
        <w:t xml:space="preserve"> input </w:t>
      </w:r>
      <w:r w:rsidR="006B0CCA">
        <w:t>variables</w:t>
      </w:r>
      <w:r w:rsidR="00C41BC7">
        <w:t xml:space="preserve"> for calculations, such as</w:t>
      </w:r>
      <w:r w:rsidR="00261BD0">
        <w:t xml:space="preserve"> </w:t>
      </w:r>
      <w:r w:rsidR="00C41BC7">
        <w:t xml:space="preserve">atmospheric absorption and </w:t>
      </w:r>
      <w:r w:rsidR="00261BD0">
        <w:t xml:space="preserve">the </w:t>
      </w:r>
      <w:r w:rsidR="00BD1AA1">
        <w:t xml:space="preserve">mean </w:t>
      </w:r>
      <w:r w:rsidR="00261BD0">
        <w:t>flame height</w:t>
      </w:r>
      <w:r w:rsidR="00BD1AA1">
        <w:t xml:space="preserve"> and</w:t>
      </w:r>
      <w:r w:rsidR="00261BD0">
        <w:t xml:space="preserve"> </w:t>
      </w:r>
      <w:r w:rsidR="00BD1AA1">
        <w:t>tilt angle.</w:t>
      </w:r>
      <w:r w:rsidR="00CB6364">
        <w:t xml:space="preserve"> </w:t>
      </w:r>
      <w:r w:rsidR="000B3F28">
        <w:t>However, t</w:t>
      </w:r>
      <w:r w:rsidR="00CB6364">
        <w:t xml:space="preserve">he </w:t>
      </w:r>
      <w:r w:rsidR="00EC533E">
        <w:t xml:space="preserve">models </w:t>
      </w:r>
      <w:r w:rsidR="00917D3F">
        <w:t xml:space="preserve">adopted </w:t>
      </w:r>
      <w:r w:rsidR="00EC533E">
        <w:t xml:space="preserve">for </w:t>
      </w:r>
      <w:r w:rsidR="00917D3F">
        <w:t xml:space="preserve">these </w:t>
      </w:r>
      <w:r w:rsidR="00EC533E">
        <w:t xml:space="preserve">parameters are not intrinsic </w:t>
      </w:r>
      <w:r w:rsidR="000B3F28">
        <w:t xml:space="preserve">to </w:t>
      </w:r>
      <w:r w:rsidR="00EC533E">
        <w:t>the</w:t>
      </w:r>
      <w:r w:rsidR="0099490D">
        <w:t xml:space="preserve"> proposed</w:t>
      </w:r>
      <w:r w:rsidR="00EC533E">
        <w:t xml:space="preserve"> </w:t>
      </w:r>
      <w:r w:rsidR="0099490D">
        <w:t xml:space="preserve">method and are merely used for the </w:t>
      </w:r>
      <w:r w:rsidR="00903F4D">
        <w:t>case study</w:t>
      </w:r>
      <w:r w:rsidR="0099490D">
        <w:t xml:space="preserve">. </w:t>
      </w:r>
    </w:p>
    <w:p w14:paraId="28B0DD24" w14:textId="0A701C93" w:rsidR="008360D3" w:rsidRPr="00162A26" w:rsidRDefault="00280FAF" w:rsidP="00162A26">
      <w:pPr>
        <w:pStyle w:val="CETHeadingxx"/>
        <w:sectPr w:rsidR="008360D3" w:rsidRPr="00162A26" w:rsidSect="008360D3">
          <w:type w:val="continuous"/>
          <w:pgSz w:w="11906" w:h="16838" w:code="9"/>
          <w:pgMar w:top="1701" w:right="1418" w:bottom="1701" w:left="1701" w:header="1701" w:footer="0" w:gutter="0"/>
          <w:cols w:space="708"/>
          <w:formProt w:val="0"/>
          <w:titlePg/>
          <w:docGrid w:linePitch="360"/>
        </w:sectPr>
      </w:pPr>
      <w:r>
        <w:t>Nomenclature</w:t>
      </w:r>
    </w:p>
    <w:p w14:paraId="1BA08FF2" w14:textId="49AEFED4" w:rsidR="008360D3"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F</m:t>
            </m:r>
          </m:e>
          <m:sub>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2</m:t>
                </m:r>
              </m:sub>
            </m:sSub>
          </m:sub>
        </m:sSub>
      </m:oMath>
      <w:r w:rsidR="008360D3" w:rsidRPr="0051349D">
        <w:rPr>
          <w:rFonts w:eastAsia="SimSun"/>
        </w:rPr>
        <w:t xml:space="preserve"> – </w:t>
      </w:r>
      <w:r w:rsidR="008360D3">
        <w:rPr>
          <w:rFonts w:eastAsia="SimSun"/>
        </w:rPr>
        <w:t xml:space="preserve">View factor from </w:t>
      </w:r>
      <m:oMath>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1</m:t>
            </m:r>
          </m:sub>
        </m:sSub>
      </m:oMath>
      <w:r w:rsidR="008360D3">
        <w:rPr>
          <w:rFonts w:eastAsia="SimSun"/>
        </w:rPr>
        <w:t xml:space="preserve"> to </w:t>
      </w:r>
      <m:oMath>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2</m:t>
            </m:r>
          </m:sub>
        </m:sSub>
      </m:oMath>
    </w:p>
    <w:p w14:paraId="58D7E7C0" w14:textId="0574C652" w:rsidR="007F3DFE" w:rsidRDefault="007F3DFE" w:rsidP="00280FAF">
      <w:pPr>
        <w:pStyle w:val="CETBodytext"/>
        <w:jc w:val="left"/>
        <w:rPr>
          <w:rFonts w:eastAsia="SimSun"/>
        </w:rPr>
      </w:pPr>
      <w:r>
        <w:rPr>
          <w:rFonts w:eastAsia="SimSun"/>
        </w:rPr>
        <w:t xml:space="preserve">D </w:t>
      </w:r>
      <w:r w:rsidR="00A64B9E">
        <w:rPr>
          <w:rFonts w:eastAsia="SimSun"/>
        </w:rPr>
        <w:t>–</w:t>
      </w:r>
      <w:r>
        <w:rPr>
          <w:rFonts w:eastAsia="SimSun"/>
        </w:rPr>
        <w:t xml:space="preserve"> </w:t>
      </w:r>
      <w:r w:rsidR="00A64B9E">
        <w:rPr>
          <w:rFonts w:eastAsia="SimSun"/>
        </w:rPr>
        <w:t>pool fire diameter, m</w:t>
      </w:r>
    </w:p>
    <w:p w14:paraId="6FB33A39" w14:textId="77777777" w:rsidR="00267D79" w:rsidRDefault="00267D79" w:rsidP="007210C2">
      <w:pPr>
        <w:pStyle w:val="CETBodytext"/>
        <w:jc w:val="left"/>
        <w:rPr>
          <w:rFonts w:eastAsia="SimSun"/>
        </w:rPr>
      </w:pPr>
    </w:p>
    <w:p w14:paraId="70120813" w14:textId="0F637362" w:rsidR="00267D79" w:rsidRDefault="00267D79" w:rsidP="00267D79">
      <w:pPr>
        <w:pStyle w:val="CETBodytext"/>
        <w:jc w:val="left"/>
        <w:rPr>
          <w:rFonts w:eastAsia="SimSun"/>
        </w:rPr>
      </w:pPr>
      <w:r w:rsidRPr="0051349D">
        <w:rPr>
          <w:rFonts w:eastAsia="SimSun"/>
        </w:rPr>
        <w:t xml:space="preserve">H – </w:t>
      </w:r>
      <w:r>
        <w:rPr>
          <w:rFonts w:eastAsia="SimSun"/>
        </w:rPr>
        <w:t xml:space="preserve">Flame </w:t>
      </w:r>
      <w:r w:rsidRPr="0051349D">
        <w:rPr>
          <w:rFonts w:eastAsia="SimSun"/>
        </w:rPr>
        <w:t>height, m</w:t>
      </w:r>
    </w:p>
    <w:p w14:paraId="6779CEFE" w14:textId="49CD9D22" w:rsidR="006848F6" w:rsidRDefault="006848F6" w:rsidP="007210C2">
      <w:pPr>
        <w:pStyle w:val="CETBodytext"/>
        <w:jc w:val="left"/>
        <w:rPr>
          <w:rFonts w:eastAsia="SimSun"/>
        </w:rPr>
      </w:pPr>
      <w:r w:rsidRPr="002456C9">
        <w:rPr>
          <w:rFonts w:eastAsia="SimSun"/>
        </w:rPr>
        <w:t>SEP</w:t>
      </w:r>
      <w:r>
        <w:rPr>
          <w:rFonts w:eastAsia="SimSun"/>
        </w:rPr>
        <w:t xml:space="preserve"> – Surface emissive power, W/m</w:t>
      </w:r>
      <w:r w:rsidRPr="002456C9">
        <w:rPr>
          <w:rFonts w:eastAsia="SimSun"/>
          <w:vertAlign w:val="superscript"/>
        </w:rPr>
        <w:t>2</w:t>
      </w:r>
    </w:p>
    <w:p w14:paraId="38BFE636" w14:textId="7B980CEA" w:rsidR="002724BC" w:rsidRPr="00E377D0" w:rsidRDefault="002724BC" w:rsidP="007210C2">
      <w:pPr>
        <w:pStyle w:val="CETBodytext"/>
        <w:jc w:val="left"/>
        <w:rPr>
          <w:rFonts w:eastAsia="SimSun"/>
        </w:rPr>
        <w:sectPr w:rsidR="002724BC" w:rsidRPr="00E377D0" w:rsidSect="00DC73EE">
          <w:type w:val="continuous"/>
          <w:pgSz w:w="11906" w:h="16838" w:code="9"/>
          <w:pgMar w:top="1701" w:right="1418" w:bottom="1701" w:left="1701" w:header="1701" w:footer="0" w:gutter="0"/>
          <w:cols w:num="2" w:space="708"/>
          <w:formProt w:val="0"/>
          <w:titlePg/>
          <w:docGrid w:linePitch="360"/>
        </w:sectPr>
      </w:pPr>
    </w:p>
    <w:p w14:paraId="4F1327F8" w14:textId="0B8A2C65" w:rsidR="00600535" w:rsidRPr="00B57B36" w:rsidRDefault="00600535" w:rsidP="00162A26">
      <w:pPr>
        <w:pStyle w:val="CETReference"/>
      </w:pPr>
      <w:r w:rsidRPr="00B57B36">
        <w:t>References</w:t>
      </w:r>
    </w:p>
    <w:p w14:paraId="1E5BCBBE" w14:textId="12458ECD" w:rsidR="004E55FA" w:rsidRPr="004B7258" w:rsidRDefault="004E55FA" w:rsidP="004B7258">
      <w:pPr>
        <w:pStyle w:val="CETReferencetext"/>
      </w:pPr>
      <w:r w:rsidRPr="004B7258">
        <w:t>Amin, M. T., Scarponi, G. E., Cozzani, V., Khan, F.</w:t>
      </w:r>
      <w:r w:rsidR="007048D9" w:rsidRPr="004B7258">
        <w:t xml:space="preserve">, </w:t>
      </w:r>
      <w:r w:rsidRPr="004B7258">
        <w:t>2024. Dynamic Domino Effect Assessment (D2EA) in tank farms using a machine learning-based approach. Computers &amp; Chemical Engineering, 181, 108556.</w:t>
      </w:r>
    </w:p>
    <w:p w14:paraId="2EC602CA" w14:textId="135975C7" w:rsidR="003833FB" w:rsidRPr="004B7258" w:rsidRDefault="003833FB" w:rsidP="004B7258">
      <w:pPr>
        <w:pStyle w:val="CETReferencetext"/>
      </w:pPr>
      <w:r w:rsidRPr="004B7258">
        <w:t>Babrauskas, V.</w:t>
      </w:r>
      <w:r w:rsidR="007048D9" w:rsidRPr="004B7258">
        <w:t xml:space="preserve">, </w:t>
      </w:r>
      <w:r w:rsidRPr="004B7258">
        <w:t xml:space="preserve">2016. Heat release rates. In M. Hurley (Ed.), SFPE handbook of fire protection engineering (pp. </w:t>
      </w:r>
      <w:r w:rsidR="007C1F80" w:rsidRPr="004B7258">
        <w:t>799</w:t>
      </w:r>
      <w:r w:rsidRPr="004B7258">
        <w:t>-</w:t>
      </w:r>
      <w:r w:rsidR="007C1F80" w:rsidRPr="004B7258">
        <w:t>904</w:t>
      </w:r>
      <w:r w:rsidRPr="004B7258">
        <w:t xml:space="preserve">). Springer. </w:t>
      </w:r>
    </w:p>
    <w:p w14:paraId="77333F50" w14:textId="4FA55480" w:rsidR="008B2AC7" w:rsidRDefault="00E51B90" w:rsidP="004B7258">
      <w:pPr>
        <w:pStyle w:val="CETReferencetext"/>
        <w:rPr>
          <w:lang w:val="nl-NL"/>
        </w:rPr>
      </w:pPr>
      <w:r w:rsidRPr="004B7258">
        <w:t>Beyler, C. L.</w:t>
      </w:r>
      <w:r w:rsidR="007048D9" w:rsidRPr="004B7258">
        <w:t>,</w:t>
      </w:r>
      <w:r w:rsidRPr="004B7258">
        <w:t xml:space="preserve"> 2016. Fire Hazard Calculations for Large, Open Hydrocarbon Fires. In M. Hurley (Ed.), SFPE handbook of fire protection engineering (pp. 2591-2663). </w:t>
      </w:r>
      <w:r w:rsidRPr="002E04BB">
        <w:rPr>
          <w:lang w:val="nl-NL"/>
        </w:rPr>
        <w:t>Springer.</w:t>
      </w:r>
    </w:p>
    <w:p w14:paraId="0BD2B275" w14:textId="2CC906A0" w:rsidR="006F0412" w:rsidRDefault="004653ED" w:rsidP="004B7258">
      <w:pPr>
        <w:pStyle w:val="CETReferencetext"/>
        <w:rPr>
          <w:lang w:val="nl-NL"/>
        </w:rPr>
      </w:pPr>
      <w:r>
        <w:rPr>
          <w:lang w:val="nl-NL"/>
        </w:rPr>
        <w:t>Digital Solutions at DNV</w:t>
      </w:r>
      <w:r w:rsidR="001231D0">
        <w:rPr>
          <w:lang w:val="nl-NL"/>
        </w:rPr>
        <w:t>, 2023</w:t>
      </w:r>
      <w:r w:rsidR="002114B7">
        <w:rPr>
          <w:lang w:val="nl-NL"/>
        </w:rPr>
        <w:t>. PHAST</w:t>
      </w:r>
      <w:r w:rsidR="002114B7" w:rsidRPr="004653ED">
        <w:rPr>
          <w:vertAlign w:val="superscript"/>
          <w:lang w:val="nl-NL"/>
        </w:rPr>
        <w:t>TM</w:t>
      </w:r>
      <w:r w:rsidR="002114B7">
        <w:rPr>
          <w:lang w:val="nl-NL"/>
        </w:rPr>
        <w:t xml:space="preserve"> (version 9.0) [Computer software]. DN</w:t>
      </w:r>
      <w:r>
        <w:rPr>
          <w:lang w:val="nl-NL"/>
        </w:rPr>
        <w:t>V AS.</w:t>
      </w:r>
    </w:p>
    <w:p w14:paraId="63E5EDE2" w14:textId="36AB87E5" w:rsidR="00E51B90" w:rsidRPr="00502710" w:rsidRDefault="008B2AC7" w:rsidP="00502710">
      <w:pPr>
        <w:pStyle w:val="CETReferencetext"/>
      </w:pPr>
      <w:r w:rsidRPr="00A87280">
        <w:rPr>
          <w:lang w:val="nl-NL"/>
        </w:rPr>
        <w:t>Cabeza-Lainez, J.M.</w:t>
      </w:r>
      <w:r w:rsidR="004F3F49" w:rsidRPr="00A87280">
        <w:rPr>
          <w:lang w:val="nl-NL"/>
        </w:rPr>
        <w:t xml:space="preserve">, </w:t>
      </w:r>
      <w:r w:rsidRPr="00A87280">
        <w:rPr>
          <w:lang w:val="nl-NL"/>
        </w:rPr>
        <w:t>Salguero-Andújar, F.</w:t>
      </w:r>
      <w:r w:rsidR="004F3F49" w:rsidRPr="00A87280">
        <w:rPr>
          <w:lang w:val="nl-NL"/>
        </w:rPr>
        <w:t xml:space="preserve">, </w:t>
      </w:r>
      <w:r w:rsidRPr="00A87280">
        <w:rPr>
          <w:lang w:val="nl-NL"/>
        </w:rPr>
        <w:t xml:space="preserve">Rodríguez-Cunill, </w:t>
      </w:r>
      <w:r w:rsidR="00A87280" w:rsidRPr="00A87280">
        <w:rPr>
          <w:lang w:val="nl-NL"/>
        </w:rPr>
        <w:t>I.,</w:t>
      </w:r>
      <w:r w:rsidR="00A87280">
        <w:rPr>
          <w:lang w:val="nl-NL"/>
        </w:rPr>
        <w:t xml:space="preserve"> </w:t>
      </w:r>
      <w:r w:rsidR="004F3F49" w:rsidRPr="00A87280">
        <w:rPr>
          <w:lang w:val="nl-NL"/>
        </w:rPr>
        <w:t xml:space="preserve">2022. </w:t>
      </w:r>
      <w:r w:rsidR="0023302A" w:rsidRPr="0023302A">
        <w:t>Prevention of hazards induced by a radiation fireball through computational geometry and parametric design. Mathematics, 10(3), p.387.</w:t>
      </w:r>
      <w:r w:rsidR="00E51B90" w:rsidRPr="00502710">
        <w:t xml:space="preserve"> </w:t>
      </w:r>
    </w:p>
    <w:p w14:paraId="42A3F2EB" w14:textId="1097D2FE" w:rsidR="004E55FA" w:rsidRPr="004B7258" w:rsidRDefault="004E55FA" w:rsidP="004B7258">
      <w:pPr>
        <w:pStyle w:val="CETReferencetext"/>
      </w:pPr>
      <w:r w:rsidRPr="002E04BB">
        <w:rPr>
          <w:lang w:val="nl-NL"/>
        </w:rPr>
        <w:t>Cozzani, V., Gubinelli, G., Antonioni, G., Spadoni, G., Zanelli, S.</w:t>
      </w:r>
      <w:r w:rsidR="007048D9" w:rsidRPr="002E04BB">
        <w:rPr>
          <w:lang w:val="nl-NL"/>
        </w:rPr>
        <w:t>,</w:t>
      </w:r>
      <w:r w:rsidRPr="002E04BB">
        <w:rPr>
          <w:lang w:val="nl-NL"/>
        </w:rPr>
        <w:t xml:space="preserve"> 2005. </w:t>
      </w:r>
      <w:r w:rsidRPr="004B7258">
        <w:t>The assessment of risk caused by domino effect in quantitative area risk analysis. Journal of Hazardous Materials, 127(1–3), 14–30.</w:t>
      </w:r>
    </w:p>
    <w:p w14:paraId="6443A851" w14:textId="7ADE65AD" w:rsidR="00AC4072" w:rsidRPr="004B7258" w:rsidRDefault="00AC4072" w:rsidP="004B7258">
      <w:pPr>
        <w:pStyle w:val="CETReferencetext"/>
      </w:pPr>
      <w:r w:rsidRPr="00AC4072">
        <w:rPr>
          <w:rFonts w:eastAsiaTheme="minorHAnsi"/>
        </w:rPr>
        <w:t>Fabiano B., Curro F., Reverberi A., 2020, Domino Effect by Pool Fire Radiation on Pipelines. an Applicative Case</w:t>
      </w:r>
      <w:r w:rsidR="004B7258" w:rsidRPr="004B7258">
        <w:t>-</w:t>
      </w:r>
      <w:r w:rsidRPr="00AC4072">
        <w:rPr>
          <w:rFonts w:eastAsiaTheme="minorHAnsi"/>
        </w:rPr>
        <w:t>study,</w:t>
      </w:r>
      <w:r w:rsidR="004B7258" w:rsidRPr="004B7258">
        <w:t xml:space="preserve"> </w:t>
      </w:r>
      <w:r w:rsidRPr="004B7258">
        <w:rPr>
          <w:rFonts w:eastAsiaTheme="minorHAnsi"/>
        </w:rPr>
        <w:t>Chemical Engineering Transactions, 82, 265-270</w:t>
      </w:r>
      <w:r w:rsidR="004B7258" w:rsidRPr="004B7258">
        <w:t>.</w:t>
      </w:r>
    </w:p>
    <w:p w14:paraId="26AAF25F" w14:textId="50E70F21" w:rsidR="004E55FA" w:rsidRPr="004B7258" w:rsidRDefault="005F125B" w:rsidP="004B7258">
      <w:pPr>
        <w:pStyle w:val="CETReferencetext"/>
      </w:pPr>
      <w:r w:rsidRPr="004B7258">
        <w:t>Hollands, K. G. T.</w:t>
      </w:r>
      <w:r w:rsidR="007048D9" w:rsidRPr="004B7258">
        <w:t>,</w:t>
      </w:r>
      <w:r w:rsidRPr="004B7258">
        <w:t xml:space="preserve"> 1995. On the superposition rule for configuration factors.</w:t>
      </w:r>
    </w:p>
    <w:p w14:paraId="0720E78E" w14:textId="72963223" w:rsidR="004E55FA" w:rsidRPr="004B7258" w:rsidRDefault="004E55FA" w:rsidP="004B7258">
      <w:pPr>
        <w:pStyle w:val="CETReferencetext"/>
      </w:pPr>
      <w:r w:rsidRPr="004B7258">
        <w:t>Howell, J. R., Mengüç, M. P., Daun, K., Siegel, R.</w:t>
      </w:r>
      <w:r w:rsidR="007048D9" w:rsidRPr="004B7258">
        <w:t>,</w:t>
      </w:r>
      <w:r w:rsidRPr="004B7258">
        <w:t xml:space="preserve"> 2020. Thermal radiation heat transfer. CRC press.</w:t>
      </w:r>
    </w:p>
    <w:p w14:paraId="145FD92D" w14:textId="58CA4F63" w:rsidR="004E55FA" w:rsidRPr="004B7258" w:rsidRDefault="004E55FA" w:rsidP="004B7258">
      <w:pPr>
        <w:pStyle w:val="CETReferencetext"/>
      </w:pPr>
      <w:r w:rsidRPr="004B7258">
        <w:t>Jia, M., Chen, G., Reniers, G.</w:t>
      </w:r>
      <w:r w:rsidR="007048D9" w:rsidRPr="004B7258">
        <w:t>,</w:t>
      </w:r>
      <w:r w:rsidRPr="004B7258">
        <w:t xml:space="preserve"> 2017. An innovative framework for determining the damage probability of equipment exposed to fire. Fire Safety Journal, 92, 177–187.</w:t>
      </w:r>
    </w:p>
    <w:p w14:paraId="5A3188EB" w14:textId="0C2BBD47" w:rsidR="00C93121" w:rsidRPr="004B7258" w:rsidRDefault="00C93121" w:rsidP="004B7258">
      <w:pPr>
        <w:pStyle w:val="CETReferencetext"/>
      </w:pPr>
      <w:r w:rsidRPr="004B7258">
        <w:t>McNeel, R., &amp; others.</w:t>
      </w:r>
      <w:r w:rsidR="007048D9" w:rsidRPr="004B7258">
        <w:t>,</w:t>
      </w:r>
      <w:r w:rsidRPr="004B7258">
        <w:t xml:space="preserve"> 2024. Rhino</w:t>
      </w:r>
      <w:r w:rsidR="009F0175" w:rsidRPr="004B7258">
        <w:t>3d</w:t>
      </w:r>
      <w:r w:rsidRPr="004B7258">
        <w:t> (Version 7.0) [Computer software]. Robert McNeel &amp; Associates.</w:t>
      </w:r>
    </w:p>
    <w:p w14:paraId="11FF4241" w14:textId="2CD39125" w:rsidR="008C4B28" w:rsidRPr="004B7258" w:rsidRDefault="008C4B28" w:rsidP="004B7258">
      <w:pPr>
        <w:pStyle w:val="CETReferencetext"/>
      </w:pPr>
      <w:r w:rsidRPr="004B7258">
        <w:t>Muñoz, M., Arnaldos, J., Casal, J., Planas, E.</w:t>
      </w:r>
      <w:r w:rsidR="007048D9" w:rsidRPr="004B7258">
        <w:t>,</w:t>
      </w:r>
      <w:r w:rsidRPr="004B7258">
        <w:t xml:space="preserve"> 2004. Analysis of the geometric and radiative characteristics of hydrocarbon pool fires. </w:t>
      </w:r>
      <w:r w:rsidRPr="006B6CAC">
        <w:t>Combustion and Flame</w:t>
      </w:r>
      <w:r w:rsidRPr="004B7258">
        <w:t>, </w:t>
      </w:r>
      <w:r w:rsidRPr="006B6CAC">
        <w:t>139</w:t>
      </w:r>
      <w:r w:rsidRPr="004B7258">
        <w:t>(3), 263-277.</w:t>
      </w:r>
    </w:p>
    <w:p w14:paraId="3EDAE7C0" w14:textId="045843F2" w:rsidR="008F5371" w:rsidRPr="004B7258" w:rsidRDefault="008F5371" w:rsidP="004B7258">
      <w:pPr>
        <w:pStyle w:val="CETReferencetext"/>
      </w:pPr>
      <w:r w:rsidRPr="004B7258">
        <w:t>Palazzi, E., Fabiano, B., 2012. Analytical modelling of hydrocarbon pool fires: Conservative evaluation of flame temperature and thermal power. Process Safety and Environmental Protection, 90(2), pp.121-128.</w:t>
      </w:r>
    </w:p>
    <w:p w14:paraId="55410AFA" w14:textId="4BA5BCD6" w:rsidR="008A21FF" w:rsidRPr="004B7258" w:rsidRDefault="005F125B" w:rsidP="00B074B8">
      <w:pPr>
        <w:pStyle w:val="CETReferencetext"/>
      </w:pPr>
      <w:r w:rsidRPr="004B7258">
        <w:t>Sparrow, E. M.</w:t>
      </w:r>
      <w:r w:rsidR="007048D9" w:rsidRPr="004B7258">
        <w:t>,</w:t>
      </w:r>
      <w:r w:rsidRPr="004B7258">
        <w:t xml:space="preserve"> 1963. A new and simpler formulation for radiative angle factors.</w:t>
      </w:r>
    </w:p>
    <w:p w14:paraId="1A36376E" w14:textId="2C3FE9E9" w:rsidR="00700168" w:rsidRPr="004B7258" w:rsidRDefault="00700168" w:rsidP="004B7258">
      <w:pPr>
        <w:pStyle w:val="CETReferencetext"/>
      </w:pPr>
      <w:r w:rsidRPr="004B7258">
        <w:t>Xu, Y.</w:t>
      </w:r>
      <w:r w:rsidR="007048D9" w:rsidRPr="004B7258">
        <w:t>,</w:t>
      </w:r>
      <w:r w:rsidRPr="004B7258">
        <w:t xml:space="preserve"> 2019. Theory pool fire model for Phast (version 8.7) [Software]. DNV GL</w:t>
      </w:r>
    </w:p>
    <w:p w14:paraId="19C4FC68" w14:textId="339D8AA8" w:rsidR="004628D2" w:rsidRPr="007048D9" w:rsidRDefault="004E55FA" w:rsidP="007048D9">
      <w:pPr>
        <w:pStyle w:val="CETReferencetext"/>
      </w:pPr>
      <w:r w:rsidRPr="006B6CAC">
        <w:rPr>
          <w:lang w:val="nl-NL"/>
        </w:rPr>
        <w:t>Zhou, J., Reniers, G., Cozzani, V.</w:t>
      </w:r>
      <w:r w:rsidR="007048D9" w:rsidRPr="006B6CAC">
        <w:rPr>
          <w:lang w:val="nl-NL"/>
        </w:rPr>
        <w:t>,</w:t>
      </w:r>
      <w:r w:rsidRPr="006B6CAC">
        <w:rPr>
          <w:lang w:val="nl-NL"/>
        </w:rPr>
        <w:t xml:space="preserve"> 2021. </w:t>
      </w:r>
      <w:r w:rsidRPr="007048D9">
        <w:t>Improved probit models to assess equipment failure caused by domino effect accounting for dynamic and synergistic effects of multiple fires. Process Safety and Environmental Protection, 154, 306–314.</w:t>
      </w:r>
    </w:p>
    <w:sectPr w:rsidR="004628D2" w:rsidRPr="007048D9"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67E32" w14:textId="77777777" w:rsidR="00C06B33" w:rsidRDefault="00C06B33" w:rsidP="004F5E36">
      <w:r>
        <w:separator/>
      </w:r>
    </w:p>
  </w:endnote>
  <w:endnote w:type="continuationSeparator" w:id="0">
    <w:p w14:paraId="69820136" w14:textId="77777777" w:rsidR="00C06B33" w:rsidRDefault="00C06B3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B17C5" w14:textId="77777777" w:rsidR="00C06B33" w:rsidRDefault="00C06B33" w:rsidP="004F5E36">
      <w:r>
        <w:separator/>
      </w:r>
    </w:p>
  </w:footnote>
  <w:footnote w:type="continuationSeparator" w:id="0">
    <w:p w14:paraId="370FE5CC" w14:textId="77777777" w:rsidR="00C06B33" w:rsidRDefault="00C06B3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7320E6"/>
    <w:multiLevelType w:val="hybridMultilevel"/>
    <w:tmpl w:val="AA40076A"/>
    <w:lvl w:ilvl="0" w:tplc="B742177A">
      <w:start w:val="1"/>
      <w:numFmt w:val="bullet"/>
      <w:lvlText w:val=""/>
      <w:lvlJc w:val="left"/>
      <w:pPr>
        <w:ind w:left="720" w:hanging="360"/>
      </w:pPr>
      <w:rPr>
        <w:rFonts w:ascii="Symbol" w:hAnsi="Symbol"/>
      </w:rPr>
    </w:lvl>
    <w:lvl w:ilvl="1" w:tplc="03B6B5A2">
      <w:start w:val="1"/>
      <w:numFmt w:val="bullet"/>
      <w:lvlText w:val=""/>
      <w:lvlJc w:val="left"/>
      <w:pPr>
        <w:ind w:left="720" w:hanging="360"/>
      </w:pPr>
      <w:rPr>
        <w:rFonts w:ascii="Symbol" w:hAnsi="Symbol"/>
      </w:rPr>
    </w:lvl>
    <w:lvl w:ilvl="2" w:tplc="B3042A90">
      <w:start w:val="1"/>
      <w:numFmt w:val="bullet"/>
      <w:lvlText w:val=""/>
      <w:lvlJc w:val="left"/>
      <w:pPr>
        <w:ind w:left="720" w:hanging="360"/>
      </w:pPr>
      <w:rPr>
        <w:rFonts w:ascii="Symbol" w:hAnsi="Symbol"/>
      </w:rPr>
    </w:lvl>
    <w:lvl w:ilvl="3" w:tplc="45E033F6">
      <w:start w:val="1"/>
      <w:numFmt w:val="bullet"/>
      <w:lvlText w:val=""/>
      <w:lvlJc w:val="left"/>
      <w:pPr>
        <w:ind w:left="720" w:hanging="360"/>
      </w:pPr>
      <w:rPr>
        <w:rFonts w:ascii="Symbol" w:hAnsi="Symbol"/>
      </w:rPr>
    </w:lvl>
    <w:lvl w:ilvl="4" w:tplc="E5F81828">
      <w:start w:val="1"/>
      <w:numFmt w:val="bullet"/>
      <w:lvlText w:val=""/>
      <w:lvlJc w:val="left"/>
      <w:pPr>
        <w:ind w:left="720" w:hanging="360"/>
      </w:pPr>
      <w:rPr>
        <w:rFonts w:ascii="Symbol" w:hAnsi="Symbol"/>
      </w:rPr>
    </w:lvl>
    <w:lvl w:ilvl="5" w:tplc="0DDCFDC4">
      <w:start w:val="1"/>
      <w:numFmt w:val="bullet"/>
      <w:lvlText w:val=""/>
      <w:lvlJc w:val="left"/>
      <w:pPr>
        <w:ind w:left="720" w:hanging="360"/>
      </w:pPr>
      <w:rPr>
        <w:rFonts w:ascii="Symbol" w:hAnsi="Symbol"/>
      </w:rPr>
    </w:lvl>
    <w:lvl w:ilvl="6" w:tplc="135E80E6">
      <w:start w:val="1"/>
      <w:numFmt w:val="bullet"/>
      <w:lvlText w:val=""/>
      <w:lvlJc w:val="left"/>
      <w:pPr>
        <w:ind w:left="720" w:hanging="360"/>
      </w:pPr>
      <w:rPr>
        <w:rFonts w:ascii="Symbol" w:hAnsi="Symbol"/>
      </w:rPr>
    </w:lvl>
    <w:lvl w:ilvl="7" w:tplc="8404FD4A">
      <w:start w:val="1"/>
      <w:numFmt w:val="bullet"/>
      <w:lvlText w:val=""/>
      <w:lvlJc w:val="left"/>
      <w:pPr>
        <w:ind w:left="720" w:hanging="360"/>
      </w:pPr>
      <w:rPr>
        <w:rFonts w:ascii="Symbol" w:hAnsi="Symbol"/>
      </w:rPr>
    </w:lvl>
    <w:lvl w:ilvl="8" w:tplc="ABE04E74">
      <w:start w:val="1"/>
      <w:numFmt w:val="bullet"/>
      <w:lvlText w:val=""/>
      <w:lvlJc w:val="left"/>
      <w:pPr>
        <w:ind w:left="720" w:hanging="360"/>
      </w:pPr>
      <w:rPr>
        <w:rFonts w:ascii="Symbol" w:hAnsi="Symbol"/>
      </w:rPr>
    </w:lvl>
  </w:abstractNum>
  <w:abstractNum w:abstractNumId="11" w15:restartNumberingAfterBreak="0">
    <w:nsid w:val="055E29B5"/>
    <w:multiLevelType w:val="hybridMultilevel"/>
    <w:tmpl w:val="84287D56"/>
    <w:lvl w:ilvl="0" w:tplc="DE5AE304">
      <w:start w:val="1"/>
      <w:numFmt w:val="bullet"/>
      <w:lvlText w:val=""/>
      <w:lvlJc w:val="left"/>
      <w:pPr>
        <w:ind w:left="720" w:hanging="360"/>
      </w:pPr>
      <w:rPr>
        <w:rFonts w:ascii="Symbol" w:hAnsi="Symbol"/>
      </w:rPr>
    </w:lvl>
    <w:lvl w:ilvl="1" w:tplc="BFE4032E">
      <w:start w:val="1"/>
      <w:numFmt w:val="bullet"/>
      <w:lvlText w:val=""/>
      <w:lvlJc w:val="left"/>
      <w:pPr>
        <w:ind w:left="720" w:hanging="360"/>
      </w:pPr>
      <w:rPr>
        <w:rFonts w:ascii="Symbol" w:hAnsi="Symbol"/>
      </w:rPr>
    </w:lvl>
    <w:lvl w:ilvl="2" w:tplc="58B48D82">
      <w:start w:val="1"/>
      <w:numFmt w:val="bullet"/>
      <w:lvlText w:val=""/>
      <w:lvlJc w:val="left"/>
      <w:pPr>
        <w:ind w:left="720" w:hanging="360"/>
      </w:pPr>
      <w:rPr>
        <w:rFonts w:ascii="Symbol" w:hAnsi="Symbol"/>
      </w:rPr>
    </w:lvl>
    <w:lvl w:ilvl="3" w:tplc="457C0722">
      <w:start w:val="1"/>
      <w:numFmt w:val="bullet"/>
      <w:lvlText w:val=""/>
      <w:lvlJc w:val="left"/>
      <w:pPr>
        <w:ind w:left="720" w:hanging="360"/>
      </w:pPr>
      <w:rPr>
        <w:rFonts w:ascii="Symbol" w:hAnsi="Symbol"/>
      </w:rPr>
    </w:lvl>
    <w:lvl w:ilvl="4" w:tplc="0CD80FAE">
      <w:start w:val="1"/>
      <w:numFmt w:val="bullet"/>
      <w:lvlText w:val=""/>
      <w:lvlJc w:val="left"/>
      <w:pPr>
        <w:ind w:left="720" w:hanging="360"/>
      </w:pPr>
      <w:rPr>
        <w:rFonts w:ascii="Symbol" w:hAnsi="Symbol"/>
      </w:rPr>
    </w:lvl>
    <w:lvl w:ilvl="5" w:tplc="FAE49F9C">
      <w:start w:val="1"/>
      <w:numFmt w:val="bullet"/>
      <w:lvlText w:val=""/>
      <w:lvlJc w:val="left"/>
      <w:pPr>
        <w:ind w:left="720" w:hanging="360"/>
      </w:pPr>
      <w:rPr>
        <w:rFonts w:ascii="Symbol" w:hAnsi="Symbol"/>
      </w:rPr>
    </w:lvl>
    <w:lvl w:ilvl="6" w:tplc="B57CE0D4">
      <w:start w:val="1"/>
      <w:numFmt w:val="bullet"/>
      <w:lvlText w:val=""/>
      <w:lvlJc w:val="left"/>
      <w:pPr>
        <w:ind w:left="720" w:hanging="360"/>
      </w:pPr>
      <w:rPr>
        <w:rFonts w:ascii="Symbol" w:hAnsi="Symbol"/>
      </w:rPr>
    </w:lvl>
    <w:lvl w:ilvl="7" w:tplc="BAEC740A">
      <w:start w:val="1"/>
      <w:numFmt w:val="bullet"/>
      <w:lvlText w:val=""/>
      <w:lvlJc w:val="left"/>
      <w:pPr>
        <w:ind w:left="720" w:hanging="360"/>
      </w:pPr>
      <w:rPr>
        <w:rFonts w:ascii="Symbol" w:hAnsi="Symbol"/>
      </w:rPr>
    </w:lvl>
    <w:lvl w:ilvl="8" w:tplc="113A32F6">
      <w:start w:val="1"/>
      <w:numFmt w:val="bullet"/>
      <w:lvlText w:val=""/>
      <w:lvlJc w:val="left"/>
      <w:pPr>
        <w:ind w:left="720" w:hanging="360"/>
      </w:pPr>
      <w:rPr>
        <w:rFonts w:ascii="Symbol" w:hAnsi="Symbol"/>
      </w:rPr>
    </w:lvl>
  </w:abstractNum>
  <w:abstractNum w:abstractNumId="12" w15:restartNumberingAfterBreak="0">
    <w:nsid w:val="116E5703"/>
    <w:multiLevelType w:val="hybridMultilevel"/>
    <w:tmpl w:val="AD3C7296"/>
    <w:lvl w:ilvl="0" w:tplc="609E220E">
      <w:start w:val="1"/>
      <w:numFmt w:val="bullet"/>
      <w:lvlText w:val=""/>
      <w:lvlJc w:val="left"/>
      <w:pPr>
        <w:ind w:left="720" w:hanging="360"/>
      </w:pPr>
      <w:rPr>
        <w:rFonts w:ascii="Symbol" w:hAnsi="Symbol"/>
      </w:rPr>
    </w:lvl>
    <w:lvl w:ilvl="1" w:tplc="E3DAAA84">
      <w:start w:val="1"/>
      <w:numFmt w:val="bullet"/>
      <w:lvlText w:val=""/>
      <w:lvlJc w:val="left"/>
      <w:pPr>
        <w:ind w:left="720" w:hanging="360"/>
      </w:pPr>
      <w:rPr>
        <w:rFonts w:ascii="Symbol" w:hAnsi="Symbol"/>
      </w:rPr>
    </w:lvl>
    <w:lvl w:ilvl="2" w:tplc="2AA45F5A">
      <w:start w:val="1"/>
      <w:numFmt w:val="bullet"/>
      <w:lvlText w:val=""/>
      <w:lvlJc w:val="left"/>
      <w:pPr>
        <w:ind w:left="720" w:hanging="360"/>
      </w:pPr>
      <w:rPr>
        <w:rFonts w:ascii="Symbol" w:hAnsi="Symbol"/>
      </w:rPr>
    </w:lvl>
    <w:lvl w:ilvl="3" w:tplc="6D864962">
      <w:start w:val="1"/>
      <w:numFmt w:val="bullet"/>
      <w:lvlText w:val=""/>
      <w:lvlJc w:val="left"/>
      <w:pPr>
        <w:ind w:left="720" w:hanging="360"/>
      </w:pPr>
      <w:rPr>
        <w:rFonts w:ascii="Symbol" w:hAnsi="Symbol"/>
      </w:rPr>
    </w:lvl>
    <w:lvl w:ilvl="4" w:tplc="81ECA26C">
      <w:start w:val="1"/>
      <w:numFmt w:val="bullet"/>
      <w:lvlText w:val=""/>
      <w:lvlJc w:val="left"/>
      <w:pPr>
        <w:ind w:left="720" w:hanging="360"/>
      </w:pPr>
      <w:rPr>
        <w:rFonts w:ascii="Symbol" w:hAnsi="Symbol"/>
      </w:rPr>
    </w:lvl>
    <w:lvl w:ilvl="5" w:tplc="92E6EE90">
      <w:start w:val="1"/>
      <w:numFmt w:val="bullet"/>
      <w:lvlText w:val=""/>
      <w:lvlJc w:val="left"/>
      <w:pPr>
        <w:ind w:left="720" w:hanging="360"/>
      </w:pPr>
      <w:rPr>
        <w:rFonts w:ascii="Symbol" w:hAnsi="Symbol"/>
      </w:rPr>
    </w:lvl>
    <w:lvl w:ilvl="6" w:tplc="973C5AD2">
      <w:start w:val="1"/>
      <w:numFmt w:val="bullet"/>
      <w:lvlText w:val=""/>
      <w:lvlJc w:val="left"/>
      <w:pPr>
        <w:ind w:left="720" w:hanging="360"/>
      </w:pPr>
      <w:rPr>
        <w:rFonts w:ascii="Symbol" w:hAnsi="Symbol"/>
      </w:rPr>
    </w:lvl>
    <w:lvl w:ilvl="7" w:tplc="93BAEEA0">
      <w:start w:val="1"/>
      <w:numFmt w:val="bullet"/>
      <w:lvlText w:val=""/>
      <w:lvlJc w:val="left"/>
      <w:pPr>
        <w:ind w:left="720" w:hanging="360"/>
      </w:pPr>
      <w:rPr>
        <w:rFonts w:ascii="Symbol" w:hAnsi="Symbol"/>
      </w:rPr>
    </w:lvl>
    <w:lvl w:ilvl="8" w:tplc="12549502">
      <w:start w:val="1"/>
      <w:numFmt w:val="bullet"/>
      <w:lvlText w:val=""/>
      <w:lvlJc w:val="left"/>
      <w:pPr>
        <w:ind w:left="720" w:hanging="360"/>
      </w:pPr>
      <w:rPr>
        <w:rFonts w:ascii="Symbol" w:hAnsi="Symbol"/>
      </w:rPr>
    </w:lvl>
  </w:abstractNum>
  <w:abstractNum w:abstractNumId="13"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3F66C78"/>
    <w:multiLevelType w:val="hybridMultilevel"/>
    <w:tmpl w:val="4370B242"/>
    <w:lvl w:ilvl="0" w:tplc="F39A01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65417E"/>
    <w:multiLevelType w:val="hybridMultilevel"/>
    <w:tmpl w:val="5EB6E06E"/>
    <w:lvl w:ilvl="0" w:tplc="57467172">
      <w:start w:val="1"/>
      <w:numFmt w:val="bullet"/>
      <w:lvlText w:val=""/>
      <w:lvlJc w:val="left"/>
      <w:pPr>
        <w:ind w:left="1060" w:hanging="360"/>
      </w:pPr>
      <w:rPr>
        <w:rFonts w:ascii="Symbol" w:hAnsi="Symbol"/>
      </w:rPr>
    </w:lvl>
    <w:lvl w:ilvl="1" w:tplc="C0E210F6">
      <w:start w:val="1"/>
      <w:numFmt w:val="bullet"/>
      <w:lvlText w:val=""/>
      <w:lvlJc w:val="left"/>
      <w:pPr>
        <w:ind w:left="1060" w:hanging="360"/>
      </w:pPr>
      <w:rPr>
        <w:rFonts w:ascii="Symbol" w:hAnsi="Symbol"/>
      </w:rPr>
    </w:lvl>
    <w:lvl w:ilvl="2" w:tplc="FA72A618">
      <w:start w:val="1"/>
      <w:numFmt w:val="bullet"/>
      <w:lvlText w:val=""/>
      <w:lvlJc w:val="left"/>
      <w:pPr>
        <w:ind w:left="1060" w:hanging="360"/>
      </w:pPr>
      <w:rPr>
        <w:rFonts w:ascii="Symbol" w:hAnsi="Symbol"/>
      </w:rPr>
    </w:lvl>
    <w:lvl w:ilvl="3" w:tplc="575E2FD2">
      <w:start w:val="1"/>
      <w:numFmt w:val="bullet"/>
      <w:lvlText w:val=""/>
      <w:lvlJc w:val="left"/>
      <w:pPr>
        <w:ind w:left="1060" w:hanging="360"/>
      </w:pPr>
      <w:rPr>
        <w:rFonts w:ascii="Symbol" w:hAnsi="Symbol"/>
      </w:rPr>
    </w:lvl>
    <w:lvl w:ilvl="4" w:tplc="DDE09C98">
      <w:start w:val="1"/>
      <w:numFmt w:val="bullet"/>
      <w:lvlText w:val=""/>
      <w:lvlJc w:val="left"/>
      <w:pPr>
        <w:ind w:left="1060" w:hanging="360"/>
      </w:pPr>
      <w:rPr>
        <w:rFonts w:ascii="Symbol" w:hAnsi="Symbol"/>
      </w:rPr>
    </w:lvl>
    <w:lvl w:ilvl="5" w:tplc="07D49088">
      <w:start w:val="1"/>
      <w:numFmt w:val="bullet"/>
      <w:lvlText w:val=""/>
      <w:lvlJc w:val="left"/>
      <w:pPr>
        <w:ind w:left="1060" w:hanging="360"/>
      </w:pPr>
      <w:rPr>
        <w:rFonts w:ascii="Symbol" w:hAnsi="Symbol"/>
      </w:rPr>
    </w:lvl>
    <w:lvl w:ilvl="6" w:tplc="5B982910">
      <w:start w:val="1"/>
      <w:numFmt w:val="bullet"/>
      <w:lvlText w:val=""/>
      <w:lvlJc w:val="left"/>
      <w:pPr>
        <w:ind w:left="1060" w:hanging="360"/>
      </w:pPr>
      <w:rPr>
        <w:rFonts w:ascii="Symbol" w:hAnsi="Symbol"/>
      </w:rPr>
    </w:lvl>
    <w:lvl w:ilvl="7" w:tplc="B2EA5E86">
      <w:start w:val="1"/>
      <w:numFmt w:val="bullet"/>
      <w:lvlText w:val=""/>
      <w:lvlJc w:val="left"/>
      <w:pPr>
        <w:ind w:left="1060" w:hanging="360"/>
      </w:pPr>
      <w:rPr>
        <w:rFonts w:ascii="Symbol" w:hAnsi="Symbol"/>
      </w:rPr>
    </w:lvl>
    <w:lvl w:ilvl="8" w:tplc="ACBAF74E">
      <w:start w:val="1"/>
      <w:numFmt w:val="bullet"/>
      <w:lvlText w:val=""/>
      <w:lvlJc w:val="left"/>
      <w:pPr>
        <w:ind w:left="1060" w:hanging="360"/>
      </w:pPr>
      <w:rPr>
        <w:rFonts w:ascii="Symbol" w:hAnsi="Symbol"/>
      </w:rPr>
    </w:lvl>
  </w:abstractNum>
  <w:abstractNum w:abstractNumId="16" w15:restartNumberingAfterBreak="0">
    <w:nsid w:val="19340633"/>
    <w:multiLevelType w:val="hybridMultilevel"/>
    <w:tmpl w:val="09C2D064"/>
    <w:lvl w:ilvl="0" w:tplc="25FCBA26">
      <w:start w:val="1"/>
      <w:numFmt w:val="bullet"/>
      <w:lvlText w:val=""/>
      <w:lvlJc w:val="left"/>
      <w:pPr>
        <w:ind w:left="720" w:hanging="360"/>
      </w:pPr>
      <w:rPr>
        <w:rFonts w:ascii="Symbol" w:hAnsi="Symbol"/>
      </w:rPr>
    </w:lvl>
    <w:lvl w:ilvl="1" w:tplc="C4046A88">
      <w:start w:val="1"/>
      <w:numFmt w:val="bullet"/>
      <w:lvlText w:val=""/>
      <w:lvlJc w:val="left"/>
      <w:pPr>
        <w:ind w:left="720" w:hanging="360"/>
      </w:pPr>
      <w:rPr>
        <w:rFonts w:ascii="Symbol" w:hAnsi="Symbol"/>
      </w:rPr>
    </w:lvl>
    <w:lvl w:ilvl="2" w:tplc="53683368">
      <w:start w:val="1"/>
      <w:numFmt w:val="bullet"/>
      <w:lvlText w:val=""/>
      <w:lvlJc w:val="left"/>
      <w:pPr>
        <w:ind w:left="720" w:hanging="360"/>
      </w:pPr>
      <w:rPr>
        <w:rFonts w:ascii="Symbol" w:hAnsi="Symbol"/>
      </w:rPr>
    </w:lvl>
    <w:lvl w:ilvl="3" w:tplc="91060A14">
      <w:start w:val="1"/>
      <w:numFmt w:val="bullet"/>
      <w:lvlText w:val=""/>
      <w:lvlJc w:val="left"/>
      <w:pPr>
        <w:ind w:left="720" w:hanging="360"/>
      </w:pPr>
      <w:rPr>
        <w:rFonts w:ascii="Symbol" w:hAnsi="Symbol"/>
      </w:rPr>
    </w:lvl>
    <w:lvl w:ilvl="4" w:tplc="F154A63A">
      <w:start w:val="1"/>
      <w:numFmt w:val="bullet"/>
      <w:lvlText w:val=""/>
      <w:lvlJc w:val="left"/>
      <w:pPr>
        <w:ind w:left="720" w:hanging="360"/>
      </w:pPr>
      <w:rPr>
        <w:rFonts w:ascii="Symbol" w:hAnsi="Symbol"/>
      </w:rPr>
    </w:lvl>
    <w:lvl w:ilvl="5" w:tplc="7AC09F68">
      <w:start w:val="1"/>
      <w:numFmt w:val="bullet"/>
      <w:lvlText w:val=""/>
      <w:lvlJc w:val="left"/>
      <w:pPr>
        <w:ind w:left="720" w:hanging="360"/>
      </w:pPr>
      <w:rPr>
        <w:rFonts w:ascii="Symbol" w:hAnsi="Symbol"/>
      </w:rPr>
    </w:lvl>
    <w:lvl w:ilvl="6" w:tplc="E07EFD1C">
      <w:start w:val="1"/>
      <w:numFmt w:val="bullet"/>
      <w:lvlText w:val=""/>
      <w:lvlJc w:val="left"/>
      <w:pPr>
        <w:ind w:left="720" w:hanging="360"/>
      </w:pPr>
      <w:rPr>
        <w:rFonts w:ascii="Symbol" w:hAnsi="Symbol"/>
      </w:rPr>
    </w:lvl>
    <w:lvl w:ilvl="7" w:tplc="CD70C9EA">
      <w:start w:val="1"/>
      <w:numFmt w:val="bullet"/>
      <w:lvlText w:val=""/>
      <w:lvlJc w:val="left"/>
      <w:pPr>
        <w:ind w:left="720" w:hanging="360"/>
      </w:pPr>
      <w:rPr>
        <w:rFonts w:ascii="Symbol" w:hAnsi="Symbol"/>
      </w:rPr>
    </w:lvl>
    <w:lvl w:ilvl="8" w:tplc="9A844B0E">
      <w:start w:val="1"/>
      <w:numFmt w:val="bullet"/>
      <w:lvlText w:val=""/>
      <w:lvlJc w:val="left"/>
      <w:pPr>
        <w:ind w:left="720" w:hanging="360"/>
      </w:pPr>
      <w:rPr>
        <w:rFonts w:ascii="Symbol" w:hAnsi="Symbol"/>
      </w:rPr>
    </w:lvl>
  </w:abstractNum>
  <w:abstractNum w:abstractNumId="17" w15:restartNumberingAfterBreak="0">
    <w:nsid w:val="1CB92D7E"/>
    <w:multiLevelType w:val="hybridMultilevel"/>
    <w:tmpl w:val="FC3AE81C"/>
    <w:lvl w:ilvl="0" w:tplc="1EDC5B2E">
      <w:start w:val="1"/>
      <w:numFmt w:val="bullet"/>
      <w:lvlText w:val=""/>
      <w:lvlJc w:val="left"/>
      <w:pPr>
        <w:ind w:left="720" w:hanging="360"/>
      </w:pPr>
      <w:rPr>
        <w:rFonts w:ascii="Symbol" w:hAnsi="Symbol"/>
      </w:rPr>
    </w:lvl>
    <w:lvl w:ilvl="1" w:tplc="53E85ECC">
      <w:start w:val="1"/>
      <w:numFmt w:val="bullet"/>
      <w:lvlText w:val=""/>
      <w:lvlJc w:val="left"/>
      <w:pPr>
        <w:ind w:left="720" w:hanging="360"/>
      </w:pPr>
      <w:rPr>
        <w:rFonts w:ascii="Symbol" w:hAnsi="Symbol"/>
      </w:rPr>
    </w:lvl>
    <w:lvl w:ilvl="2" w:tplc="236AFEEC">
      <w:start w:val="1"/>
      <w:numFmt w:val="bullet"/>
      <w:lvlText w:val=""/>
      <w:lvlJc w:val="left"/>
      <w:pPr>
        <w:ind w:left="720" w:hanging="360"/>
      </w:pPr>
      <w:rPr>
        <w:rFonts w:ascii="Symbol" w:hAnsi="Symbol"/>
      </w:rPr>
    </w:lvl>
    <w:lvl w:ilvl="3" w:tplc="44E2F478">
      <w:start w:val="1"/>
      <w:numFmt w:val="bullet"/>
      <w:lvlText w:val=""/>
      <w:lvlJc w:val="left"/>
      <w:pPr>
        <w:ind w:left="720" w:hanging="360"/>
      </w:pPr>
      <w:rPr>
        <w:rFonts w:ascii="Symbol" w:hAnsi="Symbol"/>
      </w:rPr>
    </w:lvl>
    <w:lvl w:ilvl="4" w:tplc="54A48892">
      <w:start w:val="1"/>
      <w:numFmt w:val="bullet"/>
      <w:lvlText w:val=""/>
      <w:lvlJc w:val="left"/>
      <w:pPr>
        <w:ind w:left="720" w:hanging="360"/>
      </w:pPr>
      <w:rPr>
        <w:rFonts w:ascii="Symbol" w:hAnsi="Symbol"/>
      </w:rPr>
    </w:lvl>
    <w:lvl w:ilvl="5" w:tplc="B60C5FC0">
      <w:start w:val="1"/>
      <w:numFmt w:val="bullet"/>
      <w:lvlText w:val=""/>
      <w:lvlJc w:val="left"/>
      <w:pPr>
        <w:ind w:left="720" w:hanging="360"/>
      </w:pPr>
      <w:rPr>
        <w:rFonts w:ascii="Symbol" w:hAnsi="Symbol"/>
      </w:rPr>
    </w:lvl>
    <w:lvl w:ilvl="6" w:tplc="A6AA5850">
      <w:start w:val="1"/>
      <w:numFmt w:val="bullet"/>
      <w:lvlText w:val=""/>
      <w:lvlJc w:val="left"/>
      <w:pPr>
        <w:ind w:left="720" w:hanging="360"/>
      </w:pPr>
      <w:rPr>
        <w:rFonts w:ascii="Symbol" w:hAnsi="Symbol"/>
      </w:rPr>
    </w:lvl>
    <w:lvl w:ilvl="7" w:tplc="8D6C0444">
      <w:start w:val="1"/>
      <w:numFmt w:val="bullet"/>
      <w:lvlText w:val=""/>
      <w:lvlJc w:val="left"/>
      <w:pPr>
        <w:ind w:left="720" w:hanging="360"/>
      </w:pPr>
      <w:rPr>
        <w:rFonts w:ascii="Symbol" w:hAnsi="Symbol"/>
      </w:rPr>
    </w:lvl>
    <w:lvl w:ilvl="8" w:tplc="08F882C2">
      <w:start w:val="1"/>
      <w:numFmt w:val="bullet"/>
      <w:lvlText w:val=""/>
      <w:lvlJc w:val="left"/>
      <w:pPr>
        <w:ind w:left="720" w:hanging="360"/>
      </w:pPr>
      <w:rPr>
        <w:rFonts w:ascii="Symbol" w:hAnsi="Symbol"/>
      </w:rPr>
    </w:lvl>
  </w:abstractNum>
  <w:abstractNum w:abstractNumId="18" w15:restartNumberingAfterBreak="0">
    <w:nsid w:val="1EFC5E3C"/>
    <w:multiLevelType w:val="hybridMultilevel"/>
    <w:tmpl w:val="FBE0863A"/>
    <w:lvl w:ilvl="0" w:tplc="F502E0D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506FC6"/>
    <w:multiLevelType w:val="hybridMultilevel"/>
    <w:tmpl w:val="778A49B0"/>
    <w:lvl w:ilvl="0" w:tplc="4EB256DA">
      <w:start w:val="1"/>
      <w:numFmt w:val="bullet"/>
      <w:lvlText w:val=""/>
      <w:lvlJc w:val="left"/>
      <w:pPr>
        <w:ind w:left="720" w:hanging="360"/>
      </w:pPr>
      <w:rPr>
        <w:rFonts w:ascii="Symbol" w:hAnsi="Symbol"/>
      </w:rPr>
    </w:lvl>
    <w:lvl w:ilvl="1" w:tplc="817C0F6A">
      <w:start w:val="1"/>
      <w:numFmt w:val="bullet"/>
      <w:lvlText w:val=""/>
      <w:lvlJc w:val="left"/>
      <w:pPr>
        <w:ind w:left="720" w:hanging="360"/>
      </w:pPr>
      <w:rPr>
        <w:rFonts w:ascii="Symbol" w:hAnsi="Symbol"/>
      </w:rPr>
    </w:lvl>
    <w:lvl w:ilvl="2" w:tplc="A6E41220">
      <w:start w:val="1"/>
      <w:numFmt w:val="bullet"/>
      <w:lvlText w:val=""/>
      <w:lvlJc w:val="left"/>
      <w:pPr>
        <w:ind w:left="720" w:hanging="360"/>
      </w:pPr>
      <w:rPr>
        <w:rFonts w:ascii="Symbol" w:hAnsi="Symbol"/>
      </w:rPr>
    </w:lvl>
    <w:lvl w:ilvl="3" w:tplc="A51825D2">
      <w:start w:val="1"/>
      <w:numFmt w:val="bullet"/>
      <w:lvlText w:val=""/>
      <w:lvlJc w:val="left"/>
      <w:pPr>
        <w:ind w:left="720" w:hanging="360"/>
      </w:pPr>
      <w:rPr>
        <w:rFonts w:ascii="Symbol" w:hAnsi="Symbol"/>
      </w:rPr>
    </w:lvl>
    <w:lvl w:ilvl="4" w:tplc="63669B98">
      <w:start w:val="1"/>
      <w:numFmt w:val="bullet"/>
      <w:lvlText w:val=""/>
      <w:lvlJc w:val="left"/>
      <w:pPr>
        <w:ind w:left="720" w:hanging="360"/>
      </w:pPr>
      <w:rPr>
        <w:rFonts w:ascii="Symbol" w:hAnsi="Symbol"/>
      </w:rPr>
    </w:lvl>
    <w:lvl w:ilvl="5" w:tplc="C78CF854">
      <w:start w:val="1"/>
      <w:numFmt w:val="bullet"/>
      <w:lvlText w:val=""/>
      <w:lvlJc w:val="left"/>
      <w:pPr>
        <w:ind w:left="720" w:hanging="360"/>
      </w:pPr>
      <w:rPr>
        <w:rFonts w:ascii="Symbol" w:hAnsi="Symbol"/>
      </w:rPr>
    </w:lvl>
    <w:lvl w:ilvl="6" w:tplc="366428F2">
      <w:start w:val="1"/>
      <w:numFmt w:val="bullet"/>
      <w:lvlText w:val=""/>
      <w:lvlJc w:val="left"/>
      <w:pPr>
        <w:ind w:left="720" w:hanging="360"/>
      </w:pPr>
      <w:rPr>
        <w:rFonts w:ascii="Symbol" w:hAnsi="Symbol"/>
      </w:rPr>
    </w:lvl>
    <w:lvl w:ilvl="7" w:tplc="3BE072A4">
      <w:start w:val="1"/>
      <w:numFmt w:val="bullet"/>
      <w:lvlText w:val=""/>
      <w:lvlJc w:val="left"/>
      <w:pPr>
        <w:ind w:left="720" w:hanging="360"/>
      </w:pPr>
      <w:rPr>
        <w:rFonts w:ascii="Symbol" w:hAnsi="Symbol"/>
      </w:rPr>
    </w:lvl>
    <w:lvl w:ilvl="8" w:tplc="8CE6FA1A">
      <w:start w:val="1"/>
      <w:numFmt w:val="bullet"/>
      <w:lvlText w:val=""/>
      <w:lvlJc w:val="left"/>
      <w:pPr>
        <w:ind w:left="720" w:hanging="360"/>
      </w:pPr>
      <w:rPr>
        <w:rFonts w:ascii="Symbol" w:hAnsi="Symbol"/>
      </w:rPr>
    </w:lvl>
  </w:abstractNum>
  <w:abstractNum w:abstractNumId="20" w15:restartNumberingAfterBreak="0">
    <w:nsid w:val="215B6A23"/>
    <w:multiLevelType w:val="hybridMultilevel"/>
    <w:tmpl w:val="4114F990"/>
    <w:lvl w:ilvl="0" w:tplc="C45217F8">
      <w:start w:val="1"/>
      <w:numFmt w:val="bullet"/>
      <w:lvlText w:val=""/>
      <w:lvlJc w:val="left"/>
      <w:pPr>
        <w:ind w:left="1060" w:hanging="360"/>
      </w:pPr>
      <w:rPr>
        <w:rFonts w:ascii="Symbol" w:hAnsi="Symbol"/>
      </w:rPr>
    </w:lvl>
    <w:lvl w:ilvl="1" w:tplc="D668FD00">
      <w:start w:val="1"/>
      <w:numFmt w:val="bullet"/>
      <w:lvlText w:val=""/>
      <w:lvlJc w:val="left"/>
      <w:pPr>
        <w:ind w:left="1060" w:hanging="360"/>
      </w:pPr>
      <w:rPr>
        <w:rFonts w:ascii="Symbol" w:hAnsi="Symbol"/>
      </w:rPr>
    </w:lvl>
    <w:lvl w:ilvl="2" w:tplc="92AC3E00">
      <w:start w:val="1"/>
      <w:numFmt w:val="bullet"/>
      <w:lvlText w:val=""/>
      <w:lvlJc w:val="left"/>
      <w:pPr>
        <w:ind w:left="1060" w:hanging="360"/>
      </w:pPr>
      <w:rPr>
        <w:rFonts w:ascii="Symbol" w:hAnsi="Symbol"/>
      </w:rPr>
    </w:lvl>
    <w:lvl w:ilvl="3" w:tplc="DFFC7526">
      <w:start w:val="1"/>
      <w:numFmt w:val="bullet"/>
      <w:lvlText w:val=""/>
      <w:lvlJc w:val="left"/>
      <w:pPr>
        <w:ind w:left="1060" w:hanging="360"/>
      </w:pPr>
      <w:rPr>
        <w:rFonts w:ascii="Symbol" w:hAnsi="Symbol"/>
      </w:rPr>
    </w:lvl>
    <w:lvl w:ilvl="4" w:tplc="CB24D8DE">
      <w:start w:val="1"/>
      <w:numFmt w:val="bullet"/>
      <w:lvlText w:val=""/>
      <w:lvlJc w:val="left"/>
      <w:pPr>
        <w:ind w:left="1060" w:hanging="360"/>
      </w:pPr>
      <w:rPr>
        <w:rFonts w:ascii="Symbol" w:hAnsi="Symbol"/>
      </w:rPr>
    </w:lvl>
    <w:lvl w:ilvl="5" w:tplc="6D52780E">
      <w:start w:val="1"/>
      <w:numFmt w:val="bullet"/>
      <w:lvlText w:val=""/>
      <w:lvlJc w:val="left"/>
      <w:pPr>
        <w:ind w:left="1060" w:hanging="360"/>
      </w:pPr>
      <w:rPr>
        <w:rFonts w:ascii="Symbol" w:hAnsi="Symbol"/>
      </w:rPr>
    </w:lvl>
    <w:lvl w:ilvl="6" w:tplc="13D2E2DA">
      <w:start w:val="1"/>
      <w:numFmt w:val="bullet"/>
      <w:lvlText w:val=""/>
      <w:lvlJc w:val="left"/>
      <w:pPr>
        <w:ind w:left="1060" w:hanging="360"/>
      </w:pPr>
      <w:rPr>
        <w:rFonts w:ascii="Symbol" w:hAnsi="Symbol"/>
      </w:rPr>
    </w:lvl>
    <w:lvl w:ilvl="7" w:tplc="78A6FEE8">
      <w:start w:val="1"/>
      <w:numFmt w:val="bullet"/>
      <w:lvlText w:val=""/>
      <w:lvlJc w:val="left"/>
      <w:pPr>
        <w:ind w:left="1060" w:hanging="360"/>
      </w:pPr>
      <w:rPr>
        <w:rFonts w:ascii="Symbol" w:hAnsi="Symbol"/>
      </w:rPr>
    </w:lvl>
    <w:lvl w:ilvl="8" w:tplc="A69E63EC">
      <w:start w:val="1"/>
      <w:numFmt w:val="bullet"/>
      <w:lvlText w:val=""/>
      <w:lvlJc w:val="left"/>
      <w:pPr>
        <w:ind w:left="1060" w:hanging="360"/>
      </w:pPr>
      <w:rPr>
        <w:rFonts w:ascii="Symbol" w:hAnsi="Symbol"/>
      </w:rPr>
    </w:lvl>
  </w:abstractNum>
  <w:abstractNum w:abstractNumId="2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26735385"/>
    <w:multiLevelType w:val="hybridMultilevel"/>
    <w:tmpl w:val="D83050F8"/>
    <w:lvl w:ilvl="0" w:tplc="C406A6B6">
      <w:start w:val="1"/>
      <w:numFmt w:val="bullet"/>
      <w:lvlText w:val=""/>
      <w:lvlJc w:val="left"/>
      <w:pPr>
        <w:ind w:left="720" w:hanging="360"/>
      </w:pPr>
      <w:rPr>
        <w:rFonts w:ascii="Symbol" w:hAnsi="Symbol"/>
      </w:rPr>
    </w:lvl>
    <w:lvl w:ilvl="1" w:tplc="02E67CE0">
      <w:start w:val="1"/>
      <w:numFmt w:val="bullet"/>
      <w:lvlText w:val=""/>
      <w:lvlJc w:val="left"/>
      <w:pPr>
        <w:ind w:left="720" w:hanging="360"/>
      </w:pPr>
      <w:rPr>
        <w:rFonts w:ascii="Symbol" w:hAnsi="Symbol"/>
      </w:rPr>
    </w:lvl>
    <w:lvl w:ilvl="2" w:tplc="100AC4CE">
      <w:start w:val="1"/>
      <w:numFmt w:val="bullet"/>
      <w:lvlText w:val=""/>
      <w:lvlJc w:val="left"/>
      <w:pPr>
        <w:ind w:left="720" w:hanging="360"/>
      </w:pPr>
      <w:rPr>
        <w:rFonts w:ascii="Symbol" w:hAnsi="Symbol"/>
      </w:rPr>
    </w:lvl>
    <w:lvl w:ilvl="3" w:tplc="8814FBE4">
      <w:start w:val="1"/>
      <w:numFmt w:val="bullet"/>
      <w:lvlText w:val=""/>
      <w:lvlJc w:val="left"/>
      <w:pPr>
        <w:ind w:left="720" w:hanging="360"/>
      </w:pPr>
      <w:rPr>
        <w:rFonts w:ascii="Symbol" w:hAnsi="Symbol"/>
      </w:rPr>
    </w:lvl>
    <w:lvl w:ilvl="4" w:tplc="0C00CBFA">
      <w:start w:val="1"/>
      <w:numFmt w:val="bullet"/>
      <w:lvlText w:val=""/>
      <w:lvlJc w:val="left"/>
      <w:pPr>
        <w:ind w:left="720" w:hanging="360"/>
      </w:pPr>
      <w:rPr>
        <w:rFonts w:ascii="Symbol" w:hAnsi="Symbol"/>
      </w:rPr>
    </w:lvl>
    <w:lvl w:ilvl="5" w:tplc="C478AE62">
      <w:start w:val="1"/>
      <w:numFmt w:val="bullet"/>
      <w:lvlText w:val=""/>
      <w:lvlJc w:val="left"/>
      <w:pPr>
        <w:ind w:left="720" w:hanging="360"/>
      </w:pPr>
      <w:rPr>
        <w:rFonts w:ascii="Symbol" w:hAnsi="Symbol"/>
      </w:rPr>
    </w:lvl>
    <w:lvl w:ilvl="6" w:tplc="9BF22E16">
      <w:start w:val="1"/>
      <w:numFmt w:val="bullet"/>
      <w:lvlText w:val=""/>
      <w:lvlJc w:val="left"/>
      <w:pPr>
        <w:ind w:left="720" w:hanging="360"/>
      </w:pPr>
      <w:rPr>
        <w:rFonts w:ascii="Symbol" w:hAnsi="Symbol"/>
      </w:rPr>
    </w:lvl>
    <w:lvl w:ilvl="7" w:tplc="84E48962">
      <w:start w:val="1"/>
      <w:numFmt w:val="bullet"/>
      <w:lvlText w:val=""/>
      <w:lvlJc w:val="left"/>
      <w:pPr>
        <w:ind w:left="720" w:hanging="360"/>
      </w:pPr>
      <w:rPr>
        <w:rFonts w:ascii="Symbol" w:hAnsi="Symbol"/>
      </w:rPr>
    </w:lvl>
    <w:lvl w:ilvl="8" w:tplc="1F9CF87C">
      <w:start w:val="1"/>
      <w:numFmt w:val="bullet"/>
      <w:lvlText w:val=""/>
      <w:lvlJc w:val="left"/>
      <w:pPr>
        <w:ind w:left="720" w:hanging="360"/>
      </w:pPr>
      <w:rPr>
        <w:rFonts w:ascii="Symbol" w:hAnsi="Symbol"/>
      </w:rPr>
    </w:lvl>
  </w:abstractNum>
  <w:abstractNum w:abstractNumId="23" w15:restartNumberingAfterBreak="0">
    <w:nsid w:val="31C22CA4"/>
    <w:multiLevelType w:val="hybridMultilevel"/>
    <w:tmpl w:val="BC523568"/>
    <w:lvl w:ilvl="0" w:tplc="529ECA5E">
      <w:start w:val="1"/>
      <w:numFmt w:val="bullet"/>
      <w:lvlText w:val=""/>
      <w:lvlJc w:val="left"/>
      <w:pPr>
        <w:ind w:left="1060" w:hanging="360"/>
      </w:pPr>
      <w:rPr>
        <w:rFonts w:ascii="Symbol" w:hAnsi="Symbol"/>
      </w:rPr>
    </w:lvl>
    <w:lvl w:ilvl="1" w:tplc="1FBA9C5C">
      <w:start w:val="1"/>
      <w:numFmt w:val="bullet"/>
      <w:lvlText w:val=""/>
      <w:lvlJc w:val="left"/>
      <w:pPr>
        <w:ind w:left="1060" w:hanging="360"/>
      </w:pPr>
      <w:rPr>
        <w:rFonts w:ascii="Symbol" w:hAnsi="Symbol"/>
      </w:rPr>
    </w:lvl>
    <w:lvl w:ilvl="2" w:tplc="1F3832BC">
      <w:start w:val="1"/>
      <w:numFmt w:val="bullet"/>
      <w:lvlText w:val=""/>
      <w:lvlJc w:val="left"/>
      <w:pPr>
        <w:ind w:left="1060" w:hanging="360"/>
      </w:pPr>
      <w:rPr>
        <w:rFonts w:ascii="Symbol" w:hAnsi="Symbol"/>
      </w:rPr>
    </w:lvl>
    <w:lvl w:ilvl="3" w:tplc="C0868764">
      <w:start w:val="1"/>
      <w:numFmt w:val="bullet"/>
      <w:lvlText w:val=""/>
      <w:lvlJc w:val="left"/>
      <w:pPr>
        <w:ind w:left="1060" w:hanging="360"/>
      </w:pPr>
      <w:rPr>
        <w:rFonts w:ascii="Symbol" w:hAnsi="Symbol"/>
      </w:rPr>
    </w:lvl>
    <w:lvl w:ilvl="4" w:tplc="87C29BBA">
      <w:start w:val="1"/>
      <w:numFmt w:val="bullet"/>
      <w:lvlText w:val=""/>
      <w:lvlJc w:val="left"/>
      <w:pPr>
        <w:ind w:left="1060" w:hanging="360"/>
      </w:pPr>
      <w:rPr>
        <w:rFonts w:ascii="Symbol" w:hAnsi="Symbol"/>
      </w:rPr>
    </w:lvl>
    <w:lvl w:ilvl="5" w:tplc="944245B0">
      <w:start w:val="1"/>
      <w:numFmt w:val="bullet"/>
      <w:lvlText w:val=""/>
      <w:lvlJc w:val="left"/>
      <w:pPr>
        <w:ind w:left="1060" w:hanging="360"/>
      </w:pPr>
      <w:rPr>
        <w:rFonts w:ascii="Symbol" w:hAnsi="Symbol"/>
      </w:rPr>
    </w:lvl>
    <w:lvl w:ilvl="6" w:tplc="E028F896">
      <w:start w:val="1"/>
      <w:numFmt w:val="bullet"/>
      <w:lvlText w:val=""/>
      <w:lvlJc w:val="left"/>
      <w:pPr>
        <w:ind w:left="1060" w:hanging="360"/>
      </w:pPr>
      <w:rPr>
        <w:rFonts w:ascii="Symbol" w:hAnsi="Symbol"/>
      </w:rPr>
    </w:lvl>
    <w:lvl w:ilvl="7" w:tplc="577A5DA8">
      <w:start w:val="1"/>
      <w:numFmt w:val="bullet"/>
      <w:lvlText w:val=""/>
      <w:lvlJc w:val="left"/>
      <w:pPr>
        <w:ind w:left="1060" w:hanging="360"/>
      </w:pPr>
      <w:rPr>
        <w:rFonts w:ascii="Symbol" w:hAnsi="Symbol"/>
      </w:rPr>
    </w:lvl>
    <w:lvl w:ilvl="8" w:tplc="93AEF872">
      <w:start w:val="1"/>
      <w:numFmt w:val="bullet"/>
      <w:lvlText w:val=""/>
      <w:lvlJc w:val="left"/>
      <w:pPr>
        <w:ind w:left="1060" w:hanging="360"/>
      </w:pPr>
      <w:rPr>
        <w:rFonts w:ascii="Symbol" w:hAnsi="Symbol"/>
      </w:rPr>
    </w:lvl>
  </w:abstractNum>
  <w:abstractNum w:abstractNumId="2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3DB62EFC"/>
    <w:multiLevelType w:val="hybridMultilevel"/>
    <w:tmpl w:val="595EE628"/>
    <w:lvl w:ilvl="0" w:tplc="3B8232BE">
      <w:start w:val="1"/>
      <w:numFmt w:val="bullet"/>
      <w:lvlText w:val=""/>
      <w:lvlJc w:val="left"/>
      <w:pPr>
        <w:ind w:left="720" w:hanging="360"/>
      </w:pPr>
      <w:rPr>
        <w:rFonts w:ascii="Symbol" w:hAnsi="Symbol"/>
      </w:rPr>
    </w:lvl>
    <w:lvl w:ilvl="1" w:tplc="F3EC2E62">
      <w:start w:val="1"/>
      <w:numFmt w:val="bullet"/>
      <w:lvlText w:val=""/>
      <w:lvlJc w:val="left"/>
      <w:pPr>
        <w:ind w:left="720" w:hanging="360"/>
      </w:pPr>
      <w:rPr>
        <w:rFonts w:ascii="Symbol" w:hAnsi="Symbol"/>
      </w:rPr>
    </w:lvl>
    <w:lvl w:ilvl="2" w:tplc="BDCCC1EE">
      <w:start w:val="1"/>
      <w:numFmt w:val="bullet"/>
      <w:lvlText w:val=""/>
      <w:lvlJc w:val="left"/>
      <w:pPr>
        <w:ind w:left="720" w:hanging="360"/>
      </w:pPr>
      <w:rPr>
        <w:rFonts w:ascii="Symbol" w:hAnsi="Symbol"/>
      </w:rPr>
    </w:lvl>
    <w:lvl w:ilvl="3" w:tplc="4E6036CE">
      <w:start w:val="1"/>
      <w:numFmt w:val="bullet"/>
      <w:lvlText w:val=""/>
      <w:lvlJc w:val="left"/>
      <w:pPr>
        <w:ind w:left="720" w:hanging="360"/>
      </w:pPr>
      <w:rPr>
        <w:rFonts w:ascii="Symbol" w:hAnsi="Symbol"/>
      </w:rPr>
    </w:lvl>
    <w:lvl w:ilvl="4" w:tplc="DD3C0208">
      <w:start w:val="1"/>
      <w:numFmt w:val="bullet"/>
      <w:lvlText w:val=""/>
      <w:lvlJc w:val="left"/>
      <w:pPr>
        <w:ind w:left="720" w:hanging="360"/>
      </w:pPr>
      <w:rPr>
        <w:rFonts w:ascii="Symbol" w:hAnsi="Symbol"/>
      </w:rPr>
    </w:lvl>
    <w:lvl w:ilvl="5" w:tplc="2918D3AE">
      <w:start w:val="1"/>
      <w:numFmt w:val="bullet"/>
      <w:lvlText w:val=""/>
      <w:lvlJc w:val="left"/>
      <w:pPr>
        <w:ind w:left="720" w:hanging="360"/>
      </w:pPr>
      <w:rPr>
        <w:rFonts w:ascii="Symbol" w:hAnsi="Symbol"/>
      </w:rPr>
    </w:lvl>
    <w:lvl w:ilvl="6" w:tplc="3132B80E">
      <w:start w:val="1"/>
      <w:numFmt w:val="bullet"/>
      <w:lvlText w:val=""/>
      <w:lvlJc w:val="left"/>
      <w:pPr>
        <w:ind w:left="720" w:hanging="360"/>
      </w:pPr>
      <w:rPr>
        <w:rFonts w:ascii="Symbol" w:hAnsi="Symbol"/>
      </w:rPr>
    </w:lvl>
    <w:lvl w:ilvl="7" w:tplc="9E3CDF4A">
      <w:start w:val="1"/>
      <w:numFmt w:val="bullet"/>
      <w:lvlText w:val=""/>
      <w:lvlJc w:val="left"/>
      <w:pPr>
        <w:ind w:left="720" w:hanging="360"/>
      </w:pPr>
      <w:rPr>
        <w:rFonts w:ascii="Symbol" w:hAnsi="Symbol"/>
      </w:rPr>
    </w:lvl>
    <w:lvl w:ilvl="8" w:tplc="DCC4E388">
      <w:start w:val="1"/>
      <w:numFmt w:val="bullet"/>
      <w:lvlText w:val=""/>
      <w:lvlJc w:val="left"/>
      <w:pPr>
        <w:ind w:left="720" w:hanging="360"/>
      </w:pPr>
      <w:rPr>
        <w:rFonts w:ascii="Symbol" w:hAnsi="Symbol"/>
      </w:rPr>
    </w:lvl>
  </w:abstractNum>
  <w:abstractNum w:abstractNumId="29" w15:restartNumberingAfterBreak="0">
    <w:nsid w:val="400A0A31"/>
    <w:multiLevelType w:val="hybridMultilevel"/>
    <w:tmpl w:val="408A7454"/>
    <w:lvl w:ilvl="0" w:tplc="31F605FA">
      <w:start w:val="1"/>
      <w:numFmt w:val="bullet"/>
      <w:lvlText w:val=""/>
      <w:lvlJc w:val="left"/>
      <w:pPr>
        <w:ind w:left="720" w:hanging="360"/>
      </w:pPr>
      <w:rPr>
        <w:rFonts w:ascii="Symbol" w:hAnsi="Symbol"/>
      </w:rPr>
    </w:lvl>
    <w:lvl w:ilvl="1" w:tplc="9E1405B0">
      <w:start w:val="1"/>
      <w:numFmt w:val="bullet"/>
      <w:lvlText w:val=""/>
      <w:lvlJc w:val="left"/>
      <w:pPr>
        <w:ind w:left="720" w:hanging="360"/>
      </w:pPr>
      <w:rPr>
        <w:rFonts w:ascii="Symbol" w:hAnsi="Symbol"/>
      </w:rPr>
    </w:lvl>
    <w:lvl w:ilvl="2" w:tplc="98DA7A1A">
      <w:start w:val="1"/>
      <w:numFmt w:val="bullet"/>
      <w:lvlText w:val=""/>
      <w:lvlJc w:val="left"/>
      <w:pPr>
        <w:ind w:left="720" w:hanging="360"/>
      </w:pPr>
      <w:rPr>
        <w:rFonts w:ascii="Symbol" w:hAnsi="Symbol"/>
      </w:rPr>
    </w:lvl>
    <w:lvl w:ilvl="3" w:tplc="931036C2">
      <w:start w:val="1"/>
      <w:numFmt w:val="bullet"/>
      <w:lvlText w:val=""/>
      <w:lvlJc w:val="left"/>
      <w:pPr>
        <w:ind w:left="720" w:hanging="360"/>
      </w:pPr>
      <w:rPr>
        <w:rFonts w:ascii="Symbol" w:hAnsi="Symbol"/>
      </w:rPr>
    </w:lvl>
    <w:lvl w:ilvl="4" w:tplc="140097B8">
      <w:start w:val="1"/>
      <w:numFmt w:val="bullet"/>
      <w:lvlText w:val=""/>
      <w:lvlJc w:val="left"/>
      <w:pPr>
        <w:ind w:left="720" w:hanging="360"/>
      </w:pPr>
      <w:rPr>
        <w:rFonts w:ascii="Symbol" w:hAnsi="Symbol"/>
      </w:rPr>
    </w:lvl>
    <w:lvl w:ilvl="5" w:tplc="FAFE9770">
      <w:start w:val="1"/>
      <w:numFmt w:val="bullet"/>
      <w:lvlText w:val=""/>
      <w:lvlJc w:val="left"/>
      <w:pPr>
        <w:ind w:left="720" w:hanging="360"/>
      </w:pPr>
      <w:rPr>
        <w:rFonts w:ascii="Symbol" w:hAnsi="Symbol"/>
      </w:rPr>
    </w:lvl>
    <w:lvl w:ilvl="6" w:tplc="53BCEBBE">
      <w:start w:val="1"/>
      <w:numFmt w:val="bullet"/>
      <w:lvlText w:val=""/>
      <w:lvlJc w:val="left"/>
      <w:pPr>
        <w:ind w:left="720" w:hanging="360"/>
      </w:pPr>
      <w:rPr>
        <w:rFonts w:ascii="Symbol" w:hAnsi="Symbol"/>
      </w:rPr>
    </w:lvl>
    <w:lvl w:ilvl="7" w:tplc="9B4054AA">
      <w:start w:val="1"/>
      <w:numFmt w:val="bullet"/>
      <w:lvlText w:val=""/>
      <w:lvlJc w:val="left"/>
      <w:pPr>
        <w:ind w:left="720" w:hanging="360"/>
      </w:pPr>
      <w:rPr>
        <w:rFonts w:ascii="Symbol" w:hAnsi="Symbol"/>
      </w:rPr>
    </w:lvl>
    <w:lvl w:ilvl="8" w:tplc="91365D92">
      <w:start w:val="1"/>
      <w:numFmt w:val="bullet"/>
      <w:lvlText w:val=""/>
      <w:lvlJc w:val="left"/>
      <w:pPr>
        <w:ind w:left="720" w:hanging="360"/>
      </w:pPr>
      <w:rPr>
        <w:rFonts w:ascii="Symbol" w:hAnsi="Symbol"/>
      </w:rPr>
    </w:lvl>
  </w:abstractNum>
  <w:abstractNum w:abstractNumId="30" w15:restartNumberingAfterBreak="0">
    <w:nsid w:val="43000973"/>
    <w:multiLevelType w:val="hybridMultilevel"/>
    <w:tmpl w:val="62AAAE3A"/>
    <w:lvl w:ilvl="0" w:tplc="7D20A1C4">
      <w:start w:val="1"/>
      <w:numFmt w:val="bullet"/>
      <w:lvlText w:val=""/>
      <w:lvlJc w:val="left"/>
      <w:pPr>
        <w:ind w:left="1060" w:hanging="360"/>
      </w:pPr>
      <w:rPr>
        <w:rFonts w:ascii="Symbol" w:hAnsi="Symbol"/>
      </w:rPr>
    </w:lvl>
    <w:lvl w:ilvl="1" w:tplc="5B32202C">
      <w:start w:val="1"/>
      <w:numFmt w:val="bullet"/>
      <w:lvlText w:val=""/>
      <w:lvlJc w:val="left"/>
      <w:pPr>
        <w:ind w:left="1060" w:hanging="360"/>
      </w:pPr>
      <w:rPr>
        <w:rFonts w:ascii="Symbol" w:hAnsi="Symbol"/>
      </w:rPr>
    </w:lvl>
    <w:lvl w:ilvl="2" w:tplc="B9C416F2">
      <w:start w:val="1"/>
      <w:numFmt w:val="bullet"/>
      <w:lvlText w:val=""/>
      <w:lvlJc w:val="left"/>
      <w:pPr>
        <w:ind w:left="1060" w:hanging="360"/>
      </w:pPr>
      <w:rPr>
        <w:rFonts w:ascii="Symbol" w:hAnsi="Symbol"/>
      </w:rPr>
    </w:lvl>
    <w:lvl w:ilvl="3" w:tplc="BEC06BEA">
      <w:start w:val="1"/>
      <w:numFmt w:val="bullet"/>
      <w:lvlText w:val=""/>
      <w:lvlJc w:val="left"/>
      <w:pPr>
        <w:ind w:left="1060" w:hanging="360"/>
      </w:pPr>
      <w:rPr>
        <w:rFonts w:ascii="Symbol" w:hAnsi="Symbol"/>
      </w:rPr>
    </w:lvl>
    <w:lvl w:ilvl="4" w:tplc="517A1D46">
      <w:start w:val="1"/>
      <w:numFmt w:val="bullet"/>
      <w:lvlText w:val=""/>
      <w:lvlJc w:val="left"/>
      <w:pPr>
        <w:ind w:left="1060" w:hanging="360"/>
      </w:pPr>
      <w:rPr>
        <w:rFonts w:ascii="Symbol" w:hAnsi="Symbol"/>
      </w:rPr>
    </w:lvl>
    <w:lvl w:ilvl="5" w:tplc="75687D62">
      <w:start w:val="1"/>
      <w:numFmt w:val="bullet"/>
      <w:lvlText w:val=""/>
      <w:lvlJc w:val="left"/>
      <w:pPr>
        <w:ind w:left="1060" w:hanging="360"/>
      </w:pPr>
      <w:rPr>
        <w:rFonts w:ascii="Symbol" w:hAnsi="Symbol"/>
      </w:rPr>
    </w:lvl>
    <w:lvl w:ilvl="6" w:tplc="B094A4F6">
      <w:start w:val="1"/>
      <w:numFmt w:val="bullet"/>
      <w:lvlText w:val=""/>
      <w:lvlJc w:val="left"/>
      <w:pPr>
        <w:ind w:left="1060" w:hanging="360"/>
      </w:pPr>
      <w:rPr>
        <w:rFonts w:ascii="Symbol" w:hAnsi="Symbol"/>
      </w:rPr>
    </w:lvl>
    <w:lvl w:ilvl="7" w:tplc="08D679F4">
      <w:start w:val="1"/>
      <w:numFmt w:val="bullet"/>
      <w:lvlText w:val=""/>
      <w:lvlJc w:val="left"/>
      <w:pPr>
        <w:ind w:left="1060" w:hanging="360"/>
      </w:pPr>
      <w:rPr>
        <w:rFonts w:ascii="Symbol" w:hAnsi="Symbol"/>
      </w:rPr>
    </w:lvl>
    <w:lvl w:ilvl="8" w:tplc="248A2568">
      <w:start w:val="1"/>
      <w:numFmt w:val="bullet"/>
      <w:lvlText w:val=""/>
      <w:lvlJc w:val="left"/>
      <w:pPr>
        <w:ind w:left="1060" w:hanging="360"/>
      </w:pPr>
      <w:rPr>
        <w:rFonts w:ascii="Symbol" w:hAnsi="Symbol"/>
      </w:rPr>
    </w:lvl>
  </w:abstractNum>
  <w:abstractNum w:abstractNumId="31" w15:restartNumberingAfterBreak="0">
    <w:nsid w:val="472B0879"/>
    <w:multiLevelType w:val="hybridMultilevel"/>
    <w:tmpl w:val="64686F40"/>
    <w:lvl w:ilvl="0" w:tplc="8CEA8F36">
      <w:start w:val="1"/>
      <w:numFmt w:val="bullet"/>
      <w:lvlText w:val=""/>
      <w:lvlJc w:val="left"/>
      <w:pPr>
        <w:ind w:left="1060" w:hanging="360"/>
      </w:pPr>
      <w:rPr>
        <w:rFonts w:ascii="Symbol" w:hAnsi="Symbol"/>
      </w:rPr>
    </w:lvl>
    <w:lvl w:ilvl="1" w:tplc="B3CC0CBA">
      <w:start w:val="1"/>
      <w:numFmt w:val="bullet"/>
      <w:lvlText w:val=""/>
      <w:lvlJc w:val="left"/>
      <w:pPr>
        <w:ind w:left="1060" w:hanging="360"/>
      </w:pPr>
      <w:rPr>
        <w:rFonts w:ascii="Symbol" w:hAnsi="Symbol"/>
      </w:rPr>
    </w:lvl>
    <w:lvl w:ilvl="2" w:tplc="B06C95B4">
      <w:start w:val="1"/>
      <w:numFmt w:val="bullet"/>
      <w:lvlText w:val=""/>
      <w:lvlJc w:val="left"/>
      <w:pPr>
        <w:ind w:left="1060" w:hanging="360"/>
      </w:pPr>
      <w:rPr>
        <w:rFonts w:ascii="Symbol" w:hAnsi="Symbol"/>
      </w:rPr>
    </w:lvl>
    <w:lvl w:ilvl="3" w:tplc="AE1E3086">
      <w:start w:val="1"/>
      <w:numFmt w:val="bullet"/>
      <w:lvlText w:val=""/>
      <w:lvlJc w:val="left"/>
      <w:pPr>
        <w:ind w:left="1060" w:hanging="360"/>
      </w:pPr>
      <w:rPr>
        <w:rFonts w:ascii="Symbol" w:hAnsi="Symbol"/>
      </w:rPr>
    </w:lvl>
    <w:lvl w:ilvl="4" w:tplc="F216D486">
      <w:start w:val="1"/>
      <w:numFmt w:val="bullet"/>
      <w:lvlText w:val=""/>
      <w:lvlJc w:val="left"/>
      <w:pPr>
        <w:ind w:left="1060" w:hanging="360"/>
      </w:pPr>
      <w:rPr>
        <w:rFonts w:ascii="Symbol" w:hAnsi="Symbol"/>
      </w:rPr>
    </w:lvl>
    <w:lvl w:ilvl="5" w:tplc="D0A28E64">
      <w:start w:val="1"/>
      <w:numFmt w:val="bullet"/>
      <w:lvlText w:val=""/>
      <w:lvlJc w:val="left"/>
      <w:pPr>
        <w:ind w:left="1060" w:hanging="360"/>
      </w:pPr>
      <w:rPr>
        <w:rFonts w:ascii="Symbol" w:hAnsi="Symbol"/>
      </w:rPr>
    </w:lvl>
    <w:lvl w:ilvl="6" w:tplc="365A9B90">
      <w:start w:val="1"/>
      <w:numFmt w:val="bullet"/>
      <w:lvlText w:val=""/>
      <w:lvlJc w:val="left"/>
      <w:pPr>
        <w:ind w:left="1060" w:hanging="360"/>
      </w:pPr>
      <w:rPr>
        <w:rFonts w:ascii="Symbol" w:hAnsi="Symbol"/>
      </w:rPr>
    </w:lvl>
    <w:lvl w:ilvl="7" w:tplc="86DE88AC">
      <w:start w:val="1"/>
      <w:numFmt w:val="bullet"/>
      <w:lvlText w:val=""/>
      <w:lvlJc w:val="left"/>
      <w:pPr>
        <w:ind w:left="1060" w:hanging="360"/>
      </w:pPr>
      <w:rPr>
        <w:rFonts w:ascii="Symbol" w:hAnsi="Symbol"/>
      </w:rPr>
    </w:lvl>
    <w:lvl w:ilvl="8" w:tplc="C54A4118">
      <w:start w:val="1"/>
      <w:numFmt w:val="bullet"/>
      <w:lvlText w:val=""/>
      <w:lvlJc w:val="left"/>
      <w:pPr>
        <w:ind w:left="1060" w:hanging="360"/>
      </w:pPr>
      <w:rPr>
        <w:rFonts w:ascii="Symbol" w:hAnsi="Symbol"/>
      </w:rPr>
    </w:lvl>
  </w:abstractNum>
  <w:abstractNum w:abstractNumId="32" w15:restartNumberingAfterBreak="0">
    <w:nsid w:val="49662168"/>
    <w:multiLevelType w:val="hybridMultilevel"/>
    <w:tmpl w:val="8A9C11DC"/>
    <w:lvl w:ilvl="0" w:tplc="8946D280">
      <w:start w:val="1"/>
      <w:numFmt w:val="bullet"/>
      <w:lvlText w:val=""/>
      <w:lvlJc w:val="left"/>
      <w:pPr>
        <w:ind w:left="1060" w:hanging="360"/>
      </w:pPr>
      <w:rPr>
        <w:rFonts w:ascii="Symbol" w:hAnsi="Symbol"/>
      </w:rPr>
    </w:lvl>
    <w:lvl w:ilvl="1" w:tplc="F738B892">
      <w:start w:val="1"/>
      <w:numFmt w:val="bullet"/>
      <w:lvlText w:val=""/>
      <w:lvlJc w:val="left"/>
      <w:pPr>
        <w:ind w:left="1060" w:hanging="360"/>
      </w:pPr>
      <w:rPr>
        <w:rFonts w:ascii="Symbol" w:hAnsi="Symbol"/>
      </w:rPr>
    </w:lvl>
    <w:lvl w:ilvl="2" w:tplc="4F887BB8">
      <w:start w:val="1"/>
      <w:numFmt w:val="bullet"/>
      <w:lvlText w:val=""/>
      <w:lvlJc w:val="left"/>
      <w:pPr>
        <w:ind w:left="1060" w:hanging="360"/>
      </w:pPr>
      <w:rPr>
        <w:rFonts w:ascii="Symbol" w:hAnsi="Symbol"/>
      </w:rPr>
    </w:lvl>
    <w:lvl w:ilvl="3" w:tplc="ABC4297E">
      <w:start w:val="1"/>
      <w:numFmt w:val="bullet"/>
      <w:lvlText w:val=""/>
      <w:lvlJc w:val="left"/>
      <w:pPr>
        <w:ind w:left="1060" w:hanging="360"/>
      </w:pPr>
      <w:rPr>
        <w:rFonts w:ascii="Symbol" w:hAnsi="Symbol"/>
      </w:rPr>
    </w:lvl>
    <w:lvl w:ilvl="4" w:tplc="328EC292">
      <w:start w:val="1"/>
      <w:numFmt w:val="bullet"/>
      <w:lvlText w:val=""/>
      <w:lvlJc w:val="left"/>
      <w:pPr>
        <w:ind w:left="1060" w:hanging="360"/>
      </w:pPr>
      <w:rPr>
        <w:rFonts w:ascii="Symbol" w:hAnsi="Symbol"/>
      </w:rPr>
    </w:lvl>
    <w:lvl w:ilvl="5" w:tplc="131EA896">
      <w:start w:val="1"/>
      <w:numFmt w:val="bullet"/>
      <w:lvlText w:val=""/>
      <w:lvlJc w:val="left"/>
      <w:pPr>
        <w:ind w:left="1060" w:hanging="360"/>
      </w:pPr>
      <w:rPr>
        <w:rFonts w:ascii="Symbol" w:hAnsi="Symbol"/>
      </w:rPr>
    </w:lvl>
    <w:lvl w:ilvl="6" w:tplc="EDF43C7E">
      <w:start w:val="1"/>
      <w:numFmt w:val="bullet"/>
      <w:lvlText w:val=""/>
      <w:lvlJc w:val="left"/>
      <w:pPr>
        <w:ind w:left="1060" w:hanging="360"/>
      </w:pPr>
      <w:rPr>
        <w:rFonts w:ascii="Symbol" w:hAnsi="Symbol"/>
      </w:rPr>
    </w:lvl>
    <w:lvl w:ilvl="7" w:tplc="089243EA">
      <w:start w:val="1"/>
      <w:numFmt w:val="bullet"/>
      <w:lvlText w:val=""/>
      <w:lvlJc w:val="left"/>
      <w:pPr>
        <w:ind w:left="1060" w:hanging="360"/>
      </w:pPr>
      <w:rPr>
        <w:rFonts w:ascii="Symbol" w:hAnsi="Symbol"/>
      </w:rPr>
    </w:lvl>
    <w:lvl w:ilvl="8" w:tplc="EFDC712E">
      <w:start w:val="1"/>
      <w:numFmt w:val="bullet"/>
      <w:lvlText w:val=""/>
      <w:lvlJc w:val="left"/>
      <w:pPr>
        <w:ind w:left="1060" w:hanging="360"/>
      </w:pPr>
      <w:rPr>
        <w:rFonts w:ascii="Symbol" w:hAnsi="Symbol"/>
      </w:rPr>
    </w:lvl>
  </w:abstractNum>
  <w:abstractNum w:abstractNumId="33" w15:restartNumberingAfterBreak="0">
    <w:nsid w:val="4E3458BC"/>
    <w:multiLevelType w:val="hybridMultilevel"/>
    <w:tmpl w:val="BCB4C106"/>
    <w:lvl w:ilvl="0" w:tplc="A86CE0BC">
      <w:start w:val="1"/>
      <w:numFmt w:val="bullet"/>
      <w:lvlText w:val=""/>
      <w:lvlJc w:val="left"/>
      <w:pPr>
        <w:ind w:left="720" w:hanging="360"/>
      </w:pPr>
      <w:rPr>
        <w:rFonts w:ascii="Symbol" w:hAnsi="Symbol"/>
      </w:rPr>
    </w:lvl>
    <w:lvl w:ilvl="1" w:tplc="2C74E4CE">
      <w:start w:val="1"/>
      <w:numFmt w:val="bullet"/>
      <w:lvlText w:val=""/>
      <w:lvlJc w:val="left"/>
      <w:pPr>
        <w:ind w:left="720" w:hanging="360"/>
      </w:pPr>
      <w:rPr>
        <w:rFonts w:ascii="Symbol" w:hAnsi="Symbol"/>
      </w:rPr>
    </w:lvl>
    <w:lvl w:ilvl="2" w:tplc="5F0EF7EE">
      <w:start w:val="1"/>
      <w:numFmt w:val="bullet"/>
      <w:lvlText w:val=""/>
      <w:lvlJc w:val="left"/>
      <w:pPr>
        <w:ind w:left="720" w:hanging="360"/>
      </w:pPr>
      <w:rPr>
        <w:rFonts w:ascii="Symbol" w:hAnsi="Symbol"/>
      </w:rPr>
    </w:lvl>
    <w:lvl w:ilvl="3" w:tplc="ED5A17B6">
      <w:start w:val="1"/>
      <w:numFmt w:val="bullet"/>
      <w:lvlText w:val=""/>
      <w:lvlJc w:val="left"/>
      <w:pPr>
        <w:ind w:left="720" w:hanging="360"/>
      </w:pPr>
      <w:rPr>
        <w:rFonts w:ascii="Symbol" w:hAnsi="Symbol"/>
      </w:rPr>
    </w:lvl>
    <w:lvl w:ilvl="4" w:tplc="0428B0BE">
      <w:start w:val="1"/>
      <w:numFmt w:val="bullet"/>
      <w:lvlText w:val=""/>
      <w:lvlJc w:val="left"/>
      <w:pPr>
        <w:ind w:left="720" w:hanging="360"/>
      </w:pPr>
      <w:rPr>
        <w:rFonts w:ascii="Symbol" w:hAnsi="Symbol"/>
      </w:rPr>
    </w:lvl>
    <w:lvl w:ilvl="5" w:tplc="EC3EA98C">
      <w:start w:val="1"/>
      <w:numFmt w:val="bullet"/>
      <w:lvlText w:val=""/>
      <w:lvlJc w:val="left"/>
      <w:pPr>
        <w:ind w:left="720" w:hanging="360"/>
      </w:pPr>
      <w:rPr>
        <w:rFonts w:ascii="Symbol" w:hAnsi="Symbol"/>
      </w:rPr>
    </w:lvl>
    <w:lvl w:ilvl="6" w:tplc="F238E158">
      <w:start w:val="1"/>
      <w:numFmt w:val="bullet"/>
      <w:lvlText w:val=""/>
      <w:lvlJc w:val="left"/>
      <w:pPr>
        <w:ind w:left="720" w:hanging="360"/>
      </w:pPr>
      <w:rPr>
        <w:rFonts w:ascii="Symbol" w:hAnsi="Symbol"/>
      </w:rPr>
    </w:lvl>
    <w:lvl w:ilvl="7" w:tplc="8286E708">
      <w:start w:val="1"/>
      <w:numFmt w:val="bullet"/>
      <w:lvlText w:val=""/>
      <w:lvlJc w:val="left"/>
      <w:pPr>
        <w:ind w:left="720" w:hanging="360"/>
      </w:pPr>
      <w:rPr>
        <w:rFonts w:ascii="Symbol" w:hAnsi="Symbol"/>
      </w:rPr>
    </w:lvl>
    <w:lvl w:ilvl="8" w:tplc="D5D03B8A">
      <w:start w:val="1"/>
      <w:numFmt w:val="bullet"/>
      <w:lvlText w:val=""/>
      <w:lvlJc w:val="left"/>
      <w:pPr>
        <w:ind w:left="720" w:hanging="360"/>
      </w:pPr>
      <w:rPr>
        <w:rFonts w:ascii="Symbol" w:hAnsi="Symbol"/>
      </w:rPr>
    </w:lvl>
  </w:abstractNum>
  <w:abstractNum w:abstractNumId="3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F1562"/>
    <w:multiLevelType w:val="hybridMultilevel"/>
    <w:tmpl w:val="F8022C34"/>
    <w:lvl w:ilvl="0" w:tplc="1604E8C2">
      <w:start w:val="1"/>
      <w:numFmt w:val="bullet"/>
      <w:lvlText w:val=""/>
      <w:lvlJc w:val="left"/>
      <w:pPr>
        <w:ind w:left="720" w:hanging="360"/>
      </w:pPr>
      <w:rPr>
        <w:rFonts w:ascii="Symbol" w:hAnsi="Symbol"/>
      </w:rPr>
    </w:lvl>
    <w:lvl w:ilvl="1" w:tplc="E7DCA79C">
      <w:start w:val="1"/>
      <w:numFmt w:val="bullet"/>
      <w:lvlText w:val=""/>
      <w:lvlJc w:val="left"/>
      <w:pPr>
        <w:ind w:left="720" w:hanging="360"/>
      </w:pPr>
      <w:rPr>
        <w:rFonts w:ascii="Symbol" w:hAnsi="Symbol"/>
      </w:rPr>
    </w:lvl>
    <w:lvl w:ilvl="2" w:tplc="81E6C67E">
      <w:start w:val="1"/>
      <w:numFmt w:val="bullet"/>
      <w:lvlText w:val=""/>
      <w:lvlJc w:val="left"/>
      <w:pPr>
        <w:ind w:left="720" w:hanging="360"/>
      </w:pPr>
      <w:rPr>
        <w:rFonts w:ascii="Symbol" w:hAnsi="Symbol"/>
      </w:rPr>
    </w:lvl>
    <w:lvl w:ilvl="3" w:tplc="7C904354">
      <w:start w:val="1"/>
      <w:numFmt w:val="bullet"/>
      <w:lvlText w:val=""/>
      <w:lvlJc w:val="left"/>
      <w:pPr>
        <w:ind w:left="720" w:hanging="360"/>
      </w:pPr>
      <w:rPr>
        <w:rFonts w:ascii="Symbol" w:hAnsi="Symbol"/>
      </w:rPr>
    </w:lvl>
    <w:lvl w:ilvl="4" w:tplc="6434897A">
      <w:start w:val="1"/>
      <w:numFmt w:val="bullet"/>
      <w:lvlText w:val=""/>
      <w:lvlJc w:val="left"/>
      <w:pPr>
        <w:ind w:left="720" w:hanging="360"/>
      </w:pPr>
      <w:rPr>
        <w:rFonts w:ascii="Symbol" w:hAnsi="Symbol"/>
      </w:rPr>
    </w:lvl>
    <w:lvl w:ilvl="5" w:tplc="AD32F680">
      <w:start w:val="1"/>
      <w:numFmt w:val="bullet"/>
      <w:lvlText w:val=""/>
      <w:lvlJc w:val="left"/>
      <w:pPr>
        <w:ind w:left="720" w:hanging="360"/>
      </w:pPr>
      <w:rPr>
        <w:rFonts w:ascii="Symbol" w:hAnsi="Symbol"/>
      </w:rPr>
    </w:lvl>
    <w:lvl w:ilvl="6" w:tplc="35488E0E">
      <w:start w:val="1"/>
      <w:numFmt w:val="bullet"/>
      <w:lvlText w:val=""/>
      <w:lvlJc w:val="left"/>
      <w:pPr>
        <w:ind w:left="720" w:hanging="360"/>
      </w:pPr>
      <w:rPr>
        <w:rFonts w:ascii="Symbol" w:hAnsi="Symbol"/>
      </w:rPr>
    </w:lvl>
    <w:lvl w:ilvl="7" w:tplc="451A600A">
      <w:start w:val="1"/>
      <w:numFmt w:val="bullet"/>
      <w:lvlText w:val=""/>
      <w:lvlJc w:val="left"/>
      <w:pPr>
        <w:ind w:left="720" w:hanging="360"/>
      </w:pPr>
      <w:rPr>
        <w:rFonts w:ascii="Symbol" w:hAnsi="Symbol"/>
      </w:rPr>
    </w:lvl>
    <w:lvl w:ilvl="8" w:tplc="D1F2EB34">
      <w:start w:val="1"/>
      <w:numFmt w:val="bullet"/>
      <w:lvlText w:val=""/>
      <w:lvlJc w:val="left"/>
      <w:pPr>
        <w:ind w:left="720" w:hanging="360"/>
      </w:pPr>
      <w:rPr>
        <w:rFonts w:ascii="Symbol" w:hAnsi="Symbol"/>
      </w:rPr>
    </w:lvl>
  </w:abstractNum>
  <w:num w:numId="1" w16cid:durableId="1316882765">
    <w:abstractNumId w:val="2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36"/>
  </w:num>
  <w:num w:numId="13" w16cid:durableId="695733619">
    <w:abstractNumId w:val="25"/>
  </w:num>
  <w:num w:numId="14" w16cid:durableId="145903400">
    <w:abstractNumId w:val="37"/>
  </w:num>
  <w:num w:numId="15" w16cid:durableId="19162326">
    <w:abstractNumId w:val="39"/>
  </w:num>
  <w:num w:numId="16" w16cid:durableId="1977102699">
    <w:abstractNumId w:val="38"/>
  </w:num>
  <w:num w:numId="17" w16cid:durableId="860774865">
    <w:abstractNumId w:val="24"/>
  </w:num>
  <w:num w:numId="18" w16cid:durableId="313221457">
    <w:abstractNumId w:val="25"/>
    <w:lvlOverride w:ilvl="0">
      <w:startOverride w:val="1"/>
    </w:lvlOverride>
  </w:num>
  <w:num w:numId="19" w16cid:durableId="534971577">
    <w:abstractNumId w:val="35"/>
  </w:num>
  <w:num w:numId="20" w16cid:durableId="1150947773">
    <w:abstractNumId w:val="34"/>
  </w:num>
  <w:num w:numId="21" w16cid:durableId="124660497">
    <w:abstractNumId w:val="27"/>
  </w:num>
  <w:num w:numId="22" w16cid:durableId="2099861471">
    <w:abstractNumId w:val="26"/>
  </w:num>
  <w:num w:numId="23" w16cid:durableId="84351335">
    <w:abstractNumId w:val="13"/>
  </w:num>
  <w:num w:numId="24" w16cid:durableId="1975870046">
    <w:abstractNumId w:val="23"/>
  </w:num>
  <w:num w:numId="25" w16cid:durableId="725222231">
    <w:abstractNumId w:val="22"/>
  </w:num>
  <w:num w:numId="26" w16cid:durableId="1634020314">
    <w:abstractNumId w:val="20"/>
  </w:num>
  <w:num w:numId="27" w16cid:durableId="1395658268">
    <w:abstractNumId w:val="31"/>
  </w:num>
  <w:num w:numId="28" w16cid:durableId="1782262339">
    <w:abstractNumId w:val="40"/>
  </w:num>
  <w:num w:numId="29" w16cid:durableId="1410620367">
    <w:abstractNumId w:val="33"/>
  </w:num>
  <w:num w:numId="30" w16cid:durableId="578322339">
    <w:abstractNumId w:val="10"/>
  </w:num>
  <w:num w:numId="31" w16cid:durableId="1631664294">
    <w:abstractNumId w:val="18"/>
  </w:num>
  <w:num w:numId="32" w16cid:durableId="993486819">
    <w:abstractNumId w:val="32"/>
  </w:num>
  <w:num w:numId="33" w16cid:durableId="1901743543">
    <w:abstractNumId w:val="16"/>
  </w:num>
  <w:num w:numId="34" w16cid:durableId="733048287">
    <w:abstractNumId w:val="30"/>
  </w:num>
  <w:num w:numId="35" w16cid:durableId="23362358">
    <w:abstractNumId w:val="12"/>
  </w:num>
  <w:num w:numId="36" w16cid:durableId="1908804607">
    <w:abstractNumId w:val="17"/>
  </w:num>
  <w:num w:numId="37" w16cid:durableId="811139845">
    <w:abstractNumId w:val="14"/>
  </w:num>
  <w:num w:numId="38" w16cid:durableId="869536217">
    <w:abstractNumId w:val="19"/>
  </w:num>
  <w:num w:numId="39" w16cid:durableId="181363921">
    <w:abstractNumId w:val="15"/>
  </w:num>
  <w:num w:numId="40" w16cid:durableId="905384577">
    <w:abstractNumId w:val="28"/>
  </w:num>
  <w:num w:numId="41" w16cid:durableId="277223436">
    <w:abstractNumId w:val="29"/>
  </w:num>
  <w:num w:numId="42" w16cid:durableId="11916440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C7C"/>
    <w:rsid w:val="000027C0"/>
    <w:rsid w:val="00002B8B"/>
    <w:rsid w:val="000030E5"/>
    <w:rsid w:val="000052FB"/>
    <w:rsid w:val="00005A19"/>
    <w:rsid w:val="00006C7F"/>
    <w:rsid w:val="00007110"/>
    <w:rsid w:val="0000793B"/>
    <w:rsid w:val="000117CB"/>
    <w:rsid w:val="00011B74"/>
    <w:rsid w:val="00015BD8"/>
    <w:rsid w:val="00017109"/>
    <w:rsid w:val="000173DE"/>
    <w:rsid w:val="0001799B"/>
    <w:rsid w:val="000216CD"/>
    <w:rsid w:val="0003148D"/>
    <w:rsid w:val="000315C4"/>
    <w:rsid w:val="00031EEC"/>
    <w:rsid w:val="0003753E"/>
    <w:rsid w:val="000376B3"/>
    <w:rsid w:val="00037D7A"/>
    <w:rsid w:val="000427D1"/>
    <w:rsid w:val="000468FE"/>
    <w:rsid w:val="000508BF"/>
    <w:rsid w:val="00051566"/>
    <w:rsid w:val="00055122"/>
    <w:rsid w:val="0005517E"/>
    <w:rsid w:val="000562A9"/>
    <w:rsid w:val="00057E42"/>
    <w:rsid w:val="00060740"/>
    <w:rsid w:val="0006080B"/>
    <w:rsid w:val="000612F3"/>
    <w:rsid w:val="00061693"/>
    <w:rsid w:val="00062A68"/>
    <w:rsid w:val="00062A9A"/>
    <w:rsid w:val="00065058"/>
    <w:rsid w:val="00067060"/>
    <w:rsid w:val="00070817"/>
    <w:rsid w:val="0007156C"/>
    <w:rsid w:val="0007445A"/>
    <w:rsid w:val="0007608E"/>
    <w:rsid w:val="00076309"/>
    <w:rsid w:val="000810AD"/>
    <w:rsid w:val="00081671"/>
    <w:rsid w:val="00082D83"/>
    <w:rsid w:val="0008370A"/>
    <w:rsid w:val="000868FE"/>
    <w:rsid w:val="00086C39"/>
    <w:rsid w:val="000902E9"/>
    <w:rsid w:val="00092546"/>
    <w:rsid w:val="000926B2"/>
    <w:rsid w:val="00092BE8"/>
    <w:rsid w:val="00093428"/>
    <w:rsid w:val="00094870"/>
    <w:rsid w:val="000959CD"/>
    <w:rsid w:val="0009600C"/>
    <w:rsid w:val="000962E3"/>
    <w:rsid w:val="000969E1"/>
    <w:rsid w:val="000A03B2"/>
    <w:rsid w:val="000A2092"/>
    <w:rsid w:val="000B34F8"/>
    <w:rsid w:val="000B3F28"/>
    <w:rsid w:val="000B548E"/>
    <w:rsid w:val="000B69D5"/>
    <w:rsid w:val="000C2290"/>
    <w:rsid w:val="000C50FF"/>
    <w:rsid w:val="000C56BF"/>
    <w:rsid w:val="000D0268"/>
    <w:rsid w:val="000D246B"/>
    <w:rsid w:val="000D34BE"/>
    <w:rsid w:val="000D441C"/>
    <w:rsid w:val="000D5C67"/>
    <w:rsid w:val="000D7663"/>
    <w:rsid w:val="000E0A22"/>
    <w:rsid w:val="000E0B3C"/>
    <w:rsid w:val="000E102F"/>
    <w:rsid w:val="000E15C1"/>
    <w:rsid w:val="000E36F1"/>
    <w:rsid w:val="000E3A73"/>
    <w:rsid w:val="000E414A"/>
    <w:rsid w:val="000E59B9"/>
    <w:rsid w:val="000E75FD"/>
    <w:rsid w:val="000F086C"/>
    <w:rsid w:val="000F093C"/>
    <w:rsid w:val="000F2543"/>
    <w:rsid w:val="000F5D86"/>
    <w:rsid w:val="000F6319"/>
    <w:rsid w:val="000F787B"/>
    <w:rsid w:val="00100CDA"/>
    <w:rsid w:val="001028DB"/>
    <w:rsid w:val="001032F5"/>
    <w:rsid w:val="0010449A"/>
    <w:rsid w:val="0010623D"/>
    <w:rsid w:val="0011213A"/>
    <w:rsid w:val="001178EE"/>
    <w:rsid w:val="0012037C"/>
    <w:rsid w:val="0012091F"/>
    <w:rsid w:val="00120CD6"/>
    <w:rsid w:val="001231D0"/>
    <w:rsid w:val="00123E40"/>
    <w:rsid w:val="00124FF3"/>
    <w:rsid w:val="00126592"/>
    <w:rsid w:val="00126BC2"/>
    <w:rsid w:val="001308B6"/>
    <w:rsid w:val="0013121F"/>
    <w:rsid w:val="00131E3C"/>
    <w:rsid w:val="00131FE6"/>
    <w:rsid w:val="0013263F"/>
    <w:rsid w:val="00132DB0"/>
    <w:rsid w:val="001331DF"/>
    <w:rsid w:val="00134DE4"/>
    <w:rsid w:val="00136A99"/>
    <w:rsid w:val="00137FBD"/>
    <w:rsid w:val="0014034D"/>
    <w:rsid w:val="00140FE3"/>
    <w:rsid w:val="0014170D"/>
    <w:rsid w:val="0014205C"/>
    <w:rsid w:val="00144575"/>
    <w:rsid w:val="00144D16"/>
    <w:rsid w:val="001461D6"/>
    <w:rsid w:val="0014637B"/>
    <w:rsid w:val="00146E11"/>
    <w:rsid w:val="001509C4"/>
    <w:rsid w:val="00150E59"/>
    <w:rsid w:val="00151D3C"/>
    <w:rsid w:val="00152DE3"/>
    <w:rsid w:val="001547BD"/>
    <w:rsid w:val="00154987"/>
    <w:rsid w:val="00154D8A"/>
    <w:rsid w:val="0015711D"/>
    <w:rsid w:val="0015725B"/>
    <w:rsid w:val="00162953"/>
    <w:rsid w:val="00162A26"/>
    <w:rsid w:val="00164CF9"/>
    <w:rsid w:val="001667A6"/>
    <w:rsid w:val="00166CB3"/>
    <w:rsid w:val="001720F0"/>
    <w:rsid w:val="00176716"/>
    <w:rsid w:val="0018171E"/>
    <w:rsid w:val="00184AD6"/>
    <w:rsid w:val="00187A08"/>
    <w:rsid w:val="00191F21"/>
    <w:rsid w:val="0019428B"/>
    <w:rsid w:val="00195342"/>
    <w:rsid w:val="00195E94"/>
    <w:rsid w:val="001A1C7B"/>
    <w:rsid w:val="001A3DE0"/>
    <w:rsid w:val="001A4AF7"/>
    <w:rsid w:val="001A5E4B"/>
    <w:rsid w:val="001A79E4"/>
    <w:rsid w:val="001B0127"/>
    <w:rsid w:val="001B0349"/>
    <w:rsid w:val="001B1E93"/>
    <w:rsid w:val="001B32CB"/>
    <w:rsid w:val="001B5540"/>
    <w:rsid w:val="001B65C1"/>
    <w:rsid w:val="001B6966"/>
    <w:rsid w:val="001C1FDA"/>
    <w:rsid w:val="001C2312"/>
    <w:rsid w:val="001C24C6"/>
    <w:rsid w:val="001C260F"/>
    <w:rsid w:val="001C5C3A"/>
    <w:rsid w:val="001C684B"/>
    <w:rsid w:val="001C7A64"/>
    <w:rsid w:val="001D0B90"/>
    <w:rsid w:val="001D0CFB"/>
    <w:rsid w:val="001D21AF"/>
    <w:rsid w:val="001D3360"/>
    <w:rsid w:val="001D342C"/>
    <w:rsid w:val="001D461B"/>
    <w:rsid w:val="001D53FC"/>
    <w:rsid w:val="001D799A"/>
    <w:rsid w:val="001E09AB"/>
    <w:rsid w:val="001E3D34"/>
    <w:rsid w:val="001E71CF"/>
    <w:rsid w:val="001F0730"/>
    <w:rsid w:val="001F1EE0"/>
    <w:rsid w:val="001F255F"/>
    <w:rsid w:val="001F4073"/>
    <w:rsid w:val="001F42A5"/>
    <w:rsid w:val="001F49A3"/>
    <w:rsid w:val="001F7814"/>
    <w:rsid w:val="001F7B9D"/>
    <w:rsid w:val="001F7E7A"/>
    <w:rsid w:val="00200393"/>
    <w:rsid w:val="00201C93"/>
    <w:rsid w:val="00202146"/>
    <w:rsid w:val="002027BD"/>
    <w:rsid w:val="00203354"/>
    <w:rsid w:val="002047F2"/>
    <w:rsid w:val="00205A42"/>
    <w:rsid w:val="00206697"/>
    <w:rsid w:val="002114B7"/>
    <w:rsid w:val="00212C57"/>
    <w:rsid w:val="0021491A"/>
    <w:rsid w:val="002151BC"/>
    <w:rsid w:val="0021710C"/>
    <w:rsid w:val="0021714D"/>
    <w:rsid w:val="00217FEA"/>
    <w:rsid w:val="00220AAE"/>
    <w:rsid w:val="002224B4"/>
    <w:rsid w:val="00222BA3"/>
    <w:rsid w:val="00226F23"/>
    <w:rsid w:val="00231ED4"/>
    <w:rsid w:val="00232530"/>
    <w:rsid w:val="00232CB6"/>
    <w:rsid w:val="0023302A"/>
    <w:rsid w:val="00233C55"/>
    <w:rsid w:val="00234E66"/>
    <w:rsid w:val="00236DE1"/>
    <w:rsid w:val="0023778E"/>
    <w:rsid w:val="00243311"/>
    <w:rsid w:val="00243759"/>
    <w:rsid w:val="00244540"/>
    <w:rsid w:val="002447EF"/>
    <w:rsid w:val="002456C9"/>
    <w:rsid w:val="00246AB9"/>
    <w:rsid w:val="002500BE"/>
    <w:rsid w:val="00251550"/>
    <w:rsid w:val="00253768"/>
    <w:rsid w:val="00253896"/>
    <w:rsid w:val="00254034"/>
    <w:rsid w:val="0025611B"/>
    <w:rsid w:val="002563ED"/>
    <w:rsid w:val="00257590"/>
    <w:rsid w:val="00261BD0"/>
    <w:rsid w:val="00262AEE"/>
    <w:rsid w:val="00263B05"/>
    <w:rsid w:val="00267354"/>
    <w:rsid w:val="00267D79"/>
    <w:rsid w:val="0027221A"/>
    <w:rsid w:val="002724BC"/>
    <w:rsid w:val="00273E52"/>
    <w:rsid w:val="00275B61"/>
    <w:rsid w:val="00280FAF"/>
    <w:rsid w:val="00282656"/>
    <w:rsid w:val="002844B9"/>
    <w:rsid w:val="00287E86"/>
    <w:rsid w:val="00291249"/>
    <w:rsid w:val="00291300"/>
    <w:rsid w:val="00292249"/>
    <w:rsid w:val="002963E3"/>
    <w:rsid w:val="00296B83"/>
    <w:rsid w:val="00297282"/>
    <w:rsid w:val="002A28CF"/>
    <w:rsid w:val="002A43FC"/>
    <w:rsid w:val="002A4A6E"/>
    <w:rsid w:val="002A588C"/>
    <w:rsid w:val="002A6087"/>
    <w:rsid w:val="002A69AC"/>
    <w:rsid w:val="002A7D7A"/>
    <w:rsid w:val="002B17CF"/>
    <w:rsid w:val="002B2915"/>
    <w:rsid w:val="002B3002"/>
    <w:rsid w:val="002B4015"/>
    <w:rsid w:val="002B42AC"/>
    <w:rsid w:val="002B4CC1"/>
    <w:rsid w:val="002B5B71"/>
    <w:rsid w:val="002B74DF"/>
    <w:rsid w:val="002B78CE"/>
    <w:rsid w:val="002C00C0"/>
    <w:rsid w:val="002C0B6C"/>
    <w:rsid w:val="002C16ED"/>
    <w:rsid w:val="002C239B"/>
    <w:rsid w:val="002C2FB6"/>
    <w:rsid w:val="002C3A78"/>
    <w:rsid w:val="002C6EEB"/>
    <w:rsid w:val="002D188B"/>
    <w:rsid w:val="002D1F4E"/>
    <w:rsid w:val="002D4A9F"/>
    <w:rsid w:val="002E04BB"/>
    <w:rsid w:val="002E12FD"/>
    <w:rsid w:val="002E5FA7"/>
    <w:rsid w:val="002E6342"/>
    <w:rsid w:val="002E65F8"/>
    <w:rsid w:val="002E70B5"/>
    <w:rsid w:val="002E78F0"/>
    <w:rsid w:val="002E7B06"/>
    <w:rsid w:val="002F3309"/>
    <w:rsid w:val="002F3394"/>
    <w:rsid w:val="002F5655"/>
    <w:rsid w:val="002F5867"/>
    <w:rsid w:val="002F6872"/>
    <w:rsid w:val="002F770C"/>
    <w:rsid w:val="002F7870"/>
    <w:rsid w:val="003008CE"/>
    <w:rsid w:val="003009B7"/>
    <w:rsid w:val="00300E56"/>
    <w:rsid w:val="0030152C"/>
    <w:rsid w:val="00302846"/>
    <w:rsid w:val="0030469C"/>
    <w:rsid w:val="00305F2E"/>
    <w:rsid w:val="00306616"/>
    <w:rsid w:val="00307C84"/>
    <w:rsid w:val="00310BF9"/>
    <w:rsid w:val="00316B2E"/>
    <w:rsid w:val="00321CA6"/>
    <w:rsid w:val="00323763"/>
    <w:rsid w:val="00323C5F"/>
    <w:rsid w:val="00325108"/>
    <w:rsid w:val="00325F7C"/>
    <w:rsid w:val="00326336"/>
    <w:rsid w:val="00330655"/>
    <w:rsid w:val="00332A75"/>
    <w:rsid w:val="00332C84"/>
    <w:rsid w:val="00334C09"/>
    <w:rsid w:val="00335376"/>
    <w:rsid w:val="00337620"/>
    <w:rsid w:val="00341B38"/>
    <w:rsid w:val="003448A2"/>
    <w:rsid w:val="00344FFB"/>
    <w:rsid w:val="0034722C"/>
    <w:rsid w:val="00347404"/>
    <w:rsid w:val="00351672"/>
    <w:rsid w:val="003539CC"/>
    <w:rsid w:val="00353DF6"/>
    <w:rsid w:val="0035517F"/>
    <w:rsid w:val="00361BC7"/>
    <w:rsid w:val="003661B3"/>
    <w:rsid w:val="003664C6"/>
    <w:rsid w:val="00366C29"/>
    <w:rsid w:val="003701E7"/>
    <w:rsid w:val="00370E17"/>
    <w:rsid w:val="00372301"/>
    <w:rsid w:val="003723D4"/>
    <w:rsid w:val="00372A11"/>
    <w:rsid w:val="00373EBA"/>
    <w:rsid w:val="00374D5B"/>
    <w:rsid w:val="003779E4"/>
    <w:rsid w:val="00381905"/>
    <w:rsid w:val="003833FB"/>
    <w:rsid w:val="003846D0"/>
    <w:rsid w:val="00384CC8"/>
    <w:rsid w:val="003871FD"/>
    <w:rsid w:val="0039288D"/>
    <w:rsid w:val="0039382A"/>
    <w:rsid w:val="00395E3C"/>
    <w:rsid w:val="00397E48"/>
    <w:rsid w:val="003A07E8"/>
    <w:rsid w:val="003A1AB5"/>
    <w:rsid w:val="003A1E30"/>
    <w:rsid w:val="003A2829"/>
    <w:rsid w:val="003A6A72"/>
    <w:rsid w:val="003A7D1C"/>
    <w:rsid w:val="003B00C8"/>
    <w:rsid w:val="003B28DF"/>
    <w:rsid w:val="003B304B"/>
    <w:rsid w:val="003B3146"/>
    <w:rsid w:val="003B49CD"/>
    <w:rsid w:val="003B63A1"/>
    <w:rsid w:val="003C0EA5"/>
    <w:rsid w:val="003C13D5"/>
    <w:rsid w:val="003C1D49"/>
    <w:rsid w:val="003C2D4A"/>
    <w:rsid w:val="003C2DFF"/>
    <w:rsid w:val="003C6782"/>
    <w:rsid w:val="003C70BF"/>
    <w:rsid w:val="003D1E02"/>
    <w:rsid w:val="003D35F5"/>
    <w:rsid w:val="003E0EFB"/>
    <w:rsid w:val="003F015E"/>
    <w:rsid w:val="003F3C54"/>
    <w:rsid w:val="003F75F1"/>
    <w:rsid w:val="00400030"/>
    <w:rsid w:val="00400414"/>
    <w:rsid w:val="00400DB5"/>
    <w:rsid w:val="00406595"/>
    <w:rsid w:val="00412429"/>
    <w:rsid w:val="00413F52"/>
    <w:rsid w:val="0041446B"/>
    <w:rsid w:val="00417DE8"/>
    <w:rsid w:val="00420E61"/>
    <w:rsid w:val="00421E82"/>
    <w:rsid w:val="00421F30"/>
    <w:rsid w:val="0042385A"/>
    <w:rsid w:val="004238A2"/>
    <w:rsid w:val="00424A14"/>
    <w:rsid w:val="00425C53"/>
    <w:rsid w:val="00427726"/>
    <w:rsid w:val="004320EC"/>
    <w:rsid w:val="00434996"/>
    <w:rsid w:val="00435BC6"/>
    <w:rsid w:val="0044071E"/>
    <w:rsid w:val="0044329C"/>
    <w:rsid w:val="00443F03"/>
    <w:rsid w:val="004442E5"/>
    <w:rsid w:val="00445CC5"/>
    <w:rsid w:val="00447885"/>
    <w:rsid w:val="00451095"/>
    <w:rsid w:val="00452C66"/>
    <w:rsid w:val="00453E24"/>
    <w:rsid w:val="0045470A"/>
    <w:rsid w:val="00457456"/>
    <w:rsid w:val="00457616"/>
    <w:rsid w:val="004577FE"/>
    <w:rsid w:val="00457B9C"/>
    <w:rsid w:val="0046164A"/>
    <w:rsid w:val="00461C93"/>
    <w:rsid w:val="00461F97"/>
    <w:rsid w:val="00462079"/>
    <w:rsid w:val="004628D2"/>
    <w:rsid w:val="00462DCD"/>
    <w:rsid w:val="00463562"/>
    <w:rsid w:val="004648AD"/>
    <w:rsid w:val="00464A32"/>
    <w:rsid w:val="00464C1E"/>
    <w:rsid w:val="004653ED"/>
    <w:rsid w:val="004703A9"/>
    <w:rsid w:val="00470F6B"/>
    <w:rsid w:val="004754CC"/>
    <w:rsid w:val="004760DE"/>
    <w:rsid w:val="004763D7"/>
    <w:rsid w:val="004811A8"/>
    <w:rsid w:val="00482C3A"/>
    <w:rsid w:val="00482E74"/>
    <w:rsid w:val="0048460A"/>
    <w:rsid w:val="00485B5E"/>
    <w:rsid w:val="00487496"/>
    <w:rsid w:val="00487ED6"/>
    <w:rsid w:val="004924A6"/>
    <w:rsid w:val="00492E8B"/>
    <w:rsid w:val="00494762"/>
    <w:rsid w:val="004947A6"/>
    <w:rsid w:val="00495A10"/>
    <w:rsid w:val="00496122"/>
    <w:rsid w:val="00496A67"/>
    <w:rsid w:val="00496D14"/>
    <w:rsid w:val="00496EE0"/>
    <w:rsid w:val="004A004E"/>
    <w:rsid w:val="004A1515"/>
    <w:rsid w:val="004A1F93"/>
    <w:rsid w:val="004A22FB"/>
    <w:rsid w:val="004A24CF"/>
    <w:rsid w:val="004A609C"/>
    <w:rsid w:val="004A7BF1"/>
    <w:rsid w:val="004B315C"/>
    <w:rsid w:val="004B38E7"/>
    <w:rsid w:val="004B421D"/>
    <w:rsid w:val="004B4C04"/>
    <w:rsid w:val="004B685F"/>
    <w:rsid w:val="004B7258"/>
    <w:rsid w:val="004B7F8B"/>
    <w:rsid w:val="004C0414"/>
    <w:rsid w:val="004C1755"/>
    <w:rsid w:val="004C3862"/>
    <w:rsid w:val="004C3D1D"/>
    <w:rsid w:val="004C3D84"/>
    <w:rsid w:val="004C3FE1"/>
    <w:rsid w:val="004C484A"/>
    <w:rsid w:val="004C7913"/>
    <w:rsid w:val="004D0396"/>
    <w:rsid w:val="004D046E"/>
    <w:rsid w:val="004D12EF"/>
    <w:rsid w:val="004D4E2E"/>
    <w:rsid w:val="004D59C0"/>
    <w:rsid w:val="004E085D"/>
    <w:rsid w:val="004E3381"/>
    <w:rsid w:val="004E4DD6"/>
    <w:rsid w:val="004E55FA"/>
    <w:rsid w:val="004E74DE"/>
    <w:rsid w:val="004F3F49"/>
    <w:rsid w:val="004F57C9"/>
    <w:rsid w:val="004F5E36"/>
    <w:rsid w:val="00501C76"/>
    <w:rsid w:val="00502710"/>
    <w:rsid w:val="00504AB1"/>
    <w:rsid w:val="00504C2F"/>
    <w:rsid w:val="00506EEB"/>
    <w:rsid w:val="00507B47"/>
    <w:rsid w:val="00507BEF"/>
    <w:rsid w:val="00507CC9"/>
    <w:rsid w:val="005119A5"/>
    <w:rsid w:val="00511B7D"/>
    <w:rsid w:val="00511CF6"/>
    <w:rsid w:val="00512C12"/>
    <w:rsid w:val="00513144"/>
    <w:rsid w:val="0051349D"/>
    <w:rsid w:val="00513BAB"/>
    <w:rsid w:val="005145EC"/>
    <w:rsid w:val="00514ED6"/>
    <w:rsid w:val="00515067"/>
    <w:rsid w:val="005227EC"/>
    <w:rsid w:val="0052595F"/>
    <w:rsid w:val="0052759C"/>
    <w:rsid w:val="005278B7"/>
    <w:rsid w:val="005307EA"/>
    <w:rsid w:val="005308CC"/>
    <w:rsid w:val="00532016"/>
    <w:rsid w:val="0053468B"/>
    <w:rsid w:val="005346C8"/>
    <w:rsid w:val="005356CA"/>
    <w:rsid w:val="005424FC"/>
    <w:rsid w:val="005435F9"/>
    <w:rsid w:val="00543E7D"/>
    <w:rsid w:val="00547A68"/>
    <w:rsid w:val="0055078A"/>
    <w:rsid w:val="005513EE"/>
    <w:rsid w:val="00552A5B"/>
    <w:rsid w:val="005531C9"/>
    <w:rsid w:val="00554869"/>
    <w:rsid w:val="00554879"/>
    <w:rsid w:val="00556760"/>
    <w:rsid w:val="00557076"/>
    <w:rsid w:val="005638F5"/>
    <w:rsid w:val="00563CC8"/>
    <w:rsid w:val="005657F3"/>
    <w:rsid w:val="00566777"/>
    <w:rsid w:val="0056791E"/>
    <w:rsid w:val="005709F3"/>
    <w:rsid w:val="00570C43"/>
    <w:rsid w:val="00573E95"/>
    <w:rsid w:val="0057712B"/>
    <w:rsid w:val="005772E5"/>
    <w:rsid w:val="00582DC1"/>
    <w:rsid w:val="00587122"/>
    <w:rsid w:val="00587285"/>
    <w:rsid w:val="00592274"/>
    <w:rsid w:val="00592E3D"/>
    <w:rsid w:val="0059625A"/>
    <w:rsid w:val="005970FC"/>
    <w:rsid w:val="005A0522"/>
    <w:rsid w:val="005B2110"/>
    <w:rsid w:val="005B350B"/>
    <w:rsid w:val="005B5562"/>
    <w:rsid w:val="005B5BFB"/>
    <w:rsid w:val="005B5FEB"/>
    <w:rsid w:val="005B61E6"/>
    <w:rsid w:val="005B64A1"/>
    <w:rsid w:val="005B669F"/>
    <w:rsid w:val="005C77E1"/>
    <w:rsid w:val="005C79E9"/>
    <w:rsid w:val="005D0A9F"/>
    <w:rsid w:val="005D1070"/>
    <w:rsid w:val="005D30A6"/>
    <w:rsid w:val="005D61BC"/>
    <w:rsid w:val="005D668A"/>
    <w:rsid w:val="005D6A2F"/>
    <w:rsid w:val="005D7125"/>
    <w:rsid w:val="005D7798"/>
    <w:rsid w:val="005E0592"/>
    <w:rsid w:val="005E1A82"/>
    <w:rsid w:val="005E2C87"/>
    <w:rsid w:val="005E63CE"/>
    <w:rsid w:val="005E794C"/>
    <w:rsid w:val="005F0A28"/>
    <w:rsid w:val="005F0E5E"/>
    <w:rsid w:val="005F125B"/>
    <w:rsid w:val="005F2352"/>
    <w:rsid w:val="005F45D8"/>
    <w:rsid w:val="005F4FCF"/>
    <w:rsid w:val="005F6B8B"/>
    <w:rsid w:val="00600535"/>
    <w:rsid w:val="0060066E"/>
    <w:rsid w:val="00601806"/>
    <w:rsid w:val="006025F3"/>
    <w:rsid w:val="0060325B"/>
    <w:rsid w:val="0060569D"/>
    <w:rsid w:val="00606DEC"/>
    <w:rsid w:val="00610CD6"/>
    <w:rsid w:val="006111CC"/>
    <w:rsid w:val="006113F2"/>
    <w:rsid w:val="00611B72"/>
    <w:rsid w:val="00613A37"/>
    <w:rsid w:val="006147C7"/>
    <w:rsid w:val="0061545F"/>
    <w:rsid w:val="00620DEE"/>
    <w:rsid w:val="00621F92"/>
    <w:rsid w:val="0062280A"/>
    <w:rsid w:val="006231E1"/>
    <w:rsid w:val="0062377C"/>
    <w:rsid w:val="00623899"/>
    <w:rsid w:val="00625639"/>
    <w:rsid w:val="00626D8B"/>
    <w:rsid w:val="0062718F"/>
    <w:rsid w:val="0062723A"/>
    <w:rsid w:val="00631B33"/>
    <w:rsid w:val="00633E55"/>
    <w:rsid w:val="006368F0"/>
    <w:rsid w:val="00636FE8"/>
    <w:rsid w:val="00640913"/>
    <w:rsid w:val="0064184D"/>
    <w:rsid w:val="006419D6"/>
    <w:rsid w:val="006422CC"/>
    <w:rsid w:val="0064356A"/>
    <w:rsid w:val="0064584C"/>
    <w:rsid w:val="006470DB"/>
    <w:rsid w:val="00647A06"/>
    <w:rsid w:val="006501FA"/>
    <w:rsid w:val="00651D18"/>
    <w:rsid w:val="0065415D"/>
    <w:rsid w:val="00656D59"/>
    <w:rsid w:val="00657C88"/>
    <w:rsid w:val="00660E3E"/>
    <w:rsid w:val="0066102D"/>
    <w:rsid w:val="00662E74"/>
    <w:rsid w:val="00663656"/>
    <w:rsid w:val="006707F3"/>
    <w:rsid w:val="00672168"/>
    <w:rsid w:val="006741A2"/>
    <w:rsid w:val="00680C23"/>
    <w:rsid w:val="00683468"/>
    <w:rsid w:val="00683E23"/>
    <w:rsid w:val="006848F6"/>
    <w:rsid w:val="006848FD"/>
    <w:rsid w:val="006916E9"/>
    <w:rsid w:val="00693766"/>
    <w:rsid w:val="00694F26"/>
    <w:rsid w:val="0069702B"/>
    <w:rsid w:val="00697D02"/>
    <w:rsid w:val="006A2A32"/>
    <w:rsid w:val="006A2BA8"/>
    <w:rsid w:val="006A3281"/>
    <w:rsid w:val="006A47C5"/>
    <w:rsid w:val="006A4A41"/>
    <w:rsid w:val="006A6DE5"/>
    <w:rsid w:val="006B0CCA"/>
    <w:rsid w:val="006B4888"/>
    <w:rsid w:val="006B6CAC"/>
    <w:rsid w:val="006C2762"/>
    <w:rsid w:val="006C2E45"/>
    <w:rsid w:val="006C2FD2"/>
    <w:rsid w:val="006C359C"/>
    <w:rsid w:val="006C5579"/>
    <w:rsid w:val="006C5E3D"/>
    <w:rsid w:val="006C6AB0"/>
    <w:rsid w:val="006D06E8"/>
    <w:rsid w:val="006D6286"/>
    <w:rsid w:val="006D6E8B"/>
    <w:rsid w:val="006D7209"/>
    <w:rsid w:val="006E2A90"/>
    <w:rsid w:val="006E2C12"/>
    <w:rsid w:val="006E737D"/>
    <w:rsid w:val="006F0412"/>
    <w:rsid w:val="006F38DA"/>
    <w:rsid w:val="006F3BB1"/>
    <w:rsid w:val="006F5410"/>
    <w:rsid w:val="00700168"/>
    <w:rsid w:val="00703256"/>
    <w:rsid w:val="007048D9"/>
    <w:rsid w:val="007049D1"/>
    <w:rsid w:val="00704ED1"/>
    <w:rsid w:val="0070697C"/>
    <w:rsid w:val="00707189"/>
    <w:rsid w:val="00707DD1"/>
    <w:rsid w:val="00710857"/>
    <w:rsid w:val="00711E84"/>
    <w:rsid w:val="007124DA"/>
    <w:rsid w:val="00712FD5"/>
    <w:rsid w:val="007138C6"/>
    <w:rsid w:val="00713973"/>
    <w:rsid w:val="00713C24"/>
    <w:rsid w:val="00714775"/>
    <w:rsid w:val="00720A24"/>
    <w:rsid w:val="007210C2"/>
    <w:rsid w:val="00723439"/>
    <w:rsid w:val="00723A70"/>
    <w:rsid w:val="00730512"/>
    <w:rsid w:val="00731143"/>
    <w:rsid w:val="007311F3"/>
    <w:rsid w:val="00731E4E"/>
    <w:rsid w:val="00732386"/>
    <w:rsid w:val="00732D89"/>
    <w:rsid w:val="0073507F"/>
    <w:rsid w:val="0073514D"/>
    <w:rsid w:val="00736B2D"/>
    <w:rsid w:val="00737EC0"/>
    <w:rsid w:val="007419CE"/>
    <w:rsid w:val="00742CF1"/>
    <w:rsid w:val="00743357"/>
    <w:rsid w:val="00743990"/>
    <w:rsid w:val="007447F3"/>
    <w:rsid w:val="0075211C"/>
    <w:rsid w:val="00753EAF"/>
    <w:rsid w:val="0075499F"/>
    <w:rsid w:val="007567E7"/>
    <w:rsid w:val="0075690B"/>
    <w:rsid w:val="00757570"/>
    <w:rsid w:val="00761152"/>
    <w:rsid w:val="0076230A"/>
    <w:rsid w:val="00763445"/>
    <w:rsid w:val="007661C8"/>
    <w:rsid w:val="00770583"/>
    <w:rsid w:val="0077098D"/>
    <w:rsid w:val="0077437E"/>
    <w:rsid w:val="00775A64"/>
    <w:rsid w:val="007800DF"/>
    <w:rsid w:val="007810AE"/>
    <w:rsid w:val="00782D21"/>
    <w:rsid w:val="00783BA2"/>
    <w:rsid w:val="00785BF9"/>
    <w:rsid w:val="0078640F"/>
    <w:rsid w:val="007931FA"/>
    <w:rsid w:val="0079396D"/>
    <w:rsid w:val="00793A2E"/>
    <w:rsid w:val="0079514D"/>
    <w:rsid w:val="007961E6"/>
    <w:rsid w:val="007A09B1"/>
    <w:rsid w:val="007A21EB"/>
    <w:rsid w:val="007A4513"/>
    <w:rsid w:val="007A4861"/>
    <w:rsid w:val="007A6493"/>
    <w:rsid w:val="007A7BBA"/>
    <w:rsid w:val="007B0C50"/>
    <w:rsid w:val="007B48F9"/>
    <w:rsid w:val="007B5391"/>
    <w:rsid w:val="007B5878"/>
    <w:rsid w:val="007B59BD"/>
    <w:rsid w:val="007C0972"/>
    <w:rsid w:val="007C1A43"/>
    <w:rsid w:val="007C1EF6"/>
    <w:rsid w:val="007C1F80"/>
    <w:rsid w:val="007C45A1"/>
    <w:rsid w:val="007C4FC7"/>
    <w:rsid w:val="007D0951"/>
    <w:rsid w:val="007D3310"/>
    <w:rsid w:val="007D610D"/>
    <w:rsid w:val="007D6748"/>
    <w:rsid w:val="007D6B51"/>
    <w:rsid w:val="007D73C2"/>
    <w:rsid w:val="007D7BB1"/>
    <w:rsid w:val="007E44B2"/>
    <w:rsid w:val="007F1AB8"/>
    <w:rsid w:val="007F1FE8"/>
    <w:rsid w:val="007F3DFE"/>
    <w:rsid w:val="007F3FEA"/>
    <w:rsid w:val="007F4BC9"/>
    <w:rsid w:val="0080013E"/>
    <w:rsid w:val="00800BD7"/>
    <w:rsid w:val="00801168"/>
    <w:rsid w:val="00801759"/>
    <w:rsid w:val="008057E7"/>
    <w:rsid w:val="00807047"/>
    <w:rsid w:val="00812A21"/>
    <w:rsid w:val="00813288"/>
    <w:rsid w:val="008147A1"/>
    <w:rsid w:val="008168FC"/>
    <w:rsid w:val="0082152A"/>
    <w:rsid w:val="008272C6"/>
    <w:rsid w:val="00830996"/>
    <w:rsid w:val="0083099E"/>
    <w:rsid w:val="00831090"/>
    <w:rsid w:val="008345F1"/>
    <w:rsid w:val="0083505C"/>
    <w:rsid w:val="008360D3"/>
    <w:rsid w:val="008415D1"/>
    <w:rsid w:val="00844881"/>
    <w:rsid w:val="00851B45"/>
    <w:rsid w:val="00851EAE"/>
    <w:rsid w:val="0085204B"/>
    <w:rsid w:val="008619BE"/>
    <w:rsid w:val="00861FD0"/>
    <w:rsid w:val="008639AE"/>
    <w:rsid w:val="00865B07"/>
    <w:rsid w:val="008667EA"/>
    <w:rsid w:val="00867AD2"/>
    <w:rsid w:val="00867D07"/>
    <w:rsid w:val="00871EEF"/>
    <w:rsid w:val="00873DE0"/>
    <w:rsid w:val="00875B7D"/>
    <w:rsid w:val="0087637F"/>
    <w:rsid w:val="00876799"/>
    <w:rsid w:val="00881C04"/>
    <w:rsid w:val="00883B08"/>
    <w:rsid w:val="00883FBD"/>
    <w:rsid w:val="00884F95"/>
    <w:rsid w:val="008859D4"/>
    <w:rsid w:val="00887461"/>
    <w:rsid w:val="00887466"/>
    <w:rsid w:val="00887D37"/>
    <w:rsid w:val="00892341"/>
    <w:rsid w:val="00892AD5"/>
    <w:rsid w:val="00893776"/>
    <w:rsid w:val="008938D2"/>
    <w:rsid w:val="00894BA2"/>
    <w:rsid w:val="0089560E"/>
    <w:rsid w:val="008A1512"/>
    <w:rsid w:val="008A21FF"/>
    <w:rsid w:val="008A3D96"/>
    <w:rsid w:val="008A7051"/>
    <w:rsid w:val="008B1A7B"/>
    <w:rsid w:val="008B2AC7"/>
    <w:rsid w:val="008B6627"/>
    <w:rsid w:val="008C04B7"/>
    <w:rsid w:val="008C4B28"/>
    <w:rsid w:val="008C64D0"/>
    <w:rsid w:val="008C665A"/>
    <w:rsid w:val="008C6C09"/>
    <w:rsid w:val="008C7BA0"/>
    <w:rsid w:val="008D099F"/>
    <w:rsid w:val="008D2E92"/>
    <w:rsid w:val="008D32B9"/>
    <w:rsid w:val="008D433B"/>
    <w:rsid w:val="008D463F"/>
    <w:rsid w:val="008D4A16"/>
    <w:rsid w:val="008E0316"/>
    <w:rsid w:val="008E4600"/>
    <w:rsid w:val="008E4FD1"/>
    <w:rsid w:val="008E5401"/>
    <w:rsid w:val="008E566E"/>
    <w:rsid w:val="008E56A9"/>
    <w:rsid w:val="008E6279"/>
    <w:rsid w:val="008F056A"/>
    <w:rsid w:val="008F18DE"/>
    <w:rsid w:val="008F2513"/>
    <w:rsid w:val="008F29B5"/>
    <w:rsid w:val="008F3E9C"/>
    <w:rsid w:val="008F425F"/>
    <w:rsid w:val="008F4913"/>
    <w:rsid w:val="008F5371"/>
    <w:rsid w:val="008F752D"/>
    <w:rsid w:val="0090161A"/>
    <w:rsid w:val="00901EB6"/>
    <w:rsid w:val="00903F4D"/>
    <w:rsid w:val="009041F8"/>
    <w:rsid w:val="00904C62"/>
    <w:rsid w:val="00904CCC"/>
    <w:rsid w:val="00905A5B"/>
    <w:rsid w:val="0090797D"/>
    <w:rsid w:val="0091003B"/>
    <w:rsid w:val="00911828"/>
    <w:rsid w:val="0091279F"/>
    <w:rsid w:val="009166FA"/>
    <w:rsid w:val="00917D3F"/>
    <w:rsid w:val="0092156A"/>
    <w:rsid w:val="00922BA8"/>
    <w:rsid w:val="00922FF6"/>
    <w:rsid w:val="00924DAC"/>
    <w:rsid w:val="00927058"/>
    <w:rsid w:val="0092764E"/>
    <w:rsid w:val="009311AB"/>
    <w:rsid w:val="009319DE"/>
    <w:rsid w:val="009343D4"/>
    <w:rsid w:val="00934FF3"/>
    <w:rsid w:val="00935A57"/>
    <w:rsid w:val="00937D36"/>
    <w:rsid w:val="00942434"/>
    <w:rsid w:val="00942750"/>
    <w:rsid w:val="0094366A"/>
    <w:rsid w:val="009450CE"/>
    <w:rsid w:val="009459BB"/>
    <w:rsid w:val="00947179"/>
    <w:rsid w:val="00950EBF"/>
    <w:rsid w:val="0095164B"/>
    <w:rsid w:val="00954090"/>
    <w:rsid w:val="009554EE"/>
    <w:rsid w:val="0095651F"/>
    <w:rsid w:val="00956B95"/>
    <w:rsid w:val="009573E7"/>
    <w:rsid w:val="0095775C"/>
    <w:rsid w:val="00962A36"/>
    <w:rsid w:val="00963E05"/>
    <w:rsid w:val="00964A45"/>
    <w:rsid w:val="00967032"/>
    <w:rsid w:val="00967843"/>
    <w:rsid w:val="00967D54"/>
    <w:rsid w:val="00970F30"/>
    <w:rsid w:val="00971028"/>
    <w:rsid w:val="009717E9"/>
    <w:rsid w:val="0097384E"/>
    <w:rsid w:val="00975099"/>
    <w:rsid w:val="0098193D"/>
    <w:rsid w:val="00984BD0"/>
    <w:rsid w:val="00985EFC"/>
    <w:rsid w:val="00987A22"/>
    <w:rsid w:val="00990236"/>
    <w:rsid w:val="00991E48"/>
    <w:rsid w:val="009922ED"/>
    <w:rsid w:val="009937E2"/>
    <w:rsid w:val="00993B84"/>
    <w:rsid w:val="0099490D"/>
    <w:rsid w:val="00994C6A"/>
    <w:rsid w:val="00996483"/>
    <w:rsid w:val="00996F5A"/>
    <w:rsid w:val="009A4420"/>
    <w:rsid w:val="009A4AAA"/>
    <w:rsid w:val="009A6E15"/>
    <w:rsid w:val="009B041A"/>
    <w:rsid w:val="009B0E20"/>
    <w:rsid w:val="009B15DB"/>
    <w:rsid w:val="009B2F88"/>
    <w:rsid w:val="009B341E"/>
    <w:rsid w:val="009B4E3E"/>
    <w:rsid w:val="009B64EF"/>
    <w:rsid w:val="009B769C"/>
    <w:rsid w:val="009C0C78"/>
    <w:rsid w:val="009C18A8"/>
    <w:rsid w:val="009C23B9"/>
    <w:rsid w:val="009C2469"/>
    <w:rsid w:val="009C345F"/>
    <w:rsid w:val="009C37C3"/>
    <w:rsid w:val="009C51D3"/>
    <w:rsid w:val="009C7C86"/>
    <w:rsid w:val="009C7EE0"/>
    <w:rsid w:val="009C7F34"/>
    <w:rsid w:val="009D0458"/>
    <w:rsid w:val="009D2FF7"/>
    <w:rsid w:val="009D60FA"/>
    <w:rsid w:val="009D6C60"/>
    <w:rsid w:val="009D79F1"/>
    <w:rsid w:val="009E1DA2"/>
    <w:rsid w:val="009E62E7"/>
    <w:rsid w:val="009E7884"/>
    <w:rsid w:val="009E788A"/>
    <w:rsid w:val="009F0175"/>
    <w:rsid w:val="009F0E08"/>
    <w:rsid w:val="009F2392"/>
    <w:rsid w:val="009F3E25"/>
    <w:rsid w:val="00A0037E"/>
    <w:rsid w:val="00A01FC1"/>
    <w:rsid w:val="00A024DA"/>
    <w:rsid w:val="00A02F99"/>
    <w:rsid w:val="00A059DD"/>
    <w:rsid w:val="00A079AE"/>
    <w:rsid w:val="00A1266E"/>
    <w:rsid w:val="00A157F6"/>
    <w:rsid w:val="00A1763D"/>
    <w:rsid w:val="00A17CEC"/>
    <w:rsid w:val="00A204EC"/>
    <w:rsid w:val="00A23C2A"/>
    <w:rsid w:val="00A23CE1"/>
    <w:rsid w:val="00A23F85"/>
    <w:rsid w:val="00A2696A"/>
    <w:rsid w:val="00A27EF0"/>
    <w:rsid w:val="00A30B3E"/>
    <w:rsid w:val="00A30F42"/>
    <w:rsid w:val="00A3157D"/>
    <w:rsid w:val="00A3192E"/>
    <w:rsid w:val="00A31994"/>
    <w:rsid w:val="00A33530"/>
    <w:rsid w:val="00A36C1E"/>
    <w:rsid w:val="00A37C4C"/>
    <w:rsid w:val="00A42361"/>
    <w:rsid w:val="00A42A2A"/>
    <w:rsid w:val="00A43C6D"/>
    <w:rsid w:val="00A46F10"/>
    <w:rsid w:val="00A5099D"/>
    <w:rsid w:val="00A50B20"/>
    <w:rsid w:val="00A51390"/>
    <w:rsid w:val="00A514BE"/>
    <w:rsid w:val="00A52E7E"/>
    <w:rsid w:val="00A57FD0"/>
    <w:rsid w:val="00A60D13"/>
    <w:rsid w:val="00A6229D"/>
    <w:rsid w:val="00A62502"/>
    <w:rsid w:val="00A64B9E"/>
    <w:rsid w:val="00A7223D"/>
    <w:rsid w:val="00A72745"/>
    <w:rsid w:val="00A7332E"/>
    <w:rsid w:val="00A74E12"/>
    <w:rsid w:val="00A75122"/>
    <w:rsid w:val="00A76EFC"/>
    <w:rsid w:val="00A77011"/>
    <w:rsid w:val="00A8318B"/>
    <w:rsid w:val="00A837B8"/>
    <w:rsid w:val="00A84716"/>
    <w:rsid w:val="00A84921"/>
    <w:rsid w:val="00A850B6"/>
    <w:rsid w:val="00A87280"/>
    <w:rsid w:val="00A87D50"/>
    <w:rsid w:val="00A91010"/>
    <w:rsid w:val="00A91BA1"/>
    <w:rsid w:val="00A92B30"/>
    <w:rsid w:val="00A9736F"/>
    <w:rsid w:val="00A97F29"/>
    <w:rsid w:val="00AA17FC"/>
    <w:rsid w:val="00AA1FB4"/>
    <w:rsid w:val="00AA2887"/>
    <w:rsid w:val="00AA2EDF"/>
    <w:rsid w:val="00AA36B3"/>
    <w:rsid w:val="00AA3F88"/>
    <w:rsid w:val="00AA6DB0"/>
    <w:rsid w:val="00AA702E"/>
    <w:rsid w:val="00AA7D26"/>
    <w:rsid w:val="00AB0964"/>
    <w:rsid w:val="00AB3F7E"/>
    <w:rsid w:val="00AB430D"/>
    <w:rsid w:val="00AB49D9"/>
    <w:rsid w:val="00AB5011"/>
    <w:rsid w:val="00AC07F5"/>
    <w:rsid w:val="00AC295D"/>
    <w:rsid w:val="00AC4072"/>
    <w:rsid w:val="00AC42BD"/>
    <w:rsid w:val="00AC551B"/>
    <w:rsid w:val="00AC57D2"/>
    <w:rsid w:val="00AC7368"/>
    <w:rsid w:val="00AD16B9"/>
    <w:rsid w:val="00AD6970"/>
    <w:rsid w:val="00AD6A33"/>
    <w:rsid w:val="00AD71F0"/>
    <w:rsid w:val="00AD7FB3"/>
    <w:rsid w:val="00AE078B"/>
    <w:rsid w:val="00AE1956"/>
    <w:rsid w:val="00AE1B2B"/>
    <w:rsid w:val="00AE377D"/>
    <w:rsid w:val="00AE60BB"/>
    <w:rsid w:val="00AE68BF"/>
    <w:rsid w:val="00AE79B8"/>
    <w:rsid w:val="00AF0EBA"/>
    <w:rsid w:val="00AF1754"/>
    <w:rsid w:val="00AF2463"/>
    <w:rsid w:val="00AF33B8"/>
    <w:rsid w:val="00AF364B"/>
    <w:rsid w:val="00AF449C"/>
    <w:rsid w:val="00AF49D3"/>
    <w:rsid w:val="00AF7B69"/>
    <w:rsid w:val="00B02C8A"/>
    <w:rsid w:val="00B03D50"/>
    <w:rsid w:val="00B074B8"/>
    <w:rsid w:val="00B079A6"/>
    <w:rsid w:val="00B145AF"/>
    <w:rsid w:val="00B15D8E"/>
    <w:rsid w:val="00B15FF0"/>
    <w:rsid w:val="00B16B1C"/>
    <w:rsid w:val="00B17FBD"/>
    <w:rsid w:val="00B215BB"/>
    <w:rsid w:val="00B2277D"/>
    <w:rsid w:val="00B241AA"/>
    <w:rsid w:val="00B265FD"/>
    <w:rsid w:val="00B27B67"/>
    <w:rsid w:val="00B30894"/>
    <w:rsid w:val="00B315A6"/>
    <w:rsid w:val="00B31813"/>
    <w:rsid w:val="00B32347"/>
    <w:rsid w:val="00B33365"/>
    <w:rsid w:val="00B34528"/>
    <w:rsid w:val="00B34B10"/>
    <w:rsid w:val="00B3556B"/>
    <w:rsid w:val="00B41C4F"/>
    <w:rsid w:val="00B4337D"/>
    <w:rsid w:val="00B435BA"/>
    <w:rsid w:val="00B45808"/>
    <w:rsid w:val="00B47BDE"/>
    <w:rsid w:val="00B50599"/>
    <w:rsid w:val="00B51228"/>
    <w:rsid w:val="00B54505"/>
    <w:rsid w:val="00B55888"/>
    <w:rsid w:val="00B561EA"/>
    <w:rsid w:val="00B575BD"/>
    <w:rsid w:val="00B57B36"/>
    <w:rsid w:val="00B57E6F"/>
    <w:rsid w:val="00B60051"/>
    <w:rsid w:val="00B61065"/>
    <w:rsid w:val="00B614FF"/>
    <w:rsid w:val="00B6205E"/>
    <w:rsid w:val="00B721E9"/>
    <w:rsid w:val="00B74892"/>
    <w:rsid w:val="00B74FF2"/>
    <w:rsid w:val="00B75080"/>
    <w:rsid w:val="00B753F9"/>
    <w:rsid w:val="00B7581F"/>
    <w:rsid w:val="00B7734F"/>
    <w:rsid w:val="00B800EB"/>
    <w:rsid w:val="00B8176F"/>
    <w:rsid w:val="00B82CE6"/>
    <w:rsid w:val="00B84614"/>
    <w:rsid w:val="00B8520B"/>
    <w:rsid w:val="00B8686D"/>
    <w:rsid w:val="00B87083"/>
    <w:rsid w:val="00B90FDA"/>
    <w:rsid w:val="00B92042"/>
    <w:rsid w:val="00B93F69"/>
    <w:rsid w:val="00B9538B"/>
    <w:rsid w:val="00B9564A"/>
    <w:rsid w:val="00BA5ADC"/>
    <w:rsid w:val="00BB1DDC"/>
    <w:rsid w:val="00BB7A4F"/>
    <w:rsid w:val="00BC1D28"/>
    <w:rsid w:val="00BC30C9"/>
    <w:rsid w:val="00BC42AA"/>
    <w:rsid w:val="00BC64AC"/>
    <w:rsid w:val="00BC7833"/>
    <w:rsid w:val="00BD077D"/>
    <w:rsid w:val="00BD0858"/>
    <w:rsid w:val="00BD158A"/>
    <w:rsid w:val="00BD1AA1"/>
    <w:rsid w:val="00BD24FE"/>
    <w:rsid w:val="00BD32B3"/>
    <w:rsid w:val="00BD39DA"/>
    <w:rsid w:val="00BE0243"/>
    <w:rsid w:val="00BE2B50"/>
    <w:rsid w:val="00BE3DCD"/>
    <w:rsid w:val="00BE3E58"/>
    <w:rsid w:val="00BE3F02"/>
    <w:rsid w:val="00BE44F0"/>
    <w:rsid w:val="00BE482E"/>
    <w:rsid w:val="00BE7732"/>
    <w:rsid w:val="00BF13CE"/>
    <w:rsid w:val="00BF2229"/>
    <w:rsid w:val="00BF5C82"/>
    <w:rsid w:val="00BF755F"/>
    <w:rsid w:val="00C01616"/>
    <w:rsid w:val="00C0162B"/>
    <w:rsid w:val="00C06296"/>
    <w:rsid w:val="00C068ED"/>
    <w:rsid w:val="00C06B33"/>
    <w:rsid w:val="00C1233F"/>
    <w:rsid w:val="00C14D2D"/>
    <w:rsid w:val="00C15C82"/>
    <w:rsid w:val="00C2065D"/>
    <w:rsid w:val="00C22E0C"/>
    <w:rsid w:val="00C24396"/>
    <w:rsid w:val="00C30C8E"/>
    <w:rsid w:val="00C313FE"/>
    <w:rsid w:val="00C32D89"/>
    <w:rsid w:val="00C3362B"/>
    <w:rsid w:val="00C33EB9"/>
    <w:rsid w:val="00C345B1"/>
    <w:rsid w:val="00C36BB4"/>
    <w:rsid w:val="00C37129"/>
    <w:rsid w:val="00C40142"/>
    <w:rsid w:val="00C41BC7"/>
    <w:rsid w:val="00C41D26"/>
    <w:rsid w:val="00C423F9"/>
    <w:rsid w:val="00C4404B"/>
    <w:rsid w:val="00C45F30"/>
    <w:rsid w:val="00C5099B"/>
    <w:rsid w:val="00C52C3C"/>
    <w:rsid w:val="00C54B80"/>
    <w:rsid w:val="00C57182"/>
    <w:rsid w:val="00C5761C"/>
    <w:rsid w:val="00C57863"/>
    <w:rsid w:val="00C640AF"/>
    <w:rsid w:val="00C651F9"/>
    <w:rsid w:val="00C655FD"/>
    <w:rsid w:val="00C65AF5"/>
    <w:rsid w:val="00C7014A"/>
    <w:rsid w:val="00C72D22"/>
    <w:rsid w:val="00C73071"/>
    <w:rsid w:val="00C75407"/>
    <w:rsid w:val="00C841C6"/>
    <w:rsid w:val="00C870A8"/>
    <w:rsid w:val="00C9006D"/>
    <w:rsid w:val="00C92068"/>
    <w:rsid w:val="00C92CF0"/>
    <w:rsid w:val="00C93121"/>
    <w:rsid w:val="00C93267"/>
    <w:rsid w:val="00C9362E"/>
    <w:rsid w:val="00C94434"/>
    <w:rsid w:val="00C946BD"/>
    <w:rsid w:val="00C94F0D"/>
    <w:rsid w:val="00C97C3B"/>
    <w:rsid w:val="00C97F5A"/>
    <w:rsid w:val="00CA0D75"/>
    <w:rsid w:val="00CA1C95"/>
    <w:rsid w:val="00CA1D9C"/>
    <w:rsid w:val="00CA3288"/>
    <w:rsid w:val="00CA38FA"/>
    <w:rsid w:val="00CA5A9C"/>
    <w:rsid w:val="00CB0E85"/>
    <w:rsid w:val="00CB21DC"/>
    <w:rsid w:val="00CB50D6"/>
    <w:rsid w:val="00CB6364"/>
    <w:rsid w:val="00CB7702"/>
    <w:rsid w:val="00CC4C20"/>
    <w:rsid w:val="00CC69A2"/>
    <w:rsid w:val="00CD3517"/>
    <w:rsid w:val="00CD4154"/>
    <w:rsid w:val="00CD4632"/>
    <w:rsid w:val="00CD48D0"/>
    <w:rsid w:val="00CD4BA7"/>
    <w:rsid w:val="00CD4EFE"/>
    <w:rsid w:val="00CD5F39"/>
    <w:rsid w:val="00CD5FE2"/>
    <w:rsid w:val="00CD6870"/>
    <w:rsid w:val="00CE4B94"/>
    <w:rsid w:val="00CE67F2"/>
    <w:rsid w:val="00CE7C68"/>
    <w:rsid w:val="00CE7EDD"/>
    <w:rsid w:val="00CF1389"/>
    <w:rsid w:val="00CF1711"/>
    <w:rsid w:val="00CF4BC4"/>
    <w:rsid w:val="00CF54B2"/>
    <w:rsid w:val="00CF6BE7"/>
    <w:rsid w:val="00CF7C62"/>
    <w:rsid w:val="00D00FBB"/>
    <w:rsid w:val="00D02B4C"/>
    <w:rsid w:val="00D040C4"/>
    <w:rsid w:val="00D04C45"/>
    <w:rsid w:val="00D13F1F"/>
    <w:rsid w:val="00D163C1"/>
    <w:rsid w:val="00D20AD1"/>
    <w:rsid w:val="00D21E37"/>
    <w:rsid w:val="00D2237F"/>
    <w:rsid w:val="00D231AC"/>
    <w:rsid w:val="00D2582C"/>
    <w:rsid w:val="00D25C3B"/>
    <w:rsid w:val="00D26497"/>
    <w:rsid w:val="00D30A20"/>
    <w:rsid w:val="00D311A6"/>
    <w:rsid w:val="00D33656"/>
    <w:rsid w:val="00D34ADA"/>
    <w:rsid w:val="00D34CB0"/>
    <w:rsid w:val="00D41AF3"/>
    <w:rsid w:val="00D427E4"/>
    <w:rsid w:val="00D441C2"/>
    <w:rsid w:val="00D44F53"/>
    <w:rsid w:val="00D46B7E"/>
    <w:rsid w:val="00D50B4F"/>
    <w:rsid w:val="00D5267F"/>
    <w:rsid w:val="00D537F1"/>
    <w:rsid w:val="00D546A1"/>
    <w:rsid w:val="00D564D7"/>
    <w:rsid w:val="00D56A96"/>
    <w:rsid w:val="00D57509"/>
    <w:rsid w:val="00D57C84"/>
    <w:rsid w:val="00D6057D"/>
    <w:rsid w:val="00D6186A"/>
    <w:rsid w:val="00D621DC"/>
    <w:rsid w:val="00D62290"/>
    <w:rsid w:val="00D623FC"/>
    <w:rsid w:val="00D62B11"/>
    <w:rsid w:val="00D64638"/>
    <w:rsid w:val="00D66D4C"/>
    <w:rsid w:val="00D67A14"/>
    <w:rsid w:val="00D7023F"/>
    <w:rsid w:val="00D71640"/>
    <w:rsid w:val="00D773FA"/>
    <w:rsid w:val="00D8066D"/>
    <w:rsid w:val="00D82DF6"/>
    <w:rsid w:val="00D836C5"/>
    <w:rsid w:val="00D83D4A"/>
    <w:rsid w:val="00D84576"/>
    <w:rsid w:val="00D85447"/>
    <w:rsid w:val="00D87B02"/>
    <w:rsid w:val="00D87E52"/>
    <w:rsid w:val="00D9251B"/>
    <w:rsid w:val="00D967D2"/>
    <w:rsid w:val="00DA06A1"/>
    <w:rsid w:val="00DA1399"/>
    <w:rsid w:val="00DA238D"/>
    <w:rsid w:val="00DA24C6"/>
    <w:rsid w:val="00DA4143"/>
    <w:rsid w:val="00DA4788"/>
    <w:rsid w:val="00DA4D7B"/>
    <w:rsid w:val="00DA51A6"/>
    <w:rsid w:val="00DA5961"/>
    <w:rsid w:val="00DA6778"/>
    <w:rsid w:val="00DA747E"/>
    <w:rsid w:val="00DB29A2"/>
    <w:rsid w:val="00DB2C55"/>
    <w:rsid w:val="00DB426A"/>
    <w:rsid w:val="00DC2840"/>
    <w:rsid w:val="00DC446D"/>
    <w:rsid w:val="00DC4EC6"/>
    <w:rsid w:val="00DC5279"/>
    <w:rsid w:val="00DC6287"/>
    <w:rsid w:val="00DC6344"/>
    <w:rsid w:val="00DC68FA"/>
    <w:rsid w:val="00DC73EE"/>
    <w:rsid w:val="00DD271C"/>
    <w:rsid w:val="00DD68E0"/>
    <w:rsid w:val="00DE264A"/>
    <w:rsid w:val="00DE3680"/>
    <w:rsid w:val="00DF2521"/>
    <w:rsid w:val="00DF2669"/>
    <w:rsid w:val="00DF5072"/>
    <w:rsid w:val="00DF67D0"/>
    <w:rsid w:val="00E00E8E"/>
    <w:rsid w:val="00E011F9"/>
    <w:rsid w:val="00E02579"/>
    <w:rsid w:val="00E02D18"/>
    <w:rsid w:val="00E041E7"/>
    <w:rsid w:val="00E07A51"/>
    <w:rsid w:val="00E07F32"/>
    <w:rsid w:val="00E13919"/>
    <w:rsid w:val="00E13B3A"/>
    <w:rsid w:val="00E20346"/>
    <w:rsid w:val="00E20B57"/>
    <w:rsid w:val="00E23CA1"/>
    <w:rsid w:val="00E30268"/>
    <w:rsid w:val="00E356E2"/>
    <w:rsid w:val="00E409A8"/>
    <w:rsid w:val="00E40A2C"/>
    <w:rsid w:val="00E41544"/>
    <w:rsid w:val="00E41BA1"/>
    <w:rsid w:val="00E4418C"/>
    <w:rsid w:val="00E462A1"/>
    <w:rsid w:val="00E46D82"/>
    <w:rsid w:val="00E50C12"/>
    <w:rsid w:val="00E51B90"/>
    <w:rsid w:val="00E52DC2"/>
    <w:rsid w:val="00E53060"/>
    <w:rsid w:val="00E65B91"/>
    <w:rsid w:val="00E70180"/>
    <w:rsid w:val="00E7209D"/>
    <w:rsid w:val="00E72EAD"/>
    <w:rsid w:val="00E73E58"/>
    <w:rsid w:val="00E76531"/>
    <w:rsid w:val="00E77223"/>
    <w:rsid w:val="00E8528B"/>
    <w:rsid w:val="00E85B94"/>
    <w:rsid w:val="00E907B1"/>
    <w:rsid w:val="00E9248B"/>
    <w:rsid w:val="00E94597"/>
    <w:rsid w:val="00E971ED"/>
    <w:rsid w:val="00E978D0"/>
    <w:rsid w:val="00EA4613"/>
    <w:rsid w:val="00EA58D3"/>
    <w:rsid w:val="00EA5CE5"/>
    <w:rsid w:val="00EA6A2A"/>
    <w:rsid w:val="00EA7F91"/>
    <w:rsid w:val="00EB1523"/>
    <w:rsid w:val="00EB1980"/>
    <w:rsid w:val="00EB33FC"/>
    <w:rsid w:val="00EB5482"/>
    <w:rsid w:val="00EB54B7"/>
    <w:rsid w:val="00EB54BA"/>
    <w:rsid w:val="00EB5999"/>
    <w:rsid w:val="00EC0DB6"/>
    <w:rsid w:val="00EC0E49"/>
    <w:rsid w:val="00EC101F"/>
    <w:rsid w:val="00EC1D9F"/>
    <w:rsid w:val="00EC3271"/>
    <w:rsid w:val="00EC335D"/>
    <w:rsid w:val="00EC36AB"/>
    <w:rsid w:val="00EC3FAD"/>
    <w:rsid w:val="00EC533E"/>
    <w:rsid w:val="00EC5F5A"/>
    <w:rsid w:val="00EC71C4"/>
    <w:rsid w:val="00ED18C7"/>
    <w:rsid w:val="00ED2501"/>
    <w:rsid w:val="00ED3A23"/>
    <w:rsid w:val="00ED44E6"/>
    <w:rsid w:val="00ED70E0"/>
    <w:rsid w:val="00ED7651"/>
    <w:rsid w:val="00EE0131"/>
    <w:rsid w:val="00EE17B0"/>
    <w:rsid w:val="00EE1AE3"/>
    <w:rsid w:val="00EE2168"/>
    <w:rsid w:val="00EE585C"/>
    <w:rsid w:val="00EE7B05"/>
    <w:rsid w:val="00EF06D9"/>
    <w:rsid w:val="00EF1435"/>
    <w:rsid w:val="00EF3DFF"/>
    <w:rsid w:val="00F0334B"/>
    <w:rsid w:val="00F07C50"/>
    <w:rsid w:val="00F1073E"/>
    <w:rsid w:val="00F241D5"/>
    <w:rsid w:val="00F24C5F"/>
    <w:rsid w:val="00F24D00"/>
    <w:rsid w:val="00F27EE4"/>
    <w:rsid w:val="00F3049E"/>
    <w:rsid w:val="00F30C64"/>
    <w:rsid w:val="00F30D2E"/>
    <w:rsid w:val="00F31E60"/>
    <w:rsid w:val="00F32BA2"/>
    <w:rsid w:val="00F32CDB"/>
    <w:rsid w:val="00F333FF"/>
    <w:rsid w:val="00F37B1A"/>
    <w:rsid w:val="00F41EE4"/>
    <w:rsid w:val="00F4290E"/>
    <w:rsid w:val="00F42BD3"/>
    <w:rsid w:val="00F4493A"/>
    <w:rsid w:val="00F46CF6"/>
    <w:rsid w:val="00F52F97"/>
    <w:rsid w:val="00F5334B"/>
    <w:rsid w:val="00F565FE"/>
    <w:rsid w:val="00F57DD0"/>
    <w:rsid w:val="00F57F80"/>
    <w:rsid w:val="00F60F74"/>
    <w:rsid w:val="00F622B8"/>
    <w:rsid w:val="00F63A70"/>
    <w:rsid w:val="00F63D8C"/>
    <w:rsid w:val="00F74EEF"/>
    <w:rsid w:val="00F7534E"/>
    <w:rsid w:val="00F77F55"/>
    <w:rsid w:val="00F82B2E"/>
    <w:rsid w:val="00F83D0D"/>
    <w:rsid w:val="00F85F93"/>
    <w:rsid w:val="00F90F09"/>
    <w:rsid w:val="00F912A4"/>
    <w:rsid w:val="00F93CD1"/>
    <w:rsid w:val="00F93EDF"/>
    <w:rsid w:val="00F95A12"/>
    <w:rsid w:val="00F9602F"/>
    <w:rsid w:val="00F97737"/>
    <w:rsid w:val="00FA1415"/>
    <w:rsid w:val="00FA1802"/>
    <w:rsid w:val="00FA1C47"/>
    <w:rsid w:val="00FA21D0"/>
    <w:rsid w:val="00FA2469"/>
    <w:rsid w:val="00FA5F5F"/>
    <w:rsid w:val="00FA774B"/>
    <w:rsid w:val="00FB030C"/>
    <w:rsid w:val="00FB1927"/>
    <w:rsid w:val="00FB1C93"/>
    <w:rsid w:val="00FB2D92"/>
    <w:rsid w:val="00FB3162"/>
    <w:rsid w:val="00FB730C"/>
    <w:rsid w:val="00FC2695"/>
    <w:rsid w:val="00FC2850"/>
    <w:rsid w:val="00FC2AB7"/>
    <w:rsid w:val="00FC3E03"/>
    <w:rsid w:val="00FC3FC1"/>
    <w:rsid w:val="00FC78FF"/>
    <w:rsid w:val="00FC7E48"/>
    <w:rsid w:val="00FD093E"/>
    <w:rsid w:val="00FD341E"/>
    <w:rsid w:val="00FD4333"/>
    <w:rsid w:val="00FD5E45"/>
    <w:rsid w:val="00FD6DA2"/>
    <w:rsid w:val="00FE0B11"/>
    <w:rsid w:val="00FE0CF4"/>
    <w:rsid w:val="00FE2CC0"/>
    <w:rsid w:val="00FE6D28"/>
    <w:rsid w:val="00FE7FB1"/>
    <w:rsid w:val="00FE7FE9"/>
    <w:rsid w:val="00FF2090"/>
    <w:rsid w:val="00FF528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707189"/>
    <w:rPr>
      <w:color w:val="605E5C"/>
      <w:shd w:val="clear" w:color="auto" w:fill="E1DFDD"/>
    </w:rPr>
  </w:style>
  <w:style w:type="character" w:styleId="Testosegnaposto">
    <w:name w:val="Placeholder Text"/>
    <w:basedOn w:val="Carpredefinitoparagrafo"/>
    <w:uiPriority w:val="99"/>
    <w:semiHidden/>
    <w:rsid w:val="000962E3"/>
    <w:rPr>
      <w:color w:val="666666"/>
    </w:rPr>
  </w:style>
  <w:style w:type="paragraph" w:styleId="Nessunaspaziatura">
    <w:name w:val="No Spacing"/>
    <w:uiPriority w:val="1"/>
    <w:qFormat/>
    <w:rsid w:val="002963E3"/>
    <w:pPr>
      <w:tabs>
        <w:tab w:val="right" w:pos="7100"/>
      </w:tabs>
      <w:spacing w:after="0" w:line="240" w:lineRule="auto"/>
      <w:jc w:val="both"/>
    </w:pPr>
    <w:rPr>
      <w:rFonts w:ascii="Arial" w:eastAsia="Times New Roman" w:hAnsi="Arial" w:cs="Times New Roman"/>
      <w:sz w:val="18"/>
      <w:szCs w:val="20"/>
      <w:lang w:val="en-GB"/>
    </w:rPr>
  </w:style>
  <w:style w:type="paragraph" w:styleId="Revisione">
    <w:name w:val="Revision"/>
    <w:hidden/>
    <w:uiPriority w:val="99"/>
    <w:semiHidden/>
    <w:rsid w:val="00E46D8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310713192">
      <w:bodyDiv w:val="1"/>
      <w:marLeft w:val="0"/>
      <w:marRight w:val="0"/>
      <w:marTop w:val="0"/>
      <w:marBottom w:val="0"/>
      <w:divBdr>
        <w:top w:val="none" w:sz="0" w:space="0" w:color="auto"/>
        <w:left w:val="none" w:sz="0" w:space="0" w:color="auto"/>
        <w:bottom w:val="none" w:sz="0" w:space="0" w:color="auto"/>
        <w:right w:val="none" w:sz="0" w:space="0" w:color="auto"/>
      </w:divBdr>
    </w:div>
    <w:div w:id="74384237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053138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1813618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corporateroot-my.sharepoint.com/personal/mohammad_seyfi_rhdhv_com/Documents/Documents/6-%20Research/Dynamic%20Dose-based%20Escalation/2.%20LP2025/4.9b-case-comparis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9688573840988"/>
          <c:y val="6.6909975669099758E-2"/>
          <c:w val="0.45275094977217623"/>
          <c:h val="0.69916853459011052"/>
        </c:manualLayout>
      </c:layout>
      <c:scatterChart>
        <c:scatterStyle val="lineMarker"/>
        <c:varyColors val="0"/>
        <c:ser>
          <c:idx val="4"/>
          <c:order val="0"/>
          <c:tx>
            <c:v>Present Method (10 m horizontal distance)</c:v>
          </c:tx>
          <c:spPr>
            <a:ln w="12700" cap="rnd">
              <a:solidFill>
                <a:srgbClr val="C00000"/>
              </a:solidFill>
              <a:round/>
            </a:ln>
            <a:effectLst/>
          </c:spPr>
          <c:marker>
            <c:symbol val="square"/>
            <c:size val="4"/>
            <c:spPr>
              <a:noFill/>
              <a:ln w="9525">
                <a:solidFill>
                  <a:srgbClr val="C00000"/>
                </a:solidFill>
              </a:ln>
              <a:effectLst/>
            </c:spPr>
          </c:marker>
          <c:xVal>
            <c:numRef>
              <c:f>comparison_SFPE!$O$3:$S$3</c:f>
              <c:numCache>
                <c:formatCode>General</c:formatCode>
                <c:ptCount val="5"/>
                <c:pt idx="0">
                  <c:v>0.6</c:v>
                </c:pt>
                <c:pt idx="1">
                  <c:v>1.8</c:v>
                </c:pt>
                <c:pt idx="2">
                  <c:v>3</c:v>
                </c:pt>
                <c:pt idx="3">
                  <c:v>4.2</c:v>
                </c:pt>
                <c:pt idx="4">
                  <c:v>5.4</c:v>
                </c:pt>
              </c:numCache>
            </c:numRef>
          </c:xVal>
          <c:yVal>
            <c:numRef>
              <c:f>comparison_SFPE!$O$28:$S$28</c:f>
              <c:numCache>
                <c:formatCode>General</c:formatCode>
                <c:ptCount val="5"/>
                <c:pt idx="0">
                  <c:v>8.8000000000000007</c:v>
                </c:pt>
                <c:pt idx="1">
                  <c:v>9.4</c:v>
                </c:pt>
                <c:pt idx="2">
                  <c:v>9.4</c:v>
                </c:pt>
                <c:pt idx="3">
                  <c:v>8.9</c:v>
                </c:pt>
                <c:pt idx="4">
                  <c:v>7.9</c:v>
                </c:pt>
              </c:numCache>
            </c:numRef>
          </c:yVal>
          <c:smooth val="0"/>
          <c:extLst>
            <c:ext xmlns:c16="http://schemas.microsoft.com/office/drawing/2014/chart" uri="{C3380CC4-5D6E-409C-BE32-E72D297353CC}">
              <c16:uniqueId val="{00000000-0FD5-438B-8152-D3981277341E}"/>
            </c:ext>
          </c:extLst>
        </c:ser>
        <c:ser>
          <c:idx val="0"/>
          <c:order val="1"/>
          <c:tx>
            <c:v>Beyler (10m horizontal distance)</c:v>
          </c:tx>
          <c:spPr>
            <a:ln w="12700" cap="rnd">
              <a:solidFill>
                <a:srgbClr val="C00000"/>
              </a:solidFill>
              <a:prstDash val="dash"/>
              <a:round/>
            </a:ln>
            <a:effectLst/>
          </c:spPr>
          <c:marker>
            <c:symbol val="square"/>
            <c:size val="4"/>
            <c:spPr>
              <a:noFill/>
              <a:ln w="9525">
                <a:solidFill>
                  <a:srgbClr val="C00000"/>
                </a:solidFill>
              </a:ln>
              <a:effectLst/>
            </c:spPr>
          </c:marker>
          <c:xVal>
            <c:numRef>
              <c:f>comparison_SFPE!$O$3:$S$3</c:f>
              <c:numCache>
                <c:formatCode>General</c:formatCode>
                <c:ptCount val="5"/>
                <c:pt idx="0">
                  <c:v>0.6</c:v>
                </c:pt>
                <c:pt idx="1">
                  <c:v>1.8</c:v>
                </c:pt>
                <c:pt idx="2">
                  <c:v>3</c:v>
                </c:pt>
                <c:pt idx="3">
                  <c:v>4.2</c:v>
                </c:pt>
                <c:pt idx="4">
                  <c:v>5.4</c:v>
                </c:pt>
              </c:numCache>
            </c:numRef>
          </c:xVal>
          <c:yVal>
            <c:numRef>
              <c:f>comparison_SFPE!$O$27:$S$27</c:f>
              <c:numCache>
                <c:formatCode>#,#00</c:formatCode>
                <c:ptCount val="5"/>
                <c:pt idx="0">
                  <c:v>7.2459987142004936</c:v>
                </c:pt>
                <c:pt idx="1">
                  <c:v>7.6753639876048876</c:v>
                </c:pt>
                <c:pt idx="2">
                  <c:v>7.6951205500992481</c:v>
                </c:pt>
                <c:pt idx="3">
                  <c:v>7.3001778989362913</c:v>
                </c:pt>
                <c:pt idx="4">
                  <c:v>6.5887968698121639</c:v>
                </c:pt>
              </c:numCache>
            </c:numRef>
          </c:yVal>
          <c:smooth val="0"/>
          <c:extLst>
            <c:ext xmlns:c16="http://schemas.microsoft.com/office/drawing/2014/chart" uri="{C3380CC4-5D6E-409C-BE32-E72D297353CC}">
              <c16:uniqueId val="{00000001-0FD5-438B-8152-D3981277341E}"/>
            </c:ext>
          </c:extLst>
        </c:ser>
        <c:ser>
          <c:idx val="5"/>
          <c:order val="2"/>
          <c:tx>
            <c:v>Present Method (15 m horizontal distance)</c:v>
          </c:tx>
          <c:spPr>
            <a:ln w="12700" cap="rnd">
              <a:solidFill>
                <a:srgbClr val="00B050"/>
              </a:solidFill>
              <a:round/>
            </a:ln>
            <a:effectLst/>
          </c:spPr>
          <c:marker>
            <c:symbol val="diamond"/>
            <c:size val="5"/>
            <c:spPr>
              <a:noFill/>
              <a:ln w="9525">
                <a:solidFill>
                  <a:srgbClr val="00B050"/>
                </a:solidFill>
              </a:ln>
              <a:effectLst/>
            </c:spPr>
          </c:marker>
          <c:xVal>
            <c:numRef>
              <c:f>comparison_SFPE!$V$3:$Z$3</c:f>
              <c:numCache>
                <c:formatCode>General</c:formatCode>
                <c:ptCount val="5"/>
                <c:pt idx="0">
                  <c:v>0.5</c:v>
                </c:pt>
                <c:pt idx="1">
                  <c:v>1.5</c:v>
                </c:pt>
                <c:pt idx="2">
                  <c:v>2.5</c:v>
                </c:pt>
                <c:pt idx="3">
                  <c:v>3.5</c:v>
                </c:pt>
                <c:pt idx="4">
                  <c:v>4.5</c:v>
                </c:pt>
              </c:numCache>
            </c:numRef>
          </c:xVal>
          <c:yVal>
            <c:numRef>
              <c:f>comparison_SFPE!$V$28:$Z$28</c:f>
              <c:numCache>
                <c:formatCode>General</c:formatCode>
                <c:ptCount val="5"/>
                <c:pt idx="0">
                  <c:v>3.8</c:v>
                </c:pt>
                <c:pt idx="1">
                  <c:v>3.9</c:v>
                </c:pt>
                <c:pt idx="2">
                  <c:v>4</c:v>
                </c:pt>
                <c:pt idx="3">
                  <c:v>3.9</c:v>
                </c:pt>
                <c:pt idx="4">
                  <c:v>3.8</c:v>
                </c:pt>
              </c:numCache>
            </c:numRef>
          </c:yVal>
          <c:smooth val="0"/>
          <c:extLst>
            <c:ext xmlns:c16="http://schemas.microsoft.com/office/drawing/2014/chart" uri="{C3380CC4-5D6E-409C-BE32-E72D297353CC}">
              <c16:uniqueId val="{00000002-0FD5-438B-8152-D3981277341E}"/>
            </c:ext>
          </c:extLst>
        </c:ser>
        <c:ser>
          <c:idx val="1"/>
          <c:order val="3"/>
          <c:tx>
            <c:v>Beyler (15m horizontal distance)</c:v>
          </c:tx>
          <c:spPr>
            <a:ln w="12700" cap="rnd">
              <a:solidFill>
                <a:srgbClr val="00B050"/>
              </a:solidFill>
              <a:prstDash val="sysDash"/>
              <a:round/>
            </a:ln>
            <a:effectLst/>
          </c:spPr>
          <c:marker>
            <c:symbol val="diamond"/>
            <c:size val="5"/>
            <c:spPr>
              <a:noFill/>
              <a:ln w="9525">
                <a:solidFill>
                  <a:srgbClr val="00B050"/>
                </a:solidFill>
              </a:ln>
              <a:effectLst/>
            </c:spPr>
          </c:marker>
          <c:xVal>
            <c:numRef>
              <c:f>comparison_SFPE!$V$3:$Z$3</c:f>
              <c:numCache>
                <c:formatCode>General</c:formatCode>
                <c:ptCount val="5"/>
                <c:pt idx="0">
                  <c:v>0.5</c:v>
                </c:pt>
                <c:pt idx="1">
                  <c:v>1.5</c:v>
                </c:pt>
                <c:pt idx="2">
                  <c:v>2.5</c:v>
                </c:pt>
                <c:pt idx="3">
                  <c:v>3.5</c:v>
                </c:pt>
                <c:pt idx="4">
                  <c:v>4.5</c:v>
                </c:pt>
              </c:numCache>
            </c:numRef>
          </c:xVal>
          <c:yVal>
            <c:numRef>
              <c:f>comparison_SFPE!$V$27:$Z$27</c:f>
              <c:numCache>
                <c:formatCode>#,#00</c:formatCode>
                <c:ptCount val="5"/>
                <c:pt idx="0">
                  <c:v>3.25384392692157</c:v>
                </c:pt>
                <c:pt idx="1">
                  <c:v>3.3338110529610208</c:v>
                </c:pt>
                <c:pt idx="2">
                  <c:v>3.3595327012629412</c:v>
                </c:pt>
                <c:pt idx="3">
                  <c:v>3.3287642860995064</c:v>
                </c:pt>
                <c:pt idx="4">
                  <c:v>3.2802334144110801</c:v>
                </c:pt>
              </c:numCache>
            </c:numRef>
          </c:yVal>
          <c:smooth val="0"/>
          <c:extLst>
            <c:ext xmlns:c16="http://schemas.microsoft.com/office/drawing/2014/chart" uri="{C3380CC4-5D6E-409C-BE32-E72D297353CC}">
              <c16:uniqueId val="{00000003-0FD5-438B-8152-D3981277341E}"/>
            </c:ext>
          </c:extLst>
        </c:ser>
        <c:ser>
          <c:idx val="6"/>
          <c:order val="4"/>
          <c:tx>
            <c:v>Present Method (20 m horizontal distance)</c:v>
          </c:tx>
          <c:spPr>
            <a:ln w="12700" cap="rnd">
              <a:solidFill>
                <a:srgbClr val="00B0F0"/>
              </a:solidFill>
              <a:round/>
            </a:ln>
            <a:effectLst/>
          </c:spPr>
          <c:marker>
            <c:symbol val="x"/>
            <c:size val="5"/>
            <c:spPr>
              <a:noFill/>
              <a:ln w="9525">
                <a:solidFill>
                  <a:srgbClr val="00B0F0"/>
                </a:solidFill>
              </a:ln>
              <a:effectLst/>
            </c:spPr>
          </c:marker>
          <c:xVal>
            <c:numRef>
              <c:f>comparison_SFPE!$AC$3:$AG$3</c:f>
              <c:numCache>
                <c:formatCode>General</c:formatCode>
                <c:ptCount val="5"/>
                <c:pt idx="0">
                  <c:v>0.5</c:v>
                </c:pt>
                <c:pt idx="1">
                  <c:v>1.5</c:v>
                </c:pt>
                <c:pt idx="2">
                  <c:v>2.5</c:v>
                </c:pt>
                <c:pt idx="3">
                  <c:v>3.5</c:v>
                </c:pt>
                <c:pt idx="4">
                  <c:v>4.5</c:v>
                </c:pt>
              </c:numCache>
            </c:numRef>
          </c:xVal>
          <c:yVal>
            <c:numRef>
              <c:f>comparison_SFPE!$AC$28:$AG$28</c:f>
              <c:numCache>
                <c:formatCode>General</c:formatCode>
                <c:ptCount val="5"/>
                <c:pt idx="0">
                  <c:v>2.1</c:v>
                </c:pt>
                <c:pt idx="1">
                  <c:v>2.1</c:v>
                </c:pt>
                <c:pt idx="2">
                  <c:v>2.1</c:v>
                </c:pt>
                <c:pt idx="3">
                  <c:v>2.1</c:v>
                </c:pt>
                <c:pt idx="4">
                  <c:v>2.1</c:v>
                </c:pt>
              </c:numCache>
            </c:numRef>
          </c:yVal>
          <c:smooth val="0"/>
          <c:extLst>
            <c:ext xmlns:c16="http://schemas.microsoft.com/office/drawing/2014/chart" uri="{C3380CC4-5D6E-409C-BE32-E72D297353CC}">
              <c16:uniqueId val="{00000004-0FD5-438B-8152-D3981277341E}"/>
            </c:ext>
          </c:extLst>
        </c:ser>
        <c:ser>
          <c:idx val="2"/>
          <c:order val="5"/>
          <c:tx>
            <c:v>Beyler (20 m horizontal distance)</c:v>
          </c:tx>
          <c:spPr>
            <a:ln w="12700" cap="rnd">
              <a:solidFill>
                <a:srgbClr val="00B0F0"/>
              </a:solidFill>
              <a:prstDash val="sysDash"/>
              <a:round/>
            </a:ln>
            <a:effectLst/>
          </c:spPr>
          <c:marker>
            <c:symbol val="x"/>
            <c:size val="5"/>
            <c:spPr>
              <a:noFill/>
              <a:ln w="9525">
                <a:solidFill>
                  <a:srgbClr val="00B0F0"/>
                </a:solidFill>
              </a:ln>
              <a:effectLst/>
            </c:spPr>
          </c:marker>
          <c:xVal>
            <c:numRef>
              <c:f>comparison_SFPE!$AC$3:$AG$3</c:f>
              <c:numCache>
                <c:formatCode>General</c:formatCode>
                <c:ptCount val="5"/>
                <c:pt idx="0">
                  <c:v>0.5</c:v>
                </c:pt>
                <c:pt idx="1">
                  <c:v>1.5</c:v>
                </c:pt>
                <c:pt idx="2">
                  <c:v>2.5</c:v>
                </c:pt>
                <c:pt idx="3">
                  <c:v>3.5</c:v>
                </c:pt>
                <c:pt idx="4">
                  <c:v>4.5</c:v>
                </c:pt>
              </c:numCache>
            </c:numRef>
          </c:xVal>
          <c:yVal>
            <c:numRef>
              <c:f>comparison_SFPE!$AC$27:$AG$27</c:f>
              <c:numCache>
                <c:formatCode>#,#00</c:formatCode>
                <c:ptCount val="5"/>
                <c:pt idx="0">
                  <c:v>1.8285141608608946</c:v>
                </c:pt>
                <c:pt idx="1">
                  <c:v>1.8530401060036543</c:v>
                </c:pt>
                <c:pt idx="2">
                  <c:v>1.8608321529303524</c:v>
                </c:pt>
                <c:pt idx="3">
                  <c:v>1.8515057996336064</c:v>
                </c:pt>
                <c:pt idx="4">
                  <c:v>1.8458044270446055</c:v>
                </c:pt>
              </c:numCache>
            </c:numRef>
          </c:yVal>
          <c:smooth val="0"/>
          <c:extLst>
            <c:ext xmlns:c16="http://schemas.microsoft.com/office/drawing/2014/chart" uri="{C3380CC4-5D6E-409C-BE32-E72D297353CC}">
              <c16:uniqueId val="{00000005-0FD5-438B-8152-D3981277341E}"/>
            </c:ext>
          </c:extLst>
        </c:ser>
        <c:dLbls>
          <c:showLegendKey val="0"/>
          <c:showVal val="0"/>
          <c:showCatName val="0"/>
          <c:showSerName val="0"/>
          <c:showPercent val="0"/>
          <c:showBubbleSize val="0"/>
        </c:dLbls>
        <c:axId val="1613239839"/>
        <c:axId val="1613241759"/>
      </c:scatterChart>
      <c:valAx>
        <c:axId val="1613239839"/>
        <c:scaling>
          <c:orientation val="minMax"/>
          <c:max val="5.5"/>
          <c:min val="0.5"/>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Exposed segment height (m)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NL"/>
            </a:p>
          </c:txPr>
        </c:title>
        <c:numFmt formatCode="General" sourceLinked="1"/>
        <c:majorTickMark val="none"/>
        <c:minorTickMark val="none"/>
        <c:tickLblPos val="nextTo"/>
        <c:spPr>
          <a:noFill/>
          <a:ln w="9525" cap="flat" cmpd="sng" algn="ctr">
            <a:solidFill>
              <a:schemeClr val="accent3">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NL"/>
          </a:p>
        </c:txPr>
        <c:crossAx val="1613241759"/>
        <c:crosses val="autoZero"/>
        <c:crossBetween val="midCat"/>
      </c:valAx>
      <c:valAx>
        <c:axId val="1613241759"/>
        <c:scaling>
          <c:orientation val="minMax"/>
          <c:min val="1"/>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Incident thermal radiation flux (kW/m2)</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NL"/>
            </a:p>
          </c:txPr>
        </c:title>
        <c:numFmt formatCode="General" sourceLinked="1"/>
        <c:majorTickMark val="none"/>
        <c:minorTickMark val="none"/>
        <c:tickLblPos val="nextTo"/>
        <c:spPr>
          <a:noFill/>
          <a:ln w="9525" cap="flat" cmpd="sng" algn="ctr">
            <a:solidFill>
              <a:schemeClr val="accent3">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NL"/>
          </a:p>
        </c:txPr>
        <c:crossAx val="1613239839"/>
        <c:crosses val="autoZero"/>
        <c:crossBetween val="midCat"/>
      </c:valAx>
      <c:spPr>
        <a:noFill/>
        <a:ln>
          <a:solidFill>
            <a:schemeClr val="accent3">
              <a:lumMod val="50000"/>
            </a:schemeClr>
          </a:solidFill>
        </a:ln>
        <a:effectLst/>
      </c:spPr>
    </c:plotArea>
    <c:legend>
      <c:legendPos val="r"/>
      <c:layout>
        <c:manualLayout>
          <c:xMode val="edge"/>
          <c:yMode val="edge"/>
          <c:x val="0.60165278592046312"/>
          <c:y val="7.4823744659654787E-2"/>
          <c:w val="0.39597219923569404"/>
          <c:h val="0.7001154280897369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3546</Words>
  <Characters>20214</Characters>
  <Application>Microsoft Office Word</Application>
  <DocSecurity>0</DocSecurity>
  <Lines>168</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303</cp:revision>
  <cp:lastPrinted>2024-11-20T11:31:00Z</cp:lastPrinted>
  <dcterms:created xsi:type="dcterms:W3CDTF">2025-03-26T13:42:00Z</dcterms:created>
  <dcterms:modified xsi:type="dcterms:W3CDTF">2025-04-16T11:35:00Z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