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30F07041" w14:textId="6B4E8678"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4D84D407" w:rsidR="00E978D0" w:rsidRPr="00B57B36" w:rsidRDefault="009A6599" w:rsidP="00E978D0">
      <w:pPr>
        <w:pStyle w:val="CETTitle"/>
      </w:pPr>
      <w:r w:rsidRPr="009A6599">
        <w:t>Extension of QRA event trees for risk assessment of R290 refrigerant applications</w:t>
      </w:r>
    </w:p>
    <w:p w14:paraId="0488FED2" w14:textId="1620E72F" w:rsidR="00B57E6F" w:rsidRPr="000C50F6" w:rsidRDefault="008C56E3" w:rsidP="00B57E6F">
      <w:pPr>
        <w:pStyle w:val="CETAuthors"/>
        <w:rPr>
          <w:lang w:val="it-IT"/>
        </w:rPr>
      </w:pPr>
      <w:r w:rsidRPr="000C50F6">
        <w:rPr>
          <w:lang w:val="it-IT"/>
        </w:rPr>
        <w:t>Rocco di Filippo</w:t>
      </w:r>
      <w:r w:rsidR="00B74826" w:rsidRPr="000C50F6">
        <w:rPr>
          <w:lang w:val="it-IT"/>
        </w:rPr>
        <w:t>*</w:t>
      </w:r>
      <w:r w:rsidR="00B57E6F" w:rsidRPr="000C50F6">
        <w:rPr>
          <w:lang w:val="it-IT"/>
        </w:rPr>
        <w:t xml:space="preserve">, </w:t>
      </w:r>
      <w:r w:rsidR="00B74826" w:rsidRPr="000C50F6">
        <w:rPr>
          <w:lang w:val="it-IT"/>
        </w:rPr>
        <w:t xml:space="preserve">Gianluca Maracchini, </w:t>
      </w:r>
      <w:r w:rsidR="002F3D17" w:rsidRPr="000C50F6">
        <w:rPr>
          <w:lang w:val="it-IT"/>
        </w:rPr>
        <w:t>Oreste S. Bursi</w:t>
      </w:r>
      <w:r w:rsidR="00B57E6F" w:rsidRPr="000C50F6">
        <w:rPr>
          <w:lang w:val="it-IT"/>
        </w:rPr>
        <w:t xml:space="preserve"> </w:t>
      </w:r>
    </w:p>
    <w:p w14:paraId="3B72DA83" w14:textId="77777777" w:rsidR="002F3D17" w:rsidRDefault="002F3D17" w:rsidP="002F3D17">
      <w:pPr>
        <w:pStyle w:val="CETemail"/>
        <w:spacing w:after="0"/>
      </w:pPr>
      <w:r w:rsidRPr="002F3D17">
        <w:t xml:space="preserve">Department of Civil, Environmental &amp; Mechanical Engineering, University of Trento, Via Mesiano 77, Trento, </w:t>
      </w:r>
      <w:r>
        <w:t>I</w:t>
      </w:r>
      <w:r w:rsidRPr="002F3D17">
        <w:t>taly</w:t>
      </w:r>
    </w:p>
    <w:p w14:paraId="73F1267A" w14:textId="37164A0A" w:rsidR="00B57E6F" w:rsidRDefault="002F3D17" w:rsidP="002F3D17">
      <w:pPr>
        <w:pStyle w:val="CETemail"/>
        <w:spacing w:after="0"/>
      </w:pPr>
      <w:r w:rsidRPr="002F3D17">
        <w:t>*rocco.difilippo@unitn.it</w:t>
      </w:r>
      <w:r>
        <w:t xml:space="preserve"> </w:t>
      </w:r>
    </w:p>
    <w:p w14:paraId="66797007" w14:textId="77777777" w:rsidR="002F3D17" w:rsidRPr="002F3D17" w:rsidRDefault="002F3D17" w:rsidP="002F3D17">
      <w:pPr>
        <w:pStyle w:val="CETBodytext"/>
        <w:rPr>
          <w:lang w:val="en-GB"/>
        </w:rPr>
      </w:pPr>
    </w:p>
    <w:p w14:paraId="79120891" w14:textId="038356CA" w:rsidR="000233CD" w:rsidRDefault="000233CD" w:rsidP="00480E09">
      <w:pPr>
        <w:pStyle w:val="CETBodytext"/>
      </w:pPr>
      <w:bookmarkStart w:id="1" w:name="_Hlk495475023"/>
      <w:r w:rsidRPr="000233CD">
        <w:rPr>
          <w:lang w:val="en-GB"/>
        </w:rPr>
        <w:t xml:space="preserve">After the 1987 Montreal Protocol banned </w:t>
      </w:r>
      <w:r w:rsidR="00940918" w:rsidRPr="005B5A13">
        <w:rPr>
          <w:lang w:val="en-GB"/>
        </w:rPr>
        <w:t>chlorofluorocarbons</w:t>
      </w:r>
      <w:r w:rsidR="00940918" w:rsidRPr="000233CD">
        <w:rPr>
          <w:lang w:val="en-GB"/>
        </w:rPr>
        <w:t xml:space="preserve"> </w:t>
      </w:r>
      <w:r w:rsidR="00940918">
        <w:rPr>
          <w:lang w:val="en-GB"/>
        </w:rPr>
        <w:t>(</w:t>
      </w:r>
      <w:r w:rsidRPr="000233CD">
        <w:rPr>
          <w:lang w:val="en-GB"/>
        </w:rPr>
        <w:t>CFCs</w:t>
      </w:r>
      <w:r w:rsidR="00940918">
        <w:rPr>
          <w:lang w:val="en-GB"/>
        </w:rPr>
        <w:t>)</w:t>
      </w:r>
      <w:r w:rsidRPr="000233CD">
        <w:rPr>
          <w:lang w:val="en-GB"/>
        </w:rPr>
        <w:t xml:space="preserve"> for their ozone-depleting effects, </w:t>
      </w:r>
      <w:r w:rsidR="00940918" w:rsidRPr="005B5A13">
        <w:rPr>
          <w:lang w:val="en-GB"/>
        </w:rPr>
        <w:t>hydrochlorofluorocarbons</w:t>
      </w:r>
      <w:r w:rsidR="00940918" w:rsidRPr="000233CD">
        <w:rPr>
          <w:lang w:val="en-GB"/>
        </w:rPr>
        <w:t xml:space="preserve"> </w:t>
      </w:r>
      <w:r w:rsidR="00940918">
        <w:rPr>
          <w:lang w:val="en-GB"/>
        </w:rPr>
        <w:t>(</w:t>
      </w:r>
      <w:r w:rsidRPr="000233CD">
        <w:rPr>
          <w:lang w:val="en-GB"/>
        </w:rPr>
        <w:t>HFCs</w:t>
      </w:r>
      <w:r w:rsidR="00940918">
        <w:rPr>
          <w:lang w:val="en-GB"/>
        </w:rPr>
        <w:t>)</w:t>
      </w:r>
      <w:r w:rsidRPr="000233CD">
        <w:rPr>
          <w:lang w:val="en-GB"/>
        </w:rPr>
        <w:t xml:space="preserve"> became the preferred refrigerants. Although HFCs do not damage the ozone layer, they contribute significantly to global warming. HFCs possess</w:t>
      </w:r>
      <w:r w:rsidR="00940918">
        <w:rPr>
          <w:lang w:val="en-GB"/>
        </w:rPr>
        <w:t>, indeed,</w:t>
      </w:r>
      <w:r w:rsidRPr="000233CD">
        <w:rPr>
          <w:lang w:val="en-GB"/>
        </w:rPr>
        <w:t xml:space="preserve"> a global warming potential (GWP) hundreds of times higher than CO2. Therefore, the 2016 Kigali Amendment introduced an international plan to phase out high-GWP HFCs. The most suitable alternatives for residential refrigerants are hydrocarbons (HCs) such as R600 (isobutane) and R290 (propane), which exhibit a negligible GWP but are </w:t>
      </w:r>
      <w:r w:rsidR="00DE5977">
        <w:rPr>
          <w:lang w:val="en-GB"/>
        </w:rPr>
        <w:t>characterised</w:t>
      </w:r>
      <w:r w:rsidRPr="000233CD">
        <w:rPr>
          <w:lang w:val="en-GB"/>
        </w:rPr>
        <w:t xml:space="preserve"> by high flammability. While R600 has been safely used in refrigerators due to its low charge requirements, safety concerns about using R290 in air conditioning have been raised. These concerns have led to international standards capping the permissible R290 charge to amounts that made it unfeasible for widespread HVAC applications. Still, IEC 60335-2-40:2022 increased the maximum allowable charge in 2022 to </w:t>
      </w:r>
      <w:r w:rsidR="00940918">
        <w:rPr>
          <w:lang w:val="en-GB"/>
        </w:rPr>
        <w:t>remove a barrier to heating electrification and energy transition, effectively</w:t>
      </w:r>
      <w:r w:rsidRPr="000233CD">
        <w:rPr>
          <w:lang w:val="en-GB"/>
        </w:rPr>
        <w:t xml:space="preserve">. Risk mitigation measures have focused on R290 leak control in enclosed spaces. </w:t>
      </w:r>
      <w:r w:rsidR="00940918">
        <w:rPr>
          <w:lang w:val="en-GB"/>
        </w:rPr>
        <w:t>A</w:t>
      </w:r>
      <w:r w:rsidRPr="000233CD">
        <w:rPr>
          <w:lang w:val="en-GB"/>
        </w:rPr>
        <w:t xml:space="preserve">ccording to current research and regulations, the leakage of R290 is considered the primary source of fire hazard for these applications. However, despite empirical, experimental, and numerical evidence, less attention has been given to the </w:t>
      </w:r>
      <w:r w:rsidR="00DE5977">
        <w:rPr>
          <w:lang w:val="en-GB"/>
        </w:rPr>
        <w:t>behaviour</w:t>
      </w:r>
      <w:r w:rsidRPr="000233CD">
        <w:rPr>
          <w:lang w:val="en-GB"/>
        </w:rPr>
        <w:t xml:space="preserve"> of air conditioning and refrigeration units in independent fires. As a result, quantitative risk assessment (QRA) methods have been mainly applied with leakage as a starting event. Conversely, this study introduces new event trees for QRA, considering an independent fire as a starting event. Preliminary probability assessments are also provided to compare the likelihood of fire consequences. The findings stress the importance of considering fire reactions of </w:t>
      </w:r>
      <w:r w:rsidR="00FB1256">
        <w:rPr>
          <w:lang w:val="en-GB"/>
        </w:rPr>
        <w:t>HC</w:t>
      </w:r>
      <w:r w:rsidRPr="000233CD">
        <w:rPr>
          <w:lang w:val="en-GB"/>
        </w:rPr>
        <w:t xml:space="preserve"> equipment together with leakage risks</w:t>
      </w:r>
      <w:bookmarkEnd w:id="1"/>
      <w:r>
        <w:rPr>
          <w:lang w:val="en-GB"/>
        </w:rPr>
        <w:t>.</w:t>
      </w:r>
      <w:r w:rsidR="006A6DE5" w:rsidRPr="00B60AE4">
        <w:t xml:space="preserve"> </w:t>
      </w:r>
    </w:p>
    <w:p w14:paraId="476B2F2E" w14:textId="52B36035" w:rsidR="00600535" w:rsidRDefault="00600535" w:rsidP="00600535">
      <w:pPr>
        <w:pStyle w:val="CETHeading1"/>
        <w:rPr>
          <w:lang w:val="en-GB"/>
        </w:rPr>
      </w:pPr>
      <w:r w:rsidRPr="00B57B36">
        <w:rPr>
          <w:lang w:val="en-GB"/>
        </w:rPr>
        <w:t>Introduction</w:t>
      </w:r>
    </w:p>
    <w:p w14:paraId="67DDA093" w14:textId="026C8599" w:rsidR="005B5A13" w:rsidRDefault="005B5A13" w:rsidP="005B5A13">
      <w:pPr>
        <w:pStyle w:val="CETBodytext"/>
        <w:rPr>
          <w:lang w:val="en-GB"/>
        </w:rPr>
      </w:pPr>
      <w:r w:rsidRPr="005B5A13">
        <w:rPr>
          <w:lang w:val="en-GB"/>
        </w:rPr>
        <w:t>The 198</w:t>
      </w:r>
      <w:r w:rsidR="00702B7B">
        <w:rPr>
          <w:lang w:val="en-GB"/>
        </w:rPr>
        <w:t>7</w:t>
      </w:r>
      <w:r w:rsidRPr="005B5A13">
        <w:rPr>
          <w:lang w:val="en-GB"/>
        </w:rPr>
        <w:t xml:space="preserve"> Montreal Protocol effectively banned chlorofluorocarbons (CFCs), a class of chemicals that deplete the ozone layer, which has since shown signs of recovery. CFCs, once prevalent in aerosol sprays and refrigeration, were initially replaced by hydrochlorofluorocarbons (HCFCs) and later by hydrofluorocarbons (HFCs)</w:t>
      </w:r>
      <w:r w:rsidR="006174CF">
        <w:rPr>
          <w:lang w:val="en-GB"/>
        </w:rPr>
        <w:t xml:space="preserve"> (Maracchini</w:t>
      </w:r>
      <w:r w:rsidR="00F057F6">
        <w:t xml:space="preserve"> et al.</w:t>
      </w:r>
      <w:r w:rsidR="006174CF">
        <w:rPr>
          <w:lang w:val="en-GB"/>
        </w:rPr>
        <w:t>, 2023)</w:t>
      </w:r>
      <w:r w:rsidRPr="005B5A13">
        <w:rPr>
          <w:lang w:val="en-GB"/>
        </w:rPr>
        <w:t xml:space="preserve">. Although HFCs are ozone-safe, they have high global warming potential (GWP) and are projected to contribute significantly to global warming if left unregulated </w:t>
      </w:r>
      <w:r w:rsidR="00AF1734">
        <w:rPr>
          <w:lang w:val="en-GB"/>
        </w:rPr>
        <w:t>(Heath, 2016)</w:t>
      </w:r>
      <w:r w:rsidRPr="005B5A13">
        <w:rPr>
          <w:lang w:val="en-GB"/>
        </w:rPr>
        <w:t>. The Kigali Amendment, therefore, mandates a gradual phase-out of HFCs to reduce their climate impact</w:t>
      </w:r>
      <w:r w:rsidR="006174CF">
        <w:rPr>
          <w:lang w:val="en-GB"/>
        </w:rPr>
        <w:t>,</w:t>
      </w:r>
      <w:r w:rsidR="00795CD5">
        <w:rPr>
          <w:lang w:val="en-GB"/>
        </w:rPr>
        <w:t xml:space="preserve"> especially </w:t>
      </w:r>
      <w:r w:rsidR="00257C73">
        <w:rPr>
          <w:lang w:val="en-GB"/>
        </w:rPr>
        <w:t>b</w:t>
      </w:r>
      <w:r w:rsidR="00795CD5">
        <w:rPr>
          <w:lang w:val="en-GB"/>
        </w:rPr>
        <w:t>e</w:t>
      </w:r>
      <w:r w:rsidR="00257C73">
        <w:rPr>
          <w:lang w:val="en-GB"/>
        </w:rPr>
        <w:t>cause</w:t>
      </w:r>
      <w:r w:rsidR="00795CD5">
        <w:rPr>
          <w:lang w:val="en-GB"/>
        </w:rPr>
        <w:t xml:space="preserve"> of </w:t>
      </w:r>
      <w:r w:rsidR="00257C73">
        <w:rPr>
          <w:lang w:val="en-GB"/>
        </w:rPr>
        <w:t xml:space="preserve">the expected </w:t>
      </w:r>
      <w:r w:rsidR="00795CD5">
        <w:rPr>
          <w:lang w:val="en-GB"/>
        </w:rPr>
        <w:t xml:space="preserve">wider adoption of electricity-based systems for thermal regulation </w:t>
      </w:r>
      <w:r w:rsidR="006174CF">
        <w:rPr>
          <w:lang w:val="en-GB"/>
        </w:rPr>
        <w:t>(di Filippo</w:t>
      </w:r>
      <w:r w:rsidR="00F057F6">
        <w:t xml:space="preserve"> et al.</w:t>
      </w:r>
      <w:r w:rsidR="006174CF">
        <w:rPr>
          <w:lang w:val="en-GB"/>
        </w:rPr>
        <w:t>, 2024)</w:t>
      </w:r>
      <w:r w:rsidRPr="005B5A13">
        <w:rPr>
          <w:lang w:val="en-GB"/>
        </w:rPr>
        <w:t>.</w:t>
      </w:r>
      <w:r w:rsidR="00795CD5">
        <w:rPr>
          <w:lang w:val="en-GB"/>
        </w:rPr>
        <w:t xml:space="preserve"> </w:t>
      </w:r>
      <w:r w:rsidRPr="005B5A13">
        <w:rPr>
          <w:lang w:val="en-GB"/>
        </w:rPr>
        <w:t xml:space="preserve">With HFC reductions underway, hydrocarbons (HCs) are now being adopted as low-GWP refrigerants. However, HCs pose </w:t>
      </w:r>
      <w:r w:rsidR="00795CD5">
        <w:rPr>
          <w:lang w:val="en-GB"/>
        </w:rPr>
        <w:t>additional challenges</w:t>
      </w:r>
      <w:r w:rsidRPr="005B5A13">
        <w:rPr>
          <w:lang w:val="en-GB"/>
        </w:rPr>
        <w:t xml:space="preserve"> compared to HFCs</w:t>
      </w:r>
      <w:r w:rsidR="00795CD5">
        <w:rPr>
          <w:lang w:val="en-GB"/>
        </w:rPr>
        <w:t xml:space="preserve"> mainly related to possible increased fire hazards</w:t>
      </w:r>
      <w:r w:rsidR="00CC47D3">
        <w:rPr>
          <w:lang w:val="en-GB"/>
        </w:rPr>
        <w:t xml:space="preserve">. </w:t>
      </w:r>
      <w:r w:rsidRPr="005B5A13">
        <w:rPr>
          <w:lang w:val="en-GB"/>
        </w:rPr>
        <w:t>Leakage is a prominent concern due to HCs’ high flammability</w:t>
      </w:r>
      <w:r w:rsidR="007148EC">
        <w:rPr>
          <w:lang w:val="en-GB"/>
        </w:rPr>
        <w:t xml:space="preserve"> (ISO, 2014)</w:t>
      </w:r>
      <w:r w:rsidRPr="005B5A13">
        <w:rPr>
          <w:lang w:val="en-GB"/>
        </w:rPr>
        <w:t>, lower ignition temperatures, and broader flammability range</w:t>
      </w:r>
      <w:r w:rsidR="003D1552">
        <w:rPr>
          <w:lang w:val="en-GB"/>
        </w:rPr>
        <w:t>, i.e. a refrigerant</w:t>
      </w:r>
      <w:r w:rsidR="00081881">
        <w:rPr>
          <w:lang w:val="en-GB"/>
        </w:rPr>
        <w:t xml:space="preserve"> class A3</w:t>
      </w:r>
      <w:r w:rsidRPr="005B5A13">
        <w:rPr>
          <w:lang w:val="en-GB"/>
        </w:rPr>
        <w:t xml:space="preserve">. If leaked, HCs can easily ignite, especially in confined spaces, making leakage the primary fire hazard in refrigerant-based systems </w:t>
      </w:r>
      <w:r w:rsidR="007148EC">
        <w:rPr>
          <w:lang w:val="en-GB"/>
        </w:rPr>
        <w:t>(Li</w:t>
      </w:r>
      <w:r w:rsidR="000749C4">
        <w:rPr>
          <w:lang w:val="en-GB"/>
        </w:rPr>
        <w:t xml:space="preserve"> et al.</w:t>
      </w:r>
      <w:r w:rsidR="007148EC">
        <w:rPr>
          <w:lang w:val="en-GB"/>
        </w:rPr>
        <w:t>, 2023)</w:t>
      </w:r>
      <w:r w:rsidRPr="005B5A13">
        <w:rPr>
          <w:lang w:val="en-GB"/>
        </w:rPr>
        <w:t xml:space="preserve">. To manage these risks, international standards set maximum allowable charges (MAC) for HCs and implement stricter guidelines to control their use in </w:t>
      </w:r>
      <w:r w:rsidR="00257C73">
        <w:rPr>
          <w:lang w:val="en-GB"/>
        </w:rPr>
        <w:t>refrigeration</w:t>
      </w:r>
      <w:r w:rsidRPr="005B5A13">
        <w:rPr>
          <w:lang w:val="en-GB"/>
        </w:rPr>
        <w:t xml:space="preserve">, air conditioning, and heat pump (RACHP) systems </w:t>
      </w:r>
      <w:r w:rsidR="007148EC">
        <w:rPr>
          <w:lang w:val="en-GB"/>
        </w:rPr>
        <w:t>(Colbo</w:t>
      </w:r>
      <w:r w:rsidR="00ED02EA">
        <w:rPr>
          <w:lang w:val="en-GB"/>
        </w:rPr>
        <w:t>u</w:t>
      </w:r>
      <w:r w:rsidR="007148EC">
        <w:rPr>
          <w:lang w:val="en-GB"/>
        </w:rPr>
        <w:t>rne</w:t>
      </w:r>
      <w:r w:rsidR="00F057F6">
        <w:t xml:space="preserve"> et al.</w:t>
      </w:r>
      <w:r w:rsidR="007148EC">
        <w:rPr>
          <w:lang w:val="en-GB"/>
        </w:rPr>
        <w:t xml:space="preserve">, 2020). </w:t>
      </w:r>
    </w:p>
    <w:p w14:paraId="3C660B6F" w14:textId="6D1129A1" w:rsidR="005B5A13" w:rsidRPr="005B5A13" w:rsidRDefault="00F22127" w:rsidP="005B5A13">
      <w:pPr>
        <w:pStyle w:val="CETBodytext"/>
        <w:rPr>
          <w:lang w:val="en-GB"/>
        </w:rPr>
      </w:pPr>
      <w:r w:rsidRPr="00F22127">
        <w:rPr>
          <w:lang w:val="en-GB"/>
        </w:rPr>
        <w:t>In 2017, UNEP-TEAP advocated for updates to international standards on MACs to encourage the use of low-GWP refrigerants</w:t>
      </w:r>
      <w:r w:rsidR="003867FF">
        <w:rPr>
          <w:lang w:val="en-GB"/>
        </w:rPr>
        <w:t xml:space="preserve"> (Polonara</w:t>
      </w:r>
      <w:r w:rsidR="00F057F6">
        <w:t xml:space="preserve"> et al.</w:t>
      </w:r>
      <w:r w:rsidR="003867FF">
        <w:rPr>
          <w:lang w:val="en-GB"/>
        </w:rPr>
        <w:t>, 2017)</w:t>
      </w:r>
      <w:r w:rsidRPr="00F22127">
        <w:rPr>
          <w:lang w:val="en-GB"/>
        </w:rPr>
        <w:t xml:space="preserve">. Consequently, the IEC standards were revised in 2020 for commercial applications and in 2022 for residential use, permitting higher charges </w:t>
      </w:r>
      <w:r w:rsidR="00F057F6">
        <w:rPr>
          <w:lang w:val="en-GB"/>
        </w:rPr>
        <w:t>f</w:t>
      </w:r>
      <w:r w:rsidRPr="00F22127">
        <w:rPr>
          <w:lang w:val="en-GB"/>
        </w:rPr>
        <w:t>o</w:t>
      </w:r>
      <w:r w:rsidR="00F057F6">
        <w:rPr>
          <w:lang w:val="en-GB"/>
        </w:rPr>
        <w:t>r</w:t>
      </w:r>
      <w:r w:rsidRPr="00F22127">
        <w:rPr>
          <w:lang w:val="en-GB"/>
        </w:rPr>
        <w:t xml:space="preserve"> A3 refrigerants under certain leakage control condition</w:t>
      </w:r>
      <w:r>
        <w:rPr>
          <w:lang w:val="en-GB"/>
        </w:rPr>
        <w:t>s</w:t>
      </w:r>
      <w:r w:rsidR="003867FF">
        <w:rPr>
          <w:lang w:val="en-GB"/>
        </w:rPr>
        <w:t xml:space="preserve"> (IEC, 2022)</w:t>
      </w:r>
      <w:r>
        <w:rPr>
          <w:lang w:val="en-GB"/>
        </w:rPr>
        <w:t>.</w:t>
      </w:r>
      <w:r w:rsidR="00E8128F">
        <w:rPr>
          <w:lang w:val="en-GB"/>
        </w:rPr>
        <w:t xml:space="preserve"> </w:t>
      </w:r>
      <w:r w:rsidR="007148EC">
        <w:rPr>
          <w:lang w:val="en-GB"/>
        </w:rPr>
        <w:t xml:space="preserve">However, </w:t>
      </w:r>
      <w:r w:rsidR="007148EC" w:rsidRPr="005B5A13">
        <w:rPr>
          <w:lang w:val="en-GB"/>
        </w:rPr>
        <w:t>in</w:t>
      </w:r>
      <w:r w:rsidR="005B5A13" w:rsidRPr="005B5A13">
        <w:rPr>
          <w:lang w:val="en-GB"/>
        </w:rPr>
        <w:t xml:space="preserve"> addition to leakage risks, RACHP components can contribute to fire </w:t>
      </w:r>
      <w:r w:rsidR="005B5A13" w:rsidRPr="005B5A13">
        <w:rPr>
          <w:lang w:val="en-GB"/>
        </w:rPr>
        <w:lastRenderedPageBreak/>
        <w:t xml:space="preserve">hazards by reacting to independent fires (IFs), especially in scenarios where </w:t>
      </w:r>
      <w:r w:rsidR="007148EC">
        <w:rPr>
          <w:lang w:val="en-GB"/>
        </w:rPr>
        <w:t>such components</w:t>
      </w:r>
      <w:r w:rsidR="005B5A13" w:rsidRPr="005B5A13">
        <w:rPr>
          <w:lang w:val="en-GB"/>
        </w:rPr>
        <w:t xml:space="preserve"> </w:t>
      </w:r>
      <w:r w:rsidR="007148EC">
        <w:rPr>
          <w:lang w:val="en-GB"/>
        </w:rPr>
        <w:t>worsen IFs’ consequences</w:t>
      </w:r>
      <w:r w:rsidR="005B5A13" w:rsidRPr="005B5A13">
        <w:rPr>
          <w:lang w:val="en-GB"/>
        </w:rPr>
        <w:t xml:space="preserve">. For example, HVAC systems may spread flames or smoke through air ducts, while RACHP units close to combustible materials can ignite, exacerbating fire spread on building facades </w:t>
      </w:r>
      <w:r w:rsidR="006174CF">
        <w:rPr>
          <w:lang w:val="en-GB"/>
        </w:rPr>
        <w:t>(Anderson</w:t>
      </w:r>
      <w:r w:rsidR="00F057F6">
        <w:t xml:space="preserve"> et al.,</w:t>
      </w:r>
      <w:r w:rsidR="006174CF">
        <w:rPr>
          <w:lang w:val="en-GB"/>
        </w:rPr>
        <w:t xml:space="preserve"> 2017)</w:t>
      </w:r>
      <w:r w:rsidR="005B5A13" w:rsidRPr="005B5A13">
        <w:rPr>
          <w:lang w:val="en-GB"/>
        </w:rPr>
        <w:t xml:space="preserve">. In particular, studies show that refrigerant-based equipment can ignite when exposed to external fires </w:t>
      </w:r>
      <w:r w:rsidR="006174CF">
        <w:rPr>
          <w:lang w:val="en-GB"/>
        </w:rPr>
        <w:t>(Zhang</w:t>
      </w:r>
      <w:r w:rsidR="00F057F6">
        <w:t xml:space="preserve"> et al.</w:t>
      </w:r>
      <w:r w:rsidR="006174CF">
        <w:rPr>
          <w:lang w:val="en-GB"/>
        </w:rPr>
        <w:t>, 2013).</w:t>
      </w:r>
      <w:r w:rsidR="005B5A13" w:rsidRPr="005B5A13">
        <w:rPr>
          <w:lang w:val="en-GB"/>
        </w:rPr>
        <w:t xml:space="preserve"> The fire risk is further compounded in buildings with combustible thermal insulation, where</w:t>
      </w:r>
      <w:r w:rsidR="006174CF">
        <w:rPr>
          <w:lang w:val="en-GB"/>
        </w:rPr>
        <w:t xml:space="preserve"> combustible</w:t>
      </w:r>
      <w:r w:rsidR="005B5A13" w:rsidRPr="005B5A13">
        <w:rPr>
          <w:lang w:val="en-GB"/>
        </w:rPr>
        <w:t xml:space="preserve"> insulation materials have been shown to worsen fire outcomes</w:t>
      </w:r>
      <w:r w:rsidR="006174CF">
        <w:rPr>
          <w:lang w:val="en-GB"/>
        </w:rPr>
        <w:t xml:space="preserve"> (di Filippo</w:t>
      </w:r>
      <w:r w:rsidR="00F057F6">
        <w:t xml:space="preserve"> et al.</w:t>
      </w:r>
      <w:r w:rsidR="006174CF">
        <w:rPr>
          <w:lang w:val="en-GB"/>
        </w:rPr>
        <w:t>, 2023)</w:t>
      </w:r>
      <w:r w:rsidR="005B5A13" w:rsidRPr="005B5A13">
        <w:rPr>
          <w:lang w:val="en-GB"/>
        </w:rPr>
        <w:t>.</w:t>
      </w:r>
    </w:p>
    <w:p w14:paraId="2E57E098" w14:textId="56BA85E2" w:rsidR="005B5A13" w:rsidRPr="005B5A13" w:rsidRDefault="00211933" w:rsidP="005B5A13">
      <w:pPr>
        <w:pStyle w:val="CETBodytext"/>
        <w:rPr>
          <w:lang w:val="en-GB"/>
        </w:rPr>
      </w:pPr>
      <w:r>
        <w:rPr>
          <w:lang w:val="en-GB"/>
        </w:rPr>
        <w:t xml:space="preserve">While </w:t>
      </w:r>
      <w:r w:rsidR="005B5A13" w:rsidRPr="005B5A13">
        <w:rPr>
          <w:lang w:val="en-GB"/>
        </w:rPr>
        <w:t xml:space="preserve">HCs as HFC replacements support low-emission goals, they introduce dual fire hazards </w:t>
      </w:r>
      <w:r>
        <w:rPr>
          <w:lang w:val="en-GB"/>
        </w:rPr>
        <w:t xml:space="preserve">linked to leakage and fire reaction as described in </w:t>
      </w:r>
      <w:r w:rsidR="007D5B2E">
        <w:rPr>
          <w:lang w:val="en-GB"/>
        </w:rPr>
        <w:t>Section 2</w:t>
      </w:r>
      <w:r w:rsidR="005B5A13" w:rsidRPr="005B5A13">
        <w:rPr>
          <w:lang w:val="en-GB"/>
        </w:rPr>
        <w:t xml:space="preserve">. </w:t>
      </w:r>
      <w:r w:rsidR="00E60A24">
        <w:rPr>
          <w:lang w:val="en-GB"/>
        </w:rPr>
        <w:t xml:space="preserve">Given that the latter </w:t>
      </w:r>
      <w:r>
        <w:rPr>
          <w:lang w:val="en-GB"/>
        </w:rPr>
        <w:t>case</w:t>
      </w:r>
      <w:r w:rsidR="00E60A24">
        <w:rPr>
          <w:lang w:val="en-GB"/>
        </w:rPr>
        <w:t xml:space="preserve"> has been less explored in literature and considered by relevant standards, this study aims to investigate its characteristics and verify its significance </w:t>
      </w:r>
      <w:r w:rsidR="007D5B2E">
        <w:rPr>
          <w:lang w:val="en-GB"/>
        </w:rPr>
        <w:t>in Section 3. The results are presented in Section 4 while the main conclusions are drawn in Section 5.</w:t>
      </w:r>
    </w:p>
    <w:p w14:paraId="79C8145F" w14:textId="419A5FA7" w:rsidR="00700B33" w:rsidRDefault="000C50F6" w:rsidP="00453E24">
      <w:pPr>
        <w:pStyle w:val="CETHeading1"/>
      </w:pPr>
      <w:r>
        <w:t>Flammable refrigerant and fire risk scenarios</w:t>
      </w:r>
    </w:p>
    <w:p w14:paraId="3FE7BD31" w14:textId="79B2FEF3" w:rsidR="00700B33" w:rsidRDefault="00700B33" w:rsidP="00453E24">
      <w:pPr>
        <w:pStyle w:val="CETBodytext"/>
      </w:pPr>
      <w:r w:rsidRPr="00700B33">
        <w:t xml:space="preserve">We </w:t>
      </w:r>
      <w:r w:rsidR="007D5B2E">
        <w:t>categorize</w:t>
      </w:r>
      <w:r w:rsidRPr="00700B33">
        <w:t xml:space="preserve"> potential fire scenarios involving RACHP equipment with flammable refrigerants into two main types. The first type involves </w:t>
      </w:r>
      <w:r w:rsidR="00AE4183">
        <w:t xml:space="preserve">refrigerant leakage into enclosed </w:t>
      </w:r>
      <w:r w:rsidR="000749C4">
        <w:t>spaces</w:t>
      </w:r>
      <w:r w:rsidRPr="00700B33">
        <w:t xml:space="preserve"> as a</w:t>
      </w:r>
      <w:r w:rsidR="00AE4183">
        <w:t xml:space="preserve"> fire </w:t>
      </w:r>
      <w:r w:rsidRPr="00700B33">
        <w:t xml:space="preserve">hazard source; </w:t>
      </w:r>
      <w:r w:rsidR="00AE4183">
        <w:t>i.e.</w:t>
      </w:r>
      <w:r w:rsidRPr="00700B33">
        <w:t xml:space="preserve"> </w:t>
      </w:r>
      <w:r w:rsidR="00335DF6">
        <w:t>l</w:t>
      </w:r>
      <w:r w:rsidRPr="00700B33">
        <w:t>eakage-</w:t>
      </w:r>
      <w:r w:rsidR="00335DF6">
        <w:t>i</w:t>
      </w:r>
      <w:r w:rsidRPr="00700B33">
        <w:t xml:space="preserve">nduced </w:t>
      </w:r>
      <w:r w:rsidR="00335DF6">
        <w:t>f</w:t>
      </w:r>
      <w:r w:rsidRPr="00700B33">
        <w:t xml:space="preserve">ire (LIF) scenario. The second type </w:t>
      </w:r>
      <w:r w:rsidR="00F057F6">
        <w:t xml:space="preserve">involves </w:t>
      </w:r>
      <w:r w:rsidRPr="00700B33">
        <w:t xml:space="preserve">an </w:t>
      </w:r>
      <w:r w:rsidR="00335DF6">
        <w:t>i</w:t>
      </w:r>
      <w:r w:rsidRPr="00700B33">
        <w:t xml:space="preserve">ndependent </w:t>
      </w:r>
      <w:r w:rsidR="00335DF6">
        <w:t>f</w:t>
      </w:r>
      <w:r w:rsidRPr="00700B33">
        <w:t xml:space="preserve">ire (IF) where the fire reaction of RACHP equipment influences the fire </w:t>
      </w:r>
      <w:r w:rsidR="000749C4">
        <w:t>consequences</w:t>
      </w:r>
      <w:r w:rsidRPr="00700B33">
        <w:t xml:space="preserve"> </w:t>
      </w:r>
      <w:r w:rsidR="000749C4" w:rsidRPr="00700B33">
        <w:t>severity,</w:t>
      </w:r>
      <w:r w:rsidRPr="00700B33">
        <w:t xml:space="preserve"> </w:t>
      </w:r>
      <w:r w:rsidR="000749C4">
        <w:t>i.e.</w:t>
      </w:r>
      <w:r w:rsidRPr="00700B33">
        <w:t xml:space="preserve"> </w:t>
      </w:r>
      <w:r w:rsidR="00335DF6">
        <w:t>r</w:t>
      </w:r>
      <w:r w:rsidRPr="00700B33">
        <w:t>eaction-</w:t>
      </w:r>
      <w:r w:rsidR="00335DF6">
        <w:t>i</w:t>
      </w:r>
      <w:r w:rsidRPr="00700B33">
        <w:t xml:space="preserve">nfluenced </w:t>
      </w:r>
      <w:r w:rsidR="00335DF6">
        <w:t>f</w:t>
      </w:r>
      <w:r w:rsidRPr="00700B33">
        <w:t>ire (RIF) scenario.</w:t>
      </w:r>
    </w:p>
    <w:p w14:paraId="18BAFA6F" w14:textId="49C3298A" w:rsidR="00453E24" w:rsidRDefault="000C50F6" w:rsidP="00453E24">
      <w:pPr>
        <w:pStyle w:val="CETheadingx"/>
      </w:pPr>
      <w:r>
        <w:t>Leakage-Induced Fire Scenario</w:t>
      </w:r>
    </w:p>
    <w:p w14:paraId="259508AE" w14:textId="039581A9" w:rsidR="000C50F6" w:rsidRPr="000C50F6" w:rsidRDefault="00A27B28" w:rsidP="00A27B28">
      <w:pPr>
        <w:pStyle w:val="CETBodytext"/>
      </w:pPr>
      <w:r>
        <w:t>Quantitative risk assessment (QRA) is a</w:t>
      </w:r>
      <w:r w:rsidR="00134214">
        <w:t xml:space="preserve">n </w:t>
      </w:r>
      <w:r>
        <w:t xml:space="preserve">established approach for </w:t>
      </w:r>
      <w:r w:rsidR="00134214">
        <w:t>assessing risks</w:t>
      </w:r>
      <w:r>
        <w:t xml:space="preserve"> from leakage of dangerous compounds, commonly using "event trees" (ETs) to</w:t>
      </w:r>
      <w:r w:rsidR="00134214">
        <w:t xml:space="preserve"> describe and</w:t>
      </w:r>
      <w:r>
        <w:t xml:space="preserve"> quantify the likelihood of adverse events. These trees illustrate complex</w:t>
      </w:r>
      <w:r w:rsidR="00134214">
        <w:t xml:space="preserve"> </w:t>
      </w:r>
      <w:r w:rsidR="000749C4">
        <w:t>scenarios by</w:t>
      </w:r>
      <w:r>
        <w:t xml:space="preserve"> breaking them into possible outcomes and sequential events. In Leakage-Induced Fire (LIF) scenarios, ETs typically include four steps: </w:t>
      </w:r>
      <w:r w:rsidR="003E7CC2">
        <w:t xml:space="preserve">i) </w:t>
      </w:r>
      <w:r>
        <w:t xml:space="preserve">refrigerant leakage within an enclosed space, </w:t>
      </w:r>
      <w:r w:rsidR="003E7CC2">
        <w:t xml:space="preserve">ii) </w:t>
      </w:r>
      <w:r>
        <w:t xml:space="preserve">reaching the lower flammability limit (LFL), </w:t>
      </w:r>
      <w:r w:rsidR="003E7CC2">
        <w:t xml:space="preserve">iii) </w:t>
      </w:r>
      <w:r>
        <w:t>the presence of a</w:t>
      </w:r>
      <w:r w:rsidR="000749C4">
        <w:t xml:space="preserve"> S</w:t>
      </w:r>
      <w:r>
        <w:t>ource</w:t>
      </w:r>
      <w:r w:rsidR="000749C4">
        <w:t xml:space="preserve"> of Ignition (SOI)</w:t>
      </w:r>
      <w:r>
        <w:t>, and</w:t>
      </w:r>
      <w:r w:rsidR="003E7CC2">
        <w:t xml:space="preserve"> iv)</w:t>
      </w:r>
      <w:r>
        <w:t xml:space="preserve"> ignition leading to </w:t>
      </w:r>
      <w:r w:rsidR="003D1552">
        <w:t>secondary fires, excessive thermal radiation or overpressure</w:t>
      </w:r>
      <w:r w:rsidR="00F45548">
        <w:t xml:space="preserve"> (Li</w:t>
      </w:r>
      <w:r w:rsidR="00F057F6">
        <w:t xml:space="preserve"> et al.</w:t>
      </w:r>
      <w:r w:rsidR="00F45548">
        <w:t xml:space="preserve">, 2023), as </w:t>
      </w:r>
      <w:r w:rsidR="00F45548" w:rsidRPr="00AC48CD">
        <w:t xml:space="preserve">depicted in </w:t>
      </w:r>
      <w:r w:rsidR="00134214">
        <w:t xml:space="preserve">Figure 1. </w:t>
      </w:r>
      <w:r>
        <w:t>Experimental studies on LIF scenarios for flammable refrigerants have identified critical factors</w:t>
      </w:r>
      <w:r w:rsidR="00F45548">
        <w:t> influencing refrigerant concentration and ignition risk, such as equipment positioning, installation height, airflow, and natural ventilation</w:t>
      </w:r>
      <w:r w:rsidR="003E7CC2">
        <w:t xml:space="preserve"> </w:t>
      </w:r>
      <w:r w:rsidR="00035A2F">
        <w:t>(Ning, 2023).</w:t>
      </w:r>
      <w:r w:rsidR="00F45548">
        <w:t xml:space="preserve"> </w:t>
      </w:r>
      <w:r w:rsidR="00257C73">
        <w:t>Indeed, t</w:t>
      </w:r>
      <w:r>
        <w:t xml:space="preserve">o address </w:t>
      </w:r>
      <w:r w:rsidR="00F45548">
        <w:t>risk from LIF scenarios</w:t>
      </w:r>
      <w:r>
        <w:t>, standards like IEC 60335-2-40 (</w:t>
      </w:r>
      <w:r w:rsidR="00F45548">
        <w:t xml:space="preserve">IEC, </w:t>
      </w:r>
      <w:r>
        <w:t xml:space="preserve">2022) prescribe a maximum allowable charge (MAC) based on factors like flammability classification, room size, ventilation, and "enhanced tightness" (ENT). ENT and "releasable charge" (RC) features aim to prevent leaks, with RC limiting the refrigerant amount released by automatically closing valves during a detected leak. These measures have enabled higher MAC limits in newer standards, allowing, for example, 500 grams of A3 refrigerant in 12 m² rooms versus 30 m² under </w:t>
      </w:r>
      <w:r w:rsidR="00257C73">
        <w:t>the previous version</w:t>
      </w:r>
      <w:r w:rsidR="007E2115">
        <w:t xml:space="preserve"> of the IEC code</w:t>
      </w:r>
      <w:r>
        <w:t>.</w:t>
      </w:r>
      <w:r w:rsidR="00257C73">
        <w:t xml:space="preserve"> </w:t>
      </w:r>
    </w:p>
    <w:p w14:paraId="73FC4F0F" w14:textId="6962A9BD" w:rsidR="000C50F6" w:rsidRDefault="000C50F6" w:rsidP="000C50F6">
      <w:pPr>
        <w:pStyle w:val="CETheadingx"/>
      </w:pPr>
      <w:r>
        <w:t>Reaction-influenced Fire scenario</w:t>
      </w:r>
    </w:p>
    <w:p w14:paraId="050031C4" w14:textId="3431CA3F" w:rsidR="00FB1256" w:rsidRDefault="00EF0741" w:rsidP="00EF0741">
      <w:pPr>
        <w:pStyle w:val="CETBodytext"/>
      </w:pPr>
      <w:r>
        <w:t xml:space="preserve">In Reaction-Influenced Fire (RIF) scenarios, the primary event is an independent fire, </w:t>
      </w:r>
      <w:r w:rsidR="00257C73">
        <w:t>followed by the</w:t>
      </w:r>
      <w:r>
        <w:t xml:space="preserve"> fire reaction of RACHP equipment and its potential to exacerbate fire outcomes. </w:t>
      </w:r>
      <w:r w:rsidR="00682B7E" w:rsidRPr="002C2BC1">
        <w:t>It is important to underline that the final stage in RIF scenarios should lead to fire consequences worsened beyond what would occur in an independent fire without RACHP units.</w:t>
      </w:r>
      <w:r w:rsidR="00682B7E">
        <w:t xml:space="preserve"> A simplified scheme of the RIF event tree is depicted in Fig.1. </w:t>
      </w:r>
    </w:p>
    <w:p w14:paraId="60D416B4" w14:textId="77777777" w:rsidR="00211933" w:rsidRDefault="00682B7E" w:rsidP="00211933">
      <w:pPr>
        <w:pStyle w:val="CETBodytext"/>
        <w:jc w:val="left"/>
        <w:rPr>
          <w:rStyle w:val="CETCaptionCarattere"/>
          <w:iCs/>
        </w:rPr>
      </w:pPr>
      <w:r w:rsidRPr="009B0538">
        <w:rPr>
          <w:rFonts w:ascii="Times New Roman" w:hAnsi="Times New Roman"/>
          <w:noProof/>
          <w:sz w:val="24"/>
          <w:szCs w:val="24"/>
        </w:rPr>
        <w:drawing>
          <wp:inline distT="0" distB="0" distL="0" distR="0" wp14:anchorId="56B9197A" wp14:editId="73FF6AA9">
            <wp:extent cx="4851400" cy="2049277"/>
            <wp:effectExtent l="0" t="0" r="6350" b="8255"/>
            <wp:docPr id="2042551167"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92494" name="Picture 1" descr="A diagram of a 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4366" cy="2067426"/>
                    </a:xfrm>
                    <a:prstGeom prst="rect">
                      <a:avLst/>
                    </a:prstGeom>
                    <a:noFill/>
                    <a:ln>
                      <a:noFill/>
                    </a:ln>
                  </pic:spPr>
                </pic:pic>
              </a:graphicData>
            </a:graphic>
          </wp:inline>
        </w:drawing>
      </w:r>
    </w:p>
    <w:p w14:paraId="4959CE3D" w14:textId="7B755F40" w:rsidR="00682B7E" w:rsidRDefault="00682B7E" w:rsidP="00211933">
      <w:pPr>
        <w:pStyle w:val="CETBodytext"/>
        <w:jc w:val="left"/>
        <w:rPr>
          <w:rStyle w:val="CETCaptionCarattere"/>
          <w:iCs/>
        </w:rPr>
      </w:pPr>
      <w:r w:rsidRPr="009B0538">
        <w:rPr>
          <w:rStyle w:val="CETCaptionCarattere"/>
          <w:iCs/>
        </w:rPr>
        <w:t xml:space="preserve">Figure 1: </w:t>
      </w:r>
      <w:r>
        <w:rPr>
          <w:rStyle w:val="CETCaptionCarattere"/>
          <w:iCs/>
        </w:rPr>
        <w:t>Schemes representing the LIF, in blue, and the RIF, in orange, scenarios.</w:t>
      </w:r>
    </w:p>
    <w:p w14:paraId="6AB3274A" w14:textId="77777777" w:rsidR="00211933" w:rsidRPr="00211933" w:rsidRDefault="00211933" w:rsidP="00211933">
      <w:pPr>
        <w:pStyle w:val="CETBodytext"/>
        <w:jc w:val="left"/>
      </w:pPr>
    </w:p>
    <w:p w14:paraId="7152ED8D" w14:textId="6213AB06" w:rsidR="00EF0741" w:rsidRDefault="00EF0741" w:rsidP="00EF0741">
      <w:pPr>
        <w:pStyle w:val="CETBodytext"/>
      </w:pPr>
      <w:r>
        <w:t xml:space="preserve">Real-world incidents highlight this impact. For instance, the 2014 Lacrosse building fire in Melbourne spread via combustible facade cladding, with air conditioner compressors on balconies adding to the fire load as the sprinkler system only covered indoor areas </w:t>
      </w:r>
      <w:r w:rsidR="003A68B2">
        <w:t>(Anderson</w:t>
      </w:r>
      <w:r w:rsidR="00F057F6">
        <w:t xml:space="preserve"> et al.</w:t>
      </w:r>
      <w:r w:rsidR="003A68B2">
        <w:t xml:space="preserve">, 2017). </w:t>
      </w:r>
      <w:r>
        <w:t xml:space="preserve">A similar occurrence was reported in 2019 at the </w:t>
      </w:r>
      <w:r w:rsidR="00F057F6">
        <w:t>All-India</w:t>
      </w:r>
      <w:r>
        <w:t xml:space="preserve"> Institute of Medical Sciences (AIIMS) in New Delhi, where external AC units reportedly acted as </w:t>
      </w:r>
      <w:r>
        <w:lastRenderedPageBreak/>
        <w:t xml:space="preserve">a catalyst for fire spread </w:t>
      </w:r>
      <w:r w:rsidR="005205E3">
        <w:t>(Darrock</w:t>
      </w:r>
      <w:r w:rsidR="00F057F6">
        <w:t xml:space="preserve"> et al.</w:t>
      </w:r>
      <w:r w:rsidR="005205E3">
        <w:t>, 2019).</w:t>
      </w:r>
      <w:r>
        <w:t xml:space="preserve"> Additionally, </w:t>
      </w:r>
      <w:r w:rsidR="00950F5F">
        <w:t>in the</w:t>
      </w:r>
      <w:r w:rsidR="005205E3">
        <w:t xml:space="preserve"> 2017 </w:t>
      </w:r>
      <w:r>
        <w:t xml:space="preserve">Grenfell Tower fire, a refrigerator was suspected to have </w:t>
      </w:r>
      <w:r w:rsidR="005205E3">
        <w:t>supported the initial development of</w:t>
      </w:r>
      <w:r>
        <w:t xml:space="preserve"> the fire</w:t>
      </w:r>
      <w:r w:rsidR="005205E3">
        <w:t xml:space="preserve"> (McKenna</w:t>
      </w:r>
      <w:r w:rsidR="00F057F6">
        <w:t xml:space="preserve"> et al.</w:t>
      </w:r>
      <w:r w:rsidR="005205E3">
        <w:t xml:space="preserve">, 2019) </w:t>
      </w:r>
    </w:p>
    <w:p w14:paraId="17D7284D" w14:textId="77777777" w:rsidR="00D038A7" w:rsidRDefault="00EF0741" w:rsidP="00682B7E">
      <w:pPr>
        <w:pStyle w:val="CETBodytext"/>
      </w:pPr>
      <w:r>
        <w:t xml:space="preserve">Experimental research on RACHP units in RIF settings is limited. A study by </w:t>
      </w:r>
      <w:r w:rsidR="00524D8A">
        <w:t>(Colbourne</w:t>
      </w:r>
      <w:r w:rsidR="00F057F6">
        <w:t xml:space="preserve"> et al.</w:t>
      </w:r>
      <w:r w:rsidR="00524D8A">
        <w:t>, 1997)</w:t>
      </w:r>
      <w:r>
        <w:t xml:space="preserve"> observed similar fire reactions in chest freezers with different refrigerants (R12 and a mix of R290 and R600), with both causing brazed joints to fail, allowing refrigerant leakage and ignition. Another comprehensive study involving various appliances found that refrigerators with R134a, R600, or R12 refrigerants had high heat release rates (HRR) and </w:t>
      </w:r>
      <w:r w:rsidRPr="002C2BC1">
        <w:t xml:space="preserve">could easily trigger a flashover in a kitchen setup </w:t>
      </w:r>
      <w:r w:rsidR="00524D8A" w:rsidRPr="002C2BC1">
        <w:t>(Hietaniemi</w:t>
      </w:r>
      <w:r w:rsidR="00F057F6">
        <w:t xml:space="preserve"> et al.</w:t>
      </w:r>
      <w:r w:rsidR="00524D8A" w:rsidRPr="002C2BC1">
        <w:t>, 2001)</w:t>
      </w:r>
      <w:r w:rsidR="002C2BC1" w:rsidRPr="002C2BC1">
        <w:t>.</w:t>
      </w:r>
      <w:r w:rsidRPr="002C2BC1">
        <w:t xml:space="preserve"> Tests of indoor STHAC units filled with R290 and R22 refrigerants showed that both reached </w:t>
      </w:r>
      <w:r w:rsidR="002C2BC1" w:rsidRPr="002C2BC1">
        <w:t>a high</w:t>
      </w:r>
      <w:r w:rsidRPr="002C2BC1">
        <w:t xml:space="preserve"> peak </w:t>
      </w:r>
      <w:r w:rsidR="002C2BC1" w:rsidRPr="002C2BC1">
        <w:t>Heat Release Rate (</w:t>
      </w:r>
      <w:r w:rsidRPr="002C2BC1">
        <w:t>HRRs</w:t>
      </w:r>
      <w:r w:rsidR="002C2BC1" w:rsidRPr="002C2BC1">
        <w:t xml:space="preserve">), </w:t>
      </w:r>
      <w:r w:rsidRPr="002C2BC1">
        <w:t>up to 1000 kW</w:t>
      </w:r>
      <w:r w:rsidR="002C2BC1" w:rsidRPr="002C2BC1">
        <w:t>.</w:t>
      </w:r>
      <w:r w:rsidRPr="002C2BC1">
        <w:t xml:space="preserve"> after refrigerant ignition, suggesting that the lubricant oil could increase flammability even in “non-flammable” refrigerants like R22 </w:t>
      </w:r>
      <w:r w:rsidR="005205E3" w:rsidRPr="002C2BC1">
        <w:t>(Zhang</w:t>
      </w:r>
      <w:r w:rsidR="00F057F6">
        <w:t xml:space="preserve"> et al.</w:t>
      </w:r>
      <w:r w:rsidR="005205E3" w:rsidRPr="002C2BC1">
        <w:t>, 2013).</w:t>
      </w:r>
    </w:p>
    <w:p w14:paraId="39C1EC84" w14:textId="7431069A" w:rsidR="009B0538" w:rsidRPr="00682B7E" w:rsidRDefault="005205E3" w:rsidP="00682B7E">
      <w:pPr>
        <w:pStyle w:val="CETBodytext"/>
      </w:pPr>
      <w:r w:rsidRPr="002C2BC1">
        <w:t>W</w:t>
      </w:r>
      <w:r w:rsidR="00EF0741" w:rsidRPr="002C2BC1">
        <w:t>hile</w:t>
      </w:r>
      <w:r w:rsidR="00D35D37" w:rsidRPr="002C2BC1">
        <w:t xml:space="preserve"> </w:t>
      </w:r>
      <w:r w:rsidR="002C2BC1" w:rsidRPr="002C2BC1">
        <w:t xml:space="preserve">the </w:t>
      </w:r>
      <w:r w:rsidR="00EF0741" w:rsidRPr="002C2BC1">
        <w:t>UNEP-TEAP</w:t>
      </w:r>
      <w:r w:rsidR="002C2BC1" w:rsidRPr="002C2BC1">
        <w:t xml:space="preserve"> report mentioned above</w:t>
      </w:r>
      <w:r w:rsidR="00EF0741" w:rsidRPr="002C2BC1">
        <w:t xml:space="preserve"> (</w:t>
      </w:r>
      <w:r w:rsidR="00D35D37" w:rsidRPr="002C2BC1">
        <w:t>Polonara</w:t>
      </w:r>
      <w:r w:rsidR="00F057F6">
        <w:t xml:space="preserve"> et al.</w:t>
      </w:r>
      <w:r w:rsidR="00D35D37" w:rsidRPr="002C2BC1">
        <w:t xml:space="preserve">, </w:t>
      </w:r>
      <w:r w:rsidR="00EF0741" w:rsidRPr="002C2BC1">
        <w:t xml:space="preserve">2017) acknowledges </w:t>
      </w:r>
      <w:r w:rsidR="00D35D37" w:rsidRPr="002C2BC1">
        <w:t>RIF scenarios</w:t>
      </w:r>
      <w:r w:rsidR="00EF0741" w:rsidRPr="002C2BC1">
        <w:t xml:space="preserve">, </w:t>
      </w:r>
      <w:r w:rsidRPr="002C2BC1">
        <w:t xml:space="preserve">current international standards for RACHP lack targeted measures to mitigate RIF risks. </w:t>
      </w:r>
      <w:r w:rsidR="003378F1" w:rsidRPr="002C2BC1">
        <w:t>A notable exception is the recent</w:t>
      </w:r>
      <w:r w:rsidR="00EF0741" w:rsidRPr="002C2BC1">
        <w:t xml:space="preserve"> Italy’s RTV standard</w:t>
      </w:r>
      <w:r w:rsidR="002C2BC1" w:rsidRPr="002C2BC1">
        <w:t xml:space="preserve"> (MINT, 2022) which</w:t>
      </w:r>
      <w:r w:rsidR="00EF0741" w:rsidRPr="002C2BC1">
        <w:t xml:space="preserve"> mandates fire barriers around technological components on facades, originally designed for PV systems but also applicable to RACHP units </w:t>
      </w:r>
      <w:r w:rsidR="002C2BC1" w:rsidRPr="002C2BC1">
        <w:t>(FRISBEE, 2024)</w:t>
      </w:r>
      <w:r w:rsidR="00EF0741" w:rsidRPr="002C2BC1">
        <w:t>.</w:t>
      </w:r>
    </w:p>
    <w:p w14:paraId="677EBFF0" w14:textId="73728FA2" w:rsidR="00600535" w:rsidRDefault="000C50F6" w:rsidP="00600535">
      <w:pPr>
        <w:pStyle w:val="CETHeading1"/>
        <w:tabs>
          <w:tab w:val="clear" w:pos="360"/>
          <w:tab w:val="right" w:pos="7100"/>
        </w:tabs>
        <w:jc w:val="both"/>
        <w:rPr>
          <w:lang w:val="en-GB"/>
        </w:rPr>
      </w:pPr>
      <w:r>
        <w:rPr>
          <w:lang w:val="en-GB"/>
        </w:rPr>
        <w:t>Fire scenario comparison: methodology</w:t>
      </w:r>
    </w:p>
    <w:p w14:paraId="6DFF4FA0" w14:textId="425607CC" w:rsidR="00EF0741" w:rsidRPr="00EF0741" w:rsidRDefault="00EF0741" w:rsidP="00EF0741">
      <w:pPr>
        <w:pStyle w:val="CETBodytext"/>
        <w:rPr>
          <w:lang w:val="en-GB"/>
        </w:rPr>
      </w:pPr>
      <w:r w:rsidRPr="00EF0741">
        <w:rPr>
          <w:lang w:val="en-GB"/>
        </w:rPr>
        <w:t xml:space="preserve">This section aims to investigate the relative significance of RIF scenarios presenting a comparison between the occurrence and consequences of LIF and RIF scenarios. The comparison is carried out based on available statistics in Subsections </w:t>
      </w:r>
      <w:r w:rsidR="00FB2DF0">
        <w:rPr>
          <w:lang w:val="en-GB"/>
        </w:rPr>
        <w:t xml:space="preserve">3.1 </w:t>
      </w:r>
      <w:r w:rsidR="00566CAB">
        <w:rPr>
          <w:lang w:val="en-GB"/>
        </w:rPr>
        <w:t>and</w:t>
      </w:r>
      <w:r w:rsidR="00FB2DF0">
        <w:rPr>
          <w:lang w:val="en-GB"/>
        </w:rPr>
        <w:t xml:space="preserve"> 3.2.</w:t>
      </w:r>
    </w:p>
    <w:p w14:paraId="04963A06" w14:textId="7FDDF548" w:rsidR="00600535" w:rsidRDefault="000C50F6" w:rsidP="00FA5F5F">
      <w:pPr>
        <w:pStyle w:val="CETheadingx"/>
      </w:pPr>
      <w:r>
        <w:t>QRA of LIF scenarios</w:t>
      </w:r>
    </w:p>
    <w:p w14:paraId="2704074C" w14:textId="7C64EC11" w:rsidR="0001744B" w:rsidRDefault="00480E09" w:rsidP="00480E09">
      <w:pPr>
        <w:pStyle w:val="CETBodytext"/>
      </w:pPr>
      <w:r>
        <w:t>LIF scenarios are central in Quantitative Risk Assessments (QRA) for applications involving flammable refrigerants, an area extensively reviewed in the 2017 UNEP-TEAP safety standards assessment (Polonara et al., 2017). QRA can quantify event frequencies by combining elements within an Event Tree (ET), applying a frequentist probability approach. In LIF scenarios, the first event is a flammable refrigerant leak, influenced by leak intensity and hole size</w:t>
      </w:r>
      <w:r w:rsidR="00566CAB">
        <w:t xml:space="preserve">. </w:t>
      </w:r>
      <w:r>
        <w:t xml:space="preserve">For </w:t>
      </w:r>
      <w:r w:rsidR="00566CAB">
        <w:t>instance</w:t>
      </w:r>
      <w:r>
        <w:t xml:space="preserve">, </w:t>
      </w:r>
      <w:r w:rsidR="0001744B">
        <w:t>(</w:t>
      </w:r>
      <w:r>
        <w:t>Colbourne</w:t>
      </w:r>
      <w:r w:rsidR="00D54915">
        <w:t xml:space="preserve"> et al.</w:t>
      </w:r>
      <w:r w:rsidR="0001744B">
        <w:t>, 2015)</w:t>
      </w:r>
      <w:r>
        <w:t xml:space="preserve"> </w:t>
      </w:r>
      <w:r w:rsidR="000749C4">
        <w:t>provide</w:t>
      </w:r>
      <w:r>
        <w:t xml:space="preserve"> an annual frequency estimate for leaks in </w:t>
      </w:r>
      <w:r w:rsidR="009264CF">
        <w:t>Split-Type Household Air Conditioner (</w:t>
      </w:r>
      <w:r>
        <w:t>STHAC</w:t>
      </w:r>
      <w:r w:rsidR="009264CF">
        <w:t>)</w:t>
      </w:r>
      <w:r>
        <w:t xml:space="preserve"> units, ranging from 10</w:t>
      </w:r>
      <w:r w:rsidRPr="0001744B">
        <w:rPr>
          <w:vertAlign w:val="superscript"/>
        </w:rPr>
        <w:t>-5</w:t>
      </w:r>
      <w:r>
        <w:t>/y to 10</w:t>
      </w:r>
      <w:r w:rsidRPr="0001744B">
        <w:rPr>
          <w:vertAlign w:val="superscript"/>
        </w:rPr>
        <w:t>-6</w:t>
      </w:r>
      <w:r>
        <w:t>/y for severe leaks from 3mm holes.</w:t>
      </w:r>
      <w:r w:rsidR="0001744B">
        <w:t xml:space="preserve"> </w:t>
      </w:r>
      <w:r w:rsidR="00A7208F">
        <w:t>Ignition</w:t>
      </w:r>
      <w:r>
        <w:t xml:space="preserve"> probability must account for the likelihood of reaching </w:t>
      </w:r>
      <w:r w:rsidR="000749C4">
        <w:t xml:space="preserve">the </w:t>
      </w:r>
      <w:r>
        <w:t>LFL within an enclosed space</w:t>
      </w:r>
      <w:r w:rsidR="000749C4">
        <w:t xml:space="preserve"> which </w:t>
      </w:r>
      <w:r>
        <w:t xml:space="preserve">depends on the leak rate and available air circulation. If </w:t>
      </w:r>
      <w:r w:rsidR="009264CF">
        <w:t>the LFL</w:t>
      </w:r>
      <w:r>
        <w:t xml:space="preserve"> is reached, a</w:t>
      </w:r>
      <w:r w:rsidR="00A7208F">
        <w:t xml:space="preserve"> </w:t>
      </w:r>
      <w:r>
        <w:t xml:space="preserve">SOI is necessary for fire initiation. The probability of SOI within a residential room, often due to electrical faults, is approximately </w:t>
      </w:r>
      <w:r w:rsidR="00A7208F">
        <w:t>10</w:t>
      </w:r>
      <w:r w:rsidR="00A7208F" w:rsidRPr="0001744B">
        <w:rPr>
          <w:vertAlign w:val="superscript"/>
        </w:rPr>
        <w:t>-</w:t>
      </w:r>
      <w:r w:rsidR="00A7208F">
        <w:rPr>
          <w:vertAlign w:val="superscript"/>
        </w:rPr>
        <w:t>3</w:t>
      </w:r>
      <w:r w:rsidR="00A7208F">
        <w:t>/y (Colbourne</w:t>
      </w:r>
      <w:r w:rsidR="00ED02EA">
        <w:t xml:space="preserve"> et al.</w:t>
      </w:r>
      <w:r w:rsidR="00A7208F">
        <w:t xml:space="preserve">, 2015). </w:t>
      </w:r>
      <w:r>
        <w:t>This value factors in the duration of the spark (about 1s) and the time LFL is present.</w:t>
      </w:r>
      <w:r w:rsidR="0001744B">
        <w:t xml:space="preserve"> </w:t>
      </w:r>
      <w:r w:rsidR="009264CF">
        <w:t>(Colbourne</w:t>
      </w:r>
      <w:r w:rsidR="00ED02EA">
        <w:t xml:space="preserve"> et al.</w:t>
      </w:r>
      <w:r w:rsidR="009264CF">
        <w:t xml:space="preserve">, 2015) </w:t>
      </w:r>
      <w:r>
        <w:t>calculated P</w:t>
      </w:r>
      <w:r w:rsidR="009264CF">
        <w:rPr>
          <w:vertAlign w:val="subscript"/>
        </w:rPr>
        <w:t>I</w:t>
      </w:r>
      <w:r>
        <w:t xml:space="preserve"> to be 4 </w:t>
      </w:r>
      <w:r w:rsidR="00E8128F">
        <w:rPr>
          <w:rFonts w:cs="Arial"/>
        </w:rPr>
        <w:t>·</w:t>
      </w:r>
      <w:r>
        <w:t xml:space="preserve"> 1</w:t>
      </w:r>
      <w:r w:rsidRPr="009264CF">
        <w:rPr>
          <w:vertAlign w:val="superscript"/>
        </w:rPr>
        <w:t>-10</w:t>
      </w:r>
      <w:r>
        <w:t>/y for a 20 m</w:t>
      </w:r>
      <w:r w:rsidRPr="009264CF">
        <w:rPr>
          <w:vertAlign w:val="superscript"/>
        </w:rPr>
        <w:t>2</w:t>
      </w:r>
      <w:r>
        <w:t xml:space="preserve"> room with an R290 STHAC unit. </w:t>
      </w:r>
    </w:p>
    <w:p w14:paraId="5FD8DAC0" w14:textId="436CFD8E" w:rsidR="0001744B" w:rsidRDefault="00480E09" w:rsidP="00480E09">
      <w:pPr>
        <w:pStyle w:val="CETBodytext"/>
      </w:pPr>
      <w:r>
        <w:t xml:space="preserve">Similarly, </w:t>
      </w:r>
      <w:r w:rsidR="00E8128F">
        <w:t>(</w:t>
      </w:r>
      <w:r>
        <w:t>Rajadhyaksha</w:t>
      </w:r>
      <w:r w:rsidR="00F057F6">
        <w:t xml:space="preserve"> et al.</w:t>
      </w:r>
      <w:r w:rsidR="00E8128F">
        <w:t xml:space="preserve">, </w:t>
      </w:r>
      <w:r>
        <w:t>2015) found P</w:t>
      </w:r>
      <w:r w:rsidRPr="00E8128F">
        <w:rPr>
          <w:vertAlign w:val="subscript"/>
        </w:rPr>
        <w:t>I</w:t>
      </w:r>
      <w:r>
        <w:t xml:space="preserve"> values from </w:t>
      </w:r>
      <w:r w:rsidR="00E8128F">
        <w:t xml:space="preserve">6.7 </w:t>
      </w:r>
      <w:r w:rsidR="00E8128F">
        <w:rPr>
          <w:rFonts w:cs="Arial"/>
        </w:rPr>
        <w:t>·</w:t>
      </w:r>
      <w:r w:rsidR="00E8128F">
        <w:t xml:space="preserve"> 1</w:t>
      </w:r>
      <w:r w:rsidR="00E8128F" w:rsidRPr="009264CF">
        <w:rPr>
          <w:vertAlign w:val="superscript"/>
        </w:rPr>
        <w:t>-</w:t>
      </w:r>
      <w:r w:rsidR="00E8128F">
        <w:rPr>
          <w:vertAlign w:val="superscript"/>
        </w:rPr>
        <w:t>10</w:t>
      </w:r>
      <w:r w:rsidR="00E8128F">
        <w:t xml:space="preserve">/y </w:t>
      </w:r>
      <w:r w:rsidR="007E2115">
        <w:t xml:space="preserve">to 3.8 </w:t>
      </w:r>
      <w:r w:rsidR="007E2115">
        <w:rPr>
          <w:rFonts w:cs="Arial"/>
        </w:rPr>
        <w:t>·</w:t>
      </w:r>
      <w:r w:rsidR="007E2115">
        <w:t xml:space="preserve"> 1</w:t>
      </w:r>
      <w:r w:rsidR="007E2115" w:rsidRPr="009264CF">
        <w:rPr>
          <w:vertAlign w:val="superscript"/>
        </w:rPr>
        <w:t>-</w:t>
      </w:r>
      <w:r w:rsidR="007E2115">
        <w:rPr>
          <w:vertAlign w:val="superscript"/>
        </w:rPr>
        <w:t>9</w:t>
      </w:r>
      <w:r w:rsidR="007E2115">
        <w:t xml:space="preserve">/y </w:t>
      </w:r>
      <w:r w:rsidR="00E8128F">
        <w:t>f</w:t>
      </w:r>
      <w:r>
        <w:t>or varying room sizes (10 to 30 m</w:t>
      </w:r>
      <w:r w:rsidR="00E8128F">
        <w:rPr>
          <w:vertAlign w:val="superscript"/>
        </w:rPr>
        <w:t>2</w:t>
      </w:r>
      <w:r>
        <w:t xml:space="preserve">), </w:t>
      </w:r>
      <w:r w:rsidR="00E8128F">
        <w:t xml:space="preserve">circuit </w:t>
      </w:r>
      <w:r>
        <w:t>pip</w:t>
      </w:r>
      <w:r w:rsidR="00E8128F">
        <w:t>ing</w:t>
      </w:r>
      <w:r>
        <w:t xml:space="preserve"> length, and ventilation</w:t>
      </w:r>
      <w:r w:rsidR="00E8128F">
        <w:t xml:space="preserve"> </w:t>
      </w:r>
      <w:r w:rsidR="00AE4183">
        <w:t>characteristics</w:t>
      </w:r>
      <w:r>
        <w:t xml:space="preserve">. </w:t>
      </w:r>
    </w:p>
    <w:p w14:paraId="4185B1BB" w14:textId="3F999F76" w:rsidR="000D074C" w:rsidRDefault="00480E09" w:rsidP="000D074C">
      <w:pPr>
        <w:pStyle w:val="CETBodytext"/>
      </w:pPr>
      <w:r>
        <w:t xml:space="preserve">In a recent study, </w:t>
      </w:r>
      <w:r w:rsidR="00E8128F">
        <w:t>(</w:t>
      </w:r>
      <w:r>
        <w:t>Guo</w:t>
      </w:r>
      <w:r w:rsidR="00F057F6">
        <w:t xml:space="preserve"> et al.</w:t>
      </w:r>
      <w:r w:rsidR="00E8128F">
        <w:t xml:space="preserve">, </w:t>
      </w:r>
      <w:r>
        <w:t>2024) estimated P</w:t>
      </w:r>
      <w:r w:rsidRPr="00E8128F">
        <w:rPr>
          <w:vertAlign w:val="subscript"/>
        </w:rPr>
        <w:t>I</w:t>
      </w:r>
      <w:r>
        <w:t xml:space="preserve"> between</w:t>
      </w:r>
      <w:r w:rsidR="00E8128F">
        <w:t xml:space="preserve"> 0.13 </w:t>
      </w:r>
      <w:r w:rsidR="00E8128F">
        <w:rPr>
          <w:rFonts w:cs="Arial"/>
        </w:rPr>
        <w:t>·</w:t>
      </w:r>
      <w:r w:rsidR="00E8128F">
        <w:t xml:space="preserve"> 1</w:t>
      </w:r>
      <w:r w:rsidR="00E8128F" w:rsidRPr="009264CF">
        <w:rPr>
          <w:vertAlign w:val="superscript"/>
        </w:rPr>
        <w:t>-</w:t>
      </w:r>
      <w:r w:rsidR="00E8128F">
        <w:rPr>
          <w:vertAlign w:val="superscript"/>
        </w:rPr>
        <w:t>11</w:t>
      </w:r>
      <w:r w:rsidR="00E8128F">
        <w:t>/y</w:t>
      </w:r>
      <w:r>
        <w:t xml:space="preserve"> </w:t>
      </w:r>
      <w:r w:rsidR="007E2115">
        <w:t xml:space="preserve">and 0.93 </w:t>
      </w:r>
      <w:r w:rsidR="007E2115">
        <w:rPr>
          <w:rFonts w:cs="Arial"/>
        </w:rPr>
        <w:t>·</w:t>
      </w:r>
      <w:r w:rsidR="007E2115">
        <w:t xml:space="preserve"> 1</w:t>
      </w:r>
      <w:r w:rsidR="007E2115" w:rsidRPr="009264CF">
        <w:rPr>
          <w:vertAlign w:val="superscript"/>
        </w:rPr>
        <w:t>-</w:t>
      </w:r>
      <w:r w:rsidR="007E2115">
        <w:rPr>
          <w:vertAlign w:val="superscript"/>
        </w:rPr>
        <w:t>10</w:t>
      </w:r>
      <w:r w:rsidR="007E2115">
        <w:t xml:space="preserve">/y </w:t>
      </w:r>
      <w:r>
        <w:t>for an AC cabinet in a 20 m^2 room, showing that variables like charge size, leak location, and ventilation significantly affect ignition frequencies.</w:t>
      </w:r>
      <w:r w:rsidR="00E8128F">
        <w:t xml:space="preserve"> </w:t>
      </w:r>
      <w:r>
        <w:t xml:space="preserve">The summary of </w:t>
      </w:r>
      <w:r w:rsidR="00D54915">
        <w:t>P</w:t>
      </w:r>
      <w:r w:rsidR="00D54915">
        <w:rPr>
          <w:vertAlign w:val="subscript"/>
        </w:rPr>
        <w:t>I</w:t>
      </w:r>
      <w:r w:rsidR="00D54915">
        <w:t xml:space="preserve"> </w:t>
      </w:r>
      <w:r>
        <w:t>for R290 residential AC units is shown in Table 1, where frequencies are generally consistent across studies due to similar QRA methodologies. It</w:t>
      </w:r>
      <w:r w:rsidR="00D038A7">
        <w:t xml:space="preserve"> i</w:t>
      </w:r>
      <w:r>
        <w:t>s worth noting that consequences following ignition, including potential damage to property or individuals, are generally an order of magnitude less probable than the ignition event itself (Rajadhyaksha et al., 2015; Colbourne et al., 2015). These outcomes are more variable, with factors like the presence of windows or doors substantially influencing risk levels and impact</w:t>
      </w:r>
      <w:r w:rsidR="00FB1256">
        <w:t xml:space="preserve"> by affecting overpressure levels</w:t>
      </w:r>
      <w:r>
        <w:t>.</w:t>
      </w:r>
      <w:r w:rsidR="00FB1256">
        <w:t xml:space="preserve"> </w:t>
      </w:r>
    </w:p>
    <w:p w14:paraId="3115F42C" w14:textId="77777777" w:rsidR="00D038A7" w:rsidRDefault="00D038A7" w:rsidP="000D074C">
      <w:pPr>
        <w:pStyle w:val="CETBodytext"/>
        <w:rPr>
          <w:i/>
          <w:iCs/>
        </w:rPr>
      </w:pPr>
    </w:p>
    <w:p w14:paraId="3E8E1AAA" w14:textId="7528962B" w:rsidR="00480E09" w:rsidRPr="00D10FCD" w:rsidRDefault="00480E09" w:rsidP="000D074C">
      <w:pPr>
        <w:pStyle w:val="CETBodytext"/>
        <w:rPr>
          <w:i/>
          <w:iCs/>
        </w:rPr>
      </w:pPr>
      <w:r w:rsidRPr="00D10FCD">
        <w:rPr>
          <w:i/>
          <w:iCs/>
        </w:rPr>
        <w:t>Table 1: Probability of ignition (P</w:t>
      </w:r>
      <w:r w:rsidR="00D10FCD" w:rsidRPr="00D10FCD">
        <w:rPr>
          <w:i/>
          <w:iCs/>
          <w:vertAlign w:val="subscript"/>
        </w:rPr>
        <w:t>I</w:t>
      </w:r>
      <w:r w:rsidRPr="00D10FCD">
        <w:rPr>
          <w:i/>
          <w:iCs/>
        </w:rPr>
        <w:t xml:space="preserve">) of R290 residential AC units within enclosed </w:t>
      </w:r>
      <w:r w:rsidR="00D10FCD" w:rsidRPr="00D10FCD">
        <w:rPr>
          <w:i/>
          <w:iCs/>
        </w:rPr>
        <w:t>space</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69"/>
        <w:gridCol w:w="1134"/>
        <w:gridCol w:w="1275"/>
        <w:gridCol w:w="2126"/>
      </w:tblGrid>
      <w:tr w:rsidR="00D54915" w:rsidRPr="00B57B36" w14:paraId="6163AF49" w14:textId="77777777" w:rsidTr="00081881">
        <w:tc>
          <w:tcPr>
            <w:tcW w:w="2269" w:type="dxa"/>
            <w:tcBorders>
              <w:top w:val="single" w:sz="12" w:space="0" w:color="008000"/>
              <w:bottom w:val="single" w:sz="6" w:space="0" w:color="008000"/>
            </w:tcBorders>
            <w:shd w:val="clear" w:color="auto" w:fill="FFFFFF"/>
          </w:tcPr>
          <w:p w14:paraId="16F35C33" w14:textId="796FD02C" w:rsidR="00D54915" w:rsidRPr="00B57B36" w:rsidRDefault="00D54915" w:rsidP="007D031D">
            <w:pPr>
              <w:pStyle w:val="CETBodytext"/>
              <w:rPr>
                <w:lang w:val="en-GB"/>
              </w:rPr>
            </w:pPr>
            <w:r>
              <w:rPr>
                <w:lang w:val="en-GB"/>
              </w:rPr>
              <w:t>Study</w:t>
            </w:r>
          </w:p>
        </w:tc>
        <w:tc>
          <w:tcPr>
            <w:tcW w:w="1134" w:type="dxa"/>
            <w:tcBorders>
              <w:top w:val="single" w:sz="12" w:space="0" w:color="008000"/>
              <w:bottom w:val="single" w:sz="6" w:space="0" w:color="008000"/>
            </w:tcBorders>
            <w:shd w:val="clear" w:color="auto" w:fill="FFFFFF"/>
          </w:tcPr>
          <w:p w14:paraId="1124D670" w14:textId="3B4E8A46" w:rsidR="00D54915" w:rsidRPr="00B57B36" w:rsidRDefault="00D54915" w:rsidP="00D54915">
            <w:pPr>
              <w:pStyle w:val="CETBodytext"/>
              <w:jc w:val="center"/>
              <w:rPr>
                <w:lang w:val="en-GB"/>
              </w:rPr>
            </w:pPr>
            <w:r>
              <w:t>Charge (kg)</w:t>
            </w:r>
          </w:p>
        </w:tc>
        <w:tc>
          <w:tcPr>
            <w:tcW w:w="1275" w:type="dxa"/>
            <w:tcBorders>
              <w:top w:val="single" w:sz="12" w:space="0" w:color="008000"/>
              <w:bottom w:val="single" w:sz="6" w:space="0" w:color="008000"/>
            </w:tcBorders>
            <w:shd w:val="clear" w:color="auto" w:fill="FFFFFF"/>
          </w:tcPr>
          <w:p w14:paraId="4D434C38" w14:textId="4F1B864F" w:rsidR="00D54915" w:rsidRPr="00B57B36" w:rsidRDefault="00D54915" w:rsidP="00D54915">
            <w:pPr>
              <w:pStyle w:val="CETBodytext"/>
              <w:jc w:val="center"/>
              <w:rPr>
                <w:lang w:val="en-GB"/>
              </w:rPr>
            </w:pPr>
            <w:r>
              <w:t>Room size (m</w:t>
            </w:r>
            <w:r>
              <w:rPr>
                <w:vertAlign w:val="superscript"/>
              </w:rPr>
              <w:t>2</w:t>
            </w:r>
            <w:r>
              <w:t>)</w:t>
            </w:r>
          </w:p>
        </w:tc>
        <w:tc>
          <w:tcPr>
            <w:tcW w:w="2126" w:type="dxa"/>
            <w:tcBorders>
              <w:top w:val="single" w:sz="12" w:space="0" w:color="008000"/>
              <w:bottom w:val="single" w:sz="6" w:space="0" w:color="008000"/>
            </w:tcBorders>
            <w:shd w:val="clear" w:color="auto" w:fill="FFFFFF"/>
          </w:tcPr>
          <w:p w14:paraId="29CFEFC4" w14:textId="021A056B" w:rsidR="00D54915" w:rsidRPr="00B57B36" w:rsidRDefault="00D54915" w:rsidP="00D54915">
            <w:pPr>
              <w:pStyle w:val="CETBodytext"/>
              <w:ind w:right="-1"/>
              <w:jc w:val="center"/>
              <w:rPr>
                <w:rFonts w:cs="Arial"/>
                <w:szCs w:val="18"/>
                <w:lang w:val="en-GB"/>
              </w:rPr>
            </w:pPr>
            <w:r>
              <w:t>P</w:t>
            </w:r>
            <w:r w:rsidRPr="00D54915">
              <w:rPr>
                <w:vertAlign w:val="subscript"/>
              </w:rPr>
              <w:t>I</w:t>
            </w:r>
            <w:r>
              <w:t xml:space="preserve"> (y</w:t>
            </w:r>
            <w:r w:rsidRPr="00D54915">
              <w:rPr>
                <w:vertAlign w:val="superscript"/>
              </w:rPr>
              <w:t>-1</w:t>
            </w:r>
            <w:r>
              <w:t>)</w:t>
            </w:r>
          </w:p>
        </w:tc>
      </w:tr>
      <w:tr w:rsidR="00D54915" w:rsidRPr="00B57B36" w14:paraId="0DB429C3" w14:textId="77777777" w:rsidTr="00081881">
        <w:tc>
          <w:tcPr>
            <w:tcW w:w="2269" w:type="dxa"/>
            <w:shd w:val="clear" w:color="auto" w:fill="FFFFFF"/>
          </w:tcPr>
          <w:p w14:paraId="484870EA" w14:textId="0E4088A8" w:rsidR="00D54915" w:rsidRPr="00B57B36" w:rsidRDefault="00D54915" w:rsidP="007D031D">
            <w:pPr>
              <w:pStyle w:val="CETBodytext"/>
              <w:rPr>
                <w:lang w:val="en-GB"/>
              </w:rPr>
            </w:pPr>
            <w:r>
              <w:t>Colbourne et al., 2015</w:t>
            </w:r>
          </w:p>
        </w:tc>
        <w:tc>
          <w:tcPr>
            <w:tcW w:w="1134" w:type="dxa"/>
            <w:shd w:val="clear" w:color="auto" w:fill="FFFFFF"/>
          </w:tcPr>
          <w:p w14:paraId="1E20A258" w14:textId="04A301D1" w:rsidR="00D54915" w:rsidRPr="00B57B36" w:rsidRDefault="00D54915" w:rsidP="00D54915">
            <w:pPr>
              <w:pStyle w:val="CETBodytext"/>
              <w:jc w:val="center"/>
              <w:rPr>
                <w:lang w:val="en-GB"/>
              </w:rPr>
            </w:pPr>
            <w:r>
              <w:rPr>
                <w:lang w:val="en-GB"/>
              </w:rPr>
              <w:t>0.4</w:t>
            </w:r>
          </w:p>
        </w:tc>
        <w:tc>
          <w:tcPr>
            <w:tcW w:w="1275" w:type="dxa"/>
            <w:shd w:val="clear" w:color="auto" w:fill="FFFFFF"/>
          </w:tcPr>
          <w:p w14:paraId="6500BB92" w14:textId="626D5F44" w:rsidR="00D54915" w:rsidRPr="00B57B36" w:rsidRDefault="00D54915" w:rsidP="00D54915">
            <w:pPr>
              <w:pStyle w:val="CETBodytext"/>
              <w:jc w:val="center"/>
              <w:rPr>
                <w:lang w:val="en-GB"/>
              </w:rPr>
            </w:pPr>
            <w:r>
              <w:rPr>
                <w:lang w:val="en-GB"/>
              </w:rPr>
              <w:t>20</w:t>
            </w:r>
          </w:p>
        </w:tc>
        <w:tc>
          <w:tcPr>
            <w:tcW w:w="2126" w:type="dxa"/>
            <w:shd w:val="clear" w:color="auto" w:fill="FFFFFF"/>
          </w:tcPr>
          <w:p w14:paraId="6828B351" w14:textId="4A443E2A" w:rsidR="00D54915" w:rsidRPr="00B57B36" w:rsidRDefault="00D54915" w:rsidP="00D54915">
            <w:pPr>
              <w:pStyle w:val="CETBodytext"/>
              <w:ind w:right="-1"/>
              <w:jc w:val="center"/>
              <w:rPr>
                <w:rFonts w:cs="Arial"/>
                <w:szCs w:val="18"/>
                <w:lang w:val="en-GB"/>
              </w:rPr>
            </w:pPr>
            <w:r>
              <w:t xml:space="preserve">4 </w:t>
            </w:r>
            <w:r>
              <w:rPr>
                <w:rFonts w:cs="Arial"/>
              </w:rPr>
              <w:t>·</w:t>
            </w:r>
            <w:r>
              <w:t xml:space="preserve"> 1</w:t>
            </w:r>
            <w:r w:rsidR="00C74C92">
              <w:t>0</w:t>
            </w:r>
            <w:r w:rsidRPr="009264CF">
              <w:rPr>
                <w:vertAlign w:val="superscript"/>
              </w:rPr>
              <w:t>-10</w:t>
            </w:r>
          </w:p>
        </w:tc>
      </w:tr>
      <w:tr w:rsidR="00D54915" w:rsidRPr="00B57B36" w14:paraId="4AA49F8A" w14:textId="77777777" w:rsidTr="00081881">
        <w:tc>
          <w:tcPr>
            <w:tcW w:w="2269" w:type="dxa"/>
            <w:shd w:val="clear" w:color="auto" w:fill="FFFFFF"/>
          </w:tcPr>
          <w:p w14:paraId="4DC6E153" w14:textId="1E886932" w:rsidR="00D54915" w:rsidRPr="00B57B36" w:rsidRDefault="00D54915" w:rsidP="007D031D">
            <w:pPr>
              <w:pStyle w:val="CETBodytext"/>
              <w:ind w:right="-1"/>
              <w:rPr>
                <w:rFonts w:cs="Arial"/>
                <w:szCs w:val="18"/>
                <w:lang w:val="en-GB"/>
              </w:rPr>
            </w:pPr>
            <w:r>
              <w:t>Rajadhyaksha et al., 2015</w:t>
            </w:r>
          </w:p>
        </w:tc>
        <w:tc>
          <w:tcPr>
            <w:tcW w:w="1134" w:type="dxa"/>
            <w:shd w:val="clear" w:color="auto" w:fill="FFFFFF"/>
          </w:tcPr>
          <w:p w14:paraId="61BEFC5A" w14:textId="2CEBF1B7" w:rsidR="00D54915" w:rsidRPr="00B57B36" w:rsidRDefault="00D54915" w:rsidP="00D54915">
            <w:pPr>
              <w:pStyle w:val="CETBodytext"/>
              <w:ind w:right="-1"/>
              <w:jc w:val="center"/>
              <w:rPr>
                <w:rFonts w:cs="Arial"/>
                <w:szCs w:val="18"/>
                <w:lang w:val="en-GB"/>
              </w:rPr>
            </w:pPr>
            <w:r>
              <w:rPr>
                <w:rFonts w:cs="Arial"/>
                <w:szCs w:val="18"/>
                <w:lang w:val="en-GB"/>
              </w:rPr>
              <w:t>0.31</w:t>
            </w:r>
          </w:p>
        </w:tc>
        <w:tc>
          <w:tcPr>
            <w:tcW w:w="1275" w:type="dxa"/>
            <w:shd w:val="clear" w:color="auto" w:fill="FFFFFF"/>
          </w:tcPr>
          <w:p w14:paraId="76E3E24E" w14:textId="1AA9DFDA" w:rsidR="00D54915" w:rsidRPr="00B57B36" w:rsidRDefault="00D54915" w:rsidP="00D54915">
            <w:pPr>
              <w:pStyle w:val="CETBodytext"/>
              <w:ind w:right="-1"/>
              <w:jc w:val="center"/>
              <w:rPr>
                <w:rFonts w:cs="Arial"/>
                <w:szCs w:val="18"/>
                <w:lang w:val="en-GB"/>
              </w:rPr>
            </w:pPr>
            <w:r>
              <w:rPr>
                <w:rFonts w:cs="Arial"/>
                <w:szCs w:val="18"/>
                <w:lang w:val="en-GB"/>
              </w:rPr>
              <w:t>10-30</w:t>
            </w:r>
          </w:p>
        </w:tc>
        <w:tc>
          <w:tcPr>
            <w:tcW w:w="2126" w:type="dxa"/>
            <w:shd w:val="clear" w:color="auto" w:fill="FFFFFF"/>
          </w:tcPr>
          <w:p w14:paraId="1F6DD3D5" w14:textId="2E461704" w:rsidR="00D54915" w:rsidRPr="00B57B36" w:rsidRDefault="007E2115" w:rsidP="00D54915">
            <w:pPr>
              <w:pStyle w:val="CETBodytext"/>
              <w:ind w:right="-1"/>
              <w:jc w:val="center"/>
              <w:rPr>
                <w:rFonts w:cs="Arial"/>
                <w:szCs w:val="18"/>
                <w:lang w:val="en-GB"/>
              </w:rPr>
            </w:pPr>
            <w:r>
              <w:t xml:space="preserve">6.7 </w:t>
            </w:r>
            <w:r>
              <w:rPr>
                <w:rFonts w:cs="Arial"/>
              </w:rPr>
              <w:t>·</w:t>
            </w:r>
            <w:r>
              <w:t xml:space="preserve"> 10</w:t>
            </w:r>
            <w:r w:rsidRPr="009264CF">
              <w:rPr>
                <w:vertAlign w:val="superscript"/>
              </w:rPr>
              <w:t>-</w:t>
            </w:r>
            <w:r>
              <w:rPr>
                <w:vertAlign w:val="superscript"/>
              </w:rPr>
              <w:t xml:space="preserve">10 </w:t>
            </w:r>
            <w:r>
              <w:t xml:space="preserve">- </w:t>
            </w:r>
            <w:r w:rsidR="00D54915">
              <w:t xml:space="preserve">3.8 </w:t>
            </w:r>
            <w:r w:rsidR="00D54915">
              <w:rPr>
                <w:rFonts w:cs="Arial"/>
              </w:rPr>
              <w:t>·</w:t>
            </w:r>
            <w:r w:rsidR="00D54915">
              <w:t xml:space="preserve"> 1</w:t>
            </w:r>
            <w:r w:rsidR="00C74C92">
              <w:t>0</w:t>
            </w:r>
            <w:r w:rsidR="00D54915" w:rsidRPr="009264CF">
              <w:rPr>
                <w:vertAlign w:val="superscript"/>
              </w:rPr>
              <w:t>-</w:t>
            </w:r>
            <w:r w:rsidR="00D54915">
              <w:rPr>
                <w:vertAlign w:val="superscript"/>
              </w:rPr>
              <w:t xml:space="preserve">9 </w:t>
            </w:r>
          </w:p>
        </w:tc>
      </w:tr>
      <w:tr w:rsidR="00D54915" w:rsidRPr="00B57B36" w14:paraId="534BD05C" w14:textId="77777777" w:rsidTr="00081881">
        <w:tc>
          <w:tcPr>
            <w:tcW w:w="2269" w:type="dxa"/>
            <w:shd w:val="clear" w:color="auto" w:fill="FFFFFF"/>
          </w:tcPr>
          <w:p w14:paraId="53B2CE9E" w14:textId="2DF4676A" w:rsidR="00D54915" w:rsidRPr="00B57B36" w:rsidRDefault="00D54915" w:rsidP="007D031D">
            <w:pPr>
              <w:pStyle w:val="CETBodytext"/>
              <w:ind w:right="-1"/>
              <w:rPr>
                <w:rFonts w:cs="Arial"/>
                <w:szCs w:val="18"/>
                <w:lang w:val="en-GB"/>
              </w:rPr>
            </w:pPr>
            <w:r>
              <w:t>Guo et al., 2024</w:t>
            </w:r>
          </w:p>
        </w:tc>
        <w:tc>
          <w:tcPr>
            <w:tcW w:w="1134" w:type="dxa"/>
            <w:shd w:val="clear" w:color="auto" w:fill="FFFFFF"/>
          </w:tcPr>
          <w:p w14:paraId="0DAD66C2" w14:textId="2B2B79A9" w:rsidR="00D54915" w:rsidRPr="00B57B36" w:rsidRDefault="00D54915" w:rsidP="00D54915">
            <w:pPr>
              <w:pStyle w:val="CETBodytext"/>
              <w:ind w:right="-1"/>
              <w:jc w:val="center"/>
              <w:rPr>
                <w:rFonts w:cs="Arial"/>
                <w:szCs w:val="18"/>
                <w:lang w:val="en-GB"/>
              </w:rPr>
            </w:pPr>
            <w:r>
              <w:rPr>
                <w:rFonts w:cs="Arial"/>
                <w:szCs w:val="18"/>
                <w:lang w:val="en-GB"/>
              </w:rPr>
              <w:t>0.15</w:t>
            </w:r>
          </w:p>
        </w:tc>
        <w:tc>
          <w:tcPr>
            <w:tcW w:w="1275" w:type="dxa"/>
            <w:shd w:val="clear" w:color="auto" w:fill="FFFFFF"/>
          </w:tcPr>
          <w:p w14:paraId="504BCE68" w14:textId="786AAE34" w:rsidR="00D54915" w:rsidRPr="00B57B36" w:rsidRDefault="00D54915" w:rsidP="00D54915">
            <w:pPr>
              <w:pStyle w:val="CETBodytext"/>
              <w:ind w:right="-1"/>
              <w:jc w:val="center"/>
              <w:rPr>
                <w:rFonts w:cs="Arial"/>
                <w:szCs w:val="18"/>
                <w:lang w:val="en-GB"/>
              </w:rPr>
            </w:pPr>
            <w:r>
              <w:rPr>
                <w:rFonts w:cs="Arial"/>
                <w:szCs w:val="18"/>
                <w:lang w:val="en-GB"/>
              </w:rPr>
              <w:t>24-40</w:t>
            </w:r>
          </w:p>
        </w:tc>
        <w:tc>
          <w:tcPr>
            <w:tcW w:w="2126" w:type="dxa"/>
            <w:shd w:val="clear" w:color="auto" w:fill="FFFFFF"/>
          </w:tcPr>
          <w:p w14:paraId="073A52E3" w14:textId="03CED49F" w:rsidR="00D54915" w:rsidRPr="00342BD9" w:rsidRDefault="00342BD9" w:rsidP="00D54915">
            <w:pPr>
              <w:pStyle w:val="CETBodytext"/>
              <w:ind w:right="-1"/>
              <w:jc w:val="center"/>
              <w:rPr>
                <w:rFonts w:cs="Arial"/>
                <w:szCs w:val="18"/>
                <w:lang w:val="en-GB"/>
              </w:rPr>
            </w:pPr>
            <w:r>
              <w:t xml:space="preserve">0.13 </w:t>
            </w:r>
            <w:r>
              <w:rPr>
                <w:rFonts w:cs="Arial"/>
              </w:rPr>
              <w:t>·</w:t>
            </w:r>
            <w:r>
              <w:t xml:space="preserve"> 1</w:t>
            </w:r>
            <w:r w:rsidR="00C74C92">
              <w:t>0</w:t>
            </w:r>
            <w:r w:rsidRPr="009264CF">
              <w:rPr>
                <w:vertAlign w:val="superscript"/>
              </w:rPr>
              <w:t>-</w:t>
            </w:r>
            <w:r>
              <w:rPr>
                <w:vertAlign w:val="superscript"/>
              </w:rPr>
              <w:t>11</w:t>
            </w:r>
            <w:r>
              <w:t xml:space="preserve"> - 0.93 </w:t>
            </w:r>
            <w:r>
              <w:rPr>
                <w:rFonts w:cs="Arial"/>
              </w:rPr>
              <w:t>·</w:t>
            </w:r>
            <w:r>
              <w:t xml:space="preserve"> 1</w:t>
            </w:r>
            <w:r w:rsidR="00C74C92">
              <w:t>0</w:t>
            </w:r>
            <w:r w:rsidRPr="009264CF">
              <w:rPr>
                <w:vertAlign w:val="superscript"/>
              </w:rPr>
              <w:t>-</w:t>
            </w:r>
            <w:r>
              <w:rPr>
                <w:vertAlign w:val="superscript"/>
              </w:rPr>
              <w:t>10</w:t>
            </w:r>
          </w:p>
        </w:tc>
      </w:tr>
    </w:tbl>
    <w:p w14:paraId="3310CF81" w14:textId="5EDDCEDD" w:rsidR="000C50F6" w:rsidRDefault="000C50F6" w:rsidP="000C50F6">
      <w:pPr>
        <w:pStyle w:val="CETheadingx"/>
      </w:pPr>
      <w:r>
        <w:t>Likelihood and consequences of RIF scenarios</w:t>
      </w:r>
    </w:p>
    <w:p w14:paraId="34BCC5CC" w14:textId="0A7467CC" w:rsidR="00342BD9" w:rsidRDefault="003829F3" w:rsidP="003829F3">
      <w:pPr>
        <w:pStyle w:val="CETBodytext"/>
      </w:pPr>
      <w:r>
        <w:t>To date, no studies have applied QRA specifically to Reaction-Influenced Fire (RIF) scenarios. This section explores RIF likelihood and outcomes by reviewing (i) fire occurrence statistics, (ii) the impact of Heat Release Rate (HRR) from RACHP components,</w:t>
      </w:r>
      <w:r w:rsidR="00342BD9">
        <w:t xml:space="preserve"> and</w:t>
      </w:r>
      <w:r>
        <w:t xml:space="preserve"> (iii) RACHP interactions with combustible ETICS</w:t>
      </w:r>
      <w:r w:rsidR="00134214">
        <w:t>.</w:t>
      </w:r>
    </w:p>
    <w:p w14:paraId="63D4244F" w14:textId="77777777" w:rsidR="00134214" w:rsidRDefault="00134214" w:rsidP="003829F3">
      <w:pPr>
        <w:pStyle w:val="CETBodytext"/>
      </w:pPr>
    </w:p>
    <w:p w14:paraId="7ADE46E8" w14:textId="6E8F3CC7" w:rsidR="00134214" w:rsidRPr="007D5B2E" w:rsidRDefault="00336587" w:rsidP="007D5B2E">
      <w:r>
        <w:t xml:space="preserve">3.2.1 </w:t>
      </w:r>
      <w:r w:rsidR="003829F3" w:rsidRPr="007D5B2E">
        <w:t>Occurrence of Independent Fire</w:t>
      </w:r>
    </w:p>
    <w:p w14:paraId="6E53F132" w14:textId="1056B46C" w:rsidR="00943E6D" w:rsidRDefault="003829F3" w:rsidP="003829F3">
      <w:pPr>
        <w:pStyle w:val="CETBodytext"/>
      </w:pPr>
      <w:r>
        <w:t>Fire probability (P</w:t>
      </w:r>
      <w:r w:rsidR="00134214">
        <w:rPr>
          <w:vertAlign w:val="subscript"/>
        </w:rPr>
        <w:t>F</w:t>
      </w:r>
      <w:r>
        <w:t>) for residential buildings is often expressed as an annual frequency, calculated based on factors like building type</w:t>
      </w:r>
      <w:r w:rsidR="00E6238E">
        <w:t xml:space="preserve">, surface, </w:t>
      </w:r>
      <w:r>
        <w:t>fire safety measures</w:t>
      </w:r>
      <w:r w:rsidR="00E6238E">
        <w:t xml:space="preserve"> and others</w:t>
      </w:r>
      <w:r>
        <w:t>.</w:t>
      </w:r>
      <w:r w:rsidR="00E6238E">
        <w:t xml:space="preserve"> In this work</w:t>
      </w:r>
      <w:r w:rsidR="000F5F5D">
        <w:t>,</w:t>
      </w:r>
      <w:r w:rsidR="00E6238E">
        <w:t xml:space="preserve"> we will consider P</w:t>
      </w:r>
      <w:r w:rsidR="00E6238E">
        <w:rPr>
          <w:vertAlign w:val="subscript"/>
        </w:rPr>
        <w:t xml:space="preserve">F </w:t>
      </w:r>
      <w:r w:rsidR="007A1A41">
        <w:t xml:space="preserve">as the annual </w:t>
      </w:r>
      <w:r w:rsidR="000F5F5D">
        <w:t>frequency</w:t>
      </w:r>
      <w:r w:rsidR="007A1A41">
        <w:t xml:space="preserve"> of fires referred to a single residential unit, i.e. a dwelling. </w:t>
      </w:r>
      <w:r>
        <w:t xml:space="preserve">For instance, </w:t>
      </w:r>
      <w:r w:rsidR="000F5F5D">
        <w:t>based on 2014 r</w:t>
      </w:r>
      <w:r>
        <w:t xml:space="preserve">esidential fire </w:t>
      </w:r>
      <w:r>
        <w:lastRenderedPageBreak/>
        <w:t>data from the UK</w:t>
      </w:r>
      <w:r w:rsidR="000F5F5D">
        <w:t>.</w:t>
      </w:r>
      <w:r>
        <w:t xml:space="preserve"> (</w:t>
      </w:r>
      <w:r w:rsidR="007A1A41">
        <w:t xml:space="preserve">Manes et al., </w:t>
      </w:r>
      <w:r>
        <w:t>201</w:t>
      </w:r>
      <w:r w:rsidR="000F5F5D">
        <w:t>8</w:t>
      </w:r>
      <w:r>
        <w:t xml:space="preserve">) estimates </w:t>
      </w:r>
      <w:r w:rsidR="000F5F5D">
        <w:t>P</w:t>
      </w:r>
      <w:r w:rsidR="000F5F5D">
        <w:rPr>
          <w:vertAlign w:val="subscript"/>
        </w:rPr>
        <w:t xml:space="preserve">F </w:t>
      </w:r>
      <w:r>
        <w:t xml:space="preserve">at 1.33 </w:t>
      </w:r>
      <w:r w:rsidR="00943E6D">
        <w:rPr>
          <w:rFonts w:cs="Arial"/>
        </w:rPr>
        <w:t>·</w:t>
      </w:r>
      <w:r>
        <w:t xml:space="preserve"> 10</w:t>
      </w:r>
      <w:r w:rsidRPr="00943E6D">
        <w:rPr>
          <w:vertAlign w:val="superscript"/>
        </w:rPr>
        <w:t>-3</w:t>
      </w:r>
      <w:r>
        <w:t>/y</w:t>
      </w:r>
      <w:r w:rsidR="000F5F5D">
        <w:t>. Likewise, in</w:t>
      </w:r>
      <w:r>
        <w:t xml:space="preserve"> Greece, </w:t>
      </w:r>
      <w:r w:rsidR="000F5F5D">
        <w:t>P</w:t>
      </w:r>
      <w:r w:rsidR="000F5F5D">
        <w:rPr>
          <w:vertAlign w:val="subscript"/>
        </w:rPr>
        <w:t>F</w:t>
      </w:r>
      <w:r>
        <w:t xml:space="preserve"> is 0.97 </w:t>
      </w:r>
      <w:r w:rsidR="00943E6D">
        <w:rPr>
          <w:rFonts w:cs="Arial"/>
        </w:rPr>
        <w:t>·</w:t>
      </w:r>
      <w:r>
        <w:t xml:space="preserve"> 10</w:t>
      </w:r>
      <w:r w:rsidRPr="00561EC7">
        <w:rPr>
          <w:vertAlign w:val="superscript"/>
        </w:rPr>
        <w:t>-3</w:t>
      </w:r>
      <w:r>
        <w:t xml:space="preserve">/y from 2000-2019 data (Filikas et al., 2022). In the US, a higher rate of 3.01 </w:t>
      </w:r>
      <w:r w:rsidR="00943E6D">
        <w:rPr>
          <w:rFonts w:cs="Arial"/>
        </w:rPr>
        <w:t>·</w:t>
      </w:r>
      <w:r>
        <w:t xml:space="preserve"> 10</w:t>
      </w:r>
      <w:r w:rsidRPr="00081881">
        <w:rPr>
          <w:vertAlign w:val="superscript"/>
        </w:rPr>
        <w:t>-3</w:t>
      </w:r>
      <w:r>
        <w:t>/y was estimated based on 2020 statistics (</w:t>
      </w:r>
      <w:r w:rsidR="00081881">
        <w:t>d</w:t>
      </w:r>
      <w:r>
        <w:t>i Filippo et al., 2023)</w:t>
      </w:r>
      <w:r w:rsidR="00134214">
        <w:t xml:space="preserve">. </w:t>
      </w:r>
      <w:r>
        <w:t>These probabilities</w:t>
      </w:r>
      <w:r w:rsidR="00B40B46">
        <w:t>, summarized in Table 2,</w:t>
      </w:r>
      <w:r>
        <w:t xml:space="preserve"> a</w:t>
      </w:r>
      <w:r w:rsidR="00B40B46">
        <w:t>ppear to be</w:t>
      </w:r>
      <w:r w:rsidR="00943E6D">
        <w:t xml:space="preserve"> consistently</w:t>
      </w:r>
      <w:r w:rsidR="00B40B46">
        <w:t xml:space="preserve"> within the same order of </w:t>
      </w:r>
      <w:r w:rsidR="000F5F5D">
        <w:t>magnitude</w:t>
      </w:r>
      <w:r>
        <w:t>, despite regional differences.</w:t>
      </w:r>
      <w:r w:rsidR="00353D31">
        <w:t xml:space="preserve"> </w:t>
      </w:r>
    </w:p>
    <w:p w14:paraId="27B9CC0F" w14:textId="77777777" w:rsidR="000749C4" w:rsidRDefault="000749C4" w:rsidP="003829F3">
      <w:pPr>
        <w:pStyle w:val="CETBodytext"/>
      </w:pPr>
    </w:p>
    <w:p w14:paraId="69E7086B" w14:textId="6841350B" w:rsidR="00943E6D" w:rsidRPr="00D10FCD" w:rsidRDefault="00943E6D" w:rsidP="00943E6D">
      <w:pPr>
        <w:pStyle w:val="CETBodytext"/>
        <w:jc w:val="left"/>
        <w:rPr>
          <w:i/>
          <w:iCs/>
        </w:rPr>
      </w:pPr>
      <w:r w:rsidRPr="00D10FCD">
        <w:rPr>
          <w:i/>
          <w:iCs/>
        </w:rPr>
        <w:t xml:space="preserve">Table </w:t>
      </w:r>
      <w:r w:rsidR="00081881">
        <w:rPr>
          <w:i/>
          <w:iCs/>
        </w:rPr>
        <w:t>2</w:t>
      </w:r>
      <w:r w:rsidRPr="00D10FCD">
        <w:rPr>
          <w:i/>
          <w:iCs/>
        </w:rPr>
        <w:t xml:space="preserve">: </w:t>
      </w:r>
      <w:r w:rsidR="00081881">
        <w:rPr>
          <w:i/>
          <w:iCs/>
        </w:rPr>
        <w:t>Annual frequency</w:t>
      </w:r>
      <w:r w:rsidRPr="00D10FCD">
        <w:rPr>
          <w:i/>
          <w:iCs/>
        </w:rPr>
        <w:t xml:space="preserve"> of </w:t>
      </w:r>
      <w:r w:rsidR="00081881">
        <w:rPr>
          <w:i/>
          <w:iCs/>
        </w:rPr>
        <w:t>fire</w:t>
      </w:r>
      <w:r w:rsidRPr="00D10FCD">
        <w:rPr>
          <w:i/>
          <w:iCs/>
        </w:rPr>
        <w:t xml:space="preserve"> (P</w:t>
      </w:r>
      <w:r w:rsidR="00081881">
        <w:rPr>
          <w:i/>
          <w:iCs/>
          <w:vertAlign w:val="subscript"/>
        </w:rPr>
        <w:t>F</w:t>
      </w:r>
      <w:r w:rsidRPr="00D10FCD">
        <w:rPr>
          <w:i/>
          <w:iCs/>
        </w:rPr>
        <w:t xml:space="preserve">) </w:t>
      </w:r>
      <w:r w:rsidR="00081881">
        <w:rPr>
          <w:i/>
          <w:iCs/>
        </w:rPr>
        <w:t>within residential buildings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76"/>
        <w:gridCol w:w="2090"/>
        <w:gridCol w:w="2086"/>
        <w:gridCol w:w="2078"/>
      </w:tblGrid>
      <w:tr w:rsidR="00081881" w:rsidRPr="00B57B36" w14:paraId="3219B05F" w14:textId="4520D41E" w:rsidTr="00081881">
        <w:tc>
          <w:tcPr>
            <w:tcW w:w="1276" w:type="dxa"/>
            <w:tcBorders>
              <w:top w:val="single" w:sz="12" w:space="0" w:color="008000"/>
              <w:bottom w:val="single" w:sz="6" w:space="0" w:color="008000"/>
            </w:tcBorders>
            <w:shd w:val="clear" w:color="auto" w:fill="FFFFFF"/>
          </w:tcPr>
          <w:p w14:paraId="5F3AF185" w14:textId="2A21B3F8" w:rsidR="00081881" w:rsidRPr="00081881" w:rsidRDefault="00081881" w:rsidP="00353D31">
            <w:pPr>
              <w:pStyle w:val="CETBodytext"/>
              <w:jc w:val="center"/>
            </w:pPr>
            <w:r>
              <w:t>Country</w:t>
            </w:r>
          </w:p>
        </w:tc>
        <w:tc>
          <w:tcPr>
            <w:tcW w:w="2090" w:type="dxa"/>
            <w:tcBorders>
              <w:top w:val="single" w:sz="12" w:space="0" w:color="008000"/>
              <w:bottom w:val="single" w:sz="6" w:space="0" w:color="008000"/>
            </w:tcBorders>
            <w:shd w:val="clear" w:color="auto" w:fill="FFFFFF"/>
          </w:tcPr>
          <w:p w14:paraId="735076CC" w14:textId="4D69DF7F" w:rsidR="00081881" w:rsidRPr="00B57B36" w:rsidRDefault="00081881" w:rsidP="00453FFE">
            <w:pPr>
              <w:pStyle w:val="CETBodytext"/>
              <w:jc w:val="center"/>
              <w:rPr>
                <w:lang w:val="en-GB"/>
              </w:rPr>
            </w:pPr>
            <w:r>
              <w:t>Year Data</w:t>
            </w:r>
          </w:p>
        </w:tc>
        <w:tc>
          <w:tcPr>
            <w:tcW w:w="2086" w:type="dxa"/>
            <w:tcBorders>
              <w:top w:val="single" w:sz="12" w:space="0" w:color="008000"/>
              <w:bottom w:val="single" w:sz="6" w:space="0" w:color="008000"/>
            </w:tcBorders>
            <w:shd w:val="clear" w:color="auto" w:fill="FFFFFF"/>
          </w:tcPr>
          <w:p w14:paraId="691DAA43" w14:textId="167A295B" w:rsidR="00081881" w:rsidRPr="00B57B36" w:rsidRDefault="00081881" w:rsidP="00453FFE">
            <w:pPr>
              <w:pStyle w:val="CETBodytext"/>
              <w:ind w:right="-1"/>
              <w:jc w:val="center"/>
              <w:rPr>
                <w:rFonts w:cs="Arial"/>
                <w:szCs w:val="18"/>
                <w:lang w:val="en-GB"/>
              </w:rPr>
            </w:pPr>
            <w:r>
              <w:t>P</w:t>
            </w:r>
            <w:r>
              <w:rPr>
                <w:vertAlign w:val="subscript"/>
              </w:rPr>
              <w:t>F</w:t>
            </w:r>
            <w:r>
              <w:t xml:space="preserve"> (y</w:t>
            </w:r>
            <w:r w:rsidRPr="00D54915">
              <w:rPr>
                <w:vertAlign w:val="superscript"/>
              </w:rPr>
              <w:t>-1</w:t>
            </w:r>
            <w:r>
              <w:t>)</w:t>
            </w:r>
          </w:p>
        </w:tc>
        <w:tc>
          <w:tcPr>
            <w:tcW w:w="2078" w:type="dxa"/>
            <w:tcBorders>
              <w:top w:val="single" w:sz="12" w:space="0" w:color="008000"/>
              <w:bottom w:val="single" w:sz="6" w:space="0" w:color="008000"/>
            </w:tcBorders>
            <w:shd w:val="clear" w:color="auto" w:fill="FFFFFF"/>
          </w:tcPr>
          <w:p w14:paraId="17764C68" w14:textId="7A97AB88" w:rsidR="00081881" w:rsidRDefault="00081881" w:rsidP="00453FFE">
            <w:pPr>
              <w:pStyle w:val="CETBodytext"/>
              <w:ind w:right="-1"/>
              <w:jc w:val="center"/>
            </w:pPr>
            <w:r>
              <w:t>Source</w:t>
            </w:r>
          </w:p>
        </w:tc>
      </w:tr>
      <w:tr w:rsidR="00081881" w:rsidRPr="00B57B36" w14:paraId="2CBC20DE" w14:textId="305DEC87" w:rsidTr="00081881">
        <w:tc>
          <w:tcPr>
            <w:tcW w:w="1276" w:type="dxa"/>
            <w:shd w:val="clear" w:color="auto" w:fill="FFFFFF"/>
          </w:tcPr>
          <w:p w14:paraId="1E8FF2CC" w14:textId="2A317666" w:rsidR="00081881" w:rsidRPr="00B57B36" w:rsidRDefault="00081881" w:rsidP="00081881">
            <w:pPr>
              <w:pStyle w:val="CETBodytext"/>
              <w:jc w:val="center"/>
              <w:rPr>
                <w:lang w:val="en-GB"/>
              </w:rPr>
            </w:pPr>
            <w:r>
              <w:t>UK</w:t>
            </w:r>
          </w:p>
        </w:tc>
        <w:tc>
          <w:tcPr>
            <w:tcW w:w="2090" w:type="dxa"/>
            <w:shd w:val="clear" w:color="auto" w:fill="FFFFFF"/>
          </w:tcPr>
          <w:p w14:paraId="13623E20" w14:textId="77777777" w:rsidR="00081881" w:rsidRPr="00B57B36" w:rsidRDefault="00081881" w:rsidP="00453FFE">
            <w:pPr>
              <w:pStyle w:val="CETBodytext"/>
              <w:jc w:val="center"/>
              <w:rPr>
                <w:lang w:val="en-GB"/>
              </w:rPr>
            </w:pPr>
            <w:r>
              <w:rPr>
                <w:lang w:val="en-GB"/>
              </w:rPr>
              <w:t>0.4</w:t>
            </w:r>
          </w:p>
        </w:tc>
        <w:tc>
          <w:tcPr>
            <w:tcW w:w="2086" w:type="dxa"/>
            <w:shd w:val="clear" w:color="auto" w:fill="FFFFFF"/>
          </w:tcPr>
          <w:p w14:paraId="0B53E671" w14:textId="30BF9774" w:rsidR="00081881" w:rsidRPr="00B57B36" w:rsidRDefault="00C74C92" w:rsidP="00453FFE">
            <w:pPr>
              <w:pStyle w:val="CETBodytext"/>
              <w:ind w:right="-1"/>
              <w:jc w:val="center"/>
              <w:rPr>
                <w:rFonts w:cs="Arial"/>
                <w:szCs w:val="18"/>
                <w:lang w:val="en-GB"/>
              </w:rPr>
            </w:pPr>
            <w:r>
              <w:t>1.33</w:t>
            </w:r>
            <w:r w:rsidR="00081881">
              <w:t xml:space="preserve"> </w:t>
            </w:r>
            <w:r w:rsidR="00081881">
              <w:rPr>
                <w:rFonts w:cs="Arial"/>
              </w:rPr>
              <w:t>·</w:t>
            </w:r>
            <w:r w:rsidR="00081881">
              <w:t xml:space="preserve"> 1</w:t>
            </w:r>
            <w:r>
              <w:t>0</w:t>
            </w:r>
            <w:r w:rsidR="00081881" w:rsidRPr="009264CF">
              <w:rPr>
                <w:vertAlign w:val="superscript"/>
              </w:rPr>
              <w:t>-</w:t>
            </w:r>
            <w:r>
              <w:rPr>
                <w:vertAlign w:val="superscript"/>
              </w:rPr>
              <w:t>3</w:t>
            </w:r>
          </w:p>
        </w:tc>
        <w:tc>
          <w:tcPr>
            <w:tcW w:w="2078" w:type="dxa"/>
            <w:shd w:val="clear" w:color="auto" w:fill="FFFFFF"/>
          </w:tcPr>
          <w:p w14:paraId="1E47BA1B" w14:textId="23EE9D44" w:rsidR="00081881" w:rsidRDefault="00081881" w:rsidP="00453FFE">
            <w:pPr>
              <w:pStyle w:val="CETBodytext"/>
              <w:ind w:right="-1"/>
              <w:jc w:val="center"/>
            </w:pPr>
            <w:r>
              <w:t>Manes et al., 2018</w:t>
            </w:r>
          </w:p>
        </w:tc>
      </w:tr>
      <w:tr w:rsidR="00081881" w:rsidRPr="00B57B36" w14:paraId="227D668B" w14:textId="40BB6717" w:rsidTr="00081881">
        <w:trPr>
          <w:trHeight w:val="136"/>
        </w:trPr>
        <w:tc>
          <w:tcPr>
            <w:tcW w:w="1276" w:type="dxa"/>
            <w:shd w:val="clear" w:color="auto" w:fill="FFFFFF"/>
          </w:tcPr>
          <w:p w14:paraId="4845B7BE" w14:textId="16DC81D2" w:rsidR="00081881" w:rsidRPr="00B57B36" w:rsidRDefault="00081881" w:rsidP="00081881">
            <w:pPr>
              <w:pStyle w:val="CETBodytext"/>
              <w:ind w:right="-1"/>
              <w:jc w:val="center"/>
              <w:rPr>
                <w:rFonts w:cs="Arial"/>
                <w:szCs w:val="18"/>
                <w:lang w:val="en-GB"/>
              </w:rPr>
            </w:pPr>
            <w:r>
              <w:t>Greece</w:t>
            </w:r>
          </w:p>
        </w:tc>
        <w:tc>
          <w:tcPr>
            <w:tcW w:w="2090" w:type="dxa"/>
            <w:shd w:val="clear" w:color="auto" w:fill="FFFFFF"/>
          </w:tcPr>
          <w:p w14:paraId="35A6DEB9" w14:textId="77777777" w:rsidR="00081881" w:rsidRPr="00B57B36" w:rsidRDefault="00081881" w:rsidP="00453FFE">
            <w:pPr>
              <w:pStyle w:val="CETBodytext"/>
              <w:ind w:right="-1"/>
              <w:jc w:val="center"/>
              <w:rPr>
                <w:rFonts w:cs="Arial"/>
                <w:szCs w:val="18"/>
                <w:lang w:val="en-GB"/>
              </w:rPr>
            </w:pPr>
            <w:r>
              <w:rPr>
                <w:rFonts w:cs="Arial"/>
                <w:szCs w:val="18"/>
                <w:lang w:val="en-GB"/>
              </w:rPr>
              <w:t>0.31</w:t>
            </w:r>
          </w:p>
        </w:tc>
        <w:tc>
          <w:tcPr>
            <w:tcW w:w="2086" w:type="dxa"/>
            <w:shd w:val="clear" w:color="auto" w:fill="FFFFFF"/>
          </w:tcPr>
          <w:p w14:paraId="708E69CA" w14:textId="6C464E3D" w:rsidR="00081881" w:rsidRPr="00B57B36" w:rsidRDefault="00C74C92" w:rsidP="00453FFE">
            <w:pPr>
              <w:pStyle w:val="CETBodytext"/>
              <w:ind w:right="-1"/>
              <w:jc w:val="center"/>
              <w:rPr>
                <w:rFonts w:cs="Arial"/>
                <w:szCs w:val="18"/>
                <w:lang w:val="en-GB"/>
              </w:rPr>
            </w:pPr>
            <w:r>
              <w:t>0</w:t>
            </w:r>
            <w:r w:rsidR="00081881">
              <w:t>.</w:t>
            </w:r>
            <w:r>
              <w:t>97</w:t>
            </w:r>
            <w:r w:rsidR="00081881">
              <w:t xml:space="preserve"> </w:t>
            </w:r>
            <w:r w:rsidR="00081881">
              <w:rPr>
                <w:rFonts w:cs="Arial"/>
              </w:rPr>
              <w:t>·</w:t>
            </w:r>
            <w:r w:rsidR="00081881">
              <w:t xml:space="preserve"> 1</w:t>
            </w:r>
            <w:r>
              <w:t>0</w:t>
            </w:r>
            <w:r w:rsidR="00081881" w:rsidRPr="009264CF">
              <w:rPr>
                <w:vertAlign w:val="superscript"/>
              </w:rPr>
              <w:t>-</w:t>
            </w:r>
            <w:r>
              <w:rPr>
                <w:vertAlign w:val="superscript"/>
              </w:rPr>
              <w:t>3</w:t>
            </w:r>
            <w:r w:rsidR="00081881">
              <w:rPr>
                <w:vertAlign w:val="superscript"/>
              </w:rPr>
              <w:t xml:space="preserve"> </w:t>
            </w:r>
          </w:p>
        </w:tc>
        <w:tc>
          <w:tcPr>
            <w:tcW w:w="2078" w:type="dxa"/>
            <w:shd w:val="clear" w:color="auto" w:fill="FFFFFF"/>
          </w:tcPr>
          <w:p w14:paraId="706EA98E" w14:textId="5E14C625" w:rsidR="00081881" w:rsidRDefault="00081881" w:rsidP="00453FFE">
            <w:pPr>
              <w:pStyle w:val="CETBodytext"/>
              <w:ind w:right="-1"/>
              <w:jc w:val="center"/>
            </w:pPr>
            <w:r>
              <w:t>Filikas et al., 2022</w:t>
            </w:r>
          </w:p>
        </w:tc>
      </w:tr>
      <w:tr w:rsidR="00081881" w:rsidRPr="00B57B36" w14:paraId="2EC0844B" w14:textId="606BA25F" w:rsidTr="00081881">
        <w:tc>
          <w:tcPr>
            <w:tcW w:w="1276" w:type="dxa"/>
            <w:shd w:val="clear" w:color="auto" w:fill="FFFFFF"/>
          </w:tcPr>
          <w:p w14:paraId="3FD39539" w14:textId="7A781A9F" w:rsidR="00081881" w:rsidRPr="00B57B36" w:rsidRDefault="00081881" w:rsidP="00081881">
            <w:pPr>
              <w:pStyle w:val="CETBodytext"/>
              <w:ind w:right="-1"/>
              <w:jc w:val="center"/>
              <w:rPr>
                <w:rFonts w:cs="Arial"/>
                <w:szCs w:val="18"/>
                <w:lang w:val="en-GB"/>
              </w:rPr>
            </w:pPr>
            <w:r>
              <w:t>US</w:t>
            </w:r>
          </w:p>
        </w:tc>
        <w:tc>
          <w:tcPr>
            <w:tcW w:w="2090" w:type="dxa"/>
            <w:shd w:val="clear" w:color="auto" w:fill="FFFFFF"/>
          </w:tcPr>
          <w:p w14:paraId="3310846C" w14:textId="77777777" w:rsidR="00081881" w:rsidRPr="00B57B36" w:rsidRDefault="00081881" w:rsidP="00453FFE">
            <w:pPr>
              <w:pStyle w:val="CETBodytext"/>
              <w:ind w:right="-1"/>
              <w:jc w:val="center"/>
              <w:rPr>
                <w:rFonts w:cs="Arial"/>
                <w:szCs w:val="18"/>
                <w:lang w:val="en-GB"/>
              </w:rPr>
            </w:pPr>
            <w:r>
              <w:rPr>
                <w:rFonts w:cs="Arial"/>
                <w:szCs w:val="18"/>
                <w:lang w:val="en-GB"/>
              </w:rPr>
              <w:t>0.15</w:t>
            </w:r>
          </w:p>
        </w:tc>
        <w:tc>
          <w:tcPr>
            <w:tcW w:w="2086" w:type="dxa"/>
            <w:shd w:val="clear" w:color="auto" w:fill="FFFFFF"/>
          </w:tcPr>
          <w:p w14:paraId="09B98F70" w14:textId="1C548F1D" w:rsidR="00081881" w:rsidRPr="00342BD9" w:rsidRDefault="00C74C92" w:rsidP="00453FFE">
            <w:pPr>
              <w:pStyle w:val="CETBodytext"/>
              <w:ind w:right="-1"/>
              <w:jc w:val="center"/>
              <w:rPr>
                <w:rFonts w:cs="Arial"/>
                <w:szCs w:val="18"/>
                <w:lang w:val="en-GB"/>
              </w:rPr>
            </w:pPr>
            <w:r>
              <w:t>3.01</w:t>
            </w:r>
            <w:r w:rsidR="00081881">
              <w:t xml:space="preserve"> </w:t>
            </w:r>
            <w:r w:rsidR="00081881">
              <w:rPr>
                <w:rFonts w:cs="Arial"/>
              </w:rPr>
              <w:t>·</w:t>
            </w:r>
            <w:r w:rsidR="00081881">
              <w:t xml:space="preserve"> 1</w:t>
            </w:r>
            <w:r>
              <w:t>0</w:t>
            </w:r>
            <w:r w:rsidR="00081881" w:rsidRPr="009264CF">
              <w:rPr>
                <w:vertAlign w:val="superscript"/>
              </w:rPr>
              <w:t>-</w:t>
            </w:r>
            <w:r>
              <w:rPr>
                <w:vertAlign w:val="superscript"/>
              </w:rPr>
              <w:t>3</w:t>
            </w:r>
            <w:r w:rsidR="00081881">
              <w:t xml:space="preserve"> </w:t>
            </w:r>
          </w:p>
        </w:tc>
        <w:tc>
          <w:tcPr>
            <w:tcW w:w="2078" w:type="dxa"/>
            <w:shd w:val="clear" w:color="auto" w:fill="FFFFFF"/>
          </w:tcPr>
          <w:p w14:paraId="1C410509" w14:textId="0947DC09" w:rsidR="00081881" w:rsidRDefault="00C74C92" w:rsidP="00453FFE">
            <w:pPr>
              <w:pStyle w:val="CETBodytext"/>
              <w:ind w:right="-1"/>
              <w:jc w:val="center"/>
            </w:pPr>
            <w:r>
              <w:t>di Filippo et al., 2023</w:t>
            </w:r>
          </w:p>
        </w:tc>
      </w:tr>
    </w:tbl>
    <w:p w14:paraId="1107ED4C" w14:textId="77777777" w:rsidR="003829F3" w:rsidRDefault="003829F3" w:rsidP="003829F3">
      <w:pPr>
        <w:pStyle w:val="CETBodytext"/>
      </w:pPr>
    </w:p>
    <w:p w14:paraId="78274164" w14:textId="58EF7ACD" w:rsidR="003829F3" w:rsidRPr="007D5B2E" w:rsidRDefault="00336587" w:rsidP="007D5B2E">
      <w:r>
        <w:t xml:space="preserve">3.2.2 </w:t>
      </w:r>
      <w:r w:rsidR="003829F3" w:rsidRPr="007D5B2E">
        <w:t xml:space="preserve">Influence on Fire Load and </w:t>
      </w:r>
      <w:r w:rsidR="00F37B3C" w:rsidRPr="007D5B2E">
        <w:t>Heat Release Rate</w:t>
      </w:r>
      <w:r w:rsidR="003829F3" w:rsidRPr="007D5B2E">
        <w:t xml:space="preserve">  </w:t>
      </w:r>
    </w:p>
    <w:p w14:paraId="6CB6001C" w14:textId="77777777" w:rsidR="00D038A7" w:rsidRDefault="007D5B2E" w:rsidP="000D074C">
      <w:pPr>
        <w:pStyle w:val="CETBodytext"/>
      </w:pPr>
      <w:r>
        <w:t>Fire Load and Heat Release Rate (HRR) are commonly considered critical parameters in</w:t>
      </w:r>
      <w:r w:rsidR="00076799">
        <w:t xml:space="preserve"> the development and severity of fires (Hietaniemi et al., 2001). </w:t>
      </w:r>
      <w:r w:rsidR="00F37B3C">
        <w:t>E</w:t>
      </w:r>
      <w:r w:rsidR="00BE4B24">
        <w:t xml:space="preserve">xperimental studies have demonstrated that RACHP equipment, though generally contributing modestly to overall fire load, can produce </w:t>
      </w:r>
      <w:r w:rsidR="00F37B3C">
        <w:t>a </w:t>
      </w:r>
      <w:r w:rsidR="00BE4B24">
        <w:t>significant HR</w:t>
      </w:r>
      <w:r w:rsidR="00F37B3C">
        <w:t>)</w:t>
      </w:r>
      <w:r w:rsidR="00BE4B24">
        <w:t xml:space="preserve"> that impacts fire dynamics, especially in confined spaces. For instance, tests on refrigerators filled with various refrigerants, such as R600 and R290, showed peak HRRs between 1148 and 2125 kW </w:t>
      </w:r>
      <w:r w:rsidR="00F37B3C">
        <w:t>(Hietaniemi</w:t>
      </w:r>
      <w:r w:rsidR="00615C46">
        <w:t xml:space="preserve"> et al., 2001)</w:t>
      </w:r>
      <w:r w:rsidR="00BE4B24">
        <w:t>.</w:t>
      </w:r>
      <w:r w:rsidR="00615C46">
        <w:t xml:space="preserve"> Besides,</w:t>
      </w:r>
      <w:r w:rsidR="00BE4B24">
        <w:t xml:space="preserve"> </w:t>
      </w:r>
      <w:r w:rsidR="00615C46">
        <w:t>(</w:t>
      </w:r>
      <w:r w:rsidR="00BE4B24">
        <w:t>Zhang et al.</w:t>
      </w:r>
      <w:r w:rsidR="00615C46">
        <w:t>,</w:t>
      </w:r>
      <w:r w:rsidR="00BE4B24">
        <w:t xml:space="preserve"> 2013</w:t>
      </w:r>
      <w:r w:rsidR="001042CD">
        <w:t>) investigated</w:t>
      </w:r>
      <w:r w:rsidR="00BE4B24">
        <w:t xml:space="preserve"> internal STHAC units and found that units containing R290 refrigerant exhibited HRRs around 1000 kW. </w:t>
      </w:r>
      <w:r w:rsidR="00EC4FF1">
        <w:t xml:space="preserve">Interestingly, a similar value was found for R22, an </w:t>
      </w:r>
      <w:r w:rsidR="00165776">
        <w:t>A1-class</w:t>
      </w:r>
      <w:r w:rsidR="00EC4FF1">
        <w:t xml:space="preserve"> refrigerant. </w:t>
      </w:r>
      <w:r w:rsidR="00BE4B24">
        <w:t>These results</w:t>
      </w:r>
      <w:r w:rsidR="00EC4FF1">
        <w:t xml:space="preserve">, reported </w:t>
      </w:r>
      <w:r w:rsidR="00AE4183">
        <w:t>together</w:t>
      </w:r>
      <w:r w:rsidR="00EC4FF1">
        <w:t xml:space="preserve"> with experimental fire load in Table 3,</w:t>
      </w:r>
      <w:r w:rsidR="00BE4B24">
        <w:t xml:space="preserve"> indicate that refrigerants</w:t>
      </w:r>
      <w:r w:rsidR="002B1384">
        <w:t xml:space="preserve"> </w:t>
      </w:r>
      <w:r w:rsidR="00BE4B24">
        <w:t xml:space="preserve">can intensify fire </w:t>
      </w:r>
      <w:r w:rsidR="00EC4FF1">
        <w:t>behavior</w:t>
      </w:r>
      <w:r w:rsidR="00BE4B24">
        <w:t xml:space="preserve">. </w:t>
      </w:r>
    </w:p>
    <w:p w14:paraId="35398F61" w14:textId="77777777" w:rsidR="00D038A7" w:rsidRDefault="00D038A7" w:rsidP="000D074C">
      <w:pPr>
        <w:pStyle w:val="CETBodytext"/>
        <w:rPr>
          <w:i/>
          <w:iCs/>
        </w:rPr>
      </w:pPr>
    </w:p>
    <w:p w14:paraId="495CAD06" w14:textId="1D2F28B6" w:rsidR="00CC0684" w:rsidRPr="00D10FCD" w:rsidRDefault="00CC0684" w:rsidP="000D074C">
      <w:pPr>
        <w:pStyle w:val="CETBodytext"/>
        <w:rPr>
          <w:i/>
          <w:iCs/>
        </w:rPr>
      </w:pPr>
      <w:r w:rsidRPr="00D10FCD">
        <w:rPr>
          <w:i/>
          <w:iCs/>
        </w:rPr>
        <w:t xml:space="preserve">Table </w:t>
      </w:r>
      <w:r w:rsidR="00D23A36">
        <w:rPr>
          <w:i/>
          <w:iCs/>
        </w:rPr>
        <w:t>3</w:t>
      </w:r>
      <w:r w:rsidRPr="00D10FCD">
        <w:rPr>
          <w:i/>
          <w:iCs/>
        </w:rPr>
        <w:t xml:space="preserve">: </w:t>
      </w:r>
      <w:r w:rsidR="00D23A36">
        <w:rPr>
          <w:i/>
          <w:iCs/>
        </w:rPr>
        <w:t>Experimental Fire Load and HRR of RACHP equipment</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5"/>
        <w:gridCol w:w="1984"/>
        <w:gridCol w:w="1560"/>
        <w:gridCol w:w="2268"/>
      </w:tblGrid>
      <w:tr w:rsidR="00CC0684" w:rsidRPr="00B57B36" w14:paraId="33D5B4AF" w14:textId="77777777" w:rsidTr="00451E6C">
        <w:tc>
          <w:tcPr>
            <w:tcW w:w="1985" w:type="dxa"/>
            <w:tcBorders>
              <w:top w:val="single" w:sz="12" w:space="0" w:color="008000"/>
              <w:bottom w:val="single" w:sz="6" w:space="0" w:color="008000"/>
            </w:tcBorders>
            <w:shd w:val="clear" w:color="auto" w:fill="FFFFFF"/>
          </w:tcPr>
          <w:p w14:paraId="03669A39" w14:textId="77777777" w:rsidR="00CC0684" w:rsidRPr="00B57B36" w:rsidRDefault="00CC0684" w:rsidP="00AC0C92">
            <w:pPr>
              <w:pStyle w:val="CETBodytext"/>
              <w:rPr>
                <w:lang w:val="en-GB"/>
              </w:rPr>
            </w:pPr>
            <w:r>
              <w:rPr>
                <w:lang w:val="en-GB"/>
              </w:rPr>
              <w:t>Study</w:t>
            </w:r>
          </w:p>
        </w:tc>
        <w:tc>
          <w:tcPr>
            <w:tcW w:w="1984" w:type="dxa"/>
            <w:tcBorders>
              <w:top w:val="single" w:sz="12" w:space="0" w:color="008000"/>
              <w:bottom w:val="single" w:sz="6" w:space="0" w:color="008000"/>
            </w:tcBorders>
            <w:shd w:val="clear" w:color="auto" w:fill="FFFFFF"/>
          </w:tcPr>
          <w:p w14:paraId="1237246C" w14:textId="182BC4FE" w:rsidR="00CC0684" w:rsidRPr="00B57B36" w:rsidRDefault="00D23A36" w:rsidP="00AC0C92">
            <w:pPr>
              <w:pStyle w:val="CETBodytext"/>
              <w:jc w:val="center"/>
              <w:rPr>
                <w:lang w:val="en-GB"/>
              </w:rPr>
            </w:pPr>
            <w:r>
              <w:t>RACHP Equipment</w:t>
            </w:r>
          </w:p>
        </w:tc>
        <w:tc>
          <w:tcPr>
            <w:tcW w:w="1560" w:type="dxa"/>
            <w:tcBorders>
              <w:top w:val="single" w:sz="12" w:space="0" w:color="008000"/>
              <w:bottom w:val="single" w:sz="6" w:space="0" w:color="008000"/>
            </w:tcBorders>
            <w:shd w:val="clear" w:color="auto" w:fill="FFFFFF"/>
          </w:tcPr>
          <w:p w14:paraId="687D010C" w14:textId="4C38FCD0" w:rsidR="00CC0684" w:rsidRPr="00B57B36" w:rsidRDefault="00D23A36" w:rsidP="00AC0C92">
            <w:pPr>
              <w:pStyle w:val="CETBodytext"/>
              <w:jc w:val="center"/>
              <w:rPr>
                <w:lang w:val="en-GB"/>
              </w:rPr>
            </w:pPr>
            <w:r>
              <w:rPr>
                <w:lang w:val="en-GB"/>
              </w:rPr>
              <w:t>Fire Load (MJ)</w:t>
            </w:r>
          </w:p>
        </w:tc>
        <w:tc>
          <w:tcPr>
            <w:tcW w:w="2268" w:type="dxa"/>
            <w:tcBorders>
              <w:top w:val="single" w:sz="12" w:space="0" w:color="008000"/>
              <w:bottom w:val="single" w:sz="6" w:space="0" w:color="008000"/>
            </w:tcBorders>
            <w:shd w:val="clear" w:color="auto" w:fill="FFFFFF"/>
          </w:tcPr>
          <w:p w14:paraId="1E9E23F2" w14:textId="6D042ADB" w:rsidR="00CC0684" w:rsidRPr="00B57B36" w:rsidRDefault="00D23A36" w:rsidP="00AC0C92">
            <w:pPr>
              <w:pStyle w:val="CETBodytext"/>
              <w:ind w:right="-1"/>
              <w:jc w:val="center"/>
              <w:rPr>
                <w:rFonts w:cs="Arial"/>
                <w:szCs w:val="18"/>
                <w:lang w:val="en-GB"/>
              </w:rPr>
            </w:pPr>
            <w:r>
              <w:t>Peak HRR (kW)</w:t>
            </w:r>
          </w:p>
        </w:tc>
      </w:tr>
      <w:tr w:rsidR="00451E6C" w:rsidRPr="00B57B36" w14:paraId="73C5CBB9" w14:textId="77777777" w:rsidTr="00451E6C">
        <w:tc>
          <w:tcPr>
            <w:tcW w:w="1985" w:type="dxa"/>
            <w:vMerge w:val="restart"/>
            <w:shd w:val="clear" w:color="auto" w:fill="FFFFFF"/>
            <w:vAlign w:val="center"/>
          </w:tcPr>
          <w:p w14:paraId="28817923" w14:textId="00A22622" w:rsidR="00451E6C" w:rsidRPr="00B57B36" w:rsidRDefault="00451E6C" w:rsidP="00451E6C">
            <w:pPr>
              <w:pStyle w:val="CETBodytext"/>
              <w:jc w:val="left"/>
              <w:rPr>
                <w:lang w:val="en-GB"/>
              </w:rPr>
            </w:pPr>
            <w:r>
              <w:t>Hietaniemi et al., 2001</w:t>
            </w:r>
          </w:p>
        </w:tc>
        <w:tc>
          <w:tcPr>
            <w:tcW w:w="1984" w:type="dxa"/>
            <w:vMerge w:val="restart"/>
            <w:shd w:val="clear" w:color="auto" w:fill="FFFFFF"/>
            <w:vAlign w:val="center"/>
          </w:tcPr>
          <w:p w14:paraId="0A110C35" w14:textId="117F7C6A" w:rsidR="00451E6C" w:rsidRPr="00B57B36" w:rsidRDefault="00451E6C" w:rsidP="00451E6C">
            <w:pPr>
              <w:pStyle w:val="CETBodytext"/>
              <w:jc w:val="center"/>
              <w:rPr>
                <w:lang w:val="en-GB"/>
              </w:rPr>
            </w:pPr>
            <w:r>
              <w:rPr>
                <w:lang w:val="en-GB"/>
              </w:rPr>
              <w:t>4 refrigerators</w:t>
            </w:r>
          </w:p>
        </w:tc>
        <w:tc>
          <w:tcPr>
            <w:tcW w:w="1560" w:type="dxa"/>
            <w:shd w:val="clear" w:color="auto" w:fill="FFFFFF"/>
          </w:tcPr>
          <w:p w14:paraId="4B0E1496" w14:textId="4406F626" w:rsidR="00451E6C" w:rsidRPr="00451E6C" w:rsidRDefault="00451E6C" w:rsidP="00AC0C92">
            <w:pPr>
              <w:pStyle w:val="CETBodytext"/>
              <w:jc w:val="center"/>
              <w:rPr>
                <w:rFonts w:cs="Arial"/>
                <w:lang w:val="en-GB"/>
              </w:rPr>
            </w:pPr>
            <w:r w:rsidRPr="00451E6C">
              <w:rPr>
                <w:rFonts w:cs="Arial"/>
                <w:lang w:val="en-GB"/>
              </w:rPr>
              <w:t>506</w:t>
            </w:r>
          </w:p>
        </w:tc>
        <w:tc>
          <w:tcPr>
            <w:tcW w:w="2268" w:type="dxa"/>
            <w:shd w:val="clear" w:color="auto" w:fill="FFFFFF"/>
          </w:tcPr>
          <w:p w14:paraId="76389555" w14:textId="3324A385" w:rsidR="00451E6C" w:rsidRPr="00451E6C" w:rsidRDefault="00451E6C" w:rsidP="00AC0C92">
            <w:pPr>
              <w:pStyle w:val="CETBodytext"/>
              <w:ind w:right="-1"/>
              <w:jc w:val="center"/>
              <w:rPr>
                <w:rFonts w:cs="Arial"/>
                <w:szCs w:val="18"/>
                <w:lang w:val="en-GB"/>
              </w:rPr>
            </w:pPr>
            <w:r w:rsidRPr="00451E6C">
              <w:rPr>
                <w:rFonts w:cs="Arial"/>
              </w:rPr>
              <w:t>2125</w:t>
            </w:r>
          </w:p>
        </w:tc>
      </w:tr>
      <w:tr w:rsidR="00451E6C" w:rsidRPr="00B57B36" w14:paraId="63132BF9" w14:textId="77777777" w:rsidTr="00451E6C">
        <w:tc>
          <w:tcPr>
            <w:tcW w:w="1985" w:type="dxa"/>
            <w:vMerge/>
            <w:shd w:val="clear" w:color="auto" w:fill="FFFFFF"/>
          </w:tcPr>
          <w:p w14:paraId="45BDA62D" w14:textId="77777777" w:rsidR="00451E6C" w:rsidRDefault="00451E6C" w:rsidP="00AC0C92">
            <w:pPr>
              <w:pStyle w:val="CETBodytext"/>
            </w:pPr>
          </w:p>
        </w:tc>
        <w:tc>
          <w:tcPr>
            <w:tcW w:w="1984" w:type="dxa"/>
            <w:vMerge/>
            <w:shd w:val="clear" w:color="auto" w:fill="FFFFFF"/>
          </w:tcPr>
          <w:p w14:paraId="179CD4F5" w14:textId="77777777" w:rsidR="00451E6C" w:rsidRDefault="00451E6C" w:rsidP="00AC0C92">
            <w:pPr>
              <w:pStyle w:val="CETBodytext"/>
              <w:jc w:val="center"/>
              <w:rPr>
                <w:lang w:val="en-GB"/>
              </w:rPr>
            </w:pPr>
          </w:p>
        </w:tc>
        <w:tc>
          <w:tcPr>
            <w:tcW w:w="1560" w:type="dxa"/>
            <w:shd w:val="clear" w:color="auto" w:fill="FFFFFF"/>
          </w:tcPr>
          <w:p w14:paraId="76A26EDA" w14:textId="7AC52684" w:rsidR="00451E6C" w:rsidRPr="00451E6C" w:rsidRDefault="00451E6C" w:rsidP="00AC0C92">
            <w:pPr>
              <w:pStyle w:val="CETBodytext"/>
              <w:jc w:val="center"/>
              <w:rPr>
                <w:rFonts w:cs="Arial"/>
                <w:lang w:val="en-GB"/>
              </w:rPr>
            </w:pPr>
            <w:r w:rsidRPr="00451E6C">
              <w:rPr>
                <w:rFonts w:cs="Arial"/>
                <w:lang w:val="en-GB"/>
              </w:rPr>
              <w:t>402</w:t>
            </w:r>
          </w:p>
        </w:tc>
        <w:tc>
          <w:tcPr>
            <w:tcW w:w="2268" w:type="dxa"/>
            <w:shd w:val="clear" w:color="auto" w:fill="FFFFFF"/>
          </w:tcPr>
          <w:p w14:paraId="508395B5" w14:textId="08320D3A" w:rsidR="00451E6C" w:rsidRPr="00451E6C" w:rsidRDefault="00451E6C" w:rsidP="00AC0C92">
            <w:pPr>
              <w:pStyle w:val="CETBodytext"/>
              <w:ind w:right="-1"/>
              <w:jc w:val="center"/>
              <w:rPr>
                <w:rFonts w:cs="Arial"/>
              </w:rPr>
            </w:pPr>
            <w:r w:rsidRPr="00451E6C">
              <w:rPr>
                <w:rFonts w:cs="Arial"/>
              </w:rPr>
              <w:t>1816</w:t>
            </w:r>
          </w:p>
        </w:tc>
      </w:tr>
      <w:tr w:rsidR="00451E6C" w:rsidRPr="00B57B36" w14:paraId="7F419E57" w14:textId="77777777" w:rsidTr="00451E6C">
        <w:tc>
          <w:tcPr>
            <w:tcW w:w="1985" w:type="dxa"/>
            <w:vMerge/>
            <w:shd w:val="clear" w:color="auto" w:fill="FFFFFF"/>
          </w:tcPr>
          <w:p w14:paraId="40094F17" w14:textId="77777777" w:rsidR="00451E6C" w:rsidRDefault="00451E6C" w:rsidP="00AC0C92">
            <w:pPr>
              <w:pStyle w:val="CETBodytext"/>
            </w:pPr>
          </w:p>
        </w:tc>
        <w:tc>
          <w:tcPr>
            <w:tcW w:w="1984" w:type="dxa"/>
            <w:vMerge/>
            <w:shd w:val="clear" w:color="auto" w:fill="FFFFFF"/>
          </w:tcPr>
          <w:p w14:paraId="402BE9FD" w14:textId="77777777" w:rsidR="00451E6C" w:rsidRDefault="00451E6C" w:rsidP="00AC0C92">
            <w:pPr>
              <w:pStyle w:val="CETBodytext"/>
              <w:jc w:val="center"/>
              <w:rPr>
                <w:lang w:val="en-GB"/>
              </w:rPr>
            </w:pPr>
          </w:p>
        </w:tc>
        <w:tc>
          <w:tcPr>
            <w:tcW w:w="1560" w:type="dxa"/>
            <w:shd w:val="clear" w:color="auto" w:fill="FFFFFF"/>
          </w:tcPr>
          <w:p w14:paraId="6FBC776F" w14:textId="3B604B86" w:rsidR="00451E6C" w:rsidRPr="00451E6C" w:rsidRDefault="00451E6C" w:rsidP="00AC0C92">
            <w:pPr>
              <w:pStyle w:val="CETBodytext"/>
              <w:jc w:val="center"/>
              <w:rPr>
                <w:rFonts w:cs="Arial"/>
                <w:lang w:val="en-GB"/>
              </w:rPr>
            </w:pPr>
            <w:r w:rsidRPr="00451E6C">
              <w:rPr>
                <w:rFonts w:cs="Arial"/>
                <w:lang w:val="en-GB"/>
              </w:rPr>
              <w:t>611</w:t>
            </w:r>
          </w:p>
        </w:tc>
        <w:tc>
          <w:tcPr>
            <w:tcW w:w="2268" w:type="dxa"/>
            <w:shd w:val="clear" w:color="auto" w:fill="FFFFFF"/>
          </w:tcPr>
          <w:p w14:paraId="2C3EC613" w14:textId="1911679D" w:rsidR="00451E6C" w:rsidRPr="00451E6C" w:rsidRDefault="00451E6C" w:rsidP="00AC0C92">
            <w:pPr>
              <w:pStyle w:val="CETBodytext"/>
              <w:ind w:right="-1"/>
              <w:jc w:val="center"/>
              <w:rPr>
                <w:rFonts w:cs="Arial"/>
              </w:rPr>
            </w:pPr>
            <w:r w:rsidRPr="00451E6C">
              <w:rPr>
                <w:rFonts w:cs="Arial"/>
              </w:rPr>
              <w:t>1148</w:t>
            </w:r>
          </w:p>
        </w:tc>
      </w:tr>
      <w:tr w:rsidR="00451E6C" w:rsidRPr="00B57B36" w14:paraId="2870FA36" w14:textId="77777777" w:rsidTr="00451E6C">
        <w:tc>
          <w:tcPr>
            <w:tcW w:w="1985" w:type="dxa"/>
            <w:vMerge/>
            <w:shd w:val="clear" w:color="auto" w:fill="FFFFFF"/>
          </w:tcPr>
          <w:p w14:paraId="2DC6BB77" w14:textId="77777777" w:rsidR="00451E6C" w:rsidRDefault="00451E6C" w:rsidP="00AC0C92">
            <w:pPr>
              <w:pStyle w:val="CETBodytext"/>
            </w:pPr>
          </w:p>
        </w:tc>
        <w:tc>
          <w:tcPr>
            <w:tcW w:w="1984" w:type="dxa"/>
            <w:vMerge/>
            <w:shd w:val="clear" w:color="auto" w:fill="FFFFFF"/>
          </w:tcPr>
          <w:p w14:paraId="3C128F62" w14:textId="77777777" w:rsidR="00451E6C" w:rsidRDefault="00451E6C" w:rsidP="00AC0C92">
            <w:pPr>
              <w:pStyle w:val="CETBodytext"/>
              <w:jc w:val="center"/>
              <w:rPr>
                <w:lang w:val="en-GB"/>
              </w:rPr>
            </w:pPr>
          </w:p>
        </w:tc>
        <w:tc>
          <w:tcPr>
            <w:tcW w:w="1560" w:type="dxa"/>
            <w:shd w:val="clear" w:color="auto" w:fill="FFFFFF"/>
          </w:tcPr>
          <w:p w14:paraId="2F13838F" w14:textId="6E368D33" w:rsidR="00451E6C" w:rsidRPr="00451E6C" w:rsidRDefault="00451E6C" w:rsidP="00AC0C92">
            <w:pPr>
              <w:pStyle w:val="CETBodytext"/>
              <w:jc w:val="center"/>
              <w:rPr>
                <w:rFonts w:cs="Arial"/>
                <w:lang w:val="en-GB"/>
              </w:rPr>
            </w:pPr>
            <w:r w:rsidRPr="00451E6C">
              <w:rPr>
                <w:rFonts w:cs="Arial"/>
                <w:lang w:val="en-GB"/>
              </w:rPr>
              <w:t>286</w:t>
            </w:r>
          </w:p>
        </w:tc>
        <w:tc>
          <w:tcPr>
            <w:tcW w:w="2268" w:type="dxa"/>
            <w:shd w:val="clear" w:color="auto" w:fill="FFFFFF"/>
          </w:tcPr>
          <w:p w14:paraId="1AAAE070" w14:textId="78EE387C" w:rsidR="00451E6C" w:rsidRPr="00451E6C" w:rsidRDefault="00451E6C" w:rsidP="00AC0C92">
            <w:pPr>
              <w:pStyle w:val="CETBodytext"/>
              <w:ind w:right="-1"/>
              <w:jc w:val="center"/>
              <w:rPr>
                <w:rFonts w:cs="Arial"/>
              </w:rPr>
            </w:pPr>
            <w:r w:rsidRPr="00451E6C">
              <w:rPr>
                <w:rFonts w:cs="Arial"/>
              </w:rPr>
              <w:t>1904</w:t>
            </w:r>
          </w:p>
        </w:tc>
      </w:tr>
      <w:tr w:rsidR="00451E6C" w:rsidRPr="00B57B36" w14:paraId="6897F14F" w14:textId="77777777" w:rsidTr="00451E6C">
        <w:tc>
          <w:tcPr>
            <w:tcW w:w="1985" w:type="dxa"/>
            <w:vMerge w:val="restart"/>
            <w:shd w:val="clear" w:color="auto" w:fill="FFFFFF"/>
            <w:vAlign w:val="center"/>
          </w:tcPr>
          <w:p w14:paraId="06255D24" w14:textId="3FE1DA5F" w:rsidR="00451E6C" w:rsidRPr="00B57B36" w:rsidRDefault="00451E6C" w:rsidP="00451E6C">
            <w:pPr>
              <w:pStyle w:val="CETBodytext"/>
              <w:ind w:right="-1"/>
              <w:jc w:val="left"/>
              <w:rPr>
                <w:rFonts w:cs="Arial"/>
                <w:szCs w:val="18"/>
                <w:lang w:val="en-GB"/>
              </w:rPr>
            </w:pPr>
            <w:r>
              <w:t>Zhang et al., 2013</w:t>
            </w:r>
          </w:p>
        </w:tc>
        <w:tc>
          <w:tcPr>
            <w:tcW w:w="1984" w:type="dxa"/>
            <w:shd w:val="clear" w:color="auto" w:fill="FFFFFF"/>
          </w:tcPr>
          <w:p w14:paraId="6272D4F7" w14:textId="1F503E7E" w:rsidR="00451E6C" w:rsidRPr="00B57B36" w:rsidRDefault="00451E6C" w:rsidP="00AC0C92">
            <w:pPr>
              <w:pStyle w:val="CETBodytext"/>
              <w:ind w:right="-1"/>
              <w:jc w:val="center"/>
              <w:rPr>
                <w:rFonts w:cs="Arial"/>
                <w:szCs w:val="18"/>
                <w:lang w:val="en-GB"/>
              </w:rPr>
            </w:pPr>
            <w:r>
              <w:rPr>
                <w:rFonts w:cs="Arial"/>
                <w:szCs w:val="18"/>
                <w:lang w:val="en-GB"/>
              </w:rPr>
              <w:t>STHAC – no refrigerant</w:t>
            </w:r>
          </w:p>
        </w:tc>
        <w:tc>
          <w:tcPr>
            <w:tcW w:w="1560" w:type="dxa"/>
            <w:shd w:val="clear" w:color="auto" w:fill="FFFFFF"/>
          </w:tcPr>
          <w:p w14:paraId="6A60EBFB" w14:textId="5D720D33" w:rsidR="00451E6C" w:rsidRPr="00451E6C" w:rsidRDefault="00451E6C" w:rsidP="00AC0C92">
            <w:pPr>
              <w:pStyle w:val="CETBodytext"/>
              <w:ind w:right="-1"/>
              <w:jc w:val="center"/>
              <w:rPr>
                <w:rFonts w:cs="Arial"/>
                <w:szCs w:val="18"/>
                <w:lang w:val="en-GB"/>
              </w:rPr>
            </w:pPr>
            <w:r w:rsidRPr="00451E6C">
              <w:rPr>
                <w:rFonts w:cs="Arial"/>
                <w:szCs w:val="18"/>
                <w:lang w:val="en-GB"/>
              </w:rPr>
              <w:t>111</w:t>
            </w:r>
          </w:p>
        </w:tc>
        <w:tc>
          <w:tcPr>
            <w:tcW w:w="2268" w:type="dxa"/>
            <w:shd w:val="clear" w:color="auto" w:fill="FFFFFF"/>
          </w:tcPr>
          <w:p w14:paraId="2349FDBD" w14:textId="224A3C18" w:rsidR="00451E6C" w:rsidRPr="00451E6C" w:rsidRDefault="00451E6C" w:rsidP="00AC0C92">
            <w:pPr>
              <w:pStyle w:val="CETBodytext"/>
              <w:ind w:right="-1"/>
              <w:jc w:val="center"/>
              <w:rPr>
                <w:rFonts w:cs="Arial"/>
                <w:szCs w:val="18"/>
                <w:lang w:val="en-GB"/>
              </w:rPr>
            </w:pPr>
            <w:r w:rsidRPr="00451E6C">
              <w:rPr>
                <w:rFonts w:cs="Arial"/>
              </w:rPr>
              <w:t>≈400</w:t>
            </w:r>
          </w:p>
        </w:tc>
      </w:tr>
      <w:tr w:rsidR="00451E6C" w:rsidRPr="00B57B36" w14:paraId="391F8FA7" w14:textId="77777777" w:rsidTr="00451E6C">
        <w:tc>
          <w:tcPr>
            <w:tcW w:w="1985" w:type="dxa"/>
            <w:vMerge/>
            <w:shd w:val="clear" w:color="auto" w:fill="FFFFFF"/>
          </w:tcPr>
          <w:p w14:paraId="6961FEB6" w14:textId="77777777" w:rsidR="00451E6C" w:rsidRDefault="00451E6C" w:rsidP="00451E6C">
            <w:pPr>
              <w:pStyle w:val="CETBodytext"/>
              <w:ind w:right="-1"/>
            </w:pPr>
          </w:p>
        </w:tc>
        <w:tc>
          <w:tcPr>
            <w:tcW w:w="1984" w:type="dxa"/>
            <w:shd w:val="clear" w:color="auto" w:fill="FFFFFF"/>
          </w:tcPr>
          <w:p w14:paraId="6F7582E0" w14:textId="352F4436" w:rsidR="00451E6C" w:rsidRDefault="00451E6C" w:rsidP="00451E6C">
            <w:pPr>
              <w:pStyle w:val="CETBodytext"/>
              <w:ind w:right="-1"/>
              <w:jc w:val="center"/>
              <w:rPr>
                <w:rFonts w:cs="Arial"/>
                <w:szCs w:val="18"/>
                <w:lang w:val="en-GB"/>
              </w:rPr>
            </w:pPr>
            <w:r>
              <w:rPr>
                <w:rFonts w:cs="Arial"/>
                <w:szCs w:val="18"/>
                <w:lang w:val="en-GB"/>
              </w:rPr>
              <w:t>STHAC – R22</w:t>
            </w:r>
          </w:p>
        </w:tc>
        <w:tc>
          <w:tcPr>
            <w:tcW w:w="1560" w:type="dxa"/>
            <w:shd w:val="clear" w:color="auto" w:fill="FFFFFF"/>
          </w:tcPr>
          <w:p w14:paraId="0A2AC7C2" w14:textId="4F2A39AE" w:rsidR="00451E6C" w:rsidRPr="00451E6C" w:rsidRDefault="00451E6C" w:rsidP="00451E6C">
            <w:pPr>
              <w:pStyle w:val="CETBodytext"/>
              <w:ind w:right="-1"/>
              <w:jc w:val="center"/>
              <w:rPr>
                <w:rFonts w:cs="Arial"/>
                <w:szCs w:val="18"/>
                <w:lang w:val="en-GB"/>
              </w:rPr>
            </w:pPr>
            <w:r w:rsidRPr="00451E6C">
              <w:rPr>
                <w:rFonts w:cs="Arial"/>
                <w:szCs w:val="18"/>
                <w:lang w:val="en-GB"/>
              </w:rPr>
              <w:t>100</w:t>
            </w:r>
          </w:p>
        </w:tc>
        <w:tc>
          <w:tcPr>
            <w:tcW w:w="2268" w:type="dxa"/>
            <w:shd w:val="clear" w:color="auto" w:fill="FFFFFF"/>
          </w:tcPr>
          <w:p w14:paraId="263E2509" w14:textId="7DD31E4C" w:rsidR="00451E6C" w:rsidRPr="00451E6C" w:rsidRDefault="00451E6C" w:rsidP="00451E6C">
            <w:pPr>
              <w:pStyle w:val="CETBodytext"/>
              <w:ind w:right="-1"/>
              <w:jc w:val="center"/>
              <w:rPr>
                <w:rFonts w:cs="Arial"/>
              </w:rPr>
            </w:pPr>
            <w:r w:rsidRPr="00451E6C">
              <w:rPr>
                <w:rFonts w:cs="Arial"/>
              </w:rPr>
              <w:t>≈1000</w:t>
            </w:r>
          </w:p>
        </w:tc>
      </w:tr>
      <w:tr w:rsidR="00451E6C" w:rsidRPr="00B57B36" w14:paraId="337DB55C" w14:textId="77777777" w:rsidTr="00451E6C">
        <w:tc>
          <w:tcPr>
            <w:tcW w:w="1985" w:type="dxa"/>
            <w:vMerge/>
            <w:shd w:val="clear" w:color="auto" w:fill="FFFFFF"/>
          </w:tcPr>
          <w:p w14:paraId="6E28F956" w14:textId="77777777" w:rsidR="00451E6C" w:rsidRDefault="00451E6C" w:rsidP="00451E6C">
            <w:pPr>
              <w:pStyle w:val="CETBodytext"/>
              <w:ind w:right="-1"/>
            </w:pPr>
          </w:p>
        </w:tc>
        <w:tc>
          <w:tcPr>
            <w:tcW w:w="1984" w:type="dxa"/>
            <w:shd w:val="clear" w:color="auto" w:fill="FFFFFF"/>
          </w:tcPr>
          <w:p w14:paraId="34F24EB4" w14:textId="1031FC44" w:rsidR="00451E6C" w:rsidRDefault="00451E6C" w:rsidP="00451E6C">
            <w:pPr>
              <w:pStyle w:val="CETBodytext"/>
              <w:ind w:right="-1"/>
              <w:jc w:val="center"/>
              <w:rPr>
                <w:rFonts w:cs="Arial"/>
                <w:szCs w:val="18"/>
                <w:lang w:val="en-GB"/>
              </w:rPr>
            </w:pPr>
            <w:r>
              <w:rPr>
                <w:rFonts w:cs="Arial"/>
                <w:szCs w:val="18"/>
                <w:lang w:val="en-GB"/>
              </w:rPr>
              <w:t>STHAC – R290</w:t>
            </w:r>
          </w:p>
        </w:tc>
        <w:tc>
          <w:tcPr>
            <w:tcW w:w="1560" w:type="dxa"/>
            <w:shd w:val="clear" w:color="auto" w:fill="FFFFFF"/>
          </w:tcPr>
          <w:p w14:paraId="4EC22FF9" w14:textId="5FBDFA7A" w:rsidR="00451E6C" w:rsidRPr="00451E6C" w:rsidRDefault="00451E6C" w:rsidP="00451E6C">
            <w:pPr>
              <w:pStyle w:val="CETBodytext"/>
              <w:ind w:right="-1"/>
              <w:jc w:val="center"/>
              <w:rPr>
                <w:rFonts w:cs="Arial"/>
                <w:szCs w:val="18"/>
                <w:lang w:val="en-GB"/>
              </w:rPr>
            </w:pPr>
            <w:r w:rsidRPr="00451E6C">
              <w:rPr>
                <w:rFonts w:cs="Arial"/>
                <w:szCs w:val="18"/>
                <w:lang w:val="en-GB"/>
              </w:rPr>
              <w:t>131</w:t>
            </w:r>
          </w:p>
        </w:tc>
        <w:tc>
          <w:tcPr>
            <w:tcW w:w="2268" w:type="dxa"/>
            <w:shd w:val="clear" w:color="auto" w:fill="FFFFFF"/>
          </w:tcPr>
          <w:p w14:paraId="0AB74278" w14:textId="4B46762F" w:rsidR="00451E6C" w:rsidRPr="00451E6C" w:rsidRDefault="00451E6C" w:rsidP="00451E6C">
            <w:pPr>
              <w:pStyle w:val="CETBodytext"/>
              <w:ind w:right="-1"/>
              <w:jc w:val="center"/>
              <w:rPr>
                <w:rFonts w:cs="Arial"/>
              </w:rPr>
            </w:pPr>
            <w:r w:rsidRPr="00451E6C">
              <w:rPr>
                <w:rFonts w:cs="Arial"/>
              </w:rPr>
              <w:t>≈1000</w:t>
            </w:r>
          </w:p>
        </w:tc>
      </w:tr>
    </w:tbl>
    <w:p w14:paraId="73F33E76" w14:textId="77777777" w:rsidR="00EC4FF1" w:rsidRDefault="00EC4FF1" w:rsidP="003829F3">
      <w:pPr>
        <w:pStyle w:val="CETBodytext"/>
      </w:pPr>
    </w:p>
    <w:p w14:paraId="715F3185" w14:textId="6E0D994E" w:rsidR="00BE4B24" w:rsidRDefault="00EC4FF1" w:rsidP="003829F3">
      <w:pPr>
        <w:pStyle w:val="CETBodytext"/>
      </w:pPr>
      <w:r>
        <w:t>Compared</w:t>
      </w:r>
      <w:r w:rsidR="00BE4B24">
        <w:t xml:space="preserve"> to other common household appliances, the HRR values for RACHP systems are relatively high. For example, washing machines and dishwashers were found to produce peak HRRs of 333 kW and 548 kW, respectively </w:t>
      </w:r>
      <w:r w:rsidR="00451E6C">
        <w:t>(Hietaniemi et al, 2001)</w:t>
      </w:r>
      <w:r w:rsidR="00BE4B24">
        <w:t xml:space="preserve">. Electric printers and televisions tested in other studies produced maximum HRRs of around 100 kW and 306 kW, </w:t>
      </w:r>
      <w:r w:rsidR="00BE4B24" w:rsidRPr="009019DE">
        <w:t xml:space="preserve">respectively </w:t>
      </w:r>
      <w:r w:rsidR="002E1870" w:rsidRPr="009019DE">
        <w:t>(Simonson et al., 2004).</w:t>
      </w:r>
      <w:r w:rsidR="002E1870">
        <w:t xml:space="preserve"> </w:t>
      </w:r>
      <w:r w:rsidR="00BE4B24">
        <w:t>This comparison highlights that RACHP systems, particularly those with flammable refrigerants, are among the more intense heat-producing appliances during a fire</w:t>
      </w:r>
      <w:r w:rsidR="00BE4B24" w:rsidRPr="00451E6C">
        <w:t xml:space="preserve">. This HRR can contribute to rapid fire </w:t>
      </w:r>
      <w:r w:rsidR="00451E6C" w:rsidRPr="00451E6C">
        <w:t>growth,</w:t>
      </w:r>
      <w:r w:rsidR="00BE4B24" w:rsidRPr="00451E6C">
        <w:t xml:space="preserve"> </w:t>
      </w:r>
      <w:r w:rsidR="0068302D" w:rsidRPr="00451E6C">
        <w:t xml:space="preserve">and it is close to the required HRR for flashover according to the </w:t>
      </w:r>
      <w:r w:rsidR="00451E6C" w:rsidRPr="00451E6C">
        <w:t>results</w:t>
      </w:r>
      <w:r w:rsidR="0068302D" w:rsidRPr="00451E6C">
        <w:t xml:space="preserve"> of (Dundar et al., 2023)</w:t>
      </w:r>
      <w:r w:rsidR="00451E6C" w:rsidRPr="00451E6C">
        <w:t>, which can be as low as 1900 kW</w:t>
      </w:r>
      <w:r w:rsidR="00BE4B24" w:rsidRPr="00451E6C">
        <w:t>.</w:t>
      </w:r>
      <w:r w:rsidR="003B6957" w:rsidRPr="00451E6C">
        <w:t xml:space="preserve"> </w:t>
      </w:r>
      <w:r w:rsidR="0068302D" w:rsidRPr="00451E6C">
        <w:t xml:space="preserve">According to the same study, </w:t>
      </w:r>
      <w:r w:rsidR="00451E6C" w:rsidRPr="00451E6C">
        <w:t xml:space="preserve">which involved simulations of fires in apartment-type </w:t>
      </w:r>
      <w:r w:rsidR="004B6260" w:rsidRPr="00451E6C">
        <w:t>dwellings, average</w:t>
      </w:r>
      <w:r w:rsidR="00BE4B24" w:rsidRPr="00451E6C">
        <w:t xml:space="preserve"> fire load densities range from 526 to 460 MJ/m² with peak HRRs reaching between 8 </w:t>
      </w:r>
      <w:r w:rsidR="00211933">
        <w:t>and</w:t>
      </w:r>
      <w:r w:rsidR="00BE4B24" w:rsidRPr="00451E6C">
        <w:t xml:space="preserve"> 25 MW</w:t>
      </w:r>
      <w:r w:rsidR="00451E6C" w:rsidRPr="00451E6C">
        <w:t xml:space="preserve"> (Dundar et al., 2023)</w:t>
      </w:r>
      <w:r w:rsidR="00BE4B24" w:rsidRPr="00451E6C">
        <w:t xml:space="preserve">. </w:t>
      </w:r>
      <w:r w:rsidR="00A83984">
        <w:t>Hence</w:t>
      </w:r>
      <w:r w:rsidR="00BE4B24" w:rsidRPr="00451E6C">
        <w:t xml:space="preserve"> RACHP equipment alone </w:t>
      </w:r>
      <w:r w:rsidRPr="00451E6C">
        <w:t xml:space="preserve">does not significantly contribute to fire load, </w:t>
      </w:r>
      <w:r w:rsidR="00A83984">
        <w:t xml:space="preserve">but </w:t>
      </w:r>
      <w:r w:rsidRPr="00451E6C">
        <w:t>their</w:t>
      </w:r>
      <w:r w:rsidR="00BE4B24" w:rsidRPr="00451E6C">
        <w:t xml:space="preserve"> peak </w:t>
      </w:r>
      <w:r w:rsidR="000749C4" w:rsidRPr="00451E6C">
        <w:t>HRR can</w:t>
      </w:r>
      <w:r w:rsidR="00BE4B24" w:rsidRPr="00451E6C">
        <w:t xml:space="preserve"> </w:t>
      </w:r>
      <w:r w:rsidRPr="00451E6C">
        <w:t>worsen fire development</w:t>
      </w:r>
      <w:r w:rsidR="00BE4B24" w:rsidRPr="00451E6C">
        <w:t>.</w:t>
      </w:r>
      <w:r w:rsidR="00BE4B24">
        <w:t xml:space="preserve"> </w:t>
      </w:r>
    </w:p>
    <w:p w14:paraId="63E0D408" w14:textId="77777777" w:rsidR="003B6957" w:rsidRDefault="003B6957" w:rsidP="003829F3">
      <w:pPr>
        <w:pStyle w:val="CETBodytext"/>
      </w:pPr>
    </w:p>
    <w:p w14:paraId="70839ABD" w14:textId="31F08987" w:rsidR="003829F3" w:rsidRPr="00076799" w:rsidRDefault="00336587" w:rsidP="00076799">
      <w:pPr>
        <w:rPr>
          <w:lang w:val="en-US"/>
        </w:rPr>
      </w:pPr>
      <w:r>
        <w:rPr>
          <w:lang w:val="en-US"/>
        </w:rPr>
        <w:t xml:space="preserve">3.2.3 </w:t>
      </w:r>
      <w:r w:rsidR="003829F3" w:rsidRPr="00076799">
        <w:rPr>
          <w:lang w:val="en-US"/>
        </w:rPr>
        <w:t xml:space="preserve">Interaction with Facade Fires and Combustible </w:t>
      </w:r>
      <w:r w:rsidR="000749C4">
        <w:rPr>
          <w:lang w:val="en-US"/>
        </w:rPr>
        <w:t>Thermal Insulation</w:t>
      </w:r>
    </w:p>
    <w:p w14:paraId="095ACB62" w14:textId="7C3E5E17" w:rsidR="000022EC" w:rsidRDefault="004B6260" w:rsidP="000022EC">
      <w:pPr>
        <w:pStyle w:val="CETBodytext"/>
      </w:pPr>
      <w:r>
        <w:t xml:space="preserve">External </w:t>
      </w:r>
      <w:r w:rsidR="003829F3">
        <w:t xml:space="preserve">RACHP </w:t>
      </w:r>
      <w:r>
        <w:t>units</w:t>
      </w:r>
      <w:r w:rsidR="00076799">
        <w:t xml:space="preserve"> </w:t>
      </w:r>
      <w:r w:rsidR="000022EC">
        <w:t xml:space="preserve">may be able to </w:t>
      </w:r>
      <w:r w:rsidR="00076799">
        <w:t xml:space="preserve">propagate and support fire to combustible </w:t>
      </w:r>
      <w:r w:rsidR="00076799" w:rsidRPr="00076799">
        <w:t xml:space="preserve">External Thermal Insulation Composite </w:t>
      </w:r>
      <w:r>
        <w:t>Systems</w:t>
      </w:r>
      <w:r w:rsidR="003829F3">
        <w:t xml:space="preserve"> </w:t>
      </w:r>
      <w:r w:rsidR="00076799">
        <w:t>(</w:t>
      </w:r>
      <w:r w:rsidR="003829F3">
        <w:t>ETICS</w:t>
      </w:r>
      <w:r w:rsidR="00076799">
        <w:t xml:space="preserve">) and, </w:t>
      </w:r>
      <w:r>
        <w:t>consequently</w:t>
      </w:r>
      <w:r w:rsidR="00076799">
        <w:t>,</w:t>
      </w:r>
      <w:r w:rsidR="003829F3">
        <w:t xml:space="preserve"> exacerbate facade fires</w:t>
      </w:r>
      <w:r w:rsidR="006D5309">
        <w:t>. For instance, this occurrence was confirmed in the 201</w:t>
      </w:r>
      <w:r w:rsidR="000022EC">
        <w:t>4</w:t>
      </w:r>
      <w:r w:rsidR="006D5309">
        <w:t xml:space="preserve"> Lacross</w:t>
      </w:r>
      <w:r w:rsidR="000022EC">
        <w:t>e</w:t>
      </w:r>
      <w:r w:rsidR="006D5309">
        <w:t xml:space="preserve"> building fire in Australia</w:t>
      </w:r>
      <w:r>
        <w:t xml:space="preserve"> (Anderson et al., 2017)</w:t>
      </w:r>
      <w:r w:rsidR="006D5309">
        <w:t>, see Figure 2 for reference</w:t>
      </w:r>
      <w: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5061"/>
      </w:tblGrid>
      <w:tr w:rsidR="000022EC" w14:paraId="097A4966" w14:textId="77777777" w:rsidTr="00ED02EA">
        <w:tc>
          <w:tcPr>
            <w:tcW w:w="2263" w:type="dxa"/>
          </w:tcPr>
          <w:p w14:paraId="67B06AB0" w14:textId="77777777" w:rsidR="000022EC" w:rsidRDefault="000022EC" w:rsidP="00095063">
            <w:pPr>
              <w:pStyle w:val="CETBodytext"/>
            </w:pPr>
            <w:r>
              <w:rPr>
                <w:noProof/>
              </w:rPr>
              <w:drawing>
                <wp:inline distT="0" distB="0" distL="0" distR="0" wp14:anchorId="4BD58D7E" wp14:editId="48476539">
                  <wp:extent cx="2228850" cy="1553682"/>
                  <wp:effectExtent l="0" t="0" r="0" b="8890"/>
                  <wp:docPr id="294484464" name="Picture 1" descr="A building on fire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84464" name="Picture 1" descr="A building on fire at night&#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r="19209"/>
                          <a:stretch/>
                        </pic:blipFill>
                        <pic:spPr bwMode="auto">
                          <a:xfrm>
                            <a:off x="0" y="0"/>
                            <a:ext cx="2257493" cy="15736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14" w:type="dxa"/>
          </w:tcPr>
          <w:p w14:paraId="75F9C151" w14:textId="77777777" w:rsidR="000022EC" w:rsidRDefault="000022EC" w:rsidP="00095063">
            <w:pPr>
              <w:pStyle w:val="CETBodytext"/>
            </w:pPr>
            <w:r>
              <w:rPr>
                <w:noProof/>
              </w:rPr>
              <w:drawing>
                <wp:inline distT="0" distB="0" distL="0" distR="0" wp14:anchorId="11464751" wp14:editId="252C8C7A">
                  <wp:extent cx="1104900" cy="1572743"/>
                  <wp:effectExtent l="0" t="0" r="0" b="8890"/>
                  <wp:docPr id="1117078245" name="Picture 2" descr="A room with a fire damaged by f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78245" name="Picture 2" descr="A room with a fire damaged by fire&#10;&#10;Description automatically generated with medium confidence"/>
                          <pic:cNvPicPr>
                            <a:picLocks noChangeAspect="1" noChangeArrowheads="1"/>
                          </pic:cNvPicPr>
                        </pic:nvPicPr>
                        <pic:blipFill rotWithShape="1">
                          <a:blip r:embed="rId12">
                            <a:extLst>
                              <a:ext uri="{28A0092B-C50C-407E-A947-70E740481C1C}">
                                <a14:useLocalDpi xmlns:a14="http://schemas.microsoft.com/office/drawing/2010/main" val="0"/>
                              </a:ext>
                            </a:extLst>
                          </a:blip>
                          <a:srcRect l="53949" t="10547" r="4906"/>
                          <a:stretch/>
                        </pic:blipFill>
                        <pic:spPr bwMode="auto">
                          <a:xfrm>
                            <a:off x="0" y="0"/>
                            <a:ext cx="1133806" cy="16138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9952214" w14:textId="3E3293BA" w:rsidR="000022EC" w:rsidRPr="000022EC" w:rsidRDefault="000022EC" w:rsidP="000022EC">
      <w:pPr>
        <w:pStyle w:val="CETBodytext"/>
        <w:jc w:val="left"/>
        <w:rPr>
          <w:i/>
          <w:iCs/>
          <w:lang w:val="en-GB"/>
        </w:rPr>
      </w:pPr>
      <w:r w:rsidRPr="009B0538">
        <w:rPr>
          <w:rStyle w:val="CETCaptionCarattere"/>
          <w:iCs/>
        </w:rPr>
        <w:t xml:space="preserve">Figure </w:t>
      </w:r>
      <w:r>
        <w:rPr>
          <w:rStyle w:val="CETCaptionCarattere"/>
          <w:iCs/>
        </w:rPr>
        <w:t>2</w:t>
      </w:r>
      <w:r w:rsidRPr="009B0538">
        <w:rPr>
          <w:rStyle w:val="CETCaptionCarattere"/>
          <w:iCs/>
        </w:rPr>
        <w:t>:</w:t>
      </w:r>
      <w:r>
        <w:rPr>
          <w:rStyle w:val="CETCaptionCarattere"/>
          <w:iCs/>
        </w:rPr>
        <w:t xml:space="preserve"> 2014</w:t>
      </w:r>
      <w:r w:rsidRPr="009B0538">
        <w:rPr>
          <w:rStyle w:val="CETCaptionCarattere"/>
          <w:iCs/>
        </w:rPr>
        <w:t xml:space="preserve"> </w:t>
      </w:r>
      <w:r>
        <w:rPr>
          <w:rStyle w:val="CETCaptionCarattere"/>
          <w:iCs/>
        </w:rPr>
        <w:t xml:space="preserve">Lacrosse building fire and </w:t>
      </w:r>
      <w:r w:rsidR="00ED02EA">
        <w:rPr>
          <w:rStyle w:val="CETCaptionCarattere"/>
          <w:iCs/>
        </w:rPr>
        <w:t>one external RACHP</w:t>
      </w:r>
      <w:r w:rsidR="005302E6">
        <w:rPr>
          <w:rStyle w:val="CETCaptionCarattere"/>
          <w:iCs/>
        </w:rPr>
        <w:t xml:space="preserve"> unit</w:t>
      </w:r>
      <w:r w:rsidR="00ED02EA">
        <w:rPr>
          <w:rStyle w:val="CETCaptionCarattere"/>
          <w:iCs/>
        </w:rPr>
        <w:t xml:space="preserve"> that supported </w:t>
      </w:r>
      <w:r w:rsidR="005302E6">
        <w:rPr>
          <w:rStyle w:val="CETCaptionCarattere"/>
          <w:iCs/>
        </w:rPr>
        <w:t xml:space="preserve">the façade </w:t>
      </w:r>
      <w:r w:rsidR="00ED02EA">
        <w:rPr>
          <w:rStyle w:val="CETCaptionCarattere"/>
          <w:iCs/>
        </w:rPr>
        <w:t>fire.</w:t>
      </w:r>
    </w:p>
    <w:p w14:paraId="7598547E" w14:textId="6EB30292" w:rsidR="00AE4183" w:rsidRDefault="004B6260" w:rsidP="003829F3">
      <w:pPr>
        <w:pStyle w:val="CETBodytext"/>
      </w:pPr>
      <w:r>
        <w:lastRenderedPageBreak/>
        <w:t xml:space="preserve">Indeed, the participation of combustible ETICS in fires can significantly increase fire load and aggravate consequences (di Filippo et al., 2023). </w:t>
      </w:r>
      <w:r w:rsidR="003829F3">
        <w:t xml:space="preserve">Data shows </w:t>
      </w:r>
      <w:r w:rsidR="00EC24FF">
        <w:t xml:space="preserve">that </w:t>
      </w:r>
      <w:r w:rsidR="003829F3">
        <w:t xml:space="preserve">2-6% of building fires impact external facades, </w:t>
      </w:r>
      <w:r w:rsidR="00EC24FF">
        <w:t xml:space="preserve">with a certain variability </w:t>
      </w:r>
      <w:r w:rsidR="003829F3">
        <w:t xml:space="preserve">depending on </w:t>
      </w:r>
      <w:r w:rsidR="00AE4183">
        <w:t xml:space="preserve">the </w:t>
      </w:r>
      <w:r w:rsidR="003829F3">
        <w:t>region (White et al., 2015)</w:t>
      </w:r>
      <w:r w:rsidR="00EC24FF">
        <w:t>, as reported in Table 4</w:t>
      </w:r>
      <w:r w:rsidR="003829F3">
        <w:t xml:space="preserve">. </w:t>
      </w:r>
    </w:p>
    <w:p w14:paraId="3BCF0788" w14:textId="0C79661D" w:rsidR="00A83984" w:rsidRDefault="0019459D" w:rsidP="003829F3">
      <w:pPr>
        <w:pStyle w:val="CETBodytext"/>
      </w:pPr>
      <w:r>
        <w:t>Safety measures like Minimum Fire Performance (MFP) standards and fire barriers (FBs) can mitigate fire spread and consequences. Experiments suggest however that FBs are not able to avoid</w:t>
      </w:r>
      <w:r w:rsidR="00B76225">
        <w:t>, but only delaying,</w:t>
      </w:r>
      <w:r>
        <w:t xml:space="preserve"> fire spreading on combustible facade materials, for instance</w:t>
      </w:r>
      <w:r w:rsidR="00B76225">
        <w:t>,</w:t>
      </w:r>
      <w:r>
        <w:t xml:space="preserve"> those materials with </w:t>
      </w:r>
      <w:r w:rsidR="00B76225">
        <w:t>a</w:t>
      </w:r>
      <w:r>
        <w:t xml:space="preserve"> European fire reaction class B (Rukavina et al., 2017)</w:t>
      </w:r>
      <w:r w:rsidR="00B76225">
        <w:t>.</w:t>
      </w:r>
      <w:r>
        <w:t xml:space="preserve"> In this respect, the presence of RACHP external units can deteriorate further the mitigation capacity of FBs. </w:t>
      </w:r>
    </w:p>
    <w:p w14:paraId="14CE2341" w14:textId="77777777" w:rsidR="00D038A7" w:rsidRPr="00AE4183" w:rsidRDefault="00D038A7" w:rsidP="003829F3">
      <w:pPr>
        <w:pStyle w:val="CETBodytext"/>
      </w:pPr>
    </w:p>
    <w:p w14:paraId="53FC4AF8" w14:textId="74AF65FE" w:rsidR="00AE4183" w:rsidRPr="00D10FCD" w:rsidRDefault="00AE4183" w:rsidP="00AE4183">
      <w:pPr>
        <w:pStyle w:val="CETBodytext"/>
        <w:jc w:val="left"/>
        <w:rPr>
          <w:i/>
          <w:iCs/>
        </w:rPr>
      </w:pPr>
      <w:r w:rsidRPr="00D10FCD">
        <w:rPr>
          <w:i/>
          <w:iCs/>
        </w:rPr>
        <w:t xml:space="preserve">Table </w:t>
      </w:r>
      <w:r w:rsidR="00EC24FF">
        <w:rPr>
          <w:i/>
          <w:iCs/>
        </w:rPr>
        <w:t>4</w:t>
      </w:r>
      <w:r w:rsidRPr="00D10FCD">
        <w:rPr>
          <w:i/>
          <w:iCs/>
        </w:rPr>
        <w:t xml:space="preserve">: </w:t>
      </w:r>
      <w:r w:rsidR="00FB1256">
        <w:rPr>
          <w:i/>
          <w:iCs/>
        </w:rPr>
        <w:t xml:space="preserve">Share of residential fires that starts from or involve </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60"/>
        <w:gridCol w:w="1806"/>
        <w:gridCol w:w="2086"/>
        <w:gridCol w:w="2078"/>
      </w:tblGrid>
      <w:tr w:rsidR="00AE4183" w:rsidRPr="00B57B36" w14:paraId="496F61A9" w14:textId="77777777" w:rsidTr="00C907ED">
        <w:tc>
          <w:tcPr>
            <w:tcW w:w="1560" w:type="dxa"/>
            <w:tcBorders>
              <w:top w:val="single" w:sz="12" w:space="0" w:color="008000"/>
              <w:bottom w:val="single" w:sz="6" w:space="0" w:color="008000"/>
            </w:tcBorders>
            <w:shd w:val="clear" w:color="auto" w:fill="FFFFFF"/>
          </w:tcPr>
          <w:p w14:paraId="10D4FA9E" w14:textId="77777777" w:rsidR="00AE4183" w:rsidRPr="00081881" w:rsidRDefault="00AE4183" w:rsidP="00891E0C">
            <w:pPr>
              <w:pStyle w:val="CETBodytext"/>
              <w:jc w:val="center"/>
            </w:pPr>
            <w:r>
              <w:t>Country</w:t>
            </w:r>
          </w:p>
        </w:tc>
        <w:tc>
          <w:tcPr>
            <w:tcW w:w="1806" w:type="dxa"/>
            <w:tcBorders>
              <w:top w:val="single" w:sz="12" w:space="0" w:color="008000"/>
              <w:bottom w:val="single" w:sz="6" w:space="0" w:color="008000"/>
            </w:tcBorders>
            <w:shd w:val="clear" w:color="auto" w:fill="FFFFFF"/>
          </w:tcPr>
          <w:p w14:paraId="559F2FCD" w14:textId="77777777" w:rsidR="00AE4183" w:rsidRPr="00B57B36" w:rsidRDefault="00AE4183" w:rsidP="00891E0C">
            <w:pPr>
              <w:pStyle w:val="CETBodytext"/>
              <w:jc w:val="center"/>
              <w:rPr>
                <w:lang w:val="en-GB"/>
              </w:rPr>
            </w:pPr>
            <w:r>
              <w:t>Year Data</w:t>
            </w:r>
          </w:p>
        </w:tc>
        <w:tc>
          <w:tcPr>
            <w:tcW w:w="2086" w:type="dxa"/>
            <w:tcBorders>
              <w:top w:val="single" w:sz="12" w:space="0" w:color="008000"/>
              <w:bottom w:val="single" w:sz="6" w:space="0" w:color="008000"/>
            </w:tcBorders>
            <w:shd w:val="clear" w:color="auto" w:fill="FFFFFF"/>
          </w:tcPr>
          <w:p w14:paraId="56F9B259" w14:textId="608F7A23" w:rsidR="00AE4183" w:rsidRPr="00B57B36" w:rsidRDefault="00C907ED" w:rsidP="00891E0C">
            <w:pPr>
              <w:pStyle w:val="CETBodytext"/>
              <w:ind w:right="-1"/>
              <w:jc w:val="center"/>
              <w:rPr>
                <w:rFonts w:cs="Arial"/>
                <w:szCs w:val="18"/>
                <w:lang w:val="en-GB"/>
              </w:rPr>
            </w:pPr>
            <w:r>
              <w:t>Share of total fires</w:t>
            </w:r>
          </w:p>
        </w:tc>
        <w:tc>
          <w:tcPr>
            <w:tcW w:w="2078" w:type="dxa"/>
            <w:tcBorders>
              <w:top w:val="single" w:sz="12" w:space="0" w:color="008000"/>
              <w:bottom w:val="single" w:sz="6" w:space="0" w:color="008000"/>
            </w:tcBorders>
            <w:shd w:val="clear" w:color="auto" w:fill="FFFFFF"/>
          </w:tcPr>
          <w:p w14:paraId="443BE93B" w14:textId="77777777" w:rsidR="00AE4183" w:rsidRDefault="00AE4183" w:rsidP="00891E0C">
            <w:pPr>
              <w:pStyle w:val="CETBodytext"/>
              <w:ind w:right="-1"/>
              <w:jc w:val="center"/>
            </w:pPr>
            <w:r>
              <w:t>Source</w:t>
            </w:r>
          </w:p>
        </w:tc>
      </w:tr>
      <w:tr w:rsidR="00C907ED" w:rsidRPr="00C907ED" w14:paraId="0315F598" w14:textId="77777777" w:rsidTr="00C907ED">
        <w:tc>
          <w:tcPr>
            <w:tcW w:w="1560" w:type="dxa"/>
            <w:shd w:val="clear" w:color="auto" w:fill="FFFFFF"/>
          </w:tcPr>
          <w:p w14:paraId="51027971" w14:textId="5957EC1F" w:rsidR="00C907ED" w:rsidRPr="00B57B36" w:rsidRDefault="00C907ED" w:rsidP="00891E0C">
            <w:pPr>
              <w:pStyle w:val="CETBodytext"/>
              <w:jc w:val="center"/>
              <w:rPr>
                <w:lang w:val="en-GB"/>
              </w:rPr>
            </w:pPr>
            <w:r>
              <w:t>US</w:t>
            </w:r>
          </w:p>
        </w:tc>
        <w:tc>
          <w:tcPr>
            <w:tcW w:w="1806" w:type="dxa"/>
            <w:shd w:val="clear" w:color="auto" w:fill="FFFFFF"/>
          </w:tcPr>
          <w:p w14:paraId="66F9D737" w14:textId="479ECDF5" w:rsidR="00C907ED" w:rsidRPr="00B57B36" w:rsidRDefault="00336587" w:rsidP="00891E0C">
            <w:pPr>
              <w:pStyle w:val="CETBodytext"/>
              <w:jc w:val="center"/>
              <w:rPr>
                <w:lang w:val="en-GB"/>
              </w:rPr>
            </w:pPr>
            <w:r>
              <w:rPr>
                <w:lang w:val="en-GB"/>
              </w:rPr>
              <w:t>2007-2011</w:t>
            </w:r>
          </w:p>
        </w:tc>
        <w:tc>
          <w:tcPr>
            <w:tcW w:w="2086" w:type="dxa"/>
            <w:shd w:val="clear" w:color="auto" w:fill="FFFFFF"/>
          </w:tcPr>
          <w:p w14:paraId="19C239CA" w14:textId="728E124F" w:rsidR="00C907ED" w:rsidRPr="00B57B36" w:rsidRDefault="00336587" w:rsidP="00891E0C">
            <w:pPr>
              <w:pStyle w:val="CETBodytext"/>
              <w:ind w:right="-1"/>
              <w:jc w:val="center"/>
              <w:rPr>
                <w:rFonts w:cs="Arial"/>
                <w:szCs w:val="18"/>
                <w:lang w:val="en-GB"/>
              </w:rPr>
            </w:pPr>
            <w:r>
              <w:t>2%</w:t>
            </w:r>
          </w:p>
        </w:tc>
        <w:tc>
          <w:tcPr>
            <w:tcW w:w="2078" w:type="dxa"/>
            <w:vMerge w:val="restart"/>
            <w:shd w:val="clear" w:color="auto" w:fill="FFFFFF"/>
            <w:vAlign w:val="center"/>
          </w:tcPr>
          <w:p w14:paraId="4B2FC7EF" w14:textId="68DF4201" w:rsidR="00C907ED" w:rsidRPr="00C907ED" w:rsidRDefault="00C907ED" w:rsidP="00C907ED">
            <w:pPr>
              <w:pStyle w:val="CETBodytext"/>
              <w:ind w:right="-1"/>
              <w:jc w:val="center"/>
              <w:rPr>
                <w:lang w:val="it-IT"/>
              </w:rPr>
            </w:pPr>
            <w:r>
              <w:t>Statistics (White et al., 2015)</w:t>
            </w:r>
          </w:p>
        </w:tc>
      </w:tr>
      <w:tr w:rsidR="00C907ED" w:rsidRPr="00B57B36" w14:paraId="60F65EF4" w14:textId="77777777" w:rsidTr="00C907ED">
        <w:trPr>
          <w:trHeight w:val="136"/>
        </w:trPr>
        <w:tc>
          <w:tcPr>
            <w:tcW w:w="1560" w:type="dxa"/>
            <w:shd w:val="clear" w:color="auto" w:fill="FFFFFF"/>
          </w:tcPr>
          <w:p w14:paraId="7C7B6C8E" w14:textId="0E3CB6B0" w:rsidR="00C907ED" w:rsidRPr="00B57B36" w:rsidRDefault="00C907ED" w:rsidP="00891E0C">
            <w:pPr>
              <w:pStyle w:val="CETBodytext"/>
              <w:ind w:right="-1"/>
              <w:jc w:val="center"/>
              <w:rPr>
                <w:rFonts w:cs="Arial"/>
                <w:szCs w:val="18"/>
                <w:lang w:val="en-GB"/>
              </w:rPr>
            </w:pPr>
            <w:r>
              <w:t>Australia</w:t>
            </w:r>
          </w:p>
        </w:tc>
        <w:tc>
          <w:tcPr>
            <w:tcW w:w="1806" w:type="dxa"/>
            <w:shd w:val="clear" w:color="auto" w:fill="FFFFFF"/>
          </w:tcPr>
          <w:p w14:paraId="26008777" w14:textId="51D0508C" w:rsidR="00C907ED" w:rsidRPr="00B57B36" w:rsidRDefault="00336587" w:rsidP="00891E0C">
            <w:pPr>
              <w:pStyle w:val="CETBodytext"/>
              <w:ind w:right="-1"/>
              <w:jc w:val="center"/>
              <w:rPr>
                <w:rFonts w:cs="Arial"/>
                <w:szCs w:val="18"/>
                <w:lang w:val="en-GB"/>
              </w:rPr>
            </w:pPr>
            <w:r>
              <w:rPr>
                <w:rFonts w:cs="Arial"/>
                <w:szCs w:val="18"/>
                <w:lang w:val="en-GB"/>
              </w:rPr>
              <w:t>2003-2007</w:t>
            </w:r>
          </w:p>
        </w:tc>
        <w:tc>
          <w:tcPr>
            <w:tcW w:w="2086" w:type="dxa"/>
            <w:shd w:val="clear" w:color="auto" w:fill="FFFFFF"/>
          </w:tcPr>
          <w:p w14:paraId="7D599ECB" w14:textId="03267479" w:rsidR="00C907ED" w:rsidRPr="00B57B36" w:rsidRDefault="00336587" w:rsidP="00891E0C">
            <w:pPr>
              <w:pStyle w:val="CETBodytext"/>
              <w:ind w:right="-1"/>
              <w:jc w:val="center"/>
              <w:rPr>
                <w:rFonts w:cs="Arial"/>
                <w:szCs w:val="18"/>
                <w:lang w:val="en-GB"/>
              </w:rPr>
            </w:pPr>
            <w:r>
              <w:t>1.8%</w:t>
            </w:r>
          </w:p>
        </w:tc>
        <w:tc>
          <w:tcPr>
            <w:tcW w:w="2078" w:type="dxa"/>
            <w:vMerge/>
            <w:shd w:val="clear" w:color="auto" w:fill="FFFFFF"/>
          </w:tcPr>
          <w:p w14:paraId="722DC548" w14:textId="73B39D4C" w:rsidR="00C907ED" w:rsidRDefault="00C907ED" w:rsidP="00891E0C">
            <w:pPr>
              <w:pStyle w:val="CETBodytext"/>
              <w:ind w:right="-1"/>
              <w:jc w:val="center"/>
            </w:pPr>
          </w:p>
        </w:tc>
      </w:tr>
      <w:tr w:rsidR="00C907ED" w:rsidRPr="00B57B36" w14:paraId="1ADE5BEE" w14:textId="77777777" w:rsidTr="00C907ED">
        <w:tc>
          <w:tcPr>
            <w:tcW w:w="1560" w:type="dxa"/>
            <w:shd w:val="clear" w:color="auto" w:fill="FFFFFF"/>
          </w:tcPr>
          <w:p w14:paraId="66A5A3F5" w14:textId="461CD081" w:rsidR="00C907ED" w:rsidRPr="00B57B36" w:rsidRDefault="00C907ED" w:rsidP="00891E0C">
            <w:pPr>
              <w:pStyle w:val="CETBodytext"/>
              <w:ind w:right="-1"/>
              <w:jc w:val="center"/>
              <w:rPr>
                <w:rFonts w:cs="Arial"/>
                <w:szCs w:val="18"/>
                <w:lang w:val="en-GB"/>
              </w:rPr>
            </w:pPr>
            <w:r>
              <w:t>New</w:t>
            </w:r>
            <w:r w:rsidR="00336587">
              <w:t xml:space="preserve"> Zealand</w:t>
            </w:r>
            <w:r>
              <w:t xml:space="preserve"> </w:t>
            </w:r>
          </w:p>
        </w:tc>
        <w:tc>
          <w:tcPr>
            <w:tcW w:w="1806" w:type="dxa"/>
            <w:shd w:val="clear" w:color="auto" w:fill="FFFFFF"/>
          </w:tcPr>
          <w:p w14:paraId="7B8FEEBA" w14:textId="2E94E0E7" w:rsidR="00C907ED" w:rsidRPr="00B57B36" w:rsidRDefault="00336587" w:rsidP="00891E0C">
            <w:pPr>
              <w:pStyle w:val="CETBodytext"/>
              <w:ind w:right="-1"/>
              <w:jc w:val="center"/>
              <w:rPr>
                <w:rFonts w:cs="Arial"/>
                <w:szCs w:val="18"/>
                <w:lang w:val="en-GB"/>
              </w:rPr>
            </w:pPr>
            <w:r>
              <w:rPr>
                <w:rFonts w:cs="Arial"/>
                <w:szCs w:val="18"/>
                <w:lang w:val="en-GB"/>
              </w:rPr>
              <w:t>2005-2010</w:t>
            </w:r>
          </w:p>
        </w:tc>
        <w:tc>
          <w:tcPr>
            <w:tcW w:w="2086" w:type="dxa"/>
            <w:shd w:val="clear" w:color="auto" w:fill="FFFFFF"/>
          </w:tcPr>
          <w:p w14:paraId="5BC65805" w14:textId="69EE1B88" w:rsidR="00C907ED" w:rsidRPr="00342BD9" w:rsidRDefault="00336587" w:rsidP="00891E0C">
            <w:pPr>
              <w:pStyle w:val="CETBodytext"/>
              <w:ind w:right="-1"/>
              <w:jc w:val="center"/>
              <w:rPr>
                <w:rFonts w:cs="Arial"/>
                <w:szCs w:val="18"/>
                <w:lang w:val="en-GB"/>
              </w:rPr>
            </w:pPr>
            <w:r>
              <w:t>5%</w:t>
            </w:r>
            <w:r w:rsidR="00C907ED">
              <w:t xml:space="preserve"> </w:t>
            </w:r>
          </w:p>
        </w:tc>
        <w:tc>
          <w:tcPr>
            <w:tcW w:w="2078" w:type="dxa"/>
            <w:vMerge/>
            <w:shd w:val="clear" w:color="auto" w:fill="FFFFFF"/>
          </w:tcPr>
          <w:p w14:paraId="632B9ACB" w14:textId="12F6080E" w:rsidR="00C907ED" w:rsidRDefault="00C907ED" w:rsidP="00891E0C">
            <w:pPr>
              <w:pStyle w:val="CETBodytext"/>
              <w:ind w:right="-1"/>
              <w:jc w:val="center"/>
            </w:pPr>
          </w:p>
        </w:tc>
      </w:tr>
    </w:tbl>
    <w:p w14:paraId="6331D01E" w14:textId="1A75E543" w:rsidR="00822466" w:rsidRPr="00CA5A3B" w:rsidRDefault="00E77B52" w:rsidP="00822466">
      <w:pPr>
        <w:pStyle w:val="CETHeading1"/>
        <w:tabs>
          <w:tab w:val="clear" w:pos="360"/>
          <w:tab w:val="right" w:pos="7100"/>
        </w:tabs>
        <w:jc w:val="both"/>
        <w:rPr>
          <w:lang w:val="en-GB"/>
        </w:rPr>
      </w:pPr>
      <w:r>
        <w:rPr>
          <w:lang w:val="en-GB"/>
        </w:rPr>
        <w:t xml:space="preserve">Results </w:t>
      </w:r>
      <w:r w:rsidR="00FD3F29">
        <w:rPr>
          <w:lang w:val="en-GB"/>
        </w:rPr>
        <w:t>and discussion</w:t>
      </w:r>
    </w:p>
    <w:p w14:paraId="65EE0638" w14:textId="5EFEF60C" w:rsidR="00CA5A3B" w:rsidRDefault="00CA5A3B" w:rsidP="00CA5A3B">
      <w:pPr>
        <w:pStyle w:val="CETBodytext"/>
        <w:rPr>
          <w:lang w:val="en-GB"/>
        </w:rPr>
      </w:pPr>
      <w:r>
        <w:rPr>
          <w:lang w:val="en-GB"/>
        </w:rPr>
        <w:t>Based on</w:t>
      </w:r>
      <w:r w:rsidR="00E77B52">
        <w:rPr>
          <w:lang w:val="en-GB"/>
        </w:rPr>
        <w:t xml:space="preserve"> the analysis in </w:t>
      </w:r>
      <w:r w:rsidR="0079049C">
        <w:rPr>
          <w:lang w:val="en-GB"/>
        </w:rPr>
        <w:t>S</w:t>
      </w:r>
      <w:r w:rsidR="009019DE">
        <w:rPr>
          <w:lang w:val="en-GB"/>
        </w:rPr>
        <w:t>ections</w:t>
      </w:r>
      <w:r w:rsidR="008659E6">
        <w:rPr>
          <w:lang w:val="en-GB"/>
        </w:rPr>
        <w:t xml:space="preserve"> 2 and</w:t>
      </w:r>
      <w:r w:rsidR="00E77B52">
        <w:rPr>
          <w:lang w:val="en-GB"/>
        </w:rPr>
        <w:t xml:space="preserve"> 3, t</w:t>
      </w:r>
      <w:r w:rsidR="00353D31">
        <w:rPr>
          <w:lang w:val="en-GB"/>
        </w:rPr>
        <w:t xml:space="preserve">he significance of </w:t>
      </w:r>
      <w:r w:rsidR="0079049C">
        <w:t>r</w:t>
      </w:r>
      <w:r w:rsidR="0079049C" w:rsidRPr="00700B33">
        <w:t>eaction-</w:t>
      </w:r>
      <w:r w:rsidR="0079049C">
        <w:t>i</w:t>
      </w:r>
      <w:r w:rsidR="0079049C" w:rsidRPr="00700B33">
        <w:t xml:space="preserve">nfluenced </w:t>
      </w:r>
      <w:r w:rsidR="0079049C">
        <w:t>f</w:t>
      </w:r>
      <w:r w:rsidR="0079049C" w:rsidRPr="00700B33">
        <w:t>ire</w:t>
      </w:r>
      <w:r w:rsidR="0079049C">
        <w:rPr>
          <w:lang w:val="en-GB"/>
        </w:rPr>
        <w:t xml:space="preserve"> (</w:t>
      </w:r>
      <w:r w:rsidR="00353D31">
        <w:rPr>
          <w:lang w:val="en-GB"/>
        </w:rPr>
        <w:t>RIF</w:t>
      </w:r>
      <w:r w:rsidR="0079049C">
        <w:rPr>
          <w:lang w:val="en-GB"/>
        </w:rPr>
        <w:t>)</w:t>
      </w:r>
      <w:r w:rsidR="00353D31">
        <w:rPr>
          <w:lang w:val="en-GB"/>
        </w:rPr>
        <w:t xml:space="preserve"> scenarios </w:t>
      </w:r>
      <w:r w:rsidR="00E77B52">
        <w:rPr>
          <w:lang w:val="en-GB"/>
        </w:rPr>
        <w:t>appears to be not negligible</w:t>
      </w:r>
      <w:r>
        <w:rPr>
          <w:lang w:val="en-GB"/>
        </w:rPr>
        <w:t xml:space="preserve"> mainly due to the following reasons:</w:t>
      </w:r>
      <w:r w:rsidR="00E77B52">
        <w:rPr>
          <w:lang w:val="en-GB"/>
        </w:rPr>
        <w:t xml:space="preserve"> </w:t>
      </w:r>
    </w:p>
    <w:p w14:paraId="2FF6423C" w14:textId="2189AE0D" w:rsidR="00353D31" w:rsidRDefault="00353D31" w:rsidP="00B637CD">
      <w:pPr>
        <w:pStyle w:val="CETBodytext"/>
        <w:numPr>
          <w:ilvl w:val="0"/>
          <w:numId w:val="35"/>
        </w:numPr>
      </w:pPr>
      <w:r>
        <w:t xml:space="preserve">The likelihood of an external fire, </w:t>
      </w:r>
      <w:r w:rsidRPr="00211933">
        <w:rPr>
          <w:rFonts w:ascii="Cambria Math" w:hAnsi="Cambria Math" w:cs="Cambria Math"/>
        </w:rPr>
        <w:t>𝑃</w:t>
      </w:r>
      <w:r w:rsidRPr="00211933">
        <w:rPr>
          <w:rFonts w:ascii="Cambria Math" w:hAnsi="Cambria Math" w:cs="Cambria Math"/>
          <w:vertAlign w:val="subscript"/>
        </w:rPr>
        <w:t>𝐹</w:t>
      </w:r>
      <w:r w:rsidRPr="00211933">
        <w:rPr>
          <w:vertAlign w:val="subscript"/>
        </w:rPr>
        <w:t xml:space="preserve"> </w:t>
      </w:r>
      <w:r>
        <w:t xml:space="preserve">from Table 2, is 7-8 orders of magnitude higher than the likelihood of a leakage ignition, </w:t>
      </w:r>
      <w:r w:rsidRPr="00211933">
        <w:rPr>
          <w:rFonts w:ascii="Cambria Math" w:hAnsi="Cambria Math" w:cs="Cambria Math"/>
        </w:rPr>
        <w:t>𝑃</w:t>
      </w:r>
      <w:r w:rsidRPr="00211933">
        <w:rPr>
          <w:rFonts w:ascii="Cambria Math" w:hAnsi="Cambria Math" w:cs="Cambria Math"/>
          <w:vertAlign w:val="subscript"/>
        </w:rPr>
        <w:t>𝐼</w:t>
      </w:r>
      <w:r>
        <w:t xml:space="preserve"> from Table 1.</w:t>
      </w:r>
      <w:r w:rsidR="00CA5A3B">
        <w:t xml:space="preserve"> </w:t>
      </w:r>
      <w:r>
        <w:t xml:space="preserve">The value of peak </w:t>
      </w:r>
      <w:r w:rsidR="00CA5A3B">
        <w:t xml:space="preserve">HRR, from Table 3, </w:t>
      </w:r>
      <w:r w:rsidR="00FE6C07">
        <w:t xml:space="preserve">is significant when compared to the expected HRR </w:t>
      </w:r>
      <w:r w:rsidR="00FB1256">
        <w:t xml:space="preserve">from an average residential fire. </w:t>
      </w:r>
      <w:r w:rsidR="00B76225">
        <w:t>Besides, the presence of refrigerants has been found to increase peak HRR</w:t>
      </w:r>
      <w:r w:rsidR="0079049C">
        <w:t>,</w:t>
      </w:r>
      <w:r w:rsidR="00B76225">
        <w:t xml:space="preserve"> which underlines the possibility of a positive correlation with charge size. Moreover, the</w:t>
      </w:r>
      <w:r w:rsidR="00FB1256">
        <w:t xml:space="preserve"> fire reaction of some RACHP units, such as refrigerators, can lead to a flashover.</w:t>
      </w:r>
    </w:p>
    <w:p w14:paraId="41B54893" w14:textId="4B8ED623" w:rsidR="00CA5A3B" w:rsidRDefault="00353D31" w:rsidP="00B76225">
      <w:pPr>
        <w:pStyle w:val="CETBodytext"/>
        <w:numPr>
          <w:ilvl w:val="0"/>
          <w:numId w:val="35"/>
        </w:numPr>
      </w:pPr>
      <w:r>
        <w:t xml:space="preserve">The probability </w:t>
      </w:r>
      <w:r w:rsidR="0019459D">
        <w:t xml:space="preserve">that a fire can reach an external RACHP unit can be retrieved by combining the values from </w:t>
      </w:r>
      <w:r>
        <w:t>Table 4</w:t>
      </w:r>
      <w:r w:rsidR="0019459D">
        <w:t xml:space="preserve"> </w:t>
      </w:r>
      <w:r>
        <w:t xml:space="preserve">with </w:t>
      </w:r>
      <w:r>
        <w:rPr>
          <w:rFonts w:ascii="Cambria Math" w:hAnsi="Cambria Math" w:cs="Cambria Math"/>
        </w:rPr>
        <w:t>𝑃</w:t>
      </w:r>
      <w:r w:rsidRPr="00FB1256">
        <w:rPr>
          <w:rFonts w:ascii="Cambria Math" w:hAnsi="Cambria Math" w:cs="Cambria Math"/>
          <w:vertAlign w:val="subscript"/>
        </w:rPr>
        <w:t>𝐹</w:t>
      </w:r>
      <w:r>
        <w:t xml:space="preserve"> from Table 2</w:t>
      </w:r>
      <w:r w:rsidR="0019459D">
        <w:t xml:space="preserve">. For reference, this instance still </w:t>
      </w:r>
      <w:r w:rsidR="00B76225">
        <w:t>presents</w:t>
      </w:r>
      <w:r w:rsidR="0019459D">
        <w:t xml:space="preserve"> a likelihood 5-6 orders of magnitude higher than </w:t>
      </w:r>
      <w:r w:rsidR="00B76225">
        <w:t xml:space="preserve">the ignition probability </w:t>
      </w:r>
      <w:r w:rsidR="00B76225" w:rsidRPr="00353D31">
        <w:rPr>
          <w:rFonts w:ascii="Cambria Math" w:hAnsi="Cambria Math" w:cs="Cambria Math"/>
        </w:rPr>
        <w:t>𝑃</w:t>
      </w:r>
      <w:r w:rsidR="00B76225" w:rsidRPr="00E77B52">
        <w:rPr>
          <w:rFonts w:ascii="Cambria Math" w:hAnsi="Cambria Math" w:cs="Cambria Math"/>
          <w:vertAlign w:val="subscript"/>
        </w:rPr>
        <w:t>𝐼</w:t>
      </w:r>
      <w:r w:rsidR="00B76225">
        <w:rPr>
          <w:rFonts w:ascii="Cambria Math" w:hAnsi="Cambria Math" w:cs="Cambria Math"/>
          <w:vertAlign w:val="subscript"/>
        </w:rPr>
        <w:t xml:space="preserve"> </w:t>
      </w:r>
      <w:r w:rsidR="00B76225" w:rsidRPr="00B76225">
        <w:t xml:space="preserve">from </w:t>
      </w:r>
      <w:r w:rsidR="0079049C">
        <w:t>l</w:t>
      </w:r>
      <w:r w:rsidR="0079049C" w:rsidRPr="00700B33">
        <w:t>eakage-</w:t>
      </w:r>
      <w:r w:rsidR="0079049C">
        <w:t>i</w:t>
      </w:r>
      <w:r w:rsidR="0079049C" w:rsidRPr="00700B33">
        <w:t xml:space="preserve">nduced </w:t>
      </w:r>
      <w:r w:rsidR="0079049C">
        <w:t>f</w:t>
      </w:r>
      <w:r w:rsidR="0079049C" w:rsidRPr="00700B33">
        <w:t>ire</w:t>
      </w:r>
      <w:r w:rsidR="0079049C" w:rsidRPr="00B76225">
        <w:t xml:space="preserve"> </w:t>
      </w:r>
      <w:r w:rsidR="0079049C">
        <w:t>(</w:t>
      </w:r>
      <w:r w:rsidR="00B76225" w:rsidRPr="00B76225">
        <w:t>LIF</w:t>
      </w:r>
      <w:r w:rsidR="0079049C">
        <w:t>)</w:t>
      </w:r>
      <w:r w:rsidR="00B76225" w:rsidRPr="00B76225">
        <w:t xml:space="preserve"> scenarios</w:t>
      </w:r>
      <w:r w:rsidR="00B76225">
        <w:rPr>
          <w:rFonts w:ascii="Cambria Math" w:hAnsi="Cambria Math" w:cs="Cambria Math"/>
        </w:rPr>
        <w:t>.</w:t>
      </w:r>
    </w:p>
    <w:p w14:paraId="09052321" w14:textId="1873710B" w:rsidR="00353D31" w:rsidRDefault="00B76225" w:rsidP="00B76225">
      <w:pPr>
        <w:pStyle w:val="CETBodytext"/>
        <w:numPr>
          <w:ilvl w:val="0"/>
          <w:numId w:val="35"/>
        </w:numPr>
      </w:pPr>
      <w:r>
        <w:t xml:space="preserve">There is an overall scarcity of experimental data on the fire reaction of RACHP units filled with A3 or other </w:t>
      </w:r>
      <w:r w:rsidR="00C72E4A">
        <w:t>classes</w:t>
      </w:r>
      <w:r>
        <w:t xml:space="preserve"> of refrigerants.</w:t>
      </w:r>
      <w:r w:rsidR="00C72E4A">
        <w:t xml:space="preserve"> In</w:t>
      </w:r>
      <w:r w:rsidR="0079049C">
        <w:t xml:space="preserve"> this respect</w:t>
      </w:r>
      <w:r w:rsidR="00C72E4A">
        <w:t>, it has been possible to retrieve the results of only three experimental campaigns</w:t>
      </w:r>
      <w:r w:rsidR="002D73E0">
        <w:t xml:space="preserve"> (Coulborne et al., 1997; Hietaniemi et al., 2001; Zhang et al., 2013)</w:t>
      </w:r>
      <w:r w:rsidR="00C72E4A">
        <w:t>.</w:t>
      </w:r>
      <w:r>
        <w:t xml:space="preserve"> This </w:t>
      </w:r>
      <w:r w:rsidR="0079049C">
        <w:t>contrasts</w:t>
      </w:r>
      <w:r>
        <w:t xml:space="preserve"> with </w:t>
      </w:r>
      <w:r w:rsidR="00C72E4A">
        <w:t>the</w:t>
      </w:r>
      <w:r w:rsidR="009019DE">
        <w:t xml:space="preserve"> empirical evidence from past accidents, the</w:t>
      </w:r>
      <w:r w:rsidR="00C72E4A">
        <w:t xml:space="preserve"> variety of RACHP applications, refrigerant charge sizes, and the established trends towards electrification and adoption of A3 refrigerants.</w:t>
      </w:r>
    </w:p>
    <w:p w14:paraId="0BFB1C57" w14:textId="1FC46A72" w:rsidR="00CA5A3B" w:rsidRPr="001E6ABC" w:rsidRDefault="00C72E4A" w:rsidP="00B76225">
      <w:pPr>
        <w:pStyle w:val="CETBodytext"/>
        <w:numPr>
          <w:ilvl w:val="0"/>
          <w:numId w:val="35"/>
        </w:numPr>
      </w:pPr>
      <w:r>
        <w:t>The n</w:t>
      </w:r>
      <w:r w:rsidR="001042CD">
        <w:t xml:space="preserve">ewly introduced or revised mitigation measures within the new </w:t>
      </w:r>
      <w:r w:rsidR="001042CD" w:rsidRPr="000233CD">
        <w:rPr>
          <w:lang w:val="en-GB"/>
        </w:rPr>
        <w:t>IEC 60335-2-40:2022</w:t>
      </w:r>
      <w:r w:rsidR="001E6ABC">
        <w:rPr>
          <w:lang w:val="en-GB"/>
        </w:rPr>
        <w:t xml:space="preserve"> (IEC, 2022)</w:t>
      </w:r>
      <w:r w:rsidR="001042CD" w:rsidRPr="000233CD">
        <w:rPr>
          <w:lang w:val="en-GB"/>
        </w:rPr>
        <w:t xml:space="preserve"> </w:t>
      </w:r>
      <w:r w:rsidR="001042CD">
        <w:rPr>
          <w:lang w:val="en-GB"/>
        </w:rPr>
        <w:t xml:space="preserve">are conceived for LIF scenarios only. Limits for charge sizes and enhanced tightness </w:t>
      </w:r>
      <w:r w:rsidR="008659E6">
        <w:rPr>
          <w:lang w:val="en-GB"/>
        </w:rPr>
        <w:t>are relevant</w:t>
      </w:r>
      <w:r w:rsidR="001042CD">
        <w:rPr>
          <w:lang w:val="en-GB"/>
        </w:rPr>
        <w:t xml:space="preserve"> to a single circuit. Therefore, </w:t>
      </w:r>
      <w:r w:rsidR="0079049C">
        <w:rPr>
          <w:lang w:val="en-GB"/>
        </w:rPr>
        <w:t>no limits exist</w:t>
      </w:r>
      <w:r w:rsidR="001042CD">
        <w:rPr>
          <w:lang w:val="en-GB"/>
        </w:rPr>
        <w:t xml:space="preserve"> on the total number of circuits within an enclosed space or on the exterior where neither charge limits apply.</w:t>
      </w:r>
    </w:p>
    <w:p w14:paraId="002DA296" w14:textId="35995EB6" w:rsidR="008659E6" w:rsidRDefault="000022EC" w:rsidP="000C50F6">
      <w:pPr>
        <w:pStyle w:val="CETBodytext"/>
        <w:numPr>
          <w:ilvl w:val="0"/>
          <w:numId w:val="35"/>
        </w:numPr>
      </w:pPr>
      <w:r>
        <w:rPr>
          <w:lang w:val="en-GB"/>
        </w:rPr>
        <w:t>T</w:t>
      </w:r>
      <w:r w:rsidR="001E6ABC">
        <w:rPr>
          <w:lang w:val="en-GB"/>
        </w:rPr>
        <w:t xml:space="preserve">he Italian </w:t>
      </w:r>
      <w:r>
        <w:rPr>
          <w:lang w:val="en-GB"/>
        </w:rPr>
        <w:t>building fire code</w:t>
      </w:r>
      <w:r w:rsidR="008659E6">
        <w:rPr>
          <w:lang w:val="en-GB"/>
        </w:rPr>
        <w:t xml:space="preserve"> (MINT, 2022)</w:t>
      </w:r>
      <w:r w:rsidR="001E6ABC">
        <w:rPr>
          <w:lang w:val="en-GB"/>
        </w:rPr>
        <w:t xml:space="preserve">, </w:t>
      </w:r>
      <w:r>
        <w:rPr>
          <w:lang w:val="en-GB"/>
        </w:rPr>
        <w:t xml:space="preserve">introduced mandatory facade </w:t>
      </w:r>
      <w:r w:rsidR="0079049C">
        <w:t>fire barriers</w:t>
      </w:r>
      <w:r w:rsidR="0079049C" w:rsidDel="0079049C">
        <w:rPr>
          <w:lang w:val="en-GB"/>
        </w:rPr>
        <w:t xml:space="preserve"> </w:t>
      </w:r>
      <w:r w:rsidR="001E6ABC">
        <w:rPr>
          <w:lang w:val="en-GB"/>
        </w:rPr>
        <w:t xml:space="preserve">around technological components, including RACHP units. While this is supported by reasonable caution, </w:t>
      </w:r>
      <w:r w:rsidR="0079049C">
        <w:rPr>
          <w:lang w:val="en-GB"/>
        </w:rPr>
        <w:t xml:space="preserve">given </w:t>
      </w:r>
      <w:r w:rsidR="000923EA">
        <w:rPr>
          <w:lang w:val="en-GB"/>
        </w:rPr>
        <w:t xml:space="preserve">to </w:t>
      </w:r>
      <w:r w:rsidR="0079049C">
        <w:rPr>
          <w:lang w:val="en-GB"/>
        </w:rPr>
        <w:t xml:space="preserve">the lack of component-specific experimental data, </w:t>
      </w:r>
      <w:r w:rsidR="001E6ABC">
        <w:rPr>
          <w:lang w:val="en-GB"/>
        </w:rPr>
        <w:t>it is unclear if this approach is over</w:t>
      </w:r>
      <w:r w:rsidR="0079049C">
        <w:rPr>
          <w:lang w:val="en-GB"/>
        </w:rPr>
        <w:t>-</w:t>
      </w:r>
      <w:r w:rsidR="001E6ABC">
        <w:rPr>
          <w:lang w:val="en-GB"/>
        </w:rPr>
        <w:t xml:space="preserve"> or under-conservative</w:t>
      </w:r>
      <w:r>
        <w:rPr>
          <w:lang w:val="en-GB"/>
        </w:rPr>
        <w:t>.</w:t>
      </w:r>
    </w:p>
    <w:p w14:paraId="14966C9F" w14:textId="33E9F4E1" w:rsidR="00353D31" w:rsidRDefault="00C41EAC" w:rsidP="000C50F6">
      <w:pPr>
        <w:pStyle w:val="CETBodytext"/>
      </w:pPr>
      <w:r>
        <w:t>In sum</w:t>
      </w:r>
      <w:r w:rsidR="006D5309">
        <w:t xml:space="preserve">, the extension of QRA to </w:t>
      </w:r>
      <w:r w:rsidR="008659E6">
        <w:t xml:space="preserve">RIF scenarios may </w:t>
      </w:r>
      <w:r w:rsidR="006D5309">
        <w:t xml:space="preserve">improve </w:t>
      </w:r>
      <w:r w:rsidR="00ED02EA">
        <w:t xml:space="preserve">the </w:t>
      </w:r>
      <w:r w:rsidR="00A301D9">
        <w:t>risk</w:t>
      </w:r>
      <w:r w:rsidR="006D5309">
        <w:t xml:space="preserve"> assessment of flammable refrigerant applications and the formulation of efficient mitigation measures.</w:t>
      </w:r>
      <w:r w:rsidR="00A83984">
        <w:t xml:space="preserve"> </w:t>
      </w:r>
      <w:r w:rsidR="000923EA">
        <w:t>T</w:t>
      </w:r>
      <w:r w:rsidR="00A83984">
        <w:t xml:space="preserve">he statistics examined in this work are linked to residential </w:t>
      </w:r>
      <w:r w:rsidR="000923EA">
        <w:t>stocks</w:t>
      </w:r>
      <w:r w:rsidR="00A83984">
        <w:t xml:space="preserve">, </w:t>
      </w:r>
      <w:r w:rsidR="000923EA">
        <w:t xml:space="preserve">but </w:t>
      </w:r>
      <w:r w:rsidR="00A83984">
        <w:t xml:space="preserve">the findings may be relevant </w:t>
      </w:r>
      <w:r w:rsidR="00A2725D">
        <w:t>to</w:t>
      </w:r>
      <w:r w:rsidR="00A83984">
        <w:t xml:space="preserve"> industrial and commercial ones </w:t>
      </w:r>
      <w:r w:rsidR="00ED02EA">
        <w:t>too</w:t>
      </w:r>
      <w:r w:rsidR="00A83984">
        <w:t xml:space="preserve">. </w:t>
      </w:r>
    </w:p>
    <w:p w14:paraId="68D26B83" w14:textId="77777777" w:rsidR="00600535" w:rsidRPr="00B57B36" w:rsidRDefault="00600535" w:rsidP="00600535">
      <w:pPr>
        <w:pStyle w:val="CETHeading1"/>
        <w:rPr>
          <w:lang w:val="en-GB"/>
        </w:rPr>
      </w:pPr>
      <w:r w:rsidRPr="00B57B36">
        <w:rPr>
          <w:lang w:val="en-GB"/>
        </w:rPr>
        <w:t>Conclusions</w:t>
      </w:r>
    </w:p>
    <w:p w14:paraId="71BE2E91" w14:textId="12FBF6DB" w:rsidR="000A30E2" w:rsidRPr="00822466" w:rsidRDefault="008659E6" w:rsidP="002936E1">
      <w:pPr>
        <w:tabs>
          <w:tab w:val="clear" w:pos="7100"/>
        </w:tabs>
        <w:spacing w:line="276" w:lineRule="auto"/>
      </w:pPr>
      <w:r w:rsidRPr="008659E6">
        <w:t xml:space="preserve">The shift towards low-GWP refrigerants like hydrocarbons is crucial for mitigating environmental impacts. However, this transition introduces new fire safety challenges due to the increased flammability of HCs. While extensive research and Quantitative Risk Assessments have been conducted on Leakage-Induced Fire scenarios, our review reveals a significant gap in understanding </w:t>
      </w:r>
      <w:r w:rsidR="00A2725D">
        <w:t>r</w:t>
      </w:r>
      <w:r w:rsidRPr="008659E6">
        <w:t>eaction-</w:t>
      </w:r>
      <w:r w:rsidR="00A2725D">
        <w:t>i</w:t>
      </w:r>
      <w:r w:rsidRPr="008659E6">
        <w:t xml:space="preserve">nfluenced </w:t>
      </w:r>
      <w:r w:rsidR="00A2725D">
        <w:t>f</w:t>
      </w:r>
      <w:r w:rsidRPr="008659E6">
        <w:t>ire</w:t>
      </w:r>
      <w:r w:rsidR="00A2725D">
        <w:t xml:space="preserve"> (RIF)</w:t>
      </w:r>
      <w:r w:rsidRPr="008659E6">
        <w:t xml:space="preserve"> scenarios involving RACHP equipment. Experimental studies indicate that RACHP components can contribute substantially to heat release rates</w:t>
      </w:r>
      <w:r w:rsidR="00211933">
        <w:t xml:space="preserve">, </w:t>
      </w:r>
      <w:r w:rsidRPr="008659E6">
        <w:t xml:space="preserve">potentially accelerating fire growth and leading to flashover conditions. Additionally, the interaction between RACHP units and combustible facade materials like External Thermal Insulation Composite Systems can exacerbate fire spread on building exteriors. </w:t>
      </w:r>
      <w:r w:rsidR="002936E1">
        <w:rPr>
          <w:rFonts w:cs="Arial"/>
          <w:color w:val="222222"/>
          <w:shd w:val="clear" w:color="auto" w:fill="FFFFFF"/>
        </w:rPr>
        <w:t>Given the consistent probability of independent fires across various regions and the potential for RACHP equipment to influence fire severity, future research will focus on expanding QRA methodologies to include RIF scenarios</w:t>
      </w:r>
      <w:r w:rsidR="00A2725D">
        <w:rPr>
          <w:rFonts w:cs="Arial"/>
          <w:color w:val="222222"/>
          <w:shd w:val="clear" w:color="auto" w:fill="FFFFFF"/>
        </w:rPr>
        <w:t xml:space="preserve"> and, ideally, adopt</w:t>
      </w:r>
      <w:r w:rsidR="002936E1">
        <w:rPr>
          <w:rFonts w:cs="Arial"/>
          <w:color w:val="222222"/>
          <w:shd w:val="clear" w:color="auto" w:fill="FFFFFF"/>
        </w:rPr>
        <w:t xml:space="preserve"> a performance-based</w:t>
      </w:r>
      <w:r w:rsidR="00A2725D">
        <w:rPr>
          <w:rFonts w:cs="Arial"/>
          <w:color w:val="222222"/>
          <w:shd w:val="clear" w:color="auto" w:fill="FFFFFF"/>
        </w:rPr>
        <w:t xml:space="preserve"> probabilistic approach</w:t>
      </w:r>
      <w:r w:rsidR="002936E1">
        <w:rPr>
          <w:rFonts w:cs="Arial"/>
          <w:color w:val="222222"/>
          <w:shd w:val="clear" w:color="auto" w:fill="FFFFFF"/>
        </w:rPr>
        <w:t xml:space="preserve">. Its extension and validity to these specific conditions </w:t>
      </w:r>
      <w:r w:rsidR="00A2725D">
        <w:rPr>
          <w:rFonts w:cs="Arial"/>
          <w:color w:val="222222"/>
          <w:shd w:val="clear" w:color="auto" w:fill="FFFFFF"/>
        </w:rPr>
        <w:t>should</w:t>
      </w:r>
      <w:r w:rsidR="002936E1">
        <w:rPr>
          <w:rFonts w:cs="Arial"/>
          <w:color w:val="222222"/>
          <w:shd w:val="clear" w:color="auto" w:fill="FFFFFF"/>
        </w:rPr>
        <w:t xml:space="preserve"> be </w:t>
      </w:r>
      <w:r w:rsidR="00A2725D">
        <w:rPr>
          <w:rFonts w:cs="Arial"/>
          <w:color w:val="222222"/>
          <w:shd w:val="clear" w:color="auto" w:fill="FFFFFF"/>
        </w:rPr>
        <w:t>developed and verified</w:t>
      </w:r>
      <w:r w:rsidR="002936E1">
        <w:rPr>
          <w:rFonts w:cs="Arial"/>
          <w:color w:val="222222"/>
          <w:shd w:val="clear" w:color="auto" w:fill="FFFFFF"/>
        </w:rPr>
        <w:t xml:space="preserve">. Finally, future research should comprise full-scale fire testing and the development of comprehensive safety standards that address both leakage risks and the fire reaction of RACHP systems. </w:t>
      </w:r>
    </w:p>
    <w:p w14:paraId="6A64A331" w14:textId="5A602942" w:rsidR="004B6260" w:rsidRPr="00B57B36" w:rsidRDefault="002A05A8" w:rsidP="002936E1">
      <w:pPr>
        <w:pStyle w:val="CETAcknowledgementstitle"/>
        <w:spacing w:after="0"/>
      </w:pPr>
      <w:r>
        <w:lastRenderedPageBreak/>
        <w:t>Acknowledgements</w:t>
      </w:r>
    </w:p>
    <w:p w14:paraId="3200F931" w14:textId="4CA1AC5A" w:rsidR="004B6260" w:rsidRPr="000022EC" w:rsidRDefault="004B6260" w:rsidP="000022EC">
      <w:pPr>
        <w:pStyle w:val="CETReference"/>
        <w:rPr>
          <w:b w:val="0"/>
          <w:bCs/>
        </w:rPr>
      </w:pPr>
      <w:r w:rsidRPr="000022EC">
        <w:rPr>
          <w:b w:val="0"/>
          <w:bCs/>
        </w:rPr>
        <w:t>This work has been funded by the University of Trento, Italy</w:t>
      </w:r>
      <w:r w:rsidR="00A17F21">
        <w:rPr>
          <w:b w:val="0"/>
          <w:bCs/>
        </w:rPr>
        <w:t>,</w:t>
      </w:r>
      <w:r w:rsidRPr="000022EC">
        <w:rPr>
          <w:b w:val="0"/>
          <w:bCs/>
        </w:rPr>
        <w:t xml:space="preserve"> </w:t>
      </w:r>
      <w:r w:rsidR="00A17F21">
        <w:rPr>
          <w:b w:val="0"/>
          <w:bCs/>
        </w:rPr>
        <w:t>within the</w:t>
      </w:r>
      <w:r w:rsidRPr="000022EC">
        <w:rPr>
          <w:b w:val="0"/>
          <w:bCs/>
        </w:rPr>
        <w:t xml:space="preserve"> </w:t>
      </w:r>
      <w:r w:rsidR="000A30E2">
        <w:rPr>
          <w:b w:val="0"/>
          <w:bCs/>
        </w:rPr>
        <w:t xml:space="preserve">framework of the </w:t>
      </w:r>
      <w:r w:rsidRPr="000022EC">
        <w:rPr>
          <w:b w:val="0"/>
          <w:bCs/>
        </w:rPr>
        <w:t>project BETTER (CUP E63C22000500003).</w:t>
      </w:r>
    </w:p>
    <w:p w14:paraId="4F1327F8" w14:textId="76F50D02" w:rsidR="00600535" w:rsidRPr="00B57B36" w:rsidRDefault="00600535" w:rsidP="00600535">
      <w:pPr>
        <w:pStyle w:val="CETReference"/>
      </w:pPr>
      <w:r w:rsidRPr="00B57B36">
        <w:t>References</w:t>
      </w:r>
    </w:p>
    <w:p w14:paraId="68699AC9" w14:textId="77777777" w:rsidR="00A17F21" w:rsidRPr="00A17F21" w:rsidRDefault="00A17F21" w:rsidP="00A17F21">
      <w:pPr>
        <w:pStyle w:val="CETReferencetext"/>
        <w:rPr>
          <w:lang w:val="en-US"/>
        </w:rPr>
      </w:pPr>
      <w:r w:rsidRPr="00A17F21">
        <w:rPr>
          <w:lang w:val="en-US"/>
        </w:rPr>
        <w:t>Anderson, J., Boström, L., &amp; Jansson McNamee, R., 2017. Fire safety of façades, Tech. Rep. 2017:37, RISE - Research Institutes of Sweden (2017-2019), Safety.</w:t>
      </w:r>
    </w:p>
    <w:p w14:paraId="3663F43A" w14:textId="77777777" w:rsidR="00A17F21" w:rsidRPr="00A17F21" w:rsidRDefault="00A17F21" w:rsidP="00A17F21">
      <w:pPr>
        <w:pStyle w:val="CETReferencetext"/>
        <w:rPr>
          <w:lang w:val="en-US"/>
        </w:rPr>
      </w:pPr>
      <w:r w:rsidRPr="00A17F21">
        <w:rPr>
          <w:lang w:val="en-US"/>
        </w:rPr>
        <w:t>Colbourne, D., 1997. A comparison of fire advancement in chest freezers subjected to a high-intensity fire when charged with Care 30 and CFC-12, Internal Appliance Fire Test Report CAS-059, Calor Gas, Warwick.</w:t>
      </w:r>
    </w:p>
    <w:p w14:paraId="339D1B6E" w14:textId="77777777" w:rsidR="00A17F21" w:rsidRPr="00A17F21" w:rsidRDefault="00A17F21" w:rsidP="00A17F21">
      <w:pPr>
        <w:pStyle w:val="CETReferencetext"/>
        <w:rPr>
          <w:lang w:val="en-US"/>
        </w:rPr>
      </w:pPr>
      <w:r w:rsidRPr="00A17F21">
        <w:rPr>
          <w:lang w:val="en-US"/>
        </w:rPr>
        <w:t>Colbourne, D., &amp; Suen, K., 2015. Comparative evaluation of risk of a split air conditioner and refrigerator using hydrocarbon refrigerants, International Journal of Refrigeration 59, 295–303.</w:t>
      </w:r>
    </w:p>
    <w:p w14:paraId="2D3213F1" w14:textId="77777777" w:rsidR="00A17F21" w:rsidRPr="00A17F21" w:rsidRDefault="00A17F21" w:rsidP="00A17F21">
      <w:pPr>
        <w:pStyle w:val="CETReferencetext"/>
        <w:rPr>
          <w:lang w:val="en-US"/>
        </w:rPr>
      </w:pPr>
      <w:r w:rsidRPr="00A17F21">
        <w:rPr>
          <w:lang w:val="it-IT"/>
        </w:rPr>
        <w:t xml:space="preserve">Colbourne, D., Suen, K., Li, T.-X., Vince, I., &amp; Vonsild, A., 2020. </w:t>
      </w:r>
      <w:r w:rsidRPr="00A17F21">
        <w:rPr>
          <w:lang w:val="en-US"/>
        </w:rPr>
        <w:t>General framework for revising class A3 refrigerant charge limits - a discussion, International Journal of Refrigeration 117, 209-2017.</w:t>
      </w:r>
    </w:p>
    <w:p w14:paraId="7533DB3D" w14:textId="77777777" w:rsidR="00A17F21" w:rsidRPr="00A17F21" w:rsidRDefault="00A17F21" w:rsidP="00A17F21">
      <w:pPr>
        <w:pStyle w:val="CETReferencetext"/>
        <w:rPr>
          <w:lang w:val="en-US"/>
        </w:rPr>
      </w:pPr>
      <w:r w:rsidRPr="00A17F21">
        <w:rPr>
          <w:lang w:val="en-US"/>
        </w:rPr>
        <w:t xml:space="preserve">Darroch, G., 2019. Watch out! Your AC can start a massive fire, India Today, September 3. </w:t>
      </w:r>
      <w:hyperlink r:id="rId13" w:tgtFrame="_new" w:history="1">
        <w:r w:rsidRPr="00A17F21">
          <w:rPr>
            <w:rStyle w:val="Collegamentoipertestuale"/>
            <w:lang w:val="en-US"/>
          </w:rPr>
          <w:t>https://www.indiatoday.in/mail-today/story/watch-out-your-ac-can-start-a-massive-fire-1595177-2019-09-03</w:t>
        </w:r>
      </w:hyperlink>
    </w:p>
    <w:p w14:paraId="616EB96E" w14:textId="77777777" w:rsidR="00A17F21" w:rsidRPr="00A17F21" w:rsidRDefault="00A17F21" w:rsidP="00A17F21">
      <w:pPr>
        <w:pStyle w:val="CETReferencetext"/>
        <w:rPr>
          <w:lang w:val="en-US"/>
        </w:rPr>
      </w:pPr>
      <w:r w:rsidRPr="00A17F21">
        <w:rPr>
          <w:lang w:val="it-IT"/>
        </w:rPr>
        <w:t xml:space="preserve">Di Filippo, R., Possidente, L., Tondini, N., &amp; Bursi, O. S., 2023. </w:t>
      </w:r>
      <w:r w:rsidRPr="00A17F21">
        <w:rPr>
          <w:lang w:val="en-US"/>
        </w:rPr>
        <w:t>Quantitative integration of fire risk with life cycle analysis of building: The case of thermal insulation, Journal of Building Engineering 160, 683–694.</w:t>
      </w:r>
    </w:p>
    <w:p w14:paraId="6FCC9DFB" w14:textId="77777777" w:rsidR="00A17F21" w:rsidRPr="00A17F21" w:rsidRDefault="00A17F21" w:rsidP="00A17F21">
      <w:pPr>
        <w:pStyle w:val="CETReferencetext"/>
        <w:rPr>
          <w:lang w:val="en-US"/>
        </w:rPr>
      </w:pPr>
      <w:r w:rsidRPr="00A17F21">
        <w:rPr>
          <w:lang w:val="it-IT"/>
        </w:rPr>
        <w:t xml:space="preserve">Di Filippo, R., Maracchini, G., 2024. </w:t>
      </w:r>
      <w:r w:rsidRPr="00A17F21">
        <w:rPr>
          <w:lang w:val="en-US"/>
        </w:rPr>
        <w:t>A probabilistic framework for stranding risk assessment and EPBD IV scenario analysis for the Italian building stock, Journal of Building Engineering 96, 110448.</w:t>
      </w:r>
    </w:p>
    <w:p w14:paraId="17D58B0A" w14:textId="77777777" w:rsidR="00A17F21" w:rsidRPr="00A17F21" w:rsidRDefault="00A17F21" w:rsidP="00A17F21">
      <w:pPr>
        <w:pStyle w:val="CETReferencetext"/>
        <w:rPr>
          <w:lang w:val="en-US"/>
        </w:rPr>
      </w:pPr>
      <w:r w:rsidRPr="00A17F21">
        <w:rPr>
          <w:lang w:val="en-US"/>
        </w:rPr>
        <w:t>Dundar, U., &amp; Selamet, S., 2023. Fire load and fire growth characteristics in modern high-rise buildings, Fire Safety Journal 135, 103710.</w:t>
      </w:r>
    </w:p>
    <w:p w14:paraId="7643C4FD" w14:textId="77777777" w:rsidR="00A17F21" w:rsidRPr="00A17F21" w:rsidRDefault="00A17F21" w:rsidP="00A17F21">
      <w:pPr>
        <w:pStyle w:val="CETReferencetext"/>
        <w:rPr>
          <w:lang w:val="en-US"/>
        </w:rPr>
      </w:pPr>
      <w:r w:rsidRPr="00A17F21">
        <w:rPr>
          <w:lang w:val="en-US"/>
        </w:rPr>
        <w:t>Georgiadis Filikas, K., Bakas, I., &amp; Kontoleon, K., 2022. Statistical analysis and review of fire incidents data of Greece, with special focus on residential cases 2000–2019, Fire Technology.</w:t>
      </w:r>
    </w:p>
    <w:p w14:paraId="20E90D41" w14:textId="2816F60E" w:rsidR="00A17F21" w:rsidRPr="00A17F21" w:rsidRDefault="00A17F21" w:rsidP="00A17F21">
      <w:pPr>
        <w:pStyle w:val="CETReferencetext"/>
        <w:rPr>
          <w:lang w:val="en-US"/>
        </w:rPr>
      </w:pPr>
      <w:r w:rsidRPr="00A17F21">
        <w:rPr>
          <w:lang w:val="en-US"/>
        </w:rPr>
        <w:t xml:space="preserve">Guo, C., Yang, Z., He, H., Li, J., Hou, Z., Zhao, Y., Hu, Y., &amp; Shu, Y., 2024. Investigation of the application safety of </w:t>
      </w:r>
      <w:r>
        <w:rPr>
          <w:lang w:val="en-US"/>
        </w:rPr>
        <w:t>R</w:t>
      </w:r>
      <w:r w:rsidRPr="00A17F21">
        <w:rPr>
          <w:lang w:val="en-US"/>
        </w:rPr>
        <w:t>-290 in residential air conditioning systems, Journal of Building Engineering 94.</w:t>
      </w:r>
    </w:p>
    <w:p w14:paraId="27AE4D75" w14:textId="77777777" w:rsidR="00A17F21" w:rsidRPr="00A17F21" w:rsidRDefault="00A17F21" w:rsidP="00A17F21">
      <w:pPr>
        <w:pStyle w:val="CETReferencetext"/>
        <w:rPr>
          <w:lang w:val="en-US"/>
        </w:rPr>
      </w:pPr>
      <w:r w:rsidRPr="00A17F21">
        <w:rPr>
          <w:lang w:val="en-US"/>
        </w:rPr>
        <w:t>Heath, E. A., 2017. Amendment to the Montreal protocol on substances that deplete the ozone layer (Kigali Amendment), International Legal Materials 56 (1), 193–205. doi:10.1017/ilm.2016.2.</w:t>
      </w:r>
    </w:p>
    <w:p w14:paraId="64DE48FC" w14:textId="77777777" w:rsidR="00A17F21" w:rsidRPr="00A17F21" w:rsidRDefault="00A17F21" w:rsidP="00A17F21">
      <w:pPr>
        <w:pStyle w:val="CETReferencetext"/>
        <w:rPr>
          <w:lang w:val="en-US"/>
        </w:rPr>
      </w:pPr>
      <w:r w:rsidRPr="00317C10">
        <w:rPr>
          <w:lang w:val="en-US"/>
        </w:rPr>
        <w:t xml:space="preserve">Hietaniemi, J., Mangs, J., &amp; Hakkarainen, T., 2001. </w:t>
      </w:r>
      <w:r w:rsidRPr="00A17F21">
        <w:rPr>
          <w:lang w:val="en-US"/>
        </w:rPr>
        <w:t xml:space="preserve">Burning of electrical household appliances an experimental study (3–60). - </w:t>
      </w:r>
      <w:hyperlink r:id="rId14" w:tgtFrame="_new" w:history="1">
        <w:r w:rsidRPr="00A17F21">
          <w:rPr>
            <w:rStyle w:val="Collegamentoipertestuale"/>
            <w:lang w:val="en-US"/>
          </w:rPr>
          <w:t>https://publications.vtt.fi/pdf/tiedotteet/2001/T2084.pdf</w:t>
        </w:r>
      </w:hyperlink>
    </w:p>
    <w:p w14:paraId="3EA2D053" w14:textId="77777777" w:rsidR="00A17F21" w:rsidRPr="00A17F21" w:rsidRDefault="00A17F21" w:rsidP="00A17F21">
      <w:pPr>
        <w:pStyle w:val="CETReferencetext"/>
        <w:rPr>
          <w:lang w:val="en-US"/>
        </w:rPr>
      </w:pPr>
      <w:r w:rsidRPr="00A17F21">
        <w:rPr>
          <w:lang w:val="en-US"/>
        </w:rPr>
        <w:t>International Electrotechnical Commission, IEC, 2022. IEC60335-2-40:2022 Edition 7.0, Household and similar electrical appliances - Safety - Part 2-40, International Standard, TC 61/SC 61D.</w:t>
      </w:r>
    </w:p>
    <w:p w14:paraId="071EE5C2" w14:textId="77777777" w:rsidR="00A17F21" w:rsidRPr="00A17F21" w:rsidRDefault="00A17F21" w:rsidP="00A17F21">
      <w:pPr>
        <w:pStyle w:val="CETReferencetext"/>
        <w:rPr>
          <w:lang w:val="en-US"/>
        </w:rPr>
      </w:pPr>
      <w:r w:rsidRPr="00A17F21">
        <w:rPr>
          <w:lang w:val="en-US"/>
        </w:rPr>
        <w:t>ISO, International Organization for Standardization, 2014. ISO 817:2014 Refrigerants — Designation and safety classification, Standard, Geneva, CH.</w:t>
      </w:r>
    </w:p>
    <w:p w14:paraId="476102A4" w14:textId="77777777" w:rsidR="00A17F21" w:rsidRPr="00A17F21" w:rsidRDefault="00A17F21" w:rsidP="00A17F21">
      <w:pPr>
        <w:pStyle w:val="CETReferencetext"/>
        <w:rPr>
          <w:lang w:val="en-US"/>
        </w:rPr>
      </w:pPr>
      <w:r w:rsidRPr="00A17F21">
        <w:rPr>
          <w:lang w:val="en-US"/>
        </w:rPr>
        <w:t>Li, Y., et al., 2023. Leakage, diffusion and distribution characteristics of refrigerant in a limited space: a comprehensive review, Thermal Science and Engineering Progress 40, 101731.</w:t>
      </w:r>
    </w:p>
    <w:p w14:paraId="6FAF2C23" w14:textId="77777777" w:rsidR="00A17F21" w:rsidRPr="00A17F21" w:rsidRDefault="00A17F21" w:rsidP="00A17F21">
      <w:pPr>
        <w:pStyle w:val="CETReferencetext"/>
        <w:rPr>
          <w:lang w:val="en-US"/>
        </w:rPr>
      </w:pPr>
      <w:r w:rsidRPr="00A17F21">
        <w:rPr>
          <w:lang w:val="en-US"/>
        </w:rPr>
        <w:t>Manes, M., &amp; Rush, D., 2018. A critical evaluation of BS PD 7974-7 structural response data based on USA fire statistics, Fire Technology 55, 10.</w:t>
      </w:r>
    </w:p>
    <w:p w14:paraId="2E3D1D66" w14:textId="77777777" w:rsidR="00A17F21" w:rsidRPr="00A17F21" w:rsidRDefault="00A17F21" w:rsidP="00A17F21">
      <w:pPr>
        <w:pStyle w:val="CETReferencetext"/>
        <w:rPr>
          <w:lang w:val="en-US"/>
        </w:rPr>
      </w:pPr>
      <w:r w:rsidRPr="00A17F21">
        <w:rPr>
          <w:lang w:val="it-IT"/>
        </w:rPr>
        <w:t xml:space="preserve">Maracchini, G., Di Filippo, R., Albatici, R., &amp; Bursi, O. S., Di Maggio, R., 2023. </w:t>
      </w:r>
      <w:r w:rsidRPr="00A17F21">
        <w:rPr>
          <w:lang w:val="en-US"/>
        </w:rPr>
        <w:t>Sustainable retrofit of existing buildings: Impact assessment of residual fluorocarbons through uncertainty and sensitivity analyses, Energies 16 (7).</w:t>
      </w:r>
    </w:p>
    <w:p w14:paraId="799D8E12" w14:textId="77777777" w:rsidR="00A17F21" w:rsidRPr="00A17F21" w:rsidRDefault="00A17F21" w:rsidP="00A17F21">
      <w:pPr>
        <w:pStyle w:val="CETReferencetext"/>
        <w:rPr>
          <w:lang w:val="en-US"/>
        </w:rPr>
      </w:pPr>
      <w:r w:rsidRPr="00A17F21">
        <w:rPr>
          <w:lang w:val="it-IT"/>
        </w:rPr>
        <w:t xml:space="preserve">MINT, Ministero dell’Interno, 2022. DM 30 marzo 2022 Norme tecniche di prevenzione incendi per le chiusure d’ambito degli edifici civili, ai sensi dell’articolo 15 del decreto legislativo 8 marzo 2006, n. 139. </w:t>
      </w:r>
      <w:r w:rsidRPr="00A17F21">
        <w:rPr>
          <w:lang w:val="en-US"/>
        </w:rPr>
        <w:t>(22A02207).</w:t>
      </w:r>
    </w:p>
    <w:p w14:paraId="2C603556" w14:textId="77777777" w:rsidR="00A17F21" w:rsidRPr="00A17F21" w:rsidRDefault="00A17F21" w:rsidP="00A17F21">
      <w:pPr>
        <w:pStyle w:val="CETReferencetext"/>
        <w:rPr>
          <w:lang w:val="en-US"/>
        </w:rPr>
      </w:pPr>
      <w:r w:rsidRPr="00A17F21">
        <w:rPr>
          <w:lang w:val="en-US"/>
        </w:rPr>
        <w:t>McKenna, S. T., et al., 2019. Fire behaviour of modern façade materials – understanding the Grenfell tower fire, Journal of Hazardous Materials 368.</w:t>
      </w:r>
    </w:p>
    <w:p w14:paraId="01EAF432" w14:textId="77777777" w:rsidR="00A17F21" w:rsidRPr="00A17F21" w:rsidRDefault="00A17F21" w:rsidP="00A17F21">
      <w:pPr>
        <w:pStyle w:val="CETReferencetext"/>
        <w:rPr>
          <w:lang w:val="en-US"/>
        </w:rPr>
      </w:pPr>
      <w:r w:rsidRPr="00A17F21">
        <w:rPr>
          <w:lang w:val="en-US"/>
        </w:rPr>
        <w:t>Ning, Q., et al., 2022. R290 leakage hazards assessment of a 1 hp split-type household air conditioner by concentration detection and ignition experiment, International Journal of Refrigeration 139, 70–83.</w:t>
      </w:r>
    </w:p>
    <w:p w14:paraId="2DA6CE60" w14:textId="77777777" w:rsidR="00A17F21" w:rsidRPr="00A17F21" w:rsidRDefault="00A17F21" w:rsidP="00A17F21">
      <w:pPr>
        <w:pStyle w:val="CETReferencetext"/>
        <w:rPr>
          <w:lang w:val="en-US"/>
        </w:rPr>
      </w:pPr>
      <w:r w:rsidRPr="00A17F21">
        <w:rPr>
          <w:lang w:val="en-US"/>
        </w:rPr>
        <w:t>Polonara, F., et al., 2017. Decision XXVIII/4 Task Force: Safety Standards For Flammable Low Global-Warming-Potential (GWP) Refrigerants, Tech. rep., United Nations Environment Programme, Nairobi, Kenya.</w:t>
      </w:r>
    </w:p>
    <w:p w14:paraId="7347F2CB" w14:textId="77777777" w:rsidR="00A17F21" w:rsidRPr="00A17F21" w:rsidRDefault="00A17F21" w:rsidP="00A17F21">
      <w:pPr>
        <w:pStyle w:val="CETReferencetext"/>
        <w:rPr>
          <w:lang w:val="en-US"/>
        </w:rPr>
      </w:pPr>
      <w:r w:rsidRPr="00A17F21">
        <w:rPr>
          <w:lang w:val="en-US"/>
        </w:rPr>
        <w:t>Project, F., ZAG, 2024. Frissbe-zag BAPV fire safety guideline, version 3.0 (May).</w:t>
      </w:r>
    </w:p>
    <w:p w14:paraId="2A3A5640" w14:textId="77777777" w:rsidR="00A17F21" w:rsidRPr="00A17F21" w:rsidRDefault="00A17F21" w:rsidP="00A17F21">
      <w:pPr>
        <w:pStyle w:val="CETReferencetext"/>
        <w:rPr>
          <w:lang w:val="en-US"/>
        </w:rPr>
      </w:pPr>
      <w:r w:rsidRPr="00A17F21">
        <w:rPr>
          <w:lang w:val="en-US"/>
        </w:rPr>
        <w:t>Rajadhyaksha, D., Wadia, B., Acharekar, A. A., &amp; Colbourne, D., 2015. The first 100 000 hc-290 split air conditioners in India, International Journal of Refrigeration 60, 289–296.</w:t>
      </w:r>
    </w:p>
    <w:p w14:paraId="1B0B9C82" w14:textId="77777777" w:rsidR="00A17F21" w:rsidRPr="00A17F21" w:rsidRDefault="00A17F21" w:rsidP="00A17F21">
      <w:pPr>
        <w:pStyle w:val="CETReferencetext"/>
        <w:rPr>
          <w:lang w:val="en-US"/>
        </w:rPr>
      </w:pPr>
      <w:r w:rsidRPr="00A17F21">
        <w:rPr>
          <w:lang w:val="en-US"/>
        </w:rPr>
        <w:t>Rukavina, M. J., Carevic, M., &amp; Pecur, I. B., 2017. Fire Protection of Facades: The Guidelines for Designers, Architects, Engineers, and Fire Experts, University of Zagreb, Faculty of Civil Engineering.</w:t>
      </w:r>
    </w:p>
    <w:p w14:paraId="277FF71A" w14:textId="7395ECFE" w:rsidR="00A17F21" w:rsidRPr="00A17F21" w:rsidRDefault="00A17F21" w:rsidP="00A17F21">
      <w:pPr>
        <w:pStyle w:val="CETReferencetext"/>
        <w:rPr>
          <w:lang w:val="en-US"/>
        </w:rPr>
      </w:pPr>
      <w:r w:rsidRPr="00A17F21">
        <w:rPr>
          <w:lang w:val="en-US"/>
        </w:rPr>
        <w:t>Simonson, M., Andersson, P., &amp; Bliss, D., 2004. Fire performance of selected IT equipment, Fire Tech</w:t>
      </w:r>
      <w:r>
        <w:rPr>
          <w:lang w:val="en-US"/>
        </w:rPr>
        <w:t>nol.,</w:t>
      </w:r>
      <w:r w:rsidRPr="00A17F21">
        <w:rPr>
          <w:lang w:val="en-US"/>
        </w:rPr>
        <w:t xml:space="preserve"> 40.</w:t>
      </w:r>
    </w:p>
    <w:p w14:paraId="73376C0C" w14:textId="77777777" w:rsidR="00A17F21" w:rsidRDefault="00A17F21" w:rsidP="00A17F21">
      <w:pPr>
        <w:pStyle w:val="CETReferencetext"/>
        <w:rPr>
          <w:lang w:val="en-US"/>
        </w:rPr>
      </w:pPr>
      <w:r w:rsidRPr="00A17F21">
        <w:rPr>
          <w:lang w:val="en-US"/>
        </w:rPr>
        <w:t>White, N., &amp; Delichatsios, M., 2015. Fire hazards of exterior wall assemblies containing combustible components, 1st Edition, SpringerBriefs in Fire, Springer, New York, NY.</w:t>
      </w:r>
    </w:p>
    <w:p w14:paraId="760B792F" w14:textId="31350812" w:rsidR="00D038A7" w:rsidRPr="00A17F21" w:rsidRDefault="00A17F21" w:rsidP="00D038A7">
      <w:pPr>
        <w:pStyle w:val="CETReferencetext"/>
        <w:rPr>
          <w:lang w:val="en-US"/>
        </w:rPr>
      </w:pPr>
      <w:r w:rsidRPr="00A17F21">
        <w:rPr>
          <w:lang w:val="en-US"/>
        </w:rPr>
        <w:t>Zhang, W.</w:t>
      </w:r>
      <w:r>
        <w:rPr>
          <w:lang w:val="en-US"/>
        </w:rPr>
        <w:t xml:space="preserve"> et al., </w:t>
      </w:r>
      <w:r w:rsidRPr="00A17F21">
        <w:rPr>
          <w:lang w:val="en-US"/>
        </w:rPr>
        <w:t>2013. Research on the flammability hazards of an air conditioner using refrigerant R-290, International Journal of Refrigeration 36 (5), 1483–1494.</w:t>
      </w:r>
    </w:p>
    <w:sectPr w:rsidR="00D038A7" w:rsidRPr="00A17F21"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53AB1" w14:textId="77777777" w:rsidR="002C5508" w:rsidRDefault="002C5508" w:rsidP="004F5E36">
      <w:r>
        <w:separator/>
      </w:r>
    </w:p>
  </w:endnote>
  <w:endnote w:type="continuationSeparator" w:id="0">
    <w:p w14:paraId="5EF58293" w14:textId="77777777" w:rsidR="002C5508" w:rsidRDefault="002C550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E703C" w14:textId="77777777" w:rsidR="002C5508" w:rsidRDefault="002C5508" w:rsidP="004F5E36">
      <w:r>
        <w:separator/>
      </w:r>
    </w:p>
  </w:footnote>
  <w:footnote w:type="continuationSeparator" w:id="0">
    <w:p w14:paraId="69EF3649" w14:textId="77777777" w:rsidR="002C5508" w:rsidRDefault="002C550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7641309"/>
    <w:multiLevelType w:val="hybridMultilevel"/>
    <w:tmpl w:val="1C8A5EDE"/>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2" w15:restartNumberingAfterBreak="0">
    <w:nsid w:val="221C56E3"/>
    <w:multiLevelType w:val="hybridMultilevel"/>
    <w:tmpl w:val="1B422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30DB6C4A"/>
    <w:multiLevelType w:val="hybridMultilevel"/>
    <w:tmpl w:val="5DBA1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F652CA3"/>
    <w:multiLevelType w:val="hybridMultilevel"/>
    <w:tmpl w:val="FDB23380"/>
    <w:lvl w:ilvl="0" w:tplc="04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3"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AF074D1"/>
    <w:multiLevelType w:val="hybridMultilevel"/>
    <w:tmpl w:val="00A2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3"/>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2"/>
  </w:num>
  <w:num w:numId="13" w16cid:durableId="695733619">
    <w:abstractNumId w:val="16"/>
  </w:num>
  <w:num w:numId="14" w16cid:durableId="145903400">
    <w:abstractNumId w:val="23"/>
  </w:num>
  <w:num w:numId="15" w16cid:durableId="19162326">
    <w:abstractNumId w:val="26"/>
  </w:num>
  <w:num w:numId="16" w16cid:durableId="1977102699">
    <w:abstractNumId w:val="25"/>
  </w:num>
  <w:num w:numId="17" w16cid:durableId="860774865">
    <w:abstractNumId w:val="15"/>
  </w:num>
  <w:num w:numId="18" w16cid:durableId="313221457">
    <w:abstractNumId w:val="16"/>
    <w:lvlOverride w:ilvl="0">
      <w:startOverride w:val="1"/>
    </w:lvlOverride>
  </w:num>
  <w:num w:numId="19" w16cid:durableId="534971577">
    <w:abstractNumId w:val="21"/>
  </w:num>
  <w:num w:numId="20" w16cid:durableId="1150947773">
    <w:abstractNumId w:val="20"/>
  </w:num>
  <w:num w:numId="21" w16cid:durableId="124660497">
    <w:abstractNumId w:val="18"/>
  </w:num>
  <w:num w:numId="22" w16cid:durableId="2099861471">
    <w:abstractNumId w:val="17"/>
  </w:num>
  <w:num w:numId="23" w16cid:durableId="84351335">
    <w:abstractNumId w:val="10"/>
  </w:num>
  <w:num w:numId="24" w16cid:durableId="1319111327">
    <w:abstractNumId w:val="14"/>
  </w:num>
  <w:num w:numId="25" w16cid:durableId="371198159">
    <w:abstractNumId w:val="12"/>
  </w:num>
  <w:num w:numId="26" w16cid:durableId="1297877062">
    <w:abstractNumId w:val="11"/>
  </w:num>
  <w:num w:numId="27" w16cid:durableId="1516113870">
    <w:abstractNumId w:val="13"/>
  </w:num>
  <w:num w:numId="28" w16cid:durableId="1631937998">
    <w:abstractNumId w:val="24"/>
  </w:num>
  <w:num w:numId="29" w16cid:durableId="732431150">
    <w:abstractNumId w:val="13"/>
  </w:num>
  <w:num w:numId="30" w16cid:durableId="1333296340">
    <w:abstractNumId w:val="13"/>
  </w:num>
  <w:num w:numId="31" w16cid:durableId="2028208968">
    <w:abstractNumId w:val="13"/>
  </w:num>
  <w:num w:numId="32" w16cid:durableId="1790053812">
    <w:abstractNumId w:val="13"/>
  </w:num>
  <w:num w:numId="33" w16cid:durableId="1387416514">
    <w:abstractNumId w:val="13"/>
  </w:num>
  <w:num w:numId="34" w16cid:durableId="1488594577">
    <w:abstractNumId w:val="13"/>
  </w:num>
  <w:num w:numId="35" w16cid:durableId="32408879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MqwFAHLguIctAAAA"/>
  </w:docVars>
  <w:rsids>
    <w:rsidRoot w:val="000E414A"/>
    <w:rsid w:val="000022EC"/>
    <w:rsid w:val="000027C0"/>
    <w:rsid w:val="000052FB"/>
    <w:rsid w:val="00005A19"/>
    <w:rsid w:val="000117CB"/>
    <w:rsid w:val="0001744B"/>
    <w:rsid w:val="000233CD"/>
    <w:rsid w:val="00026FC1"/>
    <w:rsid w:val="0003148D"/>
    <w:rsid w:val="00031EEC"/>
    <w:rsid w:val="00035A2F"/>
    <w:rsid w:val="00044851"/>
    <w:rsid w:val="00051566"/>
    <w:rsid w:val="000562A9"/>
    <w:rsid w:val="00062A9A"/>
    <w:rsid w:val="00064F8D"/>
    <w:rsid w:val="00065058"/>
    <w:rsid w:val="000749C4"/>
    <w:rsid w:val="00076799"/>
    <w:rsid w:val="00081881"/>
    <w:rsid w:val="00082E01"/>
    <w:rsid w:val="00086C39"/>
    <w:rsid w:val="00091ECD"/>
    <w:rsid w:val="000923EA"/>
    <w:rsid w:val="000A03B2"/>
    <w:rsid w:val="000A30E2"/>
    <w:rsid w:val="000C50F6"/>
    <w:rsid w:val="000D0268"/>
    <w:rsid w:val="000D074C"/>
    <w:rsid w:val="000D34BE"/>
    <w:rsid w:val="000E0B3C"/>
    <w:rsid w:val="000E102F"/>
    <w:rsid w:val="000E36F1"/>
    <w:rsid w:val="000E3A73"/>
    <w:rsid w:val="000E414A"/>
    <w:rsid w:val="000E75FD"/>
    <w:rsid w:val="000F093C"/>
    <w:rsid w:val="000F5F5D"/>
    <w:rsid w:val="000F787B"/>
    <w:rsid w:val="001042CD"/>
    <w:rsid w:val="0012091F"/>
    <w:rsid w:val="00126BC2"/>
    <w:rsid w:val="001308B6"/>
    <w:rsid w:val="0013121F"/>
    <w:rsid w:val="00131FE6"/>
    <w:rsid w:val="0013263F"/>
    <w:rsid w:val="001331DF"/>
    <w:rsid w:val="00134214"/>
    <w:rsid w:val="00134DE4"/>
    <w:rsid w:val="0014034D"/>
    <w:rsid w:val="00140FE3"/>
    <w:rsid w:val="00144D16"/>
    <w:rsid w:val="0014622D"/>
    <w:rsid w:val="00150E59"/>
    <w:rsid w:val="00152DE3"/>
    <w:rsid w:val="001562C9"/>
    <w:rsid w:val="00164CF9"/>
    <w:rsid w:val="00165776"/>
    <w:rsid w:val="001667A6"/>
    <w:rsid w:val="0018171E"/>
    <w:rsid w:val="00184AD6"/>
    <w:rsid w:val="0019459D"/>
    <w:rsid w:val="001A4AF7"/>
    <w:rsid w:val="001B0349"/>
    <w:rsid w:val="001B1E93"/>
    <w:rsid w:val="001B65C1"/>
    <w:rsid w:val="001C260F"/>
    <w:rsid w:val="001C5C3A"/>
    <w:rsid w:val="001C684B"/>
    <w:rsid w:val="001D0CFB"/>
    <w:rsid w:val="001D21AF"/>
    <w:rsid w:val="001D53FC"/>
    <w:rsid w:val="001E6ABC"/>
    <w:rsid w:val="001F42A5"/>
    <w:rsid w:val="001F7B9D"/>
    <w:rsid w:val="002006D3"/>
    <w:rsid w:val="00201C93"/>
    <w:rsid w:val="00203F69"/>
    <w:rsid w:val="00211933"/>
    <w:rsid w:val="002224B4"/>
    <w:rsid w:val="002447EF"/>
    <w:rsid w:val="00251550"/>
    <w:rsid w:val="00257C73"/>
    <w:rsid w:val="00263B05"/>
    <w:rsid w:val="0027221A"/>
    <w:rsid w:val="00275B61"/>
    <w:rsid w:val="00280FAF"/>
    <w:rsid w:val="00282656"/>
    <w:rsid w:val="002936E1"/>
    <w:rsid w:val="00296B83"/>
    <w:rsid w:val="002A05A8"/>
    <w:rsid w:val="002B1384"/>
    <w:rsid w:val="002B4015"/>
    <w:rsid w:val="002B78CE"/>
    <w:rsid w:val="002C2BC1"/>
    <w:rsid w:val="002C2FB6"/>
    <w:rsid w:val="002C5508"/>
    <w:rsid w:val="002D73E0"/>
    <w:rsid w:val="002E1870"/>
    <w:rsid w:val="002E5FA7"/>
    <w:rsid w:val="002F3309"/>
    <w:rsid w:val="002F3D17"/>
    <w:rsid w:val="003008CE"/>
    <w:rsid w:val="003009B7"/>
    <w:rsid w:val="00300E56"/>
    <w:rsid w:val="0030152C"/>
    <w:rsid w:val="0030469C"/>
    <w:rsid w:val="00317C10"/>
    <w:rsid w:val="00321CA6"/>
    <w:rsid w:val="00323763"/>
    <w:rsid w:val="00323C5F"/>
    <w:rsid w:val="00334C09"/>
    <w:rsid w:val="00335DF6"/>
    <w:rsid w:val="00336587"/>
    <w:rsid w:val="003378F1"/>
    <w:rsid w:val="00342BD9"/>
    <w:rsid w:val="00353D31"/>
    <w:rsid w:val="00354C46"/>
    <w:rsid w:val="003723D4"/>
    <w:rsid w:val="00381905"/>
    <w:rsid w:val="003829F3"/>
    <w:rsid w:val="00384CC8"/>
    <w:rsid w:val="003867FF"/>
    <w:rsid w:val="003871FD"/>
    <w:rsid w:val="003877F1"/>
    <w:rsid w:val="003A1E30"/>
    <w:rsid w:val="003A2829"/>
    <w:rsid w:val="003A68B2"/>
    <w:rsid w:val="003A7D1C"/>
    <w:rsid w:val="003B0F19"/>
    <w:rsid w:val="003B304B"/>
    <w:rsid w:val="003B3146"/>
    <w:rsid w:val="003B49CD"/>
    <w:rsid w:val="003B4FE6"/>
    <w:rsid w:val="003B6957"/>
    <w:rsid w:val="003D1552"/>
    <w:rsid w:val="003D1E02"/>
    <w:rsid w:val="003E7CC2"/>
    <w:rsid w:val="003F015E"/>
    <w:rsid w:val="00400414"/>
    <w:rsid w:val="00404AE5"/>
    <w:rsid w:val="0041446B"/>
    <w:rsid w:val="00434DA6"/>
    <w:rsid w:val="0044071E"/>
    <w:rsid w:val="0044329C"/>
    <w:rsid w:val="00451E6C"/>
    <w:rsid w:val="00453E24"/>
    <w:rsid w:val="00457456"/>
    <w:rsid w:val="004577FE"/>
    <w:rsid w:val="00457B9C"/>
    <w:rsid w:val="0046164A"/>
    <w:rsid w:val="004628D2"/>
    <w:rsid w:val="00462DCD"/>
    <w:rsid w:val="004648AD"/>
    <w:rsid w:val="00466950"/>
    <w:rsid w:val="00467ACD"/>
    <w:rsid w:val="004703A9"/>
    <w:rsid w:val="004760DE"/>
    <w:rsid w:val="004763D7"/>
    <w:rsid w:val="00480E09"/>
    <w:rsid w:val="0049417C"/>
    <w:rsid w:val="004A004E"/>
    <w:rsid w:val="004A24CF"/>
    <w:rsid w:val="004B6260"/>
    <w:rsid w:val="004C3D1D"/>
    <w:rsid w:val="004C3D84"/>
    <w:rsid w:val="004C7913"/>
    <w:rsid w:val="004E0BBC"/>
    <w:rsid w:val="004E4DD6"/>
    <w:rsid w:val="004F5E36"/>
    <w:rsid w:val="00502094"/>
    <w:rsid w:val="00507B47"/>
    <w:rsid w:val="00507BEF"/>
    <w:rsid w:val="00507CC9"/>
    <w:rsid w:val="005119A5"/>
    <w:rsid w:val="005205E3"/>
    <w:rsid w:val="00524D8A"/>
    <w:rsid w:val="005278B7"/>
    <w:rsid w:val="005302E6"/>
    <w:rsid w:val="00532016"/>
    <w:rsid w:val="005346C8"/>
    <w:rsid w:val="005424FC"/>
    <w:rsid w:val="00543E7D"/>
    <w:rsid w:val="00547A68"/>
    <w:rsid w:val="005531C9"/>
    <w:rsid w:val="00554879"/>
    <w:rsid w:val="0055745C"/>
    <w:rsid w:val="00561EC7"/>
    <w:rsid w:val="00566CAB"/>
    <w:rsid w:val="00570C43"/>
    <w:rsid w:val="00575EB3"/>
    <w:rsid w:val="00592049"/>
    <w:rsid w:val="00592274"/>
    <w:rsid w:val="005B2110"/>
    <w:rsid w:val="005B350B"/>
    <w:rsid w:val="005B465E"/>
    <w:rsid w:val="005B5A13"/>
    <w:rsid w:val="005B61E6"/>
    <w:rsid w:val="005C20A0"/>
    <w:rsid w:val="005C77E1"/>
    <w:rsid w:val="005C7D38"/>
    <w:rsid w:val="005D668A"/>
    <w:rsid w:val="005D6A2F"/>
    <w:rsid w:val="005E0592"/>
    <w:rsid w:val="005E1A82"/>
    <w:rsid w:val="005E794C"/>
    <w:rsid w:val="005F0A28"/>
    <w:rsid w:val="005F0E5E"/>
    <w:rsid w:val="00600535"/>
    <w:rsid w:val="00610CD6"/>
    <w:rsid w:val="0061120A"/>
    <w:rsid w:val="00615C46"/>
    <w:rsid w:val="006174CF"/>
    <w:rsid w:val="00620DEE"/>
    <w:rsid w:val="00621F92"/>
    <w:rsid w:val="0062280A"/>
    <w:rsid w:val="006231E1"/>
    <w:rsid w:val="00625639"/>
    <w:rsid w:val="00631B33"/>
    <w:rsid w:val="0064184D"/>
    <w:rsid w:val="006422CC"/>
    <w:rsid w:val="00651D18"/>
    <w:rsid w:val="00660E3E"/>
    <w:rsid w:val="00662E74"/>
    <w:rsid w:val="0067233D"/>
    <w:rsid w:val="00680C23"/>
    <w:rsid w:val="00682B7E"/>
    <w:rsid w:val="0068302D"/>
    <w:rsid w:val="00683E23"/>
    <w:rsid w:val="0068404B"/>
    <w:rsid w:val="0069136D"/>
    <w:rsid w:val="00693766"/>
    <w:rsid w:val="006A3281"/>
    <w:rsid w:val="006A6DE5"/>
    <w:rsid w:val="006B4888"/>
    <w:rsid w:val="006C2E45"/>
    <w:rsid w:val="006C359C"/>
    <w:rsid w:val="006C5579"/>
    <w:rsid w:val="006C5759"/>
    <w:rsid w:val="006D5309"/>
    <w:rsid w:val="006D6E8B"/>
    <w:rsid w:val="006D7209"/>
    <w:rsid w:val="006E5286"/>
    <w:rsid w:val="006E737D"/>
    <w:rsid w:val="006F1EC6"/>
    <w:rsid w:val="00700B33"/>
    <w:rsid w:val="00702B7B"/>
    <w:rsid w:val="00707DD1"/>
    <w:rsid w:val="00713973"/>
    <w:rsid w:val="007148EC"/>
    <w:rsid w:val="00720A24"/>
    <w:rsid w:val="00732386"/>
    <w:rsid w:val="0073514D"/>
    <w:rsid w:val="00742CF1"/>
    <w:rsid w:val="007447F3"/>
    <w:rsid w:val="0075499F"/>
    <w:rsid w:val="00757583"/>
    <w:rsid w:val="007607E6"/>
    <w:rsid w:val="007643DD"/>
    <w:rsid w:val="007661C8"/>
    <w:rsid w:val="007708FA"/>
    <w:rsid w:val="0077098D"/>
    <w:rsid w:val="007834C6"/>
    <w:rsid w:val="00785BF9"/>
    <w:rsid w:val="007861D9"/>
    <w:rsid w:val="0079049C"/>
    <w:rsid w:val="007931FA"/>
    <w:rsid w:val="00794FB2"/>
    <w:rsid w:val="00795CD5"/>
    <w:rsid w:val="007A1A41"/>
    <w:rsid w:val="007A4861"/>
    <w:rsid w:val="007A7BBA"/>
    <w:rsid w:val="007B0C50"/>
    <w:rsid w:val="007B48F9"/>
    <w:rsid w:val="007B6A0F"/>
    <w:rsid w:val="007C091A"/>
    <w:rsid w:val="007C1A43"/>
    <w:rsid w:val="007D0951"/>
    <w:rsid w:val="007D5B2E"/>
    <w:rsid w:val="007D610D"/>
    <w:rsid w:val="007E2115"/>
    <w:rsid w:val="007F1BA8"/>
    <w:rsid w:val="007F28C3"/>
    <w:rsid w:val="007F5FA2"/>
    <w:rsid w:val="0080013E"/>
    <w:rsid w:val="00801759"/>
    <w:rsid w:val="00813288"/>
    <w:rsid w:val="008168FC"/>
    <w:rsid w:val="00822466"/>
    <w:rsid w:val="00830996"/>
    <w:rsid w:val="008345F1"/>
    <w:rsid w:val="008659E6"/>
    <w:rsid w:val="00865B07"/>
    <w:rsid w:val="008667EA"/>
    <w:rsid w:val="0087637F"/>
    <w:rsid w:val="00892AD5"/>
    <w:rsid w:val="008A1512"/>
    <w:rsid w:val="008C56E3"/>
    <w:rsid w:val="008D32B9"/>
    <w:rsid w:val="008D4181"/>
    <w:rsid w:val="008D433B"/>
    <w:rsid w:val="008D4A16"/>
    <w:rsid w:val="008E2C1E"/>
    <w:rsid w:val="008E5401"/>
    <w:rsid w:val="008E566E"/>
    <w:rsid w:val="0090161A"/>
    <w:rsid w:val="009019DE"/>
    <w:rsid w:val="00901EB6"/>
    <w:rsid w:val="009041F8"/>
    <w:rsid w:val="00904C62"/>
    <w:rsid w:val="00922BA8"/>
    <w:rsid w:val="00924DAC"/>
    <w:rsid w:val="009264CF"/>
    <w:rsid w:val="00927058"/>
    <w:rsid w:val="00940918"/>
    <w:rsid w:val="00942750"/>
    <w:rsid w:val="00943E6D"/>
    <w:rsid w:val="009450CE"/>
    <w:rsid w:val="009458C1"/>
    <w:rsid w:val="009459BB"/>
    <w:rsid w:val="00947179"/>
    <w:rsid w:val="00950F5F"/>
    <w:rsid w:val="0095164B"/>
    <w:rsid w:val="00954090"/>
    <w:rsid w:val="009573E7"/>
    <w:rsid w:val="00963E05"/>
    <w:rsid w:val="00964A45"/>
    <w:rsid w:val="00967843"/>
    <w:rsid w:val="00967D54"/>
    <w:rsid w:val="00971028"/>
    <w:rsid w:val="00993B84"/>
    <w:rsid w:val="00994C6A"/>
    <w:rsid w:val="00996483"/>
    <w:rsid w:val="00996F5A"/>
    <w:rsid w:val="009A3E36"/>
    <w:rsid w:val="009A6599"/>
    <w:rsid w:val="009B041A"/>
    <w:rsid w:val="009B0538"/>
    <w:rsid w:val="009C37C3"/>
    <w:rsid w:val="009C7C86"/>
    <w:rsid w:val="009D2FF7"/>
    <w:rsid w:val="009E455E"/>
    <w:rsid w:val="009E7884"/>
    <w:rsid w:val="009E788A"/>
    <w:rsid w:val="009F0E08"/>
    <w:rsid w:val="00A079AE"/>
    <w:rsid w:val="00A1763D"/>
    <w:rsid w:val="00A17CEC"/>
    <w:rsid w:val="00A17F21"/>
    <w:rsid w:val="00A21E90"/>
    <w:rsid w:val="00A2725D"/>
    <w:rsid w:val="00A27B28"/>
    <w:rsid w:val="00A27EF0"/>
    <w:rsid w:val="00A301D9"/>
    <w:rsid w:val="00A32BAB"/>
    <w:rsid w:val="00A42361"/>
    <w:rsid w:val="00A50B20"/>
    <w:rsid w:val="00A51390"/>
    <w:rsid w:val="00A60D13"/>
    <w:rsid w:val="00A7208F"/>
    <w:rsid w:val="00A7223D"/>
    <w:rsid w:val="00A72745"/>
    <w:rsid w:val="00A72FB8"/>
    <w:rsid w:val="00A74054"/>
    <w:rsid w:val="00A76EFC"/>
    <w:rsid w:val="00A8071F"/>
    <w:rsid w:val="00A83984"/>
    <w:rsid w:val="00A87D50"/>
    <w:rsid w:val="00A91010"/>
    <w:rsid w:val="00A97F29"/>
    <w:rsid w:val="00AA702E"/>
    <w:rsid w:val="00AA7D26"/>
    <w:rsid w:val="00AB0964"/>
    <w:rsid w:val="00AB3F7E"/>
    <w:rsid w:val="00AB5011"/>
    <w:rsid w:val="00AC48CD"/>
    <w:rsid w:val="00AC7368"/>
    <w:rsid w:val="00AD0DF2"/>
    <w:rsid w:val="00AD16B9"/>
    <w:rsid w:val="00AE377D"/>
    <w:rsid w:val="00AE4183"/>
    <w:rsid w:val="00AF0EBA"/>
    <w:rsid w:val="00AF1734"/>
    <w:rsid w:val="00AF2463"/>
    <w:rsid w:val="00B02C8A"/>
    <w:rsid w:val="00B17FBD"/>
    <w:rsid w:val="00B2282D"/>
    <w:rsid w:val="00B25CA7"/>
    <w:rsid w:val="00B27B44"/>
    <w:rsid w:val="00B315A6"/>
    <w:rsid w:val="00B31813"/>
    <w:rsid w:val="00B33365"/>
    <w:rsid w:val="00B40B46"/>
    <w:rsid w:val="00B43FA7"/>
    <w:rsid w:val="00B57B36"/>
    <w:rsid w:val="00B57E6F"/>
    <w:rsid w:val="00B74826"/>
    <w:rsid w:val="00B76225"/>
    <w:rsid w:val="00B8686D"/>
    <w:rsid w:val="00B937FE"/>
    <w:rsid w:val="00B93F69"/>
    <w:rsid w:val="00BA0066"/>
    <w:rsid w:val="00BB1DDC"/>
    <w:rsid w:val="00BC30C9"/>
    <w:rsid w:val="00BD077D"/>
    <w:rsid w:val="00BE08CF"/>
    <w:rsid w:val="00BE3E58"/>
    <w:rsid w:val="00BE4B24"/>
    <w:rsid w:val="00BF13CE"/>
    <w:rsid w:val="00BF3297"/>
    <w:rsid w:val="00C01616"/>
    <w:rsid w:val="00C0162B"/>
    <w:rsid w:val="00C068ED"/>
    <w:rsid w:val="00C146BD"/>
    <w:rsid w:val="00C22E0C"/>
    <w:rsid w:val="00C345B1"/>
    <w:rsid w:val="00C40142"/>
    <w:rsid w:val="00C41EAC"/>
    <w:rsid w:val="00C52C3C"/>
    <w:rsid w:val="00C57182"/>
    <w:rsid w:val="00C57863"/>
    <w:rsid w:val="00C640AF"/>
    <w:rsid w:val="00C655FD"/>
    <w:rsid w:val="00C72E4A"/>
    <w:rsid w:val="00C74C92"/>
    <w:rsid w:val="00C75407"/>
    <w:rsid w:val="00C841C6"/>
    <w:rsid w:val="00C870A8"/>
    <w:rsid w:val="00C907ED"/>
    <w:rsid w:val="00C94434"/>
    <w:rsid w:val="00CA0D75"/>
    <w:rsid w:val="00CA1C95"/>
    <w:rsid w:val="00CA5A3B"/>
    <w:rsid w:val="00CA5A9C"/>
    <w:rsid w:val="00CC0684"/>
    <w:rsid w:val="00CC47D3"/>
    <w:rsid w:val="00CC4C20"/>
    <w:rsid w:val="00CD3517"/>
    <w:rsid w:val="00CD5FE2"/>
    <w:rsid w:val="00CE7C68"/>
    <w:rsid w:val="00D02B4C"/>
    <w:rsid w:val="00D038A7"/>
    <w:rsid w:val="00D040C4"/>
    <w:rsid w:val="00D10FCD"/>
    <w:rsid w:val="00D20AD1"/>
    <w:rsid w:val="00D23A36"/>
    <w:rsid w:val="00D2582C"/>
    <w:rsid w:val="00D35D37"/>
    <w:rsid w:val="00D46B7E"/>
    <w:rsid w:val="00D54915"/>
    <w:rsid w:val="00D5500E"/>
    <w:rsid w:val="00D57C84"/>
    <w:rsid w:val="00D6057D"/>
    <w:rsid w:val="00D71640"/>
    <w:rsid w:val="00D71C58"/>
    <w:rsid w:val="00D73B84"/>
    <w:rsid w:val="00D836C5"/>
    <w:rsid w:val="00D84576"/>
    <w:rsid w:val="00D95B68"/>
    <w:rsid w:val="00DA10CF"/>
    <w:rsid w:val="00DA1399"/>
    <w:rsid w:val="00DA24C6"/>
    <w:rsid w:val="00DA4D7B"/>
    <w:rsid w:val="00DC2840"/>
    <w:rsid w:val="00DC73EE"/>
    <w:rsid w:val="00DD271C"/>
    <w:rsid w:val="00DD74A8"/>
    <w:rsid w:val="00DE264A"/>
    <w:rsid w:val="00DE5977"/>
    <w:rsid w:val="00DF2620"/>
    <w:rsid w:val="00DF5072"/>
    <w:rsid w:val="00E02D18"/>
    <w:rsid w:val="00E041E7"/>
    <w:rsid w:val="00E23CA1"/>
    <w:rsid w:val="00E409A8"/>
    <w:rsid w:val="00E424EA"/>
    <w:rsid w:val="00E50C12"/>
    <w:rsid w:val="00E60A24"/>
    <w:rsid w:val="00E6238E"/>
    <w:rsid w:val="00E65B91"/>
    <w:rsid w:val="00E7209D"/>
    <w:rsid w:val="00E72EAD"/>
    <w:rsid w:val="00E77223"/>
    <w:rsid w:val="00E77B52"/>
    <w:rsid w:val="00E8128F"/>
    <w:rsid w:val="00E8528B"/>
    <w:rsid w:val="00E85B94"/>
    <w:rsid w:val="00E9004D"/>
    <w:rsid w:val="00E978D0"/>
    <w:rsid w:val="00EA4613"/>
    <w:rsid w:val="00EA7F91"/>
    <w:rsid w:val="00EB1523"/>
    <w:rsid w:val="00EB60AA"/>
    <w:rsid w:val="00EC0E49"/>
    <w:rsid w:val="00EC101F"/>
    <w:rsid w:val="00EC1D9F"/>
    <w:rsid w:val="00EC24FF"/>
    <w:rsid w:val="00EC4FF1"/>
    <w:rsid w:val="00ED02EA"/>
    <w:rsid w:val="00EE0131"/>
    <w:rsid w:val="00EE17B0"/>
    <w:rsid w:val="00EF06D9"/>
    <w:rsid w:val="00EF0741"/>
    <w:rsid w:val="00F0023F"/>
    <w:rsid w:val="00F057F6"/>
    <w:rsid w:val="00F22127"/>
    <w:rsid w:val="00F27EE4"/>
    <w:rsid w:val="00F3049E"/>
    <w:rsid w:val="00F30C64"/>
    <w:rsid w:val="00F32BA2"/>
    <w:rsid w:val="00F32CDB"/>
    <w:rsid w:val="00F37B3C"/>
    <w:rsid w:val="00F41EE4"/>
    <w:rsid w:val="00F45548"/>
    <w:rsid w:val="00F50E59"/>
    <w:rsid w:val="00F565FE"/>
    <w:rsid w:val="00F63A70"/>
    <w:rsid w:val="00F63D8C"/>
    <w:rsid w:val="00F7534E"/>
    <w:rsid w:val="00F817B7"/>
    <w:rsid w:val="00F93EDF"/>
    <w:rsid w:val="00FA1802"/>
    <w:rsid w:val="00FA21D0"/>
    <w:rsid w:val="00FA5F5F"/>
    <w:rsid w:val="00FB1256"/>
    <w:rsid w:val="00FB2DF0"/>
    <w:rsid w:val="00FB698E"/>
    <w:rsid w:val="00FB730C"/>
    <w:rsid w:val="00FC2695"/>
    <w:rsid w:val="00FC3E03"/>
    <w:rsid w:val="00FC3FC1"/>
    <w:rsid w:val="00FD3F29"/>
    <w:rsid w:val="00FE6C0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2F3D17"/>
    <w:rPr>
      <w:color w:val="605E5C"/>
      <w:shd w:val="clear" w:color="auto" w:fill="E1DFDD"/>
    </w:rPr>
  </w:style>
  <w:style w:type="paragraph" w:styleId="Revisione">
    <w:name w:val="Revision"/>
    <w:hidden/>
    <w:uiPriority w:val="99"/>
    <w:semiHidden/>
    <w:rsid w:val="00940918"/>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42758047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17572">
      <w:bodyDiv w:val="1"/>
      <w:marLeft w:val="0"/>
      <w:marRight w:val="0"/>
      <w:marTop w:val="0"/>
      <w:marBottom w:val="0"/>
      <w:divBdr>
        <w:top w:val="none" w:sz="0" w:space="0" w:color="auto"/>
        <w:left w:val="none" w:sz="0" w:space="0" w:color="auto"/>
        <w:bottom w:val="none" w:sz="0" w:space="0" w:color="auto"/>
        <w:right w:val="none" w:sz="0" w:space="0" w:color="auto"/>
      </w:divBdr>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2651">
      <w:bodyDiv w:val="1"/>
      <w:marLeft w:val="0"/>
      <w:marRight w:val="0"/>
      <w:marTop w:val="0"/>
      <w:marBottom w:val="0"/>
      <w:divBdr>
        <w:top w:val="none" w:sz="0" w:space="0" w:color="auto"/>
        <w:left w:val="none" w:sz="0" w:space="0" w:color="auto"/>
        <w:bottom w:val="none" w:sz="0" w:space="0" w:color="auto"/>
        <w:right w:val="none" w:sz="0" w:space="0" w:color="auto"/>
      </w:divBdr>
    </w:div>
    <w:div w:id="982928093">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0518671">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10321344">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ndiatoday.in/mail-today/story/watch-out-your-ac-can-start-a-massive-fire-1595177-2019-09-0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ublications.vtt.fi/pdf/tiedotteet/2001/T2084.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4055</Words>
  <Characters>23115</Characters>
  <Application>Microsoft Office Word</Application>
  <DocSecurity>0</DocSecurity>
  <Lines>192</Lines>
  <Paragraphs>54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Sauro Pierucci</cp:lastModifiedBy>
  <cp:revision>5</cp:revision>
  <cp:lastPrinted>2015-05-12T18:31:00Z</cp:lastPrinted>
  <dcterms:created xsi:type="dcterms:W3CDTF">2024-11-18T08:33:00Z</dcterms:created>
  <dcterms:modified xsi:type="dcterms:W3CDTF">2025-02-19T09:52:00Z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793a4db1f2703913998a14e3e01c6046c817a72edf592bb3535875919b393864</vt:lpwstr>
  </property>
</Properties>
</file>