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84F03" w14:paraId="2A131A54" w14:textId="77777777" w:rsidTr="000958BF">
        <w:trPr>
          <w:trHeight w:val="852"/>
          <w:jc w:val="center"/>
        </w:trPr>
        <w:tc>
          <w:tcPr>
            <w:tcW w:w="6940" w:type="dxa"/>
            <w:vMerge w:val="restart"/>
            <w:tcBorders>
              <w:right w:val="single" w:sz="4" w:space="0" w:color="auto"/>
            </w:tcBorders>
          </w:tcPr>
          <w:p w14:paraId="38C3D2BA" w14:textId="77777777" w:rsidR="000A03B2" w:rsidRPr="00084F03" w:rsidRDefault="000A03B2" w:rsidP="00DE264A">
            <w:pPr>
              <w:tabs>
                <w:tab w:val="left" w:pos="-108"/>
              </w:tabs>
              <w:ind w:left="-108"/>
              <w:jc w:val="left"/>
              <w:rPr>
                <w:rFonts w:cs="Arial"/>
                <w:b/>
                <w:bCs/>
                <w:i/>
                <w:iCs/>
                <w:color w:val="000066"/>
                <w:sz w:val="12"/>
                <w:szCs w:val="12"/>
                <w:lang w:val="en-US" w:eastAsia="it-IT"/>
              </w:rPr>
            </w:pPr>
            <w:r w:rsidRPr="00084F03">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84F03">
              <w:rPr>
                <w:rFonts w:ascii="AdvP6960" w:hAnsi="AdvP6960" w:cs="AdvP6960"/>
                <w:color w:val="241F20"/>
                <w:szCs w:val="18"/>
                <w:lang w:val="en-US" w:eastAsia="it-IT"/>
              </w:rPr>
              <w:t xml:space="preserve"> </w:t>
            </w:r>
            <w:r w:rsidRPr="00084F03">
              <w:rPr>
                <w:rFonts w:cs="Arial"/>
                <w:b/>
                <w:bCs/>
                <w:i/>
                <w:iCs/>
                <w:color w:val="000066"/>
                <w:sz w:val="24"/>
                <w:szCs w:val="24"/>
                <w:lang w:val="en-US" w:eastAsia="it-IT"/>
              </w:rPr>
              <w:t>CHEMICAL ENGINEERING</w:t>
            </w:r>
            <w:r w:rsidRPr="00084F03">
              <w:rPr>
                <w:rFonts w:cs="Arial"/>
                <w:b/>
                <w:bCs/>
                <w:i/>
                <w:iCs/>
                <w:color w:val="0033FF"/>
                <w:sz w:val="24"/>
                <w:szCs w:val="24"/>
                <w:lang w:val="en-US" w:eastAsia="it-IT"/>
              </w:rPr>
              <w:t xml:space="preserve"> </w:t>
            </w:r>
            <w:r w:rsidRPr="00084F03">
              <w:rPr>
                <w:rFonts w:cs="Arial"/>
                <w:b/>
                <w:bCs/>
                <w:i/>
                <w:iCs/>
                <w:color w:val="666666"/>
                <w:sz w:val="24"/>
                <w:szCs w:val="24"/>
                <w:lang w:val="en-US" w:eastAsia="it-IT"/>
              </w:rPr>
              <w:t>TRANSACTIONS</w:t>
            </w:r>
            <w:r w:rsidRPr="00084F03">
              <w:rPr>
                <w:color w:val="333333"/>
                <w:sz w:val="24"/>
                <w:szCs w:val="24"/>
                <w:lang w:val="en-US" w:eastAsia="it-IT"/>
              </w:rPr>
              <w:t xml:space="preserve"> </w:t>
            </w:r>
            <w:r w:rsidRPr="00084F03">
              <w:rPr>
                <w:rFonts w:cs="Arial"/>
                <w:b/>
                <w:bCs/>
                <w:i/>
                <w:iCs/>
                <w:color w:val="000066"/>
                <w:sz w:val="27"/>
                <w:szCs w:val="27"/>
                <w:lang w:val="en-US" w:eastAsia="it-IT"/>
              </w:rPr>
              <w:br/>
            </w:r>
          </w:p>
          <w:p w14:paraId="4B780582" w14:textId="4E582919" w:rsidR="000A03B2" w:rsidRPr="00084F03" w:rsidRDefault="00A76EFC" w:rsidP="0098048F">
            <w:pPr>
              <w:tabs>
                <w:tab w:val="left" w:pos="-108"/>
              </w:tabs>
              <w:ind w:left="-108"/>
              <w:rPr>
                <w:rFonts w:cs="Arial"/>
                <w:b/>
                <w:bCs/>
                <w:i/>
                <w:iCs/>
                <w:color w:val="000066"/>
                <w:sz w:val="22"/>
                <w:szCs w:val="22"/>
                <w:lang w:val="en-US" w:eastAsia="it-IT"/>
              </w:rPr>
            </w:pPr>
            <w:r w:rsidRPr="00084F03">
              <w:rPr>
                <w:rFonts w:cs="Arial"/>
                <w:b/>
                <w:bCs/>
                <w:i/>
                <w:iCs/>
                <w:color w:val="000066"/>
                <w:sz w:val="22"/>
                <w:szCs w:val="22"/>
                <w:lang w:val="en-US" w:eastAsia="it-IT"/>
              </w:rPr>
              <w:t xml:space="preserve">VOL. </w:t>
            </w:r>
            <w:r w:rsidR="0098048F" w:rsidRPr="00084F03">
              <w:rPr>
                <w:rFonts w:cs="Arial"/>
                <w:b/>
                <w:bCs/>
                <w:i/>
                <w:iCs/>
                <w:color w:val="000066"/>
                <w:sz w:val="22"/>
                <w:szCs w:val="22"/>
                <w:lang w:val="en-US" w:eastAsia="it-IT"/>
              </w:rPr>
              <w:t>xxx</w:t>
            </w:r>
            <w:r w:rsidR="007B48F9" w:rsidRPr="00084F03">
              <w:rPr>
                <w:rFonts w:cs="Arial"/>
                <w:b/>
                <w:bCs/>
                <w:i/>
                <w:iCs/>
                <w:color w:val="000066"/>
                <w:sz w:val="22"/>
                <w:szCs w:val="22"/>
                <w:lang w:val="en-US" w:eastAsia="it-IT"/>
              </w:rPr>
              <w:t>,</w:t>
            </w:r>
            <w:r w:rsidR="00FA5F5F" w:rsidRPr="00084F03">
              <w:rPr>
                <w:rFonts w:cs="Arial"/>
                <w:b/>
                <w:bCs/>
                <w:i/>
                <w:iCs/>
                <w:color w:val="000066"/>
                <w:sz w:val="22"/>
                <w:szCs w:val="22"/>
                <w:lang w:val="en-US" w:eastAsia="it-IT"/>
              </w:rPr>
              <w:t xml:space="preserve"> </w:t>
            </w:r>
            <w:r w:rsidR="0030152C" w:rsidRPr="00084F03">
              <w:rPr>
                <w:rFonts w:cs="Arial"/>
                <w:b/>
                <w:bCs/>
                <w:i/>
                <w:iCs/>
                <w:color w:val="000066"/>
                <w:sz w:val="22"/>
                <w:szCs w:val="22"/>
                <w:lang w:val="en-US" w:eastAsia="it-IT"/>
              </w:rPr>
              <w:t>202</w:t>
            </w:r>
            <w:r w:rsidR="00403B29" w:rsidRPr="00084F03">
              <w:rPr>
                <w:rFonts w:cs="Arial"/>
                <w:b/>
                <w:bCs/>
                <w:i/>
                <w:iCs/>
                <w:color w:val="000066"/>
                <w:sz w:val="22"/>
                <w:szCs w:val="22"/>
                <w:lang w:val="en-US" w:eastAsia="it-IT"/>
              </w:rPr>
              <w:t>5</w:t>
            </w:r>
          </w:p>
        </w:tc>
        <w:tc>
          <w:tcPr>
            <w:tcW w:w="1842" w:type="dxa"/>
            <w:tcBorders>
              <w:left w:val="single" w:sz="4" w:space="0" w:color="auto"/>
              <w:bottom w:val="nil"/>
              <w:right w:val="single" w:sz="4" w:space="0" w:color="auto"/>
            </w:tcBorders>
          </w:tcPr>
          <w:p w14:paraId="56782132" w14:textId="77777777" w:rsidR="000A03B2" w:rsidRPr="00084F03" w:rsidRDefault="000A03B2" w:rsidP="00CD5FE2">
            <w:pPr>
              <w:spacing w:line="140" w:lineRule="atLeast"/>
              <w:jc w:val="right"/>
              <w:rPr>
                <w:rFonts w:cs="Arial"/>
                <w:sz w:val="14"/>
                <w:szCs w:val="14"/>
                <w:lang w:val="en-US"/>
              </w:rPr>
            </w:pPr>
            <w:r w:rsidRPr="00084F03">
              <w:rPr>
                <w:rFonts w:cs="Arial"/>
                <w:sz w:val="14"/>
                <w:szCs w:val="14"/>
                <w:lang w:val="en-US"/>
              </w:rPr>
              <w:t>A publication of</w:t>
            </w:r>
          </w:p>
          <w:p w14:paraId="599E5441" w14:textId="77777777" w:rsidR="000A03B2" w:rsidRPr="00084F03" w:rsidRDefault="000A03B2" w:rsidP="00CD5FE2">
            <w:pPr>
              <w:jc w:val="right"/>
              <w:rPr>
                <w:lang w:val="en-US"/>
              </w:rPr>
            </w:pPr>
            <w:r w:rsidRPr="00084F03">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84F03" w14:paraId="380FA3CD" w14:textId="77777777" w:rsidTr="000958BF">
        <w:trPr>
          <w:trHeight w:val="567"/>
          <w:jc w:val="center"/>
        </w:trPr>
        <w:tc>
          <w:tcPr>
            <w:tcW w:w="6940" w:type="dxa"/>
            <w:vMerge/>
            <w:tcBorders>
              <w:right w:val="single" w:sz="4" w:space="0" w:color="auto"/>
            </w:tcBorders>
          </w:tcPr>
          <w:p w14:paraId="39E5E4C1" w14:textId="77777777" w:rsidR="000A03B2" w:rsidRPr="00084F03" w:rsidRDefault="000A03B2" w:rsidP="00CD5FE2">
            <w:pPr>
              <w:tabs>
                <w:tab w:val="left" w:pos="-108"/>
              </w:tabs>
              <w:rPr>
                <w:lang w:val="en-US"/>
              </w:rPr>
            </w:pPr>
          </w:p>
        </w:tc>
        <w:tc>
          <w:tcPr>
            <w:tcW w:w="1842" w:type="dxa"/>
            <w:tcBorders>
              <w:left w:val="single" w:sz="4" w:space="0" w:color="auto"/>
              <w:bottom w:val="nil"/>
              <w:right w:val="single" w:sz="4" w:space="0" w:color="auto"/>
            </w:tcBorders>
          </w:tcPr>
          <w:p w14:paraId="43858A98" w14:textId="77777777" w:rsidR="000A03B2" w:rsidRPr="00084F03" w:rsidRDefault="000A03B2" w:rsidP="00CD5FE2">
            <w:pPr>
              <w:spacing w:line="140" w:lineRule="atLeast"/>
              <w:jc w:val="right"/>
              <w:rPr>
                <w:rFonts w:cs="Arial"/>
                <w:sz w:val="14"/>
                <w:szCs w:val="14"/>
                <w:lang w:val="en-US"/>
              </w:rPr>
            </w:pPr>
            <w:r w:rsidRPr="00084F03">
              <w:rPr>
                <w:rFonts w:cs="Arial"/>
                <w:sz w:val="14"/>
                <w:szCs w:val="14"/>
                <w:lang w:val="en-US"/>
              </w:rPr>
              <w:t>The Italian Association</w:t>
            </w:r>
          </w:p>
          <w:p w14:paraId="7522B1D2" w14:textId="77777777" w:rsidR="000A03B2" w:rsidRPr="00084F03" w:rsidRDefault="000A03B2" w:rsidP="00CD5FE2">
            <w:pPr>
              <w:spacing w:line="140" w:lineRule="atLeast"/>
              <w:jc w:val="right"/>
              <w:rPr>
                <w:rFonts w:cs="Arial"/>
                <w:sz w:val="14"/>
                <w:szCs w:val="14"/>
                <w:lang w:val="en-US"/>
              </w:rPr>
            </w:pPr>
            <w:r w:rsidRPr="00084F03">
              <w:rPr>
                <w:rFonts w:cs="Arial"/>
                <w:sz w:val="14"/>
                <w:szCs w:val="14"/>
                <w:lang w:val="en-US"/>
              </w:rPr>
              <w:t>of Chemical Engineering</w:t>
            </w:r>
          </w:p>
          <w:p w14:paraId="4F0CC5DE" w14:textId="47FDB2FC" w:rsidR="000A03B2" w:rsidRPr="00084F03" w:rsidRDefault="000D0268" w:rsidP="00CD5FE2">
            <w:pPr>
              <w:spacing w:line="140" w:lineRule="atLeast"/>
              <w:jc w:val="right"/>
              <w:rPr>
                <w:rFonts w:cs="Arial"/>
                <w:sz w:val="13"/>
                <w:szCs w:val="13"/>
                <w:lang w:val="en-US"/>
              </w:rPr>
            </w:pPr>
            <w:r w:rsidRPr="00084F03">
              <w:rPr>
                <w:rFonts w:cs="Arial"/>
                <w:sz w:val="13"/>
                <w:szCs w:val="13"/>
                <w:lang w:val="en-US"/>
              </w:rPr>
              <w:t>Online at www.cetjournal.it</w:t>
            </w:r>
          </w:p>
        </w:tc>
      </w:tr>
      <w:tr w:rsidR="000A03B2" w:rsidRPr="00084F03" w14:paraId="2D1B7169" w14:textId="77777777" w:rsidTr="000958BF">
        <w:trPr>
          <w:trHeight w:val="68"/>
          <w:jc w:val="center"/>
        </w:trPr>
        <w:tc>
          <w:tcPr>
            <w:tcW w:w="8782" w:type="dxa"/>
            <w:gridSpan w:val="2"/>
          </w:tcPr>
          <w:p w14:paraId="61A9EE96" w14:textId="272D827E" w:rsidR="00DF5498" w:rsidRPr="00084F03" w:rsidRDefault="00DF5498" w:rsidP="00DF5498">
            <w:pPr>
              <w:ind w:left="-107"/>
              <w:outlineLvl w:val="2"/>
              <w:rPr>
                <w:rFonts w:ascii="Tahoma" w:hAnsi="Tahoma" w:cs="Tahoma"/>
                <w:bCs/>
                <w:color w:val="000000"/>
                <w:sz w:val="14"/>
                <w:szCs w:val="14"/>
                <w:lang w:val="en-US" w:eastAsia="it-IT"/>
              </w:rPr>
            </w:pPr>
            <w:r w:rsidRPr="00084F03">
              <w:rPr>
                <w:rFonts w:ascii="Tahoma" w:hAnsi="Tahoma" w:cs="Tahoma"/>
                <w:iCs/>
                <w:color w:val="333333"/>
                <w:sz w:val="14"/>
                <w:szCs w:val="14"/>
                <w:lang w:val="en-US" w:eastAsia="it-IT"/>
              </w:rPr>
              <w:t xml:space="preserve">Guest Editors: </w:t>
            </w:r>
          </w:p>
          <w:p w14:paraId="1B0F1814" w14:textId="49071069" w:rsidR="000A03B2" w:rsidRPr="00084F03" w:rsidRDefault="00DF5498" w:rsidP="00DF5498">
            <w:pPr>
              <w:tabs>
                <w:tab w:val="left" w:pos="-108"/>
              </w:tabs>
              <w:spacing w:line="140" w:lineRule="atLeast"/>
              <w:ind w:left="-107"/>
              <w:jc w:val="left"/>
              <w:rPr>
                <w:lang w:val="en-US"/>
              </w:rPr>
            </w:pPr>
            <w:r w:rsidRPr="00084F03">
              <w:rPr>
                <w:rFonts w:ascii="Tahoma" w:hAnsi="Tahoma" w:cs="Tahoma"/>
                <w:iCs/>
                <w:color w:val="333333"/>
                <w:sz w:val="14"/>
                <w:szCs w:val="14"/>
                <w:lang w:val="en-US" w:eastAsia="it-IT"/>
              </w:rPr>
              <w:t>Copyright © 202</w:t>
            </w:r>
            <w:r w:rsidR="00403B29" w:rsidRPr="00084F03">
              <w:rPr>
                <w:rFonts w:ascii="Tahoma" w:hAnsi="Tahoma" w:cs="Tahoma"/>
                <w:iCs/>
                <w:color w:val="333333"/>
                <w:sz w:val="14"/>
                <w:szCs w:val="14"/>
                <w:lang w:val="en-US" w:eastAsia="it-IT"/>
              </w:rPr>
              <w:t>5</w:t>
            </w:r>
            <w:r w:rsidRPr="00084F03">
              <w:rPr>
                <w:rFonts w:ascii="Tahoma" w:hAnsi="Tahoma" w:cs="Tahoma"/>
                <w:iCs/>
                <w:color w:val="333333"/>
                <w:sz w:val="14"/>
                <w:szCs w:val="14"/>
                <w:lang w:val="en-US" w:eastAsia="it-IT"/>
              </w:rPr>
              <w:t xml:space="preserve">, AIDIC </w:t>
            </w:r>
            <w:proofErr w:type="spellStart"/>
            <w:r w:rsidRPr="00084F03">
              <w:rPr>
                <w:rFonts w:ascii="Tahoma" w:hAnsi="Tahoma" w:cs="Tahoma"/>
                <w:iCs/>
                <w:color w:val="333333"/>
                <w:sz w:val="14"/>
                <w:szCs w:val="14"/>
                <w:lang w:val="en-US" w:eastAsia="it-IT"/>
              </w:rPr>
              <w:t>Servizi</w:t>
            </w:r>
            <w:proofErr w:type="spellEnd"/>
            <w:r w:rsidRPr="00084F03">
              <w:rPr>
                <w:rFonts w:ascii="Tahoma" w:hAnsi="Tahoma" w:cs="Tahoma"/>
                <w:iCs/>
                <w:color w:val="333333"/>
                <w:sz w:val="14"/>
                <w:szCs w:val="14"/>
                <w:lang w:val="en-US" w:eastAsia="it-IT"/>
              </w:rPr>
              <w:t xml:space="preserve"> </w:t>
            </w:r>
            <w:proofErr w:type="spellStart"/>
            <w:r w:rsidRPr="00084F03">
              <w:rPr>
                <w:rFonts w:ascii="Tahoma" w:hAnsi="Tahoma" w:cs="Tahoma"/>
                <w:iCs/>
                <w:color w:val="333333"/>
                <w:sz w:val="14"/>
                <w:szCs w:val="14"/>
                <w:lang w:val="en-US" w:eastAsia="it-IT"/>
              </w:rPr>
              <w:t>S.r.l</w:t>
            </w:r>
            <w:proofErr w:type="spellEnd"/>
            <w:r w:rsidRPr="00084F03">
              <w:rPr>
                <w:rFonts w:ascii="Tahoma" w:hAnsi="Tahoma" w:cs="Tahoma"/>
                <w:iCs/>
                <w:color w:val="333333"/>
                <w:sz w:val="14"/>
                <w:szCs w:val="14"/>
                <w:lang w:val="en-US" w:eastAsia="it-IT"/>
              </w:rPr>
              <w:t>.</w:t>
            </w:r>
            <w:r w:rsidRPr="00084F03">
              <w:rPr>
                <w:rFonts w:ascii="Tahoma" w:hAnsi="Tahoma" w:cs="Tahoma"/>
                <w:iCs/>
                <w:color w:val="333333"/>
                <w:sz w:val="14"/>
                <w:szCs w:val="14"/>
                <w:lang w:val="en-US" w:eastAsia="it-IT"/>
              </w:rPr>
              <w:br/>
            </w:r>
            <w:r w:rsidRPr="00084F03">
              <w:rPr>
                <w:rFonts w:ascii="Tahoma" w:hAnsi="Tahoma" w:cs="Tahoma"/>
                <w:b/>
                <w:iCs/>
                <w:color w:val="000000"/>
                <w:sz w:val="14"/>
                <w:szCs w:val="14"/>
                <w:lang w:val="en-US" w:eastAsia="it-IT"/>
              </w:rPr>
              <w:t>ISBN</w:t>
            </w:r>
            <w:r w:rsidRPr="00084F03">
              <w:rPr>
                <w:rFonts w:ascii="Tahoma" w:hAnsi="Tahoma" w:cs="Tahoma"/>
                <w:iCs/>
                <w:color w:val="000000"/>
                <w:sz w:val="14"/>
                <w:szCs w:val="14"/>
                <w:lang w:val="en-US" w:eastAsia="it-IT"/>
              </w:rPr>
              <w:t xml:space="preserve"> </w:t>
            </w:r>
            <w:r w:rsidRPr="00084F03">
              <w:rPr>
                <w:rFonts w:ascii="Tahoma" w:hAnsi="Tahoma" w:cs="Tahoma"/>
                <w:sz w:val="14"/>
                <w:szCs w:val="14"/>
                <w:lang w:val="en-US" w:eastAsia="it-IT"/>
              </w:rPr>
              <w:t>979-12-81206-</w:t>
            </w:r>
            <w:r w:rsidR="00B503A9" w:rsidRPr="00084F03">
              <w:rPr>
                <w:rFonts w:ascii="Tahoma" w:hAnsi="Tahoma" w:cs="Tahoma"/>
                <w:sz w:val="14"/>
                <w:szCs w:val="14"/>
                <w:lang w:val="en-US" w:eastAsia="it-IT"/>
              </w:rPr>
              <w:t>xxx</w:t>
            </w:r>
            <w:r w:rsidRPr="00084F03">
              <w:rPr>
                <w:rFonts w:ascii="Tahoma" w:hAnsi="Tahoma" w:cs="Tahoma"/>
                <w:iCs/>
                <w:color w:val="333333"/>
                <w:sz w:val="14"/>
                <w:szCs w:val="14"/>
                <w:lang w:val="en-US" w:eastAsia="it-IT"/>
              </w:rPr>
              <w:t xml:space="preserve">; </w:t>
            </w:r>
            <w:r w:rsidRPr="00084F03">
              <w:rPr>
                <w:rFonts w:ascii="Tahoma" w:hAnsi="Tahoma" w:cs="Tahoma"/>
                <w:b/>
                <w:iCs/>
                <w:color w:val="333333"/>
                <w:sz w:val="14"/>
                <w:szCs w:val="14"/>
                <w:lang w:val="en-US" w:eastAsia="it-IT"/>
              </w:rPr>
              <w:t>ISSN</w:t>
            </w:r>
            <w:r w:rsidRPr="00084F03">
              <w:rPr>
                <w:rFonts w:ascii="Tahoma" w:hAnsi="Tahoma" w:cs="Tahoma"/>
                <w:iCs/>
                <w:color w:val="333333"/>
                <w:sz w:val="14"/>
                <w:szCs w:val="14"/>
                <w:lang w:val="en-US" w:eastAsia="it-IT"/>
              </w:rPr>
              <w:t xml:space="preserve"> 2283-9216</w:t>
            </w:r>
          </w:p>
        </w:tc>
      </w:tr>
    </w:tbl>
    <w:p w14:paraId="2E667253" w14:textId="31F71C91" w:rsidR="00E978D0" w:rsidRPr="0031777C" w:rsidRDefault="0031777C" w:rsidP="00B503A9">
      <w:pPr>
        <w:pStyle w:val="CETTitle"/>
        <w:rPr>
          <w:lang w:val="en-US"/>
        </w:rPr>
      </w:pPr>
      <w:proofErr w:type="spellStart"/>
      <w:r w:rsidRPr="0031777C">
        <w:rPr>
          <w:lang w:val="en-US"/>
        </w:rPr>
        <w:t>Natech</w:t>
      </w:r>
      <w:proofErr w:type="spellEnd"/>
      <w:r w:rsidRPr="0031777C">
        <w:rPr>
          <w:lang w:val="en-US"/>
        </w:rPr>
        <w:t xml:space="preserve"> risk induced by lightning. Case study of a floating roof atmospheric fuel storage tank</w:t>
      </w:r>
    </w:p>
    <w:p w14:paraId="0776B2FB" w14:textId="18AB41F6" w:rsidR="0031777C" w:rsidRPr="0031777C" w:rsidRDefault="0031777C" w:rsidP="0031777C">
      <w:pPr>
        <w:pStyle w:val="CETAddress"/>
        <w:jc w:val="both"/>
        <w:rPr>
          <w:sz w:val="24"/>
          <w:lang w:val="it-IT"/>
        </w:rPr>
      </w:pPr>
      <w:r w:rsidRPr="0031777C">
        <w:rPr>
          <w:sz w:val="24"/>
          <w:lang w:val="it-IT"/>
        </w:rPr>
        <w:t>Giovanni Grillone</w:t>
      </w:r>
      <w:r w:rsidRPr="0031777C">
        <w:rPr>
          <w:sz w:val="24"/>
          <w:vertAlign w:val="superscript"/>
          <w:lang w:val="it-IT"/>
        </w:rPr>
        <w:t>a,*</w:t>
      </w:r>
      <w:r w:rsidRPr="0031777C">
        <w:rPr>
          <w:sz w:val="24"/>
          <w:lang w:val="it-IT"/>
        </w:rPr>
        <w:t>, Antonino Muratore</w:t>
      </w:r>
      <w:r w:rsidRPr="0031777C">
        <w:rPr>
          <w:sz w:val="24"/>
          <w:vertAlign w:val="superscript"/>
          <w:lang w:val="it-IT"/>
        </w:rPr>
        <w:t>b</w:t>
      </w:r>
      <w:r w:rsidRPr="0031777C">
        <w:rPr>
          <w:sz w:val="24"/>
          <w:lang w:val="it-IT"/>
        </w:rPr>
        <w:t>, Eleonora Genco</w:t>
      </w:r>
      <w:r w:rsidRPr="0031777C">
        <w:rPr>
          <w:sz w:val="24"/>
          <w:vertAlign w:val="superscript"/>
          <w:lang w:val="it-IT"/>
        </w:rPr>
        <w:t>c</w:t>
      </w:r>
      <w:r w:rsidRPr="0031777C">
        <w:rPr>
          <w:sz w:val="24"/>
          <w:lang w:val="it-IT"/>
        </w:rPr>
        <w:t>, Alberto Firenze</w:t>
      </w:r>
      <w:r w:rsidRPr="0031777C">
        <w:rPr>
          <w:sz w:val="24"/>
          <w:vertAlign w:val="superscript"/>
          <w:lang w:val="it-IT"/>
        </w:rPr>
        <w:t>d</w:t>
      </w:r>
      <w:r w:rsidRPr="0031777C">
        <w:rPr>
          <w:sz w:val="24"/>
          <w:lang w:val="it-IT"/>
        </w:rPr>
        <w:t>, Maurilio Bellissimo</w:t>
      </w:r>
      <w:r w:rsidRPr="0031777C">
        <w:rPr>
          <w:sz w:val="24"/>
          <w:vertAlign w:val="superscript"/>
          <w:lang w:val="it-IT"/>
        </w:rPr>
        <w:t>a</w:t>
      </w:r>
      <w:r w:rsidRPr="0031777C">
        <w:rPr>
          <w:sz w:val="24"/>
          <w:lang w:val="it-IT"/>
        </w:rPr>
        <w:t>, Vincenzo Nastasi</w:t>
      </w:r>
      <w:r w:rsidRPr="0031777C">
        <w:rPr>
          <w:sz w:val="24"/>
          <w:vertAlign w:val="superscript"/>
          <w:lang w:val="it-IT"/>
        </w:rPr>
        <w:t>a</w:t>
      </w:r>
    </w:p>
    <w:p w14:paraId="44DA4D42" w14:textId="77777777" w:rsidR="0031777C" w:rsidRPr="0031777C" w:rsidRDefault="0031777C" w:rsidP="00B57E6F">
      <w:pPr>
        <w:pStyle w:val="CETAddress"/>
        <w:rPr>
          <w:vertAlign w:val="superscript"/>
          <w:lang w:val="it-IT"/>
        </w:rPr>
      </w:pPr>
    </w:p>
    <w:p w14:paraId="3687F898" w14:textId="77777777" w:rsidR="0031777C" w:rsidRPr="0031777C" w:rsidRDefault="0031777C" w:rsidP="0031777C">
      <w:pPr>
        <w:pStyle w:val="CETAddress"/>
        <w:rPr>
          <w:szCs w:val="16"/>
          <w:lang w:val="it-IT"/>
        </w:rPr>
      </w:pPr>
      <w:r w:rsidRPr="0031777C">
        <w:rPr>
          <w:szCs w:val="16"/>
          <w:vertAlign w:val="superscript"/>
          <w:lang w:val="it-IT"/>
        </w:rPr>
        <w:t>a</w:t>
      </w:r>
      <w:r w:rsidRPr="0031777C">
        <w:rPr>
          <w:szCs w:val="16"/>
          <w:lang w:val="it-IT"/>
        </w:rPr>
        <w:t>Inail, UOT Palermo, Viale del Fante 58/D - 90146 Palermo, Italy</w:t>
      </w:r>
    </w:p>
    <w:p w14:paraId="1958BFF4" w14:textId="77777777" w:rsidR="0031777C" w:rsidRPr="0031777C" w:rsidRDefault="0031777C" w:rsidP="0031777C">
      <w:pPr>
        <w:pStyle w:val="CETAddress"/>
        <w:rPr>
          <w:szCs w:val="16"/>
          <w:lang w:val="it-IT"/>
        </w:rPr>
      </w:pPr>
      <w:r w:rsidRPr="0031777C">
        <w:rPr>
          <w:szCs w:val="16"/>
          <w:vertAlign w:val="superscript"/>
          <w:lang w:val="it-IT"/>
        </w:rPr>
        <w:t>b</w:t>
      </w:r>
      <w:r w:rsidRPr="0031777C">
        <w:rPr>
          <w:szCs w:val="16"/>
          <w:lang w:val="it-IT"/>
        </w:rPr>
        <w:t>Inail, UOT Como, Via Petrarca 4 - 22100 Como, Italy</w:t>
      </w:r>
    </w:p>
    <w:p w14:paraId="7CC8BA38" w14:textId="77777777" w:rsidR="0031777C" w:rsidRPr="0031777C" w:rsidRDefault="0031777C" w:rsidP="0031777C">
      <w:pPr>
        <w:pStyle w:val="CETAddress"/>
        <w:rPr>
          <w:szCs w:val="16"/>
          <w:lang w:val="it-IT"/>
        </w:rPr>
      </w:pPr>
      <w:r w:rsidRPr="0031777C">
        <w:rPr>
          <w:szCs w:val="16"/>
          <w:vertAlign w:val="superscript"/>
          <w:lang w:val="it-IT"/>
        </w:rPr>
        <w:t>c</w:t>
      </w:r>
      <w:r w:rsidRPr="0031777C">
        <w:rPr>
          <w:szCs w:val="16"/>
          <w:lang w:val="it-IT"/>
        </w:rPr>
        <w:t>Università di Palermo, Scuola di Specializzazione in Medicina del Lavoro, Piazza delle Cliniche, 2 - 90127 Palermo, Italy</w:t>
      </w:r>
    </w:p>
    <w:p w14:paraId="3B9CFA98" w14:textId="77777777" w:rsidR="0031777C" w:rsidRPr="0031777C" w:rsidRDefault="0031777C" w:rsidP="0031777C">
      <w:pPr>
        <w:pStyle w:val="CETAddress"/>
        <w:rPr>
          <w:szCs w:val="16"/>
          <w:lang w:val="it-IT"/>
        </w:rPr>
      </w:pPr>
      <w:r w:rsidRPr="0031777C">
        <w:rPr>
          <w:szCs w:val="16"/>
          <w:vertAlign w:val="superscript"/>
          <w:lang w:val="it-IT"/>
        </w:rPr>
        <w:t>d</w:t>
      </w:r>
      <w:r w:rsidRPr="0031777C">
        <w:rPr>
          <w:szCs w:val="16"/>
          <w:lang w:val="it-IT"/>
        </w:rPr>
        <w:t>Università di Palermo, Dipartimento della Promozione della Salute, Materno-Infantile, di Medicina Interna e Specialistica di Eccellenza “G. D’Alessandro” (PROMISE), Piazza delle Cliniche, 2 - 90127 Palermo, Italy</w:t>
      </w:r>
    </w:p>
    <w:p w14:paraId="7F23D616" w14:textId="104663A0" w:rsidR="0031777C" w:rsidRPr="0031777C" w:rsidRDefault="0031777C" w:rsidP="0031777C">
      <w:pPr>
        <w:pStyle w:val="CETBodytext"/>
        <w:rPr>
          <w:sz w:val="16"/>
          <w:szCs w:val="16"/>
        </w:rPr>
      </w:pPr>
      <w:r w:rsidRPr="0031777C">
        <w:rPr>
          <w:sz w:val="16"/>
          <w:szCs w:val="16"/>
        </w:rPr>
        <w:t>*g.grillone@inail.it</w:t>
      </w:r>
    </w:p>
    <w:p w14:paraId="1CD9070D" w14:textId="77777777" w:rsidR="0031777C" w:rsidRDefault="0031777C" w:rsidP="0031777C">
      <w:pPr>
        <w:pStyle w:val="CETBodytext"/>
      </w:pPr>
    </w:p>
    <w:p w14:paraId="230F309D" w14:textId="5F527839" w:rsidR="0031777C" w:rsidRPr="003F24CD" w:rsidRDefault="0031777C" w:rsidP="0031777C">
      <w:pPr>
        <w:pStyle w:val="CETBodytext"/>
        <w:rPr>
          <w:lang w:val="en-GB"/>
        </w:rPr>
      </w:pPr>
      <w:r w:rsidRPr="003F24CD">
        <w:rPr>
          <w:lang w:val="en-GB"/>
        </w:rPr>
        <w:t xml:space="preserve">The main international databases highlight that lightning strikes are the most frequent initiating events for </w:t>
      </w:r>
      <w:proofErr w:type="spellStart"/>
      <w:r w:rsidRPr="003F24CD">
        <w:rPr>
          <w:lang w:val="en-GB"/>
        </w:rPr>
        <w:t>NaTech</w:t>
      </w:r>
      <w:proofErr w:type="spellEnd"/>
      <w:r w:rsidRPr="003F24CD">
        <w:rPr>
          <w:lang w:val="en-GB"/>
        </w:rPr>
        <w:t xml:space="preserve"> </w:t>
      </w:r>
      <w:r w:rsidR="00F6625F" w:rsidRPr="003F24CD">
        <w:rPr>
          <w:lang w:val="en-GB"/>
        </w:rPr>
        <w:t>incidents</w:t>
      </w:r>
      <w:r w:rsidRPr="003F24CD">
        <w:rPr>
          <w:lang w:val="en-GB"/>
        </w:rPr>
        <w:t xml:space="preserve"> (Natural Hazard Triggering Technological Disasters) in industrial establishments with major accident hazards. This is because lightning can interact with industrial equipment both directly and indirectly, for example, through control systems and electrical circuits.</w:t>
      </w:r>
    </w:p>
    <w:p w14:paraId="18C8C065" w14:textId="07B9946B" w:rsidR="0031777C" w:rsidRPr="003F24CD" w:rsidRDefault="0031777C" w:rsidP="0031777C">
      <w:pPr>
        <w:pStyle w:val="CETBodytext"/>
        <w:rPr>
          <w:lang w:val="en-GB"/>
        </w:rPr>
      </w:pPr>
      <w:r w:rsidRPr="003F24CD">
        <w:rPr>
          <w:lang w:val="en-GB"/>
        </w:rPr>
        <w:t xml:space="preserve">An incident is more likely when the materials released post-lightning are flammable, with fire being the most common outcome. The worst damage mechanisms are due to the direct action of lightning, which heats the affected areas, causes breaks and/or perforations in tanks and/or connecting pipelines, </w:t>
      </w:r>
      <w:r w:rsidR="00076D5B" w:rsidRPr="003F24CD">
        <w:rPr>
          <w:lang w:val="en-GB"/>
        </w:rPr>
        <w:t>and</w:t>
      </w:r>
      <w:r w:rsidR="002A404A" w:rsidRPr="003F24CD">
        <w:rPr>
          <w:lang w:val="en-GB"/>
        </w:rPr>
        <w:t>,</w:t>
      </w:r>
      <w:r w:rsidR="00076D5B" w:rsidRPr="003F24CD">
        <w:rPr>
          <w:lang w:val="en-GB"/>
        </w:rPr>
        <w:t xml:space="preserve"> for example</w:t>
      </w:r>
      <w:r w:rsidR="002A404A" w:rsidRPr="003F24CD">
        <w:rPr>
          <w:lang w:val="en-GB"/>
        </w:rPr>
        <w:t>,</w:t>
      </w:r>
      <w:r w:rsidR="004E2AF1" w:rsidRPr="003F24CD">
        <w:rPr>
          <w:lang w:val="en-GB"/>
        </w:rPr>
        <w:t xml:space="preserve"> </w:t>
      </w:r>
      <w:r w:rsidRPr="003F24CD">
        <w:rPr>
          <w:lang w:val="en-GB"/>
        </w:rPr>
        <w:t xml:space="preserve">ignites </w:t>
      </w:r>
      <w:proofErr w:type="spellStart"/>
      <w:r w:rsidRPr="003F24CD">
        <w:rPr>
          <w:lang w:val="en-GB"/>
        </w:rPr>
        <w:t>vapors</w:t>
      </w:r>
      <w:proofErr w:type="spellEnd"/>
      <w:r w:rsidRPr="003F24CD">
        <w:rPr>
          <w:lang w:val="en-GB"/>
        </w:rPr>
        <w:t xml:space="preserve"> found on floating roofs of atmospheric tanks containing liquid fuels, </w:t>
      </w:r>
      <w:r w:rsidR="00076D5B" w:rsidRPr="003F24CD">
        <w:rPr>
          <w:lang w:val="en-GB"/>
        </w:rPr>
        <w:t>typically resulting in the entire tank catching fire</w:t>
      </w:r>
      <w:r w:rsidRPr="003F24CD">
        <w:rPr>
          <w:lang w:val="en-GB"/>
        </w:rPr>
        <w:t>.</w:t>
      </w:r>
    </w:p>
    <w:p w14:paraId="0217E066" w14:textId="0AC6D9CC" w:rsidR="0031777C" w:rsidRPr="003F24CD" w:rsidRDefault="00076D5B" w:rsidP="00615FAD">
      <w:pPr>
        <w:pStyle w:val="CETBodytext"/>
        <w:rPr>
          <w:lang w:val="en-GB"/>
        </w:rPr>
      </w:pPr>
      <w:r w:rsidRPr="003F24CD">
        <w:rPr>
          <w:lang w:val="en-GB"/>
        </w:rPr>
        <w:t xml:space="preserve">The article aims to introduce a simplified index-based method to provide an initial assessment of </w:t>
      </w:r>
      <w:proofErr w:type="spellStart"/>
      <w:r w:rsidRPr="003F24CD">
        <w:rPr>
          <w:lang w:val="en-GB"/>
        </w:rPr>
        <w:t>NaTech</w:t>
      </w:r>
      <w:proofErr w:type="spellEnd"/>
      <w:r w:rsidRPr="003F24CD">
        <w:rPr>
          <w:lang w:val="en-GB"/>
        </w:rPr>
        <w:t xml:space="preserve"> risk from lightning</w:t>
      </w:r>
      <w:r w:rsidR="0031777C" w:rsidRPr="003F24CD">
        <w:rPr>
          <w:lang w:val="en-GB"/>
        </w:rPr>
        <w:t xml:space="preserve">, </w:t>
      </w:r>
      <w:proofErr w:type="spellStart"/>
      <w:r w:rsidR="0031777C" w:rsidRPr="003F24CD">
        <w:rPr>
          <w:lang w:val="en-GB"/>
        </w:rPr>
        <w:t>R</w:t>
      </w:r>
      <w:r w:rsidR="0031777C" w:rsidRPr="003F24CD">
        <w:rPr>
          <w:vertAlign w:val="subscript"/>
          <w:lang w:val="en-GB"/>
        </w:rPr>
        <w:t>Natech,F</w:t>
      </w:r>
      <w:proofErr w:type="spellEnd"/>
      <w:r w:rsidR="0031777C" w:rsidRPr="003F24CD">
        <w:rPr>
          <w:lang w:val="en-GB"/>
        </w:rPr>
        <w:t>, for each equipment capable of causing a major accident, based on three main factors:</w:t>
      </w:r>
      <w:r w:rsidR="00615FAD" w:rsidRPr="003F24CD">
        <w:rPr>
          <w:lang w:val="en-GB"/>
        </w:rPr>
        <w:t xml:space="preserve"> </w:t>
      </w:r>
      <w:r w:rsidR="0031777C" w:rsidRPr="003F24CD">
        <w:rPr>
          <w:lang w:val="en-GB"/>
        </w:rPr>
        <w:t>N</w:t>
      </w:r>
      <w:r w:rsidR="00615FAD" w:rsidRPr="003F24CD">
        <w:rPr>
          <w:vertAlign w:val="subscript"/>
          <w:lang w:val="en-GB"/>
        </w:rPr>
        <w:t>g</w:t>
      </w:r>
      <w:r w:rsidR="0031777C" w:rsidRPr="003F24CD">
        <w:rPr>
          <w:lang w:val="en-GB"/>
        </w:rPr>
        <w:t xml:space="preserve"> = </w:t>
      </w:r>
      <w:r w:rsidR="003272AE">
        <w:rPr>
          <w:lang w:val="en-GB"/>
        </w:rPr>
        <w:t>g</w:t>
      </w:r>
      <w:r w:rsidR="0031777C" w:rsidRPr="003F24CD">
        <w:rPr>
          <w:lang w:val="en-GB"/>
        </w:rPr>
        <w:t>round lightning density</w:t>
      </w:r>
      <w:r w:rsidR="00615FAD" w:rsidRPr="003F24CD">
        <w:rPr>
          <w:lang w:val="en-GB"/>
        </w:rPr>
        <w:t xml:space="preserve">; </w:t>
      </w:r>
      <w:r w:rsidR="0031777C" w:rsidRPr="003F24CD">
        <w:rPr>
          <w:lang w:val="en-GB"/>
        </w:rPr>
        <w:t xml:space="preserve">V = </w:t>
      </w:r>
      <w:r w:rsidR="003272AE">
        <w:rPr>
          <w:lang w:val="en-GB"/>
        </w:rPr>
        <w:t>v</w:t>
      </w:r>
      <w:r w:rsidR="0031777C" w:rsidRPr="003F24CD">
        <w:rPr>
          <w:lang w:val="en-GB"/>
        </w:rPr>
        <w:t>ulnerability of the equipment</w:t>
      </w:r>
      <w:r w:rsidR="00615FAD" w:rsidRPr="003F24CD">
        <w:rPr>
          <w:lang w:val="en-GB"/>
        </w:rPr>
        <w:t xml:space="preserve">; </w:t>
      </w:r>
      <w:r w:rsidR="0031777C" w:rsidRPr="003F24CD">
        <w:rPr>
          <w:lang w:val="en-GB"/>
        </w:rPr>
        <w:t xml:space="preserve">E = </w:t>
      </w:r>
      <w:r w:rsidR="003272AE">
        <w:rPr>
          <w:lang w:val="en-GB"/>
        </w:rPr>
        <w:t>e</w:t>
      </w:r>
      <w:r w:rsidR="0031777C" w:rsidRPr="003F24CD">
        <w:rPr>
          <w:lang w:val="en-GB"/>
        </w:rPr>
        <w:t xml:space="preserve">xposure, understood as the extent and severity of damage to receptors potentially affected by the consequences of lightning-initiated </w:t>
      </w:r>
      <w:r w:rsidRPr="003F24CD">
        <w:rPr>
          <w:lang w:val="en-GB"/>
        </w:rPr>
        <w:t>ac</w:t>
      </w:r>
      <w:r w:rsidR="0031777C" w:rsidRPr="003F24CD">
        <w:rPr>
          <w:lang w:val="en-GB"/>
        </w:rPr>
        <w:t>cidents (workers, population, environment, assets, infrastructure).</w:t>
      </w:r>
    </w:p>
    <w:p w14:paraId="69086356" w14:textId="117AE929" w:rsidR="0031777C" w:rsidRPr="003F24CD" w:rsidRDefault="0031777C" w:rsidP="0031777C">
      <w:pPr>
        <w:pStyle w:val="CETBodytext"/>
        <w:rPr>
          <w:lang w:val="en-GB"/>
        </w:rPr>
      </w:pPr>
      <w:r w:rsidRPr="003F24CD">
        <w:rPr>
          <w:lang w:val="en-GB"/>
        </w:rPr>
        <w:t xml:space="preserve">After evaluating the </w:t>
      </w:r>
      <w:proofErr w:type="spellStart"/>
      <w:r w:rsidRPr="003F24CD">
        <w:rPr>
          <w:lang w:val="en-GB"/>
        </w:rPr>
        <w:t>R</w:t>
      </w:r>
      <w:r w:rsidRPr="003F24CD">
        <w:rPr>
          <w:vertAlign w:val="subscript"/>
          <w:lang w:val="en-GB"/>
        </w:rPr>
        <w:t>Natech,F</w:t>
      </w:r>
      <w:proofErr w:type="spellEnd"/>
      <w:r w:rsidRPr="003F24CD">
        <w:rPr>
          <w:lang w:val="en-GB"/>
        </w:rPr>
        <w:t xml:space="preserve"> for </w:t>
      </w:r>
      <w:r w:rsidR="008D3499" w:rsidRPr="003F24CD">
        <w:rPr>
          <w:lang w:val="en-GB"/>
        </w:rPr>
        <w:t>all the</w:t>
      </w:r>
      <w:r w:rsidRPr="003F24CD">
        <w:rPr>
          <w:lang w:val="en-GB"/>
        </w:rPr>
        <w:t xml:space="preserve"> equipment </w:t>
      </w:r>
      <w:r w:rsidR="008D3499" w:rsidRPr="003F24CD">
        <w:rPr>
          <w:lang w:val="en-GB"/>
        </w:rPr>
        <w:t>installed</w:t>
      </w:r>
      <w:r w:rsidRPr="003F24CD">
        <w:rPr>
          <w:lang w:val="en-GB"/>
        </w:rPr>
        <w:t xml:space="preserve"> in the industrial establishment </w:t>
      </w:r>
      <w:r w:rsidR="008D3499" w:rsidRPr="003F24CD">
        <w:rPr>
          <w:lang w:val="en-GB"/>
        </w:rPr>
        <w:t>studied</w:t>
      </w:r>
      <w:r w:rsidRPr="003F24CD">
        <w:rPr>
          <w:lang w:val="en-GB"/>
        </w:rPr>
        <w:t>, appropriate proposals for the prevention and mitigation of the risk are described. A case study of an atmospheric fuel storage tank with a floating roof is illustrated as an application example.</w:t>
      </w:r>
    </w:p>
    <w:p w14:paraId="506C897B" w14:textId="11FF3D68" w:rsidR="0031777C" w:rsidRPr="003F24CD" w:rsidRDefault="008D3499" w:rsidP="0031777C">
      <w:pPr>
        <w:pStyle w:val="CETBodytext"/>
        <w:rPr>
          <w:lang w:val="en-GB"/>
        </w:rPr>
      </w:pPr>
      <w:r w:rsidRPr="003F24CD">
        <w:rPr>
          <w:lang w:val="en-GB"/>
        </w:rPr>
        <w:t>Furthermore, authors describe the main effects on the health of workers and citizens living near industrial plants, caused by lightning-induced accidents that lead to fires, explosions, and the release of toxic substances.</w:t>
      </w:r>
    </w:p>
    <w:p w14:paraId="6483BEB7" w14:textId="77777777" w:rsidR="008D3499" w:rsidRPr="003F24CD" w:rsidRDefault="008D3499" w:rsidP="0031777C">
      <w:pPr>
        <w:pStyle w:val="CETBodytext"/>
        <w:rPr>
          <w:lang w:val="en-GB"/>
        </w:rPr>
      </w:pPr>
    </w:p>
    <w:p w14:paraId="1A8D5457" w14:textId="739BE545" w:rsidR="00D040FE" w:rsidRPr="003F24CD" w:rsidRDefault="00C81B4C" w:rsidP="003E6314">
      <w:pPr>
        <w:pStyle w:val="CETBodytext"/>
        <w:rPr>
          <w:lang w:val="en-GB"/>
        </w:rPr>
      </w:pPr>
      <w:r w:rsidRPr="003F24CD">
        <w:rPr>
          <w:i/>
          <w:lang w:val="en-GB"/>
        </w:rPr>
        <w:t>Keywords</w:t>
      </w:r>
      <w:r w:rsidRPr="003F24CD">
        <w:rPr>
          <w:lang w:val="en-GB"/>
        </w:rPr>
        <w:t xml:space="preserve">: </w:t>
      </w:r>
      <w:proofErr w:type="spellStart"/>
      <w:r w:rsidR="0031777C" w:rsidRPr="003F24CD">
        <w:rPr>
          <w:lang w:val="en-GB"/>
        </w:rPr>
        <w:t>NaTech</w:t>
      </w:r>
      <w:proofErr w:type="spellEnd"/>
      <w:r w:rsidR="00B503A9" w:rsidRPr="003F24CD">
        <w:rPr>
          <w:lang w:val="en-GB"/>
        </w:rPr>
        <w:t xml:space="preserve">, </w:t>
      </w:r>
      <w:r w:rsidR="0031777C" w:rsidRPr="003F24CD">
        <w:rPr>
          <w:lang w:val="en-GB"/>
        </w:rPr>
        <w:t>lightning</w:t>
      </w:r>
      <w:r w:rsidR="00B503A9" w:rsidRPr="003F24CD">
        <w:rPr>
          <w:lang w:val="en-GB"/>
        </w:rPr>
        <w:t>,</w:t>
      </w:r>
      <w:r w:rsidR="00740049" w:rsidRPr="003F24CD">
        <w:rPr>
          <w:lang w:val="en-GB"/>
        </w:rPr>
        <w:t xml:space="preserve"> major accident hazards,</w:t>
      </w:r>
      <w:r w:rsidR="00B503A9" w:rsidRPr="003F24CD">
        <w:rPr>
          <w:lang w:val="en-GB"/>
        </w:rPr>
        <w:t xml:space="preserve"> safe management</w:t>
      </w:r>
      <w:r w:rsidR="0031777C" w:rsidRPr="003F24CD">
        <w:rPr>
          <w:lang w:val="en-GB"/>
        </w:rPr>
        <w:t>, workers’ health, citizens’ health</w:t>
      </w:r>
    </w:p>
    <w:p w14:paraId="39239B4D" w14:textId="1F028DFC" w:rsidR="00F6625F" w:rsidRPr="003F24CD" w:rsidRDefault="00F6625F" w:rsidP="00DD2725">
      <w:pPr>
        <w:pStyle w:val="CETHeading1"/>
        <w:numPr>
          <w:ilvl w:val="0"/>
          <w:numId w:val="41"/>
        </w:numPr>
        <w:rPr>
          <w:lang w:val="en-GB"/>
        </w:rPr>
      </w:pPr>
      <w:r w:rsidRPr="003F24CD">
        <w:rPr>
          <w:lang w:val="en-GB"/>
        </w:rPr>
        <w:t xml:space="preserve">Introduction: </w:t>
      </w:r>
      <w:r w:rsidR="00BE7DA0">
        <w:rPr>
          <w:lang w:val="en-GB"/>
        </w:rPr>
        <w:t>a</w:t>
      </w:r>
      <w:r w:rsidRPr="003F24CD">
        <w:rPr>
          <w:lang w:val="en-GB"/>
        </w:rPr>
        <w:t xml:space="preserve">nalysis of </w:t>
      </w:r>
      <w:proofErr w:type="spellStart"/>
      <w:r w:rsidRPr="003F24CD">
        <w:rPr>
          <w:lang w:val="en-GB"/>
        </w:rPr>
        <w:t>NaTech</w:t>
      </w:r>
      <w:proofErr w:type="spellEnd"/>
      <w:r w:rsidRPr="003F24CD">
        <w:rPr>
          <w:lang w:val="en-GB"/>
        </w:rPr>
        <w:t xml:space="preserve"> incidents caused by lightning phenomena</w:t>
      </w:r>
    </w:p>
    <w:p w14:paraId="16408F32" w14:textId="5A1BCDD7" w:rsidR="00EF5866" w:rsidRPr="003F24CD" w:rsidRDefault="00F6625F" w:rsidP="00F6625F">
      <w:pPr>
        <w:pStyle w:val="CETBodytext"/>
        <w:rPr>
          <w:lang w:val="en-GB"/>
        </w:rPr>
      </w:pPr>
      <w:r w:rsidRPr="003F24CD">
        <w:rPr>
          <w:lang w:val="en-GB"/>
        </w:rPr>
        <w:t xml:space="preserve">The most common trigger for </w:t>
      </w:r>
      <w:proofErr w:type="spellStart"/>
      <w:r w:rsidRPr="003F24CD">
        <w:rPr>
          <w:lang w:val="en-GB"/>
        </w:rPr>
        <w:t>NaTech</w:t>
      </w:r>
      <w:proofErr w:type="spellEnd"/>
      <w:r w:rsidRPr="003F24CD">
        <w:rPr>
          <w:lang w:val="en-GB"/>
        </w:rPr>
        <w:t xml:space="preserve"> incidents (Natural Hazard Triggering Technological Disasters) is lightning (</w:t>
      </w:r>
      <w:proofErr w:type="spellStart"/>
      <w:r w:rsidRPr="003F24CD">
        <w:rPr>
          <w:lang w:val="en-GB"/>
        </w:rPr>
        <w:t>Necci</w:t>
      </w:r>
      <w:proofErr w:type="spellEnd"/>
      <w:r w:rsidRPr="003F24CD">
        <w:rPr>
          <w:lang w:val="en-GB"/>
        </w:rPr>
        <w:t xml:space="preserve"> et al. 2018). Lightning can interact with industrial equipment through direct or indirect contact (e.g., control systems and el</w:t>
      </w:r>
      <w:r w:rsidR="00EF5866" w:rsidRPr="003F24CD">
        <w:rPr>
          <w:lang w:val="en-GB"/>
        </w:rPr>
        <w:t xml:space="preserve">ectrical circuits). Types of </w:t>
      </w:r>
      <w:proofErr w:type="spellStart"/>
      <w:r w:rsidR="00EF5866" w:rsidRPr="003F24CD">
        <w:rPr>
          <w:lang w:val="en-GB"/>
        </w:rPr>
        <w:t>NaT</w:t>
      </w:r>
      <w:r w:rsidRPr="003F24CD">
        <w:rPr>
          <w:lang w:val="en-GB"/>
        </w:rPr>
        <w:t>ech</w:t>
      </w:r>
      <w:proofErr w:type="spellEnd"/>
      <w:r w:rsidRPr="003F24CD">
        <w:rPr>
          <w:lang w:val="en-GB"/>
        </w:rPr>
        <w:t xml:space="preserve"> incidents are catalogued in the databases (</w:t>
      </w:r>
      <w:proofErr w:type="spellStart"/>
      <w:r w:rsidRPr="003F24CD">
        <w:rPr>
          <w:lang w:val="en-GB"/>
        </w:rPr>
        <w:t>Necci</w:t>
      </w:r>
      <w:proofErr w:type="spellEnd"/>
      <w:r w:rsidRPr="003F24CD">
        <w:rPr>
          <w:lang w:val="en-GB"/>
        </w:rPr>
        <w:t xml:space="preserve"> et al., 2018): </w:t>
      </w:r>
    </w:p>
    <w:p w14:paraId="044919F8" w14:textId="6236A9F5" w:rsidR="00EF5866" w:rsidRPr="003F24CD" w:rsidRDefault="00EF5866" w:rsidP="00EF5866">
      <w:pPr>
        <w:pStyle w:val="CETBodytext"/>
        <w:numPr>
          <w:ilvl w:val="0"/>
          <w:numId w:val="39"/>
        </w:numPr>
        <w:rPr>
          <w:lang w:val="en-GB"/>
        </w:rPr>
      </w:pPr>
      <w:r w:rsidRPr="003F24CD">
        <w:rPr>
          <w:lang w:val="en-GB"/>
        </w:rPr>
        <w:t xml:space="preserve">MHIDAS (Major Hazard Incident </w:t>
      </w:r>
      <w:proofErr w:type="spellStart"/>
      <w:r w:rsidRPr="003F24CD">
        <w:rPr>
          <w:lang w:val="en-GB"/>
        </w:rPr>
        <w:t>DAta</w:t>
      </w:r>
      <w:proofErr w:type="spellEnd"/>
      <w:r w:rsidRPr="003F24CD">
        <w:rPr>
          <w:lang w:val="en-GB"/>
        </w:rPr>
        <w:t xml:space="preserve"> Service – UK): lightning, 56%; temperature, 17%; flooding, 13%; wind, 7%; earthquake, 5%;</w:t>
      </w:r>
    </w:p>
    <w:p w14:paraId="76473533" w14:textId="107086FC" w:rsidR="00EF5866" w:rsidRPr="003F24CD" w:rsidRDefault="00EF5866" w:rsidP="00EF5866">
      <w:pPr>
        <w:pStyle w:val="CETBodytext"/>
        <w:numPr>
          <w:ilvl w:val="0"/>
          <w:numId w:val="39"/>
        </w:numPr>
        <w:rPr>
          <w:lang w:val="en-GB"/>
        </w:rPr>
      </w:pPr>
      <w:r w:rsidRPr="003F24CD">
        <w:rPr>
          <w:lang w:val="en-GB"/>
        </w:rPr>
        <w:t xml:space="preserve">ARIA (Analyse, </w:t>
      </w:r>
      <w:proofErr w:type="spellStart"/>
      <w:r w:rsidRPr="003F24CD">
        <w:rPr>
          <w:lang w:val="en-GB"/>
        </w:rPr>
        <w:t>Recherche</w:t>
      </w:r>
      <w:proofErr w:type="spellEnd"/>
      <w:r w:rsidRPr="003F24CD">
        <w:rPr>
          <w:lang w:val="en-GB"/>
        </w:rPr>
        <w:t xml:space="preserve"> et Information su</w:t>
      </w:r>
      <w:r w:rsidR="006E397E">
        <w:rPr>
          <w:lang w:val="en-GB"/>
        </w:rPr>
        <w:t>r les Accidents – France</w:t>
      </w:r>
      <w:r w:rsidRPr="003F24CD">
        <w:rPr>
          <w:lang w:val="en-GB"/>
        </w:rPr>
        <w:t>): lightning, 20%; temperature, 11%; flooding, 17%; wind/storm, 7%; earthquake, 3%; heavy rain, 29%;</w:t>
      </w:r>
    </w:p>
    <w:p w14:paraId="404A3B2D" w14:textId="6DBAF071" w:rsidR="009962F6" w:rsidRDefault="00EF5866" w:rsidP="00EF5866">
      <w:pPr>
        <w:pStyle w:val="CETBodytext"/>
        <w:numPr>
          <w:ilvl w:val="0"/>
          <w:numId w:val="39"/>
        </w:numPr>
        <w:rPr>
          <w:lang w:val="en-GB"/>
        </w:rPr>
      </w:pPr>
      <w:r w:rsidRPr="003F24CD">
        <w:rPr>
          <w:lang w:val="en-GB"/>
        </w:rPr>
        <w:lastRenderedPageBreak/>
        <w:t>EMARS (European Commission): lightning, 21%; temperature, 9%; flooding, 12%; wind/storm, 24%;  heavy rain, 3%; freeze,</w:t>
      </w:r>
      <w:r w:rsidR="00BE7DA0">
        <w:rPr>
          <w:lang w:val="en-GB"/>
        </w:rPr>
        <w:t xml:space="preserve"> 28%</w:t>
      </w:r>
      <w:r w:rsidR="009962F6">
        <w:rPr>
          <w:lang w:val="en-GB"/>
        </w:rPr>
        <w:t>;</w:t>
      </w:r>
    </w:p>
    <w:p w14:paraId="066FC5EC" w14:textId="654EF962" w:rsidR="00EF5866" w:rsidRPr="003F24CD" w:rsidRDefault="00C2205C" w:rsidP="00EF5866">
      <w:pPr>
        <w:pStyle w:val="CETBodytext"/>
        <w:numPr>
          <w:ilvl w:val="0"/>
          <w:numId w:val="39"/>
        </w:numPr>
        <w:rPr>
          <w:lang w:val="en-GB"/>
        </w:rPr>
      </w:pPr>
      <w:r>
        <w:rPr>
          <w:lang w:val="en-GB"/>
        </w:rPr>
        <w:t>T</w:t>
      </w:r>
      <w:r w:rsidR="00EF5866" w:rsidRPr="003F24CD">
        <w:rPr>
          <w:lang w:val="en-GB"/>
        </w:rPr>
        <w:t>AD (product of the Institu</w:t>
      </w:r>
      <w:r>
        <w:rPr>
          <w:lang w:val="en-GB"/>
        </w:rPr>
        <w:t xml:space="preserve">tion of the Chemical Engineers, </w:t>
      </w:r>
      <w:proofErr w:type="spellStart"/>
      <w:r w:rsidR="00EF5866" w:rsidRPr="003F24CD">
        <w:rPr>
          <w:lang w:val="en-GB"/>
        </w:rPr>
        <w:t>IChemE</w:t>
      </w:r>
      <w:proofErr w:type="spellEnd"/>
      <w:r w:rsidR="00EF5866" w:rsidRPr="003F24CD">
        <w:rPr>
          <w:lang w:val="en-GB"/>
        </w:rPr>
        <w:t>):  lightning, 38%; temperature, 6%; flooding, 2%; wind/storm, 9%; earthquake, 5%; heavy rain, 4%.</w:t>
      </w:r>
    </w:p>
    <w:p w14:paraId="749A93C0" w14:textId="36D5C2A1" w:rsidR="00EF5866" w:rsidRPr="003F24CD" w:rsidRDefault="00EF5866" w:rsidP="00EF5866">
      <w:pPr>
        <w:pStyle w:val="CETBodytext"/>
        <w:rPr>
          <w:lang w:val="en-GB"/>
        </w:rPr>
      </w:pPr>
      <w:r w:rsidRPr="003F24CD">
        <w:rPr>
          <w:lang w:val="en-GB"/>
        </w:rPr>
        <w:t xml:space="preserve">The structures affected by lightning in </w:t>
      </w:r>
      <w:proofErr w:type="spellStart"/>
      <w:r w:rsidRPr="003F24CD">
        <w:rPr>
          <w:lang w:val="en-GB"/>
        </w:rPr>
        <w:t>NaTech</w:t>
      </w:r>
      <w:proofErr w:type="spellEnd"/>
      <w:r w:rsidRPr="003F24CD">
        <w:rPr>
          <w:lang w:val="en-GB"/>
        </w:rPr>
        <w:t xml:space="preserve"> incidents are (</w:t>
      </w:r>
      <w:proofErr w:type="spellStart"/>
      <w:r w:rsidRPr="003F24CD">
        <w:rPr>
          <w:lang w:val="en-GB"/>
        </w:rPr>
        <w:t>Necci</w:t>
      </w:r>
      <w:proofErr w:type="spellEnd"/>
      <w:r w:rsidRPr="003F24CD">
        <w:rPr>
          <w:lang w:val="en-GB"/>
        </w:rPr>
        <w:t xml:space="preserve"> et al., 2018): 1) storage, 74%; 2) process equipment, 8%; 3) electrical equipment, 5%; 4) building or structure, 2%; etc. .</w:t>
      </w:r>
    </w:p>
    <w:p w14:paraId="153CD7BB" w14:textId="0ABB2728" w:rsidR="00EF5866" w:rsidRPr="003F24CD" w:rsidRDefault="00EF5866" w:rsidP="00EF5866">
      <w:pPr>
        <w:pStyle w:val="CETBodytext"/>
        <w:rPr>
          <w:lang w:val="en-GB"/>
        </w:rPr>
      </w:pPr>
      <w:r w:rsidRPr="003F24CD">
        <w:rPr>
          <w:lang w:val="en-GB"/>
        </w:rPr>
        <w:t xml:space="preserve">Finally, </w:t>
      </w:r>
      <w:proofErr w:type="spellStart"/>
      <w:r w:rsidRPr="003F24CD">
        <w:rPr>
          <w:lang w:val="en-GB"/>
        </w:rPr>
        <w:t>NaTech</w:t>
      </w:r>
      <w:proofErr w:type="spellEnd"/>
      <w:r w:rsidRPr="003F24CD">
        <w:rPr>
          <w:lang w:val="en-GB"/>
        </w:rPr>
        <w:t xml:space="preserve"> incidents </w:t>
      </w:r>
      <w:r w:rsidR="006E397E">
        <w:rPr>
          <w:lang w:val="en-GB"/>
        </w:rPr>
        <w:t>caused by lightning result in: f</w:t>
      </w:r>
      <w:r w:rsidRPr="003F24CD">
        <w:rPr>
          <w:lang w:val="en-GB"/>
        </w:rPr>
        <w:t xml:space="preserve">ire, 58%; </w:t>
      </w:r>
      <w:r w:rsidR="006E397E">
        <w:rPr>
          <w:lang w:val="en-GB"/>
        </w:rPr>
        <w:t>e</w:t>
      </w:r>
      <w:r w:rsidRPr="003F24CD">
        <w:rPr>
          <w:lang w:val="en-GB"/>
        </w:rPr>
        <w:t xml:space="preserve">xplosion and </w:t>
      </w:r>
      <w:r w:rsidR="006E397E">
        <w:rPr>
          <w:lang w:val="en-GB"/>
        </w:rPr>
        <w:t>f</w:t>
      </w:r>
      <w:r w:rsidRPr="003F24CD">
        <w:rPr>
          <w:lang w:val="en-GB"/>
        </w:rPr>
        <w:t xml:space="preserve">ire, 19%; </w:t>
      </w:r>
      <w:r w:rsidR="006E397E">
        <w:rPr>
          <w:lang w:val="en-GB"/>
        </w:rPr>
        <w:t>e</w:t>
      </w:r>
      <w:r w:rsidRPr="003F24CD">
        <w:rPr>
          <w:lang w:val="en-GB"/>
        </w:rPr>
        <w:t xml:space="preserve">xplosion, 6%; </w:t>
      </w:r>
      <w:r w:rsidR="006E397E">
        <w:rPr>
          <w:lang w:val="en-GB"/>
        </w:rPr>
        <w:t>d</w:t>
      </w:r>
      <w:r w:rsidRPr="003F24CD">
        <w:rPr>
          <w:lang w:val="en-GB"/>
        </w:rPr>
        <w:t xml:space="preserve">amage to </w:t>
      </w:r>
      <w:r w:rsidR="006E397E">
        <w:rPr>
          <w:lang w:val="en-GB"/>
        </w:rPr>
        <w:t>e</w:t>
      </w:r>
      <w:r w:rsidRPr="003F24CD">
        <w:rPr>
          <w:lang w:val="en-GB"/>
        </w:rPr>
        <w:t xml:space="preserve">quipment, 6%; </w:t>
      </w:r>
      <w:r w:rsidR="006E397E">
        <w:rPr>
          <w:lang w:val="en-GB"/>
        </w:rPr>
        <w:t>g</w:t>
      </w:r>
      <w:r w:rsidRPr="003F24CD">
        <w:rPr>
          <w:lang w:val="en-GB"/>
        </w:rPr>
        <w:t>as/vapour release, 2%, etc. (</w:t>
      </w:r>
      <w:proofErr w:type="spellStart"/>
      <w:r w:rsidRPr="003F24CD">
        <w:rPr>
          <w:lang w:val="en-GB"/>
        </w:rPr>
        <w:t>Necci</w:t>
      </w:r>
      <w:proofErr w:type="spellEnd"/>
      <w:r w:rsidRPr="003F24CD">
        <w:rPr>
          <w:lang w:val="en-GB"/>
        </w:rPr>
        <w:t xml:space="preserve"> et al., 2018).</w:t>
      </w:r>
    </w:p>
    <w:p w14:paraId="448D5C11" w14:textId="74F81C0A" w:rsidR="00EF5866" w:rsidRPr="003F24CD" w:rsidRDefault="00EF5866" w:rsidP="00EF5866">
      <w:pPr>
        <w:pStyle w:val="CETBodytext"/>
        <w:rPr>
          <w:lang w:val="en-GB"/>
        </w:rPr>
      </w:pPr>
      <w:r w:rsidRPr="003F24CD">
        <w:rPr>
          <w:lang w:val="en-GB"/>
        </w:rPr>
        <w:t>Considering the ongoing climate changes, several studies and research conducted over the years indicate an expected increase in lightning frequency ranging from 5-6% (Price and Rind, 1994) to 10-20%</w:t>
      </w:r>
      <w:r w:rsidR="00C2205C">
        <w:rPr>
          <w:lang w:val="en-GB"/>
        </w:rPr>
        <w:t xml:space="preserve"> (P</w:t>
      </w:r>
      <w:r w:rsidR="00BE1D28" w:rsidRPr="003F24CD">
        <w:rPr>
          <w:lang w:val="en-GB"/>
        </w:rPr>
        <w:t xml:space="preserve">into et al., 2013) </w:t>
      </w:r>
      <w:r w:rsidRPr="003F24CD">
        <w:rPr>
          <w:lang w:val="en-GB"/>
        </w:rPr>
        <w:t>for each degree of increase in Earth's surface temperature</w:t>
      </w:r>
      <w:r w:rsidR="00061802" w:rsidRPr="003F24CD">
        <w:rPr>
          <w:lang w:val="en-GB"/>
        </w:rPr>
        <w:t>.</w:t>
      </w:r>
    </w:p>
    <w:p w14:paraId="1E58DA67" w14:textId="39EFAF5D" w:rsidR="003E6314" w:rsidRDefault="003F24CD" w:rsidP="003E6314">
      <w:pPr>
        <w:pStyle w:val="CETBodytext"/>
        <w:rPr>
          <w:lang w:val="en-GB"/>
        </w:rPr>
      </w:pPr>
      <w:r w:rsidRPr="003F24CD">
        <w:rPr>
          <w:lang w:val="en-GB"/>
        </w:rPr>
        <w:t xml:space="preserve">Although the danger of lightning is well known, </w:t>
      </w:r>
      <w:r>
        <w:rPr>
          <w:lang w:val="en-GB"/>
        </w:rPr>
        <w:t>not much</w:t>
      </w:r>
      <w:r w:rsidRPr="003F24CD">
        <w:rPr>
          <w:lang w:val="en-GB"/>
        </w:rPr>
        <w:t xml:space="preserve"> has been</w:t>
      </w:r>
      <w:r>
        <w:rPr>
          <w:lang w:val="en-GB"/>
        </w:rPr>
        <w:t xml:space="preserve"> yet</w:t>
      </w:r>
      <w:r w:rsidRPr="003F24CD">
        <w:rPr>
          <w:lang w:val="en-GB"/>
        </w:rPr>
        <w:t xml:space="preserve"> learned from past events to improve risk management procedures. In this article, the authors, </w:t>
      </w:r>
      <w:r w:rsidR="00C2205C">
        <w:rPr>
          <w:lang w:val="en-GB"/>
        </w:rPr>
        <w:t>basing</w:t>
      </w:r>
      <w:r w:rsidRPr="003F24CD">
        <w:rPr>
          <w:lang w:val="en-GB"/>
        </w:rPr>
        <w:t xml:space="preserve"> on their institutional experience in </w:t>
      </w:r>
      <w:r w:rsidR="00C2205C">
        <w:rPr>
          <w:lang w:val="en-GB"/>
        </w:rPr>
        <w:t>checks</w:t>
      </w:r>
      <w:r w:rsidRPr="003F24CD">
        <w:rPr>
          <w:lang w:val="en-GB"/>
        </w:rPr>
        <w:t xml:space="preserve"> and inspections, introduce an index-based method to determine the </w:t>
      </w:r>
      <w:proofErr w:type="spellStart"/>
      <w:r w:rsidRPr="003F24CD">
        <w:rPr>
          <w:lang w:val="en-GB"/>
        </w:rPr>
        <w:t>NaTech</w:t>
      </w:r>
      <w:proofErr w:type="spellEnd"/>
      <w:r w:rsidRPr="003F24CD">
        <w:rPr>
          <w:lang w:val="en-GB"/>
        </w:rPr>
        <w:t xml:space="preserve"> risk level (for each type of critical e</w:t>
      </w:r>
      <w:r w:rsidR="006F53E5">
        <w:rPr>
          <w:lang w:val="en-GB"/>
        </w:rPr>
        <w:t xml:space="preserve">quipment) induced by lightning </w:t>
      </w:r>
      <w:r w:rsidRPr="003F24CD">
        <w:rPr>
          <w:lang w:val="en-GB"/>
        </w:rPr>
        <w:t>(</w:t>
      </w:r>
      <w:proofErr w:type="spellStart"/>
      <w:r w:rsidRPr="003F24CD">
        <w:rPr>
          <w:lang w:val="en-GB"/>
        </w:rPr>
        <w:t>R</w:t>
      </w:r>
      <w:r w:rsidRPr="003F24CD">
        <w:rPr>
          <w:vertAlign w:val="subscript"/>
          <w:lang w:val="en-GB"/>
        </w:rPr>
        <w:t>Natech,F</w:t>
      </w:r>
      <w:proofErr w:type="spellEnd"/>
      <w:r>
        <w:rPr>
          <w:lang w:val="en-GB"/>
        </w:rPr>
        <w:t>).</w:t>
      </w:r>
      <w:r w:rsidRPr="003F24CD">
        <w:rPr>
          <w:lang w:val="en-GB"/>
        </w:rPr>
        <w:t xml:space="preserve"> Following this, the main prevention and/or protection measures are identified.</w:t>
      </w:r>
    </w:p>
    <w:p w14:paraId="71FB12C6" w14:textId="021625D1" w:rsidR="003F24CD" w:rsidRPr="00B57B36" w:rsidRDefault="003F24CD" w:rsidP="00DD2725">
      <w:pPr>
        <w:pStyle w:val="CETHeading1"/>
        <w:numPr>
          <w:ilvl w:val="0"/>
          <w:numId w:val="41"/>
        </w:numPr>
        <w:rPr>
          <w:lang w:val="en-GB"/>
        </w:rPr>
      </w:pPr>
      <w:r>
        <w:rPr>
          <w:lang w:val="en-GB"/>
        </w:rPr>
        <w:t xml:space="preserve">Factors influencing </w:t>
      </w:r>
      <w:proofErr w:type="spellStart"/>
      <w:r>
        <w:rPr>
          <w:lang w:val="en-GB"/>
        </w:rPr>
        <w:t>NaT</w:t>
      </w:r>
      <w:r w:rsidRPr="003F24CD">
        <w:rPr>
          <w:lang w:val="en-GB"/>
        </w:rPr>
        <w:t>ech</w:t>
      </w:r>
      <w:proofErr w:type="spellEnd"/>
      <w:r w:rsidRPr="003F24CD">
        <w:rPr>
          <w:lang w:val="en-GB"/>
        </w:rPr>
        <w:t xml:space="preserve"> risks from lightning</w:t>
      </w:r>
    </w:p>
    <w:p w14:paraId="6C37D51A" w14:textId="14B8346E" w:rsidR="00BE7DA0" w:rsidRPr="00BE7DA0" w:rsidRDefault="00BE7DA0" w:rsidP="003F24CD">
      <w:pPr>
        <w:pStyle w:val="CETBodytext"/>
        <w:rPr>
          <w:lang w:val="en-GB"/>
        </w:rPr>
      </w:pPr>
      <w:r w:rsidRPr="00BE7DA0">
        <w:rPr>
          <w:lang w:val="en-GB"/>
        </w:rPr>
        <w:t xml:space="preserve">To assess </w:t>
      </w:r>
      <w:proofErr w:type="spellStart"/>
      <w:r w:rsidRPr="00BE7DA0">
        <w:rPr>
          <w:lang w:val="en-GB"/>
        </w:rPr>
        <w:t>NaTech</w:t>
      </w:r>
      <w:proofErr w:type="spellEnd"/>
      <w:r w:rsidRPr="00BE7DA0">
        <w:rPr>
          <w:lang w:val="en-GB"/>
        </w:rPr>
        <w:t xml:space="preserve"> risks from lightning, three main factors must be considered: 1) </w:t>
      </w:r>
      <w:r w:rsidR="003272AE">
        <w:rPr>
          <w:lang w:val="en-GB"/>
        </w:rPr>
        <w:t>p</w:t>
      </w:r>
      <w:r>
        <w:rPr>
          <w:lang w:val="en-GB"/>
        </w:rPr>
        <w:t>robability</w:t>
      </w:r>
      <w:r w:rsidRPr="00BE7DA0">
        <w:rPr>
          <w:lang w:val="en-GB"/>
        </w:rPr>
        <w:t xml:space="preserve"> associated with the occurrence of a natural event of specific intensity over a period of time; in the case of lightning, the parameter "N</w:t>
      </w:r>
      <w:r w:rsidRPr="00BE7DA0">
        <w:rPr>
          <w:vertAlign w:val="subscript"/>
          <w:lang w:val="en-GB"/>
        </w:rPr>
        <w:t>g</w:t>
      </w:r>
      <w:r w:rsidRPr="00BE7DA0">
        <w:rPr>
          <w:lang w:val="en-GB"/>
        </w:rPr>
        <w:t xml:space="preserve">" is considered, representing the ground </w:t>
      </w:r>
      <w:r w:rsidR="00693D47" w:rsidRPr="00693D47">
        <w:rPr>
          <w:lang w:val="en-GB"/>
        </w:rPr>
        <w:t xml:space="preserve">lightning </w:t>
      </w:r>
      <w:r w:rsidRPr="00BE7DA0">
        <w:rPr>
          <w:lang w:val="en-GB"/>
        </w:rPr>
        <w:t>density (average number of lightning strikes per km² per year; a value obtainable from lightning location networ</w:t>
      </w:r>
      <w:r>
        <w:rPr>
          <w:lang w:val="en-GB"/>
        </w:rPr>
        <w:t xml:space="preserve">ks distributed across the area); 2) </w:t>
      </w:r>
      <w:r w:rsidR="003272AE">
        <w:rPr>
          <w:lang w:val="en-GB"/>
        </w:rPr>
        <w:t>v</w:t>
      </w:r>
      <w:r w:rsidRPr="00BE7DA0">
        <w:rPr>
          <w:lang w:val="en-GB"/>
        </w:rPr>
        <w:t>ulne</w:t>
      </w:r>
      <w:r>
        <w:rPr>
          <w:lang w:val="en-GB"/>
        </w:rPr>
        <w:t xml:space="preserve">rability </w:t>
      </w:r>
      <w:r w:rsidRPr="00BE7DA0">
        <w:rPr>
          <w:lang w:val="en-GB"/>
        </w:rPr>
        <w:t xml:space="preserve">of critical equipment “V” (e.g., atmospheric fuel tanks with floating or fixed roofs, pressurized tanks containing flammable substances such as LPG, connecting pipelines, etc.); 3) </w:t>
      </w:r>
      <w:r w:rsidR="003272AE">
        <w:rPr>
          <w:lang w:val="en-GB"/>
        </w:rPr>
        <w:t>e</w:t>
      </w:r>
      <w:r w:rsidRPr="00BE7DA0">
        <w:rPr>
          <w:lang w:val="en-GB"/>
        </w:rPr>
        <w:t>xposure “E”, understood as the extent and severity of damage to receptors potentially impacted by the effects of lightning-initiated accidental events (workers, population, environment, assets, infrastructures).</w:t>
      </w:r>
    </w:p>
    <w:p w14:paraId="610EE641" w14:textId="624F3864" w:rsidR="00BE7DA0" w:rsidRPr="00BE7DA0" w:rsidRDefault="00BE7DA0" w:rsidP="003F24CD">
      <w:pPr>
        <w:pStyle w:val="CETBodytext"/>
        <w:rPr>
          <w:lang w:val="en-GB"/>
        </w:rPr>
      </w:pPr>
      <w:r w:rsidRPr="00BE7DA0">
        <w:rPr>
          <w:lang w:val="en-GB"/>
        </w:rPr>
        <w:t xml:space="preserve">Therefore, the value of </w:t>
      </w:r>
      <w:proofErr w:type="spellStart"/>
      <w:r w:rsidRPr="00BE7DA0">
        <w:rPr>
          <w:lang w:val="en-GB"/>
        </w:rPr>
        <w:t>NaTech</w:t>
      </w:r>
      <w:proofErr w:type="spellEnd"/>
      <w:r w:rsidRPr="00BE7DA0">
        <w:rPr>
          <w:lang w:val="en-GB"/>
        </w:rPr>
        <w:t xml:space="preserve"> </w:t>
      </w:r>
      <w:r w:rsidR="002D05BC">
        <w:rPr>
          <w:lang w:val="en-GB"/>
        </w:rPr>
        <w:t>r</w:t>
      </w:r>
      <w:r w:rsidRPr="00BE7DA0">
        <w:rPr>
          <w:lang w:val="en-GB"/>
        </w:rPr>
        <w:t>isk induced by lightning “</w:t>
      </w:r>
      <w:proofErr w:type="spellStart"/>
      <w:r w:rsidRPr="00BE7DA0">
        <w:rPr>
          <w:lang w:val="en-GB"/>
        </w:rPr>
        <w:t>R</w:t>
      </w:r>
      <w:r w:rsidRPr="00BE7DA0">
        <w:rPr>
          <w:vertAlign w:val="subscript"/>
          <w:lang w:val="en-GB"/>
        </w:rPr>
        <w:t>Natech,F</w:t>
      </w:r>
      <w:proofErr w:type="spellEnd"/>
      <w:r w:rsidRPr="00BE7DA0">
        <w:rPr>
          <w:lang w:val="en-GB"/>
        </w:rPr>
        <w:t>”</w:t>
      </w:r>
      <w:r w:rsidRPr="00BE7DA0">
        <w:rPr>
          <w:vertAlign w:val="subscript"/>
          <w:lang w:val="en-GB"/>
        </w:rPr>
        <w:t xml:space="preserve"> </w:t>
      </w:r>
      <w:r w:rsidRPr="00BE7DA0">
        <w:rPr>
          <w:lang w:val="en-GB"/>
        </w:rPr>
        <w:t>is a function of three factors:</w:t>
      </w:r>
    </w:p>
    <w:p w14:paraId="15F71659" w14:textId="67A1D331" w:rsidR="00BE7DA0" w:rsidRDefault="00BE7DA0" w:rsidP="00BE7DA0">
      <w:pPr>
        <w:pStyle w:val="CETEquation"/>
        <w:rPr>
          <w:lang w:val="en-US"/>
        </w:rPr>
      </w:pPr>
      <w:proofErr w:type="spellStart"/>
      <w:r w:rsidRPr="00BE7DA0">
        <w:t>R</w:t>
      </w:r>
      <w:r w:rsidRPr="00BE7DA0">
        <w:rPr>
          <w:vertAlign w:val="subscript"/>
        </w:rPr>
        <w:t>Natech,F</w:t>
      </w:r>
      <w:proofErr w:type="spellEnd"/>
      <w:r w:rsidRPr="00BE7DA0">
        <w:t xml:space="preserve"> = f (</w:t>
      </w:r>
      <w:proofErr w:type="spellStart"/>
      <w:r w:rsidRPr="00BE7DA0">
        <w:t>N</w:t>
      </w:r>
      <w:r w:rsidRPr="00BE7DA0">
        <w:rPr>
          <w:vertAlign w:val="subscript"/>
        </w:rPr>
        <w:t>g</w:t>
      </w:r>
      <w:r w:rsidRPr="00BE7DA0">
        <w:t>,V,E</w:t>
      </w:r>
      <w:proofErr w:type="spellEnd"/>
      <w:r w:rsidRPr="00BE7DA0">
        <w:t>)</w:t>
      </w:r>
      <w:r>
        <w:rPr>
          <w:lang w:val="en-US"/>
        </w:rPr>
        <w:t xml:space="preserve">                      </w:t>
      </w:r>
      <w:r>
        <w:rPr>
          <w:lang w:val="en-US"/>
        </w:rPr>
        <w:tab/>
        <w:t xml:space="preserve">         </w:t>
      </w:r>
      <w:r w:rsidRPr="009E10E5">
        <w:rPr>
          <w:lang w:val="en-US"/>
        </w:rPr>
        <w:t>(1</w:t>
      </w:r>
      <w:r>
        <w:rPr>
          <w:lang w:val="en-US"/>
        </w:rPr>
        <w:t>)</w:t>
      </w:r>
    </w:p>
    <w:p w14:paraId="2C0B3FD4" w14:textId="6EC8E6ED" w:rsidR="00BE7DA0" w:rsidRDefault="00BE7DA0" w:rsidP="003F24CD">
      <w:pPr>
        <w:pStyle w:val="CETBodytext"/>
      </w:pPr>
      <w:r w:rsidRPr="00BE7DA0">
        <w:t xml:space="preserve">The expression (1) is not easy to calculate, as its three variables depend on many other variables. Therefore, the authors propose a simplified index method based on </w:t>
      </w:r>
      <w:r>
        <w:t xml:space="preserve">the following </w:t>
      </w:r>
      <w:r w:rsidRPr="00BE7DA0">
        <w:t>expression (2), applying it to the individual critical primary containment systems</w:t>
      </w:r>
      <w:r>
        <w:t xml:space="preserve"> within the industrial </w:t>
      </w:r>
      <w:r w:rsidR="00C2205C">
        <w:t>establishment</w:t>
      </w:r>
      <w:r>
        <w:t>:</w:t>
      </w:r>
    </w:p>
    <w:p w14:paraId="3B7353C3" w14:textId="17373F59" w:rsidR="00BE7DA0" w:rsidRDefault="00BE7DA0" w:rsidP="00BE7DA0">
      <w:pPr>
        <w:pStyle w:val="CETEquation"/>
      </w:pPr>
      <w:proofErr w:type="spellStart"/>
      <w:r w:rsidRPr="00BE7DA0">
        <w:t>IR</w:t>
      </w:r>
      <w:r w:rsidRPr="00BE7DA0">
        <w:rPr>
          <w:vertAlign w:val="subscript"/>
        </w:rPr>
        <w:t>Natech,F</w:t>
      </w:r>
      <w:proofErr w:type="spellEnd"/>
      <w:r w:rsidRPr="00BE7DA0">
        <w:t xml:space="preserve"> = </w:t>
      </w:r>
      <w:proofErr w:type="spellStart"/>
      <w:r w:rsidRPr="00BE7DA0">
        <w:t>IN</w:t>
      </w:r>
      <w:r w:rsidRPr="00BE7DA0">
        <w:rPr>
          <w:vertAlign w:val="subscript"/>
        </w:rPr>
        <w:t>g</w:t>
      </w:r>
      <w:proofErr w:type="spellEnd"/>
      <w:r w:rsidRPr="00BE7DA0">
        <w:t xml:space="preserve"> * IV * IE          </w:t>
      </w:r>
      <w:r>
        <w:tab/>
      </w:r>
      <w:r w:rsidRPr="00BE7DA0">
        <w:t xml:space="preserve">                  (2)</w:t>
      </w:r>
    </w:p>
    <w:p w14:paraId="6B89322F" w14:textId="77777777" w:rsidR="00BE7DA0" w:rsidRDefault="00BE7DA0" w:rsidP="003F24CD">
      <w:pPr>
        <w:pStyle w:val="CETBodytext"/>
      </w:pPr>
    </w:p>
    <w:p w14:paraId="4A71C5AC" w14:textId="2446493A" w:rsidR="00BE7DA0" w:rsidRDefault="00BE7DA0" w:rsidP="003F24CD">
      <w:pPr>
        <w:pStyle w:val="CETBodytext"/>
      </w:pPr>
      <w:r>
        <w:t xml:space="preserve">where </w:t>
      </w:r>
      <w:proofErr w:type="spellStart"/>
      <w:r>
        <w:rPr>
          <w:rStyle w:val="katex-mathml"/>
        </w:rPr>
        <w:t>IR</w:t>
      </w:r>
      <w:r w:rsidRPr="00BE7DA0">
        <w:rPr>
          <w:rStyle w:val="katex-mathml"/>
          <w:vertAlign w:val="subscript"/>
        </w:rPr>
        <w:t>Natech,F</w:t>
      </w:r>
      <w:proofErr w:type="spellEnd"/>
      <w:r>
        <w:rPr>
          <w:rStyle w:val="vlist-s"/>
        </w:rPr>
        <w:t>​</w:t>
      </w:r>
      <w:r>
        <w:t xml:space="preserve">, </w:t>
      </w:r>
      <w:proofErr w:type="spellStart"/>
      <w:r>
        <w:rPr>
          <w:rStyle w:val="katex-mathml"/>
        </w:rPr>
        <w:t>IN</w:t>
      </w:r>
      <w:r w:rsidRPr="001B60C7">
        <w:rPr>
          <w:rStyle w:val="katex-mathml"/>
          <w:vertAlign w:val="subscript"/>
        </w:rPr>
        <w:t>g</w:t>
      </w:r>
      <w:proofErr w:type="spellEnd"/>
      <w:r>
        <w:t xml:space="preserve">, </w:t>
      </w:r>
      <w:r>
        <w:rPr>
          <w:rStyle w:val="katex-mathml"/>
        </w:rPr>
        <w:t>IV</w:t>
      </w:r>
      <w:r>
        <w:rPr>
          <w:rStyle w:val="vlist-s"/>
        </w:rPr>
        <w:t>​</w:t>
      </w:r>
      <w:r>
        <w:t xml:space="preserve">, and </w:t>
      </w:r>
      <w:r>
        <w:rPr>
          <w:rStyle w:val="katex-mathml"/>
        </w:rPr>
        <w:t>IE</w:t>
      </w:r>
      <w:r>
        <w:t xml:space="preserve"> are,</w:t>
      </w:r>
      <w:r w:rsidR="003272AE">
        <w:t xml:space="preserve"> respectively, the </w:t>
      </w:r>
      <w:proofErr w:type="spellStart"/>
      <w:r w:rsidR="003272AE">
        <w:t>NaTech</w:t>
      </w:r>
      <w:proofErr w:type="spellEnd"/>
      <w:r w:rsidR="003272AE">
        <w:t xml:space="preserve"> risk i</w:t>
      </w:r>
      <w:r>
        <w:t xml:space="preserve">ndex for lightning, the </w:t>
      </w:r>
      <w:r w:rsidR="00693D47">
        <w:t xml:space="preserve">ground </w:t>
      </w:r>
      <w:r>
        <w:t xml:space="preserve">lightning density index, the vulnerability index of the considered equipment, and the exposure index for incidental events caused by lightning. The indices </w:t>
      </w:r>
      <w:proofErr w:type="spellStart"/>
      <w:r w:rsidR="001B60C7" w:rsidRPr="001B60C7">
        <w:rPr>
          <w:rStyle w:val="katex-mathml"/>
        </w:rPr>
        <w:t>IN</w:t>
      </w:r>
      <w:r w:rsidR="001B60C7" w:rsidRPr="00693D47">
        <w:rPr>
          <w:rStyle w:val="katex-mathml"/>
          <w:vertAlign w:val="subscript"/>
        </w:rPr>
        <w:t>g</w:t>
      </w:r>
      <w:proofErr w:type="spellEnd"/>
      <w:r w:rsidR="001B60C7" w:rsidRPr="001B60C7">
        <w:rPr>
          <w:rStyle w:val="katex-mathml"/>
        </w:rPr>
        <w:t xml:space="preserve">, IV, and IE </w:t>
      </w:r>
      <w:r>
        <w:t>are assigned increasing numerica</w:t>
      </w:r>
      <w:r w:rsidR="001B60C7">
        <w:t>l values as the risk increases (</w:t>
      </w:r>
      <w:r>
        <w:t xml:space="preserve">integer values ranging from 1 to 4), to determine the </w:t>
      </w:r>
      <w:proofErr w:type="spellStart"/>
      <w:r>
        <w:t>NaTech</w:t>
      </w:r>
      <w:proofErr w:type="spellEnd"/>
      <w:r>
        <w:t xml:space="preserve"> </w:t>
      </w:r>
      <w:r w:rsidR="003272AE">
        <w:t>l</w:t>
      </w:r>
      <w:r>
        <w:t xml:space="preserve">ightning </w:t>
      </w:r>
      <w:r w:rsidR="003272AE">
        <w:t>r</w:t>
      </w:r>
      <w:r>
        <w:t xml:space="preserve">isk </w:t>
      </w:r>
      <w:r w:rsidR="003272AE">
        <w:t>i</w:t>
      </w:r>
      <w:r>
        <w:t>ndex (</w:t>
      </w:r>
      <w:proofErr w:type="spellStart"/>
      <w:r>
        <w:rPr>
          <w:rStyle w:val="katex-mathml"/>
        </w:rPr>
        <w:t>IR</w:t>
      </w:r>
      <w:r w:rsidRPr="001B60C7">
        <w:rPr>
          <w:rStyle w:val="katex-mathml"/>
          <w:vertAlign w:val="subscript"/>
        </w:rPr>
        <w:t>Natech,F</w:t>
      </w:r>
      <w:proofErr w:type="spellEnd"/>
      <w:r>
        <w:rPr>
          <w:rStyle w:val="vlist-s"/>
        </w:rPr>
        <w:t>​</w:t>
      </w:r>
      <w:r>
        <w:t>) for all critical equipment within the industrial plant; this assessment will guide the selection of preventive and/or protective measures against the risk.</w:t>
      </w:r>
    </w:p>
    <w:p w14:paraId="2F4560DC" w14:textId="28F868AA" w:rsidR="008B62E9" w:rsidRPr="008B62E9" w:rsidRDefault="008B62E9" w:rsidP="006F53E5">
      <w:pPr>
        <w:pStyle w:val="CETHeading1"/>
        <w:numPr>
          <w:ilvl w:val="0"/>
          <w:numId w:val="41"/>
        </w:numPr>
        <w:rPr>
          <w:lang w:val="en-GB"/>
        </w:rPr>
      </w:pPr>
      <w:r w:rsidRPr="008B62E9">
        <w:rPr>
          <w:lang w:val="en-GB"/>
        </w:rPr>
        <w:t>Gathering information on lightning hazards in the plant area.</w:t>
      </w:r>
      <w:r>
        <w:rPr>
          <w:lang w:val="en-GB"/>
        </w:rPr>
        <w:t xml:space="preserve"> </w:t>
      </w:r>
      <w:r w:rsidR="00693D47">
        <w:rPr>
          <w:lang w:val="en-GB"/>
        </w:rPr>
        <w:t xml:space="preserve">Ground </w:t>
      </w:r>
      <w:r w:rsidR="006E397E">
        <w:rPr>
          <w:lang w:val="en-GB"/>
        </w:rPr>
        <w:t>l</w:t>
      </w:r>
      <w:r w:rsidR="00074101" w:rsidRPr="00074101">
        <w:rPr>
          <w:lang w:val="en-GB"/>
        </w:rPr>
        <w:t xml:space="preserve">ightning </w:t>
      </w:r>
      <w:r w:rsidRPr="008B62E9">
        <w:rPr>
          <w:lang w:val="en-GB"/>
        </w:rPr>
        <w:t>density, N</w:t>
      </w:r>
      <w:r w:rsidRPr="008B62E9">
        <w:rPr>
          <w:vertAlign w:val="subscript"/>
          <w:lang w:val="en-GB"/>
        </w:rPr>
        <w:t>g</w:t>
      </w:r>
      <w:r w:rsidRPr="008B62E9">
        <w:rPr>
          <w:lang w:val="en-GB"/>
        </w:rPr>
        <w:t xml:space="preserve">. </w:t>
      </w:r>
      <w:r w:rsidR="00693D47">
        <w:rPr>
          <w:lang w:val="en-GB"/>
        </w:rPr>
        <w:t xml:space="preserve">Ground </w:t>
      </w:r>
      <w:r w:rsidR="006E397E">
        <w:rPr>
          <w:lang w:val="en-GB"/>
        </w:rPr>
        <w:t>l</w:t>
      </w:r>
      <w:r w:rsidR="00693D47">
        <w:rPr>
          <w:lang w:val="en-GB"/>
        </w:rPr>
        <w:t>ightning</w:t>
      </w:r>
      <w:r w:rsidR="00697B19">
        <w:rPr>
          <w:lang w:val="en-GB"/>
        </w:rPr>
        <w:t xml:space="preserve"> </w:t>
      </w:r>
      <w:r>
        <w:rPr>
          <w:lang w:val="en-GB"/>
        </w:rPr>
        <w:t xml:space="preserve">density index, </w:t>
      </w:r>
      <w:proofErr w:type="spellStart"/>
      <w:r>
        <w:rPr>
          <w:lang w:val="en-GB"/>
        </w:rPr>
        <w:t>IN</w:t>
      </w:r>
      <w:r w:rsidRPr="008B62E9">
        <w:rPr>
          <w:vertAlign w:val="subscript"/>
          <w:lang w:val="en-GB"/>
        </w:rPr>
        <w:t>g</w:t>
      </w:r>
      <w:proofErr w:type="spellEnd"/>
    </w:p>
    <w:p w14:paraId="295C7D9B" w14:textId="630E9254" w:rsidR="00AC7A55" w:rsidRPr="002B3AEC" w:rsidRDefault="001A68CC" w:rsidP="006779DE">
      <w:pPr>
        <w:tabs>
          <w:tab w:val="clear" w:pos="7100"/>
        </w:tabs>
        <w:spacing w:line="276" w:lineRule="auto"/>
      </w:pPr>
      <w:r w:rsidRPr="002B3AEC">
        <w:t xml:space="preserve">Figure 1 shows lightning strikes around the world in 2021 (2021 U.S. Lightning Report, 2022). Among the countries with the highest total number of lightning strikes are Brazil and the United States, while Italy is the European country with the highest average number of lightning strikes per square </w:t>
      </w:r>
      <w:proofErr w:type="spellStart"/>
      <w:r w:rsidRPr="002B3AEC">
        <w:t>kilometer</w:t>
      </w:r>
      <w:proofErr w:type="spellEnd"/>
      <w:r w:rsidRPr="002B3AEC">
        <w:t xml:space="preserve">. In 2021, Italy received more lightning strikes than any other European country, </w:t>
      </w:r>
      <w:r w:rsidR="002B3AEC" w:rsidRPr="002B3AEC">
        <w:t>totalling</w:t>
      </w:r>
      <w:r w:rsidRPr="002B3AEC">
        <w:t xml:space="preserve"> 2.7 million strikes, with an average of nearly 12 strikes per square </w:t>
      </w:r>
      <w:proofErr w:type="spellStart"/>
      <w:r w:rsidRPr="002B3AEC">
        <w:t>kilometer</w:t>
      </w:r>
      <w:proofErr w:type="spellEnd"/>
      <w:r w:rsidRPr="002B3AEC">
        <w:t xml:space="preserve"> (2021 U.S. Lightning Report, 2022). In the Balkans, the average is higher, reaching a maximum of 14.4 strikes per square </w:t>
      </w:r>
      <w:proofErr w:type="spellStart"/>
      <w:r w:rsidRPr="002B3AEC">
        <w:t>kilometer</w:t>
      </w:r>
      <w:proofErr w:type="spellEnd"/>
      <w:r w:rsidRPr="002B3AEC">
        <w:t xml:space="preserve"> in Montenegro (2021 U.S. Lightning Report, 2022).</w:t>
      </w:r>
    </w:p>
    <w:p w14:paraId="03532B70" w14:textId="144E6301" w:rsidR="001A68CC" w:rsidRPr="002B3AEC" w:rsidRDefault="001A68CC" w:rsidP="006779DE">
      <w:pPr>
        <w:tabs>
          <w:tab w:val="clear" w:pos="7100"/>
        </w:tabs>
        <w:spacing w:line="276" w:lineRule="auto"/>
      </w:pPr>
      <w:r w:rsidRPr="002B3AEC">
        <w:t xml:space="preserve">Industrial </w:t>
      </w:r>
      <w:r w:rsidR="00C2205C">
        <w:t>establishment</w:t>
      </w:r>
      <w:r w:rsidRPr="002B3AEC">
        <w:t xml:space="preserve"> managers/employers can refer to lightning density data available on the </w:t>
      </w:r>
      <w:proofErr w:type="spellStart"/>
      <w:r w:rsidRPr="002B3AEC">
        <w:t>Vaisala</w:t>
      </w:r>
      <w:proofErr w:type="spellEnd"/>
      <w:r w:rsidRPr="002B3AEC">
        <w:t xml:space="preserve"> website (www.vaisala.com) for an initial assessment, where reports on these recordings are published.</w:t>
      </w:r>
    </w:p>
    <w:p w14:paraId="28B611CD" w14:textId="065CAB63" w:rsidR="001A68CC" w:rsidRPr="002B3AEC" w:rsidRDefault="001A68CC" w:rsidP="003E6314">
      <w:pPr>
        <w:tabs>
          <w:tab w:val="clear" w:pos="7100"/>
        </w:tabs>
        <w:spacing w:after="200" w:line="276" w:lineRule="auto"/>
      </w:pPr>
      <w:r w:rsidRPr="002B3AEC">
        <w:t xml:space="preserve">In Italy, it is possible to determine the impact point of a lightning strike with an accuracy of approximately 500 meters, thanks to the SIRF (Italian Lightning Detection System) of CESI (Italian Experimental </w:t>
      </w:r>
      <w:proofErr w:type="spellStart"/>
      <w:r w:rsidRPr="002B3AEC">
        <w:t>Electrotechnical</w:t>
      </w:r>
      <w:proofErr w:type="spellEnd"/>
      <w:r w:rsidRPr="002B3AEC">
        <w:t xml:space="preserve"> </w:t>
      </w:r>
      <w:proofErr w:type="spellStart"/>
      <w:r w:rsidRPr="002B3AEC">
        <w:t>Center</w:t>
      </w:r>
      <w:proofErr w:type="spellEnd"/>
      <w:r w:rsidRPr="002B3AEC">
        <w:t>).</w:t>
      </w:r>
    </w:p>
    <w:p w14:paraId="71FA498A" w14:textId="1AD20618" w:rsidR="00113E5C" w:rsidRDefault="00502365" w:rsidP="00A0150D">
      <w:pPr>
        <w:tabs>
          <w:tab w:val="clear" w:pos="7100"/>
        </w:tabs>
        <w:spacing w:after="200" w:line="276" w:lineRule="auto"/>
        <w:jc w:val="center"/>
        <w:rPr>
          <w:lang w:val="en-US"/>
        </w:rPr>
      </w:pPr>
      <w:r w:rsidRPr="001A68CC">
        <w:rPr>
          <w:lang w:val="en-US"/>
        </w:rPr>
        <w:lastRenderedPageBreak/>
        <w:t xml:space="preserve"> </w:t>
      </w:r>
      <w:r w:rsidR="00A0150D" w:rsidRPr="001A68CC">
        <w:rPr>
          <w:lang w:val="en-US"/>
        </w:rPr>
        <w:t xml:space="preserve">   </w:t>
      </w:r>
      <w:r w:rsidR="00113E5C">
        <w:rPr>
          <w:noProof/>
          <w:lang w:val="it-IT" w:eastAsia="it-IT"/>
        </w:rPr>
        <w:drawing>
          <wp:inline distT="0" distB="0" distL="0" distR="0" wp14:anchorId="7B32B866" wp14:editId="783667A3">
            <wp:extent cx="5245735" cy="1206736"/>
            <wp:effectExtent l="0" t="0" r="0" b="0"/>
            <wp:docPr id="9286868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0311" cy="1235394"/>
                    </a:xfrm>
                    <a:prstGeom prst="rect">
                      <a:avLst/>
                    </a:prstGeom>
                    <a:noFill/>
                    <a:ln>
                      <a:noFill/>
                    </a:ln>
                  </pic:spPr>
                </pic:pic>
              </a:graphicData>
            </a:graphic>
          </wp:inline>
        </w:drawing>
      </w:r>
    </w:p>
    <w:p w14:paraId="4D414E67" w14:textId="0E19153F" w:rsidR="00BA76EC" w:rsidRPr="001A68CC" w:rsidRDefault="001A68CC" w:rsidP="00B43D16">
      <w:pPr>
        <w:tabs>
          <w:tab w:val="clear" w:pos="7100"/>
        </w:tabs>
        <w:spacing w:after="200" w:line="276" w:lineRule="auto"/>
        <w:jc w:val="center"/>
      </w:pPr>
      <w:r w:rsidRPr="001A68CC">
        <w:t>Figure</w:t>
      </w:r>
      <w:r w:rsidR="00502365" w:rsidRPr="001A68CC">
        <w:t xml:space="preserve"> </w:t>
      </w:r>
      <w:r w:rsidR="008B0D4D" w:rsidRPr="001A68CC">
        <w:t>1</w:t>
      </w:r>
      <w:r w:rsidR="00523B59" w:rsidRPr="001A68CC">
        <w:t xml:space="preserve"> -</w:t>
      </w:r>
      <w:r w:rsidR="007667EB" w:rsidRPr="001A68CC">
        <w:t xml:space="preserve"> </w:t>
      </w:r>
      <w:r w:rsidR="00B43D16" w:rsidRPr="001A68CC">
        <w:t>Global lightning density 2021</w:t>
      </w:r>
      <w:r w:rsidR="00144443" w:rsidRPr="001A68CC">
        <w:t xml:space="preserve"> (2021 U.S. Lightning Report, 2022)</w:t>
      </w:r>
    </w:p>
    <w:p w14:paraId="7FE3FB7A" w14:textId="5A96B543" w:rsidR="006250D3" w:rsidRPr="006250D3" w:rsidRDefault="006250D3" w:rsidP="005E0284">
      <w:pPr>
        <w:tabs>
          <w:tab w:val="clear" w:pos="7100"/>
        </w:tabs>
        <w:spacing w:line="276" w:lineRule="auto"/>
        <w:rPr>
          <w:lang w:val="en-US"/>
        </w:rPr>
      </w:pPr>
      <w:r w:rsidRPr="006250D3">
        <w:rPr>
          <w:lang w:val="en-US"/>
        </w:rPr>
        <w:t xml:space="preserve">For the analysis of the chronology of lightning events, </w:t>
      </w:r>
      <w:r>
        <w:rPr>
          <w:lang w:val="en-US"/>
        </w:rPr>
        <w:t>it is possible to</w:t>
      </w:r>
      <w:r w:rsidRPr="006250D3">
        <w:rPr>
          <w:lang w:val="en-US"/>
        </w:rPr>
        <w:t xml:space="preserve"> refer to the</w:t>
      </w:r>
      <w:r w:rsidR="00693D47">
        <w:rPr>
          <w:lang w:val="en-US"/>
        </w:rPr>
        <w:t xml:space="preserve"> online application CEI </w:t>
      </w:r>
      <w:proofErr w:type="spellStart"/>
      <w:r w:rsidR="00693D47">
        <w:rPr>
          <w:lang w:val="en-US"/>
        </w:rPr>
        <w:t>ProDis</w:t>
      </w:r>
      <w:proofErr w:type="spellEnd"/>
      <w:r w:rsidR="00693D47">
        <w:rPr>
          <w:lang w:val="en-US"/>
        </w:rPr>
        <w:t xml:space="preserve">™ </w:t>
      </w:r>
      <w:r w:rsidRPr="006250D3">
        <w:rPr>
          <w:lang w:val="en-US"/>
        </w:rPr>
        <w:t xml:space="preserve">(https://prodis.ceinorme.it/home.html) by the CEI (Italian </w:t>
      </w:r>
      <w:proofErr w:type="spellStart"/>
      <w:r w:rsidRPr="006250D3">
        <w:rPr>
          <w:lang w:val="en-US"/>
        </w:rPr>
        <w:t>Electrotechnical</w:t>
      </w:r>
      <w:proofErr w:type="spellEnd"/>
      <w:r w:rsidRPr="006250D3">
        <w:rPr>
          <w:lang w:val="en-US"/>
        </w:rPr>
        <w:t xml:space="preserve"> Committee). This application is based on data acquired by the SIRF monitoring network and provides an N</w:t>
      </w:r>
      <w:r w:rsidRPr="006250D3">
        <w:rPr>
          <w:vertAlign w:val="subscript"/>
          <w:lang w:val="en-US"/>
        </w:rPr>
        <w:t>g</w:t>
      </w:r>
      <w:r w:rsidRPr="006250D3">
        <w:rPr>
          <w:lang w:val="en-US"/>
        </w:rPr>
        <w:t xml:space="preserve"> value based on lightning data collected over more than ten years across the entire Italian territory.</w:t>
      </w:r>
    </w:p>
    <w:p w14:paraId="73422CD1" w14:textId="7E1E39AA" w:rsidR="006250D3" w:rsidRPr="006250D3" w:rsidRDefault="002655CA" w:rsidP="005E0284">
      <w:pPr>
        <w:tabs>
          <w:tab w:val="clear" w:pos="7100"/>
        </w:tabs>
        <w:spacing w:line="276" w:lineRule="auto"/>
        <w:rPr>
          <w:lang w:val="en-US"/>
        </w:rPr>
      </w:pPr>
      <w:r w:rsidRPr="002655CA">
        <w:rPr>
          <w:lang w:val="en-US"/>
        </w:rPr>
        <w:t xml:space="preserve">Using the CEI </w:t>
      </w:r>
      <w:proofErr w:type="spellStart"/>
      <w:r w:rsidRPr="002655CA">
        <w:rPr>
          <w:lang w:val="en-US"/>
        </w:rPr>
        <w:t>ProDis</w:t>
      </w:r>
      <w:proofErr w:type="spellEnd"/>
      <w:r w:rsidRPr="002655CA">
        <w:rPr>
          <w:lang w:val="en-US"/>
        </w:rPr>
        <w:t xml:space="preserve">™ application, the manager of an Italian industrial </w:t>
      </w:r>
      <w:r>
        <w:rPr>
          <w:lang w:val="en-US"/>
        </w:rPr>
        <w:t>establishment</w:t>
      </w:r>
      <w:r w:rsidRPr="002655CA">
        <w:rPr>
          <w:lang w:val="en-US"/>
        </w:rPr>
        <w:t xml:space="preserve"> can determine the N</w:t>
      </w:r>
      <w:r w:rsidRPr="002655CA">
        <w:rPr>
          <w:vertAlign w:val="subscript"/>
          <w:lang w:val="en-US"/>
        </w:rPr>
        <w:t>g</w:t>
      </w:r>
      <w:r w:rsidRPr="002655CA">
        <w:rPr>
          <w:lang w:val="en-US"/>
        </w:rPr>
        <w:t xml:space="preserve"> value for their site. Higher N</w:t>
      </w:r>
      <w:r w:rsidRPr="002655CA">
        <w:rPr>
          <w:vertAlign w:val="subscript"/>
          <w:lang w:val="en-US"/>
        </w:rPr>
        <w:t>g</w:t>
      </w:r>
      <w:r w:rsidRPr="002655CA">
        <w:rPr>
          <w:lang w:val="en-US"/>
        </w:rPr>
        <w:t xml:space="preserve"> values correspond to a </w:t>
      </w:r>
      <w:r w:rsidR="007F7E5E">
        <w:rPr>
          <w:lang w:val="en-US"/>
        </w:rPr>
        <w:t>higher</w:t>
      </w:r>
      <w:r w:rsidRPr="002655CA">
        <w:rPr>
          <w:lang w:val="en-US"/>
        </w:rPr>
        <w:t xml:space="preserve"> likelihood that lightning will strike the industrial site under assessment. Based on the authors' field experience, N</w:t>
      </w:r>
      <w:r w:rsidRPr="002655CA">
        <w:rPr>
          <w:vertAlign w:val="subscript"/>
          <w:lang w:val="en-US"/>
        </w:rPr>
        <w:t>g</w:t>
      </w:r>
      <w:r w:rsidRPr="002655CA">
        <w:rPr>
          <w:lang w:val="en-US"/>
        </w:rPr>
        <w:t xml:space="preserve"> can be correlated with the index introduced in the p</w:t>
      </w:r>
      <w:r>
        <w:rPr>
          <w:lang w:val="en-US"/>
        </w:rPr>
        <w:t xml:space="preserve">revious paragraph, </w:t>
      </w:r>
      <w:proofErr w:type="spellStart"/>
      <w:r w:rsidRPr="002655CA">
        <w:rPr>
          <w:lang w:val="en-US"/>
        </w:rPr>
        <w:t>IN</w:t>
      </w:r>
      <w:r w:rsidRPr="002655CA">
        <w:rPr>
          <w:vertAlign w:val="subscript"/>
          <w:lang w:val="en-US"/>
        </w:rPr>
        <w:t>g</w:t>
      </w:r>
      <w:proofErr w:type="spellEnd"/>
      <w:r w:rsidRPr="002655CA">
        <w:rPr>
          <w:lang w:val="en-US"/>
        </w:rPr>
        <w:t xml:space="preserve"> (</w:t>
      </w:r>
      <w:r w:rsidR="00C2205C" w:rsidRPr="006F53E5">
        <w:rPr>
          <w:lang w:val="en-US"/>
        </w:rPr>
        <w:t>ground</w:t>
      </w:r>
      <w:r w:rsidR="00C2205C" w:rsidRPr="002655CA">
        <w:rPr>
          <w:lang w:val="en-US"/>
        </w:rPr>
        <w:t xml:space="preserve"> </w:t>
      </w:r>
      <w:r w:rsidRPr="002655CA">
        <w:rPr>
          <w:lang w:val="en-US"/>
        </w:rPr>
        <w:t>lightning density index), which takes integer values between 1 and 4 (table 1).</w:t>
      </w:r>
    </w:p>
    <w:p w14:paraId="655B21FA" w14:textId="6915242E" w:rsidR="003A4916" w:rsidRPr="00B57B36" w:rsidRDefault="003A4916" w:rsidP="003A4916">
      <w:pPr>
        <w:pStyle w:val="CETTabletitle"/>
      </w:pPr>
      <w:r>
        <w:t>Table 1.</w:t>
      </w:r>
      <w:r w:rsidRPr="00B57B36">
        <w:t xml:space="preserve"> </w:t>
      </w:r>
      <w:r w:rsidRPr="003A4916">
        <w:t>Relationship between N</w:t>
      </w:r>
      <w:r w:rsidRPr="003A4916">
        <w:rPr>
          <w:vertAlign w:val="subscript"/>
        </w:rPr>
        <w:t xml:space="preserve">g </w:t>
      </w:r>
      <w:r w:rsidRPr="003A4916">
        <w:t>(</w:t>
      </w:r>
      <w:r w:rsidR="006E397E">
        <w:t>g</w:t>
      </w:r>
      <w:r w:rsidR="00693D47">
        <w:t xml:space="preserve">round </w:t>
      </w:r>
      <w:r w:rsidR="006E397E">
        <w:t>l</w:t>
      </w:r>
      <w:r w:rsidR="00074101" w:rsidRPr="00074101">
        <w:t xml:space="preserve">ightning </w:t>
      </w:r>
      <w:r w:rsidR="006E397E">
        <w:t>d</w:t>
      </w:r>
      <w:r w:rsidRPr="003A4916">
        <w:t xml:space="preserve">ensity, measured as the average number of lightning strikes per km² per year) and </w:t>
      </w:r>
      <w:proofErr w:type="spellStart"/>
      <w:r w:rsidRPr="003A4916">
        <w:t>IN</w:t>
      </w:r>
      <w:r w:rsidRPr="003A4916">
        <w:rPr>
          <w:vertAlign w:val="subscript"/>
        </w:rPr>
        <w:t>g</w:t>
      </w:r>
      <w:proofErr w:type="spellEnd"/>
      <w:r w:rsidRPr="003A4916">
        <w:t xml:space="preserve"> (</w:t>
      </w:r>
      <w:r w:rsidR="006E397E">
        <w:t>g</w:t>
      </w:r>
      <w:r w:rsidR="00693D47">
        <w:t xml:space="preserve">round </w:t>
      </w:r>
      <w:r w:rsidR="006E397E">
        <w:t>l</w:t>
      </w:r>
      <w:r w:rsidR="00074101" w:rsidRPr="00074101">
        <w:t xml:space="preserve">ightning </w:t>
      </w:r>
      <w:r w:rsidRPr="003A4916">
        <w:t>density index, dimensionless).</w:t>
      </w:r>
    </w:p>
    <w:tbl>
      <w:tblPr>
        <w:tblW w:w="7230"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615"/>
        <w:gridCol w:w="3615"/>
      </w:tblGrid>
      <w:tr w:rsidR="003A4916" w:rsidRPr="00B57B36" w14:paraId="0C3E6E5B" w14:textId="77777777" w:rsidTr="003A4916">
        <w:trPr>
          <w:trHeight w:val="212"/>
          <w:jc w:val="center"/>
        </w:trPr>
        <w:tc>
          <w:tcPr>
            <w:tcW w:w="3615" w:type="dxa"/>
            <w:tcBorders>
              <w:top w:val="single" w:sz="12" w:space="0" w:color="008000"/>
              <w:bottom w:val="single" w:sz="6" w:space="0" w:color="008000"/>
            </w:tcBorders>
            <w:shd w:val="clear" w:color="auto" w:fill="FFFFFF"/>
          </w:tcPr>
          <w:p w14:paraId="70762FB5" w14:textId="4CCB6114" w:rsidR="003A4916" w:rsidRPr="00693D47" w:rsidRDefault="003A4916" w:rsidP="00693D47">
            <w:pPr>
              <w:pStyle w:val="CETBodytext"/>
              <w:jc w:val="center"/>
              <w:rPr>
                <w:sz w:val="16"/>
                <w:szCs w:val="18"/>
                <w:lang w:val="en-GB"/>
              </w:rPr>
            </w:pPr>
            <w:r>
              <w:rPr>
                <w:sz w:val="16"/>
                <w:szCs w:val="18"/>
                <w:lang w:val="en-GB"/>
              </w:rPr>
              <w:t>N</w:t>
            </w:r>
            <w:r w:rsidRPr="003A4916">
              <w:rPr>
                <w:sz w:val="16"/>
                <w:szCs w:val="18"/>
                <w:vertAlign w:val="subscript"/>
                <w:lang w:val="en-GB"/>
              </w:rPr>
              <w:t>g</w:t>
            </w:r>
            <w:r w:rsidR="00693D47">
              <w:rPr>
                <w:sz w:val="16"/>
                <w:szCs w:val="18"/>
                <w:lang w:val="en-GB"/>
              </w:rPr>
              <w:t xml:space="preserve"> [</w:t>
            </w:r>
            <w:r w:rsidR="00693D47" w:rsidRPr="00693D47">
              <w:rPr>
                <w:sz w:val="16"/>
                <w:szCs w:val="18"/>
                <w:lang w:val="en-GB"/>
              </w:rPr>
              <w:t>lightning strikes per km² per year</w:t>
            </w:r>
            <w:r w:rsidR="00693D47">
              <w:rPr>
                <w:sz w:val="16"/>
                <w:szCs w:val="18"/>
                <w:lang w:val="en-GB"/>
              </w:rPr>
              <w:t>]</w:t>
            </w:r>
          </w:p>
        </w:tc>
        <w:tc>
          <w:tcPr>
            <w:tcW w:w="3615" w:type="dxa"/>
            <w:tcBorders>
              <w:top w:val="single" w:sz="12" w:space="0" w:color="008000"/>
              <w:bottom w:val="single" w:sz="6" w:space="0" w:color="008000"/>
            </w:tcBorders>
            <w:shd w:val="clear" w:color="auto" w:fill="FFFFFF"/>
          </w:tcPr>
          <w:p w14:paraId="01113582" w14:textId="49E4B161" w:rsidR="003A4916" w:rsidRPr="00B254BE" w:rsidRDefault="003A4916" w:rsidP="000D697B">
            <w:pPr>
              <w:pStyle w:val="CETBodytext"/>
              <w:jc w:val="center"/>
              <w:rPr>
                <w:sz w:val="16"/>
                <w:szCs w:val="18"/>
                <w:lang w:val="en-GB"/>
              </w:rPr>
            </w:pPr>
            <w:proofErr w:type="spellStart"/>
            <w:r>
              <w:rPr>
                <w:sz w:val="16"/>
                <w:szCs w:val="18"/>
                <w:lang w:val="en-GB"/>
              </w:rPr>
              <w:t>IN</w:t>
            </w:r>
            <w:r w:rsidRPr="003A4916">
              <w:rPr>
                <w:sz w:val="16"/>
                <w:szCs w:val="18"/>
                <w:vertAlign w:val="subscript"/>
                <w:lang w:val="en-GB"/>
              </w:rPr>
              <w:t>g</w:t>
            </w:r>
            <w:proofErr w:type="spellEnd"/>
          </w:p>
        </w:tc>
      </w:tr>
      <w:tr w:rsidR="003A4916" w:rsidRPr="00B57B36" w14:paraId="16A9B62A" w14:textId="77777777" w:rsidTr="003A4916">
        <w:trPr>
          <w:trHeight w:val="212"/>
          <w:jc w:val="center"/>
        </w:trPr>
        <w:tc>
          <w:tcPr>
            <w:tcW w:w="3615" w:type="dxa"/>
            <w:shd w:val="clear" w:color="auto" w:fill="FFFFFF"/>
          </w:tcPr>
          <w:p w14:paraId="271A89B4" w14:textId="32A33004" w:rsidR="003A4916" w:rsidRDefault="009423B1" w:rsidP="009423B1">
            <w:pPr>
              <w:pStyle w:val="CETBodytext"/>
              <w:jc w:val="center"/>
              <w:rPr>
                <w:sz w:val="16"/>
                <w:szCs w:val="18"/>
                <w:lang w:val="en-GB"/>
              </w:rPr>
            </w:pPr>
            <w:r>
              <w:rPr>
                <w:sz w:val="16"/>
                <w:szCs w:val="18"/>
                <w:lang w:val="en-GB"/>
              </w:rPr>
              <w:t>Value up to 1.00</w:t>
            </w:r>
          </w:p>
          <w:p w14:paraId="3975DF66" w14:textId="77777777" w:rsidR="009423B1" w:rsidRDefault="009423B1" w:rsidP="009423B1">
            <w:pPr>
              <w:pStyle w:val="CETBodytext"/>
              <w:jc w:val="center"/>
              <w:rPr>
                <w:sz w:val="16"/>
                <w:szCs w:val="18"/>
                <w:lang w:val="en-GB"/>
              </w:rPr>
            </w:pPr>
            <w:r w:rsidRPr="009423B1">
              <w:rPr>
                <w:sz w:val="16"/>
                <w:szCs w:val="18"/>
                <w:lang w:val="en-GB"/>
              </w:rPr>
              <w:t>Value from 1.00 to 2.99</w:t>
            </w:r>
          </w:p>
          <w:p w14:paraId="5992B9F0" w14:textId="77777777" w:rsidR="009423B1" w:rsidRDefault="009423B1" w:rsidP="009423B1">
            <w:pPr>
              <w:pStyle w:val="CETBodytext"/>
              <w:jc w:val="center"/>
              <w:rPr>
                <w:sz w:val="16"/>
                <w:szCs w:val="18"/>
                <w:lang w:val="en-GB"/>
              </w:rPr>
            </w:pPr>
            <w:r>
              <w:rPr>
                <w:sz w:val="16"/>
                <w:szCs w:val="18"/>
                <w:lang w:val="en-GB"/>
              </w:rPr>
              <w:t>Value from 3.00 to 4</w:t>
            </w:r>
            <w:r w:rsidRPr="009423B1">
              <w:rPr>
                <w:sz w:val="16"/>
                <w:szCs w:val="18"/>
                <w:lang w:val="en-GB"/>
              </w:rPr>
              <w:t>.99</w:t>
            </w:r>
          </w:p>
          <w:p w14:paraId="25AABEAC" w14:textId="5978597D" w:rsidR="009423B1" w:rsidRPr="00B254BE" w:rsidRDefault="009423B1" w:rsidP="007F7E5E">
            <w:pPr>
              <w:pStyle w:val="CETBodytext"/>
              <w:jc w:val="center"/>
              <w:rPr>
                <w:sz w:val="16"/>
                <w:szCs w:val="18"/>
                <w:lang w:val="en-GB"/>
              </w:rPr>
            </w:pPr>
            <w:r w:rsidRPr="009423B1">
              <w:rPr>
                <w:sz w:val="16"/>
                <w:szCs w:val="18"/>
                <w:lang w:val="en-GB"/>
              </w:rPr>
              <w:t xml:space="preserve">Value </w:t>
            </w:r>
            <w:r w:rsidR="007F7E5E">
              <w:rPr>
                <w:sz w:val="16"/>
                <w:szCs w:val="18"/>
                <w:lang w:val="en-GB"/>
              </w:rPr>
              <w:t>higher</w:t>
            </w:r>
            <w:r w:rsidRPr="009423B1">
              <w:rPr>
                <w:sz w:val="16"/>
                <w:szCs w:val="18"/>
                <w:lang w:val="en-GB"/>
              </w:rPr>
              <w:t xml:space="preserve"> than or equal to 5</w:t>
            </w:r>
            <w:r>
              <w:rPr>
                <w:sz w:val="16"/>
                <w:szCs w:val="18"/>
                <w:lang w:val="en-GB"/>
              </w:rPr>
              <w:t>.00</w:t>
            </w:r>
          </w:p>
        </w:tc>
        <w:tc>
          <w:tcPr>
            <w:tcW w:w="3615" w:type="dxa"/>
            <w:shd w:val="clear" w:color="auto" w:fill="FFFFFF"/>
          </w:tcPr>
          <w:p w14:paraId="67482E10" w14:textId="77777777" w:rsidR="003A4916" w:rsidRDefault="003A4916" w:rsidP="000D697B">
            <w:pPr>
              <w:pStyle w:val="CETBodytext"/>
              <w:jc w:val="center"/>
              <w:rPr>
                <w:sz w:val="16"/>
                <w:szCs w:val="18"/>
                <w:lang w:val="en-GB"/>
              </w:rPr>
            </w:pPr>
            <w:r>
              <w:rPr>
                <w:sz w:val="16"/>
                <w:szCs w:val="18"/>
                <w:lang w:val="en-GB"/>
              </w:rPr>
              <w:t>1</w:t>
            </w:r>
          </w:p>
          <w:p w14:paraId="6A3270BB" w14:textId="77777777" w:rsidR="003A4916" w:rsidRDefault="003A4916" w:rsidP="000D697B">
            <w:pPr>
              <w:pStyle w:val="CETBodytext"/>
              <w:jc w:val="center"/>
              <w:rPr>
                <w:sz w:val="16"/>
                <w:szCs w:val="18"/>
                <w:lang w:val="en-GB"/>
              </w:rPr>
            </w:pPr>
            <w:r>
              <w:rPr>
                <w:sz w:val="16"/>
                <w:szCs w:val="18"/>
                <w:lang w:val="en-GB"/>
              </w:rPr>
              <w:t>2</w:t>
            </w:r>
          </w:p>
          <w:p w14:paraId="39E2DF88" w14:textId="77777777" w:rsidR="003A4916" w:rsidRDefault="003A4916" w:rsidP="000D697B">
            <w:pPr>
              <w:pStyle w:val="CETBodytext"/>
              <w:jc w:val="center"/>
              <w:rPr>
                <w:sz w:val="16"/>
                <w:szCs w:val="18"/>
                <w:lang w:val="en-GB"/>
              </w:rPr>
            </w:pPr>
            <w:r>
              <w:rPr>
                <w:sz w:val="16"/>
                <w:szCs w:val="18"/>
                <w:lang w:val="en-GB"/>
              </w:rPr>
              <w:t>3</w:t>
            </w:r>
          </w:p>
          <w:p w14:paraId="2261A2A7" w14:textId="3695153C" w:rsidR="003A4916" w:rsidRPr="00B254BE" w:rsidRDefault="003A4916" w:rsidP="000D697B">
            <w:pPr>
              <w:pStyle w:val="CETBodytext"/>
              <w:jc w:val="center"/>
              <w:rPr>
                <w:sz w:val="16"/>
                <w:szCs w:val="18"/>
                <w:lang w:val="en-GB"/>
              </w:rPr>
            </w:pPr>
            <w:r>
              <w:rPr>
                <w:sz w:val="16"/>
                <w:szCs w:val="18"/>
                <w:lang w:val="en-GB"/>
              </w:rPr>
              <w:t>4</w:t>
            </w:r>
          </w:p>
        </w:tc>
      </w:tr>
    </w:tbl>
    <w:p w14:paraId="0E716107" w14:textId="4E2BC35C" w:rsidR="00615FAD" w:rsidRDefault="00615FAD" w:rsidP="005E0284">
      <w:pPr>
        <w:tabs>
          <w:tab w:val="clear" w:pos="7100"/>
        </w:tabs>
        <w:spacing w:line="276" w:lineRule="auto"/>
        <w:rPr>
          <w:lang w:val="en-US"/>
        </w:rPr>
      </w:pPr>
    </w:p>
    <w:p w14:paraId="7A48E94C" w14:textId="737C8235" w:rsidR="003F6067" w:rsidRPr="003F6067" w:rsidRDefault="003F6067" w:rsidP="003F6067">
      <w:pPr>
        <w:pStyle w:val="CETHeading1"/>
        <w:numPr>
          <w:ilvl w:val="0"/>
          <w:numId w:val="41"/>
        </w:numPr>
      </w:pPr>
      <w:r>
        <w:t xml:space="preserve">Lightning </w:t>
      </w:r>
      <w:r w:rsidR="006E397E">
        <w:t>v</w:t>
      </w:r>
      <w:r>
        <w:t xml:space="preserve">ulnerability </w:t>
      </w:r>
      <w:r w:rsidR="006E397E">
        <w:t>i</w:t>
      </w:r>
      <w:r>
        <w:t xml:space="preserve">ndex of </w:t>
      </w:r>
      <w:r w:rsidR="00EE57F3">
        <w:t>e</w:t>
      </w:r>
      <w:r>
        <w:t>quipment, IV</w:t>
      </w:r>
    </w:p>
    <w:p w14:paraId="454BFF9C" w14:textId="081FE581" w:rsidR="002B3AEC" w:rsidRPr="002B3AEC" w:rsidRDefault="002B3AEC" w:rsidP="003F6067">
      <w:pPr>
        <w:tabs>
          <w:tab w:val="clear" w:pos="7100"/>
        </w:tabs>
        <w:spacing w:line="276" w:lineRule="auto"/>
        <w:rPr>
          <w:lang w:val="en-US"/>
        </w:rPr>
      </w:pPr>
      <w:r w:rsidRPr="002B3AEC">
        <w:rPr>
          <w:lang w:val="en-US"/>
        </w:rPr>
        <w:t xml:space="preserve">In industrial </w:t>
      </w:r>
      <w:r w:rsidR="00C2205C">
        <w:rPr>
          <w:lang w:val="en-US"/>
        </w:rPr>
        <w:t>establishments</w:t>
      </w:r>
      <w:r w:rsidRPr="002B3AEC">
        <w:rPr>
          <w:lang w:val="en-US"/>
        </w:rPr>
        <w:t xml:space="preserve">, it is important to identify the vulnerability of critical equipment that could trigger </w:t>
      </w:r>
      <w:proofErr w:type="spellStart"/>
      <w:r w:rsidRPr="002B3AEC">
        <w:rPr>
          <w:lang w:val="en-US"/>
        </w:rPr>
        <w:t>NaTech</w:t>
      </w:r>
      <w:proofErr w:type="spellEnd"/>
      <w:r w:rsidRPr="002B3AEC">
        <w:rPr>
          <w:lang w:val="en-US"/>
        </w:rPr>
        <w:t xml:space="preserve"> events due to lightning strikes. This work focuses on the most critical equipment containing hazardous substances found in the processing </w:t>
      </w:r>
      <w:r>
        <w:rPr>
          <w:lang w:val="en-US"/>
        </w:rPr>
        <w:t xml:space="preserve">and storage industries: </w:t>
      </w:r>
      <w:r w:rsidRPr="002B3AEC">
        <w:rPr>
          <w:lang w:val="en-US"/>
        </w:rPr>
        <w:t>pressurized equipment (spheres, columns, reactors, exchangers, tanks, furnaces), atmospheric storage tanks (fixed or floating roof), and piping systems containing or conveying hazardous substances (both pressurized and non-pressurized).</w:t>
      </w:r>
    </w:p>
    <w:p w14:paraId="51771FB8" w14:textId="7EC0B382" w:rsidR="003F6067" w:rsidRPr="002B3AEC" w:rsidRDefault="002B3AEC" w:rsidP="005E0284">
      <w:pPr>
        <w:tabs>
          <w:tab w:val="clear" w:pos="7100"/>
        </w:tabs>
        <w:spacing w:line="276" w:lineRule="auto"/>
        <w:rPr>
          <w:lang w:val="en-US"/>
        </w:rPr>
      </w:pPr>
      <w:r w:rsidRPr="002B3AEC">
        <w:rPr>
          <w:lang w:val="en-US"/>
        </w:rPr>
        <w:t>Table 2 shows, based on the authors' field experience, the relationship between the type of equipment containing hazardous substances</w:t>
      </w:r>
      <w:r>
        <w:rPr>
          <w:lang w:val="en-US"/>
        </w:rPr>
        <w:t xml:space="preserve"> and the vulnerability index "IV</w:t>
      </w:r>
      <w:r w:rsidRPr="002B3AEC">
        <w:rPr>
          <w:lang w:val="en-US"/>
        </w:rPr>
        <w:t xml:space="preserve">" (integer values between 1 and 4), under conditions of </w:t>
      </w:r>
      <w:r w:rsidR="00C2205C">
        <w:rPr>
          <w:lang w:val="en-US"/>
        </w:rPr>
        <w:t>good</w:t>
      </w:r>
      <w:r w:rsidRPr="002B3AEC">
        <w:rPr>
          <w:lang w:val="en-US"/>
        </w:rPr>
        <w:t xml:space="preserve"> maintenance.</w:t>
      </w:r>
    </w:p>
    <w:p w14:paraId="0C4FC0F2" w14:textId="36DD952A" w:rsidR="002B3AEC" w:rsidRPr="00B57B36" w:rsidRDefault="002B3AEC" w:rsidP="002B3AEC">
      <w:pPr>
        <w:pStyle w:val="CETTabletitle"/>
      </w:pPr>
      <w:r w:rsidRPr="00B57B36">
        <w:t xml:space="preserve">Table </w:t>
      </w:r>
      <w:r>
        <w:t>2.</w:t>
      </w:r>
      <w:r w:rsidRPr="00B57B36">
        <w:t xml:space="preserve"> </w:t>
      </w:r>
      <w:r w:rsidRPr="002B3AEC">
        <w:t xml:space="preserve">Values of the </w:t>
      </w:r>
      <w:r w:rsidR="006E397E">
        <w:t>l</w:t>
      </w:r>
      <w:r w:rsidRPr="002B3AEC">
        <w:t xml:space="preserve">ightning </w:t>
      </w:r>
      <w:r w:rsidR="006E397E">
        <w:t>v</w:t>
      </w:r>
      <w:r w:rsidRPr="002B3AEC">
        <w:t xml:space="preserve">ulnerability </w:t>
      </w:r>
      <w:r w:rsidR="006E397E">
        <w:t>i</w:t>
      </w:r>
      <w:r w:rsidRPr="002B3AEC">
        <w:t xml:space="preserve">ndex (IV) </w:t>
      </w:r>
      <w:r w:rsidR="006F53E5">
        <w:t>of a</w:t>
      </w:r>
      <w:r w:rsidRPr="002B3AEC">
        <w:t xml:space="preserve"> specific equipment</w:t>
      </w:r>
      <w:r>
        <w:t>.</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83"/>
        <w:gridCol w:w="1255"/>
        <w:gridCol w:w="3138"/>
        <w:gridCol w:w="2511"/>
      </w:tblGrid>
      <w:tr w:rsidR="002B3AEC" w:rsidRPr="00B57B36" w14:paraId="609D584B" w14:textId="77777777" w:rsidTr="00D16299">
        <w:trPr>
          <w:trHeight w:val="212"/>
        </w:trPr>
        <w:tc>
          <w:tcPr>
            <w:tcW w:w="1883" w:type="dxa"/>
            <w:tcBorders>
              <w:top w:val="single" w:sz="12" w:space="0" w:color="008000"/>
              <w:bottom w:val="single" w:sz="6" w:space="0" w:color="008000"/>
            </w:tcBorders>
            <w:shd w:val="clear" w:color="auto" w:fill="FFFFFF"/>
          </w:tcPr>
          <w:p w14:paraId="6AA9C613" w14:textId="300553F3" w:rsidR="002B3AEC" w:rsidRPr="00B254BE" w:rsidRDefault="002B3AEC" w:rsidP="001034D5">
            <w:pPr>
              <w:pStyle w:val="CETBodytext"/>
              <w:jc w:val="center"/>
              <w:rPr>
                <w:sz w:val="16"/>
                <w:szCs w:val="18"/>
                <w:lang w:val="en-GB"/>
              </w:rPr>
            </w:pPr>
            <w:r>
              <w:rPr>
                <w:sz w:val="16"/>
                <w:szCs w:val="18"/>
                <w:lang w:val="en-GB"/>
              </w:rPr>
              <w:t>Type of equipment</w:t>
            </w:r>
          </w:p>
        </w:tc>
        <w:tc>
          <w:tcPr>
            <w:tcW w:w="1255" w:type="dxa"/>
            <w:tcBorders>
              <w:top w:val="single" w:sz="12" w:space="0" w:color="008000"/>
              <w:bottom w:val="single" w:sz="6" w:space="0" w:color="008000"/>
            </w:tcBorders>
            <w:shd w:val="clear" w:color="auto" w:fill="FFFFFF"/>
          </w:tcPr>
          <w:p w14:paraId="0E20AFA8" w14:textId="3C3C5B40" w:rsidR="002B3AEC" w:rsidRPr="00B254BE" w:rsidRDefault="002B3AEC" w:rsidP="001034D5">
            <w:pPr>
              <w:pStyle w:val="CETBodytext"/>
              <w:jc w:val="center"/>
              <w:rPr>
                <w:sz w:val="16"/>
                <w:szCs w:val="18"/>
                <w:lang w:val="en-GB"/>
              </w:rPr>
            </w:pPr>
            <w:r w:rsidRPr="002B3AEC">
              <w:rPr>
                <w:sz w:val="16"/>
                <w:szCs w:val="18"/>
                <w:lang w:val="en-GB"/>
              </w:rPr>
              <w:t>Degree of filling</w:t>
            </w:r>
          </w:p>
        </w:tc>
        <w:tc>
          <w:tcPr>
            <w:tcW w:w="3138" w:type="dxa"/>
            <w:tcBorders>
              <w:top w:val="single" w:sz="12" w:space="0" w:color="008000"/>
              <w:bottom w:val="single" w:sz="6" w:space="0" w:color="008000"/>
            </w:tcBorders>
            <w:shd w:val="clear" w:color="auto" w:fill="FFFFFF"/>
          </w:tcPr>
          <w:p w14:paraId="02DE78DB" w14:textId="4A90BCD2" w:rsidR="002B3AEC" w:rsidRPr="00B254BE" w:rsidRDefault="002B3AEC" w:rsidP="001034D5">
            <w:pPr>
              <w:pStyle w:val="CETBodytext"/>
              <w:jc w:val="center"/>
              <w:rPr>
                <w:sz w:val="16"/>
                <w:szCs w:val="18"/>
                <w:lang w:val="en-GB"/>
              </w:rPr>
            </w:pPr>
            <w:r w:rsidRPr="002B3AEC">
              <w:rPr>
                <w:sz w:val="16"/>
                <w:szCs w:val="18"/>
                <w:lang w:val="en-GB"/>
              </w:rPr>
              <w:t>Construction characteristics</w:t>
            </w:r>
          </w:p>
        </w:tc>
        <w:tc>
          <w:tcPr>
            <w:tcW w:w="2511" w:type="dxa"/>
            <w:tcBorders>
              <w:top w:val="single" w:sz="12" w:space="0" w:color="008000"/>
              <w:bottom w:val="single" w:sz="6" w:space="0" w:color="008000"/>
            </w:tcBorders>
            <w:shd w:val="clear" w:color="auto" w:fill="FFFFFF"/>
          </w:tcPr>
          <w:p w14:paraId="16FF70F6" w14:textId="766E852C" w:rsidR="002B3AEC" w:rsidRPr="00B254BE" w:rsidRDefault="006E397E" w:rsidP="006E397E">
            <w:pPr>
              <w:pStyle w:val="CETBodytext"/>
              <w:jc w:val="center"/>
              <w:rPr>
                <w:sz w:val="16"/>
                <w:szCs w:val="18"/>
                <w:lang w:val="en-GB"/>
              </w:rPr>
            </w:pPr>
            <w:r>
              <w:rPr>
                <w:sz w:val="16"/>
                <w:szCs w:val="18"/>
                <w:lang w:val="en-GB"/>
              </w:rPr>
              <w:t>l</w:t>
            </w:r>
            <w:r w:rsidR="002B3AEC" w:rsidRPr="002B3AEC">
              <w:rPr>
                <w:sz w:val="16"/>
                <w:szCs w:val="18"/>
                <w:lang w:val="en-GB"/>
              </w:rPr>
              <w:t xml:space="preserve">ightning </w:t>
            </w:r>
            <w:r>
              <w:rPr>
                <w:sz w:val="16"/>
                <w:szCs w:val="18"/>
                <w:lang w:val="en-GB"/>
              </w:rPr>
              <w:t>v</w:t>
            </w:r>
            <w:r w:rsidR="002B3AEC" w:rsidRPr="002B3AEC">
              <w:rPr>
                <w:sz w:val="16"/>
                <w:szCs w:val="18"/>
                <w:lang w:val="en-GB"/>
              </w:rPr>
              <w:t xml:space="preserve">ulnerability </w:t>
            </w:r>
            <w:r>
              <w:rPr>
                <w:sz w:val="16"/>
                <w:szCs w:val="18"/>
                <w:lang w:val="en-GB"/>
              </w:rPr>
              <w:t>i</w:t>
            </w:r>
            <w:r w:rsidR="002B3AEC" w:rsidRPr="002B3AEC">
              <w:rPr>
                <w:sz w:val="16"/>
                <w:szCs w:val="18"/>
                <w:lang w:val="en-GB"/>
              </w:rPr>
              <w:t>ndex (IV)</w:t>
            </w:r>
          </w:p>
        </w:tc>
      </w:tr>
      <w:tr w:rsidR="00D16299" w:rsidRPr="00B57B36" w14:paraId="2774798A" w14:textId="77777777" w:rsidTr="00D16299">
        <w:trPr>
          <w:trHeight w:val="212"/>
        </w:trPr>
        <w:tc>
          <w:tcPr>
            <w:tcW w:w="1883" w:type="dxa"/>
            <w:shd w:val="clear" w:color="auto" w:fill="FFFFFF"/>
          </w:tcPr>
          <w:p w14:paraId="0F5127AA" w14:textId="61253E24" w:rsidR="00D16299" w:rsidRPr="00B254BE" w:rsidRDefault="00D16299" w:rsidP="001034D5">
            <w:pPr>
              <w:pStyle w:val="CETBodytext"/>
              <w:jc w:val="center"/>
              <w:rPr>
                <w:sz w:val="16"/>
                <w:szCs w:val="18"/>
                <w:lang w:val="en-GB"/>
              </w:rPr>
            </w:pPr>
            <w:r w:rsidRPr="00D16299">
              <w:rPr>
                <w:sz w:val="16"/>
                <w:szCs w:val="18"/>
                <w:lang w:val="en-GB"/>
              </w:rPr>
              <w:t>Floating roof tank</w:t>
            </w:r>
          </w:p>
        </w:tc>
        <w:tc>
          <w:tcPr>
            <w:tcW w:w="1255" w:type="dxa"/>
            <w:shd w:val="clear" w:color="auto" w:fill="FFFFFF"/>
          </w:tcPr>
          <w:p w14:paraId="376B663F" w14:textId="28B788C3" w:rsidR="00D16299" w:rsidRPr="00D16299" w:rsidRDefault="00D16299" w:rsidP="001034D5">
            <w:pPr>
              <w:pStyle w:val="CETBodytext"/>
              <w:jc w:val="center"/>
              <w:rPr>
                <w:sz w:val="16"/>
                <w:szCs w:val="18"/>
                <w:lang w:val="en-GB"/>
              </w:rPr>
            </w:pPr>
            <w:r w:rsidRPr="00D16299">
              <w:rPr>
                <w:sz w:val="16"/>
              </w:rPr>
              <w:t xml:space="preserve">&gt;50% / &lt;  50%  </w:t>
            </w:r>
          </w:p>
        </w:tc>
        <w:tc>
          <w:tcPr>
            <w:tcW w:w="3138" w:type="dxa"/>
            <w:shd w:val="clear" w:color="auto" w:fill="FFFFFF"/>
          </w:tcPr>
          <w:p w14:paraId="429F9F32" w14:textId="77777777" w:rsidR="00D16299" w:rsidRPr="00B254BE" w:rsidRDefault="00D16299" w:rsidP="001034D5">
            <w:pPr>
              <w:pStyle w:val="CETBodytext"/>
              <w:jc w:val="center"/>
              <w:rPr>
                <w:sz w:val="16"/>
                <w:szCs w:val="18"/>
              </w:rPr>
            </w:pPr>
          </w:p>
        </w:tc>
        <w:tc>
          <w:tcPr>
            <w:tcW w:w="2511" w:type="dxa"/>
            <w:shd w:val="clear" w:color="auto" w:fill="FFFFFF"/>
          </w:tcPr>
          <w:p w14:paraId="2E3E4F49" w14:textId="14A5B3C2" w:rsidR="00D16299" w:rsidRPr="00B254BE" w:rsidRDefault="00D16299" w:rsidP="001034D5">
            <w:pPr>
              <w:pStyle w:val="CETBodytext"/>
              <w:jc w:val="center"/>
              <w:rPr>
                <w:sz w:val="16"/>
                <w:szCs w:val="18"/>
                <w:lang w:val="en-GB"/>
              </w:rPr>
            </w:pPr>
            <w:r>
              <w:rPr>
                <w:sz w:val="16"/>
                <w:szCs w:val="18"/>
              </w:rPr>
              <w:t>4 / 3</w:t>
            </w:r>
          </w:p>
        </w:tc>
      </w:tr>
      <w:tr w:rsidR="00D16299" w:rsidRPr="00B57B36" w14:paraId="5C53C2FD" w14:textId="77777777" w:rsidTr="00D16299">
        <w:trPr>
          <w:trHeight w:val="203"/>
        </w:trPr>
        <w:tc>
          <w:tcPr>
            <w:tcW w:w="1883" w:type="dxa"/>
            <w:shd w:val="clear" w:color="auto" w:fill="FFFFFF"/>
          </w:tcPr>
          <w:p w14:paraId="3A676AB1" w14:textId="78AB0F47" w:rsidR="00D16299" w:rsidRPr="00B254BE" w:rsidRDefault="00D16299" w:rsidP="001034D5">
            <w:pPr>
              <w:pStyle w:val="CETBodytext"/>
              <w:jc w:val="center"/>
              <w:rPr>
                <w:sz w:val="16"/>
                <w:szCs w:val="18"/>
                <w:lang w:val="en-GB"/>
              </w:rPr>
            </w:pPr>
            <w:r w:rsidRPr="00D16299">
              <w:rPr>
                <w:sz w:val="16"/>
                <w:szCs w:val="18"/>
                <w:lang w:val="en-GB"/>
              </w:rPr>
              <w:t>Fixed-roof tank</w:t>
            </w:r>
          </w:p>
        </w:tc>
        <w:tc>
          <w:tcPr>
            <w:tcW w:w="1255" w:type="dxa"/>
            <w:shd w:val="clear" w:color="auto" w:fill="FFFFFF"/>
          </w:tcPr>
          <w:p w14:paraId="2C74CDB0" w14:textId="240656CA" w:rsidR="00D16299" w:rsidRPr="00D16299" w:rsidRDefault="00D16299" w:rsidP="001034D5">
            <w:pPr>
              <w:pStyle w:val="CETBodytext"/>
              <w:jc w:val="center"/>
              <w:rPr>
                <w:sz w:val="16"/>
                <w:szCs w:val="18"/>
                <w:lang w:val="en-GB"/>
              </w:rPr>
            </w:pPr>
            <w:r w:rsidRPr="00D16299">
              <w:rPr>
                <w:sz w:val="16"/>
              </w:rPr>
              <w:t>&gt;50 % /&lt; 50%</w:t>
            </w:r>
          </w:p>
        </w:tc>
        <w:tc>
          <w:tcPr>
            <w:tcW w:w="3138" w:type="dxa"/>
            <w:shd w:val="clear" w:color="auto" w:fill="FFFFFF"/>
          </w:tcPr>
          <w:p w14:paraId="3ED60B6F" w14:textId="77777777" w:rsidR="00D16299" w:rsidRPr="00B254BE" w:rsidRDefault="00D16299" w:rsidP="001034D5">
            <w:pPr>
              <w:pStyle w:val="CETBodytext"/>
              <w:jc w:val="center"/>
              <w:rPr>
                <w:sz w:val="16"/>
                <w:szCs w:val="18"/>
              </w:rPr>
            </w:pPr>
          </w:p>
        </w:tc>
        <w:tc>
          <w:tcPr>
            <w:tcW w:w="2511" w:type="dxa"/>
            <w:shd w:val="clear" w:color="auto" w:fill="FFFFFF"/>
          </w:tcPr>
          <w:p w14:paraId="1803940F" w14:textId="45E4F26A" w:rsidR="00D16299" w:rsidRPr="00B254BE" w:rsidRDefault="00D16299" w:rsidP="001034D5">
            <w:pPr>
              <w:pStyle w:val="CETBodytext"/>
              <w:jc w:val="center"/>
              <w:rPr>
                <w:sz w:val="16"/>
                <w:szCs w:val="18"/>
                <w:lang w:val="en-GB"/>
              </w:rPr>
            </w:pPr>
            <w:r>
              <w:rPr>
                <w:sz w:val="16"/>
                <w:szCs w:val="18"/>
              </w:rPr>
              <w:t>3 / 2</w:t>
            </w:r>
          </w:p>
        </w:tc>
      </w:tr>
      <w:tr w:rsidR="00D16299" w:rsidRPr="00B57B36" w14:paraId="668D7398" w14:textId="77777777" w:rsidTr="00D16299">
        <w:trPr>
          <w:trHeight w:val="203"/>
        </w:trPr>
        <w:tc>
          <w:tcPr>
            <w:tcW w:w="1883" w:type="dxa"/>
            <w:shd w:val="clear" w:color="auto" w:fill="FFFFFF"/>
          </w:tcPr>
          <w:p w14:paraId="146C3EF3" w14:textId="12B43D55" w:rsidR="00D16299" w:rsidRPr="00B254BE" w:rsidRDefault="00D16299" w:rsidP="001034D5">
            <w:pPr>
              <w:pStyle w:val="CETBodytext"/>
              <w:jc w:val="center"/>
              <w:rPr>
                <w:sz w:val="16"/>
                <w:szCs w:val="18"/>
                <w:lang w:val="en-GB"/>
              </w:rPr>
            </w:pPr>
            <w:r w:rsidRPr="00D16299">
              <w:rPr>
                <w:sz w:val="16"/>
                <w:szCs w:val="18"/>
                <w:lang w:val="en-GB"/>
              </w:rPr>
              <w:t>Pressurized tanks (spheres, columns, reactors, furnaces, etc.)</w:t>
            </w:r>
          </w:p>
        </w:tc>
        <w:tc>
          <w:tcPr>
            <w:tcW w:w="1255" w:type="dxa"/>
            <w:shd w:val="clear" w:color="auto" w:fill="FFFFFF"/>
          </w:tcPr>
          <w:p w14:paraId="17B7BE5B" w14:textId="6A77D734" w:rsidR="00D16299" w:rsidRPr="00B254BE" w:rsidRDefault="00D16299" w:rsidP="001034D5">
            <w:pPr>
              <w:pStyle w:val="CETBodytext"/>
              <w:jc w:val="center"/>
              <w:rPr>
                <w:sz w:val="16"/>
                <w:szCs w:val="18"/>
                <w:lang w:val="en-GB"/>
              </w:rPr>
            </w:pPr>
          </w:p>
        </w:tc>
        <w:tc>
          <w:tcPr>
            <w:tcW w:w="3138" w:type="dxa"/>
            <w:shd w:val="clear" w:color="auto" w:fill="FFFFFF"/>
          </w:tcPr>
          <w:p w14:paraId="644DEF30" w14:textId="0A289275" w:rsidR="00D16299" w:rsidRPr="00D16299" w:rsidRDefault="00D16299" w:rsidP="001034D5">
            <w:pPr>
              <w:pStyle w:val="CETBodytext"/>
              <w:jc w:val="center"/>
              <w:rPr>
                <w:sz w:val="16"/>
                <w:szCs w:val="18"/>
              </w:rPr>
            </w:pPr>
            <w:r w:rsidRPr="00D16299">
              <w:rPr>
                <w:sz w:val="16"/>
              </w:rPr>
              <w:t>According to the PED directive</w:t>
            </w:r>
            <w:r>
              <w:rPr>
                <w:sz w:val="16"/>
              </w:rPr>
              <w:t xml:space="preserve"> (1997) / Before the introduction of PED Directive </w:t>
            </w:r>
          </w:p>
        </w:tc>
        <w:tc>
          <w:tcPr>
            <w:tcW w:w="2511" w:type="dxa"/>
            <w:shd w:val="clear" w:color="auto" w:fill="FFFFFF"/>
          </w:tcPr>
          <w:p w14:paraId="7F0E66DF" w14:textId="599DEE49" w:rsidR="00D16299" w:rsidRPr="00B254BE" w:rsidRDefault="00D16299" w:rsidP="001034D5">
            <w:pPr>
              <w:pStyle w:val="CETBodytext"/>
              <w:jc w:val="center"/>
              <w:rPr>
                <w:color w:val="FF0000"/>
                <w:sz w:val="16"/>
                <w:szCs w:val="18"/>
                <w:highlight w:val="yellow"/>
                <w:lang w:val="en-GB"/>
              </w:rPr>
            </w:pPr>
            <w:r>
              <w:rPr>
                <w:sz w:val="16"/>
                <w:szCs w:val="18"/>
              </w:rPr>
              <w:t>3 / 2</w:t>
            </w:r>
          </w:p>
        </w:tc>
      </w:tr>
      <w:tr w:rsidR="00D16299" w:rsidRPr="00B57B36" w14:paraId="3EDA4CEE" w14:textId="77777777" w:rsidTr="00D16299">
        <w:trPr>
          <w:trHeight w:val="203"/>
        </w:trPr>
        <w:tc>
          <w:tcPr>
            <w:tcW w:w="1883" w:type="dxa"/>
            <w:shd w:val="clear" w:color="auto" w:fill="FFFFFF"/>
          </w:tcPr>
          <w:p w14:paraId="5B986E5A" w14:textId="05D4C207" w:rsidR="00D16299" w:rsidRPr="00B254BE" w:rsidRDefault="00D16299" w:rsidP="001034D5">
            <w:pPr>
              <w:pStyle w:val="CETBodytext"/>
              <w:jc w:val="center"/>
              <w:rPr>
                <w:sz w:val="16"/>
                <w:szCs w:val="18"/>
                <w:lang w:val="en-GB"/>
              </w:rPr>
            </w:pPr>
            <w:r>
              <w:rPr>
                <w:sz w:val="16"/>
                <w:szCs w:val="18"/>
                <w:lang w:val="en-GB"/>
              </w:rPr>
              <w:t>Pressure pipes</w:t>
            </w:r>
          </w:p>
        </w:tc>
        <w:tc>
          <w:tcPr>
            <w:tcW w:w="1255" w:type="dxa"/>
            <w:shd w:val="clear" w:color="auto" w:fill="FFFFFF"/>
          </w:tcPr>
          <w:p w14:paraId="01CE4E43" w14:textId="1287D264" w:rsidR="00D16299" w:rsidRPr="00B254BE" w:rsidRDefault="00D16299" w:rsidP="001034D5">
            <w:pPr>
              <w:pStyle w:val="CETBodytext"/>
              <w:jc w:val="center"/>
              <w:rPr>
                <w:sz w:val="16"/>
                <w:szCs w:val="18"/>
                <w:lang w:val="en-GB"/>
              </w:rPr>
            </w:pPr>
          </w:p>
        </w:tc>
        <w:tc>
          <w:tcPr>
            <w:tcW w:w="3138" w:type="dxa"/>
            <w:shd w:val="clear" w:color="auto" w:fill="FFFFFF"/>
          </w:tcPr>
          <w:p w14:paraId="09C71763" w14:textId="390CC4AA" w:rsidR="00D16299" w:rsidRPr="00D16299" w:rsidRDefault="00D16299" w:rsidP="001034D5">
            <w:pPr>
              <w:pStyle w:val="CETBodytext"/>
              <w:jc w:val="center"/>
              <w:rPr>
                <w:sz w:val="16"/>
                <w:szCs w:val="18"/>
              </w:rPr>
            </w:pPr>
            <w:r w:rsidRPr="00D16299">
              <w:rPr>
                <w:sz w:val="16"/>
              </w:rPr>
              <w:t>According to the PED directive</w:t>
            </w:r>
            <w:r>
              <w:rPr>
                <w:sz w:val="16"/>
              </w:rPr>
              <w:t xml:space="preserve"> (1997) </w:t>
            </w:r>
            <w:r w:rsidRPr="00D16299">
              <w:rPr>
                <w:sz w:val="16"/>
              </w:rPr>
              <w:t>/ Before the introduction of PED Directive</w:t>
            </w:r>
          </w:p>
        </w:tc>
        <w:tc>
          <w:tcPr>
            <w:tcW w:w="2511" w:type="dxa"/>
            <w:shd w:val="clear" w:color="auto" w:fill="FFFFFF"/>
          </w:tcPr>
          <w:p w14:paraId="629D1277" w14:textId="07D1A68C" w:rsidR="00D16299" w:rsidRPr="00B254BE" w:rsidRDefault="00D16299" w:rsidP="001034D5">
            <w:pPr>
              <w:pStyle w:val="CETBodytext"/>
              <w:jc w:val="center"/>
              <w:rPr>
                <w:color w:val="FF0000"/>
                <w:sz w:val="16"/>
                <w:szCs w:val="18"/>
                <w:highlight w:val="yellow"/>
                <w:lang w:val="en-GB"/>
              </w:rPr>
            </w:pPr>
            <w:r>
              <w:rPr>
                <w:sz w:val="16"/>
                <w:szCs w:val="18"/>
              </w:rPr>
              <w:t>2 / 1</w:t>
            </w:r>
          </w:p>
        </w:tc>
      </w:tr>
      <w:tr w:rsidR="00D16299" w:rsidRPr="00B57B36" w14:paraId="69B6436D" w14:textId="77777777" w:rsidTr="00D16299">
        <w:trPr>
          <w:trHeight w:val="212"/>
        </w:trPr>
        <w:tc>
          <w:tcPr>
            <w:tcW w:w="1883" w:type="dxa"/>
            <w:shd w:val="clear" w:color="auto" w:fill="FFFFFF"/>
          </w:tcPr>
          <w:p w14:paraId="57C60DF1" w14:textId="534B0682" w:rsidR="00D16299" w:rsidRPr="00B254BE" w:rsidRDefault="00D16299" w:rsidP="001034D5">
            <w:pPr>
              <w:pStyle w:val="CETBodytext"/>
              <w:jc w:val="center"/>
              <w:rPr>
                <w:sz w:val="16"/>
                <w:szCs w:val="18"/>
                <w:lang w:val="en-GB"/>
              </w:rPr>
            </w:pPr>
            <w:r>
              <w:rPr>
                <w:sz w:val="16"/>
                <w:szCs w:val="18"/>
                <w:lang w:val="en-GB"/>
              </w:rPr>
              <w:t>Non-pressure</w:t>
            </w:r>
            <w:r w:rsidRPr="00D16299">
              <w:rPr>
                <w:sz w:val="16"/>
                <w:szCs w:val="18"/>
                <w:lang w:val="en-GB"/>
              </w:rPr>
              <w:t xml:space="preserve"> pipes</w:t>
            </w:r>
          </w:p>
        </w:tc>
        <w:tc>
          <w:tcPr>
            <w:tcW w:w="1255" w:type="dxa"/>
            <w:shd w:val="clear" w:color="auto" w:fill="FFFFFF"/>
          </w:tcPr>
          <w:p w14:paraId="6411BB54" w14:textId="7F9EFA66" w:rsidR="00D16299" w:rsidRPr="00B254BE" w:rsidRDefault="00D16299" w:rsidP="001034D5">
            <w:pPr>
              <w:pStyle w:val="CETBodytext"/>
              <w:jc w:val="center"/>
              <w:rPr>
                <w:sz w:val="16"/>
                <w:szCs w:val="18"/>
                <w:lang w:val="en-GB"/>
              </w:rPr>
            </w:pPr>
          </w:p>
        </w:tc>
        <w:tc>
          <w:tcPr>
            <w:tcW w:w="3138" w:type="dxa"/>
            <w:shd w:val="clear" w:color="auto" w:fill="FFFFFF"/>
          </w:tcPr>
          <w:p w14:paraId="5CDA738F" w14:textId="3BD53827" w:rsidR="00D16299" w:rsidRPr="00D16299" w:rsidRDefault="00D16299" w:rsidP="001034D5">
            <w:pPr>
              <w:pStyle w:val="CETBodytext"/>
              <w:jc w:val="center"/>
              <w:rPr>
                <w:sz w:val="16"/>
                <w:szCs w:val="18"/>
              </w:rPr>
            </w:pPr>
            <w:r w:rsidRPr="00D16299">
              <w:rPr>
                <w:sz w:val="16"/>
              </w:rPr>
              <w:t>According to the PED directive</w:t>
            </w:r>
            <w:r>
              <w:rPr>
                <w:sz w:val="16"/>
              </w:rPr>
              <w:t xml:space="preserve"> </w:t>
            </w:r>
            <w:r w:rsidRPr="00D16299">
              <w:rPr>
                <w:sz w:val="16"/>
              </w:rPr>
              <w:t>/ Before the introduction of PED Directive</w:t>
            </w:r>
          </w:p>
        </w:tc>
        <w:tc>
          <w:tcPr>
            <w:tcW w:w="2511" w:type="dxa"/>
            <w:shd w:val="clear" w:color="auto" w:fill="FFFFFF"/>
          </w:tcPr>
          <w:p w14:paraId="174C6B1F" w14:textId="3B02C489" w:rsidR="00D16299" w:rsidRPr="00B254BE" w:rsidRDefault="00D16299" w:rsidP="001034D5">
            <w:pPr>
              <w:pStyle w:val="CETBodytext"/>
              <w:jc w:val="center"/>
              <w:rPr>
                <w:sz w:val="16"/>
                <w:szCs w:val="18"/>
                <w:lang w:val="en-GB"/>
              </w:rPr>
            </w:pPr>
            <w:r>
              <w:rPr>
                <w:sz w:val="16"/>
                <w:szCs w:val="18"/>
              </w:rPr>
              <w:t>1</w:t>
            </w:r>
          </w:p>
        </w:tc>
      </w:tr>
    </w:tbl>
    <w:p w14:paraId="4CCF67C6" w14:textId="77777777" w:rsidR="002B3AEC" w:rsidRPr="002B3AEC" w:rsidRDefault="002B3AEC" w:rsidP="0060168F">
      <w:pPr>
        <w:tabs>
          <w:tab w:val="clear" w:pos="7100"/>
        </w:tabs>
        <w:spacing w:line="276" w:lineRule="auto"/>
        <w:rPr>
          <w:lang w:val="en-US"/>
        </w:rPr>
      </w:pPr>
    </w:p>
    <w:p w14:paraId="4BCCFDBB" w14:textId="77777777" w:rsidR="002B3AEC" w:rsidRPr="002B3AEC" w:rsidRDefault="002B3AEC" w:rsidP="0060168F">
      <w:pPr>
        <w:tabs>
          <w:tab w:val="clear" w:pos="7100"/>
        </w:tabs>
        <w:spacing w:line="276" w:lineRule="auto"/>
        <w:rPr>
          <w:lang w:val="en-US"/>
        </w:rPr>
      </w:pPr>
    </w:p>
    <w:p w14:paraId="122ED0DE" w14:textId="7FD374DB" w:rsidR="002B3AEC" w:rsidRDefault="00D16299" w:rsidP="0060168F">
      <w:pPr>
        <w:tabs>
          <w:tab w:val="clear" w:pos="7100"/>
        </w:tabs>
        <w:spacing w:line="276" w:lineRule="auto"/>
        <w:rPr>
          <w:lang w:val="en-US"/>
        </w:rPr>
      </w:pPr>
      <w:r>
        <w:rPr>
          <w:lang w:val="en-US"/>
        </w:rPr>
        <w:t>I</w:t>
      </w:r>
      <w:r w:rsidRPr="00D16299">
        <w:rPr>
          <w:lang w:val="en-US"/>
        </w:rPr>
        <w:t xml:space="preserve">n Table 2, the IV value of a tank is assessed based on its filling level, as when the atmospheric tank is full or nearly full (i.e., the floating roof is in the high position), the lightning current discharges directly onto </w:t>
      </w:r>
      <w:r w:rsidRPr="00991B57">
        <w:rPr>
          <w:lang w:val="en-US"/>
        </w:rPr>
        <w:t xml:space="preserve">the </w:t>
      </w:r>
      <w:r w:rsidR="00991B57" w:rsidRPr="00991B57">
        <w:rPr>
          <w:lang w:val="en-US"/>
        </w:rPr>
        <w:t>shunts (conductors that allow the current flow to discharge to the ground)</w:t>
      </w:r>
      <w:r w:rsidRPr="00991B57">
        <w:rPr>
          <w:lang w:val="en-US"/>
        </w:rPr>
        <w:t xml:space="preserve"> at the point where the lightning s</w:t>
      </w:r>
      <w:r w:rsidRPr="00D16299">
        <w:rPr>
          <w:lang w:val="en-US"/>
        </w:rPr>
        <w:t xml:space="preserve">trikes. </w:t>
      </w:r>
      <w:r w:rsidRPr="00D16299">
        <w:rPr>
          <w:lang w:val="en-US"/>
        </w:rPr>
        <w:lastRenderedPageBreak/>
        <w:t xml:space="preserve">Conversely, when the floating roof is in the low position (filling level &lt; 50%), the lightning current, due to its distribution along the wall, will reach the </w:t>
      </w:r>
      <w:r w:rsidR="00991B57" w:rsidRPr="00991B57">
        <w:rPr>
          <w:lang w:val="en-US"/>
        </w:rPr>
        <w:t>shunts</w:t>
      </w:r>
      <w:r w:rsidR="005F4144">
        <w:rPr>
          <w:lang w:val="en-US"/>
        </w:rPr>
        <w:t xml:space="preserve"> </w:t>
      </w:r>
      <w:r w:rsidRPr="00991B57">
        <w:rPr>
          <w:lang w:val="en-US"/>
        </w:rPr>
        <w:t xml:space="preserve">with </w:t>
      </w:r>
      <w:r w:rsidRPr="00D16299">
        <w:rPr>
          <w:lang w:val="en-US"/>
        </w:rPr>
        <w:t xml:space="preserve">much lower intensity (Figure 2, </w:t>
      </w:r>
      <w:proofErr w:type="spellStart"/>
      <w:r w:rsidRPr="00D16299">
        <w:rPr>
          <w:lang w:val="en-US"/>
        </w:rPr>
        <w:t>Lanzoni</w:t>
      </w:r>
      <w:proofErr w:type="spellEnd"/>
      <w:r w:rsidRPr="00D16299">
        <w:rPr>
          <w:lang w:val="en-US"/>
        </w:rPr>
        <w:t>, 2009).</w:t>
      </w:r>
    </w:p>
    <w:p w14:paraId="33D60277" w14:textId="77777777" w:rsidR="006D4DFA" w:rsidRPr="002B3AEC" w:rsidRDefault="006D4DFA" w:rsidP="0060168F">
      <w:pPr>
        <w:tabs>
          <w:tab w:val="clear" w:pos="7100"/>
        </w:tabs>
        <w:spacing w:line="276" w:lineRule="auto"/>
        <w:rPr>
          <w:lang w:val="en-US"/>
        </w:rPr>
      </w:pPr>
    </w:p>
    <w:p w14:paraId="19F3CFAE" w14:textId="6913496E" w:rsidR="00F562D9" w:rsidRDefault="002428A3" w:rsidP="00094354">
      <w:pPr>
        <w:tabs>
          <w:tab w:val="clear" w:pos="7100"/>
        </w:tabs>
        <w:spacing w:after="200" w:line="276" w:lineRule="auto"/>
        <w:jc w:val="center"/>
        <w:rPr>
          <w:lang w:val="en-US"/>
        </w:rPr>
      </w:pPr>
      <w:r>
        <w:rPr>
          <w:noProof/>
          <w:lang w:val="it-IT" w:eastAsia="it-IT"/>
        </w:rPr>
        <w:drawing>
          <wp:inline distT="0" distB="0" distL="0" distR="0" wp14:anchorId="7EAEB09A" wp14:editId="5DFDE515">
            <wp:extent cx="5510194" cy="1518920"/>
            <wp:effectExtent l="0" t="0" r="0" b="5080"/>
            <wp:docPr id="14530049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3729" cy="1525408"/>
                    </a:xfrm>
                    <a:prstGeom prst="rect">
                      <a:avLst/>
                    </a:prstGeom>
                    <a:noFill/>
                    <a:ln>
                      <a:noFill/>
                    </a:ln>
                  </pic:spPr>
                </pic:pic>
              </a:graphicData>
            </a:graphic>
          </wp:inline>
        </w:drawing>
      </w:r>
      <w:r w:rsidR="00F562D9" w:rsidRPr="006D4DFA">
        <w:rPr>
          <w:lang w:val="en-US"/>
        </w:rPr>
        <w:t>Figur</w:t>
      </w:r>
      <w:r w:rsidR="006D4DFA" w:rsidRPr="006D4DFA">
        <w:rPr>
          <w:lang w:val="en-US"/>
        </w:rPr>
        <w:t>e</w:t>
      </w:r>
      <w:r w:rsidR="00F562D9" w:rsidRPr="006D4DFA">
        <w:rPr>
          <w:lang w:val="en-US"/>
        </w:rPr>
        <w:t xml:space="preserve"> </w:t>
      </w:r>
      <w:r w:rsidR="003031C9" w:rsidRPr="006D4DFA">
        <w:rPr>
          <w:lang w:val="en-US"/>
        </w:rPr>
        <w:t>2</w:t>
      </w:r>
      <w:r w:rsidR="006054F0" w:rsidRPr="006D4DFA">
        <w:rPr>
          <w:lang w:val="en-US"/>
        </w:rPr>
        <w:t xml:space="preserve">. </w:t>
      </w:r>
      <w:r w:rsidR="006D4DFA" w:rsidRPr="006D4DFA">
        <w:rPr>
          <w:lang w:val="en-US"/>
        </w:rPr>
        <w:t xml:space="preserve">Current </w:t>
      </w:r>
      <w:r w:rsidR="006E397E">
        <w:rPr>
          <w:lang w:val="en-US"/>
        </w:rPr>
        <w:t>c</w:t>
      </w:r>
      <w:r w:rsidR="006D4DFA" w:rsidRPr="006D4DFA">
        <w:rPr>
          <w:lang w:val="en-US"/>
        </w:rPr>
        <w:t xml:space="preserve">oncentration </w:t>
      </w:r>
      <w:r w:rsidR="006E397E">
        <w:rPr>
          <w:lang w:val="en-US"/>
        </w:rPr>
        <w:t>f</w:t>
      </w:r>
      <w:r w:rsidR="006D4DFA" w:rsidRPr="006D4DFA">
        <w:rPr>
          <w:lang w:val="en-US"/>
        </w:rPr>
        <w:t xml:space="preserve">lashover with </w:t>
      </w:r>
      <w:r w:rsidR="006E397E">
        <w:rPr>
          <w:lang w:val="en-US"/>
        </w:rPr>
        <w:t>f</w:t>
      </w:r>
      <w:r w:rsidR="006D4DFA" w:rsidRPr="006D4DFA">
        <w:rPr>
          <w:lang w:val="en-US"/>
        </w:rPr>
        <w:t xml:space="preserve">loating </w:t>
      </w:r>
      <w:r w:rsidR="006E397E">
        <w:rPr>
          <w:lang w:val="en-US"/>
        </w:rPr>
        <w:t>r</w:t>
      </w:r>
      <w:r w:rsidR="006D4DFA" w:rsidRPr="006D4DFA">
        <w:rPr>
          <w:lang w:val="en-US"/>
        </w:rPr>
        <w:t xml:space="preserve">oof in </w:t>
      </w:r>
      <w:r w:rsidR="006E397E">
        <w:rPr>
          <w:lang w:val="en-US"/>
        </w:rPr>
        <w:t>h</w:t>
      </w:r>
      <w:r w:rsidR="006D4DFA" w:rsidRPr="006D4DFA">
        <w:rPr>
          <w:lang w:val="en-US"/>
        </w:rPr>
        <w:t>igh-</w:t>
      </w:r>
      <w:r w:rsidR="006E397E">
        <w:rPr>
          <w:lang w:val="en-US"/>
        </w:rPr>
        <w:t>l</w:t>
      </w:r>
      <w:r w:rsidR="006D4DFA" w:rsidRPr="006D4DFA">
        <w:rPr>
          <w:lang w:val="en-US"/>
        </w:rPr>
        <w:t xml:space="preserve">ow </w:t>
      </w:r>
      <w:r w:rsidR="006E397E">
        <w:rPr>
          <w:lang w:val="en-US"/>
        </w:rPr>
        <w:t>p</w:t>
      </w:r>
      <w:r w:rsidR="006D4DFA" w:rsidRPr="006D4DFA">
        <w:rPr>
          <w:lang w:val="en-US"/>
        </w:rPr>
        <w:t>osition (</w:t>
      </w:r>
      <w:proofErr w:type="spellStart"/>
      <w:r w:rsidR="006D4DFA" w:rsidRPr="006D4DFA">
        <w:rPr>
          <w:lang w:val="en-US"/>
        </w:rPr>
        <w:t>Lanzoni</w:t>
      </w:r>
      <w:proofErr w:type="spellEnd"/>
      <w:r w:rsidR="006D4DFA" w:rsidRPr="006D4DFA">
        <w:rPr>
          <w:lang w:val="en-US"/>
        </w:rPr>
        <w:t xml:space="preserve">, 2009) </w:t>
      </w:r>
    </w:p>
    <w:p w14:paraId="2E06913C" w14:textId="56C02FFC" w:rsidR="00074101" w:rsidRPr="003F6067" w:rsidRDefault="00E5391E" w:rsidP="00074101">
      <w:pPr>
        <w:pStyle w:val="CETHeading1"/>
        <w:numPr>
          <w:ilvl w:val="0"/>
          <w:numId w:val="41"/>
        </w:numPr>
      </w:pPr>
      <w:r>
        <w:t>Exposure</w:t>
      </w:r>
      <w:r w:rsidR="00074101">
        <w:t xml:space="preserve"> </w:t>
      </w:r>
      <w:r w:rsidR="006E397E">
        <w:t>i</w:t>
      </w:r>
      <w:r w:rsidR="00074101">
        <w:t>ndex</w:t>
      </w:r>
      <w:r>
        <w:t xml:space="preserve"> IE</w:t>
      </w:r>
    </w:p>
    <w:p w14:paraId="52ED654F" w14:textId="0C84B7DF" w:rsidR="006F53E5" w:rsidRDefault="006F53E5" w:rsidP="006F53E5">
      <w:pPr>
        <w:tabs>
          <w:tab w:val="clear" w:pos="7100"/>
        </w:tabs>
        <w:spacing w:line="276" w:lineRule="auto"/>
        <w:rPr>
          <w:lang w:val="en-US"/>
        </w:rPr>
      </w:pPr>
      <w:r w:rsidRPr="006F53E5">
        <w:rPr>
          <w:lang w:val="en-US"/>
        </w:rPr>
        <w:t xml:space="preserve">"Exposure" refers to the extent and severity of damage to receptors potentially affected by the consequences of lightning-related incidents (workers, population, environment, assets, infrastructure). Regarding industrial facilities (including buildings, plant sections, equipment, pipelines, etc., or electrical connection lines of industrial </w:t>
      </w:r>
      <w:r w:rsidR="00C2205C" w:rsidRPr="00C2205C">
        <w:rPr>
          <w:lang w:val="en-US"/>
        </w:rPr>
        <w:t>establishments</w:t>
      </w:r>
      <w:r w:rsidRPr="006F53E5">
        <w:rPr>
          <w:lang w:val="en-US"/>
        </w:rPr>
        <w:t xml:space="preserve">), the analysis of </w:t>
      </w:r>
      <w:proofErr w:type="spellStart"/>
      <w:r w:rsidRPr="006F53E5">
        <w:rPr>
          <w:lang w:val="en-US"/>
        </w:rPr>
        <w:t>NaTech</w:t>
      </w:r>
      <w:proofErr w:type="spellEnd"/>
      <w:r w:rsidRPr="006F53E5">
        <w:rPr>
          <w:lang w:val="en-US"/>
        </w:rPr>
        <w:t xml:space="preserve"> incidents triggered by lightning strikes highlights two different impact mechanisms:</w:t>
      </w:r>
      <w:r w:rsidR="00D67584">
        <w:rPr>
          <w:lang w:val="en-US"/>
        </w:rPr>
        <w:t xml:space="preserve"> 1) d</w:t>
      </w:r>
      <w:r w:rsidRPr="006F53E5">
        <w:rPr>
          <w:lang w:val="en-US"/>
        </w:rPr>
        <w:t>irect impacts, which cause harm to operators within or near the structure and damage to structures or the ignition of explosive substances or flammable vapors from the discharge (such as in t</w:t>
      </w:r>
      <w:r w:rsidR="00D67584">
        <w:rPr>
          <w:lang w:val="en-US"/>
        </w:rPr>
        <w:t>he case of floating roof tanks); 2) i</w:t>
      </w:r>
      <w:r w:rsidRPr="006F53E5">
        <w:rPr>
          <w:lang w:val="en-US"/>
        </w:rPr>
        <w:t xml:space="preserve">ndirect impacts, which may lead to a loss of containment, with the potential for fire and/or explosion if they contain combustible, flammable, or explosive substances; due to process disruptions from power outages, voltage drops, and impacts on electrical and electronic control and safety systems, equipment, and devices. </w:t>
      </w:r>
    </w:p>
    <w:p w14:paraId="4502155E" w14:textId="43ED9EB3" w:rsidR="00D67584" w:rsidRDefault="00D67584" w:rsidP="006F53E5">
      <w:pPr>
        <w:tabs>
          <w:tab w:val="clear" w:pos="7100"/>
        </w:tabs>
        <w:spacing w:line="276" w:lineRule="auto"/>
        <w:rPr>
          <w:lang w:val="en-US"/>
        </w:rPr>
      </w:pPr>
      <w:r w:rsidRPr="00D67584">
        <w:rPr>
          <w:lang w:val="en-US"/>
        </w:rPr>
        <w:t>The consequences of damage and malfunctions can extend to the surroundings of the facility, affecting other parts of the plant and, in certain cases, even impacting the surrounding environment (</w:t>
      </w:r>
      <w:r w:rsidR="00AB1645">
        <w:rPr>
          <w:lang w:val="en-US"/>
        </w:rPr>
        <w:t>d</w:t>
      </w:r>
      <w:r w:rsidRPr="00D67584">
        <w:rPr>
          <w:lang w:val="en-US"/>
        </w:rPr>
        <w:t xml:space="preserve">omino </w:t>
      </w:r>
      <w:r w:rsidR="00AB1645">
        <w:rPr>
          <w:lang w:val="en-US"/>
        </w:rPr>
        <w:t>e</w:t>
      </w:r>
      <w:r w:rsidRPr="00D67584">
        <w:rPr>
          <w:lang w:val="en-US"/>
        </w:rPr>
        <w:t>ffect). In relation to the above, the authors propose assigning the exposure index “IE” from lightning strikes integer values between 1 and 4, as shown in Table 3.</w:t>
      </w:r>
    </w:p>
    <w:p w14:paraId="34137D84" w14:textId="14BA25B8" w:rsidR="00D67584" w:rsidRPr="00B57B36" w:rsidRDefault="00893E81" w:rsidP="00D67584">
      <w:pPr>
        <w:pStyle w:val="CETTabletitle"/>
      </w:pPr>
      <w:r>
        <w:t>Table 3</w:t>
      </w:r>
      <w:r w:rsidR="00D67584">
        <w:t>.</w:t>
      </w:r>
      <w:r w:rsidR="00D67584" w:rsidRPr="00B57B36">
        <w:t xml:space="preserve"> </w:t>
      </w:r>
      <w:bookmarkStart w:id="0" w:name="_GoBack"/>
      <w:r>
        <w:t>Expos</w:t>
      </w:r>
      <w:bookmarkEnd w:id="0"/>
      <w:r>
        <w:t xml:space="preserve">ure </w:t>
      </w:r>
      <w:r w:rsidR="006E397E">
        <w:t>i</w:t>
      </w:r>
      <w:r>
        <w:t>ndex IE</w:t>
      </w:r>
      <w:r w:rsidRPr="00893E81">
        <w:t xml:space="preserve"> as a function of lightning exposure</w:t>
      </w:r>
      <w:r w:rsidR="00D67584" w:rsidRPr="003A4916">
        <w:t>.</w:t>
      </w:r>
    </w:p>
    <w:tbl>
      <w:tblPr>
        <w:tblW w:w="8245"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708"/>
        <w:gridCol w:w="2537"/>
      </w:tblGrid>
      <w:tr w:rsidR="00D67584" w:rsidRPr="00B57B36" w14:paraId="68201F87" w14:textId="77777777" w:rsidTr="00E5391E">
        <w:trPr>
          <w:trHeight w:val="226"/>
          <w:jc w:val="center"/>
        </w:trPr>
        <w:tc>
          <w:tcPr>
            <w:tcW w:w="5708" w:type="dxa"/>
            <w:tcBorders>
              <w:top w:val="single" w:sz="12" w:space="0" w:color="008000"/>
              <w:bottom w:val="single" w:sz="6" w:space="0" w:color="008000"/>
            </w:tcBorders>
            <w:shd w:val="clear" w:color="auto" w:fill="FFFFFF"/>
          </w:tcPr>
          <w:p w14:paraId="6AC2F091" w14:textId="72AFFC2F" w:rsidR="00D67584" w:rsidRPr="00B254BE" w:rsidRDefault="00893E81" w:rsidP="00893E81">
            <w:pPr>
              <w:pStyle w:val="CETBodytext"/>
              <w:jc w:val="center"/>
              <w:rPr>
                <w:sz w:val="16"/>
                <w:szCs w:val="18"/>
                <w:lang w:val="en-GB"/>
              </w:rPr>
            </w:pPr>
            <w:r>
              <w:rPr>
                <w:sz w:val="16"/>
                <w:szCs w:val="18"/>
                <w:lang w:val="en-GB"/>
              </w:rPr>
              <w:t xml:space="preserve"> Type of lightning exposure</w:t>
            </w:r>
          </w:p>
        </w:tc>
        <w:tc>
          <w:tcPr>
            <w:tcW w:w="2537" w:type="dxa"/>
            <w:tcBorders>
              <w:top w:val="single" w:sz="12" w:space="0" w:color="008000"/>
              <w:bottom w:val="single" w:sz="6" w:space="0" w:color="008000"/>
            </w:tcBorders>
            <w:shd w:val="clear" w:color="auto" w:fill="FFFFFF"/>
          </w:tcPr>
          <w:p w14:paraId="5393CCAE" w14:textId="28A49DC8" w:rsidR="00D67584" w:rsidRPr="00B254BE" w:rsidRDefault="00D67584" w:rsidP="00893E81">
            <w:pPr>
              <w:pStyle w:val="CETBodytext"/>
              <w:jc w:val="center"/>
              <w:rPr>
                <w:sz w:val="16"/>
                <w:szCs w:val="18"/>
                <w:lang w:val="en-GB"/>
              </w:rPr>
            </w:pPr>
            <w:r>
              <w:rPr>
                <w:sz w:val="16"/>
                <w:szCs w:val="18"/>
                <w:lang w:val="en-GB"/>
              </w:rPr>
              <w:t>I</w:t>
            </w:r>
            <w:r w:rsidR="00893E81">
              <w:rPr>
                <w:sz w:val="16"/>
                <w:szCs w:val="18"/>
                <w:lang w:val="en-GB"/>
              </w:rPr>
              <w:t>E</w:t>
            </w:r>
          </w:p>
        </w:tc>
      </w:tr>
      <w:tr w:rsidR="00D67584" w:rsidRPr="00B57B36" w14:paraId="230516A6" w14:textId="77777777" w:rsidTr="00E5391E">
        <w:trPr>
          <w:trHeight w:val="226"/>
          <w:jc w:val="center"/>
        </w:trPr>
        <w:tc>
          <w:tcPr>
            <w:tcW w:w="5708" w:type="dxa"/>
            <w:shd w:val="clear" w:color="auto" w:fill="FFFFFF"/>
          </w:tcPr>
          <w:p w14:paraId="2ABC5003" w14:textId="6668E284" w:rsidR="00893E81" w:rsidRPr="00B254BE" w:rsidRDefault="00893E81" w:rsidP="00893E81">
            <w:pPr>
              <w:pStyle w:val="CETBodytext"/>
              <w:jc w:val="center"/>
              <w:rPr>
                <w:sz w:val="16"/>
                <w:szCs w:val="18"/>
                <w:lang w:val="en-GB"/>
              </w:rPr>
            </w:pPr>
            <w:r>
              <w:rPr>
                <w:sz w:val="16"/>
                <w:szCs w:val="18"/>
                <w:lang w:val="en-GB"/>
              </w:rPr>
              <w:t>Only possible indirect impacts</w:t>
            </w:r>
          </w:p>
        </w:tc>
        <w:tc>
          <w:tcPr>
            <w:tcW w:w="2537" w:type="dxa"/>
            <w:shd w:val="clear" w:color="auto" w:fill="FFFFFF"/>
          </w:tcPr>
          <w:p w14:paraId="3735B8F3" w14:textId="4D12A25C" w:rsidR="00D67584" w:rsidRPr="00B254BE" w:rsidRDefault="00D67584" w:rsidP="00893E81">
            <w:pPr>
              <w:pStyle w:val="CETBodytext"/>
              <w:jc w:val="center"/>
              <w:rPr>
                <w:sz w:val="16"/>
                <w:szCs w:val="18"/>
                <w:lang w:val="en-GB"/>
              </w:rPr>
            </w:pPr>
            <w:r>
              <w:rPr>
                <w:sz w:val="16"/>
                <w:szCs w:val="18"/>
                <w:lang w:val="en-GB"/>
              </w:rPr>
              <w:t>1</w:t>
            </w:r>
          </w:p>
        </w:tc>
      </w:tr>
      <w:tr w:rsidR="00893E81" w:rsidRPr="00B57B36" w14:paraId="34FA6013" w14:textId="77777777" w:rsidTr="00E5391E">
        <w:trPr>
          <w:trHeight w:val="226"/>
          <w:jc w:val="center"/>
        </w:trPr>
        <w:tc>
          <w:tcPr>
            <w:tcW w:w="5708" w:type="dxa"/>
            <w:shd w:val="clear" w:color="auto" w:fill="FFFFFF"/>
          </w:tcPr>
          <w:p w14:paraId="57B37F0A" w14:textId="5A8E8F98" w:rsidR="00893E81" w:rsidRDefault="00893E81" w:rsidP="00D04F83">
            <w:pPr>
              <w:pStyle w:val="CETBodytext"/>
              <w:jc w:val="center"/>
              <w:rPr>
                <w:sz w:val="16"/>
                <w:szCs w:val="18"/>
                <w:lang w:val="en-GB"/>
              </w:rPr>
            </w:pPr>
            <w:r w:rsidRPr="00893E81">
              <w:rPr>
                <w:sz w:val="16"/>
                <w:szCs w:val="18"/>
                <w:lang w:val="en-GB"/>
              </w:rPr>
              <w:t>Possible direct and indirect impacts in proximity of the affected unit. There is no possibility of a domino effect (e.g., a tank adjacent to other tanks)</w:t>
            </w:r>
            <w:r w:rsidR="00C2205C">
              <w:rPr>
                <w:sz w:val="16"/>
                <w:szCs w:val="18"/>
                <w:lang w:val="en-GB"/>
              </w:rPr>
              <w:t>.</w:t>
            </w:r>
          </w:p>
        </w:tc>
        <w:tc>
          <w:tcPr>
            <w:tcW w:w="2537" w:type="dxa"/>
            <w:shd w:val="clear" w:color="auto" w:fill="FFFFFF"/>
          </w:tcPr>
          <w:p w14:paraId="1C1D8EC2" w14:textId="5EEB75EB" w:rsidR="00893E81" w:rsidRDefault="00893E81" w:rsidP="00D04F83">
            <w:pPr>
              <w:pStyle w:val="CETBodytext"/>
              <w:jc w:val="center"/>
              <w:rPr>
                <w:sz w:val="16"/>
                <w:szCs w:val="18"/>
                <w:lang w:val="en-GB"/>
              </w:rPr>
            </w:pPr>
            <w:r>
              <w:rPr>
                <w:sz w:val="16"/>
                <w:szCs w:val="18"/>
                <w:lang w:val="en-GB"/>
              </w:rPr>
              <w:t>2</w:t>
            </w:r>
          </w:p>
        </w:tc>
      </w:tr>
      <w:tr w:rsidR="00893E81" w:rsidRPr="00B57B36" w14:paraId="677F1DDA" w14:textId="77777777" w:rsidTr="00E5391E">
        <w:trPr>
          <w:trHeight w:val="226"/>
          <w:jc w:val="center"/>
        </w:trPr>
        <w:tc>
          <w:tcPr>
            <w:tcW w:w="5708" w:type="dxa"/>
            <w:shd w:val="clear" w:color="auto" w:fill="FFFFFF"/>
          </w:tcPr>
          <w:p w14:paraId="41B636CF" w14:textId="602D2821" w:rsidR="00893E81" w:rsidRDefault="00893E81" w:rsidP="003242CA">
            <w:pPr>
              <w:pStyle w:val="CETBodytext"/>
              <w:jc w:val="center"/>
              <w:rPr>
                <w:sz w:val="16"/>
                <w:szCs w:val="18"/>
                <w:lang w:val="en-GB"/>
              </w:rPr>
            </w:pPr>
            <w:r w:rsidRPr="00893E81">
              <w:rPr>
                <w:sz w:val="16"/>
                <w:szCs w:val="18"/>
                <w:lang w:val="en-GB"/>
              </w:rPr>
              <w:t xml:space="preserve">Possible direct and indirect impacts that may affect the entire </w:t>
            </w:r>
            <w:r w:rsidR="003242CA">
              <w:rPr>
                <w:sz w:val="16"/>
                <w:szCs w:val="18"/>
                <w:lang w:val="en-GB"/>
              </w:rPr>
              <w:t>establishment</w:t>
            </w:r>
            <w:r w:rsidRPr="00893E81">
              <w:rPr>
                <w:sz w:val="16"/>
                <w:szCs w:val="18"/>
                <w:lang w:val="en-GB"/>
              </w:rPr>
              <w:t>. There is the potential for a domino effect (e.g., a tank located near other tanks).</w:t>
            </w:r>
          </w:p>
        </w:tc>
        <w:tc>
          <w:tcPr>
            <w:tcW w:w="2537" w:type="dxa"/>
            <w:shd w:val="clear" w:color="auto" w:fill="FFFFFF"/>
          </w:tcPr>
          <w:p w14:paraId="06618D87" w14:textId="0A1791B0" w:rsidR="00893E81" w:rsidRDefault="00893E81" w:rsidP="00D04F83">
            <w:pPr>
              <w:pStyle w:val="CETBodytext"/>
              <w:jc w:val="center"/>
              <w:rPr>
                <w:sz w:val="16"/>
                <w:szCs w:val="18"/>
                <w:lang w:val="en-GB"/>
              </w:rPr>
            </w:pPr>
            <w:r>
              <w:rPr>
                <w:sz w:val="16"/>
                <w:szCs w:val="18"/>
                <w:lang w:val="en-GB"/>
              </w:rPr>
              <w:t>3</w:t>
            </w:r>
          </w:p>
        </w:tc>
      </w:tr>
      <w:tr w:rsidR="00893E81" w:rsidRPr="00B57B36" w14:paraId="04FF2645" w14:textId="77777777" w:rsidTr="00E5391E">
        <w:trPr>
          <w:trHeight w:val="226"/>
          <w:jc w:val="center"/>
        </w:trPr>
        <w:tc>
          <w:tcPr>
            <w:tcW w:w="5708" w:type="dxa"/>
            <w:shd w:val="clear" w:color="auto" w:fill="FFFFFF"/>
          </w:tcPr>
          <w:p w14:paraId="1ED7D9E8" w14:textId="515A1BE1" w:rsidR="00893E81" w:rsidRDefault="00893E81" w:rsidP="00893E81">
            <w:pPr>
              <w:pStyle w:val="CETBodytext"/>
              <w:jc w:val="center"/>
              <w:rPr>
                <w:sz w:val="16"/>
                <w:szCs w:val="18"/>
                <w:lang w:val="en-GB"/>
              </w:rPr>
            </w:pPr>
            <w:r w:rsidRPr="00893E81">
              <w:rPr>
                <w:sz w:val="16"/>
                <w:szCs w:val="18"/>
                <w:lang w:val="en-GB"/>
              </w:rPr>
              <w:t>Possible direct and indirect impacts that may involve the outside of the facility with the</w:t>
            </w:r>
            <w:r>
              <w:rPr>
                <w:sz w:val="16"/>
                <w:szCs w:val="18"/>
                <w:lang w:val="en-GB"/>
              </w:rPr>
              <w:t xml:space="preserve"> potential for a domino effect.</w:t>
            </w:r>
          </w:p>
        </w:tc>
        <w:tc>
          <w:tcPr>
            <w:tcW w:w="2537" w:type="dxa"/>
            <w:shd w:val="clear" w:color="auto" w:fill="FFFFFF"/>
          </w:tcPr>
          <w:p w14:paraId="59CF6915" w14:textId="453CD432" w:rsidR="00893E81" w:rsidRDefault="00893E81" w:rsidP="00D04F83">
            <w:pPr>
              <w:pStyle w:val="CETBodytext"/>
              <w:jc w:val="center"/>
              <w:rPr>
                <w:sz w:val="16"/>
                <w:szCs w:val="18"/>
                <w:lang w:val="en-GB"/>
              </w:rPr>
            </w:pPr>
            <w:r>
              <w:rPr>
                <w:sz w:val="16"/>
                <w:szCs w:val="18"/>
                <w:lang w:val="en-GB"/>
              </w:rPr>
              <w:t>4</w:t>
            </w:r>
          </w:p>
        </w:tc>
      </w:tr>
    </w:tbl>
    <w:p w14:paraId="7D5A3B2C" w14:textId="4AB07ABE" w:rsidR="00E5391E" w:rsidRPr="003F6067" w:rsidRDefault="00E5391E" w:rsidP="00E5391E">
      <w:pPr>
        <w:pStyle w:val="CETHeading1"/>
        <w:numPr>
          <w:ilvl w:val="0"/>
          <w:numId w:val="41"/>
        </w:numPr>
      </w:pPr>
      <w:r w:rsidRPr="00E5391E">
        <w:t xml:space="preserve">Acceptability level of </w:t>
      </w:r>
      <w:proofErr w:type="spellStart"/>
      <w:r w:rsidRPr="00E5391E">
        <w:t>NaTech</w:t>
      </w:r>
      <w:proofErr w:type="spellEnd"/>
      <w:r w:rsidRPr="00E5391E">
        <w:t xml:space="preserve"> risk from lightning</w:t>
      </w:r>
    </w:p>
    <w:p w14:paraId="151B7EEA" w14:textId="2A27B328" w:rsidR="00E5391E" w:rsidRPr="00E5391E" w:rsidRDefault="00E5391E" w:rsidP="00E5391E">
      <w:pPr>
        <w:tabs>
          <w:tab w:val="clear" w:pos="7100"/>
        </w:tabs>
        <w:spacing w:line="276" w:lineRule="auto"/>
        <w:rPr>
          <w:lang w:val="en-US"/>
        </w:rPr>
      </w:pPr>
      <w:r w:rsidRPr="00E5391E">
        <w:rPr>
          <w:lang w:val="en-US"/>
        </w:rPr>
        <w:t xml:space="preserve">Once the three factors influencing </w:t>
      </w:r>
      <w:proofErr w:type="spellStart"/>
      <w:r w:rsidRPr="00E5391E">
        <w:rPr>
          <w:lang w:val="en-US"/>
        </w:rPr>
        <w:t>NaTech</w:t>
      </w:r>
      <w:proofErr w:type="spellEnd"/>
      <w:r w:rsidRPr="00E5391E">
        <w:rPr>
          <w:lang w:val="en-US"/>
        </w:rPr>
        <w:t xml:space="preserve"> risk from lightning have been identified</w:t>
      </w:r>
      <w:r>
        <w:rPr>
          <w:lang w:val="en-US"/>
        </w:rPr>
        <w:t>,</w:t>
      </w:r>
      <w:r w:rsidRPr="00E5391E">
        <w:rPr>
          <w:lang w:val="en-US"/>
        </w:rPr>
        <w:t xml:space="preserve"> using the indices </w:t>
      </w:r>
      <w:proofErr w:type="spellStart"/>
      <w:r w:rsidRPr="00E5391E">
        <w:rPr>
          <w:lang w:val="en-US"/>
        </w:rPr>
        <w:t>IN</w:t>
      </w:r>
      <w:r w:rsidRPr="00E5391E">
        <w:rPr>
          <w:vertAlign w:val="subscript"/>
          <w:lang w:val="en-US"/>
        </w:rPr>
        <w:t>g</w:t>
      </w:r>
      <w:proofErr w:type="spellEnd"/>
      <w:r w:rsidRPr="00E5391E">
        <w:rPr>
          <w:lang w:val="en-US"/>
        </w:rPr>
        <w:t xml:space="preserve">, IV, and IE, the </w:t>
      </w:r>
      <w:proofErr w:type="spellStart"/>
      <w:r w:rsidRPr="00E5391E">
        <w:rPr>
          <w:lang w:val="en-US"/>
        </w:rPr>
        <w:t>NaTech</w:t>
      </w:r>
      <w:proofErr w:type="spellEnd"/>
      <w:r w:rsidRPr="00E5391E">
        <w:rPr>
          <w:lang w:val="en-US"/>
        </w:rPr>
        <w:t xml:space="preserve"> risk index from lightning (</w:t>
      </w:r>
      <w:proofErr w:type="spellStart"/>
      <w:r w:rsidRPr="00E5391E">
        <w:rPr>
          <w:lang w:val="en-US"/>
        </w:rPr>
        <w:t>IR</w:t>
      </w:r>
      <w:r w:rsidRPr="00E5391E">
        <w:rPr>
          <w:vertAlign w:val="subscript"/>
          <w:lang w:val="en-US"/>
        </w:rPr>
        <w:t>Natech,F</w:t>
      </w:r>
      <w:proofErr w:type="spellEnd"/>
      <w:r w:rsidRPr="00E5391E">
        <w:rPr>
          <w:lang w:val="en-US"/>
        </w:rPr>
        <w:t>) is determined using relation</w:t>
      </w:r>
      <w:r w:rsidR="00C2205C">
        <w:rPr>
          <w:lang w:val="en-US"/>
        </w:rPr>
        <w:t>ship</w:t>
      </w:r>
      <w:r w:rsidRPr="00E5391E">
        <w:rPr>
          <w:lang w:val="en-US"/>
        </w:rPr>
        <w:t xml:space="preserve"> (2).</w:t>
      </w:r>
    </w:p>
    <w:p w14:paraId="18286F7F" w14:textId="2BC2843F" w:rsidR="00E5391E" w:rsidRDefault="00E5391E" w:rsidP="00E5391E">
      <w:pPr>
        <w:tabs>
          <w:tab w:val="clear" w:pos="7100"/>
        </w:tabs>
        <w:spacing w:line="276" w:lineRule="auto"/>
        <w:rPr>
          <w:lang w:val="en-US"/>
        </w:rPr>
      </w:pPr>
      <w:r w:rsidRPr="00E5391E">
        <w:rPr>
          <w:lang w:val="en-US"/>
        </w:rPr>
        <w:t>From a graphical perspective, a 4x4x4 risk matrix can be referenced. Up to “</w:t>
      </w:r>
      <w:proofErr w:type="spellStart"/>
      <w:r w:rsidR="007F7E5E" w:rsidRPr="00E5391E">
        <w:rPr>
          <w:lang w:val="en-US"/>
        </w:rPr>
        <w:t>IR</w:t>
      </w:r>
      <w:r w:rsidR="007F7E5E" w:rsidRPr="00E5391E">
        <w:rPr>
          <w:vertAlign w:val="subscript"/>
          <w:lang w:val="en-US"/>
        </w:rPr>
        <w:t>Natech,F</w:t>
      </w:r>
      <w:proofErr w:type="spellEnd"/>
      <w:r w:rsidRPr="00E5391E">
        <w:rPr>
          <w:lang w:val="en-US"/>
        </w:rPr>
        <w:t xml:space="preserve">” values of 4, the </w:t>
      </w:r>
      <w:proofErr w:type="spellStart"/>
      <w:r w:rsidRPr="00E5391E">
        <w:rPr>
          <w:lang w:val="en-US"/>
        </w:rPr>
        <w:t>NaTech</w:t>
      </w:r>
      <w:proofErr w:type="spellEnd"/>
      <w:r w:rsidRPr="00E5391E">
        <w:rPr>
          <w:lang w:val="en-US"/>
        </w:rPr>
        <w:t xml:space="preserve"> risk is acceptable. For </w:t>
      </w:r>
      <w:proofErr w:type="spellStart"/>
      <w:r w:rsidR="007F7E5E" w:rsidRPr="00E5391E">
        <w:rPr>
          <w:lang w:val="en-US"/>
        </w:rPr>
        <w:t>IR</w:t>
      </w:r>
      <w:r w:rsidR="007F7E5E" w:rsidRPr="00E5391E">
        <w:rPr>
          <w:vertAlign w:val="subscript"/>
          <w:lang w:val="en-US"/>
        </w:rPr>
        <w:t>Natech,F</w:t>
      </w:r>
      <w:proofErr w:type="spellEnd"/>
      <w:r w:rsidR="007F7E5E" w:rsidRPr="00E5391E">
        <w:rPr>
          <w:lang w:val="en-US"/>
        </w:rPr>
        <w:t xml:space="preserve"> values </w:t>
      </w:r>
      <w:r w:rsidR="007F7E5E">
        <w:rPr>
          <w:lang w:val="en-US"/>
        </w:rPr>
        <w:t>between</w:t>
      </w:r>
      <w:r w:rsidRPr="00E5391E">
        <w:rPr>
          <w:lang w:val="en-US"/>
        </w:rPr>
        <w:t xml:space="preserve"> 4 and 8, the risk is acceptable but requires appropriate prevention and mitigation measures to be planned over time. For </w:t>
      </w:r>
      <w:proofErr w:type="spellStart"/>
      <w:r w:rsidR="007F7E5E" w:rsidRPr="00E5391E">
        <w:rPr>
          <w:lang w:val="en-US"/>
        </w:rPr>
        <w:t>IR</w:t>
      </w:r>
      <w:r w:rsidR="007F7E5E" w:rsidRPr="00E5391E">
        <w:rPr>
          <w:vertAlign w:val="subscript"/>
          <w:lang w:val="en-US"/>
        </w:rPr>
        <w:t>Natech,F</w:t>
      </w:r>
      <w:proofErr w:type="spellEnd"/>
      <w:r w:rsidR="007F7E5E" w:rsidRPr="00E5391E">
        <w:rPr>
          <w:lang w:val="en-US"/>
        </w:rPr>
        <w:t xml:space="preserve"> </w:t>
      </w:r>
      <w:r w:rsidRPr="00E5391E">
        <w:rPr>
          <w:lang w:val="en-US"/>
        </w:rPr>
        <w:t xml:space="preserve">values </w:t>
      </w:r>
      <w:r w:rsidR="007F7E5E">
        <w:rPr>
          <w:lang w:val="en-US"/>
        </w:rPr>
        <w:t>between</w:t>
      </w:r>
      <w:r w:rsidR="007F7E5E" w:rsidRPr="00E5391E">
        <w:rPr>
          <w:lang w:val="en-US"/>
        </w:rPr>
        <w:t xml:space="preserve"> </w:t>
      </w:r>
      <w:r w:rsidRPr="00E5391E">
        <w:rPr>
          <w:lang w:val="en-US"/>
        </w:rPr>
        <w:t xml:space="preserve">8 and 32, urgent prevention and protection interventions must be implemented to </w:t>
      </w:r>
      <w:r w:rsidR="007F7E5E">
        <w:rPr>
          <w:lang w:val="en-US"/>
        </w:rPr>
        <w:t>have a</w:t>
      </w:r>
      <w:r w:rsidRPr="00E5391E">
        <w:rPr>
          <w:lang w:val="en-US"/>
        </w:rPr>
        <w:t xml:space="preserve"> </w:t>
      </w:r>
      <w:proofErr w:type="spellStart"/>
      <w:r w:rsidRPr="00E5391E">
        <w:rPr>
          <w:lang w:val="en-US"/>
        </w:rPr>
        <w:t>NaTech</w:t>
      </w:r>
      <w:proofErr w:type="spellEnd"/>
      <w:r w:rsidRPr="00E5391E">
        <w:rPr>
          <w:lang w:val="en-US"/>
        </w:rPr>
        <w:t xml:space="preserve"> lightning risk acceptable (&lt; 8). For </w:t>
      </w:r>
      <w:proofErr w:type="spellStart"/>
      <w:r w:rsidR="007F7E5E" w:rsidRPr="00E5391E">
        <w:rPr>
          <w:lang w:val="en-US"/>
        </w:rPr>
        <w:t>IR</w:t>
      </w:r>
      <w:r w:rsidR="007F7E5E" w:rsidRPr="00E5391E">
        <w:rPr>
          <w:vertAlign w:val="subscript"/>
          <w:lang w:val="en-US"/>
        </w:rPr>
        <w:t>Natech,F</w:t>
      </w:r>
      <w:proofErr w:type="spellEnd"/>
      <w:r w:rsidR="007F7E5E" w:rsidRPr="00E5391E">
        <w:rPr>
          <w:lang w:val="en-US"/>
        </w:rPr>
        <w:t xml:space="preserve"> </w:t>
      </w:r>
      <w:r w:rsidRPr="00E5391E">
        <w:rPr>
          <w:lang w:val="en-US"/>
        </w:rPr>
        <w:t xml:space="preserve">values </w:t>
      </w:r>
      <w:r w:rsidR="007F7E5E">
        <w:rPr>
          <w:lang w:val="en-US"/>
        </w:rPr>
        <w:t>higher than</w:t>
      </w:r>
      <w:r w:rsidRPr="00E5391E">
        <w:rPr>
          <w:lang w:val="en-US"/>
        </w:rPr>
        <w:t xml:space="preserve"> 32, the </w:t>
      </w:r>
      <w:proofErr w:type="spellStart"/>
      <w:r w:rsidRPr="00E5391E">
        <w:rPr>
          <w:lang w:val="en-US"/>
        </w:rPr>
        <w:t>NaTech</w:t>
      </w:r>
      <w:proofErr w:type="spellEnd"/>
      <w:r w:rsidRPr="00E5391E">
        <w:rPr>
          <w:lang w:val="en-US"/>
        </w:rPr>
        <w:t xml:space="preserve"> lightning risk is unacceptable.</w:t>
      </w:r>
    </w:p>
    <w:p w14:paraId="7529D27F" w14:textId="3A374687" w:rsidR="009A7C04" w:rsidRDefault="009A7C04" w:rsidP="0021013C">
      <w:pPr>
        <w:tabs>
          <w:tab w:val="clear" w:pos="7100"/>
        </w:tabs>
        <w:spacing w:line="276" w:lineRule="auto"/>
        <w:rPr>
          <w:lang w:val="en-US"/>
        </w:rPr>
      </w:pPr>
    </w:p>
    <w:p w14:paraId="549B1425" w14:textId="2AE133CB" w:rsidR="00FD26E2" w:rsidRPr="003F6067" w:rsidRDefault="00FD26E2" w:rsidP="00FD26E2">
      <w:pPr>
        <w:pStyle w:val="CETHeading1"/>
        <w:numPr>
          <w:ilvl w:val="0"/>
          <w:numId w:val="41"/>
        </w:numPr>
      </w:pPr>
      <w:r w:rsidRPr="00FD26E2">
        <w:t xml:space="preserve">New and </w:t>
      </w:r>
      <w:r w:rsidR="006E397E">
        <w:t>e</w:t>
      </w:r>
      <w:r w:rsidRPr="00FD26E2">
        <w:t xml:space="preserve">xisting </w:t>
      </w:r>
      <w:r>
        <w:t>establishments</w:t>
      </w:r>
      <w:r w:rsidRPr="00FD26E2">
        <w:t xml:space="preserve">. Measures to </w:t>
      </w:r>
      <w:r w:rsidR="006E397E">
        <w:t>r</w:t>
      </w:r>
      <w:r w:rsidRPr="00FD26E2">
        <w:t xml:space="preserve">educe </w:t>
      </w:r>
      <w:r>
        <w:t xml:space="preserve">the </w:t>
      </w:r>
      <w:proofErr w:type="spellStart"/>
      <w:r w:rsidRPr="00FD26E2">
        <w:t>NaTech</w:t>
      </w:r>
      <w:proofErr w:type="spellEnd"/>
      <w:r w:rsidRPr="00FD26E2">
        <w:t xml:space="preserve"> </w:t>
      </w:r>
      <w:r w:rsidR="006E397E">
        <w:t>r</w:t>
      </w:r>
      <w:r w:rsidRPr="00FD26E2">
        <w:t xml:space="preserve">isk </w:t>
      </w:r>
      <w:r w:rsidR="006E397E">
        <w:t>v</w:t>
      </w:r>
      <w:r w:rsidRPr="00FD26E2">
        <w:t xml:space="preserve">ulnerability from </w:t>
      </w:r>
      <w:r w:rsidR="006E397E">
        <w:t>l</w:t>
      </w:r>
      <w:r w:rsidRPr="00FD26E2">
        <w:t>ightning</w:t>
      </w:r>
    </w:p>
    <w:p w14:paraId="7B22FDA7" w14:textId="54C8823A" w:rsidR="00874B67" w:rsidRDefault="00874B67" w:rsidP="00FD26E2">
      <w:pPr>
        <w:tabs>
          <w:tab w:val="clear" w:pos="7100"/>
        </w:tabs>
        <w:spacing w:line="276" w:lineRule="auto"/>
        <w:rPr>
          <w:lang w:val="en-US"/>
        </w:rPr>
      </w:pPr>
      <w:r w:rsidRPr="00874B67">
        <w:rPr>
          <w:lang w:val="en-US"/>
        </w:rPr>
        <w:t xml:space="preserve">For newly constructed industrial </w:t>
      </w:r>
      <w:r>
        <w:rPr>
          <w:lang w:val="en-US"/>
        </w:rPr>
        <w:t>establishments</w:t>
      </w:r>
      <w:r w:rsidRPr="00874B67">
        <w:rPr>
          <w:lang w:val="en-US"/>
        </w:rPr>
        <w:t>, it is essential to select an appropriate installation site. This approach allows for better management of the three lightning risk factors: “N</w:t>
      </w:r>
      <w:r w:rsidRPr="00874B67">
        <w:rPr>
          <w:vertAlign w:val="subscript"/>
          <w:lang w:val="en-US"/>
        </w:rPr>
        <w:t>g</w:t>
      </w:r>
      <w:r w:rsidRPr="00874B67">
        <w:rPr>
          <w:lang w:val="en-US"/>
        </w:rPr>
        <w:t xml:space="preserve">,” “E,” and “V,” aiming to reduce </w:t>
      </w:r>
      <w:r w:rsidRPr="00874B67">
        <w:rPr>
          <w:lang w:val="en-US"/>
        </w:rPr>
        <w:lastRenderedPageBreak/>
        <w:t xml:space="preserve">them to the lowest possible values. For existing facilities, when managing </w:t>
      </w:r>
      <w:proofErr w:type="spellStart"/>
      <w:r w:rsidRPr="00874B67">
        <w:rPr>
          <w:lang w:val="en-US"/>
        </w:rPr>
        <w:t>NaTech</w:t>
      </w:r>
      <w:proofErr w:type="spellEnd"/>
      <w:r w:rsidRPr="00874B67">
        <w:rPr>
          <w:lang w:val="en-US"/>
        </w:rPr>
        <w:t xml:space="preserve"> risk from lightning, actions can be taken only </w:t>
      </w:r>
      <w:r>
        <w:rPr>
          <w:lang w:val="en-US"/>
        </w:rPr>
        <w:t>on one factor, vulnerability “V”, because</w:t>
      </w:r>
      <w:r w:rsidRPr="00874B67">
        <w:rPr>
          <w:lang w:val="en-US"/>
        </w:rPr>
        <w:t xml:space="preserve"> there is </w:t>
      </w:r>
      <w:r>
        <w:rPr>
          <w:lang w:val="en-US"/>
        </w:rPr>
        <w:t>low possibility to</w:t>
      </w:r>
      <w:r w:rsidRPr="00874B67">
        <w:rPr>
          <w:lang w:val="en-US"/>
        </w:rPr>
        <w:t xml:space="preserve"> </w:t>
      </w:r>
      <w:r>
        <w:rPr>
          <w:lang w:val="en-US"/>
        </w:rPr>
        <w:t xml:space="preserve">reduce one out of </w:t>
      </w:r>
      <w:r w:rsidRPr="00874B67">
        <w:rPr>
          <w:lang w:val="en-US"/>
        </w:rPr>
        <w:t xml:space="preserve">the two </w:t>
      </w:r>
      <w:r>
        <w:rPr>
          <w:lang w:val="en-US"/>
        </w:rPr>
        <w:t>factors</w:t>
      </w:r>
      <w:r w:rsidRPr="00874B67">
        <w:rPr>
          <w:lang w:val="en-US"/>
        </w:rPr>
        <w:t xml:space="preserve"> “E” and “N</w:t>
      </w:r>
      <w:r w:rsidRPr="00874B67">
        <w:rPr>
          <w:vertAlign w:val="subscript"/>
          <w:lang w:val="en-US"/>
        </w:rPr>
        <w:t>g</w:t>
      </w:r>
      <w:r w:rsidRPr="00874B67">
        <w:rPr>
          <w:lang w:val="en-US"/>
        </w:rPr>
        <w:t xml:space="preserve">,” which depend on the location of the industrial site and the surrounding urbanization. Below are some examples (not exhaustive) of how to reduce the vulnerability of critical industrial </w:t>
      </w:r>
      <w:r>
        <w:rPr>
          <w:lang w:val="en-US"/>
        </w:rPr>
        <w:t>establishments:</w:t>
      </w:r>
    </w:p>
    <w:p w14:paraId="5B6DCCE9" w14:textId="0DEE0276" w:rsidR="00FD26E2" w:rsidRPr="00893E81" w:rsidRDefault="00874B67" w:rsidP="00874B67">
      <w:pPr>
        <w:tabs>
          <w:tab w:val="clear" w:pos="7100"/>
        </w:tabs>
        <w:spacing w:line="276" w:lineRule="auto"/>
        <w:rPr>
          <w:lang w:val="en-US"/>
        </w:rPr>
      </w:pPr>
      <w:r w:rsidRPr="00874B67">
        <w:rPr>
          <w:b/>
          <w:lang w:val="en-US"/>
        </w:rPr>
        <w:t>A) Technical Interventions</w:t>
      </w:r>
      <w:r w:rsidRPr="00874B67">
        <w:rPr>
          <w:lang w:val="en-US"/>
        </w:rPr>
        <w:t xml:space="preserve">: To reduce the vulnerability "V" of critical equipment, it is necessary to install devices that ensure electrical continuity or limit </w:t>
      </w:r>
      <w:proofErr w:type="spellStart"/>
      <w:r w:rsidRPr="00874B67">
        <w:rPr>
          <w:lang w:val="en-US"/>
        </w:rPr>
        <w:t>overvoltages</w:t>
      </w:r>
      <w:proofErr w:type="spellEnd"/>
      <w:r w:rsidRPr="00874B67">
        <w:rPr>
          <w:lang w:val="en-US"/>
        </w:rPr>
        <w:t>, adopting prot</w:t>
      </w:r>
      <w:r w:rsidR="00D8091A">
        <w:rPr>
          <w:lang w:val="en-US"/>
        </w:rPr>
        <w:t>ective measures to ensure that:</w:t>
      </w:r>
      <w:r w:rsidR="00C2205C">
        <w:rPr>
          <w:lang w:val="en-US"/>
        </w:rPr>
        <w:t xml:space="preserve"> </w:t>
      </w:r>
      <w:r w:rsidRPr="00874B67">
        <w:rPr>
          <w:lang w:val="en-US"/>
        </w:rPr>
        <w:t>a) lightning paths are kept away from flammable and explosive substances, using low-impedance preferential routes and taking advantage of the conductive properties of metals;</w:t>
      </w:r>
      <w:r w:rsidR="00D8091A">
        <w:rPr>
          <w:lang w:val="en-US"/>
        </w:rPr>
        <w:t xml:space="preserve"> </w:t>
      </w:r>
      <w:r w:rsidRPr="00874B67">
        <w:rPr>
          <w:lang w:val="en-US"/>
        </w:rPr>
        <w:t>b) overheat</w:t>
      </w:r>
      <w:r w:rsidR="00D8091A">
        <w:rPr>
          <w:lang w:val="en-US"/>
        </w:rPr>
        <w:t xml:space="preserve">ing of conductors is prevented; </w:t>
      </w:r>
      <w:r w:rsidRPr="00874B67">
        <w:rPr>
          <w:lang w:val="en-US"/>
        </w:rPr>
        <w:t>c) potential increases in grounding sy</w:t>
      </w:r>
      <w:r w:rsidR="00D8091A">
        <w:rPr>
          <w:lang w:val="en-US"/>
        </w:rPr>
        <w:t>stem electrodes are avoided;</w:t>
      </w:r>
      <w:r w:rsidR="00AB1645">
        <w:rPr>
          <w:lang w:val="en-US"/>
        </w:rPr>
        <w:t xml:space="preserve"> </w:t>
      </w:r>
      <w:r w:rsidRPr="00874B67">
        <w:rPr>
          <w:lang w:val="en-US"/>
        </w:rPr>
        <w:t>d) surface resistivity is increased within a 3-meter perimeter around</w:t>
      </w:r>
      <w:r w:rsidR="00D8091A">
        <w:rPr>
          <w:lang w:val="en-US"/>
        </w:rPr>
        <w:t xml:space="preserve"> the structure to be protected; </w:t>
      </w:r>
      <w:r w:rsidRPr="00874B67">
        <w:rPr>
          <w:lang w:val="en-US"/>
        </w:rPr>
        <w:t>e) surface resistivity of the structure'</w:t>
      </w:r>
      <w:r w:rsidR="00D8091A">
        <w:rPr>
          <w:lang w:val="en-US"/>
        </w:rPr>
        <w:t xml:space="preserve">s internal floors is increased; f) shielding of the structure; </w:t>
      </w:r>
      <w:r w:rsidRPr="00874B67">
        <w:rPr>
          <w:lang w:val="en-US"/>
        </w:rPr>
        <w:t>g) shielding of internal</w:t>
      </w:r>
      <w:r w:rsidR="00D8091A">
        <w:rPr>
          <w:lang w:val="en-US"/>
        </w:rPr>
        <w:t xml:space="preserve"> circuits within the structure; </w:t>
      </w:r>
      <w:r w:rsidRPr="00874B67">
        <w:rPr>
          <w:lang w:val="en-US"/>
        </w:rPr>
        <w:t>h) appropriate distribution of cabling for internal</w:t>
      </w:r>
      <w:r w:rsidR="00D8091A">
        <w:rPr>
          <w:lang w:val="en-US"/>
        </w:rPr>
        <w:t xml:space="preserve"> circuits within the structure; </w:t>
      </w:r>
      <w:proofErr w:type="spellStart"/>
      <w:r w:rsidRPr="00874B67">
        <w:rPr>
          <w:lang w:val="en-US"/>
        </w:rPr>
        <w:t>i</w:t>
      </w:r>
      <w:proofErr w:type="spellEnd"/>
      <w:r w:rsidRPr="00874B67">
        <w:rPr>
          <w:lang w:val="en-US"/>
        </w:rPr>
        <w:t xml:space="preserve">) shielding of incoming power lines; </w:t>
      </w:r>
      <w:r w:rsidR="00D8091A">
        <w:rPr>
          <w:lang w:val="en-US"/>
        </w:rPr>
        <w:t>etc.</w:t>
      </w:r>
      <w:r w:rsidRPr="00874B67">
        <w:rPr>
          <w:lang w:val="en-US"/>
        </w:rPr>
        <w:t>.</w:t>
      </w:r>
    </w:p>
    <w:p w14:paraId="25ADD06F" w14:textId="409F7135" w:rsidR="007F75A0" w:rsidRDefault="00D8091A" w:rsidP="007F75A0">
      <w:pPr>
        <w:tabs>
          <w:tab w:val="clear" w:pos="7100"/>
        </w:tabs>
        <w:spacing w:line="276" w:lineRule="auto"/>
        <w:rPr>
          <w:lang w:val="en-US"/>
        </w:rPr>
      </w:pPr>
      <w:r w:rsidRPr="00D8091A">
        <w:rPr>
          <w:b/>
          <w:lang w:val="en-US"/>
        </w:rPr>
        <w:t xml:space="preserve">B) </w:t>
      </w:r>
      <w:r w:rsidRPr="005857AD">
        <w:rPr>
          <w:b/>
          <w:lang w:val="en-US"/>
        </w:rPr>
        <w:t>Maintenance, Control, and Verification Measures</w:t>
      </w:r>
      <w:r w:rsidRPr="00D8091A">
        <w:rPr>
          <w:lang w:val="en-US"/>
        </w:rPr>
        <w:t>: Appropriate maintenance and inspection of lightning protection systems should be planned, including the performance of tests and electrical continuity measurements. This is essential because lightning protection systems tend to lose effectiveness over time due to corrosion and damage caused by environmental conditions, mechanical impacts, and lightning strikes.</w:t>
      </w:r>
    </w:p>
    <w:p w14:paraId="31140F1D" w14:textId="034BD82C" w:rsidR="00D8091A" w:rsidRDefault="00D8091A" w:rsidP="007F75A0">
      <w:pPr>
        <w:tabs>
          <w:tab w:val="clear" w:pos="7100"/>
        </w:tabs>
        <w:spacing w:line="276" w:lineRule="auto"/>
        <w:rPr>
          <w:lang w:val="en-US"/>
        </w:rPr>
      </w:pPr>
      <w:r w:rsidRPr="00D8091A">
        <w:rPr>
          <w:b/>
          <w:lang w:val="en-US"/>
        </w:rPr>
        <w:t>C) Organizational interventions</w:t>
      </w:r>
      <w:r w:rsidRPr="00D8091A">
        <w:rPr>
          <w:lang w:val="en-US"/>
        </w:rPr>
        <w:t>: In addition to the above, organizational interventions can be implemented (e.g., lowering the fill level of atmospheric storage tanks while waiting to schedule maintenance and prevention interventions).</w:t>
      </w:r>
    </w:p>
    <w:p w14:paraId="39FA9A26" w14:textId="264B2B42" w:rsidR="00C36D56" w:rsidRPr="00D8091A" w:rsidRDefault="00D90FA3" w:rsidP="00D8091A">
      <w:pPr>
        <w:pStyle w:val="CETHeading1"/>
        <w:numPr>
          <w:ilvl w:val="0"/>
          <w:numId w:val="41"/>
        </w:numPr>
      </w:pPr>
      <w:r w:rsidRPr="00D8091A">
        <w:t>Case study of a floating roof atmospheric fuel storage tank</w:t>
      </w:r>
    </w:p>
    <w:p w14:paraId="09CA8732" w14:textId="777DB6E3" w:rsidR="001B31A8" w:rsidRDefault="001B31A8" w:rsidP="001B31A8">
      <w:pPr>
        <w:tabs>
          <w:tab w:val="clear" w:pos="7100"/>
        </w:tabs>
        <w:spacing w:line="276" w:lineRule="auto"/>
        <w:rPr>
          <w:lang w:val="en-US"/>
        </w:rPr>
      </w:pPr>
      <w:r w:rsidRPr="001B31A8">
        <w:rPr>
          <w:lang w:val="en-US"/>
        </w:rPr>
        <w:t xml:space="preserve">Let's consider the case study of an atmospheric gasoline storage tank with a floating roof. This tank is part of a tank farm at a fuel depot, where there is a potential domino effect in the event of a </w:t>
      </w:r>
      <w:proofErr w:type="spellStart"/>
      <w:r w:rsidRPr="001B31A8">
        <w:rPr>
          <w:lang w:val="en-US"/>
        </w:rPr>
        <w:t>NaTech</w:t>
      </w:r>
      <w:proofErr w:type="spellEnd"/>
      <w:r w:rsidRPr="001B31A8">
        <w:rPr>
          <w:lang w:val="en-US"/>
        </w:rPr>
        <w:t xml:space="preserve"> incident from a lightning strike. The tank's fill level is at 75%. The tank is located within the </w:t>
      </w:r>
      <w:r>
        <w:rPr>
          <w:lang w:val="en-US"/>
        </w:rPr>
        <w:t>establishment</w:t>
      </w:r>
      <w:r w:rsidRPr="001B31A8">
        <w:rPr>
          <w:lang w:val="en-US"/>
        </w:rPr>
        <w:t xml:space="preserve"> at the geographic coordinates Latitude: 38.092</w:t>
      </w:r>
      <w:r>
        <w:rPr>
          <w:lang w:val="en-US"/>
        </w:rPr>
        <w:t>423° N, Longitude: 13.402614° E; p</w:t>
      </w:r>
      <w:r w:rsidRPr="001B31A8">
        <w:rPr>
          <w:lang w:val="en-US"/>
        </w:rPr>
        <w:t>rom this position, an N</w:t>
      </w:r>
      <w:r w:rsidRPr="001B31A8">
        <w:rPr>
          <w:vertAlign w:val="subscript"/>
          <w:lang w:val="en-US"/>
        </w:rPr>
        <w:t>g</w:t>
      </w:r>
      <w:r w:rsidRPr="001B31A8">
        <w:rPr>
          <w:lang w:val="en-US"/>
        </w:rPr>
        <w:t xml:space="preserve"> = 1.41 lightning strikes / (year km²) is obtained (</w:t>
      </w:r>
      <w:r>
        <w:rPr>
          <w:lang w:val="en-US"/>
        </w:rPr>
        <w:t xml:space="preserve">using </w:t>
      </w:r>
      <w:r w:rsidRPr="001B31A8">
        <w:rPr>
          <w:lang w:val="en-US"/>
        </w:rPr>
        <w:t xml:space="preserve">CEI </w:t>
      </w:r>
      <w:proofErr w:type="spellStart"/>
      <w:r w:rsidRPr="001B31A8">
        <w:rPr>
          <w:lang w:val="en-US"/>
        </w:rPr>
        <w:t>ProDis</w:t>
      </w:r>
      <w:r w:rsidRPr="001B31A8">
        <w:rPr>
          <w:vertAlign w:val="superscript"/>
          <w:lang w:val="en-US"/>
        </w:rPr>
        <w:t>TM</w:t>
      </w:r>
      <w:proofErr w:type="spellEnd"/>
      <w:r w:rsidRPr="001B31A8">
        <w:rPr>
          <w:lang w:val="en-US"/>
        </w:rPr>
        <w:t xml:space="preserve">), leading to an </w:t>
      </w:r>
      <w:proofErr w:type="spellStart"/>
      <w:r w:rsidRPr="001B31A8">
        <w:rPr>
          <w:lang w:val="en-US"/>
        </w:rPr>
        <w:t>IN</w:t>
      </w:r>
      <w:r w:rsidRPr="001B31A8">
        <w:rPr>
          <w:vertAlign w:val="subscript"/>
          <w:lang w:val="en-US"/>
        </w:rPr>
        <w:t>g</w:t>
      </w:r>
      <w:proofErr w:type="spellEnd"/>
      <w:r w:rsidRPr="001B31A8">
        <w:rPr>
          <w:lang w:val="en-US"/>
        </w:rPr>
        <w:t xml:space="preserve"> = 2 (Table 1).</w:t>
      </w:r>
      <w:r w:rsidR="007841DA">
        <w:rPr>
          <w:lang w:val="en-US"/>
        </w:rPr>
        <w:t xml:space="preserve"> Using Tables 2 and 3, IV=4 and IE=4. Thus, </w:t>
      </w:r>
      <w:r>
        <w:rPr>
          <w:lang w:val="en-US"/>
        </w:rPr>
        <w:t xml:space="preserve">the </w:t>
      </w:r>
      <w:r w:rsidRPr="001B31A8">
        <w:rPr>
          <w:lang w:val="en-US"/>
        </w:rPr>
        <w:t>risk index from lightning</w:t>
      </w:r>
      <w:r>
        <w:rPr>
          <w:lang w:val="en-US"/>
        </w:rPr>
        <w:t xml:space="preserve"> is</w:t>
      </w:r>
      <w:r w:rsidR="007841DA">
        <w:rPr>
          <w:lang w:val="en-US"/>
        </w:rPr>
        <w:t xml:space="preserve"> evaluated by means of relationship (2)</w:t>
      </w:r>
      <w:r>
        <w:rPr>
          <w:lang w:val="en-US"/>
        </w:rPr>
        <w:t xml:space="preserve">: </w:t>
      </w:r>
    </w:p>
    <w:p w14:paraId="5ED4F83B" w14:textId="77777777" w:rsidR="001B31A8" w:rsidRDefault="001B31A8" w:rsidP="001B31A8">
      <w:pPr>
        <w:tabs>
          <w:tab w:val="clear" w:pos="7100"/>
        </w:tabs>
        <w:spacing w:line="276" w:lineRule="auto"/>
        <w:rPr>
          <w:lang w:val="en-US"/>
        </w:rPr>
      </w:pPr>
      <w:proofErr w:type="spellStart"/>
      <w:r w:rsidRPr="001B31A8">
        <w:rPr>
          <w:lang w:val="en-US"/>
        </w:rPr>
        <w:t>IR</w:t>
      </w:r>
      <w:r w:rsidRPr="001B31A8">
        <w:rPr>
          <w:vertAlign w:val="subscript"/>
          <w:lang w:val="en-US"/>
        </w:rPr>
        <w:t>Natech,F</w:t>
      </w:r>
      <w:proofErr w:type="spellEnd"/>
      <w:r w:rsidRPr="001B31A8">
        <w:rPr>
          <w:lang w:val="en-US"/>
        </w:rPr>
        <w:t xml:space="preserve">= </w:t>
      </w:r>
      <w:proofErr w:type="spellStart"/>
      <w:r w:rsidRPr="001B31A8">
        <w:rPr>
          <w:lang w:val="en-US"/>
        </w:rPr>
        <w:t>IN</w:t>
      </w:r>
      <w:r w:rsidRPr="001B31A8">
        <w:rPr>
          <w:vertAlign w:val="subscript"/>
          <w:lang w:val="en-US"/>
        </w:rPr>
        <w:t>g</w:t>
      </w:r>
      <w:proofErr w:type="spellEnd"/>
      <w:r w:rsidRPr="001B31A8">
        <w:rPr>
          <w:lang w:val="en-US"/>
        </w:rPr>
        <w:t xml:space="preserve"> x IV x IE = 2x4x4= 32</w:t>
      </w:r>
      <w:r>
        <w:rPr>
          <w:lang w:val="en-US"/>
        </w:rPr>
        <w:t xml:space="preserve"> </w:t>
      </w:r>
    </w:p>
    <w:p w14:paraId="63FD481D" w14:textId="39990FF8" w:rsidR="001B31A8" w:rsidRDefault="001B31A8" w:rsidP="001B31A8">
      <w:pPr>
        <w:tabs>
          <w:tab w:val="clear" w:pos="7100"/>
        </w:tabs>
        <w:spacing w:line="276" w:lineRule="auto"/>
        <w:rPr>
          <w:lang w:val="en-US"/>
        </w:rPr>
      </w:pPr>
      <w:r>
        <w:rPr>
          <w:lang w:val="en-US"/>
        </w:rPr>
        <w:t xml:space="preserve">and, thus, the risk is </w:t>
      </w:r>
      <w:r w:rsidRPr="001B31A8">
        <w:rPr>
          <w:lang w:val="en-US"/>
        </w:rPr>
        <w:t>unacceptable</w:t>
      </w:r>
      <w:r>
        <w:rPr>
          <w:lang w:val="en-US"/>
        </w:rPr>
        <w:t xml:space="preserve"> (see paragraph 6).</w:t>
      </w:r>
    </w:p>
    <w:p w14:paraId="6B8196F5" w14:textId="2749BF79" w:rsidR="001B31A8" w:rsidRDefault="00A52303" w:rsidP="009B584A">
      <w:pPr>
        <w:tabs>
          <w:tab w:val="clear" w:pos="7100"/>
        </w:tabs>
        <w:spacing w:line="276" w:lineRule="auto"/>
        <w:rPr>
          <w:lang w:val="en-US"/>
        </w:rPr>
      </w:pPr>
      <w:r w:rsidRPr="00A52303">
        <w:rPr>
          <w:lang w:val="en-US"/>
        </w:rPr>
        <w:t>A p</w:t>
      </w:r>
      <w:r>
        <w:rPr>
          <w:lang w:val="en-US"/>
        </w:rPr>
        <w:t xml:space="preserve">ossible immediate </w:t>
      </w:r>
      <w:r w:rsidRPr="00A52303">
        <w:rPr>
          <w:lang w:val="en-US"/>
        </w:rPr>
        <w:t xml:space="preserve">organizational </w:t>
      </w:r>
      <w:r>
        <w:rPr>
          <w:lang w:val="en-US"/>
        </w:rPr>
        <w:t>intervention</w:t>
      </w:r>
      <w:r w:rsidRPr="00A52303">
        <w:rPr>
          <w:lang w:val="en-US"/>
        </w:rPr>
        <w:t xml:space="preserve"> is to maintain the fuel tank filling lev</w:t>
      </w:r>
      <w:r>
        <w:rPr>
          <w:lang w:val="en-US"/>
        </w:rPr>
        <w:t xml:space="preserve">el at a maximum of 45% capacity, resulting in a lower value of </w:t>
      </w:r>
      <w:proofErr w:type="spellStart"/>
      <w:r w:rsidRPr="00A52303">
        <w:rPr>
          <w:lang w:val="en-US"/>
        </w:rPr>
        <w:t>IR</w:t>
      </w:r>
      <w:r w:rsidRPr="00A52303">
        <w:rPr>
          <w:vertAlign w:val="subscript"/>
          <w:lang w:val="en-US"/>
        </w:rPr>
        <w:t>Natech</w:t>
      </w:r>
      <w:r>
        <w:rPr>
          <w:vertAlign w:val="subscript"/>
          <w:lang w:val="en-US"/>
        </w:rPr>
        <w:t>,F</w:t>
      </w:r>
      <w:proofErr w:type="spellEnd"/>
      <w:r>
        <w:rPr>
          <w:lang w:val="en-US"/>
        </w:rPr>
        <w:t>=2x3x4=24.</w:t>
      </w:r>
    </w:p>
    <w:p w14:paraId="5F71ED62" w14:textId="215B6D53" w:rsidR="009B584A" w:rsidRDefault="009B584A" w:rsidP="009B584A">
      <w:pPr>
        <w:tabs>
          <w:tab w:val="clear" w:pos="7100"/>
        </w:tabs>
        <w:spacing w:line="276" w:lineRule="auto"/>
        <w:rPr>
          <w:lang w:val="en-US"/>
        </w:rPr>
      </w:pPr>
      <w:r>
        <w:rPr>
          <w:lang w:val="en-US"/>
        </w:rPr>
        <w:t xml:space="preserve">For </w:t>
      </w:r>
      <w:proofErr w:type="spellStart"/>
      <w:r w:rsidRPr="00A52303">
        <w:rPr>
          <w:lang w:val="en-US"/>
        </w:rPr>
        <w:t>IR</w:t>
      </w:r>
      <w:r w:rsidRPr="00A52303">
        <w:rPr>
          <w:vertAlign w:val="subscript"/>
          <w:lang w:val="en-US"/>
        </w:rPr>
        <w:t>Natech</w:t>
      </w:r>
      <w:r>
        <w:rPr>
          <w:vertAlign w:val="subscript"/>
          <w:lang w:val="en-US"/>
        </w:rPr>
        <w:t>,F</w:t>
      </w:r>
      <w:proofErr w:type="spellEnd"/>
      <w:r>
        <w:rPr>
          <w:lang w:val="en-US"/>
        </w:rPr>
        <w:t>=24, it is necessary to p</w:t>
      </w:r>
      <w:r w:rsidRPr="009B584A">
        <w:rPr>
          <w:lang w:val="en-US"/>
        </w:rPr>
        <w:t>lan urgent preventive, protective, and mitigation meas</w:t>
      </w:r>
      <w:r>
        <w:rPr>
          <w:lang w:val="en-US"/>
        </w:rPr>
        <w:t>ures to make it acceptable (&lt;8) (see paragraph 7).</w:t>
      </w:r>
    </w:p>
    <w:p w14:paraId="5BD41620" w14:textId="52160E05" w:rsidR="008274C3" w:rsidRPr="00D8091A" w:rsidRDefault="008274C3" w:rsidP="008274C3">
      <w:pPr>
        <w:pStyle w:val="CETHeading1"/>
        <w:numPr>
          <w:ilvl w:val="0"/>
          <w:numId w:val="41"/>
        </w:numPr>
      </w:pPr>
      <w:r w:rsidRPr="008274C3">
        <w:t xml:space="preserve">Lightning injuries </w:t>
      </w:r>
    </w:p>
    <w:p w14:paraId="69F72940" w14:textId="2D9E506C" w:rsidR="009B584A" w:rsidRDefault="000C1446" w:rsidP="009B584A">
      <w:pPr>
        <w:tabs>
          <w:tab w:val="clear" w:pos="7100"/>
        </w:tabs>
        <w:spacing w:line="276" w:lineRule="auto"/>
        <w:rPr>
          <w:lang w:val="en-US"/>
        </w:rPr>
      </w:pPr>
      <w:r w:rsidRPr="000C1446">
        <w:rPr>
          <w:lang w:val="en-US"/>
        </w:rPr>
        <w:t>Lightning has a mortality rate of about 10% (National Weather Service) and causes approximately 30 deaths and several hundred injuries each year in the USA (Centers for Disease Control and Prevention</w:t>
      </w:r>
      <w:r>
        <w:rPr>
          <w:lang w:val="en-US"/>
        </w:rPr>
        <w:t>, 2022</w:t>
      </w:r>
      <w:r w:rsidRPr="000C1446">
        <w:rPr>
          <w:lang w:val="en-US"/>
        </w:rPr>
        <w:t>); cardiopulmonary arrest at the time of electrocution is the most common cause of death.</w:t>
      </w:r>
    </w:p>
    <w:p w14:paraId="65BCB9EA" w14:textId="77777777" w:rsidR="000C1446" w:rsidRPr="000C1446" w:rsidRDefault="000C1446" w:rsidP="000C1446">
      <w:pPr>
        <w:tabs>
          <w:tab w:val="clear" w:pos="7100"/>
        </w:tabs>
        <w:spacing w:line="276" w:lineRule="auto"/>
        <w:rPr>
          <w:lang w:val="en-US"/>
        </w:rPr>
      </w:pPr>
      <w:r w:rsidRPr="000C1446">
        <w:rPr>
          <w:lang w:val="en-US"/>
        </w:rPr>
        <w:t>Lightning tends to strike isolated objects, such as a person in an open field, usually causing damage to the nervous system in the person struck, affecting the brain, autonomic nervous system, and peripheral nerves. It rarely causes severe skin injuries and seldom leads to rhabdomyolysis or severe damage to internal tissues.</w:t>
      </w:r>
    </w:p>
    <w:p w14:paraId="04A34571" w14:textId="5ABF3831" w:rsidR="000C1446" w:rsidRDefault="000C1446" w:rsidP="000C1446">
      <w:pPr>
        <w:tabs>
          <w:tab w:val="clear" w:pos="7100"/>
        </w:tabs>
        <w:spacing w:line="276" w:lineRule="auto"/>
        <w:rPr>
          <w:lang w:val="en-US"/>
        </w:rPr>
      </w:pPr>
      <w:r w:rsidRPr="000C1446">
        <w:rPr>
          <w:lang w:val="en-US"/>
        </w:rPr>
        <w:t>Neurological issues may include confusion, cognitive deficits, and peripheral neuropathy, with possible neuropsychological sequelae (e.g., sleep disorders, attention and memory deficits) (</w:t>
      </w:r>
      <w:proofErr w:type="spellStart"/>
      <w:r w:rsidRPr="000C1446">
        <w:rPr>
          <w:lang w:val="en-US"/>
        </w:rPr>
        <w:t>Runde</w:t>
      </w:r>
      <w:proofErr w:type="spellEnd"/>
      <w:r w:rsidRPr="000C1446">
        <w:rPr>
          <w:lang w:val="en-US"/>
        </w:rPr>
        <w:t>, 2024). The most common long-term complications are cognitive deficits, pain syndromes, and damage to the sympathetic nervous system.</w:t>
      </w:r>
    </w:p>
    <w:p w14:paraId="24B33287" w14:textId="77777777" w:rsidR="000C1446" w:rsidRPr="000C1446" w:rsidRDefault="000C1446" w:rsidP="000C1446">
      <w:pPr>
        <w:tabs>
          <w:tab w:val="clear" w:pos="7100"/>
        </w:tabs>
        <w:spacing w:line="276" w:lineRule="auto"/>
        <w:rPr>
          <w:lang w:val="en-US"/>
        </w:rPr>
      </w:pPr>
      <w:r w:rsidRPr="000C1446">
        <w:rPr>
          <w:lang w:val="en-US"/>
        </w:rPr>
        <w:t>The medical investigation requires an Electrocardiogram (ECG) if the injury is severe and cardiovascular effects are suspected. Additionally, cardiac enzyme titration is performed in patients presenting with the following symptoms: a) chest pain; b) abnormal ECG; c) altered mental state.</w:t>
      </w:r>
    </w:p>
    <w:p w14:paraId="65A60B2B" w14:textId="7DDEDF6B" w:rsidR="000C1446" w:rsidRDefault="000C1446" w:rsidP="000C1446">
      <w:pPr>
        <w:tabs>
          <w:tab w:val="clear" w:pos="7100"/>
        </w:tabs>
        <w:spacing w:line="276" w:lineRule="auto"/>
        <w:rPr>
          <w:lang w:val="en-US"/>
        </w:rPr>
      </w:pPr>
      <w:r w:rsidRPr="000C1446">
        <w:rPr>
          <w:lang w:val="en-US"/>
        </w:rPr>
        <w:t xml:space="preserve">For patients with an initially altered mental state or one that is deteriorating, or with focal neurological deficits consistent with a central nervous system injury, a </w:t>
      </w:r>
      <w:r>
        <w:rPr>
          <w:lang w:val="en-US"/>
        </w:rPr>
        <w:t>head</w:t>
      </w:r>
      <w:r w:rsidRPr="000C1446">
        <w:rPr>
          <w:lang w:val="en-US"/>
        </w:rPr>
        <w:t xml:space="preserve"> CT and/or a MRI </w:t>
      </w:r>
      <w:r w:rsidR="002D45AC">
        <w:rPr>
          <w:lang w:val="en-US"/>
        </w:rPr>
        <w:t>(</w:t>
      </w:r>
      <w:r w:rsidR="002D45AC" w:rsidRPr="002D45AC">
        <w:rPr>
          <w:lang w:val="en-US"/>
        </w:rPr>
        <w:t>Magnetic Resonance Imaging</w:t>
      </w:r>
      <w:r w:rsidR="002D45AC">
        <w:rPr>
          <w:lang w:val="en-US"/>
        </w:rPr>
        <w:t xml:space="preserve">) </w:t>
      </w:r>
      <w:r w:rsidRPr="000C1446">
        <w:rPr>
          <w:lang w:val="en-US"/>
        </w:rPr>
        <w:t>should be requested.</w:t>
      </w:r>
    </w:p>
    <w:p w14:paraId="0F280AE7" w14:textId="77777777" w:rsidR="002D45AC" w:rsidRDefault="002D45AC" w:rsidP="000C1446">
      <w:pPr>
        <w:tabs>
          <w:tab w:val="clear" w:pos="7100"/>
        </w:tabs>
        <w:spacing w:line="276" w:lineRule="auto"/>
        <w:rPr>
          <w:lang w:val="en-US"/>
        </w:rPr>
      </w:pPr>
      <w:r w:rsidRPr="002D45AC">
        <w:rPr>
          <w:lang w:val="en-US"/>
        </w:rPr>
        <w:t>The treatment of lightning injuries consists, if necessary, of prompt cardiopulmonary resuscitation (in cases of cardiac or respiratory arrest, or both) and, generally, supportive therapy, with reduced fluid intake to minimize potential cerebral edema (</w:t>
      </w:r>
      <w:proofErr w:type="spellStart"/>
      <w:r w:rsidRPr="002D45AC">
        <w:rPr>
          <w:lang w:val="en-US"/>
        </w:rPr>
        <w:t>Runde</w:t>
      </w:r>
      <w:proofErr w:type="spellEnd"/>
      <w:r w:rsidRPr="002D45AC">
        <w:rPr>
          <w:lang w:val="en-US"/>
        </w:rPr>
        <w:t xml:space="preserve">, 2024). </w:t>
      </w:r>
    </w:p>
    <w:p w14:paraId="7322582B" w14:textId="0E36FF03" w:rsidR="002D45AC" w:rsidRDefault="002D45AC" w:rsidP="000C1446">
      <w:pPr>
        <w:tabs>
          <w:tab w:val="clear" w:pos="7100"/>
        </w:tabs>
        <w:spacing w:line="276" w:lineRule="auto"/>
        <w:rPr>
          <w:lang w:val="en-US"/>
        </w:rPr>
      </w:pPr>
      <w:r w:rsidRPr="002D45AC">
        <w:rPr>
          <w:lang w:val="en-US"/>
        </w:rPr>
        <w:lastRenderedPageBreak/>
        <w:t>Lightning injuries can be prevented by staying informed about weather conditions and avoiding going outdoors during a thunderstorm, avoiding small open structures like gazebos, and instead having an evacuation plan that includes moving to a safe area (preferably a large habitable building).</w:t>
      </w:r>
    </w:p>
    <w:p w14:paraId="62DA7400" w14:textId="316C40D1" w:rsidR="002D45AC" w:rsidRDefault="002D45AC" w:rsidP="000C1446">
      <w:pPr>
        <w:tabs>
          <w:tab w:val="clear" w:pos="7100"/>
        </w:tabs>
        <w:spacing w:line="276" w:lineRule="auto"/>
        <w:rPr>
          <w:lang w:val="en-US"/>
        </w:rPr>
      </w:pPr>
      <w:r w:rsidRPr="002D45AC">
        <w:rPr>
          <w:lang w:val="en-US"/>
        </w:rPr>
        <w:t>Moreover, when indoors during an electrical storm, it is advisable to: 1) avoid contact with plumbing and electrical lines; 2) stay away from windows and external doors; 3) refrain from using phones, video game consoles, or computers connected to the power network, or headphones connected by a cable to an audio system.</w:t>
      </w:r>
    </w:p>
    <w:p w14:paraId="6392219A" w14:textId="410F3A6E" w:rsidR="00F075F4" w:rsidRPr="00DD2725" w:rsidRDefault="00DD2725" w:rsidP="007E1A0B">
      <w:pPr>
        <w:pStyle w:val="CETHeading1"/>
        <w:numPr>
          <w:ilvl w:val="0"/>
          <w:numId w:val="41"/>
        </w:numPr>
        <w:rPr>
          <w:b w:val="0"/>
          <w:bCs/>
        </w:rPr>
      </w:pPr>
      <w:r w:rsidRPr="007E1A0B">
        <w:t>Conclusions</w:t>
      </w:r>
    </w:p>
    <w:p w14:paraId="2FEF4C88" w14:textId="2631736C" w:rsidR="00DD2725" w:rsidRPr="00DD2725" w:rsidRDefault="00DD2725" w:rsidP="007F2F15">
      <w:pPr>
        <w:tabs>
          <w:tab w:val="clear" w:pos="7100"/>
        </w:tabs>
        <w:spacing w:after="200" w:line="276" w:lineRule="auto"/>
        <w:rPr>
          <w:lang w:val="en-US"/>
        </w:rPr>
      </w:pPr>
      <w:r w:rsidRPr="00DD2725">
        <w:rPr>
          <w:lang w:val="en-US"/>
        </w:rPr>
        <w:t xml:space="preserve">The purpose of this work, based on the authors' experience, is to propose an index-based method to determine the level of </w:t>
      </w:r>
      <w:proofErr w:type="spellStart"/>
      <w:r w:rsidRPr="00DD2725">
        <w:rPr>
          <w:lang w:val="en-US"/>
        </w:rPr>
        <w:t>NaTech</w:t>
      </w:r>
      <w:proofErr w:type="spellEnd"/>
      <w:r w:rsidRPr="00DD2725">
        <w:rPr>
          <w:lang w:val="en-US"/>
        </w:rPr>
        <w:t xml:space="preserve"> risk from lightning in order to identify the critical units of a given industrial </w:t>
      </w:r>
      <w:r>
        <w:rPr>
          <w:lang w:val="en-US"/>
        </w:rPr>
        <w:t>establishment</w:t>
      </w:r>
      <w:r w:rsidRPr="00DD2725">
        <w:rPr>
          <w:lang w:val="en-US"/>
        </w:rPr>
        <w:t xml:space="preserve">. A concise overview of technical, maintenance, monitoring, and verification measures, as well as organizational interventions aimed at reducing the </w:t>
      </w:r>
      <w:proofErr w:type="spellStart"/>
      <w:r w:rsidRPr="00DD2725">
        <w:rPr>
          <w:lang w:val="en-US"/>
        </w:rPr>
        <w:t>NaTech</w:t>
      </w:r>
      <w:proofErr w:type="spellEnd"/>
      <w:r w:rsidRPr="00DD2725">
        <w:rPr>
          <w:lang w:val="en-US"/>
        </w:rPr>
        <w:t xml:space="preserve"> risk from lightning, is subsequently provided. A case study is presented for an atmospheric storage tank with a floating roof. Lastly, medical guidelines are provided to prevent and manage lightning injuries.</w:t>
      </w:r>
    </w:p>
    <w:p w14:paraId="2870CC35" w14:textId="77777777" w:rsidR="00DD2725" w:rsidRPr="009962F6" w:rsidRDefault="00DD2725" w:rsidP="00DD2725">
      <w:pPr>
        <w:pStyle w:val="CETReference"/>
        <w:rPr>
          <w:lang w:val="en-US"/>
        </w:rPr>
      </w:pPr>
      <w:r w:rsidRPr="009962F6">
        <w:rPr>
          <w:lang w:val="en-US"/>
        </w:rPr>
        <w:t>References</w:t>
      </w:r>
    </w:p>
    <w:p w14:paraId="37E6BCB1" w14:textId="77777777" w:rsidR="00847709" w:rsidRPr="00EE7A62" w:rsidRDefault="00847709" w:rsidP="00847709">
      <w:pPr>
        <w:pStyle w:val="CETReferencetext"/>
        <w:rPr>
          <w:lang w:val="en-US"/>
        </w:rPr>
      </w:pPr>
      <w:r w:rsidRPr="00EE7A62">
        <w:rPr>
          <w:lang w:val="en-US"/>
        </w:rPr>
        <w:t xml:space="preserve">CEI </w:t>
      </w:r>
      <w:proofErr w:type="spellStart"/>
      <w:r w:rsidRPr="00EE7A62">
        <w:rPr>
          <w:lang w:val="en-US"/>
        </w:rPr>
        <w:t>ProDis</w:t>
      </w:r>
      <w:r w:rsidRPr="00EE7A62">
        <w:rPr>
          <w:vertAlign w:val="superscript"/>
          <w:lang w:val="en-US"/>
        </w:rPr>
        <w:t>TM</w:t>
      </w:r>
      <w:proofErr w:type="spellEnd"/>
      <w:r w:rsidRPr="00EE7A62">
        <w:rPr>
          <w:lang w:val="en-US"/>
        </w:rPr>
        <w:t xml:space="preserve">, (2014). Application on line that allows the access to </w:t>
      </w:r>
      <w:proofErr w:type="spellStart"/>
      <w:r w:rsidRPr="00EE7A62">
        <w:rPr>
          <w:lang w:val="en-US"/>
        </w:rPr>
        <w:t>ceraunica</w:t>
      </w:r>
      <w:proofErr w:type="spellEnd"/>
      <w:r w:rsidRPr="00EE7A62">
        <w:rPr>
          <w:lang w:val="en-US"/>
        </w:rPr>
        <w:t xml:space="preserve"> density for Italy. Available at: </w:t>
      </w:r>
      <w:r>
        <w:rPr>
          <w:lang w:val="en-US"/>
        </w:rPr>
        <w:t>https://prodis.ceinorme.it/home.html</w:t>
      </w:r>
    </w:p>
    <w:p w14:paraId="6087D999" w14:textId="77777777" w:rsidR="00847709" w:rsidRPr="00A352D2" w:rsidRDefault="00847709" w:rsidP="00023DE7">
      <w:pPr>
        <w:pStyle w:val="CETReferencetext"/>
        <w:rPr>
          <w:lang w:val="en-US"/>
        </w:rPr>
      </w:pPr>
      <w:r w:rsidRPr="00523B59">
        <w:rPr>
          <w:lang w:val="en-US"/>
        </w:rPr>
        <w:t>Centers for Disease Control and Prevention: National Center for Environmental Health: Lightning Strike Victim Data</w:t>
      </w:r>
      <w:r>
        <w:rPr>
          <w:lang w:val="en-US"/>
        </w:rPr>
        <w:t xml:space="preserve"> (2022)</w:t>
      </w:r>
      <w:r w:rsidRPr="00A352D2">
        <w:rPr>
          <w:lang w:val="en-US"/>
        </w:rPr>
        <w:t>.</w:t>
      </w:r>
      <w:r>
        <w:rPr>
          <w:lang w:val="en-US"/>
        </w:rPr>
        <w:t xml:space="preserve"> </w:t>
      </w:r>
      <w:r w:rsidRPr="00A352D2">
        <w:rPr>
          <w:lang w:val="en-US"/>
        </w:rPr>
        <w:t>Availa</w:t>
      </w:r>
      <w:r>
        <w:rPr>
          <w:lang w:val="en-US"/>
        </w:rPr>
        <w:t xml:space="preserve">ble at </w:t>
      </w:r>
      <w:r w:rsidRPr="00A352D2">
        <w:rPr>
          <w:lang w:val="en-US"/>
        </w:rPr>
        <w:t>https://www.cdc.gov/lightning/data-research/index.html</w:t>
      </w:r>
      <w:r>
        <w:rPr>
          <w:lang w:val="en-US"/>
        </w:rPr>
        <w:t>.</w:t>
      </w:r>
      <w:r w:rsidRPr="00A352D2">
        <w:rPr>
          <w:lang w:val="en-US"/>
        </w:rPr>
        <w:t xml:space="preserve"> </w:t>
      </w:r>
      <w:r>
        <w:rPr>
          <w:lang w:val="en-US"/>
        </w:rPr>
        <w:t>Consulted on</w:t>
      </w:r>
      <w:r w:rsidRPr="00523B59">
        <w:rPr>
          <w:lang w:val="en-US"/>
        </w:rPr>
        <w:t xml:space="preserve"> </w:t>
      </w:r>
      <w:r>
        <w:rPr>
          <w:lang w:val="en-US"/>
        </w:rPr>
        <w:t>08</w:t>
      </w:r>
      <w:r w:rsidRPr="00523B59">
        <w:rPr>
          <w:lang w:val="en-US"/>
        </w:rPr>
        <w:t>/</w:t>
      </w:r>
      <w:r>
        <w:rPr>
          <w:lang w:val="en-US"/>
        </w:rPr>
        <w:t>31/</w:t>
      </w:r>
      <w:r w:rsidRPr="00523B59">
        <w:rPr>
          <w:lang w:val="en-US"/>
        </w:rPr>
        <w:t>2024</w:t>
      </w:r>
      <w:r>
        <w:rPr>
          <w:lang w:val="en-US"/>
        </w:rPr>
        <w:t>.</w:t>
      </w:r>
    </w:p>
    <w:p w14:paraId="3BF9537A" w14:textId="7363FA4E" w:rsidR="00D16299" w:rsidRDefault="00D16299" w:rsidP="00F26085">
      <w:pPr>
        <w:pStyle w:val="CETReferencetext"/>
        <w:rPr>
          <w:lang w:val="en-US"/>
        </w:rPr>
      </w:pPr>
      <w:r w:rsidRPr="00D16299">
        <w:rPr>
          <w:lang w:val="en-US"/>
        </w:rPr>
        <w:t>European Communities, 1997. Directive 97/23/EC of the European Parliament and of the Council of 29 May 1997 on the approximation of the laws of the Member States concerning pressure equipment, Official Journal of the European Communities, L181, Vol. 40, p.1-55.</w:t>
      </w:r>
    </w:p>
    <w:p w14:paraId="3ED0AAE0" w14:textId="77777777" w:rsidR="00847709" w:rsidRDefault="00847709" w:rsidP="00847709">
      <w:pPr>
        <w:pStyle w:val="CETReferencetext"/>
        <w:rPr>
          <w:rFonts w:cs="Arial"/>
          <w:szCs w:val="24"/>
          <w:lang w:val="en-US"/>
        </w:rPr>
      </w:pPr>
      <w:proofErr w:type="spellStart"/>
      <w:r w:rsidRPr="00F23FA7">
        <w:t>Lanzoni</w:t>
      </w:r>
      <w:proofErr w:type="spellEnd"/>
      <w:r w:rsidRPr="00F23FA7">
        <w:rPr>
          <w:lang w:val="en-US"/>
        </w:rPr>
        <w:t xml:space="preserve"> J. A.</w:t>
      </w:r>
      <w:r>
        <w:rPr>
          <w:lang w:val="en-US"/>
        </w:rPr>
        <w:t>,</w:t>
      </w:r>
      <w:r w:rsidRPr="00F23FA7">
        <w:rPr>
          <w:lang w:val="en-US"/>
        </w:rPr>
        <w:t xml:space="preserve"> 2009, Improving Lightning Safety of Petroleum Storage Tanks. </w:t>
      </w:r>
      <w:r w:rsidRPr="006A031C">
        <w:rPr>
          <w:lang w:val="en-US"/>
        </w:rPr>
        <w:t>Available at</w:t>
      </w:r>
      <w:r>
        <w:rPr>
          <w:lang w:val="en-US"/>
        </w:rPr>
        <w:t>: https://www.lightningprotection.com/wp-content/uploads/2017/04/improving_lightning_safety_of</w:t>
      </w:r>
      <w:r w:rsidRPr="00F23FA7">
        <w:rPr>
          <w:lang w:val="en-US"/>
        </w:rPr>
        <w:t>_petro</w:t>
      </w:r>
      <w:r>
        <w:rPr>
          <w:lang w:val="en-US"/>
        </w:rPr>
        <w:t xml:space="preserve">leum </w:t>
      </w:r>
      <w:r w:rsidRPr="00F23FA7">
        <w:rPr>
          <w:lang w:val="en-US"/>
        </w:rPr>
        <w:t>_storage_tanks-oct_2009-lanzoni.pdf</w:t>
      </w:r>
      <w:r>
        <w:rPr>
          <w:lang w:val="en-US"/>
        </w:rPr>
        <w:t>.</w:t>
      </w:r>
    </w:p>
    <w:p w14:paraId="18804A2B" w14:textId="77777777" w:rsidR="00847709" w:rsidRDefault="00847709" w:rsidP="00023DE7">
      <w:pPr>
        <w:pStyle w:val="CETReferencetext"/>
        <w:rPr>
          <w:lang w:val="en-US"/>
        </w:rPr>
      </w:pPr>
      <w:r w:rsidRPr="00023DE7">
        <w:t>National</w:t>
      </w:r>
      <w:r w:rsidRPr="00523B59">
        <w:rPr>
          <w:lang w:val="en-US"/>
        </w:rPr>
        <w:t xml:space="preserve"> Weather Service</w:t>
      </w:r>
      <w:r>
        <w:rPr>
          <w:lang w:val="en-US"/>
        </w:rPr>
        <w:t>.</w:t>
      </w:r>
      <w:r w:rsidRPr="00523B59">
        <w:rPr>
          <w:lang w:val="en-US"/>
        </w:rPr>
        <w:t xml:space="preserve"> National Safety Program: How Dangerous is Lightning?</w:t>
      </w:r>
      <w:r>
        <w:rPr>
          <w:lang w:val="en-US"/>
        </w:rPr>
        <w:t xml:space="preserve">. Available at: </w:t>
      </w:r>
      <w:r w:rsidRPr="00EE7A62">
        <w:rPr>
          <w:lang w:val="en-US"/>
        </w:rPr>
        <w:t>https://www.weather.gov.</w:t>
      </w:r>
      <w:r w:rsidRPr="00523B59">
        <w:rPr>
          <w:lang w:val="en-US"/>
        </w:rPr>
        <w:t xml:space="preserve"> </w:t>
      </w:r>
      <w:r>
        <w:rPr>
          <w:lang w:val="en-US"/>
        </w:rPr>
        <w:t>Consulted on</w:t>
      </w:r>
      <w:r w:rsidRPr="00523B59">
        <w:rPr>
          <w:lang w:val="en-US"/>
        </w:rPr>
        <w:t xml:space="preserve"> </w:t>
      </w:r>
      <w:r>
        <w:rPr>
          <w:lang w:val="en-US"/>
        </w:rPr>
        <w:t>08</w:t>
      </w:r>
      <w:r w:rsidRPr="00523B59">
        <w:rPr>
          <w:lang w:val="en-US"/>
        </w:rPr>
        <w:t>/</w:t>
      </w:r>
      <w:r>
        <w:rPr>
          <w:lang w:val="en-US"/>
        </w:rPr>
        <w:t>31/</w:t>
      </w:r>
      <w:r w:rsidRPr="00523B59">
        <w:rPr>
          <w:lang w:val="en-US"/>
        </w:rPr>
        <w:t>2024.</w:t>
      </w:r>
    </w:p>
    <w:p w14:paraId="12E4F741" w14:textId="7A3539AF" w:rsidR="00E454AC" w:rsidRDefault="006E3E7E" w:rsidP="00F26085">
      <w:pPr>
        <w:pStyle w:val="CETReferencetext"/>
        <w:rPr>
          <w:rFonts w:cs="Arial"/>
          <w:szCs w:val="24"/>
          <w:lang w:val="en-US"/>
        </w:rPr>
      </w:pPr>
      <w:proofErr w:type="spellStart"/>
      <w:r w:rsidRPr="00DD2725">
        <w:rPr>
          <w:lang w:val="en-US"/>
        </w:rPr>
        <w:t>Necci</w:t>
      </w:r>
      <w:proofErr w:type="spellEnd"/>
      <w:r w:rsidRPr="00DD2725">
        <w:rPr>
          <w:rFonts w:cs="Arial"/>
          <w:szCs w:val="24"/>
          <w:lang w:val="en-US"/>
        </w:rPr>
        <w:t xml:space="preserve">, A., </w:t>
      </w:r>
      <w:proofErr w:type="spellStart"/>
      <w:r w:rsidR="00523B59" w:rsidRPr="00DD2725">
        <w:rPr>
          <w:rFonts w:cs="Arial"/>
          <w:szCs w:val="24"/>
          <w:lang w:val="en-US"/>
        </w:rPr>
        <w:t>Girgin</w:t>
      </w:r>
      <w:proofErr w:type="spellEnd"/>
      <w:r w:rsidR="00523B59" w:rsidRPr="00DD2725">
        <w:rPr>
          <w:rFonts w:cs="Arial"/>
          <w:szCs w:val="24"/>
          <w:lang w:val="en-US"/>
        </w:rPr>
        <w:t xml:space="preserve">, S., </w:t>
      </w:r>
      <w:proofErr w:type="spellStart"/>
      <w:r w:rsidR="00523B59" w:rsidRPr="00DD2725">
        <w:rPr>
          <w:rFonts w:cs="Arial"/>
          <w:szCs w:val="24"/>
          <w:lang w:val="en-US"/>
        </w:rPr>
        <w:t>Krausmann</w:t>
      </w:r>
      <w:proofErr w:type="spellEnd"/>
      <w:r w:rsidR="00523B59" w:rsidRPr="00DD2725">
        <w:rPr>
          <w:rFonts w:cs="Arial"/>
          <w:szCs w:val="24"/>
          <w:lang w:val="en-US"/>
        </w:rPr>
        <w:t>, E.</w:t>
      </w:r>
      <w:r w:rsidR="00F26085" w:rsidRPr="00DD2725">
        <w:rPr>
          <w:rFonts w:cs="Arial"/>
          <w:szCs w:val="24"/>
          <w:lang w:val="en-US"/>
        </w:rPr>
        <w:t>, 2018</w:t>
      </w:r>
      <w:r w:rsidR="00523B59" w:rsidRPr="00DD2725">
        <w:rPr>
          <w:rFonts w:cs="Arial"/>
          <w:szCs w:val="24"/>
          <w:lang w:val="en-US"/>
        </w:rPr>
        <w:t xml:space="preserve">. </w:t>
      </w:r>
      <w:r w:rsidRPr="006E3E7E">
        <w:rPr>
          <w:rFonts w:cs="Arial"/>
          <w:szCs w:val="24"/>
        </w:rPr>
        <w:t xml:space="preserve">Understanding </w:t>
      </w:r>
      <w:proofErr w:type="spellStart"/>
      <w:r w:rsidRPr="006E3E7E">
        <w:rPr>
          <w:rFonts w:cs="Arial"/>
          <w:szCs w:val="24"/>
        </w:rPr>
        <w:t>Natech</w:t>
      </w:r>
      <w:proofErr w:type="spellEnd"/>
      <w:r w:rsidRPr="006E3E7E">
        <w:rPr>
          <w:rFonts w:cs="Arial"/>
          <w:szCs w:val="24"/>
        </w:rPr>
        <w:t xml:space="preserve"> Risk Due to Storms –</w:t>
      </w:r>
      <w:r>
        <w:rPr>
          <w:rFonts w:cs="Arial"/>
          <w:szCs w:val="24"/>
        </w:rPr>
        <w:t xml:space="preserve"> </w:t>
      </w:r>
      <w:r w:rsidR="00F26085">
        <w:rPr>
          <w:rFonts w:cs="Arial"/>
          <w:szCs w:val="24"/>
        </w:rPr>
        <w:t xml:space="preserve">Analysis , </w:t>
      </w:r>
      <w:r w:rsidRPr="006E3E7E">
        <w:rPr>
          <w:rFonts w:cs="Arial"/>
          <w:szCs w:val="24"/>
        </w:rPr>
        <w:t xml:space="preserve">Lessons </w:t>
      </w:r>
      <w:r w:rsidR="00F26085">
        <w:rPr>
          <w:rFonts w:cs="Arial"/>
          <w:szCs w:val="24"/>
        </w:rPr>
        <w:t>Learned and Recommendations.</w:t>
      </w:r>
      <w:r w:rsidRPr="006E3E7E">
        <w:rPr>
          <w:rFonts w:cs="Arial"/>
          <w:szCs w:val="24"/>
        </w:rPr>
        <w:t xml:space="preserve"> </w:t>
      </w:r>
      <w:r w:rsidR="00F26085" w:rsidRPr="00F26085">
        <w:rPr>
          <w:rFonts w:cs="Arial"/>
          <w:szCs w:val="24"/>
        </w:rPr>
        <w:t>EUR 29507 EN, Publications Office of the European Union, Luxembourg, 2018, ISBN 978-92-79-98274-3, doi:10.2760/21366, JRC114176</w:t>
      </w:r>
      <w:r w:rsidR="00847709">
        <w:rPr>
          <w:rFonts w:cs="Arial"/>
          <w:szCs w:val="24"/>
        </w:rPr>
        <w:t>.</w:t>
      </w:r>
    </w:p>
    <w:p w14:paraId="6D4F589C" w14:textId="45B54F53" w:rsidR="00061802" w:rsidRDefault="00BE1D28" w:rsidP="00F26085">
      <w:pPr>
        <w:pStyle w:val="CETReferencetext"/>
        <w:rPr>
          <w:rFonts w:cs="Arial"/>
          <w:szCs w:val="24"/>
          <w:lang w:val="en-US"/>
        </w:rPr>
      </w:pPr>
      <w:r w:rsidRPr="00BE1D28">
        <w:rPr>
          <w:rFonts w:cs="Arial"/>
          <w:szCs w:val="24"/>
          <w:lang w:val="en-US"/>
        </w:rPr>
        <w:t>Pinto Jr</w:t>
      </w:r>
      <w:r>
        <w:rPr>
          <w:rFonts w:cs="Arial"/>
          <w:szCs w:val="24"/>
          <w:lang w:val="en-US"/>
        </w:rPr>
        <w:t xml:space="preserve">., O. , Pinto, I. and </w:t>
      </w:r>
      <w:proofErr w:type="spellStart"/>
      <w:r>
        <w:rPr>
          <w:rFonts w:cs="Arial"/>
          <w:szCs w:val="24"/>
          <w:lang w:val="en-US"/>
        </w:rPr>
        <w:t>Neto</w:t>
      </w:r>
      <w:proofErr w:type="spellEnd"/>
      <w:r>
        <w:rPr>
          <w:rFonts w:cs="Arial"/>
          <w:szCs w:val="24"/>
          <w:lang w:val="en-US"/>
        </w:rPr>
        <w:t xml:space="preserve">, O., 2013. </w:t>
      </w:r>
      <w:r w:rsidR="00061802" w:rsidRPr="00061802">
        <w:rPr>
          <w:rFonts w:cs="Arial"/>
          <w:szCs w:val="24"/>
          <w:lang w:val="en-US"/>
        </w:rPr>
        <w:t xml:space="preserve">Lightning Enhancement in the Amazon Region Due to Urban Activity. American Journal of Climate Change, 2, 270-274. </w:t>
      </w:r>
      <w:proofErr w:type="spellStart"/>
      <w:r w:rsidR="00061802" w:rsidRPr="00061802">
        <w:rPr>
          <w:rFonts w:cs="Arial"/>
          <w:szCs w:val="24"/>
          <w:lang w:val="en-US"/>
        </w:rPr>
        <w:t>doi</w:t>
      </w:r>
      <w:proofErr w:type="spellEnd"/>
      <w:r w:rsidR="00061802" w:rsidRPr="00061802">
        <w:rPr>
          <w:rFonts w:cs="Arial"/>
          <w:szCs w:val="24"/>
          <w:lang w:val="en-US"/>
        </w:rPr>
        <w:t>:</w:t>
      </w:r>
      <w:r>
        <w:rPr>
          <w:rFonts w:cs="Arial"/>
          <w:szCs w:val="24"/>
          <w:lang w:val="en-US"/>
        </w:rPr>
        <w:t xml:space="preserve"> 10.4236/ajcc.2013.24026.</w:t>
      </w:r>
    </w:p>
    <w:p w14:paraId="0397BA9E" w14:textId="11D04F18" w:rsidR="00EF5866" w:rsidRPr="00450691" w:rsidRDefault="00EF5866" w:rsidP="00F26085">
      <w:pPr>
        <w:pStyle w:val="CETReferencetext"/>
        <w:rPr>
          <w:rFonts w:cs="Arial"/>
          <w:szCs w:val="24"/>
        </w:rPr>
      </w:pPr>
      <w:r>
        <w:rPr>
          <w:rFonts w:cs="Arial"/>
          <w:szCs w:val="24"/>
        </w:rPr>
        <w:t>Price, C., and D. Rind, 1994.</w:t>
      </w:r>
      <w:r w:rsidRPr="00EF5866">
        <w:rPr>
          <w:rFonts w:cs="Arial"/>
          <w:szCs w:val="24"/>
        </w:rPr>
        <w:t xml:space="preserve"> Possible implications of global climate change on global lightning distributions and frequencies. J. </w:t>
      </w:r>
      <w:proofErr w:type="spellStart"/>
      <w:r w:rsidRPr="00EF5866">
        <w:rPr>
          <w:rFonts w:cs="Arial"/>
          <w:szCs w:val="24"/>
        </w:rPr>
        <w:t>Geophys</w:t>
      </w:r>
      <w:proofErr w:type="spellEnd"/>
      <w:r w:rsidRPr="00EF5866">
        <w:rPr>
          <w:rFonts w:cs="Arial"/>
          <w:szCs w:val="24"/>
        </w:rPr>
        <w:t>. Res., 99, 10823-10831, doi:10.1029/94JD00019.</w:t>
      </w:r>
    </w:p>
    <w:p w14:paraId="10BD771F" w14:textId="77777777" w:rsidR="00847709" w:rsidRPr="00A352D2" w:rsidRDefault="00847709" w:rsidP="00847709">
      <w:pPr>
        <w:tabs>
          <w:tab w:val="clear" w:pos="7100"/>
        </w:tabs>
        <w:spacing w:line="276" w:lineRule="auto"/>
        <w:jc w:val="left"/>
        <w:rPr>
          <w:lang w:val="en-US"/>
        </w:rPr>
      </w:pPr>
      <w:proofErr w:type="spellStart"/>
      <w:r w:rsidRPr="00A352D2">
        <w:rPr>
          <w:lang w:val="en-US"/>
        </w:rPr>
        <w:t>Runde</w:t>
      </w:r>
      <w:proofErr w:type="spellEnd"/>
      <w:r w:rsidRPr="00A352D2">
        <w:rPr>
          <w:lang w:val="en-US"/>
        </w:rPr>
        <w:t xml:space="preserve"> D.</w:t>
      </w:r>
      <w:r>
        <w:rPr>
          <w:lang w:val="en-US"/>
        </w:rPr>
        <w:t xml:space="preserve">P. </w:t>
      </w:r>
      <w:r w:rsidRPr="00A352D2">
        <w:rPr>
          <w:lang w:val="en-US"/>
        </w:rPr>
        <w:t>(2024)</w:t>
      </w:r>
      <w:r>
        <w:rPr>
          <w:lang w:val="en-US"/>
        </w:rPr>
        <w:t xml:space="preserve">. </w:t>
      </w:r>
      <w:r w:rsidRPr="00A352D2">
        <w:rPr>
          <w:lang w:val="en-US"/>
        </w:rPr>
        <w:t>Lightning injuries</w:t>
      </w:r>
      <w:r>
        <w:rPr>
          <w:lang w:val="en-US"/>
        </w:rPr>
        <w:t xml:space="preserve">. </w:t>
      </w:r>
      <w:r w:rsidRPr="00A352D2">
        <w:rPr>
          <w:lang w:val="en-US"/>
        </w:rPr>
        <w:t>Availa</w:t>
      </w:r>
      <w:r>
        <w:rPr>
          <w:lang w:val="en-US"/>
        </w:rPr>
        <w:t>ble at</w:t>
      </w:r>
      <w:r w:rsidRPr="00A352D2">
        <w:rPr>
          <w:lang w:val="en-US"/>
        </w:rPr>
        <w:t xml:space="preserve"> </w:t>
      </w:r>
      <w:hyperlink r:id="rId13" w:history="1">
        <w:r w:rsidRPr="00A352D2">
          <w:rPr>
            <w:lang w:val="en-US"/>
          </w:rPr>
          <w:t>https://www.msdmanuals.com/</w:t>
        </w:r>
      </w:hyperlink>
      <w:r w:rsidRPr="00A352D2">
        <w:rPr>
          <w:lang w:val="en-US"/>
        </w:rPr>
        <w:t xml:space="preserve">. </w:t>
      </w:r>
      <w:r>
        <w:rPr>
          <w:lang w:val="en-US"/>
        </w:rPr>
        <w:t>Consulted on</w:t>
      </w:r>
      <w:r w:rsidRPr="00523B59">
        <w:rPr>
          <w:lang w:val="en-US"/>
        </w:rPr>
        <w:t xml:space="preserve"> </w:t>
      </w:r>
      <w:r>
        <w:rPr>
          <w:lang w:val="en-US"/>
        </w:rPr>
        <w:t>09</w:t>
      </w:r>
      <w:r w:rsidRPr="00523B59">
        <w:rPr>
          <w:lang w:val="en-US"/>
        </w:rPr>
        <w:t>/</w:t>
      </w:r>
      <w:r>
        <w:rPr>
          <w:lang w:val="en-US"/>
        </w:rPr>
        <w:t>15/</w:t>
      </w:r>
      <w:r w:rsidRPr="00523B59">
        <w:rPr>
          <w:lang w:val="en-US"/>
        </w:rPr>
        <w:t>2024</w:t>
      </w:r>
      <w:r>
        <w:rPr>
          <w:lang w:val="en-US"/>
        </w:rPr>
        <w:t>.</w:t>
      </w:r>
    </w:p>
    <w:p w14:paraId="6BF76474" w14:textId="1051DEF5" w:rsidR="00615031" w:rsidRPr="006A031C" w:rsidRDefault="00F26085" w:rsidP="006A031C">
      <w:pPr>
        <w:pStyle w:val="CETReferencetext"/>
        <w:rPr>
          <w:lang w:val="en-US"/>
        </w:rPr>
      </w:pPr>
      <w:r w:rsidRPr="006A031C">
        <w:t>2021</w:t>
      </w:r>
      <w:r w:rsidRPr="00F26085">
        <w:rPr>
          <w:lang w:val="en-US"/>
        </w:rPr>
        <w:t xml:space="preserve"> U.S. Lightning Report</w:t>
      </w:r>
      <w:r w:rsidR="00615031" w:rsidRPr="00F26085">
        <w:rPr>
          <w:lang w:val="en-US"/>
        </w:rPr>
        <w:t xml:space="preserve">, </w:t>
      </w:r>
      <w:r>
        <w:rPr>
          <w:lang w:val="en-US"/>
        </w:rPr>
        <w:t xml:space="preserve">2022. </w:t>
      </w:r>
      <w:r w:rsidR="006A031C" w:rsidRPr="00F23FA7">
        <w:rPr>
          <w:lang w:val="en-US"/>
        </w:rPr>
        <w:t>Pub</w:t>
      </w:r>
      <w:r w:rsidRPr="00F23FA7">
        <w:rPr>
          <w:lang w:val="en-US"/>
        </w:rPr>
        <w:t xml:space="preserve">lisher: Vaisala. </w:t>
      </w:r>
      <w:r w:rsidRPr="006A031C">
        <w:rPr>
          <w:lang w:val="en-US"/>
        </w:rPr>
        <w:t>A</w:t>
      </w:r>
      <w:r w:rsidR="006A031C" w:rsidRPr="006A031C">
        <w:rPr>
          <w:lang w:val="en-US"/>
        </w:rPr>
        <w:t xml:space="preserve">vailable </w:t>
      </w:r>
      <w:r w:rsidRPr="006A031C">
        <w:rPr>
          <w:lang w:val="en-US"/>
        </w:rPr>
        <w:t>at</w:t>
      </w:r>
      <w:r w:rsidR="00615031" w:rsidRPr="006A031C">
        <w:rPr>
          <w:lang w:val="en-US"/>
        </w:rPr>
        <w:t>://www.vaisala.com/sites/default/files/</w:t>
      </w:r>
      <w:r w:rsidR="006A031C" w:rsidRPr="006A031C">
        <w:rPr>
          <w:lang w:val="en-US"/>
        </w:rPr>
        <w:t xml:space="preserve"> </w:t>
      </w:r>
      <w:r w:rsidR="00615031" w:rsidRPr="006A031C">
        <w:rPr>
          <w:lang w:val="en-US"/>
        </w:rPr>
        <w:t>documents/WEA-MET-2021-Annual-Lightning-Report-B212465EN-A.pdf</w:t>
      </w:r>
      <w:r w:rsidR="00F23FA7">
        <w:rPr>
          <w:lang w:val="en-US"/>
        </w:rPr>
        <w:t>.</w:t>
      </w:r>
    </w:p>
    <w:p w14:paraId="106D9854" w14:textId="77777777" w:rsidR="00847709" w:rsidRPr="00A352D2" w:rsidRDefault="00847709">
      <w:pPr>
        <w:tabs>
          <w:tab w:val="clear" w:pos="7100"/>
        </w:tabs>
        <w:spacing w:line="276" w:lineRule="auto"/>
        <w:jc w:val="left"/>
        <w:rPr>
          <w:lang w:val="en-US"/>
        </w:rPr>
      </w:pPr>
    </w:p>
    <w:sectPr w:rsidR="00847709" w:rsidRPr="00A352D2" w:rsidSect="00A475A3">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033D2" w14:textId="77777777" w:rsidR="002F29D8" w:rsidRDefault="002F29D8" w:rsidP="004F5E36">
      <w:r>
        <w:separator/>
      </w:r>
    </w:p>
  </w:endnote>
  <w:endnote w:type="continuationSeparator" w:id="0">
    <w:p w14:paraId="65B15FB3" w14:textId="77777777" w:rsidR="002F29D8" w:rsidRDefault="002F29D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E3B01" w14:textId="77777777" w:rsidR="002F29D8" w:rsidRDefault="002F29D8" w:rsidP="004F5E36">
      <w:r>
        <w:separator/>
      </w:r>
    </w:p>
  </w:footnote>
  <w:footnote w:type="continuationSeparator" w:id="0">
    <w:p w14:paraId="5AD14D1C" w14:textId="77777777" w:rsidR="002F29D8" w:rsidRDefault="002F29D8"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A5E6E"/>
    <w:multiLevelType w:val="hybridMultilevel"/>
    <w:tmpl w:val="EB06082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nsid w:val="07EC1934"/>
    <w:multiLevelType w:val="hybridMultilevel"/>
    <w:tmpl w:val="BCCC76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BC70D82"/>
    <w:multiLevelType w:val="hybridMultilevel"/>
    <w:tmpl w:val="4FD0486C"/>
    <w:lvl w:ilvl="0" w:tplc="0410000B">
      <w:start w:val="1"/>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D7B5D1B"/>
    <w:multiLevelType w:val="hybridMultilevel"/>
    <w:tmpl w:val="A710ADB8"/>
    <w:lvl w:ilvl="0" w:tplc="CE1CBC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6D768C7"/>
    <w:multiLevelType w:val="hybridMultilevel"/>
    <w:tmpl w:val="61488CEE"/>
    <w:lvl w:ilvl="0" w:tplc="801061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9115395"/>
    <w:multiLevelType w:val="hybridMultilevel"/>
    <w:tmpl w:val="6A781C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F1D4202"/>
    <w:multiLevelType w:val="hybridMultilevel"/>
    <w:tmpl w:val="AA0E60B0"/>
    <w:lvl w:ilvl="0" w:tplc="BAD070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31D4C65"/>
    <w:multiLevelType w:val="hybridMultilevel"/>
    <w:tmpl w:val="E954C9BE"/>
    <w:lvl w:ilvl="0" w:tplc="0410000B">
      <w:start w:val="1"/>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51E0394"/>
    <w:multiLevelType w:val="hybridMultilevel"/>
    <w:tmpl w:val="806658E2"/>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263492"/>
    <w:multiLevelType w:val="hybridMultilevel"/>
    <w:tmpl w:val="731EB966"/>
    <w:lvl w:ilvl="0" w:tplc="BBB8F820">
      <w:start w:val="1"/>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399E30C5"/>
    <w:multiLevelType w:val="hybridMultilevel"/>
    <w:tmpl w:val="2FF2B0BC"/>
    <w:lvl w:ilvl="0" w:tplc="6F9C0C9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4A7532BA"/>
    <w:multiLevelType w:val="hybridMultilevel"/>
    <w:tmpl w:val="A86A61DE"/>
    <w:lvl w:ilvl="0" w:tplc="7F78ABF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BC72B2B"/>
    <w:multiLevelType w:val="hybridMultilevel"/>
    <w:tmpl w:val="0D04C440"/>
    <w:lvl w:ilvl="0" w:tplc="70A04260">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53915AC"/>
    <w:multiLevelType w:val="hybridMultilevel"/>
    <w:tmpl w:val="83ACD89A"/>
    <w:lvl w:ilvl="0" w:tplc="F89047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7F20D0D"/>
    <w:multiLevelType w:val="hybridMultilevel"/>
    <w:tmpl w:val="495A8F34"/>
    <w:lvl w:ilvl="0" w:tplc="03C4F584">
      <w:start w:val="1"/>
      <w:numFmt w:val="low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34">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0628B5"/>
    <w:multiLevelType w:val="hybridMultilevel"/>
    <w:tmpl w:val="693CA736"/>
    <w:lvl w:ilvl="0" w:tplc="0410000B">
      <w:start w:val="1"/>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1255FC0"/>
    <w:multiLevelType w:val="hybridMultilevel"/>
    <w:tmpl w:val="652E1F4C"/>
    <w:lvl w:ilvl="0" w:tplc="6F9C0C9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74EF399E"/>
    <w:multiLevelType w:val="hybridMultilevel"/>
    <w:tmpl w:val="42787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F634168"/>
    <w:multiLevelType w:val="hybridMultilevel"/>
    <w:tmpl w:val="9DF664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0"/>
  </w:num>
  <w:num w:numId="14">
    <w:abstractNumId w:val="29"/>
  </w:num>
  <w:num w:numId="15">
    <w:abstractNumId w:val="34"/>
  </w:num>
  <w:num w:numId="16">
    <w:abstractNumId w:val="32"/>
  </w:num>
  <w:num w:numId="17">
    <w:abstractNumId w:val="19"/>
  </w:num>
  <w:num w:numId="18">
    <w:abstractNumId w:val="20"/>
    <w:lvlOverride w:ilvl="0">
      <w:startOverride w:val="1"/>
    </w:lvlOverride>
  </w:num>
  <w:num w:numId="19">
    <w:abstractNumId w:val="27"/>
  </w:num>
  <w:num w:numId="20">
    <w:abstractNumId w:val="26"/>
  </w:num>
  <w:num w:numId="21">
    <w:abstractNumId w:val="24"/>
  </w:num>
  <w:num w:numId="22">
    <w:abstractNumId w:val="23"/>
  </w:num>
  <w:num w:numId="23">
    <w:abstractNumId w:val="10"/>
  </w:num>
  <w:num w:numId="24">
    <w:abstractNumId w:val="33"/>
  </w:num>
  <w:num w:numId="25">
    <w:abstractNumId w:val="22"/>
  </w:num>
  <w:num w:numId="26">
    <w:abstractNumId w:val="11"/>
  </w:num>
  <w:num w:numId="27">
    <w:abstractNumId w:val="38"/>
  </w:num>
  <w:num w:numId="28">
    <w:abstractNumId w:val="12"/>
  </w:num>
  <w:num w:numId="29">
    <w:abstractNumId w:val="35"/>
  </w:num>
  <w:num w:numId="30">
    <w:abstractNumId w:val="17"/>
  </w:num>
  <w:num w:numId="31">
    <w:abstractNumId w:val="21"/>
  </w:num>
  <w:num w:numId="32">
    <w:abstractNumId w:val="25"/>
  </w:num>
  <w:num w:numId="33">
    <w:abstractNumId w:val="14"/>
  </w:num>
  <w:num w:numId="34">
    <w:abstractNumId w:val="31"/>
  </w:num>
  <w:num w:numId="35">
    <w:abstractNumId w:val="13"/>
  </w:num>
  <w:num w:numId="36">
    <w:abstractNumId w:val="16"/>
  </w:num>
  <w:num w:numId="37">
    <w:abstractNumId w:val="37"/>
  </w:num>
  <w:num w:numId="38">
    <w:abstractNumId w:val="15"/>
  </w:num>
  <w:num w:numId="39">
    <w:abstractNumId w:val="36"/>
  </w:num>
  <w:num w:numId="40">
    <w:abstractNumId w:val="1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395"/>
    <w:rsid w:val="00005A19"/>
    <w:rsid w:val="000117CB"/>
    <w:rsid w:val="00013447"/>
    <w:rsid w:val="00020AB7"/>
    <w:rsid w:val="0002271C"/>
    <w:rsid w:val="000236E9"/>
    <w:rsid w:val="00023DE7"/>
    <w:rsid w:val="000246B2"/>
    <w:rsid w:val="0003148D"/>
    <w:rsid w:val="00031E21"/>
    <w:rsid w:val="00031EEC"/>
    <w:rsid w:val="00033AA3"/>
    <w:rsid w:val="000379DD"/>
    <w:rsid w:val="000506E3"/>
    <w:rsid w:val="0005097D"/>
    <w:rsid w:val="00051566"/>
    <w:rsid w:val="000529E3"/>
    <w:rsid w:val="00054288"/>
    <w:rsid w:val="000562A9"/>
    <w:rsid w:val="00061184"/>
    <w:rsid w:val="00061802"/>
    <w:rsid w:val="00062A9A"/>
    <w:rsid w:val="00065058"/>
    <w:rsid w:val="00065C3C"/>
    <w:rsid w:val="000670CE"/>
    <w:rsid w:val="000711E4"/>
    <w:rsid w:val="00073614"/>
    <w:rsid w:val="00074101"/>
    <w:rsid w:val="00074D3E"/>
    <w:rsid w:val="000759B3"/>
    <w:rsid w:val="00076D5B"/>
    <w:rsid w:val="00076DEC"/>
    <w:rsid w:val="0008204D"/>
    <w:rsid w:val="00083479"/>
    <w:rsid w:val="00083805"/>
    <w:rsid w:val="00084592"/>
    <w:rsid w:val="000847ED"/>
    <w:rsid w:val="00084F03"/>
    <w:rsid w:val="000861CF"/>
    <w:rsid w:val="00086C39"/>
    <w:rsid w:val="00090C1D"/>
    <w:rsid w:val="000924D9"/>
    <w:rsid w:val="00094354"/>
    <w:rsid w:val="000958BF"/>
    <w:rsid w:val="000967FA"/>
    <w:rsid w:val="000A03B2"/>
    <w:rsid w:val="000A227F"/>
    <w:rsid w:val="000A26E5"/>
    <w:rsid w:val="000A57B6"/>
    <w:rsid w:val="000B11D6"/>
    <w:rsid w:val="000B43DE"/>
    <w:rsid w:val="000B4C74"/>
    <w:rsid w:val="000B4F5B"/>
    <w:rsid w:val="000B5CBE"/>
    <w:rsid w:val="000B6907"/>
    <w:rsid w:val="000C1446"/>
    <w:rsid w:val="000C25D4"/>
    <w:rsid w:val="000C4265"/>
    <w:rsid w:val="000C6088"/>
    <w:rsid w:val="000D0268"/>
    <w:rsid w:val="000D1583"/>
    <w:rsid w:val="000D2DB6"/>
    <w:rsid w:val="000D34BE"/>
    <w:rsid w:val="000D5B00"/>
    <w:rsid w:val="000D6CA5"/>
    <w:rsid w:val="000E03CC"/>
    <w:rsid w:val="000E102F"/>
    <w:rsid w:val="000E36F1"/>
    <w:rsid w:val="000E3A73"/>
    <w:rsid w:val="000E414A"/>
    <w:rsid w:val="000E42AB"/>
    <w:rsid w:val="000F093C"/>
    <w:rsid w:val="000F0DD0"/>
    <w:rsid w:val="000F106A"/>
    <w:rsid w:val="000F787B"/>
    <w:rsid w:val="000F78BA"/>
    <w:rsid w:val="00101B7B"/>
    <w:rsid w:val="00113E5C"/>
    <w:rsid w:val="001161D9"/>
    <w:rsid w:val="0012091F"/>
    <w:rsid w:val="00121181"/>
    <w:rsid w:val="00126360"/>
    <w:rsid w:val="00126BC2"/>
    <w:rsid w:val="00127A62"/>
    <w:rsid w:val="001308B6"/>
    <w:rsid w:val="0013121F"/>
    <w:rsid w:val="00131FE6"/>
    <w:rsid w:val="001323AE"/>
    <w:rsid w:val="0013263F"/>
    <w:rsid w:val="001331DF"/>
    <w:rsid w:val="00134DE4"/>
    <w:rsid w:val="00136A66"/>
    <w:rsid w:val="0014034D"/>
    <w:rsid w:val="00144443"/>
    <w:rsid w:val="00144D16"/>
    <w:rsid w:val="00144E54"/>
    <w:rsid w:val="00150E59"/>
    <w:rsid w:val="00152DE3"/>
    <w:rsid w:val="00164CF9"/>
    <w:rsid w:val="00165C8F"/>
    <w:rsid w:val="001667A6"/>
    <w:rsid w:val="00166BA5"/>
    <w:rsid w:val="0017227B"/>
    <w:rsid w:val="00173D9C"/>
    <w:rsid w:val="00174847"/>
    <w:rsid w:val="001773DA"/>
    <w:rsid w:val="001800D5"/>
    <w:rsid w:val="001802D5"/>
    <w:rsid w:val="00180AE1"/>
    <w:rsid w:val="001847E1"/>
    <w:rsid w:val="00184AD6"/>
    <w:rsid w:val="001879F7"/>
    <w:rsid w:val="0019014E"/>
    <w:rsid w:val="001913D7"/>
    <w:rsid w:val="00193A73"/>
    <w:rsid w:val="00194160"/>
    <w:rsid w:val="00195DE5"/>
    <w:rsid w:val="00197F52"/>
    <w:rsid w:val="001A1C11"/>
    <w:rsid w:val="001A300C"/>
    <w:rsid w:val="001A4AF7"/>
    <w:rsid w:val="001A5682"/>
    <w:rsid w:val="001A68CC"/>
    <w:rsid w:val="001A7276"/>
    <w:rsid w:val="001B0349"/>
    <w:rsid w:val="001B09D0"/>
    <w:rsid w:val="001B0E05"/>
    <w:rsid w:val="001B1E93"/>
    <w:rsid w:val="001B31A8"/>
    <w:rsid w:val="001B4FEC"/>
    <w:rsid w:val="001B60C7"/>
    <w:rsid w:val="001B65C1"/>
    <w:rsid w:val="001C0BB4"/>
    <w:rsid w:val="001C45F8"/>
    <w:rsid w:val="001C684B"/>
    <w:rsid w:val="001C75F1"/>
    <w:rsid w:val="001D00DA"/>
    <w:rsid w:val="001D0810"/>
    <w:rsid w:val="001D0CFB"/>
    <w:rsid w:val="001D12D3"/>
    <w:rsid w:val="001D21AF"/>
    <w:rsid w:val="001D3338"/>
    <w:rsid w:val="001D53FC"/>
    <w:rsid w:val="001D566E"/>
    <w:rsid w:val="001E0E33"/>
    <w:rsid w:val="001E1289"/>
    <w:rsid w:val="001E14E6"/>
    <w:rsid w:val="001E223F"/>
    <w:rsid w:val="001E3830"/>
    <w:rsid w:val="001E663A"/>
    <w:rsid w:val="001E7815"/>
    <w:rsid w:val="001F42A5"/>
    <w:rsid w:val="001F605C"/>
    <w:rsid w:val="001F7B9D"/>
    <w:rsid w:val="00201C93"/>
    <w:rsid w:val="00203409"/>
    <w:rsid w:val="0021013C"/>
    <w:rsid w:val="00212EFF"/>
    <w:rsid w:val="00213858"/>
    <w:rsid w:val="002224B4"/>
    <w:rsid w:val="00224950"/>
    <w:rsid w:val="002263EE"/>
    <w:rsid w:val="00230A9A"/>
    <w:rsid w:val="00236784"/>
    <w:rsid w:val="002427AB"/>
    <w:rsid w:val="00242869"/>
    <w:rsid w:val="002428A3"/>
    <w:rsid w:val="002447EF"/>
    <w:rsid w:val="002468A1"/>
    <w:rsid w:val="00250D27"/>
    <w:rsid w:val="00251550"/>
    <w:rsid w:val="002516ED"/>
    <w:rsid w:val="00251F0B"/>
    <w:rsid w:val="002525BE"/>
    <w:rsid w:val="0026005D"/>
    <w:rsid w:val="00263B05"/>
    <w:rsid w:val="002655CA"/>
    <w:rsid w:val="00266667"/>
    <w:rsid w:val="00267DF8"/>
    <w:rsid w:val="0027221A"/>
    <w:rsid w:val="00275822"/>
    <w:rsid w:val="00275B61"/>
    <w:rsid w:val="00280FAF"/>
    <w:rsid w:val="00282656"/>
    <w:rsid w:val="002921AD"/>
    <w:rsid w:val="00296B83"/>
    <w:rsid w:val="002A2A47"/>
    <w:rsid w:val="002A404A"/>
    <w:rsid w:val="002B1D2B"/>
    <w:rsid w:val="002B2435"/>
    <w:rsid w:val="002B2A79"/>
    <w:rsid w:val="002B3AEC"/>
    <w:rsid w:val="002B4015"/>
    <w:rsid w:val="002B4306"/>
    <w:rsid w:val="002B78CE"/>
    <w:rsid w:val="002C2FB6"/>
    <w:rsid w:val="002C4E44"/>
    <w:rsid w:val="002C521B"/>
    <w:rsid w:val="002C6034"/>
    <w:rsid w:val="002C6057"/>
    <w:rsid w:val="002C6CAD"/>
    <w:rsid w:val="002C74D3"/>
    <w:rsid w:val="002D05BC"/>
    <w:rsid w:val="002D0A08"/>
    <w:rsid w:val="002D123B"/>
    <w:rsid w:val="002D1814"/>
    <w:rsid w:val="002D45AC"/>
    <w:rsid w:val="002D617C"/>
    <w:rsid w:val="002E5FA7"/>
    <w:rsid w:val="002E7F09"/>
    <w:rsid w:val="002F29D8"/>
    <w:rsid w:val="002F3309"/>
    <w:rsid w:val="002F4A3E"/>
    <w:rsid w:val="002F7846"/>
    <w:rsid w:val="003008CE"/>
    <w:rsid w:val="003009B7"/>
    <w:rsid w:val="00300E2F"/>
    <w:rsid w:val="00300E56"/>
    <w:rsid w:val="00301270"/>
    <w:rsid w:val="0030152C"/>
    <w:rsid w:val="003031C9"/>
    <w:rsid w:val="0030469C"/>
    <w:rsid w:val="003047B9"/>
    <w:rsid w:val="00304990"/>
    <w:rsid w:val="00307779"/>
    <w:rsid w:val="00310BBE"/>
    <w:rsid w:val="0031732F"/>
    <w:rsid w:val="0031777C"/>
    <w:rsid w:val="00321CA6"/>
    <w:rsid w:val="00323763"/>
    <w:rsid w:val="00323C5F"/>
    <w:rsid w:val="00323CF3"/>
    <w:rsid w:val="003242CA"/>
    <w:rsid w:val="003248ED"/>
    <w:rsid w:val="00324EA8"/>
    <w:rsid w:val="003272AE"/>
    <w:rsid w:val="003321AB"/>
    <w:rsid w:val="003338C1"/>
    <w:rsid w:val="00334C09"/>
    <w:rsid w:val="003372C5"/>
    <w:rsid w:val="00340F8E"/>
    <w:rsid w:val="0035002E"/>
    <w:rsid w:val="00354DA5"/>
    <w:rsid w:val="00357C7E"/>
    <w:rsid w:val="00361C9E"/>
    <w:rsid w:val="00362E57"/>
    <w:rsid w:val="00364125"/>
    <w:rsid w:val="00367E4C"/>
    <w:rsid w:val="00371085"/>
    <w:rsid w:val="003723D4"/>
    <w:rsid w:val="00373694"/>
    <w:rsid w:val="00374724"/>
    <w:rsid w:val="00380182"/>
    <w:rsid w:val="0038037B"/>
    <w:rsid w:val="003807E6"/>
    <w:rsid w:val="00381905"/>
    <w:rsid w:val="00381B69"/>
    <w:rsid w:val="00382D26"/>
    <w:rsid w:val="00383DE6"/>
    <w:rsid w:val="00384CC8"/>
    <w:rsid w:val="0038584F"/>
    <w:rsid w:val="00385DA3"/>
    <w:rsid w:val="003871FD"/>
    <w:rsid w:val="0038770D"/>
    <w:rsid w:val="00387EA2"/>
    <w:rsid w:val="00390286"/>
    <w:rsid w:val="00391383"/>
    <w:rsid w:val="00392385"/>
    <w:rsid w:val="00394F1B"/>
    <w:rsid w:val="00395605"/>
    <w:rsid w:val="003958B7"/>
    <w:rsid w:val="00396BB9"/>
    <w:rsid w:val="003A1E30"/>
    <w:rsid w:val="003A2829"/>
    <w:rsid w:val="003A2B32"/>
    <w:rsid w:val="003A2F33"/>
    <w:rsid w:val="003A4572"/>
    <w:rsid w:val="003A4916"/>
    <w:rsid w:val="003A5D85"/>
    <w:rsid w:val="003A72CF"/>
    <w:rsid w:val="003A7ACA"/>
    <w:rsid w:val="003A7D1C"/>
    <w:rsid w:val="003B1A66"/>
    <w:rsid w:val="003B304B"/>
    <w:rsid w:val="003B3146"/>
    <w:rsid w:val="003C019F"/>
    <w:rsid w:val="003C0B05"/>
    <w:rsid w:val="003C1847"/>
    <w:rsid w:val="003C1BA3"/>
    <w:rsid w:val="003C31FB"/>
    <w:rsid w:val="003C616F"/>
    <w:rsid w:val="003C6402"/>
    <w:rsid w:val="003D050B"/>
    <w:rsid w:val="003D3F20"/>
    <w:rsid w:val="003D556E"/>
    <w:rsid w:val="003D72C4"/>
    <w:rsid w:val="003E0E98"/>
    <w:rsid w:val="003E6314"/>
    <w:rsid w:val="003E7283"/>
    <w:rsid w:val="003F015E"/>
    <w:rsid w:val="003F24CD"/>
    <w:rsid w:val="003F4D57"/>
    <w:rsid w:val="003F6067"/>
    <w:rsid w:val="003F615F"/>
    <w:rsid w:val="00400414"/>
    <w:rsid w:val="0040259D"/>
    <w:rsid w:val="00403B29"/>
    <w:rsid w:val="00404DF3"/>
    <w:rsid w:val="004052AD"/>
    <w:rsid w:val="004062D7"/>
    <w:rsid w:val="00406E61"/>
    <w:rsid w:val="00410B33"/>
    <w:rsid w:val="00410DFD"/>
    <w:rsid w:val="004124FC"/>
    <w:rsid w:val="004137E1"/>
    <w:rsid w:val="0041446B"/>
    <w:rsid w:val="00415AC0"/>
    <w:rsid w:val="004165D6"/>
    <w:rsid w:val="00421466"/>
    <w:rsid w:val="00424491"/>
    <w:rsid w:val="004314DA"/>
    <w:rsid w:val="00433DCE"/>
    <w:rsid w:val="0044071E"/>
    <w:rsid w:val="004414B4"/>
    <w:rsid w:val="00442AF8"/>
    <w:rsid w:val="0044329C"/>
    <w:rsid w:val="00450691"/>
    <w:rsid w:val="00452AAD"/>
    <w:rsid w:val="00453E24"/>
    <w:rsid w:val="00454891"/>
    <w:rsid w:val="00457456"/>
    <w:rsid w:val="004577FE"/>
    <w:rsid w:val="00457B9C"/>
    <w:rsid w:val="0046001E"/>
    <w:rsid w:val="00460A0E"/>
    <w:rsid w:val="0046164A"/>
    <w:rsid w:val="004628D2"/>
    <w:rsid w:val="00462C35"/>
    <w:rsid w:val="00462DCD"/>
    <w:rsid w:val="004648AD"/>
    <w:rsid w:val="004649C5"/>
    <w:rsid w:val="00466544"/>
    <w:rsid w:val="004703A9"/>
    <w:rsid w:val="00471D7C"/>
    <w:rsid w:val="0047242A"/>
    <w:rsid w:val="00472CAE"/>
    <w:rsid w:val="004736B3"/>
    <w:rsid w:val="00475031"/>
    <w:rsid w:val="004760DE"/>
    <w:rsid w:val="004763D7"/>
    <w:rsid w:val="004763F6"/>
    <w:rsid w:val="00485F3A"/>
    <w:rsid w:val="00490CAE"/>
    <w:rsid w:val="00490D14"/>
    <w:rsid w:val="0049164B"/>
    <w:rsid w:val="0049243F"/>
    <w:rsid w:val="00496B14"/>
    <w:rsid w:val="004A004E"/>
    <w:rsid w:val="004A24CF"/>
    <w:rsid w:val="004A274B"/>
    <w:rsid w:val="004A3C98"/>
    <w:rsid w:val="004A5266"/>
    <w:rsid w:val="004A5763"/>
    <w:rsid w:val="004B04CA"/>
    <w:rsid w:val="004B14B7"/>
    <w:rsid w:val="004B1BE9"/>
    <w:rsid w:val="004C138E"/>
    <w:rsid w:val="004C2DBB"/>
    <w:rsid w:val="004C2E24"/>
    <w:rsid w:val="004C3D1D"/>
    <w:rsid w:val="004C3D84"/>
    <w:rsid w:val="004C471F"/>
    <w:rsid w:val="004C4C64"/>
    <w:rsid w:val="004C721B"/>
    <w:rsid w:val="004C7913"/>
    <w:rsid w:val="004D3506"/>
    <w:rsid w:val="004D55A1"/>
    <w:rsid w:val="004E0E63"/>
    <w:rsid w:val="004E1A3D"/>
    <w:rsid w:val="004E2AF1"/>
    <w:rsid w:val="004E4DD6"/>
    <w:rsid w:val="004E6D99"/>
    <w:rsid w:val="004F2218"/>
    <w:rsid w:val="004F3EC2"/>
    <w:rsid w:val="004F5E36"/>
    <w:rsid w:val="0050008A"/>
    <w:rsid w:val="005017A6"/>
    <w:rsid w:val="00502365"/>
    <w:rsid w:val="00503F03"/>
    <w:rsid w:val="00507B47"/>
    <w:rsid w:val="00507BEF"/>
    <w:rsid w:val="00507CC9"/>
    <w:rsid w:val="005119A5"/>
    <w:rsid w:val="005155B7"/>
    <w:rsid w:val="00520028"/>
    <w:rsid w:val="005221FC"/>
    <w:rsid w:val="005227C0"/>
    <w:rsid w:val="00523B59"/>
    <w:rsid w:val="005278B7"/>
    <w:rsid w:val="00530F93"/>
    <w:rsid w:val="00532016"/>
    <w:rsid w:val="00533445"/>
    <w:rsid w:val="005346C8"/>
    <w:rsid w:val="00543E7D"/>
    <w:rsid w:val="005462C3"/>
    <w:rsid w:val="00547755"/>
    <w:rsid w:val="00547A68"/>
    <w:rsid w:val="00551558"/>
    <w:rsid w:val="005516EB"/>
    <w:rsid w:val="005521D4"/>
    <w:rsid w:val="00552F3C"/>
    <w:rsid w:val="005530DA"/>
    <w:rsid w:val="005531C9"/>
    <w:rsid w:val="00557E00"/>
    <w:rsid w:val="00566FC0"/>
    <w:rsid w:val="00570C43"/>
    <w:rsid w:val="00575C9F"/>
    <w:rsid w:val="00581FAB"/>
    <w:rsid w:val="005823CE"/>
    <w:rsid w:val="005843E4"/>
    <w:rsid w:val="005857AD"/>
    <w:rsid w:val="005874F9"/>
    <w:rsid w:val="00590301"/>
    <w:rsid w:val="005909FA"/>
    <w:rsid w:val="0059124B"/>
    <w:rsid w:val="0059292E"/>
    <w:rsid w:val="00592991"/>
    <w:rsid w:val="0059347B"/>
    <w:rsid w:val="00594B71"/>
    <w:rsid w:val="00595823"/>
    <w:rsid w:val="00596EBF"/>
    <w:rsid w:val="005A4262"/>
    <w:rsid w:val="005A77EB"/>
    <w:rsid w:val="005B0474"/>
    <w:rsid w:val="005B190B"/>
    <w:rsid w:val="005B2110"/>
    <w:rsid w:val="005B61E6"/>
    <w:rsid w:val="005B64D8"/>
    <w:rsid w:val="005C77E1"/>
    <w:rsid w:val="005D55B8"/>
    <w:rsid w:val="005D5EF3"/>
    <w:rsid w:val="005D668A"/>
    <w:rsid w:val="005D6A2F"/>
    <w:rsid w:val="005D7099"/>
    <w:rsid w:val="005E0284"/>
    <w:rsid w:val="005E1A82"/>
    <w:rsid w:val="005E5544"/>
    <w:rsid w:val="005E794C"/>
    <w:rsid w:val="005E7979"/>
    <w:rsid w:val="005F0A28"/>
    <w:rsid w:val="005F0D2E"/>
    <w:rsid w:val="005F0E5E"/>
    <w:rsid w:val="005F4144"/>
    <w:rsid w:val="005F5FEF"/>
    <w:rsid w:val="00600535"/>
    <w:rsid w:val="0060168F"/>
    <w:rsid w:val="00602CDC"/>
    <w:rsid w:val="00603875"/>
    <w:rsid w:val="006054F0"/>
    <w:rsid w:val="00605974"/>
    <w:rsid w:val="00605C23"/>
    <w:rsid w:val="00606392"/>
    <w:rsid w:val="00610CD6"/>
    <w:rsid w:val="006125CD"/>
    <w:rsid w:val="00612F8E"/>
    <w:rsid w:val="00615031"/>
    <w:rsid w:val="00615FAD"/>
    <w:rsid w:val="0061605C"/>
    <w:rsid w:val="006164DD"/>
    <w:rsid w:val="0061660E"/>
    <w:rsid w:val="00617981"/>
    <w:rsid w:val="00620DEE"/>
    <w:rsid w:val="00621F92"/>
    <w:rsid w:val="00622340"/>
    <w:rsid w:val="0062280A"/>
    <w:rsid w:val="006233F6"/>
    <w:rsid w:val="00623717"/>
    <w:rsid w:val="006250D3"/>
    <w:rsid w:val="00625639"/>
    <w:rsid w:val="00625A13"/>
    <w:rsid w:val="00631B33"/>
    <w:rsid w:val="00636430"/>
    <w:rsid w:val="0064184D"/>
    <w:rsid w:val="00641AF7"/>
    <w:rsid w:val="006422CC"/>
    <w:rsid w:val="00644488"/>
    <w:rsid w:val="006444D9"/>
    <w:rsid w:val="00645483"/>
    <w:rsid w:val="006457C6"/>
    <w:rsid w:val="00650FDA"/>
    <w:rsid w:val="00651730"/>
    <w:rsid w:val="00653485"/>
    <w:rsid w:val="0065396B"/>
    <w:rsid w:val="00653979"/>
    <w:rsid w:val="00654C4A"/>
    <w:rsid w:val="006551B4"/>
    <w:rsid w:val="00657256"/>
    <w:rsid w:val="006606E9"/>
    <w:rsid w:val="00660E3E"/>
    <w:rsid w:val="00662E74"/>
    <w:rsid w:val="006664DE"/>
    <w:rsid w:val="00667E9A"/>
    <w:rsid w:val="00675690"/>
    <w:rsid w:val="00677849"/>
    <w:rsid w:val="006779DE"/>
    <w:rsid w:val="00680C23"/>
    <w:rsid w:val="00681B01"/>
    <w:rsid w:val="00684FEB"/>
    <w:rsid w:val="0069176A"/>
    <w:rsid w:val="00693766"/>
    <w:rsid w:val="00693D47"/>
    <w:rsid w:val="00697B19"/>
    <w:rsid w:val="006A031C"/>
    <w:rsid w:val="006A11A9"/>
    <w:rsid w:val="006A3281"/>
    <w:rsid w:val="006A35B8"/>
    <w:rsid w:val="006A7374"/>
    <w:rsid w:val="006B05C1"/>
    <w:rsid w:val="006B0854"/>
    <w:rsid w:val="006B191A"/>
    <w:rsid w:val="006B23B6"/>
    <w:rsid w:val="006B4888"/>
    <w:rsid w:val="006B4ADB"/>
    <w:rsid w:val="006B7C76"/>
    <w:rsid w:val="006B7DA8"/>
    <w:rsid w:val="006C086E"/>
    <w:rsid w:val="006C2E45"/>
    <w:rsid w:val="006C359C"/>
    <w:rsid w:val="006C4723"/>
    <w:rsid w:val="006C5579"/>
    <w:rsid w:val="006C65FB"/>
    <w:rsid w:val="006D1664"/>
    <w:rsid w:val="006D414E"/>
    <w:rsid w:val="006D4DFA"/>
    <w:rsid w:val="006D6E8B"/>
    <w:rsid w:val="006E214B"/>
    <w:rsid w:val="006E357A"/>
    <w:rsid w:val="006E397E"/>
    <w:rsid w:val="006E3E7E"/>
    <w:rsid w:val="006E48FE"/>
    <w:rsid w:val="006E5A9E"/>
    <w:rsid w:val="006E737D"/>
    <w:rsid w:val="006F0CA2"/>
    <w:rsid w:val="006F18F0"/>
    <w:rsid w:val="006F3175"/>
    <w:rsid w:val="006F53E5"/>
    <w:rsid w:val="00701E46"/>
    <w:rsid w:val="00702441"/>
    <w:rsid w:val="00704835"/>
    <w:rsid w:val="007049A8"/>
    <w:rsid w:val="00705CE2"/>
    <w:rsid w:val="00707DD1"/>
    <w:rsid w:val="00711AC2"/>
    <w:rsid w:val="007135F2"/>
    <w:rsid w:val="00713973"/>
    <w:rsid w:val="00714343"/>
    <w:rsid w:val="007171D2"/>
    <w:rsid w:val="00717C4C"/>
    <w:rsid w:val="00720A24"/>
    <w:rsid w:val="00721177"/>
    <w:rsid w:val="00732386"/>
    <w:rsid w:val="0073514D"/>
    <w:rsid w:val="0073746E"/>
    <w:rsid w:val="00740049"/>
    <w:rsid w:val="007447F3"/>
    <w:rsid w:val="00744A0A"/>
    <w:rsid w:val="007460D0"/>
    <w:rsid w:val="00746EE0"/>
    <w:rsid w:val="007502AD"/>
    <w:rsid w:val="0075078F"/>
    <w:rsid w:val="007524A2"/>
    <w:rsid w:val="0075499F"/>
    <w:rsid w:val="007576B1"/>
    <w:rsid w:val="0075776D"/>
    <w:rsid w:val="00764931"/>
    <w:rsid w:val="007661C8"/>
    <w:rsid w:val="007667EB"/>
    <w:rsid w:val="00766ACA"/>
    <w:rsid w:val="00770973"/>
    <w:rsid w:val="0077098D"/>
    <w:rsid w:val="00771390"/>
    <w:rsid w:val="00772012"/>
    <w:rsid w:val="00772A52"/>
    <w:rsid w:val="007741DA"/>
    <w:rsid w:val="0077502E"/>
    <w:rsid w:val="00782597"/>
    <w:rsid w:val="0078380D"/>
    <w:rsid w:val="007841DA"/>
    <w:rsid w:val="007931FA"/>
    <w:rsid w:val="00797579"/>
    <w:rsid w:val="007A4861"/>
    <w:rsid w:val="007A4AD0"/>
    <w:rsid w:val="007A54F7"/>
    <w:rsid w:val="007A5957"/>
    <w:rsid w:val="007A7625"/>
    <w:rsid w:val="007A7BBA"/>
    <w:rsid w:val="007B0C50"/>
    <w:rsid w:val="007B292F"/>
    <w:rsid w:val="007B34E1"/>
    <w:rsid w:val="007B48F9"/>
    <w:rsid w:val="007B4D56"/>
    <w:rsid w:val="007B59A2"/>
    <w:rsid w:val="007B625D"/>
    <w:rsid w:val="007B70F8"/>
    <w:rsid w:val="007B730E"/>
    <w:rsid w:val="007C1A43"/>
    <w:rsid w:val="007C2809"/>
    <w:rsid w:val="007C3A32"/>
    <w:rsid w:val="007D0951"/>
    <w:rsid w:val="007D0E4F"/>
    <w:rsid w:val="007D1A70"/>
    <w:rsid w:val="007D3B9E"/>
    <w:rsid w:val="007D5786"/>
    <w:rsid w:val="007E1A0B"/>
    <w:rsid w:val="007E3703"/>
    <w:rsid w:val="007E45D9"/>
    <w:rsid w:val="007E70AE"/>
    <w:rsid w:val="007F1857"/>
    <w:rsid w:val="007F2F15"/>
    <w:rsid w:val="007F3263"/>
    <w:rsid w:val="007F40EE"/>
    <w:rsid w:val="007F470C"/>
    <w:rsid w:val="007F75A0"/>
    <w:rsid w:val="007F7E5E"/>
    <w:rsid w:val="0080013E"/>
    <w:rsid w:val="00802A56"/>
    <w:rsid w:val="008055B7"/>
    <w:rsid w:val="00807EDC"/>
    <w:rsid w:val="00813288"/>
    <w:rsid w:val="00815CB9"/>
    <w:rsid w:val="008168FC"/>
    <w:rsid w:val="00817CD1"/>
    <w:rsid w:val="00822DC7"/>
    <w:rsid w:val="008253DC"/>
    <w:rsid w:val="00825618"/>
    <w:rsid w:val="00825C88"/>
    <w:rsid w:val="00826AB1"/>
    <w:rsid w:val="008274C3"/>
    <w:rsid w:val="00827BF8"/>
    <w:rsid w:val="00830996"/>
    <w:rsid w:val="00832D37"/>
    <w:rsid w:val="008345F1"/>
    <w:rsid w:val="008376A5"/>
    <w:rsid w:val="008377A3"/>
    <w:rsid w:val="00841AB1"/>
    <w:rsid w:val="00845E05"/>
    <w:rsid w:val="00847709"/>
    <w:rsid w:val="00853CA5"/>
    <w:rsid w:val="008548A4"/>
    <w:rsid w:val="00861CE5"/>
    <w:rsid w:val="00865B07"/>
    <w:rsid w:val="008667EA"/>
    <w:rsid w:val="00870391"/>
    <w:rsid w:val="00872341"/>
    <w:rsid w:val="00874B67"/>
    <w:rsid w:val="0087637F"/>
    <w:rsid w:val="00882DA4"/>
    <w:rsid w:val="008859BE"/>
    <w:rsid w:val="00887662"/>
    <w:rsid w:val="008927B3"/>
    <w:rsid w:val="00892AD5"/>
    <w:rsid w:val="00893E81"/>
    <w:rsid w:val="00894273"/>
    <w:rsid w:val="00894CEF"/>
    <w:rsid w:val="008A1512"/>
    <w:rsid w:val="008A168B"/>
    <w:rsid w:val="008A2D80"/>
    <w:rsid w:val="008A61F4"/>
    <w:rsid w:val="008A7B1D"/>
    <w:rsid w:val="008B006E"/>
    <w:rsid w:val="008B0D4D"/>
    <w:rsid w:val="008B24CC"/>
    <w:rsid w:val="008B3211"/>
    <w:rsid w:val="008B4A67"/>
    <w:rsid w:val="008B5346"/>
    <w:rsid w:val="008B5BA1"/>
    <w:rsid w:val="008B62E9"/>
    <w:rsid w:val="008C1BB2"/>
    <w:rsid w:val="008C1DF0"/>
    <w:rsid w:val="008C298E"/>
    <w:rsid w:val="008C4DF6"/>
    <w:rsid w:val="008C4E4F"/>
    <w:rsid w:val="008C7726"/>
    <w:rsid w:val="008C7F58"/>
    <w:rsid w:val="008D1665"/>
    <w:rsid w:val="008D32B9"/>
    <w:rsid w:val="008D3499"/>
    <w:rsid w:val="008D433B"/>
    <w:rsid w:val="008D4A16"/>
    <w:rsid w:val="008D59E0"/>
    <w:rsid w:val="008D6D99"/>
    <w:rsid w:val="008D75EF"/>
    <w:rsid w:val="008D79A7"/>
    <w:rsid w:val="008E566E"/>
    <w:rsid w:val="008E71BB"/>
    <w:rsid w:val="00900E1E"/>
    <w:rsid w:val="0090161A"/>
    <w:rsid w:val="0090175B"/>
    <w:rsid w:val="00901CA2"/>
    <w:rsid w:val="00901EB6"/>
    <w:rsid w:val="00902208"/>
    <w:rsid w:val="0090339C"/>
    <w:rsid w:val="00904C62"/>
    <w:rsid w:val="00907009"/>
    <w:rsid w:val="00910C7C"/>
    <w:rsid w:val="00920C19"/>
    <w:rsid w:val="00922BA8"/>
    <w:rsid w:val="00924DAC"/>
    <w:rsid w:val="00927058"/>
    <w:rsid w:val="0092735A"/>
    <w:rsid w:val="00931630"/>
    <w:rsid w:val="0093186F"/>
    <w:rsid w:val="009364B1"/>
    <w:rsid w:val="00937440"/>
    <w:rsid w:val="00940301"/>
    <w:rsid w:val="009423B1"/>
    <w:rsid w:val="00942750"/>
    <w:rsid w:val="00943574"/>
    <w:rsid w:val="009450CE"/>
    <w:rsid w:val="009459BB"/>
    <w:rsid w:val="00947179"/>
    <w:rsid w:val="00950932"/>
    <w:rsid w:val="009513A3"/>
    <w:rsid w:val="0095164B"/>
    <w:rsid w:val="00954090"/>
    <w:rsid w:val="00955EE1"/>
    <w:rsid w:val="009573E7"/>
    <w:rsid w:val="009604CE"/>
    <w:rsid w:val="00963C4E"/>
    <w:rsid w:val="00963E05"/>
    <w:rsid w:val="00964A45"/>
    <w:rsid w:val="00967843"/>
    <w:rsid w:val="00967BB6"/>
    <w:rsid w:val="00967D54"/>
    <w:rsid w:val="00970D9C"/>
    <w:rsid w:val="00971028"/>
    <w:rsid w:val="009723C9"/>
    <w:rsid w:val="0097380A"/>
    <w:rsid w:val="00974724"/>
    <w:rsid w:val="00974A25"/>
    <w:rsid w:val="00975D0B"/>
    <w:rsid w:val="00977E62"/>
    <w:rsid w:val="0098048F"/>
    <w:rsid w:val="00981136"/>
    <w:rsid w:val="0098439C"/>
    <w:rsid w:val="00987248"/>
    <w:rsid w:val="009910B8"/>
    <w:rsid w:val="00991B57"/>
    <w:rsid w:val="00993A09"/>
    <w:rsid w:val="00993B84"/>
    <w:rsid w:val="00994491"/>
    <w:rsid w:val="00995B47"/>
    <w:rsid w:val="009962F6"/>
    <w:rsid w:val="00996483"/>
    <w:rsid w:val="00996F5A"/>
    <w:rsid w:val="009A1306"/>
    <w:rsid w:val="009A5119"/>
    <w:rsid w:val="009A7C04"/>
    <w:rsid w:val="009B041A"/>
    <w:rsid w:val="009B209B"/>
    <w:rsid w:val="009B584A"/>
    <w:rsid w:val="009B60BF"/>
    <w:rsid w:val="009C0FA1"/>
    <w:rsid w:val="009C2F2E"/>
    <w:rsid w:val="009C37C3"/>
    <w:rsid w:val="009C7C86"/>
    <w:rsid w:val="009D0101"/>
    <w:rsid w:val="009D103F"/>
    <w:rsid w:val="009D2FF7"/>
    <w:rsid w:val="009D7E41"/>
    <w:rsid w:val="009E10E5"/>
    <w:rsid w:val="009E207F"/>
    <w:rsid w:val="009E42FA"/>
    <w:rsid w:val="009E49B2"/>
    <w:rsid w:val="009E7884"/>
    <w:rsid w:val="009E788A"/>
    <w:rsid w:val="009E7E0C"/>
    <w:rsid w:val="009F0E08"/>
    <w:rsid w:val="009F5120"/>
    <w:rsid w:val="00A0150D"/>
    <w:rsid w:val="00A0193C"/>
    <w:rsid w:val="00A05B2A"/>
    <w:rsid w:val="00A0676B"/>
    <w:rsid w:val="00A1537E"/>
    <w:rsid w:val="00A158FE"/>
    <w:rsid w:val="00A15EF5"/>
    <w:rsid w:val="00A16909"/>
    <w:rsid w:val="00A1763D"/>
    <w:rsid w:val="00A17CEC"/>
    <w:rsid w:val="00A24E86"/>
    <w:rsid w:val="00A2748F"/>
    <w:rsid w:val="00A27DF6"/>
    <w:rsid w:val="00A27EF0"/>
    <w:rsid w:val="00A352D2"/>
    <w:rsid w:val="00A35FAC"/>
    <w:rsid w:val="00A37E66"/>
    <w:rsid w:val="00A42361"/>
    <w:rsid w:val="00A475A3"/>
    <w:rsid w:val="00A50B20"/>
    <w:rsid w:val="00A51390"/>
    <w:rsid w:val="00A519E6"/>
    <w:rsid w:val="00A52303"/>
    <w:rsid w:val="00A56BC8"/>
    <w:rsid w:val="00A5706C"/>
    <w:rsid w:val="00A60D13"/>
    <w:rsid w:val="00A61C16"/>
    <w:rsid w:val="00A65CE5"/>
    <w:rsid w:val="00A66BB9"/>
    <w:rsid w:val="00A70FB6"/>
    <w:rsid w:val="00A7223D"/>
    <w:rsid w:val="00A72745"/>
    <w:rsid w:val="00A743BB"/>
    <w:rsid w:val="00A759DC"/>
    <w:rsid w:val="00A75A4A"/>
    <w:rsid w:val="00A75C8A"/>
    <w:rsid w:val="00A76EFC"/>
    <w:rsid w:val="00A83E26"/>
    <w:rsid w:val="00A87D50"/>
    <w:rsid w:val="00A91010"/>
    <w:rsid w:val="00A93077"/>
    <w:rsid w:val="00A9505F"/>
    <w:rsid w:val="00A95C7D"/>
    <w:rsid w:val="00A97398"/>
    <w:rsid w:val="00A97F29"/>
    <w:rsid w:val="00AA702E"/>
    <w:rsid w:val="00AA7D26"/>
    <w:rsid w:val="00AB0964"/>
    <w:rsid w:val="00AB154D"/>
    <w:rsid w:val="00AB1645"/>
    <w:rsid w:val="00AB302D"/>
    <w:rsid w:val="00AB5011"/>
    <w:rsid w:val="00AB594E"/>
    <w:rsid w:val="00AB694B"/>
    <w:rsid w:val="00AC02AC"/>
    <w:rsid w:val="00AC3AD6"/>
    <w:rsid w:val="00AC5CD0"/>
    <w:rsid w:val="00AC7368"/>
    <w:rsid w:val="00AC7A55"/>
    <w:rsid w:val="00AD0E1B"/>
    <w:rsid w:val="00AD1133"/>
    <w:rsid w:val="00AD16B9"/>
    <w:rsid w:val="00AD269B"/>
    <w:rsid w:val="00AD4FE6"/>
    <w:rsid w:val="00AE1DEC"/>
    <w:rsid w:val="00AE2D69"/>
    <w:rsid w:val="00AE343C"/>
    <w:rsid w:val="00AE377D"/>
    <w:rsid w:val="00AF084C"/>
    <w:rsid w:val="00AF0EBA"/>
    <w:rsid w:val="00AF2E4C"/>
    <w:rsid w:val="00AF4290"/>
    <w:rsid w:val="00AF7C3C"/>
    <w:rsid w:val="00B02BD9"/>
    <w:rsid w:val="00B02C8A"/>
    <w:rsid w:val="00B03269"/>
    <w:rsid w:val="00B03E06"/>
    <w:rsid w:val="00B04D78"/>
    <w:rsid w:val="00B066CF"/>
    <w:rsid w:val="00B073EB"/>
    <w:rsid w:val="00B10309"/>
    <w:rsid w:val="00B14848"/>
    <w:rsid w:val="00B17FBD"/>
    <w:rsid w:val="00B202C5"/>
    <w:rsid w:val="00B24B97"/>
    <w:rsid w:val="00B31208"/>
    <w:rsid w:val="00B315A6"/>
    <w:rsid w:val="00B31813"/>
    <w:rsid w:val="00B320BD"/>
    <w:rsid w:val="00B32C55"/>
    <w:rsid w:val="00B33365"/>
    <w:rsid w:val="00B3366A"/>
    <w:rsid w:val="00B35844"/>
    <w:rsid w:val="00B36A6A"/>
    <w:rsid w:val="00B372DA"/>
    <w:rsid w:val="00B4091D"/>
    <w:rsid w:val="00B43D16"/>
    <w:rsid w:val="00B45C73"/>
    <w:rsid w:val="00B46782"/>
    <w:rsid w:val="00B503A9"/>
    <w:rsid w:val="00B5051A"/>
    <w:rsid w:val="00B52FB3"/>
    <w:rsid w:val="00B55347"/>
    <w:rsid w:val="00B55C8D"/>
    <w:rsid w:val="00B57B36"/>
    <w:rsid w:val="00B57E6F"/>
    <w:rsid w:val="00B607BF"/>
    <w:rsid w:val="00B6228D"/>
    <w:rsid w:val="00B627E9"/>
    <w:rsid w:val="00B62B1D"/>
    <w:rsid w:val="00B63475"/>
    <w:rsid w:val="00B72F5B"/>
    <w:rsid w:val="00B814A1"/>
    <w:rsid w:val="00B850B4"/>
    <w:rsid w:val="00B85FAF"/>
    <w:rsid w:val="00B8686D"/>
    <w:rsid w:val="00B917DB"/>
    <w:rsid w:val="00B92546"/>
    <w:rsid w:val="00B926A0"/>
    <w:rsid w:val="00B93F69"/>
    <w:rsid w:val="00B949D9"/>
    <w:rsid w:val="00B95B1B"/>
    <w:rsid w:val="00B96C64"/>
    <w:rsid w:val="00B97344"/>
    <w:rsid w:val="00BA20E3"/>
    <w:rsid w:val="00BA21BB"/>
    <w:rsid w:val="00BA4303"/>
    <w:rsid w:val="00BA6207"/>
    <w:rsid w:val="00BA76EC"/>
    <w:rsid w:val="00BB1870"/>
    <w:rsid w:val="00BB1DDC"/>
    <w:rsid w:val="00BB24B7"/>
    <w:rsid w:val="00BC1CF2"/>
    <w:rsid w:val="00BC30C9"/>
    <w:rsid w:val="00BC69AA"/>
    <w:rsid w:val="00BD077D"/>
    <w:rsid w:val="00BE1D28"/>
    <w:rsid w:val="00BE3E58"/>
    <w:rsid w:val="00BE4181"/>
    <w:rsid w:val="00BE53EF"/>
    <w:rsid w:val="00BE59AA"/>
    <w:rsid w:val="00BE7DA0"/>
    <w:rsid w:val="00BF18EE"/>
    <w:rsid w:val="00BF4DA4"/>
    <w:rsid w:val="00BF704D"/>
    <w:rsid w:val="00C0114F"/>
    <w:rsid w:val="00C01530"/>
    <w:rsid w:val="00C01616"/>
    <w:rsid w:val="00C0162B"/>
    <w:rsid w:val="00C02EA7"/>
    <w:rsid w:val="00C0628C"/>
    <w:rsid w:val="00C068ED"/>
    <w:rsid w:val="00C137AA"/>
    <w:rsid w:val="00C15082"/>
    <w:rsid w:val="00C172CC"/>
    <w:rsid w:val="00C20017"/>
    <w:rsid w:val="00C2087E"/>
    <w:rsid w:val="00C2205C"/>
    <w:rsid w:val="00C22E0C"/>
    <w:rsid w:val="00C25F3B"/>
    <w:rsid w:val="00C345B1"/>
    <w:rsid w:val="00C35104"/>
    <w:rsid w:val="00C36D56"/>
    <w:rsid w:val="00C40142"/>
    <w:rsid w:val="00C40529"/>
    <w:rsid w:val="00C41A7E"/>
    <w:rsid w:val="00C4290C"/>
    <w:rsid w:val="00C44EBD"/>
    <w:rsid w:val="00C509C8"/>
    <w:rsid w:val="00C52C3C"/>
    <w:rsid w:val="00C53354"/>
    <w:rsid w:val="00C54177"/>
    <w:rsid w:val="00C546FC"/>
    <w:rsid w:val="00C548C9"/>
    <w:rsid w:val="00C5592E"/>
    <w:rsid w:val="00C57182"/>
    <w:rsid w:val="00C57863"/>
    <w:rsid w:val="00C640AF"/>
    <w:rsid w:val="00C64E11"/>
    <w:rsid w:val="00C655FD"/>
    <w:rsid w:val="00C6594F"/>
    <w:rsid w:val="00C671F1"/>
    <w:rsid w:val="00C72C51"/>
    <w:rsid w:val="00C75407"/>
    <w:rsid w:val="00C7626C"/>
    <w:rsid w:val="00C81B4C"/>
    <w:rsid w:val="00C82DEA"/>
    <w:rsid w:val="00C841C6"/>
    <w:rsid w:val="00C870A8"/>
    <w:rsid w:val="00C9395D"/>
    <w:rsid w:val="00C94434"/>
    <w:rsid w:val="00C94B02"/>
    <w:rsid w:val="00CA0D75"/>
    <w:rsid w:val="00CA103F"/>
    <w:rsid w:val="00CA1C95"/>
    <w:rsid w:val="00CA1EB4"/>
    <w:rsid w:val="00CA281A"/>
    <w:rsid w:val="00CA3702"/>
    <w:rsid w:val="00CA3C7B"/>
    <w:rsid w:val="00CA5A9C"/>
    <w:rsid w:val="00CB6479"/>
    <w:rsid w:val="00CC1FEA"/>
    <w:rsid w:val="00CC2F44"/>
    <w:rsid w:val="00CC306F"/>
    <w:rsid w:val="00CC333E"/>
    <w:rsid w:val="00CC4C20"/>
    <w:rsid w:val="00CC700B"/>
    <w:rsid w:val="00CD0A51"/>
    <w:rsid w:val="00CD3517"/>
    <w:rsid w:val="00CD5FE2"/>
    <w:rsid w:val="00CD6F3A"/>
    <w:rsid w:val="00CE063C"/>
    <w:rsid w:val="00CE40FA"/>
    <w:rsid w:val="00CE5B24"/>
    <w:rsid w:val="00CE7C68"/>
    <w:rsid w:val="00CF096A"/>
    <w:rsid w:val="00CF128A"/>
    <w:rsid w:val="00CF1735"/>
    <w:rsid w:val="00CF6094"/>
    <w:rsid w:val="00CF7603"/>
    <w:rsid w:val="00D02617"/>
    <w:rsid w:val="00D02B4C"/>
    <w:rsid w:val="00D040C4"/>
    <w:rsid w:val="00D040FE"/>
    <w:rsid w:val="00D04827"/>
    <w:rsid w:val="00D05118"/>
    <w:rsid w:val="00D05594"/>
    <w:rsid w:val="00D0617E"/>
    <w:rsid w:val="00D079AC"/>
    <w:rsid w:val="00D118D6"/>
    <w:rsid w:val="00D11F61"/>
    <w:rsid w:val="00D14914"/>
    <w:rsid w:val="00D16299"/>
    <w:rsid w:val="00D20AD1"/>
    <w:rsid w:val="00D225DD"/>
    <w:rsid w:val="00D229A6"/>
    <w:rsid w:val="00D22B00"/>
    <w:rsid w:val="00D2582C"/>
    <w:rsid w:val="00D27A51"/>
    <w:rsid w:val="00D30A24"/>
    <w:rsid w:val="00D30D62"/>
    <w:rsid w:val="00D31030"/>
    <w:rsid w:val="00D3351B"/>
    <w:rsid w:val="00D3372F"/>
    <w:rsid w:val="00D35056"/>
    <w:rsid w:val="00D3765B"/>
    <w:rsid w:val="00D377B3"/>
    <w:rsid w:val="00D407E0"/>
    <w:rsid w:val="00D408C2"/>
    <w:rsid w:val="00D44D50"/>
    <w:rsid w:val="00D46B7E"/>
    <w:rsid w:val="00D53779"/>
    <w:rsid w:val="00D553A0"/>
    <w:rsid w:val="00D57C84"/>
    <w:rsid w:val="00D6057D"/>
    <w:rsid w:val="00D60587"/>
    <w:rsid w:val="00D6325C"/>
    <w:rsid w:val="00D634A7"/>
    <w:rsid w:val="00D66D62"/>
    <w:rsid w:val="00D66DF9"/>
    <w:rsid w:val="00D67584"/>
    <w:rsid w:val="00D71640"/>
    <w:rsid w:val="00D8091A"/>
    <w:rsid w:val="00D81420"/>
    <w:rsid w:val="00D82692"/>
    <w:rsid w:val="00D836C5"/>
    <w:rsid w:val="00D84576"/>
    <w:rsid w:val="00D84736"/>
    <w:rsid w:val="00D855EA"/>
    <w:rsid w:val="00D85B35"/>
    <w:rsid w:val="00D862A6"/>
    <w:rsid w:val="00D87104"/>
    <w:rsid w:val="00D90FA3"/>
    <w:rsid w:val="00DA06F5"/>
    <w:rsid w:val="00DA1399"/>
    <w:rsid w:val="00DA15D6"/>
    <w:rsid w:val="00DA24C6"/>
    <w:rsid w:val="00DA3CCE"/>
    <w:rsid w:val="00DA4D7B"/>
    <w:rsid w:val="00DA6047"/>
    <w:rsid w:val="00DA7381"/>
    <w:rsid w:val="00DB0104"/>
    <w:rsid w:val="00DB08AB"/>
    <w:rsid w:val="00DB51F3"/>
    <w:rsid w:val="00DB5983"/>
    <w:rsid w:val="00DC09B3"/>
    <w:rsid w:val="00DC3295"/>
    <w:rsid w:val="00DC4B10"/>
    <w:rsid w:val="00DC6735"/>
    <w:rsid w:val="00DC6A39"/>
    <w:rsid w:val="00DD271C"/>
    <w:rsid w:val="00DD2725"/>
    <w:rsid w:val="00DD2963"/>
    <w:rsid w:val="00DD68DC"/>
    <w:rsid w:val="00DD718A"/>
    <w:rsid w:val="00DE052C"/>
    <w:rsid w:val="00DE1343"/>
    <w:rsid w:val="00DE264A"/>
    <w:rsid w:val="00DE4B61"/>
    <w:rsid w:val="00DF093B"/>
    <w:rsid w:val="00DF2F47"/>
    <w:rsid w:val="00DF5072"/>
    <w:rsid w:val="00DF5498"/>
    <w:rsid w:val="00E02273"/>
    <w:rsid w:val="00E024E8"/>
    <w:rsid w:val="00E02D18"/>
    <w:rsid w:val="00E03185"/>
    <w:rsid w:val="00E03E67"/>
    <w:rsid w:val="00E041E7"/>
    <w:rsid w:val="00E042ED"/>
    <w:rsid w:val="00E138AF"/>
    <w:rsid w:val="00E14A1F"/>
    <w:rsid w:val="00E15F77"/>
    <w:rsid w:val="00E200B6"/>
    <w:rsid w:val="00E20AB6"/>
    <w:rsid w:val="00E21997"/>
    <w:rsid w:val="00E23CA1"/>
    <w:rsid w:val="00E30291"/>
    <w:rsid w:val="00E3199A"/>
    <w:rsid w:val="00E31D3B"/>
    <w:rsid w:val="00E34FC0"/>
    <w:rsid w:val="00E365A6"/>
    <w:rsid w:val="00E409A8"/>
    <w:rsid w:val="00E454AC"/>
    <w:rsid w:val="00E45CE6"/>
    <w:rsid w:val="00E46205"/>
    <w:rsid w:val="00E50C12"/>
    <w:rsid w:val="00E50E67"/>
    <w:rsid w:val="00E5302A"/>
    <w:rsid w:val="00E5391E"/>
    <w:rsid w:val="00E578C9"/>
    <w:rsid w:val="00E57D21"/>
    <w:rsid w:val="00E6041B"/>
    <w:rsid w:val="00E62673"/>
    <w:rsid w:val="00E627DC"/>
    <w:rsid w:val="00E64490"/>
    <w:rsid w:val="00E65B91"/>
    <w:rsid w:val="00E71776"/>
    <w:rsid w:val="00E71988"/>
    <w:rsid w:val="00E7209D"/>
    <w:rsid w:val="00E72EAD"/>
    <w:rsid w:val="00E73CAE"/>
    <w:rsid w:val="00E74E4E"/>
    <w:rsid w:val="00E77223"/>
    <w:rsid w:val="00E776C1"/>
    <w:rsid w:val="00E8072A"/>
    <w:rsid w:val="00E8148F"/>
    <w:rsid w:val="00E81AC4"/>
    <w:rsid w:val="00E827D7"/>
    <w:rsid w:val="00E827F7"/>
    <w:rsid w:val="00E83E81"/>
    <w:rsid w:val="00E84BB9"/>
    <w:rsid w:val="00E8528B"/>
    <w:rsid w:val="00E85B94"/>
    <w:rsid w:val="00E869E8"/>
    <w:rsid w:val="00E87313"/>
    <w:rsid w:val="00E9619E"/>
    <w:rsid w:val="00E96D7E"/>
    <w:rsid w:val="00E978D0"/>
    <w:rsid w:val="00E97A4B"/>
    <w:rsid w:val="00EA0FDA"/>
    <w:rsid w:val="00EA17AD"/>
    <w:rsid w:val="00EA4613"/>
    <w:rsid w:val="00EA7F91"/>
    <w:rsid w:val="00EB03A2"/>
    <w:rsid w:val="00EB1523"/>
    <w:rsid w:val="00EB3EE3"/>
    <w:rsid w:val="00EB7433"/>
    <w:rsid w:val="00EB7972"/>
    <w:rsid w:val="00EC0E49"/>
    <w:rsid w:val="00EC101F"/>
    <w:rsid w:val="00EC1D9F"/>
    <w:rsid w:val="00EC44D7"/>
    <w:rsid w:val="00EC7565"/>
    <w:rsid w:val="00ED2C7E"/>
    <w:rsid w:val="00ED44A8"/>
    <w:rsid w:val="00ED59A3"/>
    <w:rsid w:val="00ED5F63"/>
    <w:rsid w:val="00EE0131"/>
    <w:rsid w:val="00EE17B0"/>
    <w:rsid w:val="00EE4962"/>
    <w:rsid w:val="00EE4E4C"/>
    <w:rsid w:val="00EE57F3"/>
    <w:rsid w:val="00EE631D"/>
    <w:rsid w:val="00EE7A62"/>
    <w:rsid w:val="00EF06D9"/>
    <w:rsid w:val="00EF4E06"/>
    <w:rsid w:val="00EF500E"/>
    <w:rsid w:val="00EF5866"/>
    <w:rsid w:val="00EF737C"/>
    <w:rsid w:val="00F01988"/>
    <w:rsid w:val="00F01C69"/>
    <w:rsid w:val="00F04BF2"/>
    <w:rsid w:val="00F072ED"/>
    <w:rsid w:val="00F075F4"/>
    <w:rsid w:val="00F12205"/>
    <w:rsid w:val="00F164EA"/>
    <w:rsid w:val="00F17A49"/>
    <w:rsid w:val="00F22434"/>
    <w:rsid w:val="00F2392D"/>
    <w:rsid w:val="00F23FA7"/>
    <w:rsid w:val="00F2444E"/>
    <w:rsid w:val="00F26085"/>
    <w:rsid w:val="00F2717C"/>
    <w:rsid w:val="00F3049E"/>
    <w:rsid w:val="00F30C64"/>
    <w:rsid w:val="00F30D20"/>
    <w:rsid w:val="00F32866"/>
    <w:rsid w:val="00F32BA2"/>
    <w:rsid w:val="00F32CDB"/>
    <w:rsid w:val="00F34891"/>
    <w:rsid w:val="00F3583D"/>
    <w:rsid w:val="00F36703"/>
    <w:rsid w:val="00F439CE"/>
    <w:rsid w:val="00F45537"/>
    <w:rsid w:val="00F47235"/>
    <w:rsid w:val="00F50286"/>
    <w:rsid w:val="00F548EF"/>
    <w:rsid w:val="00F562D9"/>
    <w:rsid w:val="00F565FE"/>
    <w:rsid w:val="00F56708"/>
    <w:rsid w:val="00F57E22"/>
    <w:rsid w:val="00F57FA4"/>
    <w:rsid w:val="00F615F8"/>
    <w:rsid w:val="00F6222C"/>
    <w:rsid w:val="00F63A70"/>
    <w:rsid w:val="00F63D8C"/>
    <w:rsid w:val="00F65A7F"/>
    <w:rsid w:val="00F6625F"/>
    <w:rsid w:val="00F7160A"/>
    <w:rsid w:val="00F7534E"/>
    <w:rsid w:val="00F764FA"/>
    <w:rsid w:val="00F86E3F"/>
    <w:rsid w:val="00F90667"/>
    <w:rsid w:val="00F9091F"/>
    <w:rsid w:val="00F92439"/>
    <w:rsid w:val="00F92A4C"/>
    <w:rsid w:val="00F930EE"/>
    <w:rsid w:val="00F93EDF"/>
    <w:rsid w:val="00F93EF2"/>
    <w:rsid w:val="00F947A5"/>
    <w:rsid w:val="00F94E50"/>
    <w:rsid w:val="00FA0419"/>
    <w:rsid w:val="00FA0D0E"/>
    <w:rsid w:val="00FA1802"/>
    <w:rsid w:val="00FA21D0"/>
    <w:rsid w:val="00FA5DB2"/>
    <w:rsid w:val="00FA5F5F"/>
    <w:rsid w:val="00FA62C9"/>
    <w:rsid w:val="00FA64CF"/>
    <w:rsid w:val="00FB0B06"/>
    <w:rsid w:val="00FB730C"/>
    <w:rsid w:val="00FC15E8"/>
    <w:rsid w:val="00FC2695"/>
    <w:rsid w:val="00FC33C8"/>
    <w:rsid w:val="00FC3B05"/>
    <w:rsid w:val="00FC3E03"/>
    <w:rsid w:val="00FC3FC1"/>
    <w:rsid w:val="00FD26E2"/>
    <w:rsid w:val="00FD3261"/>
    <w:rsid w:val="00FD5848"/>
    <w:rsid w:val="00FD5E34"/>
    <w:rsid w:val="00FD772D"/>
    <w:rsid w:val="00FE0941"/>
    <w:rsid w:val="00FE0EA5"/>
    <w:rsid w:val="00FE19C4"/>
    <w:rsid w:val="00FE2316"/>
    <w:rsid w:val="00FE6280"/>
    <w:rsid w:val="00FF1F1E"/>
    <w:rsid w:val="00FF33A8"/>
    <w:rsid w:val="00FF4283"/>
    <w:rsid w:val="00FF63F2"/>
    <w:rsid w:val="00FF714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UnresolvedMention">
    <w:name w:val="Unresolved Mention"/>
    <w:basedOn w:val="Carpredefinitoparagrafo"/>
    <w:uiPriority w:val="99"/>
    <w:semiHidden/>
    <w:unhideWhenUsed/>
    <w:rsid w:val="00EE7A62"/>
    <w:rPr>
      <w:color w:val="605E5C"/>
      <w:shd w:val="clear" w:color="auto" w:fill="E1DFDD"/>
    </w:rPr>
  </w:style>
  <w:style w:type="character" w:customStyle="1" w:styleId="katex-mathml">
    <w:name w:val="katex-mathml"/>
    <w:basedOn w:val="Carpredefinitoparagrafo"/>
    <w:rsid w:val="00BE7DA0"/>
  </w:style>
  <w:style w:type="character" w:customStyle="1" w:styleId="mord">
    <w:name w:val="mord"/>
    <w:basedOn w:val="Carpredefinitoparagrafo"/>
    <w:rsid w:val="00BE7DA0"/>
  </w:style>
  <w:style w:type="character" w:customStyle="1" w:styleId="mpunct">
    <w:name w:val="mpunct"/>
    <w:basedOn w:val="Carpredefinitoparagrafo"/>
    <w:rsid w:val="00BE7DA0"/>
  </w:style>
  <w:style w:type="character" w:customStyle="1" w:styleId="vlist-s">
    <w:name w:val="vlist-s"/>
    <w:basedOn w:val="Carpredefinitoparagrafo"/>
    <w:rsid w:val="00BE7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UnresolvedMention">
    <w:name w:val="Unresolved Mention"/>
    <w:basedOn w:val="Carpredefinitoparagrafo"/>
    <w:uiPriority w:val="99"/>
    <w:semiHidden/>
    <w:unhideWhenUsed/>
    <w:rsid w:val="00EE7A62"/>
    <w:rPr>
      <w:color w:val="605E5C"/>
      <w:shd w:val="clear" w:color="auto" w:fill="E1DFDD"/>
    </w:rPr>
  </w:style>
  <w:style w:type="character" w:customStyle="1" w:styleId="katex-mathml">
    <w:name w:val="katex-mathml"/>
    <w:basedOn w:val="Carpredefinitoparagrafo"/>
    <w:rsid w:val="00BE7DA0"/>
  </w:style>
  <w:style w:type="character" w:customStyle="1" w:styleId="mord">
    <w:name w:val="mord"/>
    <w:basedOn w:val="Carpredefinitoparagrafo"/>
    <w:rsid w:val="00BE7DA0"/>
  </w:style>
  <w:style w:type="character" w:customStyle="1" w:styleId="mpunct">
    <w:name w:val="mpunct"/>
    <w:basedOn w:val="Carpredefinitoparagrafo"/>
    <w:rsid w:val="00BE7DA0"/>
  </w:style>
  <w:style w:type="character" w:customStyle="1" w:styleId="vlist-s">
    <w:name w:val="vlist-s"/>
    <w:basedOn w:val="Carpredefinitoparagrafo"/>
    <w:rsid w:val="00BE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32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sdmanual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327A8-7536-40F0-B146-B069A202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3397</Words>
  <Characters>19363</Characters>
  <Application>Microsoft Office Word</Application>
  <DocSecurity>0</DocSecurity>
  <Lines>161</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Pc-Gio</cp:lastModifiedBy>
  <cp:revision>10</cp:revision>
  <cp:lastPrinted>2024-11-15T21:28:00Z</cp:lastPrinted>
  <dcterms:created xsi:type="dcterms:W3CDTF">2025-01-09T14:38:00Z</dcterms:created>
  <dcterms:modified xsi:type="dcterms:W3CDTF">2025-01-09T15:22:00Z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