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A873D" w14:textId="21C00F53" w:rsidR="00D06121" w:rsidRPr="00D06121" w:rsidRDefault="00D06121" w:rsidP="00591C6C">
      <w:pPr>
        <w:pStyle w:val="BOAAuthors"/>
        <w:rPr>
          <w:rFonts w:eastAsia="MS PGothic"/>
          <w:noProof w:val="0"/>
          <w:sz w:val="32"/>
          <w:lang w:val="en-US"/>
        </w:rPr>
      </w:pPr>
      <w:r w:rsidRPr="00D06121">
        <w:rPr>
          <w:rFonts w:eastAsia="MS PGothic"/>
          <w:noProof w:val="0"/>
          <w:sz w:val="32"/>
          <w:lang w:val="en-US"/>
        </w:rPr>
        <w:t>Explosion and Ignition behavior of NH</w:t>
      </w:r>
      <w:r w:rsidRPr="00D06121">
        <w:rPr>
          <w:rFonts w:eastAsia="MS PGothic"/>
          <w:noProof w:val="0"/>
          <w:sz w:val="32"/>
          <w:vertAlign w:val="subscript"/>
          <w:lang w:val="en-US"/>
        </w:rPr>
        <w:t>3</w:t>
      </w:r>
      <w:r w:rsidRPr="00D06121">
        <w:rPr>
          <w:rFonts w:eastAsia="MS PGothic"/>
          <w:noProof w:val="0"/>
          <w:sz w:val="32"/>
          <w:lang w:val="en-US"/>
        </w:rPr>
        <w:t>/H</w:t>
      </w:r>
      <w:r w:rsidRPr="00D06121">
        <w:rPr>
          <w:rFonts w:eastAsia="MS PGothic"/>
          <w:noProof w:val="0"/>
          <w:sz w:val="32"/>
          <w:vertAlign w:val="subscript"/>
          <w:lang w:val="en-US"/>
        </w:rPr>
        <w:t>2</w:t>
      </w:r>
      <w:r w:rsidRPr="00D06121">
        <w:rPr>
          <w:rFonts w:eastAsia="MS PGothic"/>
          <w:noProof w:val="0"/>
          <w:sz w:val="32"/>
          <w:lang w:val="en-US"/>
        </w:rPr>
        <w:t xml:space="preserve"> mixtures in the</w:t>
      </w:r>
    </w:p>
    <w:p w14:paraId="67FF4DC9" w14:textId="758F40EC" w:rsidR="00D06121" w:rsidRPr="00213C43" w:rsidRDefault="00D06121" w:rsidP="00591C6C">
      <w:pPr>
        <w:pStyle w:val="BOAAuthors"/>
        <w:rPr>
          <w:rFonts w:eastAsia="MS PGothic"/>
          <w:noProof w:val="0"/>
          <w:sz w:val="32"/>
          <w:lang w:val="de-DE"/>
        </w:rPr>
      </w:pPr>
      <w:r w:rsidRPr="00213C43">
        <w:rPr>
          <w:rFonts w:eastAsia="MS PGothic"/>
          <w:noProof w:val="0"/>
          <w:sz w:val="32"/>
          <w:lang w:val="de-DE"/>
        </w:rPr>
        <w:t>20-liter sphere</w:t>
      </w:r>
    </w:p>
    <w:p w14:paraId="29E2E91E" w14:textId="6A782C22" w:rsidR="005C1A57" w:rsidRPr="00213C43" w:rsidRDefault="00D06121" w:rsidP="00591C6C">
      <w:pPr>
        <w:pStyle w:val="BOAAuthors"/>
        <w:rPr>
          <w:rFonts w:eastAsia="MS PGothic"/>
          <w:lang w:val="de-DE"/>
        </w:rPr>
      </w:pPr>
      <w:r w:rsidRPr="00213C43">
        <w:rPr>
          <w:rFonts w:eastAsia="SimSun"/>
          <w:lang w:val="de-DE"/>
        </w:rPr>
        <w:t>Dieter Gabel 1</w:t>
      </w:r>
      <w:r w:rsidR="005C1A57" w:rsidRPr="00213C43">
        <w:rPr>
          <w:rFonts w:eastAsia="SimSun"/>
          <w:lang w:val="de-DE"/>
        </w:rPr>
        <w:t>*</w:t>
      </w:r>
      <w:r w:rsidRPr="00213C43">
        <w:rPr>
          <w:rFonts w:eastAsia="SimSun"/>
          <w:lang w:val="de-DE"/>
        </w:rPr>
        <w:t>, Ulrich Krause1</w:t>
      </w:r>
    </w:p>
    <w:p w14:paraId="0115F7AC" w14:textId="317635EC" w:rsidR="005C1A57" w:rsidRPr="00D06121" w:rsidRDefault="005C1A57" w:rsidP="00591C6C">
      <w:pPr>
        <w:pStyle w:val="BOAAddress"/>
        <w:rPr>
          <w:rFonts w:eastAsia="MS PGothic"/>
          <w:i w:val="0"/>
          <w:lang w:val="en-US"/>
        </w:rPr>
      </w:pPr>
      <w:r w:rsidRPr="00D06121">
        <w:rPr>
          <w:rFonts w:eastAsia="MS PGothic"/>
          <w:lang w:val="en-US"/>
        </w:rPr>
        <w:t xml:space="preserve">1 </w:t>
      </w:r>
      <w:r w:rsidR="00D06121" w:rsidRPr="00D06121">
        <w:rPr>
          <w:rFonts w:eastAsia="MS PGothic"/>
          <w:lang w:val="en-US"/>
        </w:rPr>
        <w:t xml:space="preserve">Otto-von-Guericke University, Magdeburg, Germany </w:t>
      </w:r>
    </w:p>
    <w:p w14:paraId="42CB37CF" w14:textId="580A755D" w:rsidR="005C1A57" w:rsidRPr="00D06121" w:rsidRDefault="005C1A57" w:rsidP="00591C6C">
      <w:pPr>
        <w:pStyle w:val="BOAemail"/>
        <w:rPr>
          <w:rFonts w:eastAsia="MS PGothic"/>
          <w:lang w:val="en-US"/>
        </w:rPr>
      </w:pPr>
      <w:r w:rsidRPr="00D06121">
        <w:rPr>
          <w:rFonts w:eastAsia="MS PGothic"/>
          <w:lang w:val="en-US"/>
        </w:rPr>
        <w:t>*Corresponding author</w:t>
      </w:r>
      <w:r w:rsidRPr="00D06121">
        <w:rPr>
          <w:rFonts w:eastAsia="MS PGothic"/>
          <w:lang w:val="en-US" w:eastAsia="ko-KR"/>
        </w:rPr>
        <w:t xml:space="preserve"> E-Mail: </w:t>
      </w:r>
      <w:r w:rsidRPr="00D06121">
        <w:rPr>
          <w:rFonts w:eastAsia="MS PGothic"/>
          <w:lang w:val="en-US"/>
        </w:rPr>
        <w:t xml:space="preserve"> </w:t>
      </w:r>
      <w:r w:rsidR="00D06121">
        <w:rPr>
          <w:rFonts w:eastAsia="MS PGothic"/>
          <w:lang w:val="en-US"/>
        </w:rPr>
        <w:t>dieter.gabel</w:t>
      </w:r>
      <w:r w:rsidRPr="00D06121">
        <w:rPr>
          <w:rFonts w:eastAsia="MS PGothic"/>
          <w:lang w:val="en-US"/>
        </w:rPr>
        <w:t>@</w:t>
      </w:r>
      <w:r w:rsidR="00D06121">
        <w:rPr>
          <w:rFonts w:eastAsia="MS PGothic"/>
          <w:lang w:val="en-US"/>
        </w:rPr>
        <w:t>ovgu</w:t>
      </w:r>
      <w:r w:rsidRPr="00D06121">
        <w:rPr>
          <w:rFonts w:eastAsia="MS PGothic"/>
          <w:lang w:val="en-US"/>
        </w:rPr>
        <w:t>.</w:t>
      </w:r>
      <w:r w:rsidR="00D06121">
        <w:rPr>
          <w:rFonts w:eastAsia="MS PGothic"/>
          <w:lang w:val="en-US"/>
        </w:rPr>
        <w:t>de</w:t>
      </w:r>
    </w:p>
    <w:p w14:paraId="7D788354" w14:textId="77777777" w:rsidR="005C1A57" w:rsidRPr="00D06121" w:rsidRDefault="005C1A57" w:rsidP="00F879FE">
      <w:pPr>
        <w:pStyle w:val="BOAHeading"/>
      </w:pPr>
      <w:r w:rsidRPr="00D06121">
        <w:t>1. Introduction</w:t>
      </w:r>
    </w:p>
    <w:p w14:paraId="1B12E046" w14:textId="77777777" w:rsidR="002B42A9" w:rsidRPr="002B42A9" w:rsidRDefault="002B42A9" w:rsidP="002B42A9">
      <w:pPr>
        <w:pStyle w:val="BOAAbstractBody"/>
        <w:rPr>
          <w:rFonts w:eastAsia="MS PGothic"/>
        </w:rPr>
      </w:pPr>
      <w:r w:rsidRPr="002B42A9">
        <w:rPr>
          <w:rFonts w:eastAsia="MS PGothic"/>
        </w:rPr>
        <w:t>Ammonia is one of the possible future energy carriers for transporting (green) hydrogen or it will be used as fuel directly. In both cases mixtures of NH3 and H2 in air can occur during normal operation or accidental release. To ensure the uphold of the explosion protection principles the explosion and ignition behavior of such mixtures need to be known.</w:t>
      </w:r>
    </w:p>
    <w:p w14:paraId="3E3292DB" w14:textId="77777777" w:rsidR="002B42A9" w:rsidRPr="002B42A9" w:rsidRDefault="002B42A9" w:rsidP="002B42A9">
      <w:pPr>
        <w:pStyle w:val="BOAAbstractBody"/>
        <w:rPr>
          <w:rFonts w:eastAsia="MS PGothic"/>
        </w:rPr>
      </w:pPr>
      <w:r w:rsidRPr="002B42A9">
        <w:rPr>
          <w:rFonts w:eastAsia="MS PGothic"/>
        </w:rPr>
        <w:t>In this ongoing project the ignition limits and explosions characteristics of mixtures of Ammonia and Hydrogen in air are systematically determined in the 20-l-sphere. Unlike the standard procedure (DIN EN 1839) all measurements were conducted in a closed vessel, recording the time sequence of the pressure rise. Besides the ignition limits, the maximum explosion pressure and the pressure rise velocity are determined for the complete explosion range.</w:t>
      </w:r>
    </w:p>
    <w:p w14:paraId="3538A297" w14:textId="77777777" w:rsidR="002B42A9" w:rsidRPr="002B42A9" w:rsidRDefault="002B42A9" w:rsidP="002B42A9">
      <w:pPr>
        <w:pStyle w:val="BOAAbstractBody"/>
        <w:rPr>
          <w:rFonts w:eastAsia="MS PGothic"/>
        </w:rPr>
      </w:pPr>
      <w:r w:rsidRPr="002B42A9">
        <w:rPr>
          <w:rFonts w:eastAsia="MS PGothic"/>
        </w:rPr>
        <w:t>The advantage of the closed setup is that in all cases a release of Ammonia into the environment can be avoided. Therefore, the operation procedure was adapted in a way that mixtures that could not be ignited were forced to react in a second step. This is possible by either adding additional fuel or Oxygen (air) and force an ignition before releasing the exhaust gases.</w:t>
      </w:r>
    </w:p>
    <w:p w14:paraId="7FFAC85E" w14:textId="0C3D7893" w:rsidR="007B56B7" w:rsidRPr="00D06121" w:rsidRDefault="002B42A9" w:rsidP="007B56B7">
      <w:pPr>
        <w:pStyle w:val="BOAAbstractBody"/>
        <w:rPr>
          <w:rFonts w:eastAsia="MS PGothic"/>
          <w:bCs/>
        </w:rPr>
      </w:pPr>
      <w:r w:rsidRPr="002B42A9">
        <w:rPr>
          <w:rFonts w:eastAsia="MS PGothic"/>
        </w:rPr>
        <w:t>Furthermore, the 20-l-sphere enables to test for different conditions and ignition sources. Besides the quiescent mixture with electrical spark ignition test are conducted in turbulent mode, comparable to the dust explosion standard (DIN EN 14034). In addition, the influence of the ignition source is punctually tested by applying pyrotechnical igniters with 2 kJ and 10 kJ.</w:t>
      </w:r>
    </w:p>
    <w:p w14:paraId="13532853" w14:textId="01BAB56F" w:rsidR="005C1A57" w:rsidRPr="00D06121" w:rsidRDefault="005C1A57" w:rsidP="00F879FE">
      <w:pPr>
        <w:pStyle w:val="BOAAbstractBody"/>
        <w:rPr>
          <w:rFonts w:eastAsia="MS PGothic"/>
          <w:bCs/>
        </w:rPr>
      </w:pPr>
    </w:p>
    <w:p w14:paraId="783EC6E6" w14:textId="4543FCB5" w:rsidR="005C1A57" w:rsidRPr="00D06121" w:rsidRDefault="005C1A57" w:rsidP="00F879FE">
      <w:pPr>
        <w:pStyle w:val="BOAHeading"/>
      </w:pPr>
      <w:r w:rsidRPr="00D06121">
        <w:t xml:space="preserve">2. </w:t>
      </w:r>
      <w:r w:rsidR="002B7208">
        <w:t>Background</w:t>
      </w:r>
    </w:p>
    <w:p w14:paraId="1B616217" w14:textId="7EE2A7CB" w:rsidR="005C1A57" w:rsidRDefault="002B7208" w:rsidP="00F879FE">
      <w:pPr>
        <w:pStyle w:val="BOAAbstractBody"/>
        <w:rPr>
          <w:bCs/>
          <w:color w:val="000000"/>
          <w:szCs w:val="24"/>
        </w:rPr>
      </w:pPr>
      <w:r>
        <w:rPr>
          <w:rFonts w:eastAsia="MS PGothic"/>
        </w:rPr>
        <w:t>Whether an unintended release of a combustible gas in air leads to an ignition or not depends mostly on the concentration of that substance</w:t>
      </w:r>
      <w:r w:rsidR="005C1A57" w:rsidRPr="00D06121">
        <w:rPr>
          <w:rFonts w:eastAsia="MS PGothic"/>
        </w:rPr>
        <w:t>.</w:t>
      </w:r>
      <w:r>
        <w:rPr>
          <w:rFonts w:eastAsia="MS PGothic"/>
        </w:rPr>
        <w:t xml:space="preserve"> For gas ignition in most cases it can be assumed that a strong enough ignition source is present. The ignition region</w:t>
      </w:r>
      <w:r w:rsidR="00A81B4C">
        <w:rPr>
          <w:rFonts w:eastAsia="MS PGothic"/>
        </w:rPr>
        <w:t>s</w:t>
      </w:r>
      <w:r>
        <w:rPr>
          <w:rFonts w:eastAsia="MS PGothic"/>
        </w:rPr>
        <w:t xml:space="preserve"> of many pure gases are well known and published (</w:t>
      </w:r>
      <w:r w:rsidRPr="00F93F46">
        <w:rPr>
          <w:bCs/>
          <w:color w:val="000000"/>
          <w:szCs w:val="24"/>
        </w:rPr>
        <w:t>Molnárné</w:t>
      </w:r>
      <w:r w:rsidRPr="00467D0B">
        <w:rPr>
          <w:bCs/>
          <w:color w:val="000000"/>
          <w:szCs w:val="24"/>
        </w:rPr>
        <w:t xml:space="preserve"> </w:t>
      </w:r>
      <w:r>
        <w:rPr>
          <w:bCs/>
          <w:color w:val="000000"/>
          <w:szCs w:val="24"/>
        </w:rPr>
        <w:t>2003). To represent the dependency on the Oxygen content triangle diagrams are used as shown in Figure 1 für pure Hydrogen and Ammonia.</w:t>
      </w:r>
    </w:p>
    <w:p w14:paraId="56D16804" w14:textId="3DBBD296" w:rsidR="00A81B4C" w:rsidRDefault="00A81B4C" w:rsidP="00F879FE">
      <w:pPr>
        <w:pStyle w:val="BOAAbstractBody"/>
        <w:rPr>
          <w:bCs/>
          <w:color w:val="000000"/>
          <w:szCs w:val="24"/>
        </w:rPr>
      </w:pPr>
      <w:r>
        <w:rPr>
          <w:bCs/>
          <w:color w:val="000000"/>
          <w:szCs w:val="24"/>
        </w:rPr>
        <w:t xml:space="preserve">The availability of such data for mixtures of combustible gases is much less. Already almost a century ago explosion ranges of </w:t>
      </w:r>
      <w:r w:rsidRPr="00A81B4C">
        <w:rPr>
          <w:bCs/>
          <w:color w:val="000000"/>
          <w:szCs w:val="24"/>
        </w:rPr>
        <w:t>Ammonia/Hydrogen/Oxygen</w:t>
      </w:r>
      <w:r>
        <w:rPr>
          <w:bCs/>
          <w:color w:val="000000"/>
          <w:szCs w:val="24"/>
        </w:rPr>
        <w:t xml:space="preserve"> and </w:t>
      </w:r>
      <w:r w:rsidRPr="00467D0B">
        <w:t xml:space="preserve">Ammonia/Hydrogen/Air mixtures </w:t>
      </w:r>
      <w:r>
        <w:rPr>
          <w:bCs/>
          <w:color w:val="000000"/>
          <w:szCs w:val="24"/>
        </w:rPr>
        <w:t xml:space="preserve">were published </w:t>
      </w:r>
      <w:r w:rsidRPr="00A81B4C">
        <w:rPr>
          <w:bCs/>
          <w:color w:val="000000"/>
          <w:szCs w:val="24"/>
        </w:rPr>
        <w:t>(Jorissen,1926)</w:t>
      </w:r>
      <w:r>
        <w:rPr>
          <w:bCs/>
          <w:color w:val="000000"/>
          <w:szCs w:val="24"/>
        </w:rPr>
        <w:t xml:space="preserve">. The current project aims in renewing the findings presented in Figure 2 utilizing a standardized setup. Additionally, </w:t>
      </w:r>
      <w:r w:rsidR="00455ED8">
        <w:rPr>
          <w:bCs/>
          <w:color w:val="000000"/>
          <w:szCs w:val="24"/>
        </w:rPr>
        <w:t>the maximum explosion pressures and pressure rise velocities are determined as well to be able to judge the severity of the ignitions.</w:t>
      </w:r>
    </w:p>
    <w:p w14:paraId="3432000F" w14:textId="02A0FBAD" w:rsidR="002B7208" w:rsidRDefault="002B7208" w:rsidP="00A81B4C">
      <w:pPr>
        <w:pStyle w:val="BOAAbstractBody"/>
        <w:jc w:val="center"/>
        <w:rPr>
          <w:rFonts w:eastAsia="MS PGothic"/>
        </w:rPr>
      </w:pPr>
      <w:r w:rsidRPr="00467D0B">
        <w:rPr>
          <w:bCs/>
          <w:noProof/>
          <w:color w:val="000000"/>
          <w:szCs w:val="24"/>
        </w:rPr>
        <w:lastRenderedPageBreak/>
        <w:drawing>
          <wp:inline distT="0" distB="0" distL="0" distR="0" wp14:anchorId="74E3C07C" wp14:editId="56A697D2">
            <wp:extent cx="5579745" cy="2541826"/>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 - NH3 N2 A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2541826"/>
                    </a:xfrm>
                    <a:prstGeom prst="rect">
                      <a:avLst/>
                    </a:prstGeom>
                  </pic:spPr>
                </pic:pic>
              </a:graphicData>
            </a:graphic>
          </wp:inline>
        </w:drawing>
      </w:r>
    </w:p>
    <w:p w14:paraId="0E72CCC3" w14:textId="5F212379" w:rsidR="002B7208" w:rsidRDefault="002B7208" w:rsidP="00A81B4C">
      <w:pPr>
        <w:pStyle w:val="BOACaption"/>
      </w:pPr>
      <w:r w:rsidRPr="00D06121">
        <w:rPr>
          <w:lang w:val="en-US"/>
        </w:rPr>
        <w:t xml:space="preserve">Figure 1.  </w:t>
      </w:r>
      <w:r w:rsidRPr="00A81B4C">
        <w:rPr>
          <w:lang w:val="en-US"/>
        </w:rPr>
        <w:t>Ignition area of pure Hydrogen (left) and Ammonia</w:t>
      </w:r>
      <w:r w:rsidR="00A81B4C" w:rsidRPr="00A81B4C">
        <w:rPr>
          <w:lang w:val="en-US"/>
        </w:rPr>
        <w:t xml:space="preserve"> (right) in Air and Nitrogen (Molnárné 2003)</w:t>
      </w:r>
      <w:r w:rsidRPr="00D06121">
        <w:rPr>
          <w:lang w:val="en-US"/>
        </w:rPr>
        <w:t>.</w:t>
      </w:r>
    </w:p>
    <w:p w14:paraId="0AF41214" w14:textId="496B9947" w:rsidR="00A81B4C" w:rsidRDefault="00A81B4C" w:rsidP="00A81B4C">
      <w:pPr>
        <w:pStyle w:val="BOAAbstractBody"/>
        <w:jc w:val="center"/>
        <w:rPr>
          <w:bCs/>
          <w:color w:val="000000"/>
          <w:szCs w:val="24"/>
        </w:rPr>
      </w:pPr>
      <w:r w:rsidRPr="00467D0B">
        <w:rPr>
          <w:bCs/>
          <w:noProof/>
          <w:color w:val="000000"/>
          <w:szCs w:val="24"/>
        </w:rPr>
        <w:drawing>
          <wp:inline distT="0" distB="0" distL="0" distR="0" wp14:anchorId="3FE41807" wp14:editId="2C7A9937">
            <wp:extent cx="3859200" cy="2887200"/>
            <wp:effectExtent l="0" t="0" r="8255" b="889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9200" cy="2887200"/>
                    </a:xfrm>
                    <a:prstGeom prst="rect">
                      <a:avLst/>
                    </a:prstGeom>
                    <a:noFill/>
                    <a:ln>
                      <a:noFill/>
                    </a:ln>
                  </pic:spPr>
                </pic:pic>
              </a:graphicData>
            </a:graphic>
          </wp:inline>
        </w:drawing>
      </w:r>
    </w:p>
    <w:p w14:paraId="72B5B058" w14:textId="4517AD50" w:rsidR="00A81B4C" w:rsidRPr="00A81B4C" w:rsidRDefault="00A81B4C" w:rsidP="00A81B4C">
      <w:pPr>
        <w:pStyle w:val="BOACaption"/>
        <w:rPr>
          <w:lang w:val="en-US"/>
        </w:rPr>
      </w:pPr>
      <w:r w:rsidRPr="00D06121">
        <w:rPr>
          <w:lang w:val="en-US"/>
        </w:rPr>
        <w:t xml:space="preserve">Figure </w:t>
      </w:r>
      <w:r w:rsidRPr="00A81B4C">
        <w:rPr>
          <w:lang w:val="en-US"/>
        </w:rPr>
        <w:t>2</w:t>
      </w:r>
      <w:r w:rsidRPr="00D06121">
        <w:rPr>
          <w:lang w:val="en-US"/>
        </w:rPr>
        <w:t xml:space="preserve">.  </w:t>
      </w:r>
      <w:r w:rsidRPr="00467D0B">
        <w:rPr>
          <w:lang w:val="en-US"/>
        </w:rPr>
        <w:t>Explosions range of Ammonia/Hydrogen/Air mixtures (Jorissen,1926)</w:t>
      </w:r>
    </w:p>
    <w:p w14:paraId="5814E356" w14:textId="77777777" w:rsidR="00A81B4C" w:rsidRDefault="00A81B4C" w:rsidP="00F879FE">
      <w:pPr>
        <w:pStyle w:val="BOAAbstractBody"/>
        <w:rPr>
          <w:bCs/>
          <w:color w:val="000000"/>
          <w:szCs w:val="24"/>
        </w:rPr>
      </w:pPr>
    </w:p>
    <w:p w14:paraId="7D0FB860" w14:textId="77777777" w:rsidR="00A81B4C" w:rsidRPr="00A81B4C" w:rsidRDefault="00A81B4C" w:rsidP="00F879FE">
      <w:pPr>
        <w:pStyle w:val="BOAAbstractBody"/>
        <w:rPr>
          <w:bCs/>
          <w:color w:val="000000"/>
          <w:szCs w:val="24"/>
        </w:rPr>
      </w:pPr>
    </w:p>
    <w:p w14:paraId="21BC2B0C" w14:textId="2142436C" w:rsidR="00455ED8" w:rsidRDefault="005C1A57" w:rsidP="00F879FE">
      <w:pPr>
        <w:pStyle w:val="BOAHeading"/>
      </w:pPr>
      <w:r w:rsidRPr="00D06121">
        <w:t xml:space="preserve">3. </w:t>
      </w:r>
      <w:r w:rsidR="00455ED8">
        <w:t>Method</w:t>
      </w:r>
    </w:p>
    <w:p w14:paraId="06215596" w14:textId="7735A15F" w:rsidR="00455ED8" w:rsidRDefault="00455ED8" w:rsidP="00455ED8">
      <w:pPr>
        <w:pStyle w:val="BOAAbstractBody"/>
        <w:rPr>
          <w:rFonts w:eastAsia="MS PGothic"/>
        </w:rPr>
      </w:pPr>
      <w:r>
        <w:t xml:space="preserve">The experimental setup used is the 20 Liter sphere known from the </w:t>
      </w:r>
      <w:r w:rsidRPr="002B42A9">
        <w:rPr>
          <w:rFonts w:eastAsia="MS PGothic"/>
        </w:rPr>
        <w:t>dust explosion standard DIN EN 14034.</w:t>
      </w:r>
      <w:r>
        <w:rPr>
          <w:rFonts w:eastAsia="MS PGothic"/>
        </w:rPr>
        <w:t xml:space="preserve"> </w:t>
      </w:r>
      <w:r w:rsidR="00054AD0">
        <w:rPr>
          <w:rFonts w:eastAsia="MS PGothic"/>
        </w:rPr>
        <w:t xml:space="preserve">If used for gases the setup complies to the procedure </w:t>
      </w:r>
      <w:r w:rsidR="007A60FE">
        <w:rPr>
          <w:rFonts w:eastAsia="MS PGothic"/>
        </w:rPr>
        <w:t xml:space="preserve">B – Bomb method of the gas standard </w:t>
      </w:r>
      <w:r w:rsidR="007A60FE" w:rsidRPr="002B42A9">
        <w:rPr>
          <w:rFonts w:eastAsia="MS PGothic"/>
        </w:rPr>
        <w:t>DIN EN 1839</w:t>
      </w:r>
      <w:r w:rsidR="007A60FE">
        <w:rPr>
          <w:rFonts w:eastAsia="MS PGothic"/>
        </w:rPr>
        <w:t xml:space="preserve">. For the experiments the extensions of the dust standard for hybrid mixtures published as </w:t>
      </w:r>
      <w:r w:rsidR="007A60FE" w:rsidRPr="007A60FE">
        <w:rPr>
          <w:rFonts w:eastAsia="MS PGothic"/>
        </w:rPr>
        <w:t>DIN/TS 31018-1</w:t>
      </w:r>
      <w:r w:rsidR="007A60FE">
        <w:rPr>
          <w:rFonts w:eastAsia="MS PGothic"/>
        </w:rPr>
        <w:t>. The validity of this procedure was proven in two internati</w:t>
      </w:r>
      <w:r w:rsidR="00DC5B76">
        <w:rPr>
          <w:rFonts w:eastAsia="MS PGothic"/>
        </w:rPr>
        <w:t>onal</w:t>
      </w:r>
      <w:r w:rsidR="007A60FE">
        <w:rPr>
          <w:rFonts w:eastAsia="MS PGothic"/>
        </w:rPr>
        <w:t xml:space="preserve"> round robin test</w:t>
      </w:r>
      <w:r w:rsidR="00DC5B76">
        <w:rPr>
          <w:rFonts w:eastAsia="MS PGothic"/>
        </w:rPr>
        <w:t>s (Spitzer 2</w:t>
      </w:r>
      <w:r w:rsidR="00824DD1">
        <w:rPr>
          <w:rFonts w:eastAsia="MS PGothic"/>
        </w:rPr>
        <w:t>023</w:t>
      </w:r>
      <w:r w:rsidR="00DC5B76">
        <w:rPr>
          <w:rFonts w:eastAsia="MS PGothic"/>
        </w:rPr>
        <w:t>). The schematic of the setup is shown in Figure 3.</w:t>
      </w:r>
    </w:p>
    <w:p w14:paraId="376E29A5" w14:textId="77777777" w:rsidR="00DC5B76" w:rsidRDefault="00DC5B76" w:rsidP="00455ED8">
      <w:pPr>
        <w:pStyle w:val="BOAAbstractBody"/>
      </w:pPr>
    </w:p>
    <w:p w14:paraId="2EA71203" w14:textId="18406710" w:rsidR="00DC5B76" w:rsidRDefault="00DC5B76" w:rsidP="00455ED8">
      <w:pPr>
        <w:pStyle w:val="BOAAbstractBody"/>
      </w:pPr>
      <w:r>
        <w:rPr>
          <w:noProof/>
        </w:rPr>
        <w:drawing>
          <wp:inline distT="0" distB="0" distL="0" distR="0" wp14:anchorId="3042578D" wp14:editId="33CB34AE">
            <wp:extent cx="5579745" cy="236855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L.png"/>
                    <pic:cNvPicPr/>
                  </pic:nvPicPr>
                  <pic:blipFill>
                    <a:blip r:embed="rId10">
                      <a:extLst>
                        <a:ext uri="{28A0092B-C50C-407E-A947-70E740481C1C}">
                          <a14:useLocalDpi xmlns:a14="http://schemas.microsoft.com/office/drawing/2010/main" val="0"/>
                        </a:ext>
                      </a:extLst>
                    </a:blip>
                    <a:stretch>
                      <a:fillRect/>
                    </a:stretch>
                  </pic:blipFill>
                  <pic:spPr>
                    <a:xfrm>
                      <a:off x="0" y="0"/>
                      <a:ext cx="5579745" cy="2368550"/>
                    </a:xfrm>
                    <a:prstGeom prst="rect">
                      <a:avLst/>
                    </a:prstGeom>
                  </pic:spPr>
                </pic:pic>
              </a:graphicData>
            </a:graphic>
          </wp:inline>
        </w:drawing>
      </w:r>
    </w:p>
    <w:p w14:paraId="79BE90F3" w14:textId="7EFD40E6" w:rsidR="00DC5B76" w:rsidRDefault="00DC5B76" w:rsidP="00455ED8">
      <w:pPr>
        <w:pStyle w:val="BOAAbstractBody"/>
      </w:pPr>
    </w:p>
    <w:p w14:paraId="54AFC4F2" w14:textId="5AE90056" w:rsidR="00DC5B76" w:rsidRDefault="00DC5B76" w:rsidP="00DC5B76">
      <w:pPr>
        <w:pStyle w:val="BOACaption"/>
        <w:rPr>
          <w:lang w:val="en-US"/>
        </w:rPr>
      </w:pPr>
      <w:r w:rsidRPr="00D06121">
        <w:rPr>
          <w:lang w:val="en-US"/>
        </w:rPr>
        <w:t>Figure</w:t>
      </w:r>
      <w:r>
        <w:rPr>
          <w:lang w:val="en-US"/>
        </w:rPr>
        <w:t xml:space="preserve"> 3. </w:t>
      </w:r>
      <w:r w:rsidRPr="00DC5B76">
        <w:rPr>
          <w:lang w:val="en-US"/>
        </w:rPr>
        <w:t>Schematic diagram of the experimental setup</w:t>
      </w:r>
      <w:r>
        <w:rPr>
          <w:lang w:val="en-US"/>
        </w:rPr>
        <w:t xml:space="preserve"> with</w:t>
      </w:r>
    </w:p>
    <w:tbl>
      <w:tblPr>
        <w:tblW w:w="0" w:type="auto"/>
        <w:tblInd w:w="-108" w:type="dxa"/>
        <w:tblLayout w:type="fixed"/>
        <w:tblLook w:val="0000" w:firstRow="0" w:lastRow="0" w:firstColumn="0" w:lastColumn="0" w:noHBand="0" w:noVBand="0"/>
      </w:tblPr>
      <w:tblGrid>
        <w:gridCol w:w="670"/>
        <w:gridCol w:w="3119"/>
        <w:gridCol w:w="709"/>
        <w:gridCol w:w="4294"/>
      </w:tblGrid>
      <w:tr w:rsidR="00DC5B76" w:rsidRPr="00DC5B76" w14:paraId="5470A34E" w14:textId="77777777" w:rsidTr="00C85674">
        <w:trPr>
          <w:trHeight w:val="112"/>
        </w:trPr>
        <w:tc>
          <w:tcPr>
            <w:tcW w:w="670" w:type="dxa"/>
          </w:tcPr>
          <w:p w14:paraId="29D7D4F8"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1 </w:t>
            </w:r>
          </w:p>
        </w:tc>
        <w:tc>
          <w:tcPr>
            <w:tcW w:w="3119" w:type="dxa"/>
          </w:tcPr>
          <w:p w14:paraId="5811F340"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Valve out </w:t>
            </w:r>
          </w:p>
        </w:tc>
        <w:tc>
          <w:tcPr>
            <w:tcW w:w="709" w:type="dxa"/>
          </w:tcPr>
          <w:p w14:paraId="43ADD131"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8 </w:t>
            </w:r>
          </w:p>
        </w:tc>
        <w:tc>
          <w:tcPr>
            <w:tcW w:w="4294" w:type="dxa"/>
          </w:tcPr>
          <w:p w14:paraId="7E3F10B3"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Manual valve to ammonia source </w:t>
            </w:r>
          </w:p>
        </w:tc>
      </w:tr>
      <w:tr w:rsidR="00DC5B76" w:rsidRPr="00DC5B76" w14:paraId="792A90B3" w14:textId="77777777" w:rsidTr="00C85674">
        <w:trPr>
          <w:trHeight w:val="112"/>
        </w:trPr>
        <w:tc>
          <w:tcPr>
            <w:tcW w:w="670" w:type="dxa"/>
          </w:tcPr>
          <w:p w14:paraId="0035BFFB"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2 </w:t>
            </w:r>
          </w:p>
        </w:tc>
        <w:tc>
          <w:tcPr>
            <w:tcW w:w="3119" w:type="dxa"/>
          </w:tcPr>
          <w:p w14:paraId="2912AF17"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Pressure sensor </w:t>
            </w:r>
          </w:p>
        </w:tc>
        <w:tc>
          <w:tcPr>
            <w:tcW w:w="709" w:type="dxa"/>
          </w:tcPr>
          <w:p w14:paraId="4CD3D3F5"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9 </w:t>
            </w:r>
          </w:p>
        </w:tc>
        <w:tc>
          <w:tcPr>
            <w:tcW w:w="4294" w:type="dxa"/>
          </w:tcPr>
          <w:p w14:paraId="7577349E"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Solenoid valve to hydrogen source </w:t>
            </w:r>
          </w:p>
        </w:tc>
      </w:tr>
      <w:tr w:rsidR="00DC5B76" w:rsidRPr="00DC5B76" w14:paraId="70C6474F" w14:textId="77777777" w:rsidTr="00C85674">
        <w:trPr>
          <w:trHeight w:val="112"/>
        </w:trPr>
        <w:tc>
          <w:tcPr>
            <w:tcW w:w="670" w:type="dxa"/>
          </w:tcPr>
          <w:p w14:paraId="70FE143E"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3 </w:t>
            </w:r>
          </w:p>
        </w:tc>
        <w:tc>
          <w:tcPr>
            <w:tcW w:w="3119" w:type="dxa"/>
          </w:tcPr>
          <w:p w14:paraId="5E5B7A0B"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Ignition source </w:t>
            </w:r>
          </w:p>
        </w:tc>
        <w:tc>
          <w:tcPr>
            <w:tcW w:w="709" w:type="dxa"/>
          </w:tcPr>
          <w:p w14:paraId="7665EB02"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10 </w:t>
            </w:r>
          </w:p>
        </w:tc>
        <w:tc>
          <w:tcPr>
            <w:tcW w:w="4294" w:type="dxa"/>
          </w:tcPr>
          <w:p w14:paraId="3EF5A4F6"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Manual valve to vacuum pump </w:t>
            </w:r>
          </w:p>
        </w:tc>
      </w:tr>
      <w:tr w:rsidR="00DC5B76" w:rsidRPr="00DC5B76" w14:paraId="4C75A6A0" w14:textId="77777777" w:rsidTr="00C85674">
        <w:trPr>
          <w:trHeight w:val="112"/>
        </w:trPr>
        <w:tc>
          <w:tcPr>
            <w:tcW w:w="670" w:type="dxa"/>
          </w:tcPr>
          <w:p w14:paraId="01AA88A8"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4 </w:t>
            </w:r>
          </w:p>
        </w:tc>
        <w:tc>
          <w:tcPr>
            <w:tcW w:w="3119" w:type="dxa"/>
          </w:tcPr>
          <w:p w14:paraId="06493854"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Observation window </w:t>
            </w:r>
          </w:p>
        </w:tc>
        <w:tc>
          <w:tcPr>
            <w:tcW w:w="709" w:type="dxa"/>
          </w:tcPr>
          <w:p w14:paraId="420290D6"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11 </w:t>
            </w:r>
          </w:p>
        </w:tc>
        <w:tc>
          <w:tcPr>
            <w:tcW w:w="4294" w:type="dxa"/>
          </w:tcPr>
          <w:p w14:paraId="777B338D"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Vacuum pump </w:t>
            </w:r>
          </w:p>
        </w:tc>
      </w:tr>
      <w:tr w:rsidR="00DC5B76" w:rsidRPr="00DC5B76" w14:paraId="72197F87" w14:textId="77777777" w:rsidTr="00C85674">
        <w:trPr>
          <w:trHeight w:val="112"/>
        </w:trPr>
        <w:tc>
          <w:tcPr>
            <w:tcW w:w="670" w:type="dxa"/>
          </w:tcPr>
          <w:p w14:paraId="58863272"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5 </w:t>
            </w:r>
          </w:p>
        </w:tc>
        <w:tc>
          <w:tcPr>
            <w:tcW w:w="3119" w:type="dxa"/>
          </w:tcPr>
          <w:p w14:paraId="2F4A35F4"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Pressure sensor P1 </w:t>
            </w:r>
          </w:p>
        </w:tc>
        <w:tc>
          <w:tcPr>
            <w:tcW w:w="709" w:type="dxa"/>
          </w:tcPr>
          <w:p w14:paraId="4D0492C1"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12 </w:t>
            </w:r>
          </w:p>
        </w:tc>
        <w:tc>
          <w:tcPr>
            <w:tcW w:w="4294" w:type="dxa"/>
          </w:tcPr>
          <w:p w14:paraId="437ECA08" w14:textId="053C0625"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Solenoid valve to </w:t>
            </w:r>
            <w:r w:rsidR="00C85674" w:rsidRPr="00C85674">
              <w:rPr>
                <w:rFonts w:eastAsiaTheme="minorHAnsi" w:cs="Arial"/>
                <w:i/>
                <w:color w:val="000000"/>
                <w:sz w:val="20"/>
                <w:lang w:val="en-US"/>
              </w:rPr>
              <w:t>surrounding</w:t>
            </w:r>
            <w:r w:rsidRPr="00DC5B76">
              <w:rPr>
                <w:rFonts w:eastAsiaTheme="minorHAnsi" w:cs="Arial"/>
                <w:i/>
                <w:color w:val="000000"/>
                <w:sz w:val="20"/>
                <w:lang w:val="en-US"/>
              </w:rPr>
              <w:t xml:space="preserve"> </w:t>
            </w:r>
          </w:p>
        </w:tc>
      </w:tr>
      <w:tr w:rsidR="00DC5B76" w:rsidRPr="00DC5B76" w14:paraId="5120EB47" w14:textId="77777777" w:rsidTr="00C85674">
        <w:trPr>
          <w:trHeight w:val="303"/>
        </w:trPr>
        <w:tc>
          <w:tcPr>
            <w:tcW w:w="670" w:type="dxa"/>
          </w:tcPr>
          <w:p w14:paraId="573E4A17"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6 </w:t>
            </w:r>
          </w:p>
        </w:tc>
        <w:tc>
          <w:tcPr>
            <w:tcW w:w="3119" w:type="dxa"/>
          </w:tcPr>
          <w:p w14:paraId="0BAD2B80" w14:textId="2EB691C9" w:rsidR="00DC5B76" w:rsidRPr="00DC5B76" w:rsidRDefault="00DC5B76" w:rsidP="00C85674">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Pressure sensor P3 </w:t>
            </w:r>
          </w:p>
        </w:tc>
        <w:tc>
          <w:tcPr>
            <w:tcW w:w="709" w:type="dxa"/>
          </w:tcPr>
          <w:p w14:paraId="0D6A8A7F" w14:textId="77777777"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bCs/>
                <w:i/>
                <w:color w:val="000000"/>
                <w:sz w:val="20"/>
                <w:lang w:val="en-US"/>
              </w:rPr>
              <w:t xml:space="preserve">13 </w:t>
            </w:r>
          </w:p>
        </w:tc>
        <w:tc>
          <w:tcPr>
            <w:tcW w:w="4294" w:type="dxa"/>
          </w:tcPr>
          <w:p w14:paraId="4B4FD811" w14:textId="08DDB218" w:rsidR="00DC5B76" w:rsidRPr="00DC5B76"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Valve </w:t>
            </w:r>
            <w:r w:rsidR="00C85674" w:rsidRPr="00C85674">
              <w:rPr>
                <w:rFonts w:eastAsiaTheme="minorHAnsi" w:cs="Arial"/>
                <w:i/>
                <w:color w:val="000000"/>
                <w:sz w:val="20"/>
                <w:lang w:val="en-US"/>
              </w:rPr>
              <w:t>for flushing air</w:t>
            </w:r>
            <w:r w:rsidRPr="00DC5B76">
              <w:rPr>
                <w:rFonts w:eastAsiaTheme="minorHAnsi" w:cs="Arial"/>
                <w:i/>
                <w:color w:val="000000"/>
                <w:sz w:val="20"/>
                <w:lang w:val="en-US"/>
              </w:rPr>
              <w:t xml:space="preserve"> </w:t>
            </w:r>
          </w:p>
        </w:tc>
      </w:tr>
      <w:tr w:rsidR="00DC5B76" w:rsidRPr="00C85674" w14:paraId="2A8A7E66" w14:textId="77777777" w:rsidTr="00C85674">
        <w:trPr>
          <w:trHeight w:val="112"/>
        </w:trPr>
        <w:tc>
          <w:tcPr>
            <w:tcW w:w="670" w:type="dxa"/>
          </w:tcPr>
          <w:p w14:paraId="5737C74A" w14:textId="1E1FE0F4" w:rsidR="00DC5B76" w:rsidRPr="00C85674" w:rsidRDefault="00DC5B76" w:rsidP="00DC5B76">
            <w:pPr>
              <w:tabs>
                <w:tab w:val="clear" w:pos="7100"/>
              </w:tabs>
              <w:autoSpaceDE w:val="0"/>
              <w:autoSpaceDN w:val="0"/>
              <w:adjustRightInd w:val="0"/>
              <w:spacing w:line="240" w:lineRule="auto"/>
              <w:jc w:val="left"/>
              <w:rPr>
                <w:rFonts w:eastAsiaTheme="minorHAnsi" w:cs="Arial"/>
                <w:bCs/>
                <w:i/>
                <w:color w:val="000000"/>
                <w:sz w:val="20"/>
                <w:lang w:val="en-US"/>
              </w:rPr>
            </w:pPr>
            <w:r w:rsidRPr="00C85674">
              <w:rPr>
                <w:rFonts w:eastAsiaTheme="minorHAnsi" w:cs="Arial"/>
                <w:bCs/>
                <w:i/>
                <w:color w:val="000000"/>
                <w:sz w:val="20"/>
                <w:lang w:val="en-US"/>
              </w:rPr>
              <w:t>7</w:t>
            </w:r>
          </w:p>
        </w:tc>
        <w:tc>
          <w:tcPr>
            <w:tcW w:w="3119" w:type="dxa"/>
          </w:tcPr>
          <w:p w14:paraId="11E535E1" w14:textId="263D08ED" w:rsidR="00DC5B76" w:rsidRPr="00C85674"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r w:rsidRPr="00DC5B76">
              <w:rPr>
                <w:rFonts w:eastAsiaTheme="minorHAnsi" w:cs="Arial"/>
                <w:i/>
                <w:color w:val="000000"/>
                <w:sz w:val="20"/>
                <w:lang w:val="en-US"/>
              </w:rPr>
              <w:t xml:space="preserve">Valve in prior to chamber </w:t>
            </w:r>
          </w:p>
        </w:tc>
        <w:tc>
          <w:tcPr>
            <w:tcW w:w="709" w:type="dxa"/>
          </w:tcPr>
          <w:p w14:paraId="2150C3F8" w14:textId="77777777" w:rsidR="00DC5B76" w:rsidRPr="00C85674" w:rsidRDefault="00DC5B76" w:rsidP="00DC5B76">
            <w:pPr>
              <w:tabs>
                <w:tab w:val="clear" w:pos="7100"/>
              </w:tabs>
              <w:autoSpaceDE w:val="0"/>
              <w:autoSpaceDN w:val="0"/>
              <w:adjustRightInd w:val="0"/>
              <w:spacing w:line="240" w:lineRule="auto"/>
              <w:jc w:val="left"/>
              <w:rPr>
                <w:rFonts w:eastAsiaTheme="minorHAnsi" w:cs="Arial"/>
                <w:bCs/>
                <w:i/>
                <w:color w:val="000000"/>
                <w:sz w:val="20"/>
                <w:lang w:val="en-US"/>
              </w:rPr>
            </w:pPr>
          </w:p>
        </w:tc>
        <w:tc>
          <w:tcPr>
            <w:tcW w:w="4294" w:type="dxa"/>
          </w:tcPr>
          <w:p w14:paraId="327AC2A8" w14:textId="77777777" w:rsidR="00DC5B76" w:rsidRPr="00C85674" w:rsidRDefault="00DC5B76" w:rsidP="00DC5B76">
            <w:pPr>
              <w:tabs>
                <w:tab w:val="clear" w:pos="7100"/>
              </w:tabs>
              <w:autoSpaceDE w:val="0"/>
              <w:autoSpaceDN w:val="0"/>
              <w:adjustRightInd w:val="0"/>
              <w:spacing w:line="240" w:lineRule="auto"/>
              <w:jc w:val="left"/>
              <w:rPr>
                <w:rFonts w:eastAsiaTheme="minorHAnsi" w:cs="Arial"/>
                <w:i/>
                <w:color w:val="000000"/>
                <w:sz w:val="20"/>
                <w:lang w:val="en-US"/>
              </w:rPr>
            </w:pPr>
          </w:p>
        </w:tc>
      </w:tr>
    </w:tbl>
    <w:p w14:paraId="37BEC04E" w14:textId="77777777" w:rsidR="00DC5B76" w:rsidRPr="00DC5B76" w:rsidRDefault="00DC5B76" w:rsidP="00C85674">
      <w:pPr>
        <w:pStyle w:val="BOACaption"/>
        <w:jc w:val="both"/>
      </w:pPr>
    </w:p>
    <w:p w14:paraId="429FBAD2" w14:textId="7B47AD04" w:rsidR="00DC5B76" w:rsidRPr="00455ED8" w:rsidRDefault="00C85674" w:rsidP="00455ED8">
      <w:pPr>
        <w:pStyle w:val="BOAAbstractBody"/>
      </w:pPr>
      <w:r>
        <w:t xml:space="preserve">Additionally, the spark </w:t>
      </w:r>
      <w:r w:rsidR="00915985">
        <w:t>ignition</w:t>
      </w:r>
      <w:r>
        <w:t xml:space="preserve"> source can be replaced by the </w:t>
      </w:r>
      <w:r w:rsidR="00915985">
        <w:t>pyrotechnical</w:t>
      </w:r>
      <w:r>
        <w:t xml:space="preserve"> igniters used for dust explosions experiments. With energies of 2kJ or 10kJ the available ignition potential is much higher. This might influence the ignition boundaries as well as maximum values of </w:t>
      </w:r>
      <w:r>
        <w:rPr>
          <w:bCs/>
          <w:color w:val="000000"/>
          <w:szCs w:val="24"/>
        </w:rPr>
        <w:t>the explosion pressures and pressure rise velocities.</w:t>
      </w:r>
    </w:p>
    <w:p w14:paraId="01FCBBA4" w14:textId="66247FA8" w:rsidR="005C1A57" w:rsidRPr="00D06121" w:rsidRDefault="00455ED8" w:rsidP="00F879FE">
      <w:pPr>
        <w:pStyle w:val="BOAHeading"/>
      </w:pPr>
      <w:r>
        <w:t xml:space="preserve">4. </w:t>
      </w:r>
      <w:r w:rsidR="005C1A57" w:rsidRPr="00D06121">
        <w:t>Results and discussion</w:t>
      </w:r>
    </w:p>
    <w:p w14:paraId="57B7274B" w14:textId="3180686C" w:rsidR="005C1A57" w:rsidRPr="00D06121" w:rsidRDefault="00025A42" w:rsidP="00F879FE">
      <w:pPr>
        <w:pStyle w:val="BOAAbstractBody"/>
        <w:rPr>
          <w:rFonts w:eastAsia="MS PGothic"/>
        </w:rPr>
      </w:pPr>
      <w:r>
        <w:rPr>
          <w:rFonts w:eastAsia="MS PGothic"/>
        </w:rPr>
        <w:t>The focus of this ongoing project in the beginning was on the regions of the lower explosion limits with spark ignitions</w:t>
      </w:r>
      <w:r w:rsidR="005C1A57" w:rsidRPr="00D06121">
        <w:rPr>
          <w:rFonts w:eastAsia="MS PGothic"/>
        </w:rPr>
        <w:t>.</w:t>
      </w:r>
      <w:r>
        <w:rPr>
          <w:rFonts w:eastAsia="MS PGothic"/>
        </w:rPr>
        <w:t xml:space="preserve"> Due to safety and environmental considerations mixtures with low content of Hydrogen and Ammonia a better to handle. A procedure to consequently reignite unignited mixtures was applied before releasing the mixtures into the exhaust system.</w:t>
      </w:r>
    </w:p>
    <w:p w14:paraId="1D1EF151" w14:textId="46C052F8" w:rsidR="00F879FE" w:rsidRDefault="00025A42" w:rsidP="00F879FE">
      <w:pPr>
        <w:pStyle w:val="BOAAbstractBody"/>
        <w:rPr>
          <w:bCs/>
          <w:color w:val="000000"/>
          <w:szCs w:val="24"/>
        </w:rPr>
      </w:pPr>
      <w:r>
        <w:rPr>
          <w:rFonts w:eastAsia="MS PGothic"/>
        </w:rPr>
        <w:t>The outcome so far is represented in Figure 4. These ternary diagram</w:t>
      </w:r>
      <w:r w:rsidR="00915985">
        <w:rPr>
          <w:rFonts w:eastAsia="MS PGothic"/>
        </w:rPr>
        <w:t>s</w:t>
      </w:r>
      <w:r>
        <w:rPr>
          <w:rFonts w:eastAsia="MS PGothic"/>
        </w:rPr>
        <w:t xml:space="preserve"> with cont</w:t>
      </w:r>
      <w:r w:rsidR="00915985">
        <w:rPr>
          <w:rFonts w:eastAsia="MS PGothic"/>
        </w:rPr>
        <w:t xml:space="preserve">our plots show the explosions limits as well as the developments of the </w:t>
      </w:r>
      <w:r w:rsidR="00915985">
        <w:rPr>
          <w:bCs/>
          <w:color w:val="000000"/>
          <w:szCs w:val="24"/>
        </w:rPr>
        <w:t xml:space="preserve">explosion pressure and pressure rise velocity for </w:t>
      </w:r>
      <w:r w:rsidR="00915985" w:rsidRPr="00915985">
        <w:rPr>
          <w:bCs/>
          <w:color w:val="000000"/>
          <w:szCs w:val="24"/>
        </w:rPr>
        <w:t>Ammonia/Hydrogen/Air mixtures</w:t>
      </w:r>
      <w:r w:rsidR="00915985">
        <w:rPr>
          <w:bCs/>
          <w:color w:val="000000"/>
          <w:szCs w:val="24"/>
        </w:rPr>
        <w:t xml:space="preserve"> with spark ignition.</w:t>
      </w:r>
    </w:p>
    <w:p w14:paraId="5B3BD952" w14:textId="099282B4" w:rsidR="00915985" w:rsidRPr="00D06121" w:rsidRDefault="00915985" w:rsidP="00F879FE">
      <w:pPr>
        <w:pStyle w:val="BOAAbstractBody"/>
        <w:rPr>
          <w:rFonts w:eastAsia="MS PGothic"/>
        </w:rPr>
      </w:pPr>
      <w:r>
        <w:rPr>
          <w:rFonts w:eastAsia="MS PGothic"/>
        </w:rPr>
        <w:t>The data behind these diagrams is quite extensive and needs to be discussed in detail. A much smaller dataset for ignition with pyrotechnical igniters exists, too.</w:t>
      </w:r>
    </w:p>
    <w:p w14:paraId="286B423D" w14:textId="7E6C7A7E" w:rsidR="005C1A57" w:rsidRPr="00D06121" w:rsidRDefault="00915985" w:rsidP="00591C6C">
      <w:pPr>
        <w:pStyle w:val="BOAemail"/>
        <w:rPr>
          <w:rFonts w:eastAsia="MS PGothic"/>
          <w:color w:val="000000"/>
          <w:lang w:val="en-US"/>
        </w:rPr>
      </w:pPr>
      <w:r>
        <w:rPr>
          <w:bCs/>
          <w:noProof/>
          <w:color w:val="000000"/>
          <w:szCs w:val="24"/>
        </w:rPr>
        <w:lastRenderedPageBreak/>
        <w:drawing>
          <wp:inline distT="0" distB="0" distL="0" distR="0" wp14:anchorId="22A42F7B" wp14:editId="6220D46E">
            <wp:extent cx="5579745" cy="245836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 NH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2458360"/>
                    </a:xfrm>
                    <a:prstGeom prst="rect">
                      <a:avLst/>
                    </a:prstGeom>
                  </pic:spPr>
                </pic:pic>
              </a:graphicData>
            </a:graphic>
          </wp:inline>
        </w:drawing>
      </w:r>
    </w:p>
    <w:p w14:paraId="35D8EE69" w14:textId="59F68FC0" w:rsidR="005C1A57" w:rsidRPr="00D06121" w:rsidRDefault="005C1A57" w:rsidP="00F879FE">
      <w:pPr>
        <w:pStyle w:val="BOACaption"/>
        <w:rPr>
          <w:lang w:val="en-US"/>
        </w:rPr>
      </w:pPr>
      <w:bookmarkStart w:id="0" w:name="_Hlk187737821"/>
      <w:r w:rsidRPr="00D06121">
        <w:rPr>
          <w:lang w:val="en-US"/>
        </w:rPr>
        <w:t xml:space="preserve">Figure </w:t>
      </w:r>
      <w:r w:rsidR="00915985">
        <w:rPr>
          <w:lang w:val="en-US"/>
        </w:rPr>
        <w:t>4</w:t>
      </w:r>
      <w:r w:rsidRPr="00D06121">
        <w:rPr>
          <w:lang w:val="en-US" w:eastAsia="ko-KR"/>
        </w:rPr>
        <w:t>.</w:t>
      </w:r>
      <w:r w:rsidRPr="00D06121">
        <w:rPr>
          <w:lang w:val="en-US"/>
        </w:rPr>
        <w:t xml:space="preserve"> </w:t>
      </w:r>
      <w:r w:rsidR="00915985" w:rsidRPr="00915985">
        <w:rPr>
          <w:lang w:val="en-US"/>
        </w:rPr>
        <w:t>Ternary diagrams of the explosion pressure (l</w:t>
      </w:r>
      <w:r w:rsidR="00915985">
        <w:rPr>
          <w:lang w:val="en-US"/>
        </w:rPr>
        <w:t>eft</w:t>
      </w:r>
      <w:r w:rsidR="00915985" w:rsidRPr="00915985">
        <w:rPr>
          <w:lang w:val="en-US"/>
        </w:rPr>
        <w:t>) and pressure rise velocity (r</w:t>
      </w:r>
      <w:r w:rsidR="00915985">
        <w:rPr>
          <w:lang w:val="en-US"/>
        </w:rPr>
        <w:t>ight</w:t>
      </w:r>
      <w:r w:rsidR="00915985" w:rsidRPr="00915985">
        <w:rPr>
          <w:lang w:val="en-US"/>
        </w:rPr>
        <w:t>) for</w:t>
      </w:r>
      <w:bookmarkEnd w:id="0"/>
      <w:r w:rsidR="00915985">
        <w:rPr>
          <w:lang w:val="en-US"/>
        </w:rPr>
        <w:t xml:space="preserve"> </w:t>
      </w:r>
      <w:r w:rsidR="00915985" w:rsidRPr="00915985">
        <w:rPr>
          <w:color w:val="000000"/>
          <w:szCs w:val="24"/>
        </w:rPr>
        <w:t>Ammonia/Hydrogen/Air mixtures</w:t>
      </w:r>
      <w:r w:rsidR="00915985">
        <w:rPr>
          <w:bCs w:val="0"/>
          <w:color w:val="000000"/>
          <w:szCs w:val="24"/>
        </w:rPr>
        <w:t xml:space="preserve"> with spark ignition</w:t>
      </w:r>
      <w:r w:rsidRPr="00D06121">
        <w:rPr>
          <w:lang w:val="en-US"/>
        </w:rPr>
        <w:t>.</w:t>
      </w:r>
    </w:p>
    <w:p w14:paraId="311252DF" w14:textId="77777777" w:rsidR="005C1A57" w:rsidRPr="00D06121" w:rsidRDefault="005C1A57" w:rsidP="00F879FE">
      <w:pPr>
        <w:pStyle w:val="BOAHeading"/>
        <w:rPr>
          <w:lang w:eastAsia="ko-KR"/>
        </w:rPr>
      </w:pPr>
      <w:r w:rsidRPr="00D06121">
        <w:t>4. Conclusion</w:t>
      </w:r>
      <w:r w:rsidRPr="00D06121">
        <w:rPr>
          <w:lang w:eastAsia="ko-KR"/>
        </w:rPr>
        <w:t>s</w:t>
      </w:r>
    </w:p>
    <w:p w14:paraId="2701F9A6" w14:textId="7AB90271" w:rsidR="005C1A57" w:rsidRPr="00D06121" w:rsidRDefault="00915985" w:rsidP="00F879FE">
      <w:pPr>
        <w:pStyle w:val="BOAAbstractBody"/>
      </w:pPr>
      <w:r>
        <w:t>The knowledge of the ignition and explosion behavior of mixtures of Hydrogen and Ammonia in air will be essential to ensure a reasonable design of safety measure in the emerging Hydrogen society, were Ammonia might be used as an energy carrier or storage</w:t>
      </w:r>
      <w:r w:rsidR="00E1280C" w:rsidRPr="00D06121">
        <w:t>.</w:t>
      </w:r>
      <w:r>
        <w:t xml:space="preserve"> The use of the 20 Liter Sphere </w:t>
      </w:r>
      <w:r w:rsidR="00824DD1">
        <w:t xml:space="preserve">enables for a variety of conditions to be tested, that can better reflect real accidental release situations. </w:t>
      </w:r>
      <w:r w:rsidR="00E1280C" w:rsidRPr="00D06121">
        <w:t xml:space="preserve"> </w:t>
      </w:r>
    </w:p>
    <w:p w14:paraId="738E498E" w14:textId="77777777" w:rsidR="000D17C8" w:rsidRDefault="000D17C8" w:rsidP="00302C82">
      <w:pPr>
        <w:pStyle w:val="BOAReference"/>
        <w:rPr>
          <w:rFonts w:eastAsia="MS PGothic"/>
          <w:lang w:val="en-US"/>
        </w:rPr>
      </w:pPr>
    </w:p>
    <w:p w14:paraId="11D31778" w14:textId="0967F0D1" w:rsidR="005C1A57" w:rsidRPr="00D06121" w:rsidRDefault="005C1A57" w:rsidP="00302C82">
      <w:pPr>
        <w:pStyle w:val="BOAReference"/>
        <w:rPr>
          <w:rFonts w:eastAsia="SimSun"/>
          <w:lang w:val="en-US" w:eastAsia="zh-CN"/>
        </w:rPr>
      </w:pPr>
      <w:r w:rsidRPr="00D06121">
        <w:rPr>
          <w:rFonts w:eastAsia="MS PGothic"/>
          <w:lang w:val="en-US"/>
        </w:rPr>
        <w:t xml:space="preserve">References </w:t>
      </w:r>
    </w:p>
    <w:p w14:paraId="11781AD1" w14:textId="77777777" w:rsidR="00950832" w:rsidRPr="00950832" w:rsidRDefault="00950832" w:rsidP="00950832">
      <w:pPr>
        <w:autoSpaceDE w:val="0"/>
        <w:autoSpaceDN w:val="0"/>
        <w:adjustRightInd w:val="0"/>
        <w:spacing w:before="120" w:after="40" w:line="240" w:lineRule="auto"/>
        <w:rPr>
          <w:bCs/>
          <w:color w:val="000000"/>
          <w:szCs w:val="24"/>
          <w:lang w:val="de-DE"/>
        </w:rPr>
      </w:pPr>
      <w:r w:rsidRPr="00950832">
        <w:rPr>
          <w:bCs/>
          <w:color w:val="000000"/>
          <w:szCs w:val="24"/>
          <w:lang w:val="de-DE"/>
        </w:rPr>
        <w:t>DIN/TS 31018-1:2024. Bestimmungsverfahren für sicherheitstechnische Kenngrößen des Explosionsschutzes für hybride Stoffgemische - Teil 1: Gase</w:t>
      </w:r>
    </w:p>
    <w:p w14:paraId="47A986D6" w14:textId="77777777" w:rsidR="00950832" w:rsidRPr="00824DD1" w:rsidRDefault="00950832" w:rsidP="00950832">
      <w:pPr>
        <w:autoSpaceDE w:val="0"/>
        <w:autoSpaceDN w:val="0"/>
        <w:adjustRightInd w:val="0"/>
        <w:spacing w:before="120" w:after="40" w:line="240" w:lineRule="auto"/>
        <w:rPr>
          <w:bCs/>
          <w:color w:val="000000"/>
          <w:szCs w:val="24"/>
        </w:rPr>
      </w:pPr>
      <w:r w:rsidRPr="00824DD1">
        <w:rPr>
          <w:bCs/>
          <w:color w:val="000000"/>
          <w:szCs w:val="24"/>
        </w:rPr>
        <w:t>DIN EN 1839:2012</w:t>
      </w:r>
      <w:r>
        <w:rPr>
          <w:bCs/>
          <w:color w:val="000000"/>
          <w:szCs w:val="24"/>
        </w:rPr>
        <w:t>.</w:t>
      </w:r>
      <w:r w:rsidRPr="00824DD1">
        <w:rPr>
          <w:bCs/>
          <w:color w:val="000000"/>
          <w:szCs w:val="24"/>
        </w:rPr>
        <w:t xml:space="preserve"> Determination of explosion limits of gases and vapours; German version </w:t>
      </w:r>
    </w:p>
    <w:p w14:paraId="3A3AFA16" w14:textId="77777777" w:rsidR="00950832" w:rsidRDefault="00950832" w:rsidP="00455ED8">
      <w:pPr>
        <w:autoSpaceDE w:val="0"/>
        <w:autoSpaceDN w:val="0"/>
        <w:adjustRightInd w:val="0"/>
        <w:spacing w:before="120" w:after="40" w:line="240" w:lineRule="auto"/>
        <w:rPr>
          <w:bCs/>
          <w:color w:val="000000"/>
          <w:szCs w:val="24"/>
        </w:rPr>
      </w:pPr>
      <w:r w:rsidRPr="00824DD1">
        <w:rPr>
          <w:bCs/>
          <w:color w:val="000000"/>
          <w:szCs w:val="24"/>
        </w:rPr>
        <w:t>DIN EN 14034-1:2011</w:t>
      </w:r>
      <w:r>
        <w:rPr>
          <w:bCs/>
          <w:color w:val="000000"/>
          <w:szCs w:val="24"/>
        </w:rPr>
        <w:t>.</w:t>
      </w:r>
      <w:r w:rsidRPr="00824DD1">
        <w:rPr>
          <w:bCs/>
          <w:color w:val="000000"/>
          <w:szCs w:val="24"/>
        </w:rPr>
        <w:t xml:space="preserve"> </w:t>
      </w:r>
      <w:r w:rsidRPr="00950832">
        <w:rPr>
          <w:bCs/>
          <w:color w:val="000000"/>
          <w:szCs w:val="24"/>
        </w:rPr>
        <w:t>Determination of explosion characteristics of dust clouds - Part 1: Determination of the</w:t>
      </w:r>
      <w:r>
        <w:rPr>
          <w:bCs/>
          <w:color w:val="000000"/>
          <w:szCs w:val="24"/>
        </w:rPr>
        <w:t xml:space="preserve"> </w:t>
      </w:r>
      <w:r w:rsidRPr="00950832">
        <w:rPr>
          <w:bCs/>
          <w:color w:val="000000"/>
          <w:szCs w:val="24"/>
        </w:rPr>
        <w:t>maximum explosion pressure p</w:t>
      </w:r>
      <w:r w:rsidRPr="00950832">
        <w:rPr>
          <w:bCs/>
          <w:color w:val="000000"/>
          <w:szCs w:val="24"/>
          <w:vertAlign w:val="subscript"/>
        </w:rPr>
        <w:t>max</w:t>
      </w:r>
      <w:r w:rsidRPr="00950832">
        <w:rPr>
          <w:bCs/>
          <w:color w:val="000000"/>
          <w:szCs w:val="24"/>
        </w:rPr>
        <w:t xml:space="preserve"> of dust clouds</w:t>
      </w:r>
    </w:p>
    <w:p w14:paraId="57A2FE47" w14:textId="6E8688CC" w:rsidR="00455ED8" w:rsidRPr="00950832" w:rsidRDefault="00455ED8" w:rsidP="00455ED8">
      <w:pPr>
        <w:autoSpaceDE w:val="0"/>
        <w:autoSpaceDN w:val="0"/>
        <w:adjustRightInd w:val="0"/>
        <w:spacing w:before="120" w:after="40" w:line="240" w:lineRule="auto"/>
        <w:rPr>
          <w:bCs/>
          <w:color w:val="000000"/>
          <w:szCs w:val="24"/>
        </w:rPr>
      </w:pPr>
      <w:r w:rsidRPr="00950832">
        <w:rPr>
          <w:bCs/>
          <w:color w:val="000000"/>
          <w:szCs w:val="24"/>
          <w:lang w:val="de-DE"/>
        </w:rPr>
        <w:t>Jorissen, W. P.</w:t>
      </w:r>
      <w:r w:rsidR="00950832" w:rsidRPr="00950832">
        <w:rPr>
          <w:bCs/>
          <w:color w:val="000000"/>
          <w:szCs w:val="24"/>
          <w:lang w:val="de-DE"/>
        </w:rPr>
        <w:t>,</w:t>
      </w:r>
      <w:r w:rsidRPr="00950832">
        <w:rPr>
          <w:bCs/>
          <w:color w:val="000000"/>
          <w:szCs w:val="24"/>
          <w:lang w:val="de-DE"/>
        </w:rPr>
        <w:t xml:space="preserve"> Ongkiehong, B. L</w:t>
      </w:r>
      <w:r w:rsidR="00950832" w:rsidRPr="00950832">
        <w:rPr>
          <w:bCs/>
          <w:color w:val="000000"/>
          <w:szCs w:val="24"/>
          <w:lang w:val="de-DE"/>
        </w:rPr>
        <w:t>, 1926.</w:t>
      </w:r>
      <w:r w:rsidRPr="00950832">
        <w:rPr>
          <w:bCs/>
          <w:color w:val="000000"/>
          <w:szCs w:val="24"/>
          <w:lang w:val="de-DE"/>
        </w:rPr>
        <w:t xml:space="preserve"> </w:t>
      </w:r>
      <w:r w:rsidRPr="00467D0B">
        <w:rPr>
          <w:bCs/>
          <w:color w:val="000000"/>
          <w:szCs w:val="24"/>
        </w:rPr>
        <w:t xml:space="preserve">Explosion regions, VIII: The explosion regions of hydrogen-ammonia-air and hydrogen-ammonia-oxygen mixtures. </w:t>
      </w:r>
      <w:r w:rsidRPr="00950832">
        <w:rPr>
          <w:bCs/>
          <w:color w:val="000000"/>
          <w:szCs w:val="24"/>
          <w:lang w:val="de-DE"/>
        </w:rPr>
        <w:t>In: Recueil des Travaux Chimiques des Pays-Bas 45, 224–231. https://doi.org/10.1002/recl.19260450312</w:t>
      </w:r>
    </w:p>
    <w:p w14:paraId="155933EC" w14:textId="7723EE5D" w:rsidR="00455ED8" w:rsidRPr="00824DD1" w:rsidRDefault="00455ED8" w:rsidP="00455ED8">
      <w:pPr>
        <w:autoSpaceDE w:val="0"/>
        <w:autoSpaceDN w:val="0"/>
        <w:adjustRightInd w:val="0"/>
        <w:spacing w:before="120" w:after="40" w:line="240" w:lineRule="auto"/>
        <w:rPr>
          <w:bCs/>
          <w:color w:val="000000"/>
          <w:szCs w:val="24"/>
        </w:rPr>
      </w:pPr>
      <w:r w:rsidRPr="00950832">
        <w:rPr>
          <w:bCs/>
          <w:color w:val="000000"/>
          <w:szCs w:val="24"/>
          <w:lang w:val="de-DE"/>
        </w:rPr>
        <w:t>Molnárné, Maria</w:t>
      </w:r>
      <w:r w:rsidR="00950832" w:rsidRPr="00950832">
        <w:rPr>
          <w:bCs/>
          <w:color w:val="000000"/>
          <w:szCs w:val="24"/>
          <w:lang w:val="de-DE"/>
        </w:rPr>
        <w:t>,</w:t>
      </w:r>
      <w:r w:rsidRPr="00950832">
        <w:rPr>
          <w:bCs/>
          <w:color w:val="000000"/>
          <w:szCs w:val="24"/>
          <w:lang w:val="de-DE"/>
        </w:rPr>
        <w:t xml:space="preserve"> Schendler, Thomas</w:t>
      </w:r>
      <w:r w:rsidR="00950832" w:rsidRPr="00950832">
        <w:rPr>
          <w:bCs/>
          <w:color w:val="000000"/>
          <w:szCs w:val="24"/>
          <w:lang w:val="de-DE"/>
        </w:rPr>
        <w:t>,</w:t>
      </w:r>
      <w:r w:rsidRPr="00950832">
        <w:rPr>
          <w:bCs/>
          <w:color w:val="000000"/>
          <w:szCs w:val="24"/>
          <w:lang w:val="de-DE"/>
        </w:rPr>
        <w:t xml:space="preserve"> Schröder,</w:t>
      </w:r>
      <w:r w:rsidR="00950832">
        <w:rPr>
          <w:bCs/>
          <w:color w:val="000000"/>
          <w:szCs w:val="24"/>
          <w:lang w:val="de-DE"/>
        </w:rPr>
        <w:t xml:space="preserve"> </w:t>
      </w:r>
      <w:r w:rsidRPr="00950832">
        <w:rPr>
          <w:bCs/>
          <w:color w:val="000000"/>
          <w:szCs w:val="24"/>
          <w:lang w:val="de-DE"/>
        </w:rPr>
        <w:t>Volkmar</w:t>
      </w:r>
      <w:r w:rsidR="00950832">
        <w:rPr>
          <w:bCs/>
          <w:color w:val="000000"/>
          <w:szCs w:val="24"/>
          <w:lang w:val="de-DE"/>
        </w:rPr>
        <w:t>, 2003.</w:t>
      </w:r>
      <w:r w:rsidRPr="00950832">
        <w:rPr>
          <w:bCs/>
          <w:color w:val="000000"/>
          <w:szCs w:val="24"/>
          <w:lang w:val="de-DE"/>
        </w:rPr>
        <w:t xml:space="preserve"> Sicherheitstechnische Kenngrößen: Band 2: Explosionsbereiche von Gasgemischen. </w:t>
      </w:r>
      <w:r w:rsidRPr="00824DD1">
        <w:rPr>
          <w:bCs/>
          <w:color w:val="000000"/>
          <w:szCs w:val="24"/>
        </w:rPr>
        <w:t>Bremerhaven : Wirtschaftsverl. NW, Verl. für Neue Wiss – ISBN 3–89701–746–6</w:t>
      </w:r>
    </w:p>
    <w:p w14:paraId="4BDC2446" w14:textId="1727EF3F" w:rsidR="00DC5B76" w:rsidRPr="00824DD1" w:rsidRDefault="00DC5B76" w:rsidP="00824DD1">
      <w:pPr>
        <w:autoSpaceDE w:val="0"/>
        <w:autoSpaceDN w:val="0"/>
        <w:adjustRightInd w:val="0"/>
        <w:spacing w:before="120" w:after="40" w:line="240" w:lineRule="auto"/>
        <w:rPr>
          <w:bCs/>
          <w:color w:val="000000"/>
          <w:szCs w:val="24"/>
        </w:rPr>
      </w:pPr>
      <w:r w:rsidRPr="00824DD1">
        <w:rPr>
          <w:bCs/>
          <w:color w:val="000000"/>
          <w:szCs w:val="24"/>
        </w:rPr>
        <w:t>Spitzer,</w:t>
      </w:r>
      <w:r w:rsidR="00824DD1" w:rsidRPr="00824DD1">
        <w:rPr>
          <w:bCs/>
          <w:color w:val="000000"/>
          <w:szCs w:val="24"/>
        </w:rPr>
        <w:t xml:space="preserve"> Stefan H. et. Al., 2023</w:t>
      </w:r>
      <w:r w:rsidR="00950832">
        <w:rPr>
          <w:bCs/>
          <w:color w:val="000000"/>
          <w:szCs w:val="24"/>
        </w:rPr>
        <w:t>.</w:t>
      </w:r>
      <w:r w:rsidRPr="00824DD1">
        <w:rPr>
          <w:bCs/>
          <w:color w:val="000000"/>
          <w:szCs w:val="24"/>
        </w:rPr>
        <w:t xml:space="preserve"> 1st International Round Robin Test on Safety Characteristics of Hybrid Mixtures, Journal of Loss Prevention in the Process Industries. Verfügbar unter: </w:t>
      </w:r>
      <w:hyperlink r:id="rId12" w:history="1">
        <w:r w:rsidR="00C85674" w:rsidRPr="00824DD1">
          <w:rPr>
            <w:bCs/>
            <w:color w:val="000000"/>
            <w:szCs w:val="24"/>
          </w:rPr>
          <w:t>https://doi.org/10.1016/j.jlp.2022.104947</w:t>
        </w:r>
      </w:hyperlink>
    </w:p>
    <w:p w14:paraId="3671EE9F" w14:textId="77777777" w:rsidR="00DC5B76" w:rsidRPr="00A343A8" w:rsidRDefault="00DC5B76" w:rsidP="00455ED8">
      <w:pPr>
        <w:autoSpaceDE w:val="0"/>
        <w:autoSpaceDN w:val="0"/>
        <w:adjustRightInd w:val="0"/>
        <w:spacing w:before="120" w:after="40" w:line="240" w:lineRule="auto"/>
        <w:rPr>
          <w:bCs/>
          <w:color w:val="000000"/>
          <w:szCs w:val="24"/>
          <w:lang w:val="en-US"/>
        </w:rPr>
      </w:pPr>
    </w:p>
    <w:p w14:paraId="3CDF2534" w14:textId="77777777" w:rsidR="00455ED8" w:rsidRPr="00A343A8" w:rsidRDefault="00455ED8" w:rsidP="00302C82">
      <w:pPr>
        <w:pStyle w:val="BOAReference-text"/>
        <w:rPr>
          <w:rFonts w:eastAsia="SimSun"/>
          <w:lang w:val="en-US"/>
        </w:rPr>
      </w:pPr>
    </w:p>
    <w:p w14:paraId="0C5C820E" w14:textId="77777777" w:rsidR="009047CF" w:rsidRPr="00A343A8" w:rsidRDefault="009047CF" w:rsidP="00302C82">
      <w:pPr>
        <w:pStyle w:val="BOAReference-text"/>
        <w:rPr>
          <w:rFonts w:eastAsia="SimSun"/>
          <w:lang w:val="en-US"/>
        </w:rPr>
      </w:pPr>
    </w:p>
    <w:sectPr w:rsidR="009047CF" w:rsidRPr="00A343A8" w:rsidSect="00F879FE">
      <w:headerReference w:type="default" r:id="rId13"/>
      <w:headerReference w:type="first" r:id="rId14"/>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1A00" w14:textId="77777777" w:rsidR="00806CED" w:rsidRDefault="00806CED" w:rsidP="004F5E36">
      <w:r>
        <w:separator/>
      </w:r>
    </w:p>
  </w:endnote>
  <w:endnote w:type="continuationSeparator" w:id="0">
    <w:p w14:paraId="35649AAF" w14:textId="77777777" w:rsidR="00806CED" w:rsidRDefault="00806CE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0D7A" w14:textId="77777777" w:rsidR="00806CED" w:rsidRDefault="00806CED" w:rsidP="004F5E36">
      <w:r>
        <w:separator/>
      </w:r>
    </w:p>
  </w:footnote>
  <w:footnote w:type="continuationSeparator" w:id="0">
    <w:p w14:paraId="7096251F" w14:textId="77777777" w:rsidR="00806CED" w:rsidRDefault="00806CE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2868764">
    <w:abstractNumId w:val="13"/>
  </w:num>
  <w:num w:numId="2" w16cid:durableId="824668710">
    <w:abstractNumId w:val="8"/>
  </w:num>
  <w:num w:numId="3" w16cid:durableId="906496379">
    <w:abstractNumId w:val="3"/>
  </w:num>
  <w:num w:numId="4" w16cid:durableId="341131436">
    <w:abstractNumId w:val="2"/>
  </w:num>
  <w:num w:numId="5" w16cid:durableId="1740247345">
    <w:abstractNumId w:val="1"/>
  </w:num>
  <w:num w:numId="6" w16cid:durableId="344140333">
    <w:abstractNumId w:val="0"/>
  </w:num>
  <w:num w:numId="7" w16cid:durableId="1634095724">
    <w:abstractNumId w:val="9"/>
  </w:num>
  <w:num w:numId="8" w16cid:durableId="1338534392">
    <w:abstractNumId w:val="7"/>
  </w:num>
  <w:num w:numId="9" w16cid:durableId="1052116672">
    <w:abstractNumId w:val="6"/>
  </w:num>
  <w:num w:numId="10" w16cid:durableId="473255793">
    <w:abstractNumId w:val="5"/>
  </w:num>
  <w:num w:numId="11" w16cid:durableId="1789422329">
    <w:abstractNumId w:val="4"/>
  </w:num>
  <w:num w:numId="12" w16cid:durableId="1514301144">
    <w:abstractNumId w:val="16"/>
  </w:num>
  <w:num w:numId="13" w16cid:durableId="316346162">
    <w:abstractNumId w:val="14"/>
  </w:num>
  <w:num w:numId="14" w16cid:durableId="2040083240">
    <w:abstractNumId w:val="17"/>
  </w:num>
  <w:num w:numId="15" w16cid:durableId="537160997">
    <w:abstractNumId w:val="19"/>
  </w:num>
  <w:num w:numId="16" w16cid:durableId="1671986577">
    <w:abstractNumId w:val="21"/>
  </w:num>
  <w:num w:numId="17" w16cid:durableId="1283222597">
    <w:abstractNumId w:val="10"/>
  </w:num>
  <w:num w:numId="18" w16cid:durableId="485047379">
    <w:abstractNumId w:val="20"/>
  </w:num>
  <w:num w:numId="19" w16cid:durableId="1817600210">
    <w:abstractNumId w:val="15"/>
  </w:num>
  <w:num w:numId="20" w16cid:durableId="1614247810">
    <w:abstractNumId w:val="11"/>
  </w:num>
  <w:num w:numId="21" w16cid:durableId="22681137">
    <w:abstractNumId w:val="12"/>
  </w:num>
  <w:num w:numId="22" w16cid:durableId="8602433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25A42"/>
    <w:rsid w:val="0003148D"/>
    <w:rsid w:val="00054AD0"/>
    <w:rsid w:val="00062A9A"/>
    <w:rsid w:val="000A03B2"/>
    <w:rsid w:val="000D17C8"/>
    <w:rsid w:val="000D34BE"/>
    <w:rsid w:val="000E36F1"/>
    <w:rsid w:val="000E3A73"/>
    <w:rsid w:val="000E414A"/>
    <w:rsid w:val="0013121F"/>
    <w:rsid w:val="00134DE4"/>
    <w:rsid w:val="00150E59"/>
    <w:rsid w:val="00184AD6"/>
    <w:rsid w:val="001B65C1"/>
    <w:rsid w:val="001C684B"/>
    <w:rsid w:val="001D53FC"/>
    <w:rsid w:val="001F2EC7"/>
    <w:rsid w:val="002065DB"/>
    <w:rsid w:val="00213C43"/>
    <w:rsid w:val="002447EF"/>
    <w:rsid w:val="00251550"/>
    <w:rsid w:val="002626FE"/>
    <w:rsid w:val="0027221A"/>
    <w:rsid w:val="00275B61"/>
    <w:rsid w:val="002B42A9"/>
    <w:rsid w:val="002B7208"/>
    <w:rsid w:val="002C633D"/>
    <w:rsid w:val="002D1F12"/>
    <w:rsid w:val="003009B7"/>
    <w:rsid w:val="00302C82"/>
    <w:rsid w:val="0030469C"/>
    <w:rsid w:val="00325765"/>
    <w:rsid w:val="003723D4"/>
    <w:rsid w:val="003A7D1C"/>
    <w:rsid w:val="003B61C3"/>
    <w:rsid w:val="0042639A"/>
    <w:rsid w:val="00426BD4"/>
    <w:rsid w:val="00435501"/>
    <w:rsid w:val="00455ED8"/>
    <w:rsid w:val="0046164A"/>
    <w:rsid w:val="00462DCD"/>
    <w:rsid w:val="0046419A"/>
    <w:rsid w:val="004C2084"/>
    <w:rsid w:val="004D1162"/>
    <w:rsid w:val="004E0FFD"/>
    <w:rsid w:val="004E4DD6"/>
    <w:rsid w:val="004F5E36"/>
    <w:rsid w:val="005119A5"/>
    <w:rsid w:val="005278B7"/>
    <w:rsid w:val="005346C8"/>
    <w:rsid w:val="00537CCB"/>
    <w:rsid w:val="00581815"/>
    <w:rsid w:val="00591C6C"/>
    <w:rsid w:val="00594E9F"/>
    <w:rsid w:val="005B61E6"/>
    <w:rsid w:val="005C1A57"/>
    <w:rsid w:val="005C648D"/>
    <w:rsid w:val="005C77E1"/>
    <w:rsid w:val="005D6A2F"/>
    <w:rsid w:val="005E1A82"/>
    <w:rsid w:val="005F0A28"/>
    <w:rsid w:val="005F0E5E"/>
    <w:rsid w:val="00620DEE"/>
    <w:rsid w:val="00621A1B"/>
    <w:rsid w:val="00623D69"/>
    <w:rsid w:val="00625639"/>
    <w:rsid w:val="0064184D"/>
    <w:rsid w:val="00660E3E"/>
    <w:rsid w:val="00662E74"/>
    <w:rsid w:val="006A58D2"/>
    <w:rsid w:val="006C5579"/>
    <w:rsid w:val="00704BDF"/>
    <w:rsid w:val="00720C17"/>
    <w:rsid w:val="00736B13"/>
    <w:rsid w:val="00740E44"/>
    <w:rsid w:val="007447F3"/>
    <w:rsid w:val="007661C8"/>
    <w:rsid w:val="007A60FE"/>
    <w:rsid w:val="007B56B7"/>
    <w:rsid w:val="007D52CD"/>
    <w:rsid w:val="00806CED"/>
    <w:rsid w:val="00813288"/>
    <w:rsid w:val="008168FC"/>
    <w:rsid w:val="00824DD1"/>
    <w:rsid w:val="008479A2"/>
    <w:rsid w:val="0087637F"/>
    <w:rsid w:val="008A1512"/>
    <w:rsid w:val="008C779C"/>
    <w:rsid w:val="008D0BEB"/>
    <w:rsid w:val="008E566E"/>
    <w:rsid w:val="00901EB6"/>
    <w:rsid w:val="009047CF"/>
    <w:rsid w:val="00915985"/>
    <w:rsid w:val="009425B4"/>
    <w:rsid w:val="009450CE"/>
    <w:rsid w:val="00950832"/>
    <w:rsid w:val="0095164B"/>
    <w:rsid w:val="00996483"/>
    <w:rsid w:val="009C32E4"/>
    <w:rsid w:val="009D4EC8"/>
    <w:rsid w:val="009E788A"/>
    <w:rsid w:val="00A05A15"/>
    <w:rsid w:val="00A07E93"/>
    <w:rsid w:val="00A1763D"/>
    <w:rsid w:val="00A17CEC"/>
    <w:rsid w:val="00A27EF0"/>
    <w:rsid w:val="00A343A8"/>
    <w:rsid w:val="00A6255A"/>
    <w:rsid w:val="00A66B9C"/>
    <w:rsid w:val="00A76EFC"/>
    <w:rsid w:val="00A81B4C"/>
    <w:rsid w:val="00A82B99"/>
    <w:rsid w:val="00A9626B"/>
    <w:rsid w:val="00A97F29"/>
    <w:rsid w:val="00AB0964"/>
    <w:rsid w:val="00AC5F71"/>
    <w:rsid w:val="00AE377D"/>
    <w:rsid w:val="00B31173"/>
    <w:rsid w:val="00B430A4"/>
    <w:rsid w:val="00B61DBF"/>
    <w:rsid w:val="00BB6185"/>
    <w:rsid w:val="00BB6F9B"/>
    <w:rsid w:val="00BC30C9"/>
    <w:rsid w:val="00BE3E58"/>
    <w:rsid w:val="00C01616"/>
    <w:rsid w:val="00C0162B"/>
    <w:rsid w:val="00C345B1"/>
    <w:rsid w:val="00C40142"/>
    <w:rsid w:val="00C57182"/>
    <w:rsid w:val="00C655FD"/>
    <w:rsid w:val="00C85674"/>
    <w:rsid w:val="00C867B1"/>
    <w:rsid w:val="00C94434"/>
    <w:rsid w:val="00CA1C95"/>
    <w:rsid w:val="00CA54AA"/>
    <w:rsid w:val="00CA5A9C"/>
    <w:rsid w:val="00CD5FE2"/>
    <w:rsid w:val="00D02B4C"/>
    <w:rsid w:val="00D06121"/>
    <w:rsid w:val="00D801F0"/>
    <w:rsid w:val="00D84576"/>
    <w:rsid w:val="00D948AD"/>
    <w:rsid w:val="00DC5B76"/>
    <w:rsid w:val="00DE0019"/>
    <w:rsid w:val="00DE264A"/>
    <w:rsid w:val="00E041E7"/>
    <w:rsid w:val="00E1280C"/>
    <w:rsid w:val="00E23CA1"/>
    <w:rsid w:val="00E409A8"/>
    <w:rsid w:val="00E431A8"/>
    <w:rsid w:val="00E466CB"/>
    <w:rsid w:val="00E7209D"/>
    <w:rsid w:val="00EA50E1"/>
    <w:rsid w:val="00EE0131"/>
    <w:rsid w:val="00EF3557"/>
    <w:rsid w:val="00F21D59"/>
    <w:rsid w:val="00F30C64"/>
    <w:rsid w:val="00F52147"/>
    <w:rsid w:val="00F72C4F"/>
    <w:rsid w:val="00F879FE"/>
    <w:rsid w:val="00FB730C"/>
    <w:rsid w:val="00FC2171"/>
    <w:rsid w:val="00FC2695"/>
    <w:rsid w:val="00FC3E03"/>
    <w:rsid w:val="00FC4E60"/>
    <w:rsid w:val="00FD2E0B"/>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F879FE"/>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paragraph" w:customStyle="1" w:styleId="Default">
    <w:name w:val="Default"/>
    <w:rsid w:val="00DC5B76"/>
    <w:pPr>
      <w:autoSpaceDE w:val="0"/>
      <w:autoSpaceDN w:val="0"/>
      <w:adjustRightInd w:val="0"/>
      <w:spacing w:after="0" w:line="240" w:lineRule="auto"/>
    </w:pPr>
    <w:rPr>
      <w:rFonts w:ascii="Arial" w:hAnsi="Arial" w:cs="Arial"/>
      <w:color w:val="000000"/>
      <w:sz w:val="24"/>
      <w:szCs w:val="24"/>
      <w:lang w:val="de-DE"/>
    </w:rPr>
  </w:style>
  <w:style w:type="character" w:styleId="Collegamentoipertestuale">
    <w:name w:val="Hyperlink"/>
    <w:basedOn w:val="Carpredefinitoparagrafo"/>
    <w:uiPriority w:val="99"/>
    <w:unhideWhenUsed/>
    <w:locked/>
    <w:rsid w:val="00C85674"/>
    <w:rPr>
      <w:color w:val="0000FF" w:themeColor="hyperlink"/>
      <w:u w:val="single"/>
    </w:rPr>
  </w:style>
  <w:style w:type="character" w:styleId="Menzionenonrisolta">
    <w:name w:val="Unresolved Mention"/>
    <w:basedOn w:val="Carpredefinitoparagrafo"/>
    <w:uiPriority w:val="99"/>
    <w:semiHidden/>
    <w:unhideWhenUsed/>
    <w:rsid w:val="00C85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818879">
      <w:bodyDiv w:val="1"/>
      <w:marLeft w:val="0"/>
      <w:marRight w:val="0"/>
      <w:marTop w:val="0"/>
      <w:marBottom w:val="0"/>
      <w:divBdr>
        <w:top w:val="none" w:sz="0" w:space="0" w:color="auto"/>
        <w:left w:val="none" w:sz="0" w:space="0" w:color="auto"/>
        <w:bottom w:val="none" w:sz="0" w:space="0" w:color="auto"/>
        <w:right w:val="none" w:sz="0" w:space="0" w:color="auto"/>
      </w:divBdr>
    </w:div>
    <w:div w:id="13003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lp.2022.1049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C2439-F97A-4A85-AEC5-4CF4BF47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5658</Characters>
  <Application>Microsoft Office Word</Application>
  <DocSecurity>0</DocSecurity>
  <Lines>47</Lines>
  <Paragraphs>13</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2025-01-14T11:08:00Z</dcterms:created>
  <dcterms:modified xsi:type="dcterms:W3CDTF">2025-01-14T11:08:00Z</dcterms:modified>
</cp:coreProperties>
</file>