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F46B95"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70C8A" w:rsidRDefault="000D0268" w:rsidP="00CD5FE2">
            <w:pPr>
              <w:spacing w:line="140" w:lineRule="atLeast"/>
              <w:jc w:val="right"/>
              <w:rPr>
                <w:rFonts w:cs="Arial"/>
                <w:sz w:val="13"/>
                <w:szCs w:val="13"/>
                <w:lang w:val="nb-NO"/>
              </w:rPr>
            </w:pPr>
            <w:r w:rsidRPr="00070C8A">
              <w:rPr>
                <w:rFonts w:cs="Arial"/>
                <w:sz w:val="13"/>
                <w:szCs w:val="13"/>
                <w:lang w:val="nb-NO"/>
              </w:rPr>
              <w:t>Online at www.cetjournal.it</w:t>
            </w:r>
          </w:p>
        </w:tc>
      </w:tr>
      <w:tr w:rsidR="000A03B2" w:rsidRPr="00B57B36" w14:paraId="2D1B7169" w14:textId="77777777" w:rsidTr="00DE264A">
        <w:trPr>
          <w:trHeight w:val="68"/>
          <w:jc w:val="center"/>
        </w:trPr>
        <w:tc>
          <w:tcPr>
            <w:tcW w:w="8789" w:type="dxa"/>
            <w:gridSpan w:val="2"/>
          </w:tcPr>
          <w:p w14:paraId="30F07041" w14:textId="665AB796" w:rsidR="00F27EE4" w:rsidRPr="00F27EE4" w:rsidRDefault="00AA7D26" w:rsidP="00F27EE4">
            <w:pPr>
              <w:ind w:left="-107"/>
              <w:rPr>
                <w:rFonts w:ascii="Tahoma" w:hAnsi="Tahoma" w:cs="Tahoma"/>
                <w:b/>
                <w:bCs/>
                <w:color w:val="000000"/>
                <w:sz w:val="14"/>
                <w:szCs w:val="14"/>
                <w:shd w:val="clear" w:color="auto" w:fill="FFFFFF"/>
                <w:lang w:val="it-IT"/>
              </w:rPr>
            </w:pPr>
            <w:r w:rsidRPr="00F27EE4">
              <w:rPr>
                <w:rFonts w:ascii="Tahoma" w:hAnsi="Tahoma" w:cs="Tahoma"/>
                <w:iCs/>
                <w:color w:val="333333"/>
                <w:sz w:val="14"/>
                <w:szCs w:val="14"/>
                <w:lang w:val="it-IT" w:eastAsia="it-IT"/>
              </w:rPr>
              <w:t>Guest Editors:</w:t>
            </w:r>
            <w:r w:rsidR="007D610D" w:rsidRPr="00F27EE4">
              <w:rPr>
                <w:rFonts w:ascii="Aptos" w:eastAsiaTheme="minorHAnsi" w:hAnsi="Aptos" w:cs="Aptos"/>
                <w:sz w:val="22"/>
                <w:szCs w:val="22"/>
                <w:lang w:val="it-IT"/>
                <w14:ligatures w14:val="standardContextual"/>
              </w:rPr>
              <w:t xml:space="preserve"> </w:t>
            </w:r>
            <w:r w:rsidR="00F27EE4" w:rsidRPr="00F27EE4">
              <w:rPr>
                <w:rFonts w:ascii="Tahoma" w:hAnsi="Tahoma" w:cs="Tahoma"/>
                <w:color w:val="000000"/>
                <w:sz w:val="14"/>
                <w:szCs w:val="14"/>
                <w:shd w:val="clear" w:color="auto" w:fill="FFFFFF"/>
                <w:lang w:val="it-IT"/>
              </w:rPr>
              <w:t>Bruno Fabiano, Va</w:t>
            </w:r>
            <w:r w:rsidR="00F27EE4">
              <w:rPr>
                <w:rFonts w:ascii="Tahoma" w:hAnsi="Tahoma" w:cs="Tahoma"/>
                <w:color w:val="000000"/>
                <w:sz w:val="14"/>
                <w:szCs w:val="14"/>
                <w:shd w:val="clear" w:color="auto" w:fill="FFFFFF"/>
                <w:lang w:val="it-IT"/>
              </w:rPr>
              <w:t>lerio Cozzani</w:t>
            </w:r>
          </w:p>
          <w:p w14:paraId="1B0F1814" w14:textId="2DB8A072"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w:t>
            </w:r>
            <w:r w:rsidR="00F27EE4">
              <w:rPr>
                <w:rFonts w:ascii="Tahoma" w:hAnsi="Tahoma" w:cs="Tahoma"/>
                <w:sz w:val="14"/>
                <w:szCs w:val="14"/>
              </w:rPr>
              <w:t>xx-y</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2E667253" w14:textId="76540289" w:rsidR="00E978D0" w:rsidRPr="00B57B36" w:rsidRDefault="00070C8A" w:rsidP="00E978D0">
      <w:pPr>
        <w:pStyle w:val="CETTitle"/>
      </w:pPr>
      <w:r>
        <w:t xml:space="preserve">Modelling of </w:t>
      </w:r>
      <w:r w:rsidR="000C17E5">
        <w:t xml:space="preserve">Liquid Hydrogen </w:t>
      </w:r>
      <w:r>
        <w:t>Transfer Operations</w:t>
      </w:r>
      <w:r w:rsidR="00B32430">
        <w:t xml:space="preserve"> through </w:t>
      </w:r>
      <w:r w:rsidR="00CE60D0">
        <w:t>steady-state simulations</w:t>
      </w:r>
    </w:p>
    <w:p w14:paraId="0488FED2" w14:textId="694059AB" w:rsidR="00B57E6F" w:rsidRPr="00BC77AF" w:rsidRDefault="00070C8A" w:rsidP="00B57E6F">
      <w:pPr>
        <w:pStyle w:val="CETAuthors"/>
        <w:rPr>
          <w:vertAlign w:val="superscript"/>
          <w:lang w:val="en-US"/>
        </w:rPr>
      </w:pPr>
      <w:r w:rsidRPr="00BC77AF">
        <w:rPr>
          <w:lang w:val="en-US"/>
        </w:rPr>
        <w:t>Lucas M. Claussner</w:t>
      </w:r>
      <w:r w:rsidR="00B57E6F" w:rsidRPr="00BC77AF">
        <w:rPr>
          <w:vertAlign w:val="superscript"/>
          <w:lang w:val="en-US"/>
        </w:rPr>
        <w:t>a</w:t>
      </w:r>
      <w:r w:rsidRPr="00BC77AF">
        <w:rPr>
          <w:vertAlign w:val="superscript"/>
          <w:lang w:val="en-US"/>
        </w:rPr>
        <w:t>,</w:t>
      </w:r>
      <w:r w:rsidRPr="00BC77AF">
        <w:rPr>
          <w:lang w:val="en-US"/>
        </w:rPr>
        <w:t>*</w:t>
      </w:r>
      <w:r w:rsidR="00B57E6F" w:rsidRPr="00BC77AF">
        <w:rPr>
          <w:lang w:val="en-US"/>
        </w:rPr>
        <w:t xml:space="preserve">, </w:t>
      </w:r>
      <w:r w:rsidR="00D51CAA" w:rsidRPr="00BC77AF">
        <w:rPr>
          <w:lang w:val="en-US"/>
        </w:rPr>
        <w:t xml:space="preserve">Pramoth </w:t>
      </w:r>
      <w:r w:rsidR="00D51CAA" w:rsidRPr="00D51CAA">
        <w:t>Thumattin Sathiamoorthy</w:t>
      </w:r>
      <w:r w:rsidR="00D51CAA">
        <w:rPr>
          <w:vertAlign w:val="superscript"/>
        </w:rPr>
        <w:t>a</w:t>
      </w:r>
      <w:r w:rsidR="005C07C4" w:rsidRPr="00BC77AF">
        <w:rPr>
          <w:lang w:val="en-US"/>
        </w:rPr>
        <w:t>, Federico Ustolin</w:t>
      </w:r>
      <w:r w:rsidR="005C07C4" w:rsidRPr="00BC77AF">
        <w:rPr>
          <w:vertAlign w:val="superscript"/>
          <w:lang w:val="en-US"/>
        </w:rPr>
        <w:t>a</w:t>
      </w:r>
    </w:p>
    <w:p w14:paraId="3D72B0B0" w14:textId="2BF22D03" w:rsidR="00B57E6F" w:rsidRPr="00B57B36" w:rsidRDefault="00B57E6F" w:rsidP="00B57E6F">
      <w:pPr>
        <w:pStyle w:val="CETAddress"/>
      </w:pPr>
      <w:r w:rsidRPr="00B57B36">
        <w:rPr>
          <w:vertAlign w:val="superscript"/>
        </w:rPr>
        <w:t>a</w:t>
      </w:r>
      <w:r w:rsidR="00070C8A">
        <w:t>Norwegian University of Science and Technology NTNU</w:t>
      </w:r>
      <w:r w:rsidRPr="00B57B36">
        <w:t>,</w:t>
      </w:r>
      <w:r w:rsidR="00070C8A">
        <w:t xml:space="preserve"> Richard Birkelands vei 2B, 7034 Trondheim, Norway</w:t>
      </w:r>
    </w:p>
    <w:p w14:paraId="73F1267A" w14:textId="6A54968F" w:rsidR="00B57E6F" w:rsidRPr="00B57B36" w:rsidRDefault="00070C8A" w:rsidP="00B57E6F">
      <w:pPr>
        <w:pStyle w:val="CETemail"/>
      </w:pPr>
      <w:r>
        <w:t>*lucas.claussner</w:t>
      </w:r>
      <w:r w:rsidRPr="00B57B36">
        <w:t>@</w:t>
      </w:r>
      <w:r>
        <w:t>ntnu.no</w:t>
      </w:r>
    </w:p>
    <w:p w14:paraId="7851724B" w14:textId="6C9E9EEC" w:rsidR="00183388" w:rsidRDefault="00183388" w:rsidP="00600535">
      <w:pPr>
        <w:pStyle w:val="CETBodytext"/>
        <w:rPr>
          <w:lang w:val="en-GB"/>
        </w:rPr>
      </w:pPr>
      <w:r w:rsidRPr="00183388">
        <w:rPr>
          <w:lang w:val="en-GB"/>
        </w:rPr>
        <w:t>This study investigates the transfer processes of liquid hydrogen (LH2), a versatile energy carrier widely used in sectors such as space exploration, aviation, land-based mobility, industrial processes, and maritime operations. Despite its potential, the low boiling point and density of LH2 present significant challenges in handling, storage, and transportation, with limited current understanding of the thermodynamics involved in storing and filling cryogenic LH2 tanks. To address this, a static model for LH2 transfer via pipelines was developed using A</w:t>
      </w:r>
      <w:r w:rsidR="00C13F7E">
        <w:rPr>
          <w:lang w:val="en-GB"/>
        </w:rPr>
        <w:t>spen</w:t>
      </w:r>
      <w:r w:rsidRPr="00183388">
        <w:rPr>
          <w:lang w:val="en-GB"/>
        </w:rPr>
        <w:t xml:space="preserve"> HYSYS, incorporating key variables such as mass flow rate, pressure, temperature, and pipeline roughness. </w:t>
      </w:r>
      <w:r w:rsidR="00C13F7E">
        <w:rPr>
          <w:lang w:val="en-GB"/>
        </w:rPr>
        <w:t>The s</w:t>
      </w:r>
      <w:r w:rsidRPr="00183388">
        <w:rPr>
          <w:lang w:val="en-GB"/>
        </w:rPr>
        <w:t xml:space="preserve">imulations explored a range of operating conditions, including mass flow rates (5 to 400 kg/h), inlet pressures (1.5, 6, and 10 bar), and inlet temperatures (19 K, 20 K, and saturation temperatures), as well as pipeline roughness </w:t>
      </w:r>
      <w:r w:rsidR="001665D4">
        <w:rPr>
          <w:lang w:val="en-GB"/>
        </w:rPr>
        <w:t>(</w:t>
      </w:r>
      <w:r w:rsidRPr="00183388">
        <w:rPr>
          <w:lang w:val="en-GB"/>
        </w:rPr>
        <w:t xml:space="preserve">1.5 mm). The results demonstrate that pipeline roughness and flow rate are critical factors influencing pressure drop and vapor formation, while control valve positioning is essential for optimizing the filling process. This study offers valuable insights into improving the efficiency and safety of LH2 transfer systems, providing practical recommendations for industries reliant on cryogenic technologies. Additionally, optimizing the transfer process could mitigate hydrogen loss through boil-off gas (BOG) venting and reduce the risk of overpressure, </w:t>
      </w:r>
      <w:r w:rsidR="00C13F7E">
        <w:rPr>
          <w:lang w:val="en-GB"/>
        </w:rPr>
        <w:t>preventing</w:t>
      </w:r>
      <w:r w:rsidRPr="00183388">
        <w:rPr>
          <w:lang w:val="en-GB"/>
        </w:rPr>
        <w:t xml:space="preserve"> the activation of safety devices that could potentially lead to containment breaches. Future research should extend the model to account for inclined pipelines, flexible piping systems, and additional cryogenic components, further enhancing its industrial applicability.</w:t>
      </w:r>
    </w:p>
    <w:p w14:paraId="476B2F2E" w14:textId="52B36035" w:rsidR="00600535" w:rsidRPr="00B57B36" w:rsidRDefault="00600535" w:rsidP="00084F67">
      <w:pPr>
        <w:pStyle w:val="CETHeading1"/>
      </w:pPr>
      <w:r w:rsidRPr="00B57B36">
        <w:t>Introduction</w:t>
      </w:r>
    </w:p>
    <w:p w14:paraId="00B15146" w14:textId="28FC65A9" w:rsidR="00711DDB" w:rsidRPr="00276079" w:rsidRDefault="00233421" w:rsidP="00600535">
      <w:pPr>
        <w:pStyle w:val="CETBodytext"/>
        <w:rPr>
          <w:lang w:val="en-GB"/>
        </w:rPr>
      </w:pPr>
      <w:r w:rsidRPr="00233421">
        <w:rPr>
          <w:lang w:val="en-GB"/>
        </w:rPr>
        <w:t>As concerns about climate change and environmental damage intensify, the demand for sustainable energy is urgent. Hydrogen, with its emissions-free potential, offers a promising solution for decarbonizing transportation, industry, and power generation, making it vital to a sustainable future</w:t>
      </w:r>
      <w:r w:rsidR="007B50A3" w:rsidRPr="007B50A3">
        <w:rPr>
          <w:lang w:val="en-GB"/>
        </w:rPr>
        <w:t>. Despite its potential, hydrogen also presents unique challenges. It is highly flammable, requiring only 0.017 mJ of ignition energy</w:t>
      </w:r>
      <w:r w:rsidR="00833172">
        <w:rPr>
          <w:lang w:val="en-GB"/>
        </w:rPr>
        <w:t xml:space="preserve"> </w:t>
      </w:r>
      <w:r w:rsidR="00E03ADE">
        <w:rPr>
          <w:lang w:val="en-GB"/>
        </w:rPr>
        <w:fldChar w:fldCharType="begin"/>
      </w:r>
      <w:r w:rsidR="00791A17">
        <w:instrText xml:space="preserve"> ADDIN ZOTERO_ITEM CSL_CITATION {"citationID":"Q7IzGajn","properties":{"formattedCitation":"(Ono et al., 2007)","plainCitation":"(Ono et al., 2007)","noteIndex":0},"citationItems":[{"id":206,"uris":["http://zotero.org/users/local/klG9fWsX/items/E6XFI89Q"],"itemData":{"id":206,"type":"article-journal","abstract":"The minimum ignition energy (MIE) of hydrogen–air mixture is measured using capacitive spark discharge. First, the effect of humidity on MIE is studied. It is shown that the MIE is approximately constant when the relative humidity increases from 0% to 90% at room temperature. This indicates that humidity has no signiﬁcant inﬂuence on MIE. Next, the effect of spark duration on MIE is studied. The spark duration is increased by connecting a series resistor to the spark circuit. It is shown that the MIE is approximately constant when the spark duration is varied from 5 ns to 1 ms.","container-title":"Journal of Electrostatics","DOI":"10.1016/j.elstat.2006.07.004","ISSN":"03043886","issue":"2","journalAbbreviation":"Journal of Electrostatics","language":"en","license":"https://www.elsevier.com/tdm/userlicense/1.0/","page":"87-93","source":"DOI.org (Crossref)","title":"Minimum ignition energy of hydrogen–air mixture: Effects of humidity and spark duration","title-short":"Minimum ignition energy of hydrogen–air mixture","volume":"65","author":[{"family":"Ono","given":"Ryo"},{"family":"Nifuku","given":"Masaharu"},{"family":"Fujiwara","given":"Shuzo"},{"family":"Horiguchi","given":"Sadashige"},{"family":"Oda","given":"Tetsuji"}],"issued":{"date-parts":[["2007",2]]}}}],"schema":"https://github.com/citation-style-language/schema/raw/master/csl-citation.json"} </w:instrText>
      </w:r>
      <w:r w:rsidR="00E03ADE">
        <w:rPr>
          <w:lang w:val="en-GB"/>
        </w:rPr>
        <w:fldChar w:fldCharType="separate"/>
      </w:r>
      <w:r w:rsidR="00791A17" w:rsidRPr="00791A17">
        <w:rPr>
          <w:rFonts w:cs="Arial"/>
        </w:rPr>
        <w:t>(Ono et al., 2007)</w:t>
      </w:r>
      <w:r w:rsidR="00E03ADE">
        <w:rPr>
          <w:lang w:val="en-GB"/>
        </w:rPr>
        <w:fldChar w:fldCharType="end"/>
      </w:r>
      <w:r w:rsidR="007B50A3" w:rsidRPr="007B50A3">
        <w:rPr>
          <w:lang w:val="en-GB"/>
        </w:rPr>
        <w:t>, and its small molecular size</w:t>
      </w:r>
      <w:r w:rsidR="00C13F7E">
        <w:rPr>
          <w:lang w:val="en-GB"/>
        </w:rPr>
        <w:t>,</w:t>
      </w:r>
      <w:r w:rsidR="007B50A3" w:rsidRPr="007B50A3">
        <w:rPr>
          <w:lang w:val="en-GB"/>
        </w:rPr>
        <w:t xml:space="preserve"> allow</w:t>
      </w:r>
      <w:r w:rsidR="00C13F7E">
        <w:rPr>
          <w:lang w:val="en-GB"/>
        </w:rPr>
        <w:t>ing</w:t>
      </w:r>
      <w:r w:rsidR="007B50A3" w:rsidRPr="007B50A3">
        <w:rPr>
          <w:lang w:val="en-GB"/>
        </w:rPr>
        <w:t xml:space="preserve"> it to escape through microscopic </w:t>
      </w:r>
      <w:r w:rsidR="0074014D">
        <w:rPr>
          <w:lang w:val="en-GB"/>
        </w:rPr>
        <w:t>holes</w:t>
      </w:r>
      <w:r w:rsidR="007B50A3" w:rsidRPr="007B50A3">
        <w:rPr>
          <w:lang w:val="en-GB"/>
        </w:rPr>
        <w:t>, complicating containment efforts. Additionally, its flame is nearly invisible in daylight</w:t>
      </w:r>
      <w:r w:rsidR="00C947C3">
        <w:rPr>
          <w:lang w:val="en-GB"/>
        </w:rPr>
        <w:t xml:space="preserve"> </w:t>
      </w:r>
      <w:r w:rsidR="00E03ADE">
        <w:rPr>
          <w:lang w:val="en-GB"/>
        </w:rPr>
        <w:fldChar w:fldCharType="begin"/>
      </w:r>
      <w:r w:rsidR="00791A17">
        <w:instrText xml:space="preserve"> ADDIN ZOTERO_ITEM CSL_CITATION {"citationID":"ZxGcSzYt","properties":{"formattedCitation":"(Schefer et al., 2009)","plainCitation":"(Schefer et al., 2009)","noteIndex":0},"citationItems":[{"id":208,"uris":["http://zotero.org/users/local/klG9fWsX/items/LMAZKTVI"],"itemData":{"id":208,"type":"article-journal","abstract":"The common misconception that hydrogen ﬂames are not visible is examined. Examples are presented of clearly visible emissions from typical hydrogen ﬂames. It is shown that while visible emissions from these ﬂames are considerably weaker than those from comparable hydrocarbon ﬂames, they are indeed visible, albeit at reduced light levels in most cases. Detailed ﬂame spectra are presented to characterize ﬂame emission bands in the ultraviolet, visible and infrared regions of the spectrum that result in a visible hydrogen ﬂame. The visible blue emission is emphasized, and recorded spectra indicate that ﬁne spectral structure is superimposed on a broadband continuum extending from the ultraviolet into the visible region. Tests were performed to show that this emission does not arise from carbon or nitrogen chemistry resulting from carbon-containing impurities (hydrocarbons) in the hydrogen fuel or from CO2 or N2 entrainment from the surrounding air. The spectral structure, however, is also observed in methane ﬂames. The magnitude of the broadband emission increases with ﬂame temperature in a highly nonlinear manner while the ﬁner spectral structure is insensitive to temperature. A comparison of diffusion and premixed H2 ﬂames shows that the ﬁne scale structure is comparable in both ﬂames.","container-title":"Combustion and Flame","DOI":"10.1016/j.combustflame.2009.01.011","ISSN":"00102180","issue":"6","journalAbbreviation":"Combustion and Flame","language":"en","page":"1234-1241","source":"DOI.org (Crossref)","title":"Visible emission of hydrogen flames","volume":"156","author":[{"family":"Schefer","given":"R.W."},{"family":"Kulatilaka","given":"W.D."},{"family":"Patterson","given":"B.D."},{"family":"Settersten","given":"T.B."}],"issued":{"date-parts":[["2009",6]]}}}],"schema":"https://github.com/citation-style-language/schema/raw/master/csl-citation.json"} </w:instrText>
      </w:r>
      <w:r w:rsidR="00E03ADE">
        <w:rPr>
          <w:lang w:val="en-GB"/>
        </w:rPr>
        <w:fldChar w:fldCharType="separate"/>
      </w:r>
      <w:r w:rsidR="00791A17" w:rsidRPr="00791A17">
        <w:rPr>
          <w:rFonts w:cs="Arial"/>
        </w:rPr>
        <w:t>(Schefer et al., 2009)</w:t>
      </w:r>
      <w:r w:rsidR="00E03ADE">
        <w:rPr>
          <w:lang w:val="en-GB"/>
        </w:rPr>
        <w:fldChar w:fldCharType="end"/>
      </w:r>
      <w:r w:rsidR="007B50A3" w:rsidRPr="007B50A3">
        <w:rPr>
          <w:lang w:val="en-GB"/>
        </w:rPr>
        <w:t>, and its low density (0.0883 kg/m³ at atmospheric conditions) necessitates compression or liquefaction for practical storage.</w:t>
      </w:r>
      <w:r w:rsidR="007B50A3">
        <w:rPr>
          <w:lang w:val="en-GB"/>
        </w:rPr>
        <w:t xml:space="preserve"> </w:t>
      </w:r>
      <w:r w:rsidR="007B50A3" w:rsidRPr="007B50A3">
        <w:rPr>
          <w:lang w:val="en-GB"/>
        </w:rPr>
        <w:t>In its liquid form (LH2), hydrogen is stored as a cryogenic fluid at approximately 20.3 K under atmospheric pressure, increasing its density to 70.9 kg/m³</w:t>
      </w:r>
      <w:r w:rsidR="00C947C3">
        <w:rPr>
          <w:lang w:val="en-GB"/>
        </w:rPr>
        <w:t xml:space="preserve"> </w:t>
      </w:r>
      <w:r w:rsidR="00E03ADE">
        <w:rPr>
          <w:lang w:val="en-GB"/>
        </w:rPr>
        <w:fldChar w:fldCharType="begin"/>
      </w:r>
      <w:r w:rsidR="00791A17">
        <w:instrText xml:space="preserve"> ADDIN ZOTERO_ITEM CSL_CITATION {"citationID":"5fVv8yXk","properties":{"formattedCitation":"(\\uc0\\u8220{}NIST Chemistry WebBook,\\uc0\\u8221{} 2024)","plainCitation":"(“NIST Chemistry WebBook,” 2024)","noteIndex":0},"citationItems":[{"id":209,"uris":["http://zotero.org/users/local/klG9fWsX/items/E8XRCCRS"],"itemData":{"id":209,"type":"webpage","abstract":"NIST site provides chemical and physical property data for over 40,000 compounds.","language":"en","note":"publisher: National Institute of Standards and Technology","title":"NIST Chemistry WebBook","URL":"https://webbook.nist.gov/chemistry/","accessed":{"date-parts":[["2024",10,10]]},"issued":{"date-parts":[["2024"]]}}}],"schema":"https://github.com/citation-style-language/schema/raw/master/csl-citation.json"} </w:instrText>
      </w:r>
      <w:r w:rsidR="00E03ADE">
        <w:rPr>
          <w:lang w:val="en-GB"/>
        </w:rPr>
        <w:fldChar w:fldCharType="separate"/>
      </w:r>
      <w:r w:rsidR="00791A17" w:rsidRPr="00791A17">
        <w:rPr>
          <w:rFonts w:cs="Arial"/>
        </w:rPr>
        <w:t>(“NIST Chemistry WebBook,” 2024)</w:t>
      </w:r>
      <w:r w:rsidR="00E03ADE">
        <w:rPr>
          <w:lang w:val="en-GB"/>
        </w:rPr>
        <w:fldChar w:fldCharType="end"/>
      </w:r>
      <w:r w:rsidR="007B50A3" w:rsidRPr="007B50A3">
        <w:rPr>
          <w:lang w:val="en-GB"/>
        </w:rPr>
        <w:t xml:space="preserve">. </w:t>
      </w:r>
      <w:r w:rsidR="00C13F7E" w:rsidRPr="00C13F7E">
        <w:rPr>
          <w:lang w:val="en-GB"/>
        </w:rPr>
        <w:t xml:space="preserve"> The transfer operation is critical due to significant hydrogen losses during the process and the lack of international standards, leading to challenges in both efficiency and safety. Despite these issues, </w:t>
      </w:r>
      <w:r w:rsidR="0076728D">
        <w:rPr>
          <w:lang w:val="en-GB"/>
        </w:rPr>
        <w:t xml:space="preserve">LH2 </w:t>
      </w:r>
      <w:r w:rsidR="00C13F7E" w:rsidRPr="00C13F7E">
        <w:rPr>
          <w:lang w:val="en-GB"/>
        </w:rPr>
        <w:t>remains a viable option in industries such as aerospace, aeronautics, and maritime, where high energy density and large fuel volumes are essential, as well as in applications that require increased stationary storage capacity</w:t>
      </w:r>
      <w:r w:rsidR="007B50A3" w:rsidRPr="007B50A3">
        <w:rPr>
          <w:lang w:val="en-GB"/>
        </w:rPr>
        <w:t>.</w:t>
      </w:r>
      <w:r w:rsidR="00276079">
        <w:rPr>
          <w:lang w:val="en-GB"/>
        </w:rPr>
        <w:t xml:space="preserve"> </w:t>
      </w:r>
      <w:r w:rsidR="007B50A3" w:rsidRPr="007B50A3">
        <w:rPr>
          <w:lang w:val="en-GB"/>
        </w:rPr>
        <w:t>This paper explores the complexities and opportunities of LH2 transfer through pipelines, focusing on the operational efficiency</w:t>
      </w:r>
      <w:r w:rsidR="002503BA">
        <w:rPr>
          <w:lang w:val="en-GB"/>
        </w:rPr>
        <w:t xml:space="preserve">. </w:t>
      </w:r>
      <w:r w:rsidR="002503BA" w:rsidRPr="002503BA">
        <w:rPr>
          <w:lang w:val="en-GB"/>
        </w:rPr>
        <w:t xml:space="preserve">The primary objective of this work is to develop a model for LH2 transfer using Aspen HYSYS software. To support this, the study </w:t>
      </w:r>
      <w:r w:rsidR="003670CE">
        <w:rPr>
          <w:lang w:val="en-GB"/>
        </w:rPr>
        <w:t>presents a description</w:t>
      </w:r>
      <w:r w:rsidR="002503BA" w:rsidRPr="002503BA">
        <w:rPr>
          <w:lang w:val="en-GB"/>
        </w:rPr>
        <w:t xml:space="preserve"> of the</w:t>
      </w:r>
      <w:r w:rsidR="003670CE">
        <w:rPr>
          <w:lang w:val="en-GB"/>
        </w:rPr>
        <w:t xml:space="preserve"> layout and components of</w:t>
      </w:r>
      <w:r w:rsidR="002503BA" w:rsidRPr="002503BA">
        <w:rPr>
          <w:lang w:val="en-GB"/>
        </w:rPr>
        <w:t xml:space="preserve"> liquid cryogen transfer </w:t>
      </w:r>
      <w:r w:rsidR="003670CE">
        <w:rPr>
          <w:lang w:val="en-GB"/>
        </w:rPr>
        <w:t>facilities</w:t>
      </w:r>
      <w:r w:rsidR="00B811BB">
        <w:rPr>
          <w:lang w:val="en-GB"/>
        </w:rPr>
        <w:t xml:space="preserve"> </w:t>
      </w:r>
      <w:r w:rsidR="002503BA" w:rsidRPr="002503BA">
        <w:rPr>
          <w:lang w:val="en-GB"/>
        </w:rPr>
        <w:t xml:space="preserve">and the fundamental principles of </w:t>
      </w:r>
      <w:r w:rsidR="0076728D">
        <w:rPr>
          <w:lang w:val="en-GB"/>
        </w:rPr>
        <w:t>LH2</w:t>
      </w:r>
      <w:r w:rsidR="002503BA" w:rsidRPr="002503BA">
        <w:rPr>
          <w:lang w:val="en-GB"/>
        </w:rPr>
        <w:t xml:space="preserve"> transfer. Additionally, </w:t>
      </w:r>
      <w:r w:rsidR="003670CE">
        <w:rPr>
          <w:lang w:val="en-GB"/>
        </w:rPr>
        <w:t>steady-state</w:t>
      </w:r>
      <w:r w:rsidR="003670CE" w:rsidRPr="002503BA">
        <w:rPr>
          <w:lang w:val="en-GB"/>
        </w:rPr>
        <w:t xml:space="preserve"> </w:t>
      </w:r>
      <w:r w:rsidR="002503BA" w:rsidRPr="002503BA">
        <w:rPr>
          <w:lang w:val="en-GB"/>
        </w:rPr>
        <w:t>model</w:t>
      </w:r>
      <w:r w:rsidR="00C13F7E">
        <w:rPr>
          <w:lang w:val="en-GB"/>
        </w:rPr>
        <w:t>l</w:t>
      </w:r>
      <w:r w:rsidR="002503BA" w:rsidRPr="002503BA">
        <w:rPr>
          <w:lang w:val="en-GB"/>
        </w:rPr>
        <w:t xml:space="preserve">ing of LH2 transfer in rigid pipelines </w:t>
      </w:r>
      <w:r w:rsidR="003670CE">
        <w:rPr>
          <w:lang w:val="en-GB"/>
        </w:rPr>
        <w:t>was</w:t>
      </w:r>
      <w:r w:rsidR="002503BA" w:rsidRPr="002503BA">
        <w:rPr>
          <w:lang w:val="en-GB"/>
        </w:rPr>
        <w:t xml:space="preserve"> performed using Aspen HYSYS. This work also aims to establish a foundation for future research in LH2 transfer technologies, contributing to the advancement of efficient and safe hydrogen transfer systems.</w:t>
      </w:r>
    </w:p>
    <w:p w14:paraId="6DD0CCA8" w14:textId="077C9E37" w:rsidR="002826A9" w:rsidRDefault="002826A9" w:rsidP="00084F67">
      <w:pPr>
        <w:pStyle w:val="CETHeading1"/>
      </w:pPr>
      <w:r>
        <w:lastRenderedPageBreak/>
        <w:t xml:space="preserve">Liquid </w:t>
      </w:r>
      <w:r w:rsidR="00B86B75">
        <w:t>hydrogen storage facilities</w:t>
      </w:r>
      <w:r w:rsidR="0015538A">
        <w:t xml:space="preserve"> </w:t>
      </w:r>
      <w:r w:rsidR="00B86B75">
        <w:t>and operation</w:t>
      </w:r>
      <w:r w:rsidR="001E325E">
        <w:t>s</w:t>
      </w:r>
    </w:p>
    <w:p w14:paraId="65AA46C4" w14:textId="520E9C04" w:rsidR="002826A9" w:rsidRPr="00C911EA" w:rsidRDefault="0076728D" w:rsidP="00C911EA">
      <w:pPr>
        <w:pStyle w:val="CETBodytext"/>
      </w:pPr>
      <w:r>
        <w:rPr>
          <w:rFonts w:cs="Arial"/>
          <w:szCs w:val="18"/>
        </w:rPr>
        <w:t>LH2</w:t>
      </w:r>
      <w:r w:rsidR="002826A9" w:rsidRPr="002826A9">
        <w:rPr>
          <w:rFonts w:cs="Arial"/>
          <w:szCs w:val="18"/>
        </w:rPr>
        <w:t xml:space="preserve"> facilities are equipped with several critical components. Central to any LH2 facility are cryogenic storage tanks, which are typically double-walled containers insulated to minimize heat transfer and reduce the generation of </w:t>
      </w:r>
      <w:r>
        <w:rPr>
          <w:rFonts w:cs="Arial"/>
          <w:szCs w:val="18"/>
        </w:rPr>
        <w:t>BOG</w:t>
      </w:r>
      <w:r w:rsidR="002826A9" w:rsidRPr="002826A9">
        <w:rPr>
          <w:rFonts w:cs="Arial"/>
          <w:szCs w:val="18"/>
        </w:rPr>
        <w:t xml:space="preserve">. Insulation materials such as multi-layer insulation (MLI), glass microspheres, aerogel, foams, and perlite are commonly employed. In addition to storage tanks, transfer systems play a crucial role in </w:t>
      </w:r>
      <w:r w:rsidR="00E16099">
        <w:rPr>
          <w:rFonts w:cs="Arial"/>
          <w:szCs w:val="18"/>
        </w:rPr>
        <w:t>handling</w:t>
      </w:r>
      <w:r w:rsidR="00E16099" w:rsidRPr="002826A9">
        <w:rPr>
          <w:rFonts w:cs="Arial"/>
          <w:szCs w:val="18"/>
        </w:rPr>
        <w:t xml:space="preserve"> </w:t>
      </w:r>
      <w:r w:rsidR="002826A9" w:rsidRPr="002826A9">
        <w:rPr>
          <w:rFonts w:cs="Arial"/>
          <w:szCs w:val="18"/>
        </w:rPr>
        <w:t xml:space="preserve">LH2 within the facility. These systems include cryogenic transfer lines, valves, and piping, as well as pumps that facilitate the </w:t>
      </w:r>
      <w:r>
        <w:rPr>
          <w:rFonts w:cs="Arial"/>
          <w:szCs w:val="18"/>
        </w:rPr>
        <w:t>LH2</w:t>
      </w:r>
      <w:r w:rsidR="008700C6">
        <w:rPr>
          <w:rFonts w:cs="Arial"/>
          <w:szCs w:val="18"/>
        </w:rPr>
        <w:t xml:space="preserve"> transfer</w:t>
      </w:r>
      <w:r w:rsidR="002826A9" w:rsidRPr="002826A9">
        <w:rPr>
          <w:rFonts w:cs="Arial"/>
          <w:szCs w:val="18"/>
        </w:rPr>
        <w:t xml:space="preserve">. The effective operation of these systems is essential to maintaining hydrogen in its liquid form during distribution. A key challenge in LH2 storage and transfer is self-pressurization, where heat ingress causes </w:t>
      </w:r>
      <w:r>
        <w:rPr>
          <w:rFonts w:cs="Arial"/>
          <w:szCs w:val="18"/>
        </w:rPr>
        <w:t>LH2</w:t>
      </w:r>
      <w:r w:rsidR="002826A9" w:rsidRPr="002826A9">
        <w:rPr>
          <w:rFonts w:cs="Arial"/>
          <w:szCs w:val="18"/>
        </w:rPr>
        <w:t xml:space="preserve"> to evaporate, leading to</w:t>
      </w:r>
      <w:r w:rsidR="00FB3569">
        <w:rPr>
          <w:rFonts w:cs="Arial"/>
          <w:szCs w:val="18"/>
        </w:rPr>
        <w:t xml:space="preserve"> the formation of BOG and therefore to</w:t>
      </w:r>
      <w:r w:rsidR="002826A9" w:rsidRPr="002826A9">
        <w:rPr>
          <w:rFonts w:cs="Arial"/>
          <w:szCs w:val="18"/>
        </w:rPr>
        <w:t xml:space="preserve"> increased pressure within the tank. </w:t>
      </w:r>
      <w:r w:rsidR="00FB3569">
        <w:rPr>
          <w:rFonts w:cs="Arial"/>
          <w:szCs w:val="18"/>
        </w:rPr>
        <w:t>Tank m</w:t>
      </w:r>
      <w:r w:rsidR="002826A9" w:rsidRPr="002826A9">
        <w:rPr>
          <w:rFonts w:cs="Arial"/>
          <w:szCs w:val="18"/>
        </w:rPr>
        <w:t xml:space="preserve">anagement and venting </w:t>
      </w:r>
      <w:r w:rsidR="004F1403">
        <w:rPr>
          <w:rFonts w:cs="Arial"/>
          <w:szCs w:val="18"/>
        </w:rPr>
        <w:t>systems</w:t>
      </w:r>
      <w:r w:rsidR="004F1403" w:rsidRPr="002826A9">
        <w:rPr>
          <w:rFonts w:cs="Arial"/>
          <w:szCs w:val="18"/>
        </w:rPr>
        <w:t xml:space="preserve"> </w:t>
      </w:r>
      <w:r w:rsidR="002826A9" w:rsidRPr="002826A9">
        <w:rPr>
          <w:rFonts w:cs="Arial"/>
          <w:szCs w:val="18"/>
        </w:rPr>
        <w:t>are required to relieve excess pressure while minimizing hydrogen loss. Safety and control systems further ensure the integrity of the facility by continuously monitoring critical parameters such as temperature and pressure, thereby preventing conditions that could lead to</w:t>
      </w:r>
      <w:r w:rsidR="007C0A68">
        <w:rPr>
          <w:rFonts w:cs="Arial"/>
          <w:szCs w:val="18"/>
        </w:rPr>
        <w:t xml:space="preserve"> and </w:t>
      </w:r>
      <w:r>
        <w:rPr>
          <w:rFonts w:cs="Arial"/>
          <w:szCs w:val="18"/>
        </w:rPr>
        <w:t xml:space="preserve">loss of </w:t>
      </w:r>
      <w:r w:rsidR="002826A9" w:rsidRPr="002826A9">
        <w:rPr>
          <w:rFonts w:cs="Arial"/>
          <w:szCs w:val="18"/>
        </w:rPr>
        <w:t>containment.</w:t>
      </w:r>
    </w:p>
    <w:p w14:paraId="1BA27B7B" w14:textId="0D61595C" w:rsidR="00711DDB" w:rsidRDefault="002826A9" w:rsidP="00084F67">
      <w:pPr>
        <w:pStyle w:val="CETHeading1"/>
        <w:numPr>
          <w:ilvl w:val="2"/>
          <w:numId w:val="1"/>
        </w:numPr>
        <w:rPr>
          <w:sz w:val="18"/>
          <w:szCs w:val="18"/>
        </w:rPr>
      </w:pPr>
      <w:r w:rsidRPr="00F41BA3">
        <w:rPr>
          <w:sz w:val="18"/>
          <w:szCs w:val="18"/>
        </w:rPr>
        <w:t>Layout and components</w:t>
      </w:r>
    </w:p>
    <w:p w14:paraId="31C2274C" w14:textId="77777777" w:rsidR="006E5D66" w:rsidRDefault="00BE4CAC" w:rsidP="007536D6">
      <w:pPr>
        <w:pStyle w:val="CETBodytext"/>
        <w:rPr>
          <w:rFonts w:cs="Arial"/>
          <w:szCs w:val="18"/>
        </w:rPr>
      </w:pPr>
      <w:r w:rsidRPr="00BE4CAC">
        <w:rPr>
          <w:rFonts w:cs="Arial"/>
          <w:szCs w:val="18"/>
        </w:rPr>
        <w:t xml:space="preserve">In LH2 applications, transfer typically occurs between two storage tanks linked by transfer lines that enable controlled movement of </w:t>
      </w:r>
      <w:r w:rsidR="0076728D">
        <w:rPr>
          <w:rFonts w:cs="Arial"/>
          <w:szCs w:val="18"/>
        </w:rPr>
        <w:t>the fluid</w:t>
      </w:r>
      <w:r w:rsidRPr="00BE4CAC">
        <w:rPr>
          <w:rFonts w:cs="Arial"/>
          <w:szCs w:val="18"/>
        </w:rPr>
        <w:t xml:space="preserve">. </w:t>
      </w:r>
      <w:r w:rsidRPr="00BE4CAC">
        <w:rPr>
          <w:rFonts w:cs="Arial"/>
          <w:szCs w:val="18"/>
        </w:rPr>
        <w:fldChar w:fldCharType="begin"/>
      </w:r>
      <w:r w:rsidRPr="00BE4CAC">
        <w:rPr>
          <w:rFonts w:cs="Arial"/>
          <w:szCs w:val="18"/>
        </w:rPr>
        <w:instrText xml:space="preserve"> REF _Ref182494403 \h </w:instrText>
      </w:r>
      <w:r w:rsidRPr="0086611D">
        <w:rPr>
          <w:rFonts w:cs="Arial"/>
          <w:szCs w:val="18"/>
        </w:rPr>
        <w:instrText xml:space="preserve"> \* MERGEFORMAT </w:instrText>
      </w:r>
      <w:r w:rsidRPr="00BE4CAC">
        <w:rPr>
          <w:rFonts w:cs="Arial"/>
          <w:szCs w:val="18"/>
        </w:rPr>
      </w:r>
      <w:r w:rsidRPr="00BE4CAC">
        <w:rPr>
          <w:rFonts w:cs="Arial"/>
          <w:szCs w:val="18"/>
        </w:rPr>
        <w:fldChar w:fldCharType="separate"/>
      </w:r>
      <w:r w:rsidRPr="0086611D">
        <w:t xml:space="preserve">Figure </w:t>
      </w:r>
      <w:r w:rsidRPr="0086611D">
        <w:rPr>
          <w:noProof/>
        </w:rPr>
        <w:t>1</w:t>
      </w:r>
      <w:r w:rsidRPr="00BE4CAC">
        <w:rPr>
          <w:rFonts w:cs="Arial"/>
          <w:szCs w:val="18"/>
        </w:rPr>
        <w:fldChar w:fldCharType="end"/>
      </w:r>
      <w:r w:rsidRPr="00BE4CAC">
        <w:rPr>
          <w:rFonts w:cs="Arial"/>
          <w:szCs w:val="18"/>
        </w:rPr>
        <w:t xml:space="preserve"> illustrates a schematic layout of such a theoretical LH2 transfer system, showing key components including storage tanks, transfer lines, valves, a heat exchanger, and a venting system.</w:t>
      </w:r>
    </w:p>
    <w:p w14:paraId="3C9B84D0" w14:textId="77777777" w:rsidR="00FA1A7C" w:rsidRDefault="00FA1A7C" w:rsidP="007536D6">
      <w:pPr>
        <w:pStyle w:val="CETBodytext"/>
        <w:rPr>
          <w:rFonts w:cs="Arial"/>
          <w:szCs w:val="18"/>
        </w:rPr>
      </w:pPr>
    </w:p>
    <w:p w14:paraId="5EFD2587" w14:textId="4295894F" w:rsidR="00241A61" w:rsidRDefault="006E5D66" w:rsidP="006E5D66">
      <w:pPr>
        <w:pStyle w:val="CETBodytext"/>
      </w:pPr>
      <w:r>
        <w:rPr>
          <w:noProof/>
        </w:rPr>
        <w:drawing>
          <wp:inline distT="0" distB="0" distL="0" distR="0" wp14:anchorId="352EE7D5" wp14:editId="254F281B">
            <wp:extent cx="4705933" cy="2962162"/>
            <wp:effectExtent l="0" t="0" r="0" b="0"/>
            <wp:docPr id="1261216654" name="Picture 1" descr="A diagram of a tan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216654" name="Picture 1" descr="A diagram of a tank&#10;&#10;Description automatically generated"/>
                    <pic:cNvPicPr/>
                  </pic:nvPicPr>
                  <pic:blipFill>
                    <a:blip r:embed="rId10"/>
                    <a:stretch>
                      <a:fillRect/>
                    </a:stretch>
                  </pic:blipFill>
                  <pic:spPr>
                    <a:xfrm>
                      <a:off x="0" y="0"/>
                      <a:ext cx="4730761" cy="2977790"/>
                    </a:xfrm>
                    <a:prstGeom prst="rect">
                      <a:avLst/>
                    </a:prstGeom>
                  </pic:spPr>
                </pic:pic>
              </a:graphicData>
            </a:graphic>
          </wp:inline>
        </w:drawing>
      </w:r>
    </w:p>
    <w:p w14:paraId="0E2E1231" w14:textId="4295894F" w:rsidR="005F2D04" w:rsidRDefault="00241A61" w:rsidP="0086611D">
      <w:pPr>
        <w:pStyle w:val="Paragrafoelenco"/>
        <w:tabs>
          <w:tab w:val="clear" w:pos="7100"/>
        </w:tabs>
        <w:spacing w:before="100" w:beforeAutospacing="1" w:after="100" w:afterAutospacing="1" w:line="240" w:lineRule="auto"/>
        <w:ind w:left="0"/>
        <w:rPr>
          <w:i/>
          <w:iCs/>
        </w:rPr>
      </w:pPr>
      <w:bookmarkStart w:id="1" w:name="_Ref182494403"/>
      <w:r w:rsidRPr="00241A61">
        <w:rPr>
          <w:i/>
          <w:iCs/>
        </w:rPr>
        <w:t xml:space="preserve">Figure </w:t>
      </w:r>
      <w:r w:rsidRPr="00241A61">
        <w:rPr>
          <w:i/>
          <w:iCs/>
          <w:color w:val="4F81BD" w:themeColor="accent1"/>
          <w:szCs w:val="18"/>
        </w:rPr>
        <w:fldChar w:fldCharType="begin"/>
      </w:r>
      <w:r w:rsidRPr="00241A61">
        <w:rPr>
          <w:i/>
          <w:iCs/>
        </w:rPr>
        <w:instrText xml:space="preserve"> SEQ Figure \* ARABIC </w:instrText>
      </w:r>
      <w:r w:rsidRPr="00241A61">
        <w:rPr>
          <w:i/>
          <w:iCs/>
          <w:color w:val="4F81BD" w:themeColor="accent1"/>
          <w:szCs w:val="18"/>
        </w:rPr>
        <w:fldChar w:fldCharType="separate"/>
      </w:r>
      <w:r w:rsidRPr="00241A61">
        <w:rPr>
          <w:i/>
          <w:iCs/>
          <w:noProof/>
        </w:rPr>
        <w:t>1</w:t>
      </w:r>
      <w:r w:rsidRPr="00241A61">
        <w:rPr>
          <w:i/>
          <w:iCs/>
          <w:color w:val="4F81BD" w:themeColor="accent1"/>
          <w:szCs w:val="18"/>
        </w:rPr>
        <w:fldChar w:fldCharType="end"/>
      </w:r>
      <w:bookmarkEnd w:id="1"/>
      <w:r w:rsidRPr="00241A61">
        <w:rPr>
          <w:i/>
          <w:iCs/>
        </w:rPr>
        <w:t>: Layout and components of LH2 storage and transfer system</w:t>
      </w:r>
      <w:r w:rsidR="00F93FCE">
        <w:rPr>
          <w:i/>
          <w:iCs/>
        </w:rPr>
        <w:t xml:space="preserve"> </w:t>
      </w:r>
      <w:r>
        <w:rPr>
          <w:i/>
          <w:iCs/>
        </w:rPr>
        <w:t>adapted from</w:t>
      </w:r>
      <w:r w:rsidR="00F93FCE">
        <w:rPr>
          <w:i/>
          <w:iCs/>
        </w:rPr>
        <w:t xml:space="preserve"> </w:t>
      </w:r>
      <w:r w:rsidRPr="00241A61">
        <w:rPr>
          <w:i/>
          <w:iCs/>
          <w:color w:val="4F81BD" w:themeColor="accent1"/>
          <w:szCs w:val="18"/>
        </w:rPr>
        <w:fldChar w:fldCharType="begin"/>
      </w:r>
      <w:r w:rsidRPr="00241A61">
        <w:rPr>
          <w:i/>
          <w:iCs/>
        </w:rPr>
        <w:instrText xml:space="preserve"> ADDIN ZOTERO_ITEM CSL_CITATION {"citationID":"dh8fjaOD","properties":{"formattedCitation":"(Sathiamoorthy, 2024)","plainCitation":"(Sathiamoorthy, 2024)","noteIndex":0},"citationItems":[{"id":227,"uris":["http://zotero.org/users/local/klG9fWsX/items/92FE2SVI"],"itemData":{"id":227,"type":"thesis","event-place":"Trondheim","genre":"Master's thesis","publisher":"Norwegian University of Science and Technology","publisher-place":"Trondheim","title":"Modelling of Liquid Hydrogen Transfer using Aspen HYSYS","author":[{"family":"Sathiamoorthy","given":"Pramoth T."}],"issued":{"date-parts":[["2024"]]}}}],"schema":"https://github.com/citation-style-language/schema/raw/master/csl-citation.json"} </w:instrText>
      </w:r>
      <w:r w:rsidRPr="00241A61">
        <w:rPr>
          <w:i/>
          <w:iCs/>
          <w:color w:val="4F81BD" w:themeColor="accent1"/>
          <w:szCs w:val="18"/>
        </w:rPr>
        <w:fldChar w:fldCharType="separate"/>
      </w:r>
      <w:r w:rsidR="00791A17" w:rsidRPr="00791A17">
        <w:rPr>
          <w:rFonts w:cs="Arial"/>
        </w:rPr>
        <w:t>(Sathiamoorthy, 2024)</w:t>
      </w:r>
      <w:r w:rsidRPr="00241A61">
        <w:rPr>
          <w:i/>
          <w:iCs/>
          <w:color w:val="4F81BD" w:themeColor="accent1"/>
          <w:szCs w:val="18"/>
        </w:rPr>
        <w:fldChar w:fldCharType="end"/>
      </w:r>
    </w:p>
    <w:p w14:paraId="62BDD79B" w14:textId="177F95F2" w:rsidR="00F64ABA" w:rsidRPr="0086611D" w:rsidRDefault="00E42A03" w:rsidP="00A71791">
      <w:pPr>
        <w:pStyle w:val="CETBodytext"/>
      </w:pPr>
      <w:r w:rsidRPr="00BE4CAC">
        <w:t xml:space="preserve">The transfer of LH2 can be achieved </w:t>
      </w:r>
      <w:r w:rsidR="002F1FD6">
        <w:t>through</w:t>
      </w:r>
      <w:r w:rsidRPr="00BE4CAC">
        <w:t xml:space="preserve"> pressure difference between the tanks. This pressure differential allows </w:t>
      </w:r>
      <w:r w:rsidR="0076728D">
        <w:t>LH2</w:t>
      </w:r>
      <w:r w:rsidRPr="00BE4CAC">
        <w:t xml:space="preserve"> to flow from the releasing</w:t>
      </w:r>
      <w:r>
        <w:t>/giving</w:t>
      </w:r>
      <w:r w:rsidRPr="00BE4CAC">
        <w:t xml:space="preserve"> tank to the receiving tank. To establish this pressure difference, a heat exchanger is</w:t>
      </w:r>
      <w:r>
        <w:t xml:space="preserve"> warming up some of the LH2 which is extracted from the giving tank for that </w:t>
      </w:r>
      <w:r w:rsidRPr="008C5433">
        <w:t>purpose. The LH2 is taking up energy in the heat exchanger what leads to the accelerated formation of BOG and therefore to an expansion of the fluid. The warmed hydrogen is then directed back into the giving tank to drive pressurization. This method is advantageous as it minimizes the need for mechanical pumping.</w:t>
      </w:r>
      <w:r w:rsidR="008C5433">
        <w:t xml:space="preserve"> </w:t>
      </w:r>
      <w:r w:rsidRPr="008C5433">
        <w:t>However, in cases where rapid pressurization is not feasible or when precise flow control is needed, pumps may be introduced into the system</w:t>
      </w:r>
      <w:r w:rsidR="008C5433" w:rsidRPr="008C5433">
        <w:t xml:space="preserve">. </w:t>
      </w:r>
      <w:r w:rsidR="00E117A5">
        <w:t>LH2</w:t>
      </w:r>
      <w:r w:rsidR="008C5433" w:rsidRPr="008C5433">
        <w:t xml:space="preserve"> pumps are specifically adapted to handle cryogenic conditions. </w:t>
      </w:r>
      <w:r w:rsidR="008C5433" w:rsidRPr="0086611D">
        <w:t>Centrifugal pumps</w:t>
      </w:r>
      <w:r w:rsidR="008C5433" w:rsidRPr="008C5433">
        <w:t xml:space="preserve"> are widely used for low- to medium-pressure transfer, though they generate heat that can cause vaporizatio</w:t>
      </w:r>
      <w:r w:rsidR="00365AEF">
        <w:t>n</w:t>
      </w:r>
      <w:r w:rsidR="008C5433" w:rsidRPr="008C5433">
        <w:t xml:space="preserve">, leading to efficiency losses. </w:t>
      </w:r>
      <w:r w:rsidR="008C5433" w:rsidRPr="0086611D">
        <w:t>Positive displacement pumps</w:t>
      </w:r>
      <w:r w:rsidR="008C5433" w:rsidRPr="008C5433">
        <w:t>, such as piston pumps, are better suited for high-pressure applications because they introduce minimal heat, helping reduce BOG formation</w:t>
      </w:r>
      <w:r w:rsidR="008C5433">
        <w:t xml:space="preserve"> </w:t>
      </w:r>
      <w:r w:rsidR="008C5433">
        <w:fldChar w:fldCharType="begin"/>
      </w:r>
      <w:r w:rsidR="00FE06F5">
        <w:instrText xml:space="preserve"> ADDIN ZOTERO_ITEM CSL_CITATION {"citationID":"0WSZbeQJ","properties":{"formattedCitation":"(Long, 2024)","plainCitation":"(Long, 2024)","noteIndex":0},"citationItems":[{"id":229,"uris":["http://zotero.org/users/local/klG9fWsX/items/WDE4QY8U"],"itemData":{"id":229,"type":"webpage","abstract":"As the world accelerates toward an energy transition, it has become clear hydrogen will play a key role in decarbonizing hard to abate industrial and","container-title":"Pumps&amp;Systems","language":"en","title":"Pumping Liquid Hydrogen for Industrial &amp; Transportation Applications | Pumps &amp; Systems","URL":"https://www.pumpsandsystems.com/pumping-liquid-hydrogen-industrial-transportation-applications","author":[{"family":"Long","given":"Richard"}],"accessed":{"date-parts":[["2024",11,14]]},"issued":{"date-parts":[["2024",3,21]]}}}],"schema":"https://github.com/citation-style-language/schema/raw/master/csl-citation.json"} </w:instrText>
      </w:r>
      <w:r w:rsidR="008C5433">
        <w:fldChar w:fldCharType="separate"/>
      </w:r>
      <w:r w:rsidR="00791A17" w:rsidRPr="00791A17">
        <w:t>(Long, 2024)</w:t>
      </w:r>
      <w:r w:rsidR="008C5433">
        <w:fldChar w:fldCharType="end"/>
      </w:r>
      <w:r w:rsidR="008C5433" w:rsidRPr="008C5433">
        <w:t>.</w:t>
      </w:r>
      <w:r w:rsidR="008C5433">
        <w:t xml:space="preserve"> </w:t>
      </w:r>
      <w:r w:rsidR="008C5433" w:rsidRPr="008C5433">
        <w:t>The low density and viscosity of LH</w:t>
      </w:r>
      <w:r w:rsidR="007F5C0D">
        <w:t>2</w:t>
      </w:r>
      <w:r w:rsidR="008C5433" w:rsidRPr="008C5433">
        <w:t xml:space="preserve"> create unique design challenges, including reduced rotor stability in centrifugal pumps. Material selection is also critical, with stainless steel alloys often used to prevent hydrogen embrittlement</w:t>
      </w:r>
      <w:r w:rsidR="008C5433">
        <w:t xml:space="preserve"> </w:t>
      </w:r>
      <w:r w:rsidR="008C5433">
        <w:fldChar w:fldCharType="begin"/>
      </w:r>
      <w:r w:rsidR="00FE06F5">
        <w:instrText xml:space="preserve"> ADDIN ZOTERO_ITEM CSL_CITATION {"citationID":"BvqtbRXE","properties":{"formattedCitation":"(Long, 2024)","plainCitation":"(Long, 2024)","noteIndex":0},"citationItems":[{"id":229,"uris":["http://zotero.org/users/local/klG9fWsX/items/WDE4QY8U"],"itemData":{"id":229,"type":"webpage","abstract":"As the world accelerates toward an energy transition, it has become clear hydrogen will play a key role in decarbonizing hard to abate industrial and","container-title":"Pumps&amp;Systems","language":"en","title":"Pumping Liquid Hydrogen for Industrial &amp; Transportation Applications | Pumps &amp; Systems","URL":"https://www.pumpsandsystems.com/pumping-liquid-hydrogen-industrial-transportation-applications","author":[{"family":"Long","given":"Richard"}],"accessed":{"date-parts":[["2024",11,14]]},"issued":{"date-parts":[["2024",3,21]]}}}],"schema":"https://github.com/citation-style-language/schema/raw/master/csl-citation.json"} </w:instrText>
      </w:r>
      <w:r w:rsidR="008C5433">
        <w:fldChar w:fldCharType="separate"/>
      </w:r>
      <w:r w:rsidR="00791A17" w:rsidRPr="00791A17">
        <w:t>(Long, 2024)</w:t>
      </w:r>
      <w:r w:rsidR="008C5433">
        <w:fldChar w:fldCharType="end"/>
      </w:r>
      <w:r w:rsidR="008C5433">
        <w:t>.</w:t>
      </w:r>
      <w:r w:rsidR="00E117A5">
        <w:t xml:space="preserve"> Furthermore, c</w:t>
      </w:r>
      <w:r w:rsidR="009E645C" w:rsidRPr="008C5433">
        <w:t xml:space="preserve">omponents like valves and venting installations </w:t>
      </w:r>
      <w:r w:rsidR="00074209">
        <w:t>are critical for</w:t>
      </w:r>
      <w:r w:rsidR="009E645C" w:rsidRPr="008C5433">
        <w:t xml:space="preserve"> regulating pressure and preventing </w:t>
      </w:r>
      <w:r w:rsidR="009E645C" w:rsidRPr="008C5433">
        <w:lastRenderedPageBreak/>
        <w:t>over-pressurization, which could lead to dangerous leaks or equipment damage. The venting installation</w:t>
      </w:r>
      <w:r w:rsidR="00E117A5">
        <w:t xml:space="preserve"> </w:t>
      </w:r>
      <w:r w:rsidR="009E645C" w:rsidRPr="008C5433">
        <w:t>is crucial for safely releasing excess BOG, maintaining a stable operating environment and protecting structural integrity.</w:t>
      </w:r>
    </w:p>
    <w:p w14:paraId="588F7B7E" w14:textId="75FB5828" w:rsidR="002826A9" w:rsidRDefault="00D512ED" w:rsidP="00084F67">
      <w:pPr>
        <w:pStyle w:val="CETHeading1"/>
        <w:numPr>
          <w:ilvl w:val="2"/>
          <w:numId w:val="1"/>
        </w:numPr>
        <w:rPr>
          <w:sz w:val="18"/>
          <w:szCs w:val="18"/>
        </w:rPr>
      </w:pPr>
      <w:r w:rsidRPr="00F41BA3">
        <w:rPr>
          <w:sz w:val="18"/>
          <w:szCs w:val="18"/>
        </w:rPr>
        <w:t xml:space="preserve">Transfer </w:t>
      </w:r>
      <w:r w:rsidR="005222C2" w:rsidRPr="00F41BA3">
        <w:rPr>
          <w:sz w:val="18"/>
          <w:szCs w:val="18"/>
        </w:rPr>
        <w:t>of cryogenic flui</w:t>
      </w:r>
      <w:r w:rsidR="00C55EC7">
        <w:rPr>
          <w:sz w:val="18"/>
          <w:szCs w:val="18"/>
        </w:rPr>
        <w:t>ds</w:t>
      </w:r>
    </w:p>
    <w:p w14:paraId="0B352F7B" w14:textId="32AAA879" w:rsidR="001946EF" w:rsidRPr="002E4FAD" w:rsidRDefault="0094367A" w:rsidP="002E4FAD">
      <w:pPr>
        <w:pStyle w:val="CETBodytext"/>
      </w:pPr>
      <w:r w:rsidRPr="00F379F5">
        <w:rPr>
          <w:rFonts w:cs="Arial"/>
          <w:szCs w:val="18"/>
        </w:rPr>
        <w:t>The</w:t>
      </w:r>
      <w:r w:rsidR="00D75A6C">
        <w:rPr>
          <w:rFonts w:cs="Arial"/>
          <w:szCs w:val="18"/>
        </w:rPr>
        <w:t xml:space="preserve"> process</w:t>
      </w:r>
      <w:r w:rsidRPr="00F379F5">
        <w:rPr>
          <w:rFonts w:cs="Arial"/>
          <w:szCs w:val="18"/>
        </w:rPr>
        <w:t xml:space="preserve"> </w:t>
      </w:r>
      <w:r w:rsidR="00AE71FF">
        <w:rPr>
          <w:rFonts w:cs="Arial"/>
          <w:szCs w:val="18"/>
        </w:rPr>
        <w:t xml:space="preserve">of </w:t>
      </w:r>
      <w:r w:rsidR="00D75A6C">
        <w:rPr>
          <w:rFonts w:cs="Arial"/>
          <w:szCs w:val="18"/>
        </w:rPr>
        <w:t xml:space="preserve">transferring LH2 </w:t>
      </w:r>
      <w:r w:rsidRPr="00F379F5">
        <w:rPr>
          <w:rFonts w:cs="Arial"/>
          <w:szCs w:val="18"/>
        </w:rPr>
        <w:t>begins with preparation and safety checks: safety protocols, such as grounding equipment to prevent static discharges, must be followed</w:t>
      </w:r>
      <w:r w:rsidR="00C55EC7" w:rsidRPr="00F379F5">
        <w:rPr>
          <w:rFonts w:cs="Arial"/>
          <w:szCs w:val="18"/>
        </w:rPr>
        <w:t>, as described in “safety in Storage, Handling and Distribution of Liquid Hydrogen” by EIGA</w:t>
      </w:r>
      <w:r w:rsidR="00CB0A42" w:rsidRPr="00F379F5">
        <w:rPr>
          <w:rFonts w:cs="Arial"/>
          <w:szCs w:val="18"/>
        </w:rPr>
        <w:t xml:space="preserve">. Both tanks are inspected for integrity, ensuring that safety relief valves and venting systems are functional </w:t>
      </w:r>
      <w:r w:rsidR="00CB0A42" w:rsidRPr="00F379F5">
        <w:rPr>
          <w:rFonts w:cs="Arial"/>
          <w:szCs w:val="18"/>
        </w:rPr>
        <w:fldChar w:fldCharType="begin"/>
      </w:r>
      <w:r w:rsidR="0072704E">
        <w:rPr>
          <w:rFonts w:cs="Arial"/>
          <w:szCs w:val="18"/>
        </w:rPr>
        <w:instrText xml:space="preserve"> ADDIN ZOTERO_ITEM CSL_CITATION {"citationID":"xh11IDgH","properties":{"formattedCitation":"(EIGA, 2019)","plainCitation":"(EIGA, 2019)","noteIndex":0},"citationItems":[{"id":234,"uris":["http://zotero.org/users/local/klG9fWsX/items/5TZM7U9Z"],"itemData":{"id":234,"type":"document","language":"english","publisher":"EIGA","source":"Zotero","title":"Doc 06/19 Safety in storage, handling and distribution of liquid hydrogen","URL":"https://www.eiga.eu/uploads/documents/DOC006.pdf","author":[{"family":"EIGA","given":""}],"issued":{"date-parts":[["2019"]]}}}],"schema":"https://github.com/citation-style-language/schema/raw/master/csl-citation.json"} </w:instrText>
      </w:r>
      <w:r w:rsidR="00CB0A42" w:rsidRPr="00F379F5">
        <w:rPr>
          <w:rFonts w:cs="Arial"/>
          <w:szCs w:val="18"/>
        </w:rPr>
        <w:fldChar w:fldCharType="separate"/>
      </w:r>
      <w:r w:rsidR="00791A17" w:rsidRPr="00791A17">
        <w:rPr>
          <w:rFonts w:cs="Arial"/>
        </w:rPr>
        <w:t>(EIGA, 2019)</w:t>
      </w:r>
      <w:r w:rsidR="00CB0A42" w:rsidRPr="00F379F5">
        <w:rPr>
          <w:rFonts w:cs="Arial"/>
          <w:szCs w:val="18"/>
        </w:rPr>
        <w:fldChar w:fldCharType="end"/>
      </w:r>
      <w:r w:rsidRPr="00F379F5">
        <w:rPr>
          <w:rFonts w:cs="Arial"/>
          <w:szCs w:val="18"/>
        </w:rPr>
        <w:t>. Next, purging the transfer lines and equipment is essential to prevent</w:t>
      </w:r>
      <w:r w:rsidR="00CB0A42" w:rsidRPr="00F379F5">
        <w:rPr>
          <w:rFonts w:cs="Arial"/>
          <w:szCs w:val="18"/>
        </w:rPr>
        <w:t xml:space="preserve"> flammable mixtures by displacing atmospheric gases, particularly oxygen, and to prevent condensation. Helium is ideal for this due to its low boiling point, allowing it to remain gaseous even at LH2’s cryogenic temperatures. While effective, helium is costly, so nitrogen can serve as an alternative. When using nitrogen, it is first introduced to clear oxygen, then followed by gaseous hydrogen at ambient temperatures to displace any remaining nitrogen. Purging systems </w:t>
      </w:r>
      <w:r w:rsidR="00B51C2D">
        <w:rPr>
          <w:rFonts w:cs="Arial"/>
          <w:szCs w:val="18"/>
        </w:rPr>
        <w:t>should be</w:t>
      </w:r>
      <w:r w:rsidR="00CB0A42" w:rsidRPr="00F379F5">
        <w:rPr>
          <w:rFonts w:cs="Arial"/>
          <w:szCs w:val="18"/>
        </w:rPr>
        <w:t xml:space="preserve"> integrated within tanks and pipelines to ensure thorough evacuation of atmospheric gases before LH</w:t>
      </w:r>
      <w:r w:rsidR="00B51C2D">
        <w:rPr>
          <w:rFonts w:ascii="Cambria Math" w:hAnsi="Cambria Math" w:cs="Cambria Math"/>
          <w:szCs w:val="18"/>
        </w:rPr>
        <w:t>2</w:t>
      </w:r>
      <w:r w:rsidR="00CB0A42" w:rsidRPr="00F379F5">
        <w:rPr>
          <w:rFonts w:cs="Arial"/>
          <w:szCs w:val="18"/>
        </w:rPr>
        <w:t xml:space="preserve"> handling </w:t>
      </w:r>
      <w:r w:rsidR="00E43424" w:rsidRPr="00F379F5">
        <w:rPr>
          <w:rFonts w:cs="Arial"/>
          <w:szCs w:val="18"/>
        </w:rPr>
        <w:fldChar w:fldCharType="begin"/>
      </w:r>
      <w:r w:rsidR="00E43424" w:rsidRPr="00F379F5">
        <w:rPr>
          <w:rFonts w:cs="Arial"/>
          <w:szCs w:val="18"/>
        </w:rPr>
        <w:instrText xml:space="preserve"> ADDIN ZOTERO_ITEM CSL_CITATION {"citationID":"ZVz4J8MJ","properties":{"formattedCitation":"(Aziz, 2021)","plainCitation":"(Aziz, 2021)","noteIndex":0},"citationItems":[{"id":109,"uris":["http://zotero.org/users/local/klG9fWsX/items/5QQXHLDT"],"itemData":{"id":109,"type":"article-journal","abstract":"Decarbonization plays an important role in future energy systems for reducing greenhouse gas emissions and establishing a zero-carbon society. Hydrogen is believed to be a promising secondary energy source (energy carrier) that can be converted, stored, and utilized efﬁciently, leading to a broad range of possibilities for future applications. Moreover, hydrogen and electricity are mutually converted, creating high energy security and broad economic opportunities toward high energy resilience. Hydrogen can be stored in various forms, including compressed gas, liquid hydrogen, hydrides, adsorbed hydrogen, and reformed fuels. Among these, liquid hydrogen has advantages, including high gravimetric and volumetric hydrogen densities and hydrogen purity. However, liquid hydrogen is garnering increasing attention owing to the demand for long storage periods, long transportation distances, and economic performance. This paper reviews the characteristics of liquid hydrogen, liquefaction technology, storage and transportation methods, and safety standards to handle liquid hydrogen. The main challenges in utilizing liquid hydrogen are its extremely low temperature and ortho- to para-hydrogen conversion. These two characteristics have led to the urgent development of hydrogen liquefaction, storage, and transportation. In addition, safety standards for handling liquid hydrogen must be updated regularly, especially to facilitate massive and large-scale hydrogen liquefaction, storage, and transportation.","container-title":"Energies","DOI":"10.3390/en14185917","ISSN":"1996-1073","issue":"18","journalAbbreviation":"Energies","language":"en","page":"5917","source":"DOI.org (Crossref)","title":"Liquid Hydrogen: A Review on Liquefaction, Storage, Transportation, and Safety","title-short":"Liquid Hydrogen","volume":"14","author":[{"family":"Aziz","given":"Muhammad"}],"issued":{"date-parts":[["2021",9,17]]}}}],"schema":"https://github.com/citation-style-language/schema/raw/master/csl-citation.json"} </w:instrText>
      </w:r>
      <w:r w:rsidR="00E43424" w:rsidRPr="00F379F5">
        <w:rPr>
          <w:rFonts w:cs="Arial"/>
          <w:szCs w:val="18"/>
        </w:rPr>
        <w:fldChar w:fldCharType="separate"/>
      </w:r>
      <w:r w:rsidR="00791A17" w:rsidRPr="00791A17">
        <w:rPr>
          <w:rFonts w:cs="Arial"/>
        </w:rPr>
        <w:t>(Aziz, 2021)</w:t>
      </w:r>
      <w:r w:rsidR="00E43424" w:rsidRPr="00F379F5">
        <w:rPr>
          <w:rFonts w:cs="Arial"/>
          <w:szCs w:val="18"/>
        </w:rPr>
        <w:fldChar w:fldCharType="end"/>
      </w:r>
      <w:r w:rsidR="00CB0A42" w:rsidRPr="00F379F5">
        <w:rPr>
          <w:rFonts w:cs="Arial"/>
          <w:szCs w:val="18"/>
        </w:rPr>
        <w:t>.</w:t>
      </w:r>
      <w:r w:rsidR="00F379F5" w:rsidRPr="00F379F5">
        <w:rPr>
          <w:rFonts w:cs="Arial"/>
          <w:szCs w:val="18"/>
        </w:rPr>
        <w:t xml:space="preserve"> </w:t>
      </w:r>
      <w:r w:rsidRPr="00F379F5">
        <w:rPr>
          <w:rFonts w:cs="Arial"/>
          <w:szCs w:val="18"/>
        </w:rPr>
        <w:t>Following this, the cool-down phase is initiated. A small amount of LH</w:t>
      </w:r>
      <w:r w:rsidR="00B51C2D">
        <w:rPr>
          <w:rFonts w:ascii="Cambria Math" w:hAnsi="Cambria Math" w:cs="Cambria Math"/>
          <w:szCs w:val="18"/>
        </w:rPr>
        <w:t>2</w:t>
      </w:r>
      <w:r w:rsidRPr="00F379F5">
        <w:rPr>
          <w:rFonts w:cs="Arial"/>
          <w:szCs w:val="18"/>
        </w:rPr>
        <w:t xml:space="preserve"> is introduced gradually to pre-cool the transfer lines and receiving tank</w:t>
      </w:r>
      <w:r w:rsidR="007323FB">
        <w:rPr>
          <w:rFonts w:cs="Arial"/>
          <w:szCs w:val="18"/>
        </w:rPr>
        <w:t xml:space="preserve">. Is the hardware still too warm, there will be formation of BOG that needs to be vented to keep the pressure stabile until the cool down is completed  </w:t>
      </w:r>
      <w:r w:rsidR="00F379F5" w:rsidRPr="00F379F5">
        <w:rPr>
          <w:rFonts w:cs="Arial"/>
          <w:szCs w:val="18"/>
        </w:rPr>
        <w:fldChar w:fldCharType="begin"/>
      </w:r>
      <w:r w:rsidR="00791A17">
        <w:rPr>
          <w:rFonts w:cs="Arial"/>
          <w:szCs w:val="18"/>
        </w:rPr>
        <w:instrText xml:space="preserve"> ADDIN ZOTERO_ITEM CSL_CITATION {"citationID":"F49AsxFH","properties":{"formattedCitation":"(Hartwig et al., 2019)","plainCitation":"(Hartwig et al., 2019)","noteIndex":0},"citationItems":[{"id":238,"uris":["http://zotero.org/users/local/klG9fWsX/items/2QGIR6DC"],"itemData":{"id":238,"type":"article-journal","abstract":"Future cryogenic propulsion systems will require efﬁcient methods to chill down propellant tanks and transfer lines prior to transfer of precious propellant while in space. When chilling down the transfer line, there is an inherent tradeoff between propellant mass consumed and chilldown time to steady state. This paper proposes a parameter based on a simpliﬁed energy balance that can be used to compare the efﬁciency of different chilldown methods and to determine the optimal chilldown method. The parameter, along with chilldown time and mass, is then applied to recent liquid hydrogen (LH2) line chilldown experiments conducted at NASA Glenn to compare efﬁciencies between numerous trickle and pulse chilldown tests across a wide range of LH2 temperatures and mass ﬂow rates. Secondary parameters such as heat transfer coefﬁcient, minimum pressure drop, and number of valve cycles are also considered for completeness.","container-title":"International Journal of Heat and Mass Transfer","DOI":"10.1016/j.ijheatmasstransfer.2019.03.090","ISSN":"00179310","journalAbbreviation":"International Journal of Heat and Mass Transfer","language":"en","page":"703-713","source":"DOI.org (Crossref)","title":"Liquid hydrogen line chilldown experiments at high Reynolds Numbers. Optimal chilldown methods","volume":"137","author":[{"family":"Hartwig","given":"Jason"},{"family":"Styborski","given":"Jeremy"},{"family":"McQuillen","given":"John"},{"family":"Rame","given":"Enrique"},{"family":"Chung","given":"J.N."}],"issued":{"date-parts":[["2019",7]]}}}],"schema":"https://github.com/citation-style-language/schema/raw/master/csl-citation.json"} </w:instrText>
      </w:r>
      <w:r w:rsidR="00F379F5" w:rsidRPr="00F379F5">
        <w:rPr>
          <w:rFonts w:cs="Arial"/>
          <w:szCs w:val="18"/>
        </w:rPr>
        <w:fldChar w:fldCharType="separate"/>
      </w:r>
      <w:r w:rsidR="00791A17" w:rsidRPr="00791A17">
        <w:rPr>
          <w:rFonts w:cs="Arial"/>
        </w:rPr>
        <w:t>(Hartwig et al., 2019)</w:t>
      </w:r>
      <w:r w:rsidR="00F379F5" w:rsidRPr="00F379F5">
        <w:rPr>
          <w:rFonts w:cs="Arial"/>
          <w:szCs w:val="18"/>
        </w:rPr>
        <w:fldChar w:fldCharType="end"/>
      </w:r>
      <w:r w:rsidRPr="00F379F5">
        <w:rPr>
          <w:rFonts w:cs="Arial"/>
          <w:szCs w:val="18"/>
        </w:rPr>
        <w:t>.</w:t>
      </w:r>
      <w:r w:rsidR="00AC476D">
        <w:rPr>
          <w:rFonts w:cs="Arial"/>
          <w:szCs w:val="18"/>
        </w:rPr>
        <w:t xml:space="preserve"> </w:t>
      </w:r>
      <w:r w:rsidRPr="00F379F5">
        <w:rPr>
          <w:rFonts w:cs="Arial"/>
          <w:szCs w:val="18"/>
        </w:rPr>
        <w:t>Once the system is cooled, the controlled transfer begins. LH</w:t>
      </w:r>
      <w:r w:rsidR="00F379F5" w:rsidRPr="00F379F5">
        <w:rPr>
          <w:rFonts w:cs="Arial"/>
          <w:szCs w:val="18"/>
        </w:rPr>
        <w:t>2</w:t>
      </w:r>
      <w:r w:rsidRPr="00F379F5">
        <w:rPr>
          <w:rFonts w:cs="Arial"/>
          <w:szCs w:val="18"/>
        </w:rPr>
        <w:t xml:space="preserve"> is allowed to flow slowly to maintain steady transfer and prevent rapid pressure changes. A pump or pressure differential may be used to drive LH</w:t>
      </w:r>
      <w:r w:rsidR="00F379F5" w:rsidRPr="00F379F5">
        <w:rPr>
          <w:rFonts w:cs="Arial"/>
          <w:szCs w:val="18"/>
        </w:rPr>
        <w:t>2</w:t>
      </w:r>
      <w:r w:rsidRPr="00F379F5">
        <w:rPr>
          <w:rFonts w:cs="Arial"/>
          <w:szCs w:val="18"/>
        </w:rPr>
        <w:t xml:space="preserve"> from the source to the receiving tank. The transfer system itself </w:t>
      </w:r>
      <w:r w:rsidR="009A5E0B">
        <w:rPr>
          <w:rFonts w:cs="Arial"/>
          <w:szCs w:val="18"/>
        </w:rPr>
        <w:t xml:space="preserve">should be </w:t>
      </w:r>
      <w:r w:rsidRPr="00F379F5">
        <w:rPr>
          <w:rFonts w:cs="Arial"/>
          <w:szCs w:val="18"/>
        </w:rPr>
        <w:t>insulated to minimize heat influx, further reducing BOG losses</w:t>
      </w:r>
      <w:r w:rsidR="00AC476D">
        <w:rPr>
          <w:rFonts w:cs="Arial"/>
          <w:szCs w:val="18"/>
        </w:rPr>
        <w:t xml:space="preserve"> </w:t>
      </w:r>
      <w:r w:rsidR="00AC476D">
        <w:rPr>
          <w:rFonts w:cs="Arial"/>
          <w:szCs w:val="18"/>
        </w:rPr>
        <w:fldChar w:fldCharType="begin"/>
      </w:r>
      <w:r w:rsidR="00AC476D">
        <w:rPr>
          <w:rFonts w:cs="Arial"/>
          <w:szCs w:val="18"/>
        </w:rPr>
        <w:instrText xml:space="preserve"> ADDIN ZOTERO_ITEM CSL_CITATION {"citationID":"ZfL968JW","properties":{"formattedCitation":"(Aziz, 2021)","plainCitation":"(Aziz, 2021)","noteIndex":0},"citationItems":[{"id":109,"uris":["http://zotero.org/users/local/klG9fWsX/items/5QQXHLDT"],"itemData":{"id":109,"type":"article-journal","abstract":"Decarbonization plays an important role in future energy systems for reducing greenhouse gas emissions and establishing a zero-carbon society. Hydrogen is believed to be a promising secondary energy source (energy carrier) that can be converted, stored, and utilized efﬁciently, leading to a broad range of possibilities for future applications. Moreover, hydrogen and electricity are mutually converted, creating high energy security and broad economic opportunities toward high energy resilience. Hydrogen can be stored in various forms, including compressed gas, liquid hydrogen, hydrides, adsorbed hydrogen, and reformed fuels. Among these, liquid hydrogen has advantages, including high gravimetric and volumetric hydrogen densities and hydrogen purity. However, liquid hydrogen is garnering increasing attention owing to the demand for long storage periods, long transportation distances, and economic performance. This paper reviews the characteristics of liquid hydrogen, liquefaction technology, storage and transportation methods, and safety standards to handle liquid hydrogen. The main challenges in utilizing liquid hydrogen are its extremely low temperature and ortho- to para-hydrogen conversion. These two characteristics have led to the urgent development of hydrogen liquefaction, storage, and transportation. In addition, safety standards for handling liquid hydrogen must be updated regularly, especially to facilitate massive and large-scale hydrogen liquefaction, storage, and transportation.","container-title":"Energies","DOI":"10.3390/en14185917","ISSN":"1996-1073","issue":"18","journalAbbreviation":"Energies","language":"en","page":"5917","source":"DOI.org (Crossref)","title":"Liquid Hydrogen: A Review on Liquefaction, Storage, Transportation, and Safety","title-short":"Liquid Hydrogen","volume":"14","author":[{"family":"Aziz","given":"Muhammad"}],"issued":{"date-parts":[["2021",9,17]]}}}],"schema":"https://github.com/citation-style-language/schema/raw/master/csl-citation.json"} </w:instrText>
      </w:r>
      <w:r w:rsidR="00AC476D">
        <w:rPr>
          <w:rFonts w:cs="Arial"/>
          <w:szCs w:val="18"/>
        </w:rPr>
        <w:fldChar w:fldCharType="separate"/>
      </w:r>
      <w:r w:rsidR="00791A17" w:rsidRPr="00791A17">
        <w:rPr>
          <w:rFonts w:cs="Arial"/>
        </w:rPr>
        <w:t>(Aziz, 2021)</w:t>
      </w:r>
      <w:r w:rsidR="00AC476D">
        <w:rPr>
          <w:rFonts w:cs="Arial"/>
          <w:szCs w:val="18"/>
        </w:rPr>
        <w:fldChar w:fldCharType="end"/>
      </w:r>
      <w:r w:rsidRPr="00F379F5">
        <w:rPr>
          <w:rFonts w:cs="Arial"/>
          <w:szCs w:val="18"/>
        </w:rPr>
        <w:t>.</w:t>
      </w:r>
      <w:r w:rsidR="00AC476D">
        <w:rPr>
          <w:rFonts w:cs="Arial"/>
          <w:szCs w:val="18"/>
        </w:rPr>
        <w:t xml:space="preserve"> </w:t>
      </w:r>
      <w:r w:rsidRPr="00F379F5">
        <w:rPr>
          <w:rFonts w:cs="Arial"/>
          <w:szCs w:val="18"/>
        </w:rPr>
        <w:t>During transfer, monitoring temperature and pressure continuously is crucial to avoid over</w:t>
      </w:r>
      <w:r w:rsidR="00C55EC7" w:rsidRPr="00F379F5">
        <w:rPr>
          <w:rFonts w:cs="Arial"/>
          <w:szCs w:val="18"/>
        </w:rPr>
        <w:t>-</w:t>
      </w:r>
      <w:r w:rsidRPr="00F379F5">
        <w:rPr>
          <w:rFonts w:cs="Arial"/>
          <w:szCs w:val="18"/>
        </w:rPr>
        <w:t>pressurization and potential venting. When the desired amount of LH</w:t>
      </w:r>
      <w:r w:rsidR="00AC476D">
        <w:rPr>
          <w:rFonts w:ascii="Cambria Math" w:hAnsi="Cambria Math" w:cs="Cambria Math"/>
          <w:szCs w:val="18"/>
        </w:rPr>
        <w:t>2</w:t>
      </w:r>
      <w:r w:rsidRPr="00F379F5">
        <w:rPr>
          <w:rFonts w:cs="Arial"/>
          <w:szCs w:val="18"/>
        </w:rPr>
        <w:t xml:space="preserve"> is transferred, the flow is gradually reduced to prevent pressure drops, and any remaining BOG is vented safely.</w:t>
      </w:r>
      <w:r w:rsidR="00AC476D">
        <w:rPr>
          <w:rFonts w:cs="Arial"/>
          <w:szCs w:val="18"/>
        </w:rPr>
        <w:t xml:space="preserve"> </w:t>
      </w:r>
      <w:r w:rsidRPr="00F379F5">
        <w:rPr>
          <w:rFonts w:cs="Arial"/>
          <w:szCs w:val="18"/>
        </w:rPr>
        <w:t>Post-transfer purging with helium is then conducted to clear residual LH</w:t>
      </w:r>
      <w:r w:rsidR="00AC476D">
        <w:rPr>
          <w:rFonts w:ascii="Cambria Math" w:hAnsi="Cambria Math" w:cs="Cambria Math"/>
          <w:szCs w:val="18"/>
        </w:rPr>
        <w:t>2</w:t>
      </w:r>
      <w:r w:rsidRPr="00F379F5">
        <w:rPr>
          <w:rFonts w:cs="Arial"/>
          <w:szCs w:val="18"/>
        </w:rPr>
        <w:t xml:space="preserve"> from the lines, which prevents condensation of atmospheric moisture. Finally, a comprehensive safety check ensures all valves are secured, pressures are stable, and the system is prepared for safe storage or subsequent transfers</w:t>
      </w:r>
      <w:r w:rsidR="00AC476D">
        <w:rPr>
          <w:rFonts w:cs="Arial"/>
          <w:szCs w:val="18"/>
        </w:rPr>
        <w:t xml:space="preserve"> </w:t>
      </w:r>
      <w:r w:rsidR="00AC476D">
        <w:rPr>
          <w:rFonts w:cs="Arial"/>
          <w:szCs w:val="18"/>
        </w:rPr>
        <w:fldChar w:fldCharType="begin"/>
      </w:r>
      <w:r w:rsidR="00AC476D">
        <w:rPr>
          <w:rFonts w:cs="Arial"/>
          <w:szCs w:val="18"/>
        </w:rPr>
        <w:instrText xml:space="preserve"> ADDIN ZOTERO_ITEM CSL_CITATION {"citationID":"NQNVTfnU","properties":{"formattedCitation":"(Aziz, 2021)","plainCitation":"(Aziz, 2021)","noteIndex":0},"citationItems":[{"id":109,"uris":["http://zotero.org/users/local/klG9fWsX/items/5QQXHLDT"],"itemData":{"id":109,"type":"article-journal","abstract":"Decarbonization plays an important role in future energy systems for reducing greenhouse gas emissions and establishing a zero-carbon society. Hydrogen is believed to be a promising secondary energy source (energy carrier) that can be converted, stored, and utilized efﬁciently, leading to a broad range of possibilities for future applications. Moreover, hydrogen and electricity are mutually converted, creating high energy security and broad economic opportunities toward high energy resilience. Hydrogen can be stored in various forms, including compressed gas, liquid hydrogen, hydrides, adsorbed hydrogen, and reformed fuels. Among these, liquid hydrogen has advantages, including high gravimetric and volumetric hydrogen densities and hydrogen purity. However, liquid hydrogen is garnering increasing attention owing to the demand for long storage periods, long transportation distances, and economic performance. This paper reviews the characteristics of liquid hydrogen, liquefaction technology, storage and transportation methods, and safety standards to handle liquid hydrogen. The main challenges in utilizing liquid hydrogen are its extremely low temperature and ortho- to para-hydrogen conversion. These two characteristics have led to the urgent development of hydrogen liquefaction, storage, and transportation. In addition, safety standards for handling liquid hydrogen must be updated regularly, especially to facilitate massive and large-scale hydrogen liquefaction, storage, and transportation.","container-title":"Energies","DOI":"10.3390/en14185917","ISSN":"1996-1073","issue":"18","journalAbbreviation":"Energies","language":"en","page":"5917","source":"DOI.org (Crossref)","title":"Liquid Hydrogen: A Review on Liquefaction, Storage, Transportation, and Safety","title-short":"Liquid Hydrogen","volume":"14","author":[{"family":"Aziz","given":"Muhammad"}],"issued":{"date-parts":[["2021",9,17]]}}}],"schema":"https://github.com/citation-style-language/schema/raw/master/csl-citation.json"} </w:instrText>
      </w:r>
      <w:r w:rsidR="00AC476D">
        <w:rPr>
          <w:rFonts w:cs="Arial"/>
          <w:szCs w:val="18"/>
        </w:rPr>
        <w:fldChar w:fldCharType="separate"/>
      </w:r>
      <w:r w:rsidR="00791A17" w:rsidRPr="00791A17">
        <w:rPr>
          <w:rFonts w:cs="Arial"/>
        </w:rPr>
        <w:t>(Aziz, 2021)</w:t>
      </w:r>
      <w:r w:rsidR="00AC476D">
        <w:rPr>
          <w:rFonts w:cs="Arial"/>
          <w:szCs w:val="18"/>
        </w:rPr>
        <w:fldChar w:fldCharType="end"/>
      </w:r>
      <w:r w:rsidRPr="00F379F5">
        <w:rPr>
          <w:rFonts w:cs="Arial"/>
          <w:szCs w:val="18"/>
        </w:rPr>
        <w:t>.</w:t>
      </w:r>
    </w:p>
    <w:p w14:paraId="1E5BF0A2" w14:textId="715CABBC" w:rsidR="002826A9" w:rsidRDefault="002826A9" w:rsidP="00084F67">
      <w:pPr>
        <w:pStyle w:val="CETHeading1"/>
      </w:pPr>
      <w:r>
        <w:t>Methodology</w:t>
      </w:r>
    </w:p>
    <w:p w14:paraId="361F6843" w14:textId="2785456C" w:rsidR="00121784" w:rsidRPr="00EF37A3" w:rsidRDefault="004B458D" w:rsidP="001D2E7B">
      <w:pPr>
        <w:pStyle w:val="CETBodytext"/>
        <w:rPr>
          <w:rFonts w:cs="Arial"/>
          <w:lang w:val="en-GB"/>
        </w:rPr>
      </w:pPr>
      <w:r>
        <w:rPr>
          <w:rFonts w:cs="Arial"/>
          <w:lang w:val="en-GB"/>
        </w:rPr>
        <w:t>For the steady-state</w:t>
      </w:r>
      <w:r w:rsidR="00CC5EFE">
        <w:rPr>
          <w:rFonts w:cs="Arial"/>
          <w:lang w:val="en-GB"/>
        </w:rPr>
        <w:t xml:space="preserve"> modelling </w:t>
      </w:r>
      <w:r w:rsidR="00CC5EFE" w:rsidRPr="00376220">
        <w:rPr>
          <w:rFonts w:cs="Arial"/>
          <w:lang w:val="en-GB"/>
        </w:rPr>
        <w:t xml:space="preserve">of </w:t>
      </w:r>
      <w:r w:rsidR="00CC5EFE">
        <w:rPr>
          <w:rFonts w:cs="Arial"/>
          <w:lang w:val="en-GB"/>
        </w:rPr>
        <w:t>a</w:t>
      </w:r>
      <w:r w:rsidR="00CC5EFE" w:rsidRPr="00376220">
        <w:rPr>
          <w:rFonts w:cs="Arial"/>
          <w:lang w:val="en-GB"/>
        </w:rPr>
        <w:t xml:space="preserve"> </w:t>
      </w:r>
      <w:r w:rsidR="00CC5EFE">
        <w:rPr>
          <w:rFonts w:cs="Arial"/>
          <w:lang w:val="en-GB"/>
        </w:rPr>
        <w:t xml:space="preserve">double walled rigid pipeline as part of a </w:t>
      </w:r>
      <w:r w:rsidR="00CC5EFE" w:rsidRPr="00376220">
        <w:rPr>
          <w:rFonts w:cs="Arial"/>
          <w:lang w:val="en-GB"/>
        </w:rPr>
        <w:t>LH2 transfer system</w:t>
      </w:r>
      <w:r w:rsidR="00FE4933">
        <w:rPr>
          <w:rFonts w:cs="Arial"/>
          <w:lang w:val="en-GB"/>
        </w:rPr>
        <w:t xml:space="preserve">, a fluid </w:t>
      </w:r>
      <w:r w:rsidR="00FE4933" w:rsidRPr="007874F5">
        <w:rPr>
          <w:rFonts w:cs="Arial"/>
          <w:lang w:val="en-GB"/>
        </w:rPr>
        <w:t xml:space="preserve">package and a component have been selected in Aspen HYSYS. Under “Aspen Properties” the property package “Peng-Robinson” was chosen. </w:t>
      </w:r>
      <w:r w:rsidR="00FE4933">
        <w:rPr>
          <w:rFonts w:cs="Arial"/>
          <w:lang w:val="en-GB"/>
        </w:rPr>
        <w:t xml:space="preserve">The component in use for the modelling is “Para-Hydrogen” which can be found in the “Aspen Properties Databank”. </w:t>
      </w:r>
      <w:r w:rsidR="002826A9" w:rsidRPr="00376220">
        <w:rPr>
          <w:rFonts w:cs="Arial"/>
          <w:lang w:val="en-GB"/>
        </w:rPr>
        <w:t xml:space="preserve"> </w:t>
      </w:r>
      <w:r w:rsidR="00471E7E" w:rsidRPr="00376220">
        <w:t>The pipe segment under analysis serves as a key element of the LH2 transfer system. The pipeline is 20 meters long with no elevation change</w:t>
      </w:r>
      <w:r w:rsidR="00476713">
        <w:t xml:space="preserve">. </w:t>
      </w:r>
      <w:r w:rsidR="006D0588">
        <w:t>T</w:t>
      </w:r>
      <w:r w:rsidR="00471E7E" w:rsidRPr="00376220">
        <w:t>he pipe is insulated</w:t>
      </w:r>
      <w:r w:rsidR="000D4BE0">
        <w:t xml:space="preserve"> with an evacuated anulus</w:t>
      </w:r>
      <w:r w:rsidR="00677B2B">
        <w:t>. The distance between the inner and the outer shell is 50mm</w:t>
      </w:r>
      <w:r w:rsidR="000D4BE0">
        <w:t xml:space="preserve"> resulting in an insulation thickness of the same extend</w:t>
      </w:r>
      <w:r w:rsidR="00FB515B">
        <w:t>.</w:t>
      </w:r>
      <w:r w:rsidR="00820BC7" w:rsidRPr="00376220">
        <w:t xml:space="preserve"> The pipe is made </w:t>
      </w:r>
      <w:r w:rsidR="00920A6A">
        <w:t>of</w:t>
      </w:r>
      <w:r w:rsidR="00920A6A" w:rsidRPr="00376220">
        <w:t xml:space="preserve"> </w:t>
      </w:r>
      <w:r w:rsidR="00820BC7" w:rsidRPr="00376220">
        <w:t>ASTM A240 Type 316L stainless steel, a material known for its strength and corrosion resistance, particularly in cryogenic environments, making it ideal for LH2 pipelines</w:t>
      </w:r>
      <w:r w:rsidR="008B61C0" w:rsidRPr="00376220">
        <w:t xml:space="preserve"> </w:t>
      </w:r>
      <w:r w:rsidR="00E03ADE" w:rsidRPr="00376220">
        <w:fldChar w:fldCharType="begin"/>
      </w:r>
      <w:r w:rsidR="00136CBB">
        <w:instrText xml:space="preserve"> ADDIN ZOTERO_ITEM CSL_CITATION {"citationID":"9QLE6GJu","properties":{"formattedCitation":"(ISO 13984, 1999)","plainCitation":"(ISO 13984, 1999)","noteIndex":0},"citationItems":[{"id":186,"uris":["http://zotero.org/users/local/klG9fWsX/items/YS557U6X"],"itemData":{"id":186,"type":"standard","authority":"International Organization for Standardization","number":"13984:1999","publisher":"ISO","title":"Liquid hydrogen - Land vehicle fuelling system interface","author":[{"family":"ISO 13984","given":""}],"accessed":{"date-parts":[["2024",4,10]]},"issued":{"date-parts":[["1999"]]}}}],"schema":"https://github.com/citation-style-language/schema/raw/master/csl-citation.json"} </w:instrText>
      </w:r>
      <w:r w:rsidR="00E03ADE" w:rsidRPr="00376220">
        <w:fldChar w:fldCharType="separate"/>
      </w:r>
      <w:r w:rsidR="00791A17" w:rsidRPr="00791A17">
        <w:rPr>
          <w:rFonts w:cs="Arial"/>
        </w:rPr>
        <w:t>(ISO 13984, 1999)</w:t>
      </w:r>
      <w:r w:rsidR="00E03ADE" w:rsidRPr="00376220">
        <w:fldChar w:fldCharType="end"/>
      </w:r>
      <w:r w:rsidR="00820BC7" w:rsidRPr="00376220">
        <w:t>. The pipe’s roughness, set at 15×10</w:t>
      </w:r>
      <w:r w:rsidR="00820BC7" w:rsidRPr="00376220">
        <w:rPr>
          <w:rFonts w:ascii="Cambria Math" w:hAnsi="Cambria Math" w:cs="Cambria Math"/>
        </w:rPr>
        <w:t>⁻</w:t>
      </w:r>
      <w:r w:rsidR="00820BC7" w:rsidRPr="00376220">
        <w:t xml:space="preserve">⁶ m, is a crucial parameter affecting fluid flow, </w:t>
      </w:r>
      <w:r w:rsidR="00820BC7" w:rsidRPr="008C7226">
        <w:rPr>
          <w:rFonts w:cs="Arial"/>
        </w:rPr>
        <w:t>especially the pressure</w:t>
      </w:r>
      <w:r w:rsidR="008C7226">
        <w:rPr>
          <w:rFonts w:cs="Arial"/>
        </w:rPr>
        <w:t>-</w:t>
      </w:r>
      <w:r w:rsidR="00820BC7" w:rsidRPr="008C7226">
        <w:rPr>
          <w:rFonts w:cs="Arial"/>
        </w:rPr>
        <w:t>drop along the pipeline.</w:t>
      </w:r>
      <w:r w:rsidR="008C7226" w:rsidRPr="008C7226">
        <w:rPr>
          <w:rFonts w:cs="Arial"/>
        </w:rPr>
        <w:t xml:space="preserve"> The temperature of the air surrounding the pipe is 25</w:t>
      </w:r>
      <w:r w:rsidR="008C7226" w:rsidRPr="00FB515B">
        <w:rPr>
          <w:rFonts w:ascii="Cambria Math" w:hAnsi="Cambria Math" w:cs="Cambria Math"/>
        </w:rPr>
        <w:t>℃</w:t>
      </w:r>
      <w:r w:rsidR="006D30E6">
        <w:rPr>
          <w:rFonts w:cs="Arial"/>
        </w:rPr>
        <w:t xml:space="preserve">. </w:t>
      </w:r>
      <w:r w:rsidR="006D30E6" w:rsidRPr="005D6689">
        <w:rPr>
          <w:rFonts w:cs="Arial"/>
        </w:rPr>
        <w:t>Furthermore, the air</w:t>
      </w:r>
      <w:r w:rsidR="008C7226" w:rsidRPr="005D6689">
        <w:rPr>
          <w:rFonts w:cs="Arial"/>
        </w:rPr>
        <w:t xml:space="preserve"> moves with a velocity of one meter per second.</w:t>
      </w:r>
      <w:r w:rsidR="006D30E6" w:rsidRPr="005D6689">
        <w:rPr>
          <w:rFonts w:cs="Arial"/>
        </w:rPr>
        <w:t xml:space="preserve"> </w:t>
      </w:r>
      <w:r w:rsidR="008C7226" w:rsidRPr="005D6689">
        <w:rPr>
          <w:rFonts w:cs="Arial"/>
        </w:rPr>
        <w:t>T</w:t>
      </w:r>
      <w:r w:rsidR="00820BC7" w:rsidRPr="005D6689">
        <w:rPr>
          <w:rFonts w:cs="Arial"/>
        </w:rPr>
        <w:t>he pipe wall's thermal conductivity, measured at 16.3</w:t>
      </w:r>
      <w:r w:rsidR="00E03ADE" w:rsidRPr="005D6689">
        <w:rPr>
          <w:rFonts w:cs="Arial"/>
        </w:rPr>
        <w:t xml:space="preserve"> </w:t>
      </w:r>
      <w:r w:rsidR="00820BC7" w:rsidRPr="005D6689">
        <w:rPr>
          <w:rFonts w:cs="Arial"/>
        </w:rPr>
        <w:t>W/m·K, is essential</w:t>
      </w:r>
      <w:r w:rsidR="00820BC7" w:rsidRPr="005D6689">
        <w:t xml:space="preserve"> for calculating heat transfer rates to maintain the LH2's temperature during transfer. The pipeline is divided into 100 increments for detailed analysis of fluid properties along its length.</w:t>
      </w:r>
      <w:r w:rsidR="00892BEA" w:rsidRPr="005D6689">
        <w:t xml:space="preserve"> The following </w:t>
      </w:r>
      <w:r w:rsidR="00892BEA" w:rsidRPr="005D6689">
        <w:fldChar w:fldCharType="begin"/>
      </w:r>
      <w:r w:rsidR="00892BEA" w:rsidRPr="005D6689">
        <w:instrText xml:space="preserve"> REF _Ref184700777 \h </w:instrText>
      </w:r>
      <w:r w:rsidR="005D6689" w:rsidRPr="005D6689">
        <w:instrText xml:space="preserve"> \* MERGEFORMAT </w:instrText>
      </w:r>
      <w:r w:rsidR="00892BEA" w:rsidRPr="005D6689">
        <w:fldChar w:fldCharType="separate"/>
      </w:r>
      <w:r w:rsidR="00892BEA" w:rsidRPr="005D6689">
        <w:rPr>
          <w:i/>
          <w:iCs/>
        </w:rPr>
        <w:t xml:space="preserve">Table </w:t>
      </w:r>
      <w:r w:rsidR="00892BEA" w:rsidRPr="005D6689">
        <w:rPr>
          <w:i/>
          <w:iCs/>
          <w:noProof/>
        </w:rPr>
        <w:t>1</w:t>
      </w:r>
      <w:r w:rsidR="00892BEA" w:rsidRPr="005D6689">
        <w:fldChar w:fldCharType="end"/>
      </w:r>
      <w:r w:rsidR="00892BEA" w:rsidRPr="005D6689">
        <w:t xml:space="preserve"> provides</w:t>
      </w:r>
      <w:r w:rsidR="00892BEA">
        <w:t xml:space="preserve"> an overview </w:t>
      </w:r>
      <w:r w:rsidR="005D6689">
        <w:t>of the parameters relevant for the layout of the pipe model.</w:t>
      </w:r>
    </w:p>
    <w:p w14:paraId="1894843C" w14:textId="77777777" w:rsidR="0086549F" w:rsidRDefault="0086549F" w:rsidP="001D2E7B">
      <w:pPr>
        <w:pStyle w:val="CETBodytext"/>
      </w:pPr>
    </w:p>
    <w:p w14:paraId="2FA91DBE" w14:textId="05E6C46E" w:rsidR="004D1AB0" w:rsidRDefault="00BE1B1E" w:rsidP="004D1AB0">
      <w:pPr>
        <w:pStyle w:val="Didascalia"/>
        <w:keepNext/>
        <w:jc w:val="left"/>
        <w:rPr>
          <w:b w:val="0"/>
          <w:bCs w:val="0"/>
          <w:i/>
          <w:iCs/>
          <w:color w:val="auto"/>
        </w:rPr>
      </w:pPr>
      <w:bookmarkStart w:id="2" w:name="_Ref184700777"/>
      <w:r w:rsidRPr="004D1AB0">
        <w:rPr>
          <w:b w:val="0"/>
          <w:bCs w:val="0"/>
          <w:i/>
          <w:iCs/>
          <w:color w:val="auto"/>
        </w:rPr>
        <w:t xml:space="preserve">Table </w:t>
      </w:r>
      <w:r w:rsidRPr="004D1AB0">
        <w:rPr>
          <w:b w:val="0"/>
          <w:bCs w:val="0"/>
          <w:i/>
          <w:iCs/>
          <w:color w:val="auto"/>
        </w:rPr>
        <w:fldChar w:fldCharType="begin"/>
      </w:r>
      <w:r w:rsidRPr="004D1AB0">
        <w:rPr>
          <w:b w:val="0"/>
          <w:bCs w:val="0"/>
          <w:i/>
          <w:iCs/>
          <w:color w:val="auto"/>
        </w:rPr>
        <w:instrText xml:space="preserve"> SEQ Table \* ARABIC </w:instrText>
      </w:r>
      <w:r w:rsidRPr="004D1AB0">
        <w:rPr>
          <w:b w:val="0"/>
          <w:bCs w:val="0"/>
          <w:i/>
          <w:iCs/>
          <w:color w:val="auto"/>
        </w:rPr>
        <w:fldChar w:fldCharType="separate"/>
      </w:r>
      <w:r w:rsidRPr="004D1AB0">
        <w:rPr>
          <w:b w:val="0"/>
          <w:bCs w:val="0"/>
          <w:i/>
          <w:iCs/>
          <w:noProof/>
          <w:color w:val="auto"/>
        </w:rPr>
        <w:t>1</w:t>
      </w:r>
      <w:r w:rsidRPr="004D1AB0">
        <w:rPr>
          <w:b w:val="0"/>
          <w:bCs w:val="0"/>
          <w:i/>
          <w:iCs/>
          <w:color w:val="auto"/>
        </w:rPr>
        <w:fldChar w:fldCharType="end"/>
      </w:r>
      <w:bookmarkEnd w:id="2"/>
      <w:r w:rsidRPr="004D1AB0">
        <w:rPr>
          <w:b w:val="0"/>
          <w:bCs w:val="0"/>
          <w:i/>
          <w:iCs/>
          <w:color w:val="auto"/>
        </w:rPr>
        <w:t xml:space="preserve">: Specifications </w:t>
      </w:r>
      <w:r w:rsidR="00892BEA">
        <w:rPr>
          <w:b w:val="0"/>
          <w:bCs w:val="0"/>
          <w:i/>
          <w:iCs/>
          <w:color w:val="auto"/>
        </w:rPr>
        <w:t>for modelling of</w:t>
      </w:r>
      <w:r w:rsidRPr="004D1AB0">
        <w:rPr>
          <w:b w:val="0"/>
          <w:bCs w:val="0"/>
          <w:i/>
          <w:iCs/>
          <w:color w:val="auto"/>
        </w:rPr>
        <w:t xml:space="preserve"> the pipe segment</w:t>
      </w:r>
      <w:r w:rsidR="003F1C5C">
        <w:rPr>
          <w:b w:val="0"/>
          <w:bCs w:val="0"/>
          <w:i/>
          <w:iCs/>
          <w:color w:val="auto"/>
        </w:rPr>
        <w:t xml:space="preserve"> and initial conditions</w:t>
      </w:r>
    </w:p>
    <w:tbl>
      <w:tblPr>
        <w:tblpPr w:leftFromText="180" w:rightFromText="180" w:vertAnchor="text" w:horzAnchor="margin" w:tblpY="92"/>
        <w:tblW w:w="8762"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835"/>
        <w:gridCol w:w="1843"/>
        <w:gridCol w:w="709"/>
        <w:gridCol w:w="3375"/>
      </w:tblGrid>
      <w:tr w:rsidR="004D1AB0" w:rsidRPr="00B57B36" w14:paraId="205400D6" w14:textId="77777777" w:rsidTr="0029600D">
        <w:trPr>
          <w:trHeight w:val="255"/>
        </w:trPr>
        <w:tc>
          <w:tcPr>
            <w:tcW w:w="2835" w:type="dxa"/>
            <w:tcBorders>
              <w:top w:val="single" w:sz="12" w:space="0" w:color="008000"/>
              <w:bottom w:val="single" w:sz="6" w:space="0" w:color="008000"/>
            </w:tcBorders>
            <w:shd w:val="clear" w:color="auto" w:fill="FFFFFF"/>
          </w:tcPr>
          <w:p w14:paraId="2BEDBB35" w14:textId="77777777" w:rsidR="004D1AB0" w:rsidRPr="00B57B36" w:rsidRDefault="004D1AB0" w:rsidP="009E29BB">
            <w:pPr>
              <w:pStyle w:val="CETBodytext"/>
              <w:rPr>
                <w:lang w:val="en-GB"/>
              </w:rPr>
            </w:pPr>
            <w:r>
              <w:rPr>
                <w:lang w:val="en-GB"/>
              </w:rPr>
              <w:t>Parameter</w:t>
            </w:r>
            <w:r w:rsidRPr="00B57B36">
              <w:rPr>
                <w:lang w:val="en-GB"/>
              </w:rPr>
              <w:t xml:space="preserve"> </w:t>
            </w:r>
          </w:p>
        </w:tc>
        <w:tc>
          <w:tcPr>
            <w:tcW w:w="1843" w:type="dxa"/>
            <w:tcBorders>
              <w:top w:val="single" w:sz="12" w:space="0" w:color="008000"/>
              <w:bottom w:val="single" w:sz="6" w:space="0" w:color="008000"/>
            </w:tcBorders>
            <w:shd w:val="clear" w:color="auto" w:fill="FFFFFF"/>
          </w:tcPr>
          <w:p w14:paraId="5A33A377" w14:textId="77777777" w:rsidR="004D1AB0" w:rsidRPr="00B57B36" w:rsidRDefault="004D1AB0" w:rsidP="009E29BB">
            <w:pPr>
              <w:pStyle w:val="CETBodytext"/>
              <w:rPr>
                <w:lang w:val="en-GB"/>
              </w:rPr>
            </w:pPr>
            <w:r>
              <w:rPr>
                <w:lang w:val="en-GB"/>
              </w:rPr>
              <w:t>Value</w:t>
            </w:r>
          </w:p>
        </w:tc>
        <w:tc>
          <w:tcPr>
            <w:tcW w:w="709" w:type="dxa"/>
            <w:tcBorders>
              <w:top w:val="single" w:sz="12" w:space="0" w:color="008000"/>
              <w:bottom w:val="single" w:sz="6" w:space="0" w:color="008000"/>
            </w:tcBorders>
            <w:shd w:val="clear" w:color="auto" w:fill="FFFFFF"/>
          </w:tcPr>
          <w:p w14:paraId="0A12E373" w14:textId="77777777" w:rsidR="004D1AB0" w:rsidRPr="00B57B36" w:rsidRDefault="004D1AB0" w:rsidP="009E29BB">
            <w:pPr>
              <w:pStyle w:val="CETBodytext"/>
              <w:rPr>
                <w:lang w:val="en-GB"/>
              </w:rPr>
            </w:pPr>
            <w:r>
              <w:rPr>
                <w:lang w:val="en-GB"/>
              </w:rPr>
              <w:t>Unit</w:t>
            </w:r>
          </w:p>
        </w:tc>
        <w:tc>
          <w:tcPr>
            <w:tcW w:w="3375" w:type="dxa"/>
            <w:tcBorders>
              <w:top w:val="single" w:sz="12" w:space="0" w:color="008000"/>
              <w:bottom w:val="single" w:sz="6" w:space="0" w:color="008000"/>
            </w:tcBorders>
            <w:shd w:val="clear" w:color="auto" w:fill="FFFFFF"/>
          </w:tcPr>
          <w:p w14:paraId="11AC76BE" w14:textId="77777777" w:rsidR="004D1AB0" w:rsidRPr="00B57B36" w:rsidRDefault="004D1AB0" w:rsidP="009E29BB">
            <w:pPr>
              <w:pStyle w:val="CETBodytext"/>
              <w:ind w:right="-1"/>
              <w:rPr>
                <w:rFonts w:cs="Arial"/>
                <w:szCs w:val="18"/>
                <w:lang w:val="en-GB"/>
              </w:rPr>
            </w:pPr>
            <w:r>
              <w:rPr>
                <w:rFonts w:cs="Arial"/>
                <w:szCs w:val="18"/>
                <w:lang w:val="en-GB"/>
              </w:rPr>
              <w:t>Note</w:t>
            </w:r>
          </w:p>
        </w:tc>
      </w:tr>
      <w:tr w:rsidR="004D1AB0" w:rsidRPr="00B57B36" w14:paraId="60333F8B" w14:textId="77777777" w:rsidTr="0029600D">
        <w:trPr>
          <w:trHeight w:val="255"/>
        </w:trPr>
        <w:tc>
          <w:tcPr>
            <w:tcW w:w="2835" w:type="dxa"/>
            <w:shd w:val="clear" w:color="auto" w:fill="FFFFFF"/>
          </w:tcPr>
          <w:p w14:paraId="0B9B3AD3" w14:textId="77777777" w:rsidR="004D1AB0" w:rsidRPr="00B57B36" w:rsidRDefault="004D1AB0" w:rsidP="009E29BB">
            <w:pPr>
              <w:pStyle w:val="CETBodytext"/>
              <w:rPr>
                <w:lang w:val="en-GB"/>
              </w:rPr>
            </w:pPr>
            <w:r>
              <w:rPr>
                <w:lang w:val="en-GB"/>
              </w:rPr>
              <w:t>Length</w:t>
            </w:r>
          </w:p>
        </w:tc>
        <w:tc>
          <w:tcPr>
            <w:tcW w:w="1843" w:type="dxa"/>
            <w:shd w:val="clear" w:color="auto" w:fill="FFFFFF"/>
          </w:tcPr>
          <w:p w14:paraId="5D2C66D3" w14:textId="77777777" w:rsidR="004D1AB0" w:rsidRPr="00B57B36" w:rsidRDefault="004D1AB0" w:rsidP="009E29BB">
            <w:pPr>
              <w:pStyle w:val="CETBodytext"/>
              <w:rPr>
                <w:lang w:val="en-GB"/>
              </w:rPr>
            </w:pPr>
            <w:r>
              <w:rPr>
                <w:lang w:val="en-GB"/>
              </w:rPr>
              <w:t>20</w:t>
            </w:r>
          </w:p>
        </w:tc>
        <w:tc>
          <w:tcPr>
            <w:tcW w:w="709" w:type="dxa"/>
            <w:shd w:val="clear" w:color="auto" w:fill="FFFFFF"/>
          </w:tcPr>
          <w:p w14:paraId="0B719302" w14:textId="77777777" w:rsidR="004D1AB0" w:rsidRPr="00B57B36" w:rsidRDefault="004D1AB0" w:rsidP="009E29BB">
            <w:pPr>
              <w:pStyle w:val="CETBodytext"/>
              <w:rPr>
                <w:lang w:val="en-GB"/>
              </w:rPr>
            </w:pPr>
            <w:r>
              <w:rPr>
                <w:lang w:val="en-GB"/>
              </w:rPr>
              <w:t>m</w:t>
            </w:r>
          </w:p>
        </w:tc>
        <w:tc>
          <w:tcPr>
            <w:tcW w:w="3375" w:type="dxa"/>
            <w:shd w:val="clear" w:color="auto" w:fill="FFFFFF"/>
          </w:tcPr>
          <w:p w14:paraId="1F216BDA" w14:textId="77777777" w:rsidR="004D1AB0" w:rsidRPr="00B57B36" w:rsidRDefault="004D1AB0" w:rsidP="009E29BB">
            <w:pPr>
              <w:pStyle w:val="CETBodytext"/>
              <w:ind w:right="-1"/>
              <w:rPr>
                <w:rFonts w:cs="Arial"/>
                <w:szCs w:val="18"/>
                <w:lang w:val="en-GB"/>
              </w:rPr>
            </w:pPr>
            <w:r>
              <w:rPr>
                <w:rFonts w:cs="Arial"/>
                <w:szCs w:val="18"/>
                <w:lang w:val="en-GB"/>
              </w:rPr>
              <w:t>Length of the rigid pipe</w:t>
            </w:r>
          </w:p>
        </w:tc>
      </w:tr>
      <w:tr w:rsidR="004D1AB0" w:rsidRPr="00B57B36" w14:paraId="36FAE5E7" w14:textId="77777777" w:rsidTr="0029600D">
        <w:trPr>
          <w:trHeight w:val="255"/>
        </w:trPr>
        <w:tc>
          <w:tcPr>
            <w:tcW w:w="2835" w:type="dxa"/>
            <w:shd w:val="clear" w:color="auto" w:fill="FFFFFF"/>
          </w:tcPr>
          <w:p w14:paraId="29199DED" w14:textId="77777777" w:rsidR="004D1AB0" w:rsidRPr="00B57B36" w:rsidRDefault="004D1AB0" w:rsidP="009E29BB">
            <w:pPr>
              <w:pStyle w:val="CETBodytext"/>
              <w:rPr>
                <w:lang w:val="en-GB"/>
              </w:rPr>
            </w:pPr>
            <w:r>
              <w:rPr>
                <w:lang w:val="en-GB"/>
              </w:rPr>
              <w:t>Elevation change</w:t>
            </w:r>
          </w:p>
        </w:tc>
        <w:tc>
          <w:tcPr>
            <w:tcW w:w="1843" w:type="dxa"/>
            <w:shd w:val="clear" w:color="auto" w:fill="FFFFFF"/>
          </w:tcPr>
          <w:p w14:paraId="56CC4C30" w14:textId="77777777" w:rsidR="004D1AB0" w:rsidRPr="00B57B36" w:rsidRDefault="004D1AB0" w:rsidP="009E29BB">
            <w:pPr>
              <w:pStyle w:val="CETBodytext"/>
              <w:rPr>
                <w:lang w:val="en-GB"/>
              </w:rPr>
            </w:pPr>
            <w:r>
              <w:rPr>
                <w:lang w:val="en-GB"/>
              </w:rPr>
              <w:t>0</w:t>
            </w:r>
          </w:p>
        </w:tc>
        <w:tc>
          <w:tcPr>
            <w:tcW w:w="709" w:type="dxa"/>
            <w:shd w:val="clear" w:color="auto" w:fill="FFFFFF"/>
          </w:tcPr>
          <w:p w14:paraId="7693A507" w14:textId="77777777" w:rsidR="004D1AB0" w:rsidRPr="00B57B36" w:rsidRDefault="004D1AB0" w:rsidP="009E29BB">
            <w:pPr>
              <w:pStyle w:val="CETBodytext"/>
              <w:rPr>
                <w:lang w:val="en-GB"/>
              </w:rPr>
            </w:pPr>
            <w:r>
              <w:rPr>
                <w:lang w:val="en-GB"/>
              </w:rPr>
              <w:t>m</w:t>
            </w:r>
          </w:p>
        </w:tc>
        <w:tc>
          <w:tcPr>
            <w:tcW w:w="3375" w:type="dxa"/>
            <w:shd w:val="clear" w:color="auto" w:fill="FFFFFF"/>
          </w:tcPr>
          <w:p w14:paraId="192EE459" w14:textId="77777777" w:rsidR="004D1AB0" w:rsidRPr="00B57B36" w:rsidRDefault="004D1AB0" w:rsidP="009E29BB">
            <w:pPr>
              <w:pStyle w:val="CETBodytext"/>
              <w:ind w:right="-1"/>
              <w:rPr>
                <w:rFonts w:cs="Arial"/>
                <w:szCs w:val="18"/>
                <w:lang w:val="en-GB"/>
              </w:rPr>
            </w:pPr>
            <w:r>
              <w:rPr>
                <w:rFonts w:cs="Arial"/>
                <w:szCs w:val="18"/>
                <w:lang w:val="en-GB"/>
              </w:rPr>
              <w:t>Pipeline position is considered horizontal</w:t>
            </w:r>
          </w:p>
        </w:tc>
      </w:tr>
      <w:tr w:rsidR="004D1AB0" w:rsidRPr="00B57B36" w14:paraId="5B558B89" w14:textId="77777777" w:rsidTr="0029600D">
        <w:trPr>
          <w:trHeight w:val="255"/>
        </w:trPr>
        <w:tc>
          <w:tcPr>
            <w:tcW w:w="2835" w:type="dxa"/>
            <w:shd w:val="clear" w:color="auto" w:fill="FFFFFF"/>
          </w:tcPr>
          <w:p w14:paraId="525291E7" w14:textId="77777777" w:rsidR="004D1AB0" w:rsidRPr="00B57B36" w:rsidRDefault="004D1AB0" w:rsidP="009E29BB">
            <w:pPr>
              <w:pStyle w:val="CETBodytext"/>
              <w:rPr>
                <w:lang w:val="en-GB"/>
              </w:rPr>
            </w:pPr>
            <w:r>
              <w:rPr>
                <w:lang w:val="en-GB"/>
              </w:rPr>
              <w:t>Outer diameter</w:t>
            </w:r>
          </w:p>
        </w:tc>
        <w:tc>
          <w:tcPr>
            <w:tcW w:w="1843" w:type="dxa"/>
            <w:shd w:val="clear" w:color="auto" w:fill="FFFFFF"/>
          </w:tcPr>
          <w:p w14:paraId="44B43398" w14:textId="2967EE1E" w:rsidR="004D1AB0" w:rsidRPr="00B57B36" w:rsidRDefault="004D1AB0" w:rsidP="009E29BB">
            <w:pPr>
              <w:pStyle w:val="CETBodytext"/>
              <w:rPr>
                <w:lang w:val="en-GB"/>
              </w:rPr>
            </w:pPr>
            <w:r>
              <w:rPr>
                <w:lang w:val="en-GB"/>
              </w:rPr>
              <w:t>45</w:t>
            </w:r>
          </w:p>
        </w:tc>
        <w:tc>
          <w:tcPr>
            <w:tcW w:w="709" w:type="dxa"/>
            <w:shd w:val="clear" w:color="auto" w:fill="FFFFFF"/>
          </w:tcPr>
          <w:p w14:paraId="502C1E8B" w14:textId="77777777" w:rsidR="004D1AB0" w:rsidRPr="00B57B36" w:rsidRDefault="004D1AB0" w:rsidP="009E29BB">
            <w:pPr>
              <w:pStyle w:val="CETBodytext"/>
              <w:rPr>
                <w:lang w:val="en-GB"/>
              </w:rPr>
            </w:pPr>
            <w:r>
              <w:rPr>
                <w:lang w:val="en-GB"/>
              </w:rPr>
              <w:t>mm</w:t>
            </w:r>
          </w:p>
        </w:tc>
        <w:tc>
          <w:tcPr>
            <w:tcW w:w="3375" w:type="dxa"/>
            <w:shd w:val="clear" w:color="auto" w:fill="FFFFFF"/>
          </w:tcPr>
          <w:p w14:paraId="479C898C" w14:textId="77777777" w:rsidR="004D1AB0" w:rsidRPr="00B57B36" w:rsidRDefault="004D1AB0" w:rsidP="009E29BB">
            <w:pPr>
              <w:pStyle w:val="CETBodytext"/>
              <w:ind w:right="-1"/>
              <w:rPr>
                <w:rFonts w:cs="Arial"/>
                <w:szCs w:val="18"/>
                <w:lang w:val="en-GB"/>
              </w:rPr>
            </w:pPr>
            <w:r>
              <w:rPr>
                <w:rFonts w:cs="Arial"/>
                <w:szCs w:val="18"/>
                <w:lang w:val="en-GB"/>
              </w:rPr>
              <w:t>-</w:t>
            </w:r>
          </w:p>
        </w:tc>
      </w:tr>
      <w:tr w:rsidR="004D1AB0" w:rsidRPr="00B57B36" w14:paraId="3FA55C0A" w14:textId="77777777" w:rsidTr="0029600D">
        <w:trPr>
          <w:trHeight w:val="255"/>
        </w:trPr>
        <w:tc>
          <w:tcPr>
            <w:tcW w:w="2835" w:type="dxa"/>
            <w:shd w:val="clear" w:color="auto" w:fill="FFFFFF"/>
          </w:tcPr>
          <w:p w14:paraId="7BD6F223" w14:textId="77777777" w:rsidR="004D1AB0" w:rsidRPr="00B57B36" w:rsidRDefault="004D1AB0" w:rsidP="009E29BB">
            <w:pPr>
              <w:pStyle w:val="CETBodytext"/>
              <w:rPr>
                <w:lang w:val="en-GB"/>
              </w:rPr>
            </w:pPr>
            <w:r>
              <w:rPr>
                <w:lang w:val="en-GB"/>
              </w:rPr>
              <w:t>Inner diameter</w:t>
            </w:r>
          </w:p>
        </w:tc>
        <w:tc>
          <w:tcPr>
            <w:tcW w:w="1843" w:type="dxa"/>
            <w:shd w:val="clear" w:color="auto" w:fill="FFFFFF"/>
          </w:tcPr>
          <w:p w14:paraId="00143416" w14:textId="219BB647" w:rsidR="004D1AB0" w:rsidRPr="00B57B36" w:rsidRDefault="004D1AB0" w:rsidP="009E29BB">
            <w:pPr>
              <w:pStyle w:val="CETBodytext"/>
              <w:rPr>
                <w:lang w:val="en-GB"/>
              </w:rPr>
            </w:pPr>
            <w:r>
              <w:rPr>
                <w:lang w:val="en-GB"/>
              </w:rPr>
              <w:t>25</w:t>
            </w:r>
          </w:p>
        </w:tc>
        <w:tc>
          <w:tcPr>
            <w:tcW w:w="709" w:type="dxa"/>
            <w:shd w:val="clear" w:color="auto" w:fill="FFFFFF"/>
          </w:tcPr>
          <w:p w14:paraId="221EDDC7" w14:textId="77777777" w:rsidR="004D1AB0" w:rsidRPr="00B57B36" w:rsidRDefault="004D1AB0" w:rsidP="009E29BB">
            <w:pPr>
              <w:pStyle w:val="CETBodytext"/>
              <w:rPr>
                <w:lang w:val="en-GB"/>
              </w:rPr>
            </w:pPr>
            <w:r>
              <w:rPr>
                <w:lang w:val="en-GB"/>
              </w:rPr>
              <w:t>mm</w:t>
            </w:r>
          </w:p>
        </w:tc>
        <w:tc>
          <w:tcPr>
            <w:tcW w:w="3375" w:type="dxa"/>
            <w:shd w:val="clear" w:color="auto" w:fill="FFFFFF"/>
          </w:tcPr>
          <w:p w14:paraId="152ECE19" w14:textId="77777777" w:rsidR="004D1AB0" w:rsidRPr="00B57B36" w:rsidRDefault="004D1AB0" w:rsidP="009E29BB">
            <w:pPr>
              <w:pStyle w:val="CETBodytext"/>
              <w:ind w:right="-1"/>
              <w:rPr>
                <w:rFonts w:cs="Arial"/>
                <w:szCs w:val="18"/>
                <w:lang w:val="en-GB"/>
              </w:rPr>
            </w:pPr>
            <w:r>
              <w:rPr>
                <w:rFonts w:cs="Arial"/>
                <w:szCs w:val="18"/>
                <w:lang w:val="en-GB"/>
              </w:rPr>
              <w:t>-</w:t>
            </w:r>
          </w:p>
        </w:tc>
      </w:tr>
      <w:tr w:rsidR="004D1AB0" w:rsidRPr="00B57B36" w14:paraId="52B71911" w14:textId="77777777" w:rsidTr="0029600D">
        <w:trPr>
          <w:trHeight w:val="255"/>
        </w:trPr>
        <w:tc>
          <w:tcPr>
            <w:tcW w:w="2835" w:type="dxa"/>
            <w:shd w:val="clear" w:color="auto" w:fill="FFFFFF"/>
          </w:tcPr>
          <w:p w14:paraId="45C8C5FF" w14:textId="77777777" w:rsidR="004D1AB0" w:rsidRDefault="004D1AB0" w:rsidP="009E29BB">
            <w:pPr>
              <w:pStyle w:val="CETBodytext"/>
              <w:rPr>
                <w:lang w:val="en-GB"/>
              </w:rPr>
            </w:pPr>
            <w:r>
              <w:rPr>
                <w:lang w:val="en-GB"/>
              </w:rPr>
              <w:t>Pipe Material</w:t>
            </w:r>
          </w:p>
        </w:tc>
        <w:tc>
          <w:tcPr>
            <w:tcW w:w="1843" w:type="dxa"/>
            <w:shd w:val="clear" w:color="auto" w:fill="FFFFFF"/>
          </w:tcPr>
          <w:p w14:paraId="4260A3B9" w14:textId="508810F5" w:rsidR="004D1AB0" w:rsidRPr="00B57B36" w:rsidRDefault="00562480" w:rsidP="009E29BB">
            <w:pPr>
              <w:pStyle w:val="CETBodytext"/>
              <w:rPr>
                <w:lang w:val="en-GB"/>
              </w:rPr>
            </w:pPr>
            <w:r>
              <w:rPr>
                <w:lang w:val="en-GB"/>
              </w:rPr>
              <w:t>-</w:t>
            </w:r>
          </w:p>
        </w:tc>
        <w:tc>
          <w:tcPr>
            <w:tcW w:w="709" w:type="dxa"/>
            <w:shd w:val="clear" w:color="auto" w:fill="FFFFFF"/>
          </w:tcPr>
          <w:p w14:paraId="1075D31E" w14:textId="0CC0ED5D" w:rsidR="004D1AB0" w:rsidRPr="00B57B36" w:rsidRDefault="00562480" w:rsidP="009E29BB">
            <w:pPr>
              <w:pStyle w:val="CETBodytext"/>
              <w:rPr>
                <w:lang w:val="en-GB"/>
              </w:rPr>
            </w:pPr>
            <w:r>
              <w:rPr>
                <w:lang w:val="en-GB"/>
              </w:rPr>
              <w:t>-</w:t>
            </w:r>
          </w:p>
        </w:tc>
        <w:tc>
          <w:tcPr>
            <w:tcW w:w="3375" w:type="dxa"/>
            <w:shd w:val="clear" w:color="auto" w:fill="FFFFFF"/>
          </w:tcPr>
          <w:p w14:paraId="1330D063" w14:textId="77777777" w:rsidR="004D1AB0" w:rsidRPr="00B57B36" w:rsidRDefault="004D1AB0" w:rsidP="009E29BB">
            <w:pPr>
              <w:pStyle w:val="CETBodytext"/>
              <w:ind w:right="-1"/>
              <w:rPr>
                <w:rFonts w:cs="Arial"/>
                <w:szCs w:val="18"/>
                <w:lang w:val="en-GB"/>
              </w:rPr>
            </w:pPr>
            <w:r w:rsidRPr="00031CBB">
              <w:t>ASTM A 240, type 316 L stainless steel</w:t>
            </w:r>
          </w:p>
        </w:tc>
      </w:tr>
      <w:tr w:rsidR="004D1AB0" w:rsidRPr="00B57B36" w14:paraId="795F0FF4" w14:textId="77777777" w:rsidTr="0029600D">
        <w:trPr>
          <w:trHeight w:val="255"/>
        </w:trPr>
        <w:tc>
          <w:tcPr>
            <w:tcW w:w="2835" w:type="dxa"/>
            <w:shd w:val="clear" w:color="auto" w:fill="FFFFFF"/>
          </w:tcPr>
          <w:p w14:paraId="5549765E" w14:textId="77777777" w:rsidR="004D1AB0" w:rsidRDefault="004D1AB0" w:rsidP="009E29BB">
            <w:pPr>
              <w:pStyle w:val="CETBodytext"/>
              <w:rPr>
                <w:lang w:val="en-GB"/>
              </w:rPr>
            </w:pPr>
            <w:r>
              <w:rPr>
                <w:lang w:val="en-GB"/>
              </w:rPr>
              <w:t>Roughness</w:t>
            </w:r>
          </w:p>
        </w:tc>
        <w:tc>
          <w:tcPr>
            <w:tcW w:w="1843" w:type="dxa"/>
            <w:shd w:val="clear" w:color="auto" w:fill="FFFFFF"/>
          </w:tcPr>
          <w:p w14:paraId="7E4EE224" w14:textId="77777777" w:rsidR="004D1AB0" w:rsidRPr="00B57B36" w:rsidRDefault="004D1AB0" w:rsidP="009E29BB">
            <w:pPr>
              <w:pStyle w:val="CETBodytext"/>
              <w:rPr>
                <w:lang w:val="en-GB"/>
              </w:rPr>
            </w:pPr>
            <w:r>
              <w:rPr>
                <w:lang w:val="en-GB"/>
              </w:rPr>
              <w:t>1.500e-005</w:t>
            </w:r>
          </w:p>
        </w:tc>
        <w:tc>
          <w:tcPr>
            <w:tcW w:w="709" w:type="dxa"/>
            <w:shd w:val="clear" w:color="auto" w:fill="FFFFFF"/>
          </w:tcPr>
          <w:p w14:paraId="334671CB" w14:textId="77777777" w:rsidR="004D1AB0" w:rsidRPr="00B57B36" w:rsidRDefault="004D1AB0" w:rsidP="009E29BB">
            <w:pPr>
              <w:pStyle w:val="CETBodytext"/>
              <w:rPr>
                <w:lang w:val="en-GB"/>
              </w:rPr>
            </w:pPr>
            <w:r>
              <w:rPr>
                <w:lang w:val="en-GB"/>
              </w:rPr>
              <w:t>m</w:t>
            </w:r>
          </w:p>
        </w:tc>
        <w:tc>
          <w:tcPr>
            <w:tcW w:w="3375" w:type="dxa"/>
            <w:shd w:val="clear" w:color="auto" w:fill="FFFFFF"/>
          </w:tcPr>
          <w:p w14:paraId="3088562F" w14:textId="77777777" w:rsidR="004D1AB0" w:rsidRPr="00B57B36" w:rsidRDefault="004D1AB0" w:rsidP="009E29BB">
            <w:pPr>
              <w:pStyle w:val="CETBodytext"/>
              <w:ind w:right="-1"/>
              <w:rPr>
                <w:rFonts w:cs="Arial"/>
                <w:szCs w:val="18"/>
                <w:lang w:val="en-GB"/>
              </w:rPr>
            </w:pPr>
            <w:r>
              <w:rPr>
                <w:rFonts w:cs="Arial"/>
                <w:szCs w:val="18"/>
                <w:lang w:val="en-GB"/>
              </w:rPr>
              <w:t>Roughness of inner pipe wall</w:t>
            </w:r>
          </w:p>
        </w:tc>
      </w:tr>
      <w:tr w:rsidR="004D1AB0" w:rsidRPr="00B57B36" w14:paraId="335B5C02" w14:textId="77777777" w:rsidTr="0029600D">
        <w:trPr>
          <w:trHeight w:val="255"/>
        </w:trPr>
        <w:tc>
          <w:tcPr>
            <w:tcW w:w="2835" w:type="dxa"/>
            <w:shd w:val="clear" w:color="auto" w:fill="FFFFFF"/>
          </w:tcPr>
          <w:p w14:paraId="4EF3FD66" w14:textId="77777777" w:rsidR="004D1AB0" w:rsidRDefault="004D1AB0" w:rsidP="009E29BB">
            <w:pPr>
              <w:pStyle w:val="CETBodytext"/>
              <w:rPr>
                <w:lang w:val="en-GB"/>
              </w:rPr>
            </w:pPr>
            <w:r>
              <w:rPr>
                <w:lang w:val="en-GB"/>
              </w:rPr>
              <w:t>Pipe wall conductivity</w:t>
            </w:r>
          </w:p>
        </w:tc>
        <w:tc>
          <w:tcPr>
            <w:tcW w:w="1843" w:type="dxa"/>
            <w:shd w:val="clear" w:color="auto" w:fill="FFFFFF"/>
          </w:tcPr>
          <w:p w14:paraId="014D1257" w14:textId="77777777" w:rsidR="004D1AB0" w:rsidRPr="00B57B36" w:rsidRDefault="004D1AB0" w:rsidP="009E29BB">
            <w:pPr>
              <w:pStyle w:val="CETBodytext"/>
              <w:rPr>
                <w:lang w:val="en-GB"/>
              </w:rPr>
            </w:pPr>
            <w:r>
              <w:rPr>
                <w:lang w:val="en-GB"/>
              </w:rPr>
              <w:t>16.30</w:t>
            </w:r>
          </w:p>
        </w:tc>
        <w:tc>
          <w:tcPr>
            <w:tcW w:w="709" w:type="dxa"/>
            <w:shd w:val="clear" w:color="auto" w:fill="FFFFFF"/>
            <w:vAlign w:val="center"/>
          </w:tcPr>
          <w:p w14:paraId="04C556BF" w14:textId="77777777" w:rsidR="004D1AB0" w:rsidRPr="00B57B36" w:rsidRDefault="004D1AB0" w:rsidP="009E29BB">
            <w:pPr>
              <w:pStyle w:val="CETBodytext"/>
              <w:rPr>
                <w:lang w:val="en-GB"/>
              </w:rPr>
            </w:pPr>
            <w:r w:rsidRPr="00031CBB">
              <w:t>W/m·K</w:t>
            </w:r>
          </w:p>
        </w:tc>
        <w:tc>
          <w:tcPr>
            <w:tcW w:w="3375" w:type="dxa"/>
            <w:shd w:val="clear" w:color="auto" w:fill="FFFFFF"/>
          </w:tcPr>
          <w:p w14:paraId="219D8746" w14:textId="77777777" w:rsidR="004D1AB0" w:rsidRPr="00B57B36" w:rsidRDefault="004D1AB0" w:rsidP="009E29BB">
            <w:pPr>
              <w:pStyle w:val="CETBodytext"/>
              <w:ind w:right="-1"/>
              <w:rPr>
                <w:rFonts w:cs="Arial"/>
                <w:szCs w:val="18"/>
                <w:lang w:val="en-GB"/>
              </w:rPr>
            </w:pPr>
            <w:r>
              <w:rPr>
                <w:rFonts w:cs="Arial"/>
                <w:szCs w:val="18"/>
                <w:lang w:val="en-GB"/>
              </w:rPr>
              <w:t>-</w:t>
            </w:r>
          </w:p>
        </w:tc>
      </w:tr>
      <w:tr w:rsidR="004D1AB0" w:rsidRPr="00B57B36" w14:paraId="276A593A" w14:textId="77777777" w:rsidTr="0029600D">
        <w:trPr>
          <w:trHeight w:val="255"/>
        </w:trPr>
        <w:tc>
          <w:tcPr>
            <w:tcW w:w="2835" w:type="dxa"/>
            <w:shd w:val="clear" w:color="auto" w:fill="FFFFFF"/>
          </w:tcPr>
          <w:p w14:paraId="6D41636E" w14:textId="77777777" w:rsidR="004D1AB0" w:rsidRDefault="004D1AB0" w:rsidP="009E29BB">
            <w:pPr>
              <w:pStyle w:val="CETBodytext"/>
              <w:rPr>
                <w:lang w:val="en-GB"/>
              </w:rPr>
            </w:pPr>
            <w:r>
              <w:rPr>
                <w:lang w:val="en-GB"/>
              </w:rPr>
              <w:t>Insulation type</w:t>
            </w:r>
          </w:p>
        </w:tc>
        <w:tc>
          <w:tcPr>
            <w:tcW w:w="1843" w:type="dxa"/>
            <w:shd w:val="clear" w:color="auto" w:fill="FFFFFF"/>
          </w:tcPr>
          <w:p w14:paraId="00905678" w14:textId="7F5DEA52" w:rsidR="004D1AB0" w:rsidRPr="00B57B36" w:rsidRDefault="00E10531" w:rsidP="009E29BB">
            <w:pPr>
              <w:pStyle w:val="CETBodytext"/>
              <w:rPr>
                <w:lang w:val="en-GB"/>
              </w:rPr>
            </w:pPr>
            <w:r>
              <w:rPr>
                <w:lang w:val="en-GB"/>
              </w:rPr>
              <w:t>Evacuated anulus</w:t>
            </w:r>
          </w:p>
        </w:tc>
        <w:tc>
          <w:tcPr>
            <w:tcW w:w="709" w:type="dxa"/>
            <w:shd w:val="clear" w:color="auto" w:fill="FFFFFF"/>
          </w:tcPr>
          <w:p w14:paraId="3C51F576" w14:textId="77777777" w:rsidR="004D1AB0" w:rsidRPr="00B57B36" w:rsidRDefault="004D1AB0" w:rsidP="009E29BB">
            <w:pPr>
              <w:pStyle w:val="CETBodytext"/>
              <w:rPr>
                <w:lang w:val="en-GB"/>
              </w:rPr>
            </w:pPr>
          </w:p>
        </w:tc>
        <w:tc>
          <w:tcPr>
            <w:tcW w:w="3375" w:type="dxa"/>
            <w:shd w:val="clear" w:color="auto" w:fill="FFFFFF"/>
          </w:tcPr>
          <w:p w14:paraId="2F428EBB" w14:textId="77777777" w:rsidR="004D1AB0" w:rsidRPr="00B57B36" w:rsidRDefault="004D1AB0" w:rsidP="009E29BB">
            <w:pPr>
              <w:pStyle w:val="CETBodytext"/>
              <w:ind w:right="-1"/>
              <w:rPr>
                <w:rFonts w:cs="Arial"/>
                <w:szCs w:val="18"/>
                <w:lang w:val="en-GB"/>
              </w:rPr>
            </w:pPr>
            <w:r>
              <w:rPr>
                <w:rFonts w:cs="Arial"/>
                <w:szCs w:val="18"/>
                <w:lang w:val="en-GB"/>
              </w:rPr>
              <w:t>-</w:t>
            </w:r>
          </w:p>
        </w:tc>
      </w:tr>
      <w:tr w:rsidR="004D1AB0" w:rsidRPr="00B57B36" w14:paraId="3D93829A" w14:textId="77777777" w:rsidTr="0029600D">
        <w:trPr>
          <w:trHeight w:val="255"/>
        </w:trPr>
        <w:tc>
          <w:tcPr>
            <w:tcW w:w="2835" w:type="dxa"/>
            <w:shd w:val="clear" w:color="auto" w:fill="FFFFFF"/>
          </w:tcPr>
          <w:p w14:paraId="3D2BD7C6" w14:textId="77777777" w:rsidR="004D1AB0" w:rsidRDefault="004D1AB0" w:rsidP="009E29BB">
            <w:pPr>
              <w:pStyle w:val="CETBodytext"/>
              <w:rPr>
                <w:lang w:val="en-GB"/>
              </w:rPr>
            </w:pPr>
            <w:r>
              <w:rPr>
                <w:lang w:val="en-GB"/>
              </w:rPr>
              <w:t>Thermal conductivity of insulation</w:t>
            </w:r>
          </w:p>
        </w:tc>
        <w:tc>
          <w:tcPr>
            <w:tcW w:w="1843" w:type="dxa"/>
            <w:shd w:val="clear" w:color="auto" w:fill="FFFFFF"/>
          </w:tcPr>
          <w:p w14:paraId="5601A4E4" w14:textId="77777777" w:rsidR="004D1AB0" w:rsidRPr="00B57B36" w:rsidRDefault="004D1AB0" w:rsidP="009E29BB">
            <w:pPr>
              <w:pStyle w:val="CETBodytext"/>
              <w:rPr>
                <w:lang w:val="en-GB"/>
              </w:rPr>
            </w:pPr>
            <w:r w:rsidRPr="00011013">
              <w:rPr>
                <w:lang w:val="en-GB"/>
              </w:rPr>
              <w:t>5e-004</w:t>
            </w:r>
          </w:p>
        </w:tc>
        <w:tc>
          <w:tcPr>
            <w:tcW w:w="709" w:type="dxa"/>
            <w:shd w:val="clear" w:color="auto" w:fill="FFFFFF"/>
          </w:tcPr>
          <w:p w14:paraId="181F9021" w14:textId="77777777" w:rsidR="004D1AB0" w:rsidRPr="00B57B36" w:rsidRDefault="004D1AB0" w:rsidP="009E29BB">
            <w:pPr>
              <w:pStyle w:val="CETBodytext"/>
              <w:rPr>
                <w:lang w:val="en-GB"/>
              </w:rPr>
            </w:pPr>
            <w:r w:rsidRPr="00031CBB">
              <w:t>W/m·K</w:t>
            </w:r>
          </w:p>
        </w:tc>
        <w:tc>
          <w:tcPr>
            <w:tcW w:w="3375" w:type="dxa"/>
            <w:shd w:val="clear" w:color="auto" w:fill="FFFFFF"/>
          </w:tcPr>
          <w:p w14:paraId="0DE8F88A" w14:textId="77777777" w:rsidR="004D1AB0" w:rsidRPr="00B57B36" w:rsidRDefault="004D1AB0" w:rsidP="009E29BB">
            <w:pPr>
              <w:pStyle w:val="CETBodytext"/>
              <w:ind w:right="-1"/>
              <w:rPr>
                <w:rFonts w:cs="Arial"/>
                <w:szCs w:val="18"/>
                <w:lang w:val="en-GB"/>
              </w:rPr>
            </w:pPr>
            <w:r>
              <w:rPr>
                <w:rFonts w:cs="Arial"/>
                <w:szCs w:val="18"/>
                <w:lang w:val="en-GB"/>
              </w:rPr>
              <w:t>-</w:t>
            </w:r>
          </w:p>
        </w:tc>
      </w:tr>
      <w:tr w:rsidR="004D1AB0" w:rsidRPr="00B57B36" w14:paraId="60297733" w14:textId="77777777" w:rsidTr="0029600D">
        <w:trPr>
          <w:trHeight w:val="255"/>
        </w:trPr>
        <w:tc>
          <w:tcPr>
            <w:tcW w:w="2835" w:type="dxa"/>
            <w:shd w:val="clear" w:color="auto" w:fill="FFFFFF"/>
          </w:tcPr>
          <w:p w14:paraId="5F0617D3" w14:textId="77777777" w:rsidR="004D1AB0" w:rsidRDefault="004D1AB0" w:rsidP="009E29BB">
            <w:pPr>
              <w:pStyle w:val="CETBodytext"/>
              <w:rPr>
                <w:lang w:val="en-GB"/>
              </w:rPr>
            </w:pPr>
            <w:r>
              <w:rPr>
                <w:lang w:val="en-GB"/>
              </w:rPr>
              <w:lastRenderedPageBreak/>
              <w:t>Insulation thickness</w:t>
            </w:r>
          </w:p>
        </w:tc>
        <w:tc>
          <w:tcPr>
            <w:tcW w:w="1843" w:type="dxa"/>
            <w:shd w:val="clear" w:color="auto" w:fill="FFFFFF"/>
          </w:tcPr>
          <w:p w14:paraId="07CCD73E" w14:textId="77777777" w:rsidR="004D1AB0" w:rsidRPr="00B57B36" w:rsidRDefault="004D1AB0" w:rsidP="009E29BB">
            <w:pPr>
              <w:pStyle w:val="CETBodytext"/>
              <w:rPr>
                <w:lang w:val="en-GB"/>
              </w:rPr>
            </w:pPr>
            <w:r>
              <w:rPr>
                <w:lang w:val="en-GB"/>
              </w:rPr>
              <w:t>50</w:t>
            </w:r>
          </w:p>
        </w:tc>
        <w:tc>
          <w:tcPr>
            <w:tcW w:w="709" w:type="dxa"/>
            <w:shd w:val="clear" w:color="auto" w:fill="FFFFFF"/>
          </w:tcPr>
          <w:p w14:paraId="586A13FA" w14:textId="77777777" w:rsidR="004D1AB0" w:rsidRPr="00B57B36" w:rsidRDefault="004D1AB0" w:rsidP="009E29BB">
            <w:pPr>
              <w:pStyle w:val="CETBodytext"/>
              <w:rPr>
                <w:lang w:val="en-GB"/>
              </w:rPr>
            </w:pPr>
            <w:r>
              <w:rPr>
                <w:lang w:val="en-GB"/>
              </w:rPr>
              <w:t>mm</w:t>
            </w:r>
          </w:p>
        </w:tc>
        <w:tc>
          <w:tcPr>
            <w:tcW w:w="3375" w:type="dxa"/>
            <w:shd w:val="clear" w:color="auto" w:fill="FFFFFF"/>
          </w:tcPr>
          <w:p w14:paraId="788D4F55" w14:textId="77777777" w:rsidR="004D1AB0" w:rsidRPr="00B57B36" w:rsidRDefault="004D1AB0" w:rsidP="009E29BB">
            <w:pPr>
              <w:pStyle w:val="CETBodytext"/>
              <w:ind w:right="-1"/>
              <w:rPr>
                <w:rFonts w:cs="Arial"/>
                <w:szCs w:val="18"/>
                <w:lang w:val="en-GB"/>
              </w:rPr>
            </w:pPr>
            <w:r>
              <w:rPr>
                <w:rFonts w:cs="Arial"/>
                <w:szCs w:val="18"/>
                <w:lang w:val="en-GB"/>
              </w:rPr>
              <w:t>-</w:t>
            </w:r>
          </w:p>
        </w:tc>
      </w:tr>
      <w:tr w:rsidR="00E91B24" w:rsidRPr="00B57B36" w14:paraId="6DFAEA48" w14:textId="77777777" w:rsidTr="0029600D">
        <w:trPr>
          <w:trHeight w:val="255"/>
        </w:trPr>
        <w:tc>
          <w:tcPr>
            <w:tcW w:w="2835" w:type="dxa"/>
            <w:shd w:val="clear" w:color="auto" w:fill="FFFFFF"/>
          </w:tcPr>
          <w:p w14:paraId="0082FF37" w14:textId="664FDBB0" w:rsidR="00E91B24" w:rsidRDefault="00832882" w:rsidP="009E29BB">
            <w:pPr>
              <w:pStyle w:val="CETBodytext"/>
              <w:rPr>
                <w:lang w:val="en-GB"/>
              </w:rPr>
            </w:pPr>
            <w:r>
              <w:rPr>
                <w:lang w:val="en-GB"/>
              </w:rPr>
              <w:t>Mass flow rate</w:t>
            </w:r>
          </w:p>
        </w:tc>
        <w:tc>
          <w:tcPr>
            <w:tcW w:w="1843" w:type="dxa"/>
            <w:shd w:val="clear" w:color="auto" w:fill="FFFFFF"/>
          </w:tcPr>
          <w:p w14:paraId="3C857E5A" w14:textId="2B74CBBA" w:rsidR="00E91B24" w:rsidRDefault="00672889" w:rsidP="009E29BB">
            <w:pPr>
              <w:pStyle w:val="CETBodytext"/>
              <w:rPr>
                <w:lang w:val="en-GB"/>
              </w:rPr>
            </w:pPr>
            <w:r>
              <w:rPr>
                <w:lang w:val="en-GB"/>
              </w:rPr>
              <w:t>500-400</w:t>
            </w:r>
          </w:p>
        </w:tc>
        <w:tc>
          <w:tcPr>
            <w:tcW w:w="709" w:type="dxa"/>
            <w:shd w:val="clear" w:color="auto" w:fill="FFFFFF"/>
          </w:tcPr>
          <w:p w14:paraId="684D2453" w14:textId="64E9302A" w:rsidR="00E91B24" w:rsidRDefault="00672889" w:rsidP="009E29BB">
            <w:pPr>
              <w:pStyle w:val="CETBodytext"/>
              <w:rPr>
                <w:lang w:val="en-GB"/>
              </w:rPr>
            </w:pPr>
            <w:r>
              <w:rPr>
                <w:lang w:val="en-GB"/>
              </w:rPr>
              <w:t>kg/h</w:t>
            </w:r>
          </w:p>
        </w:tc>
        <w:tc>
          <w:tcPr>
            <w:tcW w:w="3375" w:type="dxa"/>
            <w:shd w:val="clear" w:color="auto" w:fill="FFFFFF"/>
          </w:tcPr>
          <w:p w14:paraId="72778374" w14:textId="23A35A76" w:rsidR="00E91B24" w:rsidRDefault="007306F2" w:rsidP="009E29BB">
            <w:pPr>
              <w:pStyle w:val="CETBodytext"/>
              <w:ind w:right="-1"/>
              <w:rPr>
                <w:rFonts w:cs="Arial"/>
                <w:szCs w:val="18"/>
                <w:lang w:val="en-GB"/>
              </w:rPr>
            </w:pPr>
            <w:r>
              <w:rPr>
                <w:rFonts w:cs="Arial"/>
                <w:szCs w:val="18"/>
                <w:lang w:val="en-GB"/>
              </w:rPr>
              <w:t>-</w:t>
            </w:r>
          </w:p>
        </w:tc>
      </w:tr>
      <w:tr w:rsidR="00E91B24" w:rsidRPr="00B57B36" w14:paraId="51945A59" w14:textId="77777777" w:rsidTr="0029600D">
        <w:trPr>
          <w:trHeight w:val="255"/>
        </w:trPr>
        <w:tc>
          <w:tcPr>
            <w:tcW w:w="2835" w:type="dxa"/>
            <w:shd w:val="clear" w:color="auto" w:fill="FFFFFF"/>
          </w:tcPr>
          <w:p w14:paraId="003FDF9F" w14:textId="51BCF768" w:rsidR="00E91B24" w:rsidRDefault="00A33098" w:rsidP="009E29BB">
            <w:pPr>
              <w:pStyle w:val="CETBodytext"/>
              <w:rPr>
                <w:lang w:val="en-GB"/>
              </w:rPr>
            </w:pPr>
            <w:r>
              <w:rPr>
                <w:lang w:val="en-GB"/>
              </w:rPr>
              <w:t>Pressure</w:t>
            </w:r>
          </w:p>
        </w:tc>
        <w:tc>
          <w:tcPr>
            <w:tcW w:w="1843" w:type="dxa"/>
            <w:shd w:val="clear" w:color="auto" w:fill="FFFFFF"/>
          </w:tcPr>
          <w:p w14:paraId="2D7294BB" w14:textId="3F7EF67D" w:rsidR="00E91B24" w:rsidRDefault="00A33098" w:rsidP="009E29BB">
            <w:pPr>
              <w:pStyle w:val="CETBodytext"/>
              <w:rPr>
                <w:lang w:val="en-GB"/>
              </w:rPr>
            </w:pPr>
            <w:r>
              <w:rPr>
                <w:lang w:val="en-GB"/>
              </w:rPr>
              <w:t>1.5, 6.0, 10.0</w:t>
            </w:r>
          </w:p>
        </w:tc>
        <w:tc>
          <w:tcPr>
            <w:tcW w:w="709" w:type="dxa"/>
            <w:shd w:val="clear" w:color="auto" w:fill="FFFFFF"/>
          </w:tcPr>
          <w:p w14:paraId="1FC085BB" w14:textId="684A8699" w:rsidR="00E91B24" w:rsidRDefault="00A33098" w:rsidP="009E29BB">
            <w:pPr>
              <w:pStyle w:val="CETBodytext"/>
              <w:rPr>
                <w:lang w:val="en-GB"/>
              </w:rPr>
            </w:pPr>
            <w:r>
              <w:rPr>
                <w:lang w:val="en-GB"/>
              </w:rPr>
              <w:t>bar</w:t>
            </w:r>
          </w:p>
        </w:tc>
        <w:tc>
          <w:tcPr>
            <w:tcW w:w="3375" w:type="dxa"/>
            <w:shd w:val="clear" w:color="auto" w:fill="FFFFFF"/>
          </w:tcPr>
          <w:p w14:paraId="37D716D9" w14:textId="4CD23383" w:rsidR="00E91B24" w:rsidRDefault="007306F2" w:rsidP="009E29BB">
            <w:pPr>
              <w:pStyle w:val="CETBodytext"/>
              <w:ind w:right="-1"/>
              <w:rPr>
                <w:rFonts w:cs="Arial"/>
                <w:szCs w:val="18"/>
                <w:lang w:val="en-GB"/>
              </w:rPr>
            </w:pPr>
            <w:r>
              <w:rPr>
                <w:rFonts w:cs="Arial"/>
                <w:szCs w:val="18"/>
                <w:lang w:val="en-GB"/>
              </w:rPr>
              <w:t>-</w:t>
            </w:r>
          </w:p>
        </w:tc>
      </w:tr>
      <w:tr w:rsidR="00672889" w:rsidRPr="00B57B36" w14:paraId="197E7883" w14:textId="77777777" w:rsidTr="0029600D">
        <w:trPr>
          <w:trHeight w:val="255"/>
        </w:trPr>
        <w:tc>
          <w:tcPr>
            <w:tcW w:w="2835" w:type="dxa"/>
            <w:shd w:val="clear" w:color="auto" w:fill="FFFFFF"/>
          </w:tcPr>
          <w:p w14:paraId="3E18DB0E" w14:textId="44B2EB66" w:rsidR="00672889" w:rsidRDefault="00A33098" w:rsidP="009E29BB">
            <w:pPr>
              <w:pStyle w:val="CETBodytext"/>
              <w:rPr>
                <w:lang w:val="en-GB"/>
              </w:rPr>
            </w:pPr>
            <w:r>
              <w:rPr>
                <w:lang w:val="en-GB"/>
              </w:rPr>
              <w:t>Temperature</w:t>
            </w:r>
          </w:p>
        </w:tc>
        <w:tc>
          <w:tcPr>
            <w:tcW w:w="1843" w:type="dxa"/>
            <w:shd w:val="clear" w:color="auto" w:fill="FFFFFF"/>
          </w:tcPr>
          <w:p w14:paraId="5A986E71" w14:textId="009A6ED3" w:rsidR="00672889" w:rsidRDefault="00A25AD7" w:rsidP="009E29BB">
            <w:pPr>
              <w:pStyle w:val="CETBodytext"/>
              <w:rPr>
                <w:lang w:val="en-GB"/>
              </w:rPr>
            </w:pPr>
            <w:r>
              <w:rPr>
                <w:lang w:val="en-GB"/>
              </w:rPr>
              <w:t>21.56, 27.94, 31.14</w:t>
            </w:r>
          </w:p>
        </w:tc>
        <w:tc>
          <w:tcPr>
            <w:tcW w:w="709" w:type="dxa"/>
            <w:shd w:val="clear" w:color="auto" w:fill="FFFFFF"/>
          </w:tcPr>
          <w:p w14:paraId="24D1D465" w14:textId="4F7061D7" w:rsidR="00672889" w:rsidRDefault="00A25AD7" w:rsidP="009E29BB">
            <w:pPr>
              <w:pStyle w:val="CETBodytext"/>
              <w:rPr>
                <w:lang w:val="en-GB"/>
              </w:rPr>
            </w:pPr>
            <w:r>
              <w:rPr>
                <w:lang w:val="en-GB"/>
              </w:rPr>
              <w:t>K</w:t>
            </w:r>
          </w:p>
        </w:tc>
        <w:tc>
          <w:tcPr>
            <w:tcW w:w="3375" w:type="dxa"/>
            <w:shd w:val="clear" w:color="auto" w:fill="FFFFFF"/>
          </w:tcPr>
          <w:p w14:paraId="20CDFD63" w14:textId="370F0FD8" w:rsidR="00672889" w:rsidRDefault="007306F2" w:rsidP="009E29BB">
            <w:pPr>
              <w:pStyle w:val="CETBodytext"/>
              <w:ind w:right="-1"/>
              <w:rPr>
                <w:rFonts w:cs="Arial"/>
                <w:szCs w:val="18"/>
                <w:lang w:val="en-GB"/>
              </w:rPr>
            </w:pPr>
            <w:r>
              <w:rPr>
                <w:rFonts w:cs="Arial"/>
                <w:szCs w:val="18"/>
                <w:lang w:val="en-GB"/>
              </w:rPr>
              <w:t>-</w:t>
            </w:r>
          </w:p>
        </w:tc>
      </w:tr>
    </w:tbl>
    <w:p w14:paraId="065C92AA" w14:textId="77777777" w:rsidR="00031CBB" w:rsidRDefault="00031CBB" w:rsidP="001D2E7B">
      <w:pPr>
        <w:pStyle w:val="CETBodytext"/>
      </w:pPr>
    </w:p>
    <w:p w14:paraId="6BB09DA1" w14:textId="28430975" w:rsidR="00A42FCB" w:rsidRDefault="00570405" w:rsidP="00A42FCB">
      <w:pPr>
        <w:pStyle w:val="CETBodytext"/>
      </w:pPr>
      <w:r>
        <w:t xml:space="preserve">For the modelling of the pipe flow Aspen HYSYS offers different correlations. </w:t>
      </w:r>
      <w:r w:rsidR="00A42FCB" w:rsidRPr="00A42FCB">
        <w:t>Developing and solving equations to describe the flow patterns in a pipe is challenging due to the complexity of the phenomena involved. As a practical approach, the multiphase fluid is often approximated as a homogeneous fluid, and a generalized energy equation is applied to this hypothetical phase. This equation is typically expressed in terms of the total pressure gradient along the pipe's length</w:t>
      </w:r>
      <w:r w:rsidR="00290157">
        <w:t>:</w:t>
      </w:r>
    </w:p>
    <w:tbl>
      <w:tblPr>
        <w:tblW w:w="5000" w:type="pct"/>
        <w:tblLook w:val="04A0" w:firstRow="1" w:lastRow="0" w:firstColumn="1" w:lastColumn="0" w:noHBand="0" w:noVBand="1"/>
      </w:tblPr>
      <w:tblGrid>
        <w:gridCol w:w="7984"/>
        <w:gridCol w:w="803"/>
      </w:tblGrid>
      <w:tr w:rsidR="005F2795" w:rsidRPr="00B57B36" w14:paraId="78C60C60" w14:textId="77777777" w:rsidTr="004C4F51">
        <w:tc>
          <w:tcPr>
            <w:tcW w:w="7984" w:type="dxa"/>
            <w:shd w:val="clear" w:color="auto" w:fill="auto"/>
            <w:vAlign w:val="center"/>
          </w:tcPr>
          <w:p w14:paraId="0474D185" w14:textId="7849A028" w:rsidR="005F2795" w:rsidRPr="00530BC7" w:rsidRDefault="00000000" w:rsidP="00B87717">
            <w:pPr>
              <w:pStyle w:val="CETEquation"/>
            </w:pPr>
            <m:oMathPara>
              <m:oMathParaPr>
                <m:jc m:val="left"/>
              </m:oMathParaPr>
              <m:oMath>
                <m:f>
                  <m:fPr>
                    <m:ctrlPr>
                      <w:rPr>
                        <w:rFonts w:ascii="Cambria Math" w:hAnsi="Cambria Math"/>
                        <w:i/>
                      </w:rPr>
                    </m:ctrlPr>
                  </m:fPr>
                  <m:num>
                    <m:r>
                      <w:rPr>
                        <w:rFonts w:ascii="Cambria Math" w:hAnsi="Cambria Math"/>
                      </w:rPr>
                      <m:t>dp</m:t>
                    </m:r>
                  </m:num>
                  <m:den>
                    <m:r>
                      <w:rPr>
                        <w:rFonts w:ascii="Cambria Math" w:hAnsi="Cambria Math"/>
                      </w:rPr>
                      <m:t>dL</m:t>
                    </m:r>
                  </m:den>
                </m:f>
                <m:r>
                  <w:rPr>
                    <w:rFonts w:ascii="Cambria Math" w:hAnsi="Cambria Math"/>
                  </w:rPr>
                  <m:t>=</m:t>
                </m:r>
                <m:sSub>
                  <m:sSubPr>
                    <m:ctrlPr>
                      <w:rPr>
                        <w:rFonts w:ascii="Cambria Math" w:hAnsi="Cambria Math"/>
                        <w:i/>
                      </w:rPr>
                    </m:ctrlPr>
                  </m:sSubPr>
                  <m:e>
                    <m:r>
                      <w:rPr>
                        <w:rFonts w:ascii="Cambria Math" w:hAnsi="Cambria Math"/>
                      </w:rPr>
                      <m:t>ρ</m:t>
                    </m:r>
                  </m:e>
                  <m:sub>
                    <m:r>
                      <w:rPr>
                        <w:rFonts w:ascii="Cambria Math" w:hAnsi="Cambria Math"/>
                      </w:rPr>
                      <m:t>m</m:t>
                    </m:r>
                  </m:sub>
                </m:sSub>
                <m:r>
                  <w:rPr>
                    <w:rFonts w:ascii="Cambria Math" w:hAnsi="Cambria Math"/>
                  </w:rPr>
                  <m:t>g</m:t>
                </m:r>
                <m:func>
                  <m:funcPr>
                    <m:ctrlPr>
                      <w:rPr>
                        <w:rFonts w:ascii="Cambria Math" w:hAnsi="Cambria Math"/>
                        <w:i/>
                      </w:rPr>
                    </m:ctrlPr>
                  </m:funcPr>
                  <m:fName>
                    <m:r>
                      <m:rPr>
                        <m:sty m:val="p"/>
                      </m:rPr>
                      <w:rPr>
                        <w:rFonts w:ascii="Cambria Math" w:hAnsi="Cambria Math"/>
                      </w:rPr>
                      <m:t>sin</m:t>
                    </m:r>
                  </m:fName>
                  <m:e>
                    <m:r>
                      <w:rPr>
                        <w:rFonts w:ascii="Cambria Math" w:hAnsi="Cambria Math"/>
                        <w:lang w:val="en-US"/>
                      </w:rPr>
                      <m:t>θ</m:t>
                    </m:r>
                  </m:e>
                </m:func>
                <m:r>
                  <w:rPr>
                    <w:rFonts w:ascii="Cambria Math" w:hAnsi="Cambria Math"/>
                  </w:rPr>
                  <m:t>+</m:t>
                </m:r>
                <m:sSub>
                  <m:sSubPr>
                    <m:ctrlPr>
                      <w:rPr>
                        <w:rFonts w:ascii="Cambria Math" w:hAnsi="Cambria Math"/>
                        <w:i/>
                      </w:rPr>
                    </m:ctrlPr>
                  </m:sSubPr>
                  <m:e>
                    <m:d>
                      <m:dPr>
                        <m:ctrlPr>
                          <w:rPr>
                            <w:rFonts w:ascii="Cambria Math" w:hAnsi="Cambria Math"/>
                            <w:i/>
                          </w:rPr>
                        </m:ctrlPr>
                      </m:dPr>
                      <m:e>
                        <m:f>
                          <m:fPr>
                            <m:ctrlPr>
                              <w:rPr>
                                <w:rFonts w:ascii="Cambria Math" w:hAnsi="Cambria Math"/>
                                <w:i/>
                              </w:rPr>
                            </m:ctrlPr>
                          </m:fPr>
                          <m:num>
                            <m:r>
                              <w:rPr>
                                <w:rFonts w:ascii="Cambria Math" w:hAnsi="Cambria Math"/>
                              </w:rPr>
                              <m:t>dp</m:t>
                            </m:r>
                          </m:num>
                          <m:den>
                            <m:r>
                              <w:rPr>
                                <w:rFonts w:ascii="Cambria Math" w:hAnsi="Cambria Math"/>
                              </w:rPr>
                              <m:t>dL</m:t>
                            </m:r>
                          </m:den>
                        </m:f>
                      </m:e>
                    </m:d>
                  </m:e>
                  <m:sub>
                    <m:r>
                      <w:rPr>
                        <w:rFonts w:ascii="Cambria Math" w:hAnsi="Cambria Math"/>
                      </w:rPr>
                      <m:t>f</m:t>
                    </m:r>
                  </m:sub>
                </m:sSub>
                <m:r>
                  <w:rPr>
                    <w:rFonts w:ascii="Cambria Math" w:hAnsi="Cambria Math"/>
                  </w:rPr>
                  <m:t>+</m:t>
                </m:r>
                <m:sSub>
                  <m:sSubPr>
                    <m:ctrlPr>
                      <w:rPr>
                        <w:rFonts w:ascii="Cambria Math" w:hAnsi="Cambria Math"/>
                        <w:i/>
                      </w:rPr>
                    </m:ctrlPr>
                  </m:sSubPr>
                  <m:e>
                    <m:r>
                      <w:rPr>
                        <w:rFonts w:ascii="Cambria Math" w:hAnsi="Cambria Math"/>
                      </w:rPr>
                      <m:t>ρ</m:t>
                    </m:r>
                  </m:e>
                  <m:sub>
                    <m:r>
                      <w:rPr>
                        <w:rFonts w:ascii="Cambria Math" w:hAnsi="Cambria Math"/>
                      </w:rPr>
                      <m:t>m</m:t>
                    </m:r>
                  </m:sub>
                </m:sSub>
                <m:r>
                  <w:rPr>
                    <w:rFonts w:ascii="Cambria Math" w:hAnsi="Cambria Math"/>
                  </w:rPr>
                  <m:t>v</m:t>
                </m:r>
                <m:f>
                  <m:fPr>
                    <m:ctrlPr>
                      <w:rPr>
                        <w:rFonts w:ascii="Cambria Math" w:hAnsi="Cambria Math"/>
                        <w:i/>
                      </w:rPr>
                    </m:ctrlPr>
                  </m:fPr>
                  <m:num>
                    <m:r>
                      <w:rPr>
                        <w:rFonts w:ascii="Cambria Math" w:hAnsi="Cambria Math"/>
                      </w:rPr>
                      <m:t>dv</m:t>
                    </m:r>
                  </m:num>
                  <m:den>
                    <m:r>
                      <w:rPr>
                        <w:rFonts w:ascii="Cambria Math" w:hAnsi="Cambria Math"/>
                      </w:rPr>
                      <m:t>dL</m:t>
                    </m:r>
                  </m:den>
                </m:f>
              </m:oMath>
            </m:oMathPara>
          </w:p>
        </w:tc>
        <w:tc>
          <w:tcPr>
            <w:tcW w:w="803" w:type="dxa"/>
            <w:shd w:val="clear" w:color="auto" w:fill="auto"/>
            <w:vAlign w:val="center"/>
          </w:tcPr>
          <w:p w14:paraId="10968056" w14:textId="77777777" w:rsidR="005F2795" w:rsidRPr="00B57B36" w:rsidRDefault="005F2795" w:rsidP="00B87717">
            <w:pPr>
              <w:pStyle w:val="CETEquation"/>
              <w:jc w:val="right"/>
            </w:pPr>
            <w:r w:rsidRPr="00B57B36">
              <w:t>(1)</w:t>
            </w:r>
          </w:p>
        </w:tc>
      </w:tr>
    </w:tbl>
    <w:p w14:paraId="48A28063" w14:textId="38561864" w:rsidR="00837DE2" w:rsidRDefault="00A42FCB" w:rsidP="00874D61">
      <w:pPr>
        <w:pStyle w:val="CETBodytext"/>
      </w:pPr>
      <w:r w:rsidRPr="00A42FCB">
        <w:t>The first term on the right-hand side accounts for the pressure gradient due to gravitational forces, where</w:t>
      </w:r>
      <w:r w:rsidR="00603E1D">
        <w:t xml:space="preserve"> </w:t>
      </w:r>
      <m:oMath>
        <m:sSub>
          <m:sSubPr>
            <m:ctrlPr>
              <w:rPr>
                <w:rFonts w:ascii="Cambria Math" w:hAnsi="Cambria Math"/>
                <w:i/>
                <w:lang w:val="en-GB"/>
              </w:rPr>
            </m:ctrlPr>
          </m:sSubPr>
          <m:e>
            <m:r>
              <w:rPr>
                <w:rFonts w:ascii="Cambria Math" w:hAnsi="Cambria Math"/>
              </w:rPr>
              <m:t>ρ</m:t>
            </m:r>
          </m:e>
          <m:sub>
            <m:r>
              <w:rPr>
                <w:rFonts w:ascii="Cambria Math" w:hAnsi="Cambria Math"/>
              </w:rPr>
              <m:t>m</m:t>
            </m:r>
          </m:sub>
        </m:sSub>
      </m:oMath>
      <w:r w:rsidR="00637D9B">
        <w:t xml:space="preserve"> </w:t>
      </w:r>
      <w:r w:rsidRPr="00A42FCB">
        <w:t>​ is the fluid density, and</w:t>
      </w:r>
      <w:r w:rsidR="00603E1D">
        <w:t xml:space="preserve"> </w:t>
      </w:r>
      <m:oMath>
        <m:r>
          <w:rPr>
            <w:rFonts w:ascii="Cambria Math" w:hAnsi="Cambria Math"/>
          </w:rPr>
          <m:t>θ</m:t>
        </m:r>
      </m:oMath>
      <w:r w:rsidRPr="00A42FCB">
        <w:t xml:space="preserve"> is the pipe's inclination angle.</w:t>
      </w:r>
      <w:r w:rsidR="003C5552">
        <w:t xml:space="preserve"> </w:t>
      </w:r>
      <w:r w:rsidRPr="00A42FCB">
        <w:t>The second term represents pressure losses caused by fluid friction, which are irreversible.</w:t>
      </w:r>
      <w:r w:rsidR="003C5552">
        <w:t xml:space="preserve"> </w:t>
      </w:r>
      <w:r w:rsidRPr="00A42FCB">
        <w:t>The final term describes the kinetic or acceleration component of the pressure drop, which depends on changes in the fluid velocity</w:t>
      </w:r>
      <w:r w:rsidR="009B7187">
        <w:t xml:space="preserve"> </w:t>
      </w:r>
      <m:oMath>
        <m:r>
          <w:rPr>
            <w:rFonts w:ascii="Cambria Math" w:hAnsi="Cambria Math"/>
          </w:rPr>
          <m:t>v</m:t>
        </m:r>
      </m:oMath>
      <w:r w:rsidR="00460EDA">
        <w:t xml:space="preserve"> </w:t>
      </w:r>
      <w:r w:rsidR="00460EDA">
        <w:fldChar w:fldCharType="begin"/>
      </w:r>
      <w:r w:rsidR="006E3411">
        <w:instrText xml:space="preserve"> ADDIN ZOTERO_ITEM CSL_CITATION {"citationID":"2lDe1rKb","properties":{"formattedCitation":"(Aspen HYSYS Help/Manual, 2022)","plainCitation":"(Aspen HYSYS Help/Manual, 2022)","noteIndex":0},"citationItems":[{"id":253,"uris":["http://zotero.org/users/local/klG9fWsX/items/34SYX8E9"],"itemData":{"id":253,"type":"software","publisher":"aspentech","title":"Pipe Flow Correlations for Multi-Phase Systems","version":"V14","author":[{"family":"Aspen HYSYS Help/Manual","given":""}],"issued":{"date-parts":[["2022"]]}}}],"schema":"https://github.com/citation-style-language/schema/raw/master/csl-citation.json"} </w:instrText>
      </w:r>
      <w:r w:rsidR="00460EDA">
        <w:fldChar w:fldCharType="separate"/>
      </w:r>
      <w:r w:rsidR="006E3411" w:rsidRPr="006E3411">
        <w:rPr>
          <w:rFonts w:cs="Arial"/>
        </w:rPr>
        <w:t xml:space="preserve">(Aspen </w:t>
      </w:r>
      <w:r w:rsidR="009A6319">
        <w:rPr>
          <w:rFonts w:cs="Arial"/>
        </w:rPr>
        <w:t>Tech, 2024</w:t>
      </w:r>
      <w:r w:rsidR="006E3411" w:rsidRPr="006E3411">
        <w:rPr>
          <w:rFonts w:cs="Arial"/>
        </w:rPr>
        <w:t>)</w:t>
      </w:r>
      <w:r w:rsidR="00460EDA">
        <w:fldChar w:fldCharType="end"/>
      </w:r>
      <w:r w:rsidRPr="00A42FCB">
        <w:t>.</w:t>
      </w:r>
      <w:r w:rsidR="003C5552">
        <w:t xml:space="preserve"> </w:t>
      </w:r>
      <w:r w:rsidRPr="00A42FCB">
        <w:t>Each term can dominate the overall pressure drop depending on the specific conditions.</w:t>
      </w:r>
      <w:r w:rsidR="00445213">
        <w:t xml:space="preserve"> </w:t>
      </w:r>
      <w:r w:rsidRPr="00A42FCB">
        <w:t>Accurate determination of the total pressure drop requires precise estimation of the fluid density. While the fluid density is explicitly included in the gravitational and acceleration terms, it also implicitly affects the frictional term. Therefore, obtaining a reliable estimate of fluid density is crucial.</w:t>
      </w:r>
      <w:r w:rsidR="004F66F0">
        <w:t xml:space="preserve"> </w:t>
      </w:r>
      <w:r w:rsidRPr="00A42FCB">
        <w:t>In multiphase flow, the fluid density depends on the liquid holdup in the pipe. It is common practice to use correlations to estimate liquid holdup for each pipe segment. Similarly, correlations are employed to estimate the frictional pressure losses, which arise from interactions between the fluid phases and the pipe wall. These losses are particularly complex in multiphase flow because multiple phases interact with the pipe wall, generating interfacial friction, and the flow often exhibits a non-uniform velocity distribution.</w:t>
      </w:r>
      <w:r w:rsidR="003E5093">
        <w:t xml:space="preserve"> </w:t>
      </w:r>
      <w:r w:rsidRPr="00A42FCB">
        <w:t>Given the importance of accurately estimating both frictional losses and liquid holdup, numerous correlations have been developed for multiphase pipe flow. However, no single correlation is universally applicable across all conditions. Most correlations are derived from specific experimental datasets and are suitable only for particular flow</w:t>
      </w:r>
      <w:r w:rsidR="007D6A53">
        <w:t>-</w:t>
      </w:r>
      <w:r w:rsidRPr="00A42FCB">
        <w:t xml:space="preserve">scenarios. </w:t>
      </w:r>
      <w:r w:rsidR="003E5093">
        <w:fldChar w:fldCharType="begin"/>
      </w:r>
      <w:r w:rsidR="006E3411">
        <w:instrText xml:space="preserve"> ADDIN ZOTERO_ITEM CSL_CITATION {"citationID":"ufpPcZjQ","properties":{"formattedCitation":"(Aspen HYSYS Help/Manual, 2022)","plainCitation":"(Aspen HYSYS Help/Manual, 2022)","noteIndex":0},"citationItems":[{"id":253,"uris":["http://zotero.org/users/local/klG9fWsX/items/34SYX8E9"],"itemData":{"id":253,"type":"software","publisher":"aspentech","title":"Pipe Flow Correlations for Multi-Phase Systems","version":"V14","author":[{"family":"Aspen HYSYS Help/Manual","given":""}],"issued":{"date-parts":[["2022"]]}}}],"schema":"https://github.com/citation-style-language/schema/raw/master/csl-citation.json"} </w:instrText>
      </w:r>
      <w:r w:rsidR="003E5093">
        <w:fldChar w:fldCharType="separate"/>
      </w:r>
      <w:r w:rsidR="006E3411" w:rsidRPr="006E3411">
        <w:rPr>
          <w:rFonts w:cs="Arial"/>
        </w:rPr>
        <w:t>(</w:t>
      </w:r>
      <w:r w:rsidR="00AD6926">
        <w:t>A</w:t>
      </w:r>
      <w:r w:rsidR="009A6319">
        <w:t>spen</w:t>
      </w:r>
      <w:r w:rsidR="00AD6926">
        <w:t xml:space="preserve"> Tech, 2024</w:t>
      </w:r>
      <w:r w:rsidR="003E5093">
        <w:fldChar w:fldCharType="end"/>
      </w:r>
      <w:r w:rsidR="00FA611F">
        <w:t>)</w:t>
      </w:r>
      <w:r w:rsidRPr="00A42FCB">
        <w:t>.</w:t>
      </w:r>
      <w:r w:rsidR="005D6EDF">
        <w:t xml:space="preserve"> </w:t>
      </w:r>
    </w:p>
    <w:p w14:paraId="08666A13" w14:textId="15F82B41" w:rsidR="00570405" w:rsidRPr="00B35FC8" w:rsidRDefault="00837DE2" w:rsidP="001D2E7B">
      <w:pPr>
        <w:pStyle w:val="CETBodytext"/>
      </w:pPr>
      <w:r>
        <w:t xml:space="preserve">For the model described in this paper the Tulsa Unified Model (2-Phase) was selected. </w:t>
      </w:r>
      <w:r w:rsidR="00874D61" w:rsidRPr="00874D61">
        <w:t>The Tulsa Unified Model was designed to simulate multiphase flow in pipelines, using a mechanistic approach rooted in slug dynamics. Consequently, slug flow serves as the focal point of the flow map, with other regimes such as stratified and bubbly flows surrounding it. The model is versatile, accommodating pipe inclination angles ranging from -90° to +90°.</w:t>
      </w:r>
      <w:r w:rsidR="005D6EDF">
        <w:t xml:space="preserve"> </w:t>
      </w:r>
      <w:r w:rsidR="00874D61" w:rsidRPr="00874D61">
        <w:t xml:space="preserve">In its two-phase configuration, the model treats the fluid as comprising a distinct gas phase and a single liquid phase. </w:t>
      </w:r>
      <w:r w:rsidR="00C95870">
        <w:t xml:space="preserve">The model is described in detail in </w:t>
      </w:r>
      <w:r w:rsidR="00B53776">
        <w:fldChar w:fldCharType="begin"/>
      </w:r>
      <w:r w:rsidR="00600B0F">
        <w:instrText xml:space="preserve"> ADDIN ZOTERO_ITEM CSL_CITATION {"citationID":"58dqKnow","properties":{"formattedCitation":"(Zhang et al., 2003a)","plainCitation":"(Zhang et al., 2003a)","noteIndex":0},"citationItems":[{"id":263,"uris":["http://zotero.org/users/local/klG9fWsX/items/T7EDSUEZ"],"itemData":{"id":263,"type":"article-journal","abstract":"A unified hydrodynamic model is developed for predictions of flow pattern transitions,\npressure gradient, liquid holdup and slug characteristics in gas-liquid pipe flow at all\ninclination angles from 290° to 90° from horizontal. The model is based on the dynamics\nof slug flow, which shares transition boundaries with all the other flow patterns. By use of\nthe entire film zone as the control volume, the momentum exchange between the slug body\nand the film zone is introduced into the momentum equations for slug flow. The equations\nof slug flow are used not only to calculate the slug characteristics, but also to predict\ntransitions from slug flow to other flow patterns. Significant effort has been made to\neliminate discontinuities among the closure relationships through careful selection and\ngeneralization. The flow pattern classification is also simplified according to the hydrodynamic\ncharacteristics of two-phase flow.","DOI":"10.1115/1.1615246","title":"Unified Model for Gas-Liquid Pipe Flow via Slug Dynamics—Part 1: Model Development</w:instrText>
      </w:r>
      <w:r w:rsidR="00600B0F" w:rsidRPr="00F46B95">
        <w:rPr>
          <w:lang w:val="nb-NO"/>
        </w:rPr>
        <w:instrText xml:space="preserve">","author":[{"family":"Zhang","given":"Hong-Quan"},{"family":"Wang","given":"Qian"},{"family":"Sarica","given":"Cem"},{"family":"Brill","given":"James P."}],"accessed":{"date-parts":[["2024",10,12]]},"issued":{"date-parts":[["2003"]]}}}],"schema":"https://github.com/citation-style-language/schema/raw/master/csl-citation.json"} </w:instrText>
      </w:r>
      <w:r w:rsidR="00B53776">
        <w:fldChar w:fldCharType="separate"/>
      </w:r>
      <w:r w:rsidR="00600B0F" w:rsidRPr="00F46B95">
        <w:rPr>
          <w:rFonts w:cs="Arial"/>
          <w:lang w:val="nb-NO"/>
        </w:rPr>
        <w:t>(Zhang et al., 2003a)</w:t>
      </w:r>
      <w:r w:rsidR="00B53776">
        <w:fldChar w:fldCharType="end"/>
      </w:r>
      <w:r w:rsidR="00B53776" w:rsidRPr="00F46B95">
        <w:rPr>
          <w:lang w:val="nb-NO"/>
        </w:rPr>
        <w:t xml:space="preserve">, </w:t>
      </w:r>
      <w:r w:rsidR="00B53776">
        <w:fldChar w:fldCharType="begin"/>
      </w:r>
      <w:r w:rsidR="00600B0F" w:rsidRPr="00F46B95">
        <w:rPr>
          <w:lang w:val="nb-NO"/>
        </w:rPr>
        <w:instrText xml:space="preserve"> ADDIN ZOTERO_ITEM CSL_CITATION {"citationID":"m8gCGq3k","properties":{"formattedCitation":"(Zhang et al., 2003b)","plainCitation":"(Zhang et al., 2003b)","noteIndex":0},"citationItems":[{"id":265,"uris":["http://zotero.org/users/local/klG9fWsX/items/8CWACT8Q"],"itemData":{"id":265,"type":"article-journal","abstract":"In Zhang et al., a unified hydrodynamic model is developed for prediction of gasliquid\n(co-current) pipe flow behavior based on slug dynamics. In this study, the new\nmodel is validated with extensive experimental data acquired with different pipe diameters,\ninclination angles, fluid physical properties, gas-liquid flow rates and flow pat</w:instrText>
      </w:r>
      <w:r w:rsidR="00600B0F" w:rsidRPr="00837DE2">
        <w:rPr>
          <w:lang w:val="nb-NO"/>
        </w:rPr>
        <w:instrText xml:space="preserve">terns.\nGood agreement is observed in every aspect of the two-phase pipe flow.","DOI":"10.1115/1.1615618","title":"Unified Model for Gas-Liquid Pipe Flow via Slug Dynamics—Part 2: Model Validation","author":[{"family":"Zhang","given":"Hong-Quan"},{"family":"Wang","given":"Qian"},{"family":"Sarica","given":"Cem"},{"family":"Brill","given":"James P."}],"issued":{"date-parts":[["2003"]]}}}],"schema":"https://github.com/citation-style-language/schema/raw/master/csl-citation.json"} </w:instrText>
      </w:r>
      <w:r w:rsidR="00B53776">
        <w:fldChar w:fldCharType="separate"/>
      </w:r>
      <w:r w:rsidR="00600B0F" w:rsidRPr="00837DE2">
        <w:rPr>
          <w:rFonts w:cs="Arial"/>
          <w:lang w:val="nb-NO"/>
        </w:rPr>
        <w:t>(Zhang et al., 2003b)</w:t>
      </w:r>
      <w:r w:rsidR="00B53776">
        <w:fldChar w:fldCharType="end"/>
      </w:r>
      <w:r w:rsidR="004C6656" w:rsidRPr="00837DE2">
        <w:rPr>
          <w:lang w:val="nb-NO"/>
        </w:rPr>
        <w:t xml:space="preserve"> and </w:t>
      </w:r>
      <w:r w:rsidR="004C6656">
        <w:fldChar w:fldCharType="begin"/>
      </w:r>
      <w:r w:rsidR="004C6656" w:rsidRPr="00837DE2">
        <w:rPr>
          <w:lang w:val="nb-NO"/>
        </w:rPr>
        <w:instrText xml:space="preserve"> ADDIN ZOTERO_ITEM CSL_CITATION {"citationID":"b7IZ0Uxb","properties":{"formattedCitation":"(Zhang and Sarica, 2006)","plainCitation":"(Zhang and Sarica, 2006)","noteIndex":0},"citationItems":[{"id":259,"uri</w:instrText>
      </w:r>
      <w:r w:rsidR="004C6656" w:rsidRPr="00F46B95">
        <w:rPr>
          <w:lang w:val="nb-NO"/>
        </w:rPr>
        <w:instrText xml:space="preserve">s":["http://zotero.org/users/local/klG9fWsX/items/98PVLCPK"],"itemData":{"id":259,"type":"article-journal","abstract":"A unified model is proposed for the prediction of flow behavior during production and transportation of gas, oil, and water through wellbores and pipelines. In gas/oil/water three-phase-pipe flow, the phase distributions and hydrodynamics are described on the basis of two criteria: gas/liquid flow pattern and oil/water mixing status. The three-phase flow is treated as gas/liquid two-phase flow, if the two liquids are fully mixed, or as a three-layer stratified flow at low flow rates in horizontal or slightly inclined pipes. Most three-phase flows fall between the two extremes, partially mixed with slippage between the two liquid phases. Closure relationships describing the distribution between the liquid phases, namely mixing and inversion, are proposed. The model predictions are compared with experimental data of gas/oil/water pipe flows. Significant improvements are observed over the predictions by the twophase unified model of Zhang et al. (2003a), which assumes a fully mixed liquid phase.","language":"en","source":"Zotero","title":"Unified Modeling of Gas/Oil/Water-Pipe Flow—Basic Approaches and Preliminary Validation","author":[{"family":"Zhang","given":"Hong-Quan"},{"family":"Sarica","given":"Cem"}],"issued":{"date-parts":[["2006"]]}}}],"schema":"https://github.com/citation-style-language/schema/raw/master/csl-citation.json"} </w:instrText>
      </w:r>
      <w:r w:rsidR="004C6656">
        <w:fldChar w:fldCharType="separate"/>
      </w:r>
      <w:r w:rsidR="004C6656" w:rsidRPr="00F46B95">
        <w:rPr>
          <w:rFonts w:cs="Arial"/>
          <w:lang w:val="nb-NO"/>
        </w:rPr>
        <w:t>(Zhang and Sarica, 2006)</w:t>
      </w:r>
      <w:r w:rsidR="004C6656">
        <w:fldChar w:fldCharType="end"/>
      </w:r>
      <w:r w:rsidR="004C6656" w:rsidRPr="00F46B95">
        <w:rPr>
          <w:lang w:val="nb-NO"/>
        </w:rPr>
        <w:t>.</w:t>
      </w:r>
      <w:r w:rsidRPr="00F46B95">
        <w:rPr>
          <w:lang w:val="nb-NO"/>
        </w:rPr>
        <w:t xml:space="preserve"> </w:t>
      </w:r>
      <w:r w:rsidR="00A9514F">
        <w:t>Furthermore, t</w:t>
      </w:r>
      <w:r w:rsidR="008964EC" w:rsidRPr="00353B10">
        <w:t>he mode</w:t>
      </w:r>
      <w:r w:rsidR="00F41BA3" w:rsidRPr="00353B10">
        <w:t>l</w:t>
      </w:r>
      <w:r w:rsidR="008964EC" w:rsidRPr="00353B10">
        <w:t xml:space="preserve">ling in Aspen HYSYS is based on several fundamental physical principles, including the conservation of mass, conservation of energy. </w:t>
      </w:r>
      <w:r w:rsidR="008964EC" w:rsidRPr="002E2343">
        <w:t xml:space="preserve">The principles of mass and energy conservation are described in detail by </w:t>
      </w:r>
      <w:r w:rsidR="00E03ADE">
        <w:fldChar w:fldCharType="begin"/>
      </w:r>
      <w:r w:rsidR="00E03ADE" w:rsidRPr="002E2343">
        <w:instrText xml:space="preserve"> ADDIN ZOTERO_ITEM CSL_CITATION {"citationID":"fZKx1BAH","properties":{"formattedCitation":"(Moran and Shapiro, 2006)","plainCitation":"(Moran and Shapiro, 2006)","noteIndex":0},"citationItems":[{"id":212,"uris":["http://zotero.org/users/local/klG9fWsX/items/RZCTHDXJ"],"itemData":{"id":212,"type":"book","edition":"5th ed.","event-place":"Chichester","ISBN":"978-0-470-03037-0","publisher":"John Wiley &amp; Sons Ltd","publisher-place":"Chichester","title":"Fundamentals of Engineering Thermodynamics","URL":"https://www.arma.org.au/wp-content/uploads/2017/03/Fundamentals-of-Engineering-Thermodynamics-by-Michael-J.Moran-Howard-N.-Shapiro.pdf","author":[{"family":"Moran","given":"Michael J."},{"family":"Shapiro","given":"Howard N."}],"accessed":{"date-parts":[["2024",10,21]]},"issued":{"date-parts":[["2006"]]}}}],"schema":"https://github.com/citation-style-language/schema/raw/master/csl-citation.json"} </w:instrText>
      </w:r>
      <w:r w:rsidR="00E03ADE">
        <w:fldChar w:fldCharType="separate"/>
      </w:r>
      <w:r w:rsidR="00791A17" w:rsidRPr="00213F05">
        <w:rPr>
          <w:rFonts w:cs="Arial"/>
        </w:rPr>
        <w:t>(Moran and Shapiro, 2006)</w:t>
      </w:r>
      <w:r w:rsidR="00E03ADE">
        <w:fldChar w:fldCharType="end"/>
      </w:r>
      <w:r w:rsidR="008964EC" w:rsidRPr="008964EC">
        <w:t>.</w:t>
      </w:r>
      <w:r w:rsidR="00570405">
        <w:t xml:space="preserve"> </w:t>
      </w:r>
      <w:r w:rsidR="00A06DEC">
        <w:t>T</w:t>
      </w:r>
      <w:r w:rsidR="00A06DEC" w:rsidRPr="00353B10">
        <w:t>he Peng-Robinson equation of state</w:t>
      </w:r>
      <w:r w:rsidR="00A06DEC">
        <w:t xml:space="preserve"> was selected to estimate the thermodynamic properties of LH2.</w:t>
      </w:r>
      <w:r w:rsidR="00A06DEC" w:rsidRPr="005E0822">
        <w:rPr>
          <w:lang w:val="en-GB"/>
        </w:rPr>
        <w:t xml:space="preserve"> </w:t>
      </w:r>
      <w:r w:rsidR="00BB2721" w:rsidRPr="005E0822">
        <w:rPr>
          <w:lang w:val="en-GB"/>
        </w:rPr>
        <w:t>To investigate the effects on</w:t>
      </w:r>
      <w:r w:rsidR="00BB2721">
        <w:rPr>
          <w:lang w:val="en-GB"/>
        </w:rPr>
        <w:t xml:space="preserve"> </w:t>
      </w:r>
      <w:r w:rsidR="00BB2721" w:rsidRPr="005E0822">
        <w:rPr>
          <w:lang w:val="en-GB"/>
        </w:rPr>
        <w:t>pressure</w:t>
      </w:r>
      <w:r w:rsidR="00BB2721">
        <w:rPr>
          <w:lang w:val="en-GB"/>
        </w:rPr>
        <w:t>-</w:t>
      </w:r>
      <w:r w:rsidR="00BB2721" w:rsidRPr="005E0822">
        <w:rPr>
          <w:lang w:val="en-GB"/>
        </w:rPr>
        <w:t xml:space="preserve">drop and vapor </w:t>
      </w:r>
      <w:r w:rsidR="00BB2721">
        <w:rPr>
          <w:lang w:val="en-GB"/>
        </w:rPr>
        <w:t>generation</w:t>
      </w:r>
      <w:r w:rsidR="00BB2721" w:rsidRPr="005E0822">
        <w:rPr>
          <w:lang w:val="en-GB"/>
        </w:rPr>
        <w:t xml:space="preserve"> at the pipeline exit, several inlet parameters were systematically varied. These parameters included mass flow rate, inlet pressure</w:t>
      </w:r>
      <w:r w:rsidR="00BB2721">
        <w:rPr>
          <w:lang w:val="en-GB"/>
        </w:rPr>
        <w:t xml:space="preserve"> and</w:t>
      </w:r>
      <w:r w:rsidR="00BB2721" w:rsidRPr="005E0822">
        <w:rPr>
          <w:lang w:val="en-GB"/>
        </w:rPr>
        <w:t xml:space="preserve"> inlet temperature</w:t>
      </w:r>
      <w:r w:rsidR="00BB2721">
        <w:rPr>
          <w:lang w:val="en-GB"/>
        </w:rPr>
        <w:t xml:space="preserve">. The mass flow rate was varied from 50 kg/h to 400 kg/h. The exact </w:t>
      </w:r>
      <w:r w:rsidR="00CE0862">
        <w:rPr>
          <w:lang w:val="en-GB"/>
        </w:rPr>
        <w:t>values</w:t>
      </w:r>
      <w:r w:rsidR="00BB2721">
        <w:rPr>
          <w:lang w:val="en-GB"/>
        </w:rPr>
        <w:t xml:space="preserve"> can be seen in</w:t>
      </w:r>
      <w:r w:rsidR="00C82F54">
        <w:rPr>
          <w:lang w:val="en-GB"/>
        </w:rPr>
        <w:t xml:space="preserve"> </w:t>
      </w:r>
      <w:r w:rsidR="00C82F54">
        <w:rPr>
          <w:lang w:val="en-GB"/>
        </w:rPr>
        <w:fldChar w:fldCharType="begin"/>
      </w:r>
      <w:r w:rsidR="00C82F54">
        <w:rPr>
          <w:lang w:val="en-GB"/>
        </w:rPr>
        <w:instrText xml:space="preserve"> REF _Ref182485990 \h </w:instrText>
      </w:r>
      <w:r w:rsidR="00C82F54">
        <w:rPr>
          <w:lang w:val="en-GB"/>
        </w:rPr>
      </w:r>
      <w:r w:rsidR="00C82F54">
        <w:rPr>
          <w:lang w:val="en-GB"/>
        </w:rPr>
        <w:fldChar w:fldCharType="separate"/>
      </w:r>
      <w:r w:rsidR="00C82F54">
        <w:t xml:space="preserve">Figure </w:t>
      </w:r>
      <w:r w:rsidR="00C82F54">
        <w:rPr>
          <w:noProof/>
        </w:rPr>
        <w:t>2</w:t>
      </w:r>
      <w:r w:rsidR="00C82F54">
        <w:rPr>
          <w:lang w:val="en-GB"/>
        </w:rPr>
        <w:fldChar w:fldCharType="end"/>
      </w:r>
      <w:r w:rsidR="00BB2721">
        <w:rPr>
          <w:lang w:val="en-GB"/>
        </w:rPr>
        <w:t>. Th</w:t>
      </w:r>
      <w:r w:rsidR="00A71B91">
        <w:rPr>
          <w:lang w:val="en-GB"/>
        </w:rPr>
        <w:t>e</w:t>
      </w:r>
      <w:r w:rsidR="00BB2721">
        <w:rPr>
          <w:lang w:val="en-GB"/>
        </w:rPr>
        <w:t xml:space="preserve"> variations of mass flow were performed for three different pairings of </w:t>
      </w:r>
      <w:r w:rsidR="00A71B91">
        <w:rPr>
          <w:lang w:val="en-GB"/>
        </w:rPr>
        <w:t xml:space="preserve">absolute </w:t>
      </w:r>
      <w:r w:rsidR="00BB2721">
        <w:rPr>
          <w:lang w:val="en-GB"/>
        </w:rPr>
        <w:t xml:space="preserve">pressure and temperature at the pipe inlet. The values for the pressure were chosen as 1.5 bar, 6 bar and 10 bar. For each inlet pressure the corresponding saturation temperature was selected and fine tuned so that there is only liquid at the inlet. </w:t>
      </w:r>
      <w:r w:rsidR="00ED6C2C">
        <w:rPr>
          <w:lang w:val="en-GB"/>
        </w:rPr>
        <w:t xml:space="preserve">For 1.5 bar the </w:t>
      </w:r>
      <w:r w:rsidR="000C53CF">
        <w:rPr>
          <w:lang w:val="en-GB"/>
        </w:rPr>
        <w:t xml:space="preserve">saturation </w:t>
      </w:r>
      <w:r w:rsidR="00ED6C2C">
        <w:rPr>
          <w:lang w:val="en-GB"/>
        </w:rPr>
        <w:t>temperature is 21.56 K, for 6 bar it is 27.94 K and for 10 bar the temperature is 31.14 K.</w:t>
      </w:r>
    </w:p>
    <w:p w14:paraId="7A40DAF2" w14:textId="167CA6C2" w:rsidR="00FD463C" w:rsidRDefault="00DB1821" w:rsidP="00084F67">
      <w:pPr>
        <w:pStyle w:val="CETHeading1"/>
      </w:pPr>
      <w:r>
        <w:t>Results and discussion</w:t>
      </w:r>
    </w:p>
    <w:p w14:paraId="1E132764" w14:textId="68BA449B" w:rsidR="00BE2B83" w:rsidRDefault="00C560F1" w:rsidP="007811F8">
      <w:pPr>
        <w:pStyle w:val="CETBodytext"/>
        <w:rPr>
          <w:rFonts w:cs="Arial"/>
          <w:szCs w:val="18"/>
        </w:rPr>
      </w:pPr>
      <w:r w:rsidRPr="00C560F1">
        <w:rPr>
          <w:rFonts w:cs="Arial"/>
          <w:szCs w:val="18"/>
        </w:rPr>
        <w:t xml:space="preserve">The study aimed to explore how initial conditions in the pipeline affect the flow dynamics, focusing specifically on pressure drop and </w:t>
      </w:r>
      <w:r w:rsidR="001815EB">
        <w:rPr>
          <w:rFonts w:cs="Arial"/>
          <w:szCs w:val="18"/>
        </w:rPr>
        <w:t xml:space="preserve">BOG </w:t>
      </w:r>
      <w:r w:rsidRPr="00C560F1">
        <w:rPr>
          <w:rFonts w:cs="Arial"/>
          <w:szCs w:val="18"/>
        </w:rPr>
        <w:t>formation at the outlet. By systematically varying initial conditions</w:t>
      </w:r>
      <w:r>
        <w:rPr>
          <w:rFonts w:cs="Arial"/>
          <w:szCs w:val="18"/>
        </w:rPr>
        <w:t xml:space="preserve"> - </w:t>
      </w:r>
      <w:r w:rsidRPr="00C560F1">
        <w:rPr>
          <w:rFonts w:cs="Arial"/>
          <w:szCs w:val="18"/>
        </w:rPr>
        <w:t>specifically temperature</w:t>
      </w:r>
      <w:r>
        <w:rPr>
          <w:rFonts w:cs="Arial"/>
          <w:szCs w:val="18"/>
        </w:rPr>
        <w:t>,</w:t>
      </w:r>
      <w:r w:rsidRPr="00C560F1">
        <w:rPr>
          <w:rFonts w:cs="Arial"/>
          <w:szCs w:val="18"/>
        </w:rPr>
        <w:t xml:space="preserve"> pressure</w:t>
      </w:r>
      <w:r>
        <w:rPr>
          <w:rFonts w:cs="Arial"/>
          <w:szCs w:val="18"/>
        </w:rPr>
        <w:t xml:space="preserve"> and mass flow - </w:t>
      </w:r>
      <w:r w:rsidRPr="00C560F1">
        <w:rPr>
          <w:rFonts w:cs="Arial"/>
          <w:szCs w:val="18"/>
        </w:rPr>
        <w:t>the study provided insights into pipeline performance under different operational scenarios.</w:t>
      </w:r>
      <w:r>
        <w:rPr>
          <w:rFonts w:cs="Arial"/>
          <w:szCs w:val="18"/>
        </w:rPr>
        <w:t xml:space="preserve"> </w:t>
      </w:r>
      <w:r w:rsidRPr="00C560F1">
        <w:rPr>
          <w:rFonts w:cs="Arial"/>
          <w:szCs w:val="18"/>
        </w:rPr>
        <w:t>The results</w:t>
      </w:r>
      <w:r>
        <w:rPr>
          <w:rFonts w:cs="Arial"/>
          <w:szCs w:val="18"/>
        </w:rPr>
        <w:t xml:space="preserve"> are visualized in</w:t>
      </w:r>
      <w:r w:rsidR="00C82F54">
        <w:rPr>
          <w:rFonts w:cs="Arial"/>
          <w:szCs w:val="18"/>
        </w:rPr>
        <w:t xml:space="preserve"> </w:t>
      </w:r>
      <w:r w:rsidR="00C82F54">
        <w:rPr>
          <w:rFonts w:cs="Arial"/>
          <w:szCs w:val="18"/>
        </w:rPr>
        <w:fldChar w:fldCharType="begin"/>
      </w:r>
      <w:r w:rsidR="00C82F54">
        <w:rPr>
          <w:rFonts w:cs="Arial"/>
          <w:szCs w:val="18"/>
        </w:rPr>
        <w:instrText xml:space="preserve"> REF _Ref182485990 \h </w:instrText>
      </w:r>
      <w:r w:rsidR="00C82F54">
        <w:rPr>
          <w:rFonts w:cs="Arial"/>
          <w:szCs w:val="18"/>
        </w:rPr>
      </w:r>
      <w:r w:rsidR="00C82F54">
        <w:rPr>
          <w:rFonts w:cs="Arial"/>
          <w:szCs w:val="18"/>
        </w:rPr>
        <w:fldChar w:fldCharType="separate"/>
      </w:r>
      <w:r w:rsidR="00C82F54">
        <w:t xml:space="preserve">Figure </w:t>
      </w:r>
      <w:r w:rsidR="00C82F54">
        <w:rPr>
          <w:noProof/>
        </w:rPr>
        <w:t>2</w:t>
      </w:r>
      <w:r w:rsidR="00C82F54">
        <w:rPr>
          <w:rFonts w:cs="Arial"/>
          <w:szCs w:val="18"/>
        </w:rPr>
        <w:fldChar w:fldCharType="end"/>
      </w:r>
      <w:r>
        <w:rPr>
          <w:rFonts w:cs="Arial"/>
          <w:szCs w:val="18"/>
        </w:rPr>
        <w:t xml:space="preserve"> and</w:t>
      </w:r>
      <w:r w:rsidRPr="00C560F1">
        <w:rPr>
          <w:rFonts w:cs="Arial"/>
          <w:szCs w:val="18"/>
        </w:rPr>
        <w:t xml:space="preserve"> show a clear trend where pressure drop increases with rising mass flow rates. This is expected, as higher mass flow rates lead to greater frictional losses along the pipeline. Additionally, for a given mass flow rate, pressure drop is higher at higher pressures and temperatures, as shown in </w:t>
      </w:r>
      <w:r w:rsidR="00332322">
        <w:rPr>
          <w:rFonts w:cs="Arial"/>
          <w:szCs w:val="18"/>
        </w:rPr>
        <w:t>Figure 2(a)</w:t>
      </w:r>
      <w:r w:rsidRPr="00C560F1">
        <w:rPr>
          <w:rFonts w:cs="Arial"/>
          <w:szCs w:val="18"/>
        </w:rPr>
        <w:t xml:space="preserve">. For example, at a mass flow rate of around 400 kg/h, the pressure drop reaches nearly </w:t>
      </w:r>
      <w:r>
        <w:rPr>
          <w:rFonts w:cs="Arial"/>
          <w:szCs w:val="18"/>
        </w:rPr>
        <w:t>7.8</w:t>
      </w:r>
      <w:r w:rsidRPr="00C560F1">
        <w:rPr>
          <w:rFonts w:cs="Arial"/>
          <w:szCs w:val="18"/>
        </w:rPr>
        <w:t xml:space="preserve"> kPa at 10 bar and 31.14 K, compared to about </w:t>
      </w:r>
      <w:r>
        <w:rPr>
          <w:rFonts w:cs="Arial"/>
          <w:szCs w:val="18"/>
        </w:rPr>
        <w:t>6.2</w:t>
      </w:r>
      <w:r w:rsidRPr="00C560F1">
        <w:rPr>
          <w:rFonts w:cs="Arial"/>
          <w:szCs w:val="18"/>
        </w:rPr>
        <w:t xml:space="preserve"> kPa at </w:t>
      </w:r>
      <w:r>
        <w:rPr>
          <w:rFonts w:cs="Arial"/>
          <w:szCs w:val="18"/>
        </w:rPr>
        <w:t>1.5</w:t>
      </w:r>
      <w:r w:rsidRPr="00C560F1">
        <w:rPr>
          <w:rFonts w:cs="Arial"/>
          <w:szCs w:val="18"/>
        </w:rPr>
        <w:t xml:space="preserve"> bar and 2</w:t>
      </w:r>
      <w:r>
        <w:rPr>
          <w:rFonts w:cs="Arial"/>
          <w:szCs w:val="18"/>
        </w:rPr>
        <w:t>1.56</w:t>
      </w:r>
      <w:r w:rsidRPr="00C560F1">
        <w:rPr>
          <w:rFonts w:cs="Arial"/>
          <w:szCs w:val="18"/>
        </w:rPr>
        <w:t xml:space="preserve"> K.</w:t>
      </w:r>
      <w:r>
        <w:rPr>
          <w:rFonts w:cs="Arial"/>
          <w:szCs w:val="18"/>
        </w:rPr>
        <w:t xml:space="preserve"> </w:t>
      </w:r>
      <w:r w:rsidRPr="00C560F1">
        <w:rPr>
          <w:rFonts w:cs="Arial"/>
          <w:szCs w:val="18"/>
        </w:rPr>
        <w:t xml:space="preserve">In addition to pressure drop, the study examined BOG formation, represented by the vapor fraction at the outlet (right plot). </w:t>
      </w:r>
      <w:r w:rsidRPr="00C560F1">
        <w:rPr>
          <w:rFonts w:cs="Arial"/>
          <w:szCs w:val="18"/>
        </w:rPr>
        <w:lastRenderedPageBreak/>
        <w:t xml:space="preserve">The findings indicate that BOG formation </w:t>
      </w:r>
      <w:r w:rsidR="00007612">
        <w:rPr>
          <w:rFonts w:cs="Arial"/>
          <w:szCs w:val="18"/>
        </w:rPr>
        <w:t>is</w:t>
      </w:r>
      <w:r w:rsidR="00007612" w:rsidRPr="00C560F1">
        <w:rPr>
          <w:rFonts w:cs="Arial"/>
          <w:szCs w:val="18"/>
        </w:rPr>
        <w:t xml:space="preserve"> </w:t>
      </w:r>
      <w:r w:rsidRPr="00C560F1">
        <w:rPr>
          <w:rFonts w:cs="Arial"/>
          <w:szCs w:val="18"/>
        </w:rPr>
        <w:t xml:space="preserve">minimal when the mass flow rate is </w:t>
      </w:r>
      <w:r>
        <w:rPr>
          <w:rFonts w:cs="Arial"/>
          <w:szCs w:val="18"/>
        </w:rPr>
        <w:t xml:space="preserve">roughly </w:t>
      </w:r>
      <w:r w:rsidRPr="00C560F1">
        <w:rPr>
          <w:rFonts w:cs="Arial"/>
          <w:szCs w:val="18"/>
        </w:rPr>
        <w:t xml:space="preserve">between 100 and 150 kg/h across all temperature-pressure combinations. Outside this range, the highest BOG formation occurs at 31.14 K and 10 bar, while surprisingly, the lowest BOG formation is observed at 27.94 K and 6 bar, rather than at the lowest temperature-pressure condition (21.56 K and 1.5 bar). </w:t>
      </w:r>
    </w:p>
    <w:p w14:paraId="7CD39538" w14:textId="45C07FFB" w:rsidR="0039262F" w:rsidRPr="00BE2B83" w:rsidRDefault="00BE2B83" w:rsidP="00BF4466">
      <w:pPr>
        <w:pStyle w:val="CETBodytext"/>
        <w:jc w:val="left"/>
        <w:rPr>
          <w:rFonts w:cs="Arial"/>
          <w:szCs w:val="18"/>
        </w:rPr>
      </w:pPr>
      <w:r>
        <w:rPr>
          <w:noProof/>
        </w:rPr>
        <w:drawing>
          <wp:inline distT="0" distB="0" distL="0" distR="0" wp14:anchorId="62E07332" wp14:editId="5D263754">
            <wp:extent cx="5570055" cy="2387891"/>
            <wp:effectExtent l="0" t="0" r="0" b="0"/>
            <wp:docPr id="154045294" name="Picture 1" descr="A graph of a bar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45294" name="Picture 1" descr="A graph of a bar graph&#10;&#10;Description automatically generated with medium confidence"/>
                    <pic:cNvPicPr/>
                  </pic:nvPicPr>
                  <pic:blipFill>
                    <a:blip r:embed="rId11"/>
                    <a:stretch>
                      <a:fillRect/>
                    </a:stretch>
                  </pic:blipFill>
                  <pic:spPr>
                    <a:xfrm>
                      <a:off x="0" y="0"/>
                      <a:ext cx="5594499" cy="2398370"/>
                    </a:xfrm>
                    <a:prstGeom prst="rect">
                      <a:avLst/>
                    </a:prstGeom>
                  </pic:spPr>
                </pic:pic>
              </a:graphicData>
            </a:graphic>
          </wp:inline>
        </w:drawing>
      </w:r>
    </w:p>
    <w:p w14:paraId="03625314" w14:textId="77777777" w:rsidR="009E6BD8" w:rsidRDefault="009E6BD8" w:rsidP="0039262F">
      <w:pPr>
        <w:pStyle w:val="Didascalia"/>
        <w:rPr>
          <w:b w:val="0"/>
          <w:bCs w:val="0"/>
          <w:i/>
          <w:iCs/>
          <w:color w:val="auto"/>
        </w:rPr>
      </w:pPr>
      <w:bookmarkStart w:id="3" w:name="_Ref182485990"/>
    </w:p>
    <w:p w14:paraId="0B2A70C1" w14:textId="05A8584B" w:rsidR="0039262F" w:rsidRPr="00C82F54" w:rsidRDefault="0039262F" w:rsidP="0039262F">
      <w:pPr>
        <w:pStyle w:val="Didascalia"/>
        <w:rPr>
          <w:b w:val="0"/>
          <w:bCs w:val="0"/>
          <w:i/>
          <w:iCs/>
          <w:color w:val="auto"/>
        </w:rPr>
      </w:pPr>
      <w:r w:rsidRPr="00C82F54">
        <w:rPr>
          <w:b w:val="0"/>
          <w:bCs w:val="0"/>
          <w:i/>
          <w:iCs/>
          <w:color w:val="auto"/>
        </w:rPr>
        <w:t xml:space="preserve">Figure </w:t>
      </w:r>
      <w:r w:rsidRPr="00C82F54">
        <w:rPr>
          <w:b w:val="0"/>
          <w:bCs w:val="0"/>
          <w:i/>
          <w:iCs/>
          <w:color w:val="auto"/>
        </w:rPr>
        <w:fldChar w:fldCharType="begin"/>
      </w:r>
      <w:r w:rsidRPr="00C82F54">
        <w:rPr>
          <w:b w:val="0"/>
          <w:bCs w:val="0"/>
          <w:i/>
          <w:iCs/>
          <w:color w:val="auto"/>
        </w:rPr>
        <w:instrText xml:space="preserve"> SEQ Figure \* ARABIC </w:instrText>
      </w:r>
      <w:r w:rsidRPr="00C82F54">
        <w:rPr>
          <w:b w:val="0"/>
          <w:bCs w:val="0"/>
          <w:i/>
          <w:iCs/>
          <w:color w:val="auto"/>
        </w:rPr>
        <w:fldChar w:fldCharType="separate"/>
      </w:r>
      <w:r w:rsidR="00241A61">
        <w:rPr>
          <w:b w:val="0"/>
          <w:bCs w:val="0"/>
          <w:i/>
          <w:iCs/>
          <w:noProof/>
          <w:color w:val="auto"/>
        </w:rPr>
        <w:t>2</w:t>
      </w:r>
      <w:r w:rsidRPr="00C82F54">
        <w:rPr>
          <w:b w:val="0"/>
          <w:bCs w:val="0"/>
          <w:i/>
          <w:iCs/>
          <w:color w:val="auto"/>
        </w:rPr>
        <w:fldChar w:fldCharType="end"/>
      </w:r>
      <w:bookmarkEnd w:id="3"/>
      <w:r w:rsidRPr="00C82F54">
        <w:rPr>
          <w:b w:val="0"/>
          <w:bCs w:val="0"/>
          <w:i/>
          <w:iCs/>
          <w:color w:val="auto"/>
        </w:rPr>
        <w:t xml:space="preserve">: Effect of </w:t>
      </w:r>
      <w:r w:rsidR="00F33A71">
        <w:rPr>
          <w:b w:val="0"/>
          <w:bCs w:val="0"/>
          <w:i/>
          <w:iCs/>
          <w:color w:val="auto"/>
        </w:rPr>
        <w:t xml:space="preserve">varying </w:t>
      </w:r>
      <w:r w:rsidRPr="00C82F54">
        <w:rPr>
          <w:b w:val="0"/>
          <w:bCs w:val="0"/>
          <w:i/>
          <w:iCs/>
          <w:color w:val="auto"/>
        </w:rPr>
        <w:t xml:space="preserve">mass flow rate on pressure drop </w:t>
      </w:r>
      <w:r w:rsidR="00E72C0E">
        <w:rPr>
          <w:b w:val="0"/>
          <w:bCs w:val="0"/>
          <w:i/>
          <w:iCs/>
          <w:color w:val="auto"/>
        </w:rPr>
        <w:t>at</w:t>
      </w:r>
      <w:r w:rsidR="00F11098">
        <w:rPr>
          <w:b w:val="0"/>
          <w:bCs w:val="0"/>
          <w:i/>
          <w:iCs/>
          <w:color w:val="auto"/>
        </w:rPr>
        <w:t xml:space="preserve"> different saturation conditions</w:t>
      </w:r>
      <w:r w:rsidRPr="00C82F54">
        <w:rPr>
          <w:b w:val="0"/>
          <w:bCs w:val="0"/>
          <w:i/>
          <w:iCs/>
          <w:color w:val="auto"/>
        </w:rPr>
        <w:t xml:space="preserve"> (</w:t>
      </w:r>
      <w:r w:rsidR="00F11098">
        <w:rPr>
          <w:b w:val="0"/>
          <w:bCs w:val="0"/>
          <w:i/>
          <w:iCs/>
          <w:color w:val="auto"/>
        </w:rPr>
        <w:t>a</w:t>
      </w:r>
      <w:r w:rsidRPr="00C82F54">
        <w:rPr>
          <w:b w:val="0"/>
          <w:bCs w:val="0"/>
          <w:i/>
          <w:iCs/>
          <w:color w:val="auto"/>
        </w:rPr>
        <w:t>)</w:t>
      </w:r>
    </w:p>
    <w:p w14:paraId="76345DD3" w14:textId="0D418B9A" w:rsidR="0039262F" w:rsidRPr="00C82F54" w:rsidRDefault="0039262F" w:rsidP="0039262F">
      <w:pPr>
        <w:pStyle w:val="Didascalia"/>
        <w:rPr>
          <w:b w:val="0"/>
          <w:bCs w:val="0"/>
          <w:i/>
          <w:iCs/>
          <w:color w:val="auto"/>
        </w:rPr>
      </w:pPr>
      <w:r w:rsidRPr="00C82F54">
        <w:rPr>
          <w:b w:val="0"/>
          <w:bCs w:val="0"/>
          <w:i/>
          <w:iCs/>
          <w:color w:val="auto"/>
        </w:rPr>
        <w:t>Effect of</w:t>
      </w:r>
      <w:r w:rsidR="00F11098">
        <w:rPr>
          <w:b w:val="0"/>
          <w:bCs w:val="0"/>
          <w:i/>
          <w:iCs/>
          <w:color w:val="auto"/>
        </w:rPr>
        <w:t xml:space="preserve"> varying</w:t>
      </w:r>
      <w:r w:rsidRPr="00C82F54">
        <w:rPr>
          <w:b w:val="0"/>
          <w:bCs w:val="0"/>
          <w:i/>
          <w:iCs/>
          <w:color w:val="auto"/>
        </w:rPr>
        <w:t xml:space="preserve"> mass flow rate on vapor fraction at pipe outlet </w:t>
      </w:r>
      <w:r w:rsidR="00EC39EF">
        <w:rPr>
          <w:b w:val="0"/>
          <w:bCs w:val="0"/>
          <w:i/>
          <w:iCs/>
          <w:color w:val="auto"/>
        </w:rPr>
        <w:t>at different</w:t>
      </w:r>
      <w:r w:rsidR="00EC39EF" w:rsidRPr="00C82F54">
        <w:rPr>
          <w:b w:val="0"/>
          <w:bCs w:val="0"/>
          <w:i/>
          <w:iCs/>
          <w:color w:val="auto"/>
        </w:rPr>
        <w:t xml:space="preserve"> </w:t>
      </w:r>
      <w:r w:rsidRPr="00C82F54">
        <w:rPr>
          <w:b w:val="0"/>
          <w:bCs w:val="0"/>
          <w:i/>
          <w:iCs/>
          <w:color w:val="auto"/>
        </w:rPr>
        <w:t>saturation conditions (</w:t>
      </w:r>
      <w:r w:rsidR="00F11098">
        <w:rPr>
          <w:b w:val="0"/>
          <w:bCs w:val="0"/>
          <w:i/>
          <w:iCs/>
          <w:color w:val="auto"/>
        </w:rPr>
        <w:t>b</w:t>
      </w:r>
      <w:r w:rsidRPr="00C82F54">
        <w:rPr>
          <w:b w:val="0"/>
          <w:bCs w:val="0"/>
          <w:i/>
          <w:iCs/>
          <w:color w:val="auto"/>
        </w:rPr>
        <w:t>)</w:t>
      </w:r>
    </w:p>
    <w:p w14:paraId="2A442226" w14:textId="52004CF4" w:rsidR="0039262F" w:rsidRPr="00950601" w:rsidRDefault="0039262F" w:rsidP="0039262F">
      <w:pPr>
        <w:pStyle w:val="Didascalia"/>
        <w:rPr>
          <w:rFonts w:cs="Arial"/>
        </w:rPr>
      </w:pPr>
    </w:p>
    <w:p w14:paraId="310064D3" w14:textId="602A9EC9" w:rsidR="00F13789" w:rsidRDefault="00FD7F23" w:rsidP="00C541BA">
      <w:pPr>
        <w:pStyle w:val="CETBodytext"/>
        <w:keepNext/>
      </w:pPr>
      <w:r>
        <w:t>The results</w:t>
      </w:r>
      <w:r w:rsidR="00D1083F" w:rsidRPr="00D1083F">
        <w:t xml:space="preserve"> provide valuable insights into pressure drop and BOG formation in an LH2 pipeline, but </w:t>
      </w:r>
      <w:r w:rsidR="00326A32">
        <w:t>there are</w:t>
      </w:r>
      <w:r w:rsidR="00D1083F" w:rsidRPr="00D1083F">
        <w:t xml:space="preserve"> limitations that should be considered for a </w:t>
      </w:r>
      <w:r w:rsidR="00B53624">
        <w:t>better</w:t>
      </w:r>
      <w:r w:rsidR="00D1083F" w:rsidRPr="00D1083F">
        <w:t xml:space="preserve"> understanding. Firstly, the simulation assumes that the pipeline is already cooled to cryogenic temperatures and that the flow at the inlet consists entirely of LH2, neglecting any potential </w:t>
      </w:r>
      <w:r w:rsidR="005417C6">
        <w:t>2</w:t>
      </w:r>
      <w:r w:rsidR="00D1083F" w:rsidRPr="00D1083F">
        <w:t>-phase flow. This assumption simplifies the analysis but may not fully capture the initial cooling phase or scenarios where vapor and liquid phases coexist, which could significantly affect pressure drop and BOG formation.</w:t>
      </w:r>
      <w:r w:rsidR="00D1083F">
        <w:t xml:space="preserve"> Secondly</w:t>
      </w:r>
      <w:r w:rsidR="00D1083F" w:rsidRPr="00D1083F">
        <w:t>, the study was conducted as a steady-state simulation assuming</w:t>
      </w:r>
      <w:r w:rsidR="009507CC">
        <w:t>,</w:t>
      </w:r>
      <w:r w:rsidR="00D1083F" w:rsidRPr="00D1083F">
        <w:t xml:space="preserve"> that flow conditions remain constant over time. While steady-state results offer insights into average pipeline performance, they do not account for dynamic changes that may occur during the transfer process, such as fluctuations in mass flow rate, pressure, or temperature. Dynamic effects are especially important in real-world applications where transient behaviors influence system stability.</w:t>
      </w:r>
      <w:r w:rsidR="00276079">
        <w:t xml:space="preserve"> </w:t>
      </w:r>
      <w:r w:rsidR="00D1083F">
        <w:t>Lastly, t</w:t>
      </w:r>
      <w:r w:rsidR="00D1083F" w:rsidRPr="00D1083F">
        <w:t>he physical model used assumes a straight, rigid pipeline without any restrictions, elbows, valves, or other fittings that would likely be present in an actual pipeline system. These components can cause additional pressure losses and may create localized points of BOG formation, altering the overall flow behavior</w:t>
      </w:r>
      <w:r w:rsidR="00D1083F">
        <w:t>.</w:t>
      </w:r>
    </w:p>
    <w:p w14:paraId="437B7B45" w14:textId="4275AAF4" w:rsidR="007A62A5" w:rsidRDefault="00194FD1" w:rsidP="00C541BA">
      <w:pPr>
        <w:pStyle w:val="CETBodytext"/>
        <w:keepNext/>
      </w:pPr>
      <w:r w:rsidRPr="00194FD1">
        <w:rPr>
          <w:lang w:val="en-GB"/>
        </w:rPr>
        <w:t>As previously noted, the lowest BOG formation is observed at 27.94 K and 6 bar, rather than at the expected lowest temperature-pressure condition of 21.56 K and 1.5 bar. These results necessitate further investigation, as the unexpected vapor fractions at the pipe outlet may arise from thermodynamic factors or potential inaccuracies within the simulation software. Future research should focus on comparing these findings with other simulation tools and experimental data.</w:t>
      </w:r>
      <w:r w:rsidR="00EE7A4E">
        <w:t xml:space="preserve"> </w:t>
      </w:r>
      <w:r w:rsidR="009E4088" w:rsidRPr="009E4088">
        <w:t xml:space="preserve">Future research </w:t>
      </w:r>
      <w:r w:rsidR="00D614EB">
        <w:t>should</w:t>
      </w:r>
      <w:r w:rsidR="009E4088" w:rsidRPr="009E4088">
        <w:t xml:space="preserve"> </w:t>
      </w:r>
      <w:r w:rsidR="00EE7A4E">
        <w:t xml:space="preserve">also </w:t>
      </w:r>
      <w:r w:rsidR="009E4088" w:rsidRPr="009E4088">
        <w:t>address limitations by expanding the scope of the simulations to include more realistic conditions. Investigating the effect of pipeline material and surface roughness, for instance, would help clarify how these factors influence pressure drop and BOG formation. Comparing the behavior of a rigid pipeline with that of a flexible hose, which typically has different surface roughness, could provide a deeper understanding of how pipeline characteristics impact LH2 flow.</w:t>
      </w:r>
      <w:r w:rsidR="009E4088">
        <w:t xml:space="preserve"> </w:t>
      </w:r>
      <w:r w:rsidR="009E4088" w:rsidRPr="009E4088">
        <w:t>Moreover, incorporating the entire LH2 transfer system into the simulation</w:t>
      </w:r>
      <w:r w:rsidR="00293878">
        <w:t xml:space="preserve"> - </w:t>
      </w:r>
      <w:r w:rsidR="009E4088" w:rsidRPr="009E4088">
        <w:t>accounting for storage tanks, connectors, and any intermediate fittings</w:t>
      </w:r>
      <w:r w:rsidR="00293878">
        <w:t xml:space="preserve"> - </w:t>
      </w:r>
      <w:r w:rsidR="009E4088" w:rsidRPr="009E4088">
        <w:t>would yield a more comprehensive view of potential operational challenges and the locations where BOG formation might occur throughout the transfer process.</w:t>
      </w:r>
      <w:r w:rsidR="009E4088">
        <w:t xml:space="preserve"> </w:t>
      </w:r>
      <w:r w:rsidR="009E4088" w:rsidRPr="009E4088">
        <w:t>Finally, conducting dynamic simulations that capture transient behavior would offer insights into how pressure, temperature, and flow rate evolve over time during LH2 transfer</w:t>
      </w:r>
      <w:r w:rsidR="00BA1EAC">
        <w:t xml:space="preserve"> </w:t>
      </w:r>
      <w:r w:rsidR="009E4088" w:rsidRPr="009E4088">
        <w:t xml:space="preserve">operations. This approach would better reflect real-world scenarios and allow for the development of control strategies to minimize BOG formation and pressure losses, especially during </w:t>
      </w:r>
      <w:r w:rsidR="00F62A3A">
        <w:t>transient</w:t>
      </w:r>
      <w:r w:rsidR="00F62A3A" w:rsidRPr="009E4088">
        <w:t xml:space="preserve"> </w:t>
      </w:r>
      <w:r w:rsidR="009E4088" w:rsidRPr="009E4088">
        <w:t>states.</w:t>
      </w:r>
    </w:p>
    <w:p w14:paraId="0AA8E76A" w14:textId="79B7809E" w:rsidR="00901F5A" w:rsidRPr="00834D0A" w:rsidRDefault="00600535" w:rsidP="00084F67">
      <w:pPr>
        <w:pStyle w:val="CETHeading1"/>
      </w:pPr>
      <w:r w:rsidRPr="0029467C">
        <w:t>Conclusions</w:t>
      </w:r>
    </w:p>
    <w:p w14:paraId="7B085DEC" w14:textId="5E1A7EED" w:rsidR="00025174" w:rsidRDefault="001815EB" w:rsidP="00467EDF">
      <w:pPr>
        <w:pStyle w:val="CETBodytext"/>
        <w:rPr>
          <w:rFonts w:cs="Arial"/>
        </w:rPr>
      </w:pPr>
      <w:r w:rsidRPr="001815EB">
        <w:rPr>
          <w:rFonts w:cs="Arial"/>
        </w:rPr>
        <w:t xml:space="preserve">This study has provided insights into the complexities of </w:t>
      </w:r>
      <w:r>
        <w:rPr>
          <w:rFonts w:cs="Arial"/>
        </w:rPr>
        <w:t>LH2</w:t>
      </w:r>
      <w:r w:rsidRPr="001815EB">
        <w:rPr>
          <w:rFonts w:cs="Arial"/>
        </w:rPr>
        <w:t xml:space="preserve"> transfer through pipelines, with a focus on the operational efficiency and safety of cryogenic transfer systems. By developing a steady-state model using Aspen HYSYS</w:t>
      </w:r>
      <w:r w:rsidR="00DA44F7">
        <w:rPr>
          <w:rFonts w:cs="Arial"/>
        </w:rPr>
        <w:t>,</w:t>
      </w:r>
      <w:r w:rsidRPr="001815EB">
        <w:rPr>
          <w:rFonts w:cs="Arial"/>
        </w:rPr>
        <w:t xml:space="preserve"> the impact of various parameters</w:t>
      </w:r>
      <w:r>
        <w:rPr>
          <w:rFonts w:cs="Arial"/>
        </w:rPr>
        <w:t xml:space="preserve">, </w:t>
      </w:r>
      <w:r w:rsidRPr="001815EB">
        <w:rPr>
          <w:rFonts w:cs="Arial"/>
        </w:rPr>
        <w:t>such as mass flow rate, inlet pressure, and temperature</w:t>
      </w:r>
      <w:r>
        <w:rPr>
          <w:rFonts w:cs="Arial"/>
        </w:rPr>
        <w:t xml:space="preserve">, </w:t>
      </w:r>
      <w:r w:rsidRPr="001815EB">
        <w:rPr>
          <w:rFonts w:cs="Arial"/>
        </w:rPr>
        <w:t xml:space="preserve">on key </w:t>
      </w:r>
      <w:r w:rsidRPr="001815EB">
        <w:rPr>
          <w:rFonts w:cs="Arial"/>
        </w:rPr>
        <w:lastRenderedPageBreak/>
        <w:t>performance indicators such as pressure drop and BOG formation</w:t>
      </w:r>
      <w:r w:rsidR="00DA44F7">
        <w:rPr>
          <w:rFonts w:cs="Arial"/>
        </w:rPr>
        <w:t>, was analyzed</w:t>
      </w:r>
      <w:r w:rsidRPr="001815EB">
        <w:rPr>
          <w:rFonts w:cs="Arial"/>
        </w:rPr>
        <w:t xml:space="preserve">. </w:t>
      </w:r>
      <w:r w:rsidRPr="001815EB">
        <w:rPr>
          <w:rFonts w:cs="Arial"/>
          <w:lang w:val="en-GB"/>
        </w:rPr>
        <w:t>As expected, higher mass flow rates led to increased pressure drop due to higher frictional losses, with the pressure drop being more significant at higher pressures and temperatures. Regarding BOG formation, it was found to be minimal within a specific mass flow range (100–150 kg/h) across all pressure-temperature conditions. Interestingly, BOG formation was lowest at 27.94 K and 6 bar.</w:t>
      </w:r>
      <w:r>
        <w:rPr>
          <w:rFonts w:cs="Arial"/>
          <w:lang w:val="en-GB"/>
        </w:rPr>
        <w:t xml:space="preserve"> </w:t>
      </w:r>
      <w:r w:rsidRPr="001815EB">
        <w:rPr>
          <w:rFonts w:cs="Arial"/>
        </w:rPr>
        <w:t>The results highlight the challenges associated with maintaining a stable flow of LH2, particularly the influence of mass flow rate and operating conditions on pressure losses and vapor generation</w:t>
      </w:r>
      <w:r>
        <w:rPr>
          <w:rFonts w:cs="Arial"/>
        </w:rPr>
        <w:t xml:space="preserve">. </w:t>
      </w:r>
      <w:r w:rsidRPr="001815EB">
        <w:rPr>
          <w:rFonts w:cs="Arial"/>
        </w:rPr>
        <w:t>Furthermore, the study underscored the importance of pipeline insulation, valve and venting systems, and cryogenic pumps in minimizing BOG losses and ensuring safe operation.</w:t>
      </w:r>
      <w:r>
        <w:rPr>
          <w:rFonts w:cs="Arial"/>
        </w:rPr>
        <w:t xml:space="preserve"> </w:t>
      </w:r>
      <w:r w:rsidRPr="001815EB">
        <w:rPr>
          <w:rFonts w:cs="Arial"/>
        </w:rPr>
        <w:t>Despite the insights gained, several limitations in the study suggest opportunities for future research. The steady-state simulation did not account for dynamic variations in flow conditions, which are essential for understanding transient behaviors in real-world systems. Additionally, simplifying assumptions such as neglecting bi-phase flow and disregarding complex pipeline geometries may not fully capture the challenges of LH2 transfer under operational conditions. Future investigations could incorporate dynamic simulations, realistic system configurations, and a broader range of material properties to provide a more comprehensive understanding of LH2 pipeline behavior. Such studies will be crucial for optimizing LH2 transfer systems, minimizing efficiency losses, and enhancing safety protocols for large-scale hydrogen distribution, ultimately supporting the transition to a sustainable hydrogen economy</w:t>
      </w:r>
      <w:r w:rsidR="00025174">
        <w:rPr>
          <w:rFonts w:cs="Arial"/>
        </w:rPr>
        <w:t>.</w:t>
      </w:r>
    </w:p>
    <w:p w14:paraId="07A6D20F" w14:textId="43156792" w:rsidR="00786886" w:rsidRPr="00EE66D7" w:rsidRDefault="00786886" w:rsidP="00467EDF">
      <w:pPr>
        <w:pStyle w:val="CETBodytext"/>
        <w:rPr>
          <w:rFonts w:cs="Arial"/>
        </w:rPr>
        <w:sectPr w:rsidR="00786886" w:rsidRPr="00EE66D7" w:rsidSect="00DC73EE">
          <w:type w:val="continuous"/>
          <w:pgSz w:w="11906" w:h="16838" w:code="9"/>
          <w:pgMar w:top="1701" w:right="1418" w:bottom="1701" w:left="1701" w:header="1701" w:footer="0" w:gutter="0"/>
          <w:cols w:space="708"/>
          <w:formProt w:val="0"/>
          <w:titlePg/>
          <w:docGrid w:linePitch="360"/>
        </w:sectPr>
      </w:pPr>
    </w:p>
    <w:p w14:paraId="459D05E6" w14:textId="77777777" w:rsidR="00600535" w:rsidRDefault="00600535" w:rsidP="00600535">
      <w:pPr>
        <w:pStyle w:val="CETAcknowledgementstitle"/>
      </w:pPr>
      <w:r w:rsidRPr="00B57B36">
        <w:t>Acknowledgments</w:t>
      </w:r>
    </w:p>
    <w:p w14:paraId="61A62FC4" w14:textId="536E14C1" w:rsidR="00EE66D7" w:rsidRPr="00A53ED8" w:rsidRDefault="00E16FFE" w:rsidP="00A53ED8">
      <w:pPr>
        <w:pStyle w:val="CETBodytext"/>
        <w:rPr>
          <w:lang w:val="en-GB"/>
        </w:rPr>
      </w:pPr>
      <w:r w:rsidRPr="00051C06">
        <w:rPr>
          <w:rFonts w:cs="Arial"/>
          <w:szCs w:val="18"/>
        </w:rPr>
        <w:t>This work was undertaken as part of the ELVHYS project No. 101101381 supported by the Clean Hydrogen Partnership and its members and the European Union. UK participants in Horizon Europe Project ELVHYS are supported by UKRI grant numbers 10063519 (University of Ulster) and 10070592 (Health and Safety Executive). Funded by the European Union. Views and opinions expressed are however those of the author(s) only and do not necessarily reflect those of the European Union or Clean Hydrogen JU. Neither the European Union nor the granting authority can be held responsible for them.</w:t>
      </w:r>
    </w:p>
    <w:p w14:paraId="19C4FC68" w14:textId="3B992C0C" w:rsidR="004628D2" w:rsidRDefault="00600535" w:rsidP="00517B94">
      <w:pPr>
        <w:pStyle w:val="CETReference"/>
      </w:pPr>
      <w:r w:rsidRPr="00B57B36">
        <w:t>References</w:t>
      </w:r>
    </w:p>
    <w:p w14:paraId="74F1957C" w14:textId="1B5F5FBD" w:rsidR="00D50E0E" w:rsidRDefault="00D50E0E" w:rsidP="00D50E0E">
      <w:pPr>
        <w:pStyle w:val="CETReferencetext"/>
      </w:pPr>
      <w:r>
        <w:t>A</w:t>
      </w:r>
      <w:r w:rsidR="000E52EA">
        <w:t>spen</w:t>
      </w:r>
      <w:r>
        <w:t xml:space="preserve"> Tech, 2024</w:t>
      </w:r>
      <w:r w:rsidR="00C6164A">
        <w:t>,</w:t>
      </w:r>
      <w:r>
        <w:t xml:space="preserve"> Aspen Process Manuals</w:t>
      </w:r>
      <w:r w:rsidR="009A6319">
        <w:t xml:space="preserve"> </w:t>
      </w:r>
      <w:r w:rsidR="00C02294">
        <w:t>&lt;</w:t>
      </w:r>
      <w:r>
        <w:t>aspentech.com/en/products/engineering/aspen-process</w:t>
      </w:r>
      <w:r w:rsidR="000E52EA">
        <w:t>-</w:t>
      </w:r>
      <w:r>
        <w:t>manuals</w:t>
      </w:r>
      <w:r w:rsidR="00186A95">
        <w:t>&gt;</w:t>
      </w:r>
      <w:r w:rsidR="009A6319">
        <w:t xml:space="preserve"> </w:t>
      </w:r>
      <w:r>
        <w:t>accessed 12.9.24.</w:t>
      </w:r>
    </w:p>
    <w:p w14:paraId="7300A16B" w14:textId="4701E812" w:rsidR="00D50E0E" w:rsidRPr="00D447D4" w:rsidRDefault="00D50E0E" w:rsidP="00D50E0E">
      <w:pPr>
        <w:pStyle w:val="CETReferencetext"/>
      </w:pPr>
      <w:r>
        <w:t>Aziz M., 2021</w:t>
      </w:r>
      <w:r w:rsidR="000F4A9E">
        <w:t>,</w:t>
      </w:r>
      <w:r>
        <w:t xml:space="preserve"> Liquid Hydrogen: A Review on Liquefaction, Storage, Transportation, and Safety. Energies</w:t>
      </w:r>
      <w:r w:rsidR="00A01B40">
        <w:t>,</w:t>
      </w:r>
      <w:r>
        <w:t xml:space="preserve"> 14, 5917</w:t>
      </w:r>
      <w:r w:rsidR="008A52B1">
        <w:t xml:space="preserve"> &lt;</w:t>
      </w:r>
      <w:r>
        <w:t>doi.org/10.3390</w:t>
      </w:r>
      <w:r w:rsidRPr="00D447D4">
        <w:t>/en14185917</w:t>
      </w:r>
      <w:r w:rsidR="008A52B1">
        <w:t>&gt;</w:t>
      </w:r>
      <w:r w:rsidR="00C06E3E">
        <w:t xml:space="preserve"> accessed 20.10.2024.</w:t>
      </w:r>
    </w:p>
    <w:p w14:paraId="7A3D6AF2" w14:textId="76122E71" w:rsidR="00D50E0E" w:rsidRPr="00D447D4" w:rsidRDefault="00D50E0E" w:rsidP="00D50E0E">
      <w:pPr>
        <w:pStyle w:val="CETReferencetext"/>
      </w:pPr>
      <w:r w:rsidRPr="00D447D4">
        <w:t>EIGA, 2019. Safety in storage, handling and distribution of liquid hydrogen</w:t>
      </w:r>
      <w:r w:rsidR="00D447D4" w:rsidRPr="00D447D4">
        <w:t xml:space="preserve">, </w:t>
      </w:r>
      <w:r w:rsidR="00D447D4" w:rsidRPr="00D447D4">
        <w:rPr>
          <w:lang w:val="en-US"/>
        </w:rPr>
        <w:t>E</w:t>
      </w:r>
      <w:r w:rsidR="00671D70" w:rsidRPr="00D447D4">
        <w:rPr>
          <w:lang w:val="en-US"/>
        </w:rPr>
        <w:t>uropean</w:t>
      </w:r>
      <w:r w:rsidR="00D447D4" w:rsidRPr="00D447D4">
        <w:rPr>
          <w:lang w:val="en-US"/>
        </w:rPr>
        <w:t xml:space="preserve"> I</w:t>
      </w:r>
      <w:r w:rsidR="00671D70" w:rsidRPr="00D447D4">
        <w:rPr>
          <w:lang w:val="en-US"/>
        </w:rPr>
        <w:t>ndustrial</w:t>
      </w:r>
      <w:r w:rsidR="00D447D4" w:rsidRPr="00D447D4">
        <w:rPr>
          <w:lang w:val="en-US"/>
        </w:rPr>
        <w:t xml:space="preserve"> G</w:t>
      </w:r>
      <w:r w:rsidR="00671D70" w:rsidRPr="00D447D4">
        <w:rPr>
          <w:lang w:val="en-US"/>
        </w:rPr>
        <w:t>ases</w:t>
      </w:r>
      <w:r w:rsidR="00D447D4" w:rsidRPr="00D447D4">
        <w:rPr>
          <w:lang w:val="en-US"/>
        </w:rPr>
        <w:t xml:space="preserve"> A</w:t>
      </w:r>
      <w:r w:rsidR="00671D70" w:rsidRPr="00D447D4">
        <w:rPr>
          <w:lang w:val="en-US"/>
        </w:rPr>
        <w:t>ssociation</w:t>
      </w:r>
      <w:r w:rsidR="00D447D4" w:rsidRPr="00D447D4">
        <w:rPr>
          <w:lang w:val="en-US"/>
        </w:rPr>
        <w:t xml:space="preserve"> AISBL</w:t>
      </w:r>
      <w:r w:rsidR="00070CEA">
        <w:rPr>
          <w:lang w:val="en-US"/>
        </w:rPr>
        <w:t xml:space="preserve">, </w:t>
      </w:r>
      <w:r w:rsidR="00070CEA" w:rsidRPr="00D447D4">
        <w:t>Doc 06/19</w:t>
      </w:r>
      <w:r w:rsidRPr="00D447D4">
        <w:t>.</w:t>
      </w:r>
    </w:p>
    <w:p w14:paraId="213CC778" w14:textId="3E97220B" w:rsidR="00D50E0E" w:rsidRDefault="00D50E0E" w:rsidP="00D50E0E">
      <w:pPr>
        <w:pStyle w:val="CETReferencetext"/>
      </w:pPr>
      <w:r w:rsidRPr="00D447D4">
        <w:t>Hartwig J., Styborski J., McQuillen</w:t>
      </w:r>
      <w:r w:rsidRPr="00E91B24">
        <w:t xml:space="preserve"> J., Rame E., Chung J.N., 2019</w:t>
      </w:r>
      <w:r w:rsidR="000F4A9E">
        <w:t>,</w:t>
      </w:r>
      <w:r w:rsidRPr="00E91B24">
        <w:t xml:space="preserve"> </w:t>
      </w:r>
      <w:r>
        <w:t>Liquid hydrogen line chilldown experiments at high Reynolds Numbers. Optimal chilldown methods. International Journal of Heat and Mass Transfer</w:t>
      </w:r>
      <w:r w:rsidR="00A01B40">
        <w:t xml:space="preserve">, </w:t>
      </w:r>
      <w:r>
        <w:t>137, 703–713</w:t>
      </w:r>
      <w:r w:rsidR="007E4402">
        <w:t xml:space="preserve"> &lt;</w:t>
      </w:r>
      <w:r>
        <w:t>doi.org/10.1016/j.ijheatmasstransfer.2019.03.090</w:t>
      </w:r>
      <w:r w:rsidR="007E4402">
        <w:t>&gt;</w:t>
      </w:r>
    </w:p>
    <w:p w14:paraId="3A05344C" w14:textId="1802A7A8" w:rsidR="001D64F6" w:rsidRPr="001D64F6" w:rsidRDefault="00D50E0E" w:rsidP="001D64F6">
      <w:pPr>
        <w:pStyle w:val="CETReferencetext"/>
        <w:rPr>
          <w:lang w:val="en-US"/>
        </w:rPr>
      </w:pPr>
      <w:r>
        <w:t>ISO 13984, 1999</w:t>
      </w:r>
      <w:r w:rsidR="000F4A9E">
        <w:t>,</w:t>
      </w:r>
      <w:r>
        <w:t xml:space="preserve"> Liquid </w:t>
      </w:r>
      <w:r w:rsidR="00035E3C">
        <w:t>H</w:t>
      </w:r>
      <w:r>
        <w:t>ydrogen-Land vehicle fuelling system interface</w:t>
      </w:r>
      <w:r w:rsidR="00181834">
        <w:t xml:space="preserve">, </w:t>
      </w:r>
      <w:r w:rsidR="00181834" w:rsidRPr="00181834">
        <w:rPr>
          <w:lang w:val="en-US"/>
        </w:rPr>
        <w:t>International Organization for Standardization</w:t>
      </w:r>
      <w:r w:rsidR="001D64F6">
        <w:rPr>
          <w:lang w:val="en-US"/>
        </w:rPr>
        <w:t xml:space="preserve">, </w:t>
      </w:r>
      <w:r w:rsidR="00AF649B">
        <w:rPr>
          <w:lang w:val="en-US"/>
        </w:rPr>
        <w:t>&lt;</w:t>
      </w:r>
      <w:r w:rsidR="001D64F6" w:rsidRPr="001D64F6">
        <w:rPr>
          <w:lang w:val="en-US"/>
        </w:rPr>
        <w:t>standards.iteh.ai/catalog/standards/sist/f7cd2010-aed9-4748-a0f3-</w:t>
      </w:r>
    </w:p>
    <w:p w14:paraId="33BCFC52" w14:textId="4158668C" w:rsidR="00D50E0E" w:rsidRPr="00EF21D0" w:rsidRDefault="001D64F6" w:rsidP="008860A1">
      <w:pPr>
        <w:pStyle w:val="CETReferencetext"/>
        <w:ind w:firstLine="0"/>
        <w:rPr>
          <w:lang w:val="en-US"/>
        </w:rPr>
      </w:pPr>
      <w:r w:rsidRPr="00EF21D0">
        <w:rPr>
          <w:lang w:val="en-US"/>
        </w:rPr>
        <w:t>2e6f46734dc3/iso-13984-1999</w:t>
      </w:r>
      <w:r w:rsidR="00AF649B" w:rsidRPr="00EF21D0">
        <w:rPr>
          <w:lang w:val="en-US"/>
        </w:rPr>
        <w:t>&gt; ac</w:t>
      </w:r>
      <w:r w:rsidR="002E665A" w:rsidRPr="00EF21D0">
        <w:rPr>
          <w:lang w:val="en-US"/>
        </w:rPr>
        <w:t>cessed 10.12.2024.</w:t>
      </w:r>
    </w:p>
    <w:p w14:paraId="74289254" w14:textId="4105EF37" w:rsidR="00D50E0E" w:rsidRDefault="00D50E0E" w:rsidP="00D50E0E">
      <w:pPr>
        <w:pStyle w:val="CETReferencetext"/>
      </w:pPr>
      <w:r w:rsidRPr="00EF21D0">
        <w:rPr>
          <w:lang w:val="en-US"/>
        </w:rPr>
        <w:t>Long R., 2024</w:t>
      </w:r>
      <w:r w:rsidR="00EF21D0">
        <w:rPr>
          <w:lang w:val="en-US"/>
        </w:rPr>
        <w:t>,</w:t>
      </w:r>
      <w:r w:rsidRPr="00EF21D0">
        <w:rPr>
          <w:lang w:val="en-US"/>
        </w:rPr>
        <w:t xml:space="preserve"> </w:t>
      </w:r>
      <w:r>
        <w:t>Pumping Liquid Hydrogen for Industrial &amp; Transportation Applications | Pumps &amp; Systems</w:t>
      </w:r>
      <w:r w:rsidR="00B61639">
        <w:t xml:space="preserve"> </w:t>
      </w:r>
      <w:r w:rsidR="00EF21D0">
        <w:t>&lt;</w:t>
      </w:r>
      <w:r>
        <w:t>www.pumpsandsystems.com/pumping-liquid-hydrogen-industrial-transportation-applications</w:t>
      </w:r>
      <w:r w:rsidR="00EF21D0">
        <w:t>&gt;</w:t>
      </w:r>
      <w:r w:rsidR="00B61639">
        <w:t xml:space="preserve"> </w:t>
      </w:r>
      <w:r>
        <w:t>accessed 11.14.24.</w:t>
      </w:r>
    </w:p>
    <w:p w14:paraId="538297BA" w14:textId="12FD49C3" w:rsidR="00D50E0E" w:rsidRDefault="00D50E0E" w:rsidP="00D50E0E">
      <w:pPr>
        <w:pStyle w:val="CETReferencetext"/>
      </w:pPr>
      <w:r w:rsidRPr="00035E3C">
        <w:rPr>
          <w:lang w:val="en-US"/>
        </w:rPr>
        <w:t>Moran M.J., Shapiro H.N., 2006</w:t>
      </w:r>
      <w:r w:rsidR="00035E3C" w:rsidRPr="00035E3C">
        <w:rPr>
          <w:lang w:val="en-US"/>
        </w:rPr>
        <w:t>,</w:t>
      </w:r>
      <w:r w:rsidRPr="00035E3C">
        <w:rPr>
          <w:lang w:val="en-US"/>
        </w:rPr>
        <w:t xml:space="preserve"> </w:t>
      </w:r>
      <w:r>
        <w:t>Fundamentals of Engineering Thermodynamics</w:t>
      </w:r>
      <w:r w:rsidR="001E30FE">
        <w:t>,</w:t>
      </w:r>
      <w:r>
        <w:t xml:space="preserve"> John Wiley &amp; Sons Ltd</w:t>
      </w:r>
      <w:r w:rsidR="00DC41E6">
        <w:t>, 5th ed</w:t>
      </w:r>
      <w:r>
        <w:t>, Chichester.</w:t>
      </w:r>
    </w:p>
    <w:p w14:paraId="5403941C" w14:textId="2CB8884A" w:rsidR="00D50E0E" w:rsidRDefault="00D50E0E" w:rsidP="00D50E0E">
      <w:pPr>
        <w:pStyle w:val="CETReferencetext"/>
      </w:pPr>
      <w:r>
        <w:t>NIST Chemistry WebBook, 2024</w:t>
      </w:r>
      <w:r w:rsidR="00A11761">
        <w:t>,</w:t>
      </w:r>
      <w:r w:rsidR="005C762F">
        <w:t xml:space="preserve"> </w:t>
      </w:r>
      <w:r w:rsidR="005C762F" w:rsidRPr="007D56B1">
        <w:t>National Institute of Standards and Technology</w:t>
      </w:r>
      <w:r w:rsidR="005C762F">
        <w:t xml:space="preserve"> </w:t>
      </w:r>
      <w:r w:rsidR="00A11761">
        <w:t>&lt;</w:t>
      </w:r>
      <w:r>
        <w:t>webbook.nist.gov/</w:t>
      </w:r>
      <w:r w:rsidR="00DE383B">
        <w:t>-</w:t>
      </w:r>
      <w:r>
        <w:t>chemistry/</w:t>
      </w:r>
      <w:r w:rsidR="00A11761">
        <w:t>&gt;</w:t>
      </w:r>
      <w:r w:rsidR="00DE383B">
        <w:t xml:space="preserve"> </w:t>
      </w:r>
      <w:r>
        <w:t>accessed 10.10.24.</w:t>
      </w:r>
      <w:r w:rsidR="007D56B1">
        <w:t xml:space="preserve"> </w:t>
      </w:r>
    </w:p>
    <w:p w14:paraId="2855D256" w14:textId="0DBB6184" w:rsidR="00D50E0E" w:rsidRDefault="00D50E0E" w:rsidP="00D50E0E">
      <w:pPr>
        <w:pStyle w:val="CETReferencetext"/>
      </w:pPr>
      <w:r w:rsidRPr="00DE383B">
        <w:rPr>
          <w:lang w:val="en-US"/>
        </w:rPr>
        <w:t>Ono R., Nifuku M., Fujiwara S., Horiguchi S., Oda T., 2007</w:t>
      </w:r>
      <w:r w:rsidR="00DE383B" w:rsidRPr="00DE383B">
        <w:rPr>
          <w:lang w:val="en-US"/>
        </w:rPr>
        <w:t>,</w:t>
      </w:r>
      <w:r w:rsidRPr="00DE383B">
        <w:rPr>
          <w:lang w:val="en-US"/>
        </w:rPr>
        <w:t xml:space="preserve"> </w:t>
      </w:r>
      <w:r>
        <w:t>Minimum ignition energy of hydrogen–air mixture: Effects of humidity and spark duration</w:t>
      </w:r>
      <w:r w:rsidR="00DE383B">
        <w:t>,</w:t>
      </w:r>
      <w:r>
        <w:t xml:space="preserve"> Journal of Electrostatics</w:t>
      </w:r>
      <w:r w:rsidR="00A01B40">
        <w:t>,</w:t>
      </w:r>
      <w:r>
        <w:t xml:space="preserve"> 65, 87–93. </w:t>
      </w:r>
    </w:p>
    <w:p w14:paraId="7F72F0C0" w14:textId="032B9019" w:rsidR="00D50E0E" w:rsidRDefault="00D50E0E" w:rsidP="00D50E0E">
      <w:pPr>
        <w:pStyle w:val="CETReferencetext"/>
      </w:pPr>
      <w:r>
        <w:t>Sathiamoorthy P.T., 2024</w:t>
      </w:r>
      <w:r w:rsidR="002F63AB">
        <w:t>,</w:t>
      </w:r>
      <w:r>
        <w:t xml:space="preserve"> Modelling of Liquid Hydrogen Transfer using Aspen HYSYS</w:t>
      </w:r>
      <w:r w:rsidR="00A637A6">
        <w:t xml:space="preserve">, </w:t>
      </w:r>
      <w:r>
        <w:t>Norwegian University of Science and Technology, Trondheim.</w:t>
      </w:r>
    </w:p>
    <w:p w14:paraId="778AE8D6" w14:textId="7A5898E3" w:rsidR="00D50E0E" w:rsidRDefault="00D50E0E" w:rsidP="00D50E0E">
      <w:pPr>
        <w:pStyle w:val="CETReferencetext"/>
      </w:pPr>
      <w:r>
        <w:t>Schefer R.W., Kulatilaka W.D., Patterson B.D., Settersten T.B., 2009</w:t>
      </w:r>
      <w:r w:rsidR="00A637A6">
        <w:t>,</w:t>
      </w:r>
      <w:r>
        <w:t xml:space="preserve"> Visible emission of hydrogen flames</w:t>
      </w:r>
      <w:r w:rsidR="00A90349">
        <w:t>,</w:t>
      </w:r>
      <w:r>
        <w:t xml:space="preserve"> Combustion and Flame</w:t>
      </w:r>
      <w:r w:rsidR="00A90349">
        <w:t>,</w:t>
      </w:r>
      <w:r>
        <w:t xml:space="preserve"> 156, 1234</w:t>
      </w:r>
      <w:r w:rsidR="00A90349">
        <w:t>-</w:t>
      </w:r>
      <w:r>
        <w:t>1241</w:t>
      </w:r>
      <w:r w:rsidR="00A90349">
        <w:t xml:space="preserve"> &lt;</w:t>
      </w:r>
      <w:r>
        <w:t>doi.org/10.1016/j.combustflame</w:t>
      </w:r>
      <w:r w:rsidR="00A90349">
        <w:t xml:space="preserve">&gt; accessed </w:t>
      </w:r>
      <w:r w:rsidR="00E22E68">
        <w:t>11.01.2024</w:t>
      </w:r>
    </w:p>
    <w:p w14:paraId="271359F2" w14:textId="29D019EE" w:rsidR="00D50E0E" w:rsidRDefault="00D50E0E" w:rsidP="00D50E0E">
      <w:pPr>
        <w:pStyle w:val="CETReferencetext"/>
      </w:pPr>
      <w:r w:rsidRPr="007202B7">
        <w:rPr>
          <w:lang w:val="en-US"/>
        </w:rPr>
        <w:t>Zhang</w:t>
      </w:r>
      <w:r w:rsidR="00573BE6" w:rsidRPr="007202B7">
        <w:rPr>
          <w:lang w:val="en-US"/>
        </w:rPr>
        <w:t xml:space="preserve"> </w:t>
      </w:r>
      <w:r w:rsidRPr="007202B7">
        <w:rPr>
          <w:lang w:val="en-US"/>
        </w:rPr>
        <w:t>H.</w:t>
      </w:r>
      <w:r w:rsidR="00677BB2" w:rsidRPr="007202B7">
        <w:rPr>
          <w:lang w:val="en-US"/>
        </w:rPr>
        <w:t xml:space="preserve"> </w:t>
      </w:r>
      <w:r w:rsidRPr="007202B7">
        <w:rPr>
          <w:lang w:val="en-US"/>
        </w:rPr>
        <w:t>Q.,</w:t>
      </w:r>
      <w:r w:rsidR="00573BE6" w:rsidRPr="007202B7">
        <w:rPr>
          <w:lang w:val="en-US"/>
        </w:rPr>
        <w:t xml:space="preserve"> </w:t>
      </w:r>
      <w:r w:rsidRPr="007202B7">
        <w:rPr>
          <w:lang w:val="en-US"/>
        </w:rPr>
        <w:t>Sarica C., 2006</w:t>
      </w:r>
      <w:r w:rsidR="008C6B6B" w:rsidRPr="007202B7">
        <w:rPr>
          <w:lang w:val="en-US"/>
        </w:rPr>
        <w:t>,</w:t>
      </w:r>
      <w:r w:rsidRPr="007202B7">
        <w:rPr>
          <w:lang w:val="en-US"/>
        </w:rPr>
        <w:t xml:space="preserve"> </w:t>
      </w:r>
      <w:r>
        <w:t>Unified Modeling of Gas/Oil/Water-Pipe Flow</w:t>
      </w:r>
      <w:r w:rsidR="00677BB2">
        <w:t>-</w:t>
      </w:r>
      <w:r>
        <w:t>Basic Approaches and Preliminary Validation</w:t>
      </w:r>
      <w:r w:rsidR="00B25C4A">
        <w:t>, Society of Petroleum Engineers</w:t>
      </w:r>
      <w:r w:rsidR="000D40AD">
        <w:t xml:space="preserve"> Projects</w:t>
      </w:r>
      <w:r w:rsidR="00B25C4A">
        <w:t>,</w:t>
      </w:r>
      <w:r w:rsidR="000D40AD">
        <w:t xml:space="preserve"> </w:t>
      </w:r>
      <w:r w:rsidR="00B66919">
        <w:t>Facilities &amp; Construction.</w:t>
      </w:r>
    </w:p>
    <w:p w14:paraId="2C6E6AAA" w14:textId="64389DB2" w:rsidR="00D50E0E" w:rsidRDefault="00D50E0E" w:rsidP="00D50E0E">
      <w:pPr>
        <w:pStyle w:val="CETReferencetext"/>
      </w:pPr>
      <w:r>
        <w:t>Zhang H.</w:t>
      </w:r>
      <w:r w:rsidR="00677BB2">
        <w:t xml:space="preserve"> </w:t>
      </w:r>
      <w:r>
        <w:t xml:space="preserve">Q., Wang Q., </w:t>
      </w:r>
      <w:r w:rsidRPr="00CF0508">
        <w:t>Sarica C., Brill J.P., 2003a</w:t>
      </w:r>
      <w:r w:rsidR="00D65233">
        <w:t>,</w:t>
      </w:r>
      <w:r w:rsidRPr="00CF0508">
        <w:t xml:space="preserve"> Unified Model for Gas-Liquid Pipe Flow via Slug Dynamics</w:t>
      </w:r>
      <w:r w:rsidR="00677BB2" w:rsidRPr="00CF0508">
        <w:t>-</w:t>
      </w:r>
      <w:r w:rsidRPr="00CF0508">
        <w:t>Part 1: Model Development</w:t>
      </w:r>
      <w:r w:rsidR="00A440B6" w:rsidRPr="00CF0508">
        <w:t xml:space="preserve">, </w:t>
      </w:r>
      <w:r w:rsidR="00CF0508" w:rsidRPr="00CF0508">
        <w:rPr>
          <w:lang w:val="en-US"/>
        </w:rPr>
        <w:t>Journal of Energy Resources Technology</w:t>
      </w:r>
      <w:r w:rsidR="00355C11">
        <w:rPr>
          <w:lang w:val="en-US"/>
        </w:rPr>
        <w:t>,</w:t>
      </w:r>
      <w:r w:rsidR="00D65233">
        <w:rPr>
          <w:lang w:val="en-US"/>
        </w:rPr>
        <w:t xml:space="preserve"> </w:t>
      </w:r>
      <w:r w:rsidR="00CF0508">
        <w:rPr>
          <w:lang w:val="en-US"/>
        </w:rPr>
        <w:t>12</w:t>
      </w:r>
      <w:r w:rsidR="00355C11">
        <w:rPr>
          <w:lang w:val="en-US"/>
        </w:rPr>
        <w:t xml:space="preserve">5, </w:t>
      </w:r>
      <w:r w:rsidR="00F458DC">
        <w:rPr>
          <w:lang w:val="en-US"/>
        </w:rPr>
        <w:t>266-273.</w:t>
      </w:r>
    </w:p>
    <w:p w14:paraId="66C70958" w14:textId="198FD77C" w:rsidR="00D914EF" w:rsidRPr="005B2CBA" w:rsidRDefault="00D50E0E" w:rsidP="006125DF">
      <w:pPr>
        <w:pStyle w:val="CETReferencetext"/>
      </w:pPr>
      <w:r>
        <w:t>Zhang H.</w:t>
      </w:r>
      <w:r w:rsidR="00677BB2">
        <w:t xml:space="preserve"> </w:t>
      </w:r>
      <w:r>
        <w:t>Q., Wang Q., Sarica C., Brill J.P., 2003b</w:t>
      </w:r>
      <w:r w:rsidR="00D65233">
        <w:t>,</w:t>
      </w:r>
      <w:r>
        <w:t xml:space="preserve"> Unified Model for Gas-Liquid Pipe Flow via Slug Dynamics</w:t>
      </w:r>
      <w:r w:rsidR="00677BB2">
        <w:t>-</w:t>
      </w:r>
      <w:r>
        <w:t>Part 2: Model Validation</w:t>
      </w:r>
      <w:r w:rsidR="00B6754E">
        <w:t>,</w:t>
      </w:r>
      <w:r w:rsidR="000A7EE6">
        <w:t xml:space="preserve"> </w:t>
      </w:r>
      <w:r w:rsidR="000A7EE6" w:rsidRPr="00CF0508">
        <w:rPr>
          <w:lang w:val="en-US"/>
        </w:rPr>
        <w:t>Journal of Energy Resources Technology</w:t>
      </w:r>
      <w:r w:rsidR="000A7EE6">
        <w:rPr>
          <w:lang w:val="en-US"/>
        </w:rPr>
        <w:t>, 125,</w:t>
      </w:r>
      <w:r w:rsidR="00B6754E">
        <w:t xml:space="preserve"> </w:t>
      </w:r>
      <w:r w:rsidR="000A7EE6">
        <w:t>274-283.</w:t>
      </w:r>
    </w:p>
    <w:sectPr w:rsidR="00D914EF" w:rsidRPr="005B2CBA"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5C832" w14:textId="77777777" w:rsidR="00C71E53" w:rsidRDefault="00C71E53" w:rsidP="004F5E36">
      <w:r>
        <w:separator/>
      </w:r>
    </w:p>
  </w:endnote>
  <w:endnote w:type="continuationSeparator" w:id="0">
    <w:p w14:paraId="614C968E" w14:textId="77777777" w:rsidR="00C71E53" w:rsidRDefault="00C71E53"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C9BB9" w14:textId="77777777" w:rsidR="00C71E53" w:rsidRDefault="00C71E53" w:rsidP="004F5E36">
      <w:r>
        <w:separator/>
      </w:r>
    </w:p>
  </w:footnote>
  <w:footnote w:type="continuationSeparator" w:id="0">
    <w:p w14:paraId="5908DF58" w14:textId="77777777" w:rsidR="00C71E53" w:rsidRDefault="00C71E53"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621253B"/>
    <w:multiLevelType w:val="hybridMultilevel"/>
    <w:tmpl w:val="18FCD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42665E"/>
    <w:multiLevelType w:val="multilevel"/>
    <w:tmpl w:val="C15A4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B50573E"/>
    <w:multiLevelType w:val="multilevel"/>
    <w:tmpl w:val="7A3A6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2"/>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9"/>
  </w:num>
  <w:num w:numId="13" w16cid:durableId="695733619">
    <w:abstractNumId w:val="14"/>
  </w:num>
  <w:num w:numId="14" w16cid:durableId="145903400">
    <w:abstractNumId w:val="21"/>
  </w:num>
  <w:num w:numId="15" w16cid:durableId="19162326">
    <w:abstractNumId w:val="24"/>
  </w:num>
  <w:num w:numId="16" w16cid:durableId="1977102699">
    <w:abstractNumId w:val="23"/>
  </w:num>
  <w:num w:numId="17" w16cid:durableId="860774865">
    <w:abstractNumId w:val="13"/>
  </w:num>
  <w:num w:numId="18" w16cid:durableId="313221457">
    <w:abstractNumId w:val="14"/>
    <w:lvlOverride w:ilvl="0">
      <w:startOverride w:val="1"/>
    </w:lvlOverride>
  </w:num>
  <w:num w:numId="19" w16cid:durableId="534971577">
    <w:abstractNumId w:val="18"/>
  </w:num>
  <w:num w:numId="20" w16cid:durableId="1150947773">
    <w:abstractNumId w:val="17"/>
  </w:num>
  <w:num w:numId="21" w16cid:durableId="124660497">
    <w:abstractNumId w:val="16"/>
  </w:num>
  <w:num w:numId="22" w16cid:durableId="2099861471">
    <w:abstractNumId w:val="15"/>
  </w:num>
  <w:num w:numId="23" w16cid:durableId="84351335">
    <w:abstractNumId w:val="10"/>
  </w:num>
  <w:num w:numId="24" w16cid:durableId="1453860768">
    <w:abstractNumId w:val="20"/>
  </w:num>
  <w:num w:numId="25" w16cid:durableId="902375229">
    <w:abstractNumId w:val="11"/>
  </w:num>
  <w:num w:numId="26" w16cid:durableId="20475728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136"/>
    <w:rsid w:val="000027C0"/>
    <w:rsid w:val="000052FB"/>
    <w:rsid w:val="00005A19"/>
    <w:rsid w:val="00007612"/>
    <w:rsid w:val="00011013"/>
    <w:rsid w:val="000117CB"/>
    <w:rsid w:val="00025174"/>
    <w:rsid w:val="00025ACB"/>
    <w:rsid w:val="0003148D"/>
    <w:rsid w:val="00031CBB"/>
    <w:rsid w:val="00031EEC"/>
    <w:rsid w:val="0003458E"/>
    <w:rsid w:val="00035E3C"/>
    <w:rsid w:val="0004482B"/>
    <w:rsid w:val="00044901"/>
    <w:rsid w:val="00050648"/>
    <w:rsid w:val="00051566"/>
    <w:rsid w:val="000537E6"/>
    <w:rsid w:val="00053C49"/>
    <w:rsid w:val="000562A9"/>
    <w:rsid w:val="00062A9A"/>
    <w:rsid w:val="00065058"/>
    <w:rsid w:val="00070887"/>
    <w:rsid w:val="00070C8A"/>
    <w:rsid w:val="00070CEA"/>
    <w:rsid w:val="00074209"/>
    <w:rsid w:val="00084F67"/>
    <w:rsid w:val="00086C39"/>
    <w:rsid w:val="00093195"/>
    <w:rsid w:val="000A03B2"/>
    <w:rsid w:val="000A23ED"/>
    <w:rsid w:val="000A5370"/>
    <w:rsid w:val="000A6ED2"/>
    <w:rsid w:val="000A7EE6"/>
    <w:rsid w:val="000B0BBB"/>
    <w:rsid w:val="000B3FDD"/>
    <w:rsid w:val="000C17E5"/>
    <w:rsid w:val="000C1A00"/>
    <w:rsid w:val="000C288A"/>
    <w:rsid w:val="000C2DF3"/>
    <w:rsid w:val="000C53CF"/>
    <w:rsid w:val="000D0268"/>
    <w:rsid w:val="000D34BE"/>
    <w:rsid w:val="000D40AD"/>
    <w:rsid w:val="000D4BE0"/>
    <w:rsid w:val="000D6BD5"/>
    <w:rsid w:val="000D6DD3"/>
    <w:rsid w:val="000E0B3C"/>
    <w:rsid w:val="000E102F"/>
    <w:rsid w:val="000E36F1"/>
    <w:rsid w:val="000E3A73"/>
    <w:rsid w:val="000E414A"/>
    <w:rsid w:val="000E52EA"/>
    <w:rsid w:val="000E75FD"/>
    <w:rsid w:val="000F093C"/>
    <w:rsid w:val="000F4A9E"/>
    <w:rsid w:val="000F787B"/>
    <w:rsid w:val="00100B69"/>
    <w:rsid w:val="001022F3"/>
    <w:rsid w:val="00103C60"/>
    <w:rsid w:val="0011041E"/>
    <w:rsid w:val="0011543A"/>
    <w:rsid w:val="0012091F"/>
    <w:rsid w:val="00121784"/>
    <w:rsid w:val="00126BC2"/>
    <w:rsid w:val="001272D2"/>
    <w:rsid w:val="001308B6"/>
    <w:rsid w:val="0013121F"/>
    <w:rsid w:val="00131FE6"/>
    <w:rsid w:val="0013263F"/>
    <w:rsid w:val="001331DF"/>
    <w:rsid w:val="00134DE4"/>
    <w:rsid w:val="00136CBB"/>
    <w:rsid w:val="0014034D"/>
    <w:rsid w:val="00140FE3"/>
    <w:rsid w:val="00142342"/>
    <w:rsid w:val="00144D16"/>
    <w:rsid w:val="00150E59"/>
    <w:rsid w:val="00152DE3"/>
    <w:rsid w:val="0015538A"/>
    <w:rsid w:val="001618DB"/>
    <w:rsid w:val="00163BD4"/>
    <w:rsid w:val="00163EEC"/>
    <w:rsid w:val="00164CF9"/>
    <w:rsid w:val="001665D4"/>
    <w:rsid w:val="001667A6"/>
    <w:rsid w:val="0018130E"/>
    <w:rsid w:val="001815EB"/>
    <w:rsid w:val="0018171E"/>
    <w:rsid w:val="00181834"/>
    <w:rsid w:val="00183388"/>
    <w:rsid w:val="00184AD6"/>
    <w:rsid w:val="001857A5"/>
    <w:rsid w:val="00186A95"/>
    <w:rsid w:val="001946EF"/>
    <w:rsid w:val="00194FD1"/>
    <w:rsid w:val="00197572"/>
    <w:rsid w:val="00197729"/>
    <w:rsid w:val="001A2357"/>
    <w:rsid w:val="001A2D7F"/>
    <w:rsid w:val="001A3464"/>
    <w:rsid w:val="001A35AD"/>
    <w:rsid w:val="001A4AF7"/>
    <w:rsid w:val="001A5CD4"/>
    <w:rsid w:val="001A6334"/>
    <w:rsid w:val="001B0349"/>
    <w:rsid w:val="001B0E11"/>
    <w:rsid w:val="001B1E93"/>
    <w:rsid w:val="001B5733"/>
    <w:rsid w:val="001B65C1"/>
    <w:rsid w:val="001C260F"/>
    <w:rsid w:val="001C5C3A"/>
    <w:rsid w:val="001C684B"/>
    <w:rsid w:val="001D0CFB"/>
    <w:rsid w:val="001D0E69"/>
    <w:rsid w:val="001D21AF"/>
    <w:rsid w:val="001D2E7B"/>
    <w:rsid w:val="001D53FC"/>
    <w:rsid w:val="001D64F6"/>
    <w:rsid w:val="001D6BE5"/>
    <w:rsid w:val="001D6EF7"/>
    <w:rsid w:val="001D6FD0"/>
    <w:rsid w:val="001E23D9"/>
    <w:rsid w:val="001E30FE"/>
    <w:rsid w:val="001E325E"/>
    <w:rsid w:val="001E47F6"/>
    <w:rsid w:val="001E57F7"/>
    <w:rsid w:val="001E5927"/>
    <w:rsid w:val="001E6984"/>
    <w:rsid w:val="001E6A41"/>
    <w:rsid w:val="001F130F"/>
    <w:rsid w:val="001F276B"/>
    <w:rsid w:val="001F42A5"/>
    <w:rsid w:val="001F7B9D"/>
    <w:rsid w:val="00201C93"/>
    <w:rsid w:val="00202367"/>
    <w:rsid w:val="00202B9B"/>
    <w:rsid w:val="00205900"/>
    <w:rsid w:val="00206A02"/>
    <w:rsid w:val="002110A6"/>
    <w:rsid w:val="00212C3A"/>
    <w:rsid w:val="00213C75"/>
    <w:rsid w:val="00213F05"/>
    <w:rsid w:val="00221613"/>
    <w:rsid w:val="002224B4"/>
    <w:rsid w:val="002242FD"/>
    <w:rsid w:val="00224CD3"/>
    <w:rsid w:val="00230B46"/>
    <w:rsid w:val="00231C96"/>
    <w:rsid w:val="00232133"/>
    <w:rsid w:val="00233421"/>
    <w:rsid w:val="00237212"/>
    <w:rsid w:val="00241A61"/>
    <w:rsid w:val="002447EF"/>
    <w:rsid w:val="0024642D"/>
    <w:rsid w:val="00247F77"/>
    <w:rsid w:val="002503BA"/>
    <w:rsid w:val="002511B6"/>
    <w:rsid w:val="00251550"/>
    <w:rsid w:val="002535BB"/>
    <w:rsid w:val="0025440C"/>
    <w:rsid w:val="00254B27"/>
    <w:rsid w:val="00263B05"/>
    <w:rsid w:val="0027221A"/>
    <w:rsid w:val="00275B61"/>
    <w:rsid w:val="00276079"/>
    <w:rsid w:val="00280301"/>
    <w:rsid w:val="00280FAF"/>
    <w:rsid w:val="00282656"/>
    <w:rsid w:val="002826A9"/>
    <w:rsid w:val="0028431C"/>
    <w:rsid w:val="00290157"/>
    <w:rsid w:val="00293878"/>
    <w:rsid w:val="0029467C"/>
    <w:rsid w:val="0029600D"/>
    <w:rsid w:val="00296B83"/>
    <w:rsid w:val="002A4382"/>
    <w:rsid w:val="002B4015"/>
    <w:rsid w:val="002B4C49"/>
    <w:rsid w:val="002B78CE"/>
    <w:rsid w:val="002B7F00"/>
    <w:rsid w:val="002C2FB6"/>
    <w:rsid w:val="002C389B"/>
    <w:rsid w:val="002C4EE0"/>
    <w:rsid w:val="002D06A6"/>
    <w:rsid w:val="002D133F"/>
    <w:rsid w:val="002D261D"/>
    <w:rsid w:val="002D3DB0"/>
    <w:rsid w:val="002E0939"/>
    <w:rsid w:val="002E2343"/>
    <w:rsid w:val="002E4FAD"/>
    <w:rsid w:val="002E5FA7"/>
    <w:rsid w:val="002E665A"/>
    <w:rsid w:val="002F02F7"/>
    <w:rsid w:val="002F1FD6"/>
    <w:rsid w:val="002F3309"/>
    <w:rsid w:val="002F63AB"/>
    <w:rsid w:val="003008CE"/>
    <w:rsid w:val="003009B7"/>
    <w:rsid w:val="00300E56"/>
    <w:rsid w:val="0030152C"/>
    <w:rsid w:val="00301786"/>
    <w:rsid w:val="0030469C"/>
    <w:rsid w:val="003064AD"/>
    <w:rsid w:val="003130AF"/>
    <w:rsid w:val="00315821"/>
    <w:rsid w:val="00321CA6"/>
    <w:rsid w:val="00323763"/>
    <w:rsid w:val="00323C5F"/>
    <w:rsid w:val="003255A2"/>
    <w:rsid w:val="00326A32"/>
    <w:rsid w:val="00330198"/>
    <w:rsid w:val="00332322"/>
    <w:rsid w:val="00332FB2"/>
    <w:rsid w:val="00334C09"/>
    <w:rsid w:val="00337F98"/>
    <w:rsid w:val="00340ECF"/>
    <w:rsid w:val="003516F3"/>
    <w:rsid w:val="00353B10"/>
    <w:rsid w:val="003548CB"/>
    <w:rsid w:val="00355C11"/>
    <w:rsid w:val="00363462"/>
    <w:rsid w:val="00365AEF"/>
    <w:rsid w:val="003670CE"/>
    <w:rsid w:val="003723D4"/>
    <w:rsid w:val="00376220"/>
    <w:rsid w:val="00376E0C"/>
    <w:rsid w:val="0037726E"/>
    <w:rsid w:val="00381905"/>
    <w:rsid w:val="00384CC8"/>
    <w:rsid w:val="003871FD"/>
    <w:rsid w:val="00390425"/>
    <w:rsid w:val="0039206C"/>
    <w:rsid w:val="0039262F"/>
    <w:rsid w:val="0039513C"/>
    <w:rsid w:val="003A1E30"/>
    <w:rsid w:val="003A2829"/>
    <w:rsid w:val="003A2D89"/>
    <w:rsid w:val="003A7D1C"/>
    <w:rsid w:val="003B0871"/>
    <w:rsid w:val="003B0A87"/>
    <w:rsid w:val="003B304B"/>
    <w:rsid w:val="003B3146"/>
    <w:rsid w:val="003B49CD"/>
    <w:rsid w:val="003C3DE3"/>
    <w:rsid w:val="003C5552"/>
    <w:rsid w:val="003D1E02"/>
    <w:rsid w:val="003E5093"/>
    <w:rsid w:val="003E6A98"/>
    <w:rsid w:val="003F015E"/>
    <w:rsid w:val="003F1C5C"/>
    <w:rsid w:val="003F348F"/>
    <w:rsid w:val="00400414"/>
    <w:rsid w:val="00403CA1"/>
    <w:rsid w:val="00406B49"/>
    <w:rsid w:val="0041176F"/>
    <w:rsid w:val="00412D98"/>
    <w:rsid w:val="0041446B"/>
    <w:rsid w:val="0041585D"/>
    <w:rsid w:val="00416068"/>
    <w:rsid w:val="00421A16"/>
    <w:rsid w:val="004267D9"/>
    <w:rsid w:val="0042769B"/>
    <w:rsid w:val="00433ABE"/>
    <w:rsid w:val="00434913"/>
    <w:rsid w:val="0044071E"/>
    <w:rsid w:val="0044329C"/>
    <w:rsid w:val="00444C9C"/>
    <w:rsid w:val="00445213"/>
    <w:rsid w:val="00446FDA"/>
    <w:rsid w:val="00447F08"/>
    <w:rsid w:val="00450EA7"/>
    <w:rsid w:val="00453E24"/>
    <w:rsid w:val="00455438"/>
    <w:rsid w:val="00457456"/>
    <w:rsid w:val="004577FE"/>
    <w:rsid w:val="00457B9C"/>
    <w:rsid w:val="00460EB8"/>
    <w:rsid w:val="00460EDA"/>
    <w:rsid w:val="0046164A"/>
    <w:rsid w:val="004628D2"/>
    <w:rsid w:val="00462DCD"/>
    <w:rsid w:val="004648AD"/>
    <w:rsid w:val="0046510C"/>
    <w:rsid w:val="00465DB1"/>
    <w:rsid w:val="00467EDF"/>
    <w:rsid w:val="0047026D"/>
    <w:rsid w:val="004703A9"/>
    <w:rsid w:val="00471E7E"/>
    <w:rsid w:val="004760DE"/>
    <w:rsid w:val="004763D7"/>
    <w:rsid w:val="00476713"/>
    <w:rsid w:val="00477366"/>
    <w:rsid w:val="0048686E"/>
    <w:rsid w:val="00487759"/>
    <w:rsid w:val="00492D3A"/>
    <w:rsid w:val="00493883"/>
    <w:rsid w:val="004A004E"/>
    <w:rsid w:val="004A24CF"/>
    <w:rsid w:val="004A283C"/>
    <w:rsid w:val="004B458D"/>
    <w:rsid w:val="004B5DE9"/>
    <w:rsid w:val="004B7E97"/>
    <w:rsid w:val="004C0382"/>
    <w:rsid w:val="004C0A01"/>
    <w:rsid w:val="004C3D1D"/>
    <w:rsid w:val="004C3D84"/>
    <w:rsid w:val="004C477D"/>
    <w:rsid w:val="004C4F51"/>
    <w:rsid w:val="004C6656"/>
    <w:rsid w:val="004C6D47"/>
    <w:rsid w:val="004C7913"/>
    <w:rsid w:val="004D1AB0"/>
    <w:rsid w:val="004D4D3F"/>
    <w:rsid w:val="004D7965"/>
    <w:rsid w:val="004E4DD6"/>
    <w:rsid w:val="004E5278"/>
    <w:rsid w:val="004F13BE"/>
    <w:rsid w:val="004F1403"/>
    <w:rsid w:val="004F3099"/>
    <w:rsid w:val="004F4442"/>
    <w:rsid w:val="004F5E36"/>
    <w:rsid w:val="004F6086"/>
    <w:rsid w:val="004F66F0"/>
    <w:rsid w:val="005010C3"/>
    <w:rsid w:val="00504DEC"/>
    <w:rsid w:val="00506AEB"/>
    <w:rsid w:val="00507B47"/>
    <w:rsid w:val="00507BEF"/>
    <w:rsid w:val="00507CC9"/>
    <w:rsid w:val="00510F0E"/>
    <w:rsid w:val="005119A5"/>
    <w:rsid w:val="00515C49"/>
    <w:rsid w:val="005176AB"/>
    <w:rsid w:val="00517B94"/>
    <w:rsid w:val="005222C2"/>
    <w:rsid w:val="005278B7"/>
    <w:rsid w:val="00527A0E"/>
    <w:rsid w:val="00530BC7"/>
    <w:rsid w:val="00532016"/>
    <w:rsid w:val="005346C8"/>
    <w:rsid w:val="00535A3B"/>
    <w:rsid w:val="0053700B"/>
    <w:rsid w:val="005417C6"/>
    <w:rsid w:val="005424FC"/>
    <w:rsid w:val="00543E7D"/>
    <w:rsid w:val="00544A5A"/>
    <w:rsid w:val="00547A68"/>
    <w:rsid w:val="005531C9"/>
    <w:rsid w:val="00554879"/>
    <w:rsid w:val="00562480"/>
    <w:rsid w:val="0056548D"/>
    <w:rsid w:val="00565D4F"/>
    <w:rsid w:val="00570405"/>
    <w:rsid w:val="00570C43"/>
    <w:rsid w:val="005724FA"/>
    <w:rsid w:val="00573BE6"/>
    <w:rsid w:val="00587A28"/>
    <w:rsid w:val="00587E12"/>
    <w:rsid w:val="00592274"/>
    <w:rsid w:val="005979CB"/>
    <w:rsid w:val="005B210B"/>
    <w:rsid w:val="005B2110"/>
    <w:rsid w:val="005B2CBA"/>
    <w:rsid w:val="005B350B"/>
    <w:rsid w:val="005B61E6"/>
    <w:rsid w:val="005C07C4"/>
    <w:rsid w:val="005C37A2"/>
    <w:rsid w:val="005C3C4E"/>
    <w:rsid w:val="005C6227"/>
    <w:rsid w:val="005C762F"/>
    <w:rsid w:val="005C77E1"/>
    <w:rsid w:val="005D3F4F"/>
    <w:rsid w:val="005D6689"/>
    <w:rsid w:val="005D668A"/>
    <w:rsid w:val="005D6A2F"/>
    <w:rsid w:val="005D6EDF"/>
    <w:rsid w:val="005E0592"/>
    <w:rsid w:val="005E0822"/>
    <w:rsid w:val="005E1643"/>
    <w:rsid w:val="005E1A82"/>
    <w:rsid w:val="005E1E2D"/>
    <w:rsid w:val="005E4185"/>
    <w:rsid w:val="005E794C"/>
    <w:rsid w:val="005F0A28"/>
    <w:rsid w:val="005F0E5E"/>
    <w:rsid w:val="005F2795"/>
    <w:rsid w:val="005F2D04"/>
    <w:rsid w:val="00600535"/>
    <w:rsid w:val="00600B0F"/>
    <w:rsid w:val="00602389"/>
    <w:rsid w:val="00603E1D"/>
    <w:rsid w:val="00610CD6"/>
    <w:rsid w:val="006122DA"/>
    <w:rsid w:val="006125DF"/>
    <w:rsid w:val="00614421"/>
    <w:rsid w:val="00620DEE"/>
    <w:rsid w:val="00621F92"/>
    <w:rsid w:val="0062280A"/>
    <w:rsid w:val="006231E1"/>
    <w:rsid w:val="00625639"/>
    <w:rsid w:val="006319DF"/>
    <w:rsid w:val="00631B33"/>
    <w:rsid w:val="00637D9B"/>
    <w:rsid w:val="0064184D"/>
    <w:rsid w:val="0064199E"/>
    <w:rsid w:val="006422CC"/>
    <w:rsid w:val="00645775"/>
    <w:rsid w:val="00651D18"/>
    <w:rsid w:val="00655FDC"/>
    <w:rsid w:val="00660D7F"/>
    <w:rsid w:val="00660E3E"/>
    <w:rsid w:val="00662E74"/>
    <w:rsid w:val="006662B2"/>
    <w:rsid w:val="00671D70"/>
    <w:rsid w:val="00672889"/>
    <w:rsid w:val="00675288"/>
    <w:rsid w:val="00676C00"/>
    <w:rsid w:val="00677B2B"/>
    <w:rsid w:val="00677BB2"/>
    <w:rsid w:val="00680C23"/>
    <w:rsid w:val="00683E23"/>
    <w:rsid w:val="00685698"/>
    <w:rsid w:val="00693766"/>
    <w:rsid w:val="006A1F69"/>
    <w:rsid w:val="006A3281"/>
    <w:rsid w:val="006A6DE5"/>
    <w:rsid w:val="006B417B"/>
    <w:rsid w:val="006B4888"/>
    <w:rsid w:val="006B4F6A"/>
    <w:rsid w:val="006B5318"/>
    <w:rsid w:val="006C06C5"/>
    <w:rsid w:val="006C1013"/>
    <w:rsid w:val="006C2E45"/>
    <w:rsid w:val="006C359C"/>
    <w:rsid w:val="006C482D"/>
    <w:rsid w:val="006C516E"/>
    <w:rsid w:val="006C5579"/>
    <w:rsid w:val="006D0588"/>
    <w:rsid w:val="006D30E6"/>
    <w:rsid w:val="006D4CEC"/>
    <w:rsid w:val="006D6B53"/>
    <w:rsid w:val="006D6E8B"/>
    <w:rsid w:val="006D7209"/>
    <w:rsid w:val="006E3139"/>
    <w:rsid w:val="006E3411"/>
    <w:rsid w:val="006E5D66"/>
    <w:rsid w:val="006E737D"/>
    <w:rsid w:val="006E7ACA"/>
    <w:rsid w:val="006F0CDF"/>
    <w:rsid w:val="006F4B81"/>
    <w:rsid w:val="00701820"/>
    <w:rsid w:val="00702B7E"/>
    <w:rsid w:val="0070782B"/>
    <w:rsid w:val="00707C19"/>
    <w:rsid w:val="00707DD1"/>
    <w:rsid w:val="00711DDB"/>
    <w:rsid w:val="00713973"/>
    <w:rsid w:val="00714D13"/>
    <w:rsid w:val="007202B7"/>
    <w:rsid w:val="00720A24"/>
    <w:rsid w:val="007214FF"/>
    <w:rsid w:val="007268F8"/>
    <w:rsid w:val="0072704E"/>
    <w:rsid w:val="007306F2"/>
    <w:rsid w:val="0073130A"/>
    <w:rsid w:val="007317B9"/>
    <w:rsid w:val="007317BA"/>
    <w:rsid w:val="00732101"/>
    <w:rsid w:val="00732386"/>
    <w:rsid w:val="007323FB"/>
    <w:rsid w:val="0073514D"/>
    <w:rsid w:val="0074014D"/>
    <w:rsid w:val="00742CF1"/>
    <w:rsid w:val="007447F3"/>
    <w:rsid w:val="007536D6"/>
    <w:rsid w:val="0075499F"/>
    <w:rsid w:val="007641D9"/>
    <w:rsid w:val="007661C8"/>
    <w:rsid w:val="0076728D"/>
    <w:rsid w:val="0077098D"/>
    <w:rsid w:val="007811F8"/>
    <w:rsid w:val="0078163C"/>
    <w:rsid w:val="00785BF9"/>
    <w:rsid w:val="00786886"/>
    <w:rsid w:val="007874F5"/>
    <w:rsid w:val="00791A17"/>
    <w:rsid w:val="00791E75"/>
    <w:rsid w:val="007931FA"/>
    <w:rsid w:val="00793C93"/>
    <w:rsid w:val="007A4861"/>
    <w:rsid w:val="007A62A5"/>
    <w:rsid w:val="007A7BBA"/>
    <w:rsid w:val="007B0C50"/>
    <w:rsid w:val="007B48F9"/>
    <w:rsid w:val="007B50A3"/>
    <w:rsid w:val="007B7608"/>
    <w:rsid w:val="007C0A68"/>
    <w:rsid w:val="007C1A43"/>
    <w:rsid w:val="007C1D2E"/>
    <w:rsid w:val="007D0951"/>
    <w:rsid w:val="007D5160"/>
    <w:rsid w:val="007D56B1"/>
    <w:rsid w:val="007D610D"/>
    <w:rsid w:val="007D6A53"/>
    <w:rsid w:val="007D7F7B"/>
    <w:rsid w:val="007E4402"/>
    <w:rsid w:val="007F5C0D"/>
    <w:rsid w:val="007F7F07"/>
    <w:rsid w:val="0080013E"/>
    <w:rsid w:val="00801759"/>
    <w:rsid w:val="00801A72"/>
    <w:rsid w:val="00801CC1"/>
    <w:rsid w:val="00810955"/>
    <w:rsid w:val="008125BA"/>
    <w:rsid w:val="00813288"/>
    <w:rsid w:val="00813894"/>
    <w:rsid w:val="00815743"/>
    <w:rsid w:val="0081614F"/>
    <w:rsid w:val="008168FC"/>
    <w:rsid w:val="00820BC7"/>
    <w:rsid w:val="00822F3C"/>
    <w:rsid w:val="00825BAE"/>
    <w:rsid w:val="00826885"/>
    <w:rsid w:val="00830996"/>
    <w:rsid w:val="00832882"/>
    <w:rsid w:val="00833172"/>
    <w:rsid w:val="0083423E"/>
    <w:rsid w:val="008345F1"/>
    <w:rsid w:val="00834D0A"/>
    <w:rsid w:val="00835CDF"/>
    <w:rsid w:val="00836EA8"/>
    <w:rsid w:val="00837DE2"/>
    <w:rsid w:val="00853C98"/>
    <w:rsid w:val="00854843"/>
    <w:rsid w:val="00863800"/>
    <w:rsid w:val="0086549F"/>
    <w:rsid w:val="00865B07"/>
    <w:rsid w:val="0086611D"/>
    <w:rsid w:val="008667EA"/>
    <w:rsid w:val="008673C2"/>
    <w:rsid w:val="008700C6"/>
    <w:rsid w:val="00874D61"/>
    <w:rsid w:val="00875812"/>
    <w:rsid w:val="0087622D"/>
    <w:rsid w:val="0087637F"/>
    <w:rsid w:val="00876711"/>
    <w:rsid w:val="008860A1"/>
    <w:rsid w:val="00892AD5"/>
    <w:rsid w:val="00892BEA"/>
    <w:rsid w:val="008964EC"/>
    <w:rsid w:val="00896C7A"/>
    <w:rsid w:val="008A0B33"/>
    <w:rsid w:val="008A0D03"/>
    <w:rsid w:val="008A1512"/>
    <w:rsid w:val="008A5280"/>
    <w:rsid w:val="008A52B1"/>
    <w:rsid w:val="008B3034"/>
    <w:rsid w:val="008B327B"/>
    <w:rsid w:val="008B61C0"/>
    <w:rsid w:val="008C0090"/>
    <w:rsid w:val="008C0D95"/>
    <w:rsid w:val="008C5433"/>
    <w:rsid w:val="008C6B6B"/>
    <w:rsid w:val="008C7226"/>
    <w:rsid w:val="008D32B9"/>
    <w:rsid w:val="008D433B"/>
    <w:rsid w:val="008D4A16"/>
    <w:rsid w:val="008D687F"/>
    <w:rsid w:val="008E1F13"/>
    <w:rsid w:val="008E3261"/>
    <w:rsid w:val="008E3E21"/>
    <w:rsid w:val="008E5401"/>
    <w:rsid w:val="008E566E"/>
    <w:rsid w:val="008F358E"/>
    <w:rsid w:val="0090161A"/>
    <w:rsid w:val="00901EB6"/>
    <w:rsid w:val="00901F5A"/>
    <w:rsid w:val="009041F8"/>
    <w:rsid w:val="00904C62"/>
    <w:rsid w:val="00917195"/>
    <w:rsid w:val="00920A6A"/>
    <w:rsid w:val="00922BA8"/>
    <w:rsid w:val="00923368"/>
    <w:rsid w:val="00924DAC"/>
    <w:rsid w:val="0092637F"/>
    <w:rsid w:val="00927058"/>
    <w:rsid w:val="00931370"/>
    <w:rsid w:val="00941633"/>
    <w:rsid w:val="00942241"/>
    <w:rsid w:val="00942750"/>
    <w:rsid w:val="0094367A"/>
    <w:rsid w:val="009450CE"/>
    <w:rsid w:val="009459BB"/>
    <w:rsid w:val="0094686B"/>
    <w:rsid w:val="00947179"/>
    <w:rsid w:val="00950601"/>
    <w:rsid w:val="009507CC"/>
    <w:rsid w:val="0095164B"/>
    <w:rsid w:val="00953BA8"/>
    <w:rsid w:val="00954090"/>
    <w:rsid w:val="009540FC"/>
    <w:rsid w:val="009573E7"/>
    <w:rsid w:val="00961A90"/>
    <w:rsid w:val="00963E05"/>
    <w:rsid w:val="00964A45"/>
    <w:rsid w:val="00965633"/>
    <w:rsid w:val="0096612E"/>
    <w:rsid w:val="00967843"/>
    <w:rsid w:val="00967D54"/>
    <w:rsid w:val="00971028"/>
    <w:rsid w:val="0097410B"/>
    <w:rsid w:val="0097473E"/>
    <w:rsid w:val="00982AC7"/>
    <w:rsid w:val="009909DA"/>
    <w:rsid w:val="00993B84"/>
    <w:rsid w:val="00994C6A"/>
    <w:rsid w:val="00996483"/>
    <w:rsid w:val="00996F5A"/>
    <w:rsid w:val="009A2D27"/>
    <w:rsid w:val="009A3991"/>
    <w:rsid w:val="009A5E0B"/>
    <w:rsid w:val="009A6319"/>
    <w:rsid w:val="009B0183"/>
    <w:rsid w:val="009B041A"/>
    <w:rsid w:val="009B56BF"/>
    <w:rsid w:val="009B7187"/>
    <w:rsid w:val="009C37C3"/>
    <w:rsid w:val="009C7C86"/>
    <w:rsid w:val="009D2FF7"/>
    <w:rsid w:val="009D543F"/>
    <w:rsid w:val="009D6FF3"/>
    <w:rsid w:val="009D7A7D"/>
    <w:rsid w:val="009E29BB"/>
    <w:rsid w:val="009E4088"/>
    <w:rsid w:val="009E645C"/>
    <w:rsid w:val="009E6BD8"/>
    <w:rsid w:val="009E7884"/>
    <w:rsid w:val="009E788A"/>
    <w:rsid w:val="009F0E08"/>
    <w:rsid w:val="009F6738"/>
    <w:rsid w:val="009F69BC"/>
    <w:rsid w:val="009F7B30"/>
    <w:rsid w:val="00A0064B"/>
    <w:rsid w:val="00A01B40"/>
    <w:rsid w:val="00A06DEC"/>
    <w:rsid w:val="00A079AE"/>
    <w:rsid w:val="00A11761"/>
    <w:rsid w:val="00A12CD9"/>
    <w:rsid w:val="00A13ED5"/>
    <w:rsid w:val="00A152FF"/>
    <w:rsid w:val="00A16B95"/>
    <w:rsid w:val="00A1763D"/>
    <w:rsid w:val="00A17CEC"/>
    <w:rsid w:val="00A25AD7"/>
    <w:rsid w:val="00A26692"/>
    <w:rsid w:val="00A278CA"/>
    <w:rsid w:val="00A27EF0"/>
    <w:rsid w:val="00A32E97"/>
    <w:rsid w:val="00A33098"/>
    <w:rsid w:val="00A41BEB"/>
    <w:rsid w:val="00A42361"/>
    <w:rsid w:val="00A42DC2"/>
    <w:rsid w:val="00A42FCB"/>
    <w:rsid w:val="00A440B6"/>
    <w:rsid w:val="00A50B20"/>
    <w:rsid w:val="00A51390"/>
    <w:rsid w:val="00A534D5"/>
    <w:rsid w:val="00A53ED8"/>
    <w:rsid w:val="00A60CA6"/>
    <w:rsid w:val="00A60D13"/>
    <w:rsid w:val="00A61490"/>
    <w:rsid w:val="00A637A6"/>
    <w:rsid w:val="00A655AA"/>
    <w:rsid w:val="00A65A15"/>
    <w:rsid w:val="00A71791"/>
    <w:rsid w:val="00A71B91"/>
    <w:rsid w:val="00A7223D"/>
    <w:rsid w:val="00A72745"/>
    <w:rsid w:val="00A76EFC"/>
    <w:rsid w:val="00A8254E"/>
    <w:rsid w:val="00A85F1F"/>
    <w:rsid w:val="00A86E45"/>
    <w:rsid w:val="00A87D50"/>
    <w:rsid w:val="00A90349"/>
    <w:rsid w:val="00A91010"/>
    <w:rsid w:val="00A93083"/>
    <w:rsid w:val="00A9514F"/>
    <w:rsid w:val="00A95665"/>
    <w:rsid w:val="00A957A1"/>
    <w:rsid w:val="00A9617E"/>
    <w:rsid w:val="00A97F29"/>
    <w:rsid w:val="00AA702E"/>
    <w:rsid w:val="00AA7D26"/>
    <w:rsid w:val="00AB0964"/>
    <w:rsid w:val="00AB3F7E"/>
    <w:rsid w:val="00AB4998"/>
    <w:rsid w:val="00AB5011"/>
    <w:rsid w:val="00AC476D"/>
    <w:rsid w:val="00AC7368"/>
    <w:rsid w:val="00AD16B9"/>
    <w:rsid w:val="00AD6926"/>
    <w:rsid w:val="00AE0280"/>
    <w:rsid w:val="00AE377D"/>
    <w:rsid w:val="00AE3BE8"/>
    <w:rsid w:val="00AE71FF"/>
    <w:rsid w:val="00AF0EBA"/>
    <w:rsid w:val="00AF2463"/>
    <w:rsid w:val="00AF61FA"/>
    <w:rsid w:val="00AF649B"/>
    <w:rsid w:val="00B02C8A"/>
    <w:rsid w:val="00B035E2"/>
    <w:rsid w:val="00B17FBD"/>
    <w:rsid w:val="00B21372"/>
    <w:rsid w:val="00B23A9F"/>
    <w:rsid w:val="00B25C4A"/>
    <w:rsid w:val="00B315A6"/>
    <w:rsid w:val="00B31813"/>
    <w:rsid w:val="00B32430"/>
    <w:rsid w:val="00B33365"/>
    <w:rsid w:val="00B33493"/>
    <w:rsid w:val="00B35F18"/>
    <w:rsid w:val="00B35FC8"/>
    <w:rsid w:val="00B439D2"/>
    <w:rsid w:val="00B463C3"/>
    <w:rsid w:val="00B47EA6"/>
    <w:rsid w:val="00B51C2D"/>
    <w:rsid w:val="00B52483"/>
    <w:rsid w:val="00B5302D"/>
    <w:rsid w:val="00B53624"/>
    <w:rsid w:val="00B53776"/>
    <w:rsid w:val="00B57B36"/>
    <w:rsid w:val="00B57E6F"/>
    <w:rsid w:val="00B61639"/>
    <w:rsid w:val="00B61816"/>
    <w:rsid w:val="00B636EC"/>
    <w:rsid w:val="00B66919"/>
    <w:rsid w:val="00B6754E"/>
    <w:rsid w:val="00B75FB8"/>
    <w:rsid w:val="00B77A4E"/>
    <w:rsid w:val="00B811BB"/>
    <w:rsid w:val="00B83F5C"/>
    <w:rsid w:val="00B84579"/>
    <w:rsid w:val="00B85814"/>
    <w:rsid w:val="00B8686D"/>
    <w:rsid w:val="00B86B75"/>
    <w:rsid w:val="00B873EA"/>
    <w:rsid w:val="00B93F69"/>
    <w:rsid w:val="00BA1EAC"/>
    <w:rsid w:val="00BB0255"/>
    <w:rsid w:val="00BB1DDC"/>
    <w:rsid w:val="00BB2721"/>
    <w:rsid w:val="00BB287C"/>
    <w:rsid w:val="00BB43A4"/>
    <w:rsid w:val="00BB7324"/>
    <w:rsid w:val="00BC17C5"/>
    <w:rsid w:val="00BC30C9"/>
    <w:rsid w:val="00BC77AF"/>
    <w:rsid w:val="00BC7A8F"/>
    <w:rsid w:val="00BD077D"/>
    <w:rsid w:val="00BD4536"/>
    <w:rsid w:val="00BE1B1E"/>
    <w:rsid w:val="00BE2561"/>
    <w:rsid w:val="00BE2B77"/>
    <w:rsid w:val="00BE2B83"/>
    <w:rsid w:val="00BE3A92"/>
    <w:rsid w:val="00BE3E58"/>
    <w:rsid w:val="00BE4CAC"/>
    <w:rsid w:val="00BF0573"/>
    <w:rsid w:val="00BF13CE"/>
    <w:rsid w:val="00BF3EA5"/>
    <w:rsid w:val="00BF4466"/>
    <w:rsid w:val="00BF60AA"/>
    <w:rsid w:val="00C01616"/>
    <w:rsid w:val="00C0162B"/>
    <w:rsid w:val="00C02294"/>
    <w:rsid w:val="00C0309A"/>
    <w:rsid w:val="00C0438A"/>
    <w:rsid w:val="00C068ED"/>
    <w:rsid w:val="00C06E3E"/>
    <w:rsid w:val="00C13F7E"/>
    <w:rsid w:val="00C144DA"/>
    <w:rsid w:val="00C1747B"/>
    <w:rsid w:val="00C21421"/>
    <w:rsid w:val="00C22E0C"/>
    <w:rsid w:val="00C3316E"/>
    <w:rsid w:val="00C345B1"/>
    <w:rsid w:val="00C40142"/>
    <w:rsid w:val="00C425D7"/>
    <w:rsid w:val="00C47067"/>
    <w:rsid w:val="00C5104E"/>
    <w:rsid w:val="00C52C3C"/>
    <w:rsid w:val="00C53FAC"/>
    <w:rsid w:val="00C541BA"/>
    <w:rsid w:val="00C55EC7"/>
    <w:rsid w:val="00C560F1"/>
    <w:rsid w:val="00C56F2F"/>
    <w:rsid w:val="00C57182"/>
    <w:rsid w:val="00C57863"/>
    <w:rsid w:val="00C6164A"/>
    <w:rsid w:val="00C62FB5"/>
    <w:rsid w:val="00C640AF"/>
    <w:rsid w:val="00C655FD"/>
    <w:rsid w:val="00C66F2C"/>
    <w:rsid w:val="00C71E53"/>
    <w:rsid w:val="00C75407"/>
    <w:rsid w:val="00C75B20"/>
    <w:rsid w:val="00C82F54"/>
    <w:rsid w:val="00C841C6"/>
    <w:rsid w:val="00C8639A"/>
    <w:rsid w:val="00C870A8"/>
    <w:rsid w:val="00C911EA"/>
    <w:rsid w:val="00C94434"/>
    <w:rsid w:val="00C947C3"/>
    <w:rsid w:val="00C95870"/>
    <w:rsid w:val="00CA0D75"/>
    <w:rsid w:val="00CA1C95"/>
    <w:rsid w:val="00CA5A9C"/>
    <w:rsid w:val="00CA5F63"/>
    <w:rsid w:val="00CB0A42"/>
    <w:rsid w:val="00CB6FAA"/>
    <w:rsid w:val="00CC3E25"/>
    <w:rsid w:val="00CC490E"/>
    <w:rsid w:val="00CC4C20"/>
    <w:rsid w:val="00CC5EFE"/>
    <w:rsid w:val="00CC706F"/>
    <w:rsid w:val="00CD3517"/>
    <w:rsid w:val="00CD50CC"/>
    <w:rsid w:val="00CD5FE2"/>
    <w:rsid w:val="00CD7CD6"/>
    <w:rsid w:val="00CE0862"/>
    <w:rsid w:val="00CE109E"/>
    <w:rsid w:val="00CE3C18"/>
    <w:rsid w:val="00CE452A"/>
    <w:rsid w:val="00CE4DCA"/>
    <w:rsid w:val="00CE60D0"/>
    <w:rsid w:val="00CE7C68"/>
    <w:rsid w:val="00CF0508"/>
    <w:rsid w:val="00CF0DFE"/>
    <w:rsid w:val="00CF28CE"/>
    <w:rsid w:val="00D02B4C"/>
    <w:rsid w:val="00D040C4"/>
    <w:rsid w:val="00D1083F"/>
    <w:rsid w:val="00D1345F"/>
    <w:rsid w:val="00D154ED"/>
    <w:rsid w:val="00D20AD1"/>
    <w:rsid w:val="00D23235"/>
    <w:rsid w:val="00D2582C"/>
    <w:rsid w:val="00D27F2B"/>
    <w:rsid w:val="00D34C4A"/>
    <w:rsid w:val="00D35FAA"/>
    <w:rsid w:val="00D42A2C"/>
    <w:rsid w:val="00D447D4"/>
    <w:rsid w:val="00D46B7E"/>
    <w:rsid w:val="00D47560"/>
    <w:rsid w:val="00D50E0E"/>
    <w:rsid w:val="00D512ED"/>
    <w:rsid w:val="00D51CAA"/>
    <w:rsid w:val="00D52842"/>
    <w:rsid w:val="00D52E8E"/>
    <w:rsid w:val="00D54D6B"/>
    <w:rsid w:val="00D56E45"/>
    <w:rsid w:val="00D57C84"/>
    <w:rsid w:val="00D6057D"/>
    <w:rsid w:val="00D60C5C"/>
    <w:rsid w:val="00D60D86"/>
    <w:rsid w:val="00D614EB"/>
    <w:rsid w:val="00D618D7"/>
    <w:rsid w:val="00D65233"/>
    <w:rsid w:val="00D71640"/>
    <w:rsid w:val="00D71F09"/>
    <w:rsid w:val="00D75A6C"/>
    <w:rsid w:val="00D778B0"/>
    <w:rsid w:val="00D80D4C"/>
    <w:rsid w:val="00D830A2"/>
    <w:rsid w:val="00D836C5"/>
    <w:rsid w:val="00D84576"/>
    <w:rsid w:val="00D84B6A"/>
    <w:rsid w:val="00D861C8"/>
    <w:rsid w:val="00D90CFD"/>
    <w:rsid w:val="00D914EF"/>
    <w:rsid w:val="00DA1399"/>
    <w:rsid w:val="00DA24C6"/>
    <w:rsid w:val="00DA44F7"/>
    <w:rsid w:val="00DA4D7B"/>
    <w:rsid w:val="00DB17F6"/>
    <w:rsid w:val="00DB1821"/>
    <w:rsid w:val="00DB73EA"/>
    <w:rsid w:val="00DC1B48"/>
    <w:rsid w:val="00DC2840"/>
    <w:rsid w:val="00DC2915"/>
    <w:rsid w:val="00DC41E6"/>
    <w:rsid w:val="00DC6C99"/>
    <w:rsid w:val="00DC73EE"/>
    <w:rsid w:val="00DD271C"/>
    <w:rsid w:val="00DD3A39"/>
    <w:rsid w:val="00DD4A8F"/>
    <w:rsid w:val="00DD518E"/>
    <w:rsid w:val="00DD5B96"/>
    <w:rsid w:val="00DE264A"/>
    <w:rsid w:val="00DE2BD3"/>
    <w:rsid w:val="00DE383B"/>
    <w:rsid w:val="00DE7C6B"/>
    <w:rsid w:val="00DF5072"/>
    <w:rsid w:val="00E02D18"/>
    <w:rsid w:val="00E03ADE"/>
    <w:rsid w:val="00E041E7"/>
    <w:rsid w:val="00E10531"/>
    <w:rsid w:val="00E117A5"/>
    <w:rsid w:val="00E14DA2"/>
    <w:rsid w:val="00E16099"/>
    <w:rsid w:val="00E16FFE"/>
    <w:rsid w:val="00E22786"/>
    <w:rsid w:val="00E22E68"/>
    <w:rsid w:val="00E23CA1"/>
    <w:rsid w:val="00E27BAB"/>
    <w:rsid w:val="00E30F65"/>
    <w:rsid w:val="00E40467"/>
    <w:rsid w:val="00E409A8"/>
    <w:rsid w:val="00E41BA4"/>
    <w:rsid w:val="00E42A03"/>
    <w:rsid w:val="00E43424"/>
    <w:rsid w:val="00E4464F"/>
    <w:rsid w:val="00E452DA"/>
    <w:rsid w:val="00E501BC"/>
    <w:rsid w:val="00E50C12"/>
    <w:rsid w:val="00E51519"/>
    <w:rsid w:val="00E557F7"/>
    <w:rsid w:val="00E65B91"/>
    <w:rsid w:val="00E6626D"/>
    <w:rsid w:val="00E7209D"/>
    <w:rsid w:val="00E72285"/>
    <w:rsid w:val="00E72C0E"/>
    <w:rsid w:val="00E72EAD"/>
    <w:rsid w:val="00E75C1C"/>
    <w:rsid w:val="00E77223"/>
    <w:rsid w:val="00E82FF3"/>
    <w:rsid w:val="00E85274"/>
    <w:rsid w:val="00E8528B"/>
    <w:rsid w:val="00E85B94"/>
    <w:rsid w:val="00E91B24"/>
    <w:rsid w:val="00E978D0"/>
    <w:rsid w:val="00E9797A"/>
    <w:rsid w:val="00EA44B1"/>
    <w:rsid w:val="00EA4613"/>
    <w:rsid w:val="00EA7F91"/>
    <w:rsid w:val="00EB1523"/>
    <w:rsid w:val="00EC0E49"/>
    <w:rsid w:val="00EC101F"/>
    <w:rsid w:val="00EC1D9F"/>
    <w:rsid w:val="00EC39EF"/>
    <w:rsid w:val="00EC6141"/>
    <w:rsid w:val="00ED1A33"/>
    <w:rsid w:val="00ED588F"/>
    <w:rsid w:val="00ED6C2C"/>
    <w:rsid w:val="00ED731E"/>
    <w:rsid w:val="00EE0131"/>
    <w:rsid w:val="00EE17B0"/>
    <w:rsid w:val="00EE34A9"/>
    <w:rsid w:val="00EE4A73"/>
    <w:rsid w:val="00EE4BAE"/>
    <w:rsid w:val="00EE66D7"/>
    <w:rsid w:val="00EE7A4E"/>
    <w:rsid w:val="00EF06D9"/>
    <w:rsid w:val="00EF0A86"/>
    <w:rsid w:val="00EF21D0"/>
    <w:rsid w:val="00EF37A3"/>
    <w:rsid w:val="00EF40E1"/>
    <w:rsid w:val="00F03BA2"/>
    <w:rsid w:val="00F05447"/>
    <w:rsid w:val="00F057E7"/>
    <w:rsid w:val="00F10B23"/>
    <w:rsid w:val="00F11098"/>
    <w:rsid w:val="00F13789"/>
    <w:rsid w:val="00F21B35"/>
    <w:rsid w:val="00F26136"/>
    <w:rsid w:val="00F27EE4"/>
    <w:rsid w:val="00F3049E"/>
    <w:rsid w:val="00F30C64"/>
    <w:rsid w:val="00F32BA2"/>
    <w:rsid w:val="00F32CDB"/>
    <w:rsid w:val="00F33A71"/>
    <w:rsid w:val="00F379F5"/>
    <w:rsid w:val="00F4040F"/>
    <w:rsid w:val="00F41BA3"/>
    <w:rsid w:val="00F41EE4"/>
    <w:rsid w:val="00F42E05"/>
    <w:rsid w:val="00F458DC"/>
    <w:rsid w:val="00F46B95"/>
    <w:rsid w:val="00F47E6D"/>
    <w:rsid w:val="00F539D6"/>
    <w:rsid w:val="00F565FE"/>
    <w:rsid w:val="00F62A3A"/>
    <w:rsid w:val="00F63A70"/>
    <w:rsid w:val="00F63D8C"/>
    <w:rsid w:val="00F63E11"/>
    <w:rsid w:val="00F64ABA"/>
    <w:rsid w:val="00F6530E"/>
    <w:rsid w:val="00F66E5D"/>
    <w:rsid w:val="00F7534E"/>
    <w:rsid w:val="00F82026"/>
    <w:rsid w:val="00F91EA5"/>
    <w:rsid w:val="00F931FB"/>
    <w:rsid w:val="00F932FE"/>
    <w:rsid w:val="00F93EDF"/>
    <w:rsid w:val="00F93FCE"/>
    <w:rsid w:val="00F95876"/>
    <w:rsid w:val="00FA08A5"/>
    <w:rsid w:val="00FA1802"/>
    <w:rsid w:val="00FA1A7C"/>
    <w:rsid w:val="00FA21D0"/>
    <w:rsid w:val="00FA5A2E"/>
    <w:rsid w:val="00FA5F5F"/>
    <w:rsid w:val="00FA611F"/>
    <w:rsid w:val="00FB0846"/>
    <w:rsid w:val="00FB3569"/>
    <w:rsid w:val="00FB515B"/>
    <w:rsid w:val="00FB6415"/>
    <w:rsid w:val="00FB730C"/>
    <w:rsid w:val="00FC09C9"/>
    <w:rsid w:val="00FC0BAB"/>
    <w:rsid w:val="00FC2695"/>
    <w:rsid w:val="00FC346B"/>
    <w:rsid w:val="00FC3E03"/>
    <w:rsid w:val="00FC3FC1"/>
    <w:rsid w:val="00FD463C"/>
    <w:rsid w:val="00FD637F"/>
    <w:rsid w:val="00FD7F23"/>
    <w:rsid w:val="00FE06F5"/>
    <w:rsid w:val="00FE4933"/>
    <w:rsid w:val="00FF29E1"/>
    <w:rsid w:val="00FF40D7"/>
    <w:rsid w:val="2F60D8B7"/>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084F67"/>
    <w:pPr>
      <w:keepNext/>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084F67"/>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 w:type="character" w:styleId="Enfasigrassetto">
    <w:name w:val="Strong"/>
    <w:basedOn w:val="Carpredefinitoparagrafo"/>
    <w:uiPriority w:val="22"/>
    <w:qFormat/>
    <w:rsid w:val="00460EB8"/>
    <w:rPr>
      <w:b/>
      <w:bCs/>
    </w:rPr>
  </w:style>
  <w:style w:type="character" w:styleId="Rimandonotaapidipagina">
    <w:name w:val="footnote reference"/>
    <w:basedOn w:val="Carpredefinitoparagrafo"/>
    <w:uiPriority w:val="99"/>
    <w:semiHidden/>
    <w:unhideWhenUsed/>
    <w:rsid w:val="00CF0DFE"/>
    <w:rPr>
      <w:vertAlign w:val="superscript"/>
    </w:rPr>
  </w:style>
  <w:style w:type="character" w:styleId="Menzionenonrisolta">
    <w:name w:val="Unresolved Mention"/>
    <w:basedOn w:val="Carpredefinitoparagrafo"/>
    <w:uiPriority w:val="99"/>
    <w:semiHidden/>
    <w:unhideWhenUsed/>
    <w:rsid w:val="00D830A2"/>
    <w:rPr>
      <w:color w:val="605E5C"/>
      <w:shd w:val="clear" w:color="auto" w:fill="E1DFDD"/>
    </w:rPr>
  </w:style>
  <w:style w:type="paragraph" w:styleId="Revisione">
    <w:name w:val="Revision"/>
    <w:hidden/>
    <w:uiPriority w:val="99"/>
    <w:semiHidden/>
    <w:rsid w:val="00F91EA5"/>
    <w:pPr>
      <w:spacing w:after="0" w:line="240" w:lineRule="auto"/>
    </w:pPr>
    <w:rPr>
      <w:rFonts w:ascii="Arial" w:eastAsia="Times New Roman" w:hAnsi="Arial" w:cs="Times New Roman"/>
      <w:sz w:val="18"/>
      <w:szCs w:val="20"/>
      <w:lang w:val="en-GB"/>
    </w:rPr>
  </w:style>
  <w:style w:type="paragraph" w:customStyle="1" w:styleId="Els-body-text">
    <w:name w:val="Els-body-text"/>
    <w:rsid w:val="00E16FFE"/>
    <w:pPr>
      <w:spacing w:after="0" w:line="240" w:lineRule="exact"/>
      <w:ind w:firstLine="240"/>
      <w:jc w:val="both"/>
    </w:pPr>
    <w:rPr>
      <w:rFonts w:ascii="Times New Roman" w:eastAsia="Times New Roman" w:hAnsi="Times New Roman" w:cs="Times New Roman"/>
      <w:sz w:val="20"/>
      <w:szCs w:val="20"/>
      <w:lang w:val="en-US" w:eastAsia="de-DE"/>
    </w:rPr>
  </w:style>
  <w:style w:type="character" w:styleId="Testosegnaposto">
    <w:name w:val="Placeholder Text"/>
    <w:basedOn w:val="Carpredefinitoparagrafo"/>
    <w:uiPriority w:val="99"/>
    <w:semiHidden/>
    <w:rsid w:val="00530BC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2458">
      <w:bodyDiv w:val="1"/>
      <w:marLeft w:val="0"/>
      <w:marRight w:val="0"/>
      <w:marTop w:val="0"/>
      <w:marBottom w:val="0"/>
      <w:divBdr>
        <w:top w:val="none" w:sz="0" w:space="0" w:color="auto"/>
        <w:left w:val="none" w:sz="0" w:space="0" w:color="auto"/>
        <w:bottom w:val="none" w:sz="0" w:space="0" w:color="auto"/>
        <w:right w:val="none" w:sz="0" w:space="0" w:color="auto"/>
      </w:divBdr>
    </w:div>
    <w:div w:id="53941118">
      <w:bodyDiv w:val="1"/>
      <w:marLeft w:val="0"/>
      <w:marRight w:val="0"/>
      <w:marTop w:val="0"/>
      <w:marBottom w:val="0"/>
      <w:divBdr>
        <w:top w:val="none" w:sz="0" w:space="0" w:color="auto"/>
        <w:left w:val="none" w:sz="0" w:space="0" w:color="auto"/>
        <w:bottom w:val="none" w:sz="0" w:space="0" w:color="auto"/>
        <w:right w:val="none" w:sz="0" w:space="0" w:color="auto"/>
      </w:divBdr>
    </w:div>
    <w:div w:id="64307880">
      <w:bodyDiv w:val="1"/>
      <w:marLeft w:val="0"/>
      <w:marRight w:val="0"/>
      <w:marTop w:val="0"/>
      <w:marBottom w:val="0"/>
      <w:divBdr>
        <w:top w:val="none" w:sz="0" w:space="0" w:color="auto"/>
        <w:left w:val="none" w:sz="0" w:space="0" w:color="auto"/>
        <w:bottom w:val="none" w:sz="0" w:space="0" w:color="auto"/>
        <w:right w:val="none" w:sz="0" w:space="0" w:color="auto"/>
      </w:divBdr>
    </w:div>
    <w:div w:id="82649879">
      <w:bodyDiv w:val="1"/>
      <w:marLeft w:val="0"/>
      <w:marRight w:val="0"/>
      <w:marTop w:val="0"/>
      <w:marBottom w:val="0"/>
      <w:divBdr>
        <w:top w:val="none" w:sz="0" w:space="0" w:color="auto"/>
        <w:left w:val="none" w:sz="0" w:space="0" w:color="auto"/>
        <w:bottom w:val="none" w:sz="0" w:space="0" w:color="auto"/>
        <w:right w:val="none" w:sz="0" w:space="0" w:color="auto"/>
      </w:divBdr>
    </w:div>
    <w:div w:id="95054668">
      <w:bodyDiv w:val="1"/>
      <w:marLeft w:val="0"/>
      <w:marRight w:val="0"/>
      <w:marTop w:val="0"/>
      <w:marBottom w:val="0"/>
      <w:divBdr>
        <w:top w:val="none" w:sz="0" w:space="0" w:color="auto"/>
        <w:left w:val="none" w:sz="0" w:space="0" w:color="auto"/>
        <w:bottom w:val="none" w:sz="0" w:space="0" w:color="auto"/>
        <w:right w:val="none" w:sz="0" w:space="0" w:color="auto"/>
      </w:divBdr>
    </w:div>
    <w:div w:id="102580162">
      <w:bodyDiv w:val="1"/>
      <w:marLeft w:val="0"/>
      <w:marRight w:val="0"/>
      <w:marTop w:val="0"/>
      <w:marBottom w:val="0"/>
      <w:divBdr>
        <w:top w:val="none" w:sz="0" w:space="0" w:color="auto"/>
        <w:left w:val="none" w:sz="0" w:space="0" w:color="auto"/>
        <w:bottom w:val="none" w:sz="0" w:space="0" w:color="auto"/>
        <w:right w:val="none" w:sz="0" w:space="0" w:color="auto"/>
      </w:divBdr>
    </w:div>
    <w:div w:id="146167853">
      <w:bodyDiv w:val="1"/>
      <w:marLeft w:val="0"/>
      <w:marRight w:val="0"/>
      <w:marTop w:val="0"/>
      <w:marBottom w:val="0"/>
      <w:divBdr>
        <w:top w:val="none" w:sz="0" w:space="0" w:color="auto"/>
        <w:left w:val="none" w:sz="0" w:space="0" w:color="auto"/>
        <w:bottom w:val="none" w:sz="0" w:space="0" w:color="auto"/>
        <w:right w:val="none" w:sz="0" w:space="0" w:color="auto"/>
      </w:divBdr>
    </w:div>
    <w:div w:id="212741812">
      <w:bodyDiv w:val="1"/>
      <w:marLeft w:val="0"/>
      <w:marRight w:val="0"/>
      <w:marTop w:val="0"/>
      <w:marBottom w:val="0"/>
      <w:divBdr>
        <w:top w:val="none" w:sz="0" w:space="0" w:color="auto"/>
        <w:left w:val="none" w:sz="0" w:space="0" w:color="auto"/>
        <w:bottom w:val="none" w:sz="0" w:space="0" w:color="auto"/>
        <w:right w:val="none" w:sz="0" w:space="0" w:color="auto"/>
      </w:divBdr>
    </w:div>
    <w:div w:id="230192062">
      <w:bodyDiv w:val="1"/>
      <w:marLeft w:val="0"/>
      <w:marRight w:val="0"/>
      <w:marTop w:val="0"/>
      <w:marBottom w:val="0"/>
      <w:divBdr>
        <w:top w:val="none" w:sz="0" w:space="0" w:color="auto"/>
        <w:left w:val="none" w:sz="0" w:space="0" w:color="auto"/>
        <w:bottom w:val="none" w:sz="0" w:space="0" w:color="auto"/>
        <w:right w:val="none" w:sz="0" w:space="0" w:color="auto"/>
      </w:divBdr>
    </w:div>
    <w:div w:id="234626960">
      <w:bodyDiv w:val="1"/>
      <w:marLeft w:val="0"/>
      <w:marRight w:val="0"/>
      <w:marTop w:val="0"/>
      <w:marBottom w:val="0"/>
      <w:divBdr>
        <w:top w:val="none" w:sz="0" w:space="0" w:color="auto"/>
        <w:left w:val="none" w:sz="0" w:space="0" w:color="auto"/>
        <w:bottom w:val="none" w:sz="0" w:space="0" w:color="auto"/>
        <w:right w:val="none" w:sz="0" w:space="0" w:color="auto"/>
      </w:divBdr>
    </w:div>
    <w:div w:id="236207140">
      <w:bodyDiv w:val="1"/>
      <w:marLeft w:val="0"/>
      <w:marRight w:val="0"/>
      <w:marTop w:val="0"/>
      <w:marBottom w:val="0"/>
      <w:divBdr>
        <w:top w:val="none" w:sz="0" w:space="0" w:color="auto"/>
        <w:left w:val="none" w:sz="0" w:space="0" w:color="auto"/>
        <w:bottom w:val="none" w:sz="0" w:space="0" w:color="auto"/>
        <w:right w:val="none" w:sz="0" w:space="0" w:color="auto"/>
      </w:divBdr>
    </w:div>
    <w:div w:id="289630639">
      <w:bodyDiv w:val="1"/>
      <w:marLeft w:val="0"/>
      <w:marRight w:val="0"/>
      <w:marTop w:val="0"/>
      <w:marBottom w:val="0"/>
      <w:divBdr>
        <w:top w:val="none" w:sz="0" w:space="0" w:color="auto"/>
        <w:left w:val="none" w:sz="0" w:space="0" w:color="auto"/>
        <w:bottom w:val="none" w:sz="0" w:space="0" w:color="auto"/>
        <w:right w:val="none" w:sz="0" w:space="0" w:color="auto"/>
      </w:divBdr>
    </w:div>
    <w:div w:id="386338547">
      <w:bodyDiv w:val="1"/>
      <w:marLeft w:val="0"/>
      <w:marRight w:val="0"/>
      <w:marTop w:val="0"/>
      <w:marBottom w:val="0"/>
      <w:divBdr>
        <w:top w:val="none" w:sz="0" w:space="0" w:color="auto"/>
        <w:left w:val="none" w:sz="0" w:space="0" w:color="auto"/>
        <w:bottom w:val="none" w:sz="0" w:space="0" w:color="auto"/>
        <w:right w:val="none" w:sz="0" w:space="0" w:color="auto"/>
      </w:divBdr>
    </w:div>
    <w:div w:id="389230845">
      <w:bodyDiv w:val="1"/>
      <w:marLeft w:val="0"/>
      <w:marRight w:val="0"/>
      <w:marTop w:val="0"/>
      <w:marBottom w:val="0"/>
      <w:divBdr>
        <w:top w:val="none" w:sz="0" w:space="0" w:color="auto"/>
        <w:left w:val="none" w:sz="0" w:space="0" w:color="auto"/>
        <w:bottom w:val="none" w:sz="0" w:space="0" w:color="auto"/>
        <w:right w:val="none" w:sz="0" w:space="0" w:color="auto"/>
      </w:divBdr>
    </w:div>
    <w:div w:id="442847676">
      <w:bodyDiv w:val="1"/>
      <w:marLeft w:val="0"/>
      <w:marRight w:val="0"/>
      <w:marTop w:val="0"/>
      <w:marBottom w:val="0"/>
      <w:divBdr>
        <w:top w:val="none" w:sz="0" w:space="0" w:color="auto"/>
        <w:left w:val="none" w:sz="0" w:space="0" w:color="auto"/>
        <w:bottom w:val="none" w:sz="0" w:space="0" w:color="auto"/>
        <w:right w:val="none" w:sz="0" w:space="0" w:color="auto"/>
      </w:divBdr>
    </w:div>
    <w:div w:id="473106340">
      <w:bodyDiv w:val="1"/>
      <w:marLeft w:val="0"/>
      <w:marRight w:val="0"/>
      <w:marTop w:val="0"/>
      <w:marBottom w:val="0"/>
      <w:divBdr>
        <w:top w:val="none" w:sz="0" w:space="0" w:color="auto"/>
        <w:left w:val="none" w:sz="0" w:space="0" w:color="auto"/>
        <w:bottom w:val="none" w:sz="0" w:space="0" w:color="auto"/>
        <w:right w:val="none" w:sz="0" w:space="0" w:color="auto"/>
      </w:divBdr>
    </w:div>
    <w:div w:id="591667968">
      <w:bodyDiv w:val="1"/>
      <w:marLeft w:val="0"/>
      <w:marRight w:val="0"/>
      <w:marTop w:val="0"/>
      <w:marBottom w:val="0"/>
      <w:divBdr>
        <w:top w:val="none" w:sz="0" w:space="0" w:color="auto"/>
        <w:left w:val="none" w:sz="0" w:space="0" w:color="auto"/>
        <w:bottom w:val="none" w:sz="0" w:space="0" w:color="auto"/>
        <w:right w:val="none" w:sz="0" w:space="0" w:color="auto"/>
      </w:divBdr>
    </w:div>
    <w:div w:id="653950572">
      <w:bodyDiv w:val="1"/>
      <w:marLeft w:val="0"/>
      <w:marRight w:val="0"/>
      <w:marTop w:val="0"/>
      <w:marBottom w:val="0"/>
      <w:divBdr>
        <w:top w:val="none" w:sz="0" w:space="0" w:color="auto"/>
        <w:left w:val="none" w:sz="0" w:space="0" w:color="auto"/>
        <w:bottom w:val="none" w:sz="0" w:space="0" w:color="auto"/>
        <w:right w:val="none" w:sz="0" w:space="0" w:color="auto"/>
      </w:divBdr>
    </w:div>
    <w:div w:id="669135748">
      <w:bodyDiv w:val="1"/>
      <w:marLeft w:val="0"/>
      <w:marRight w:val="0"/>
      <w:marTop w:val="0"/>
      <w:marBottom w:val="0"/>
      <w:divBdr>
        <w:top w:val="none" w:sz="0" w:space="0" w:color="auto"/>
        <w:left w:val="none" w:sz="0" w:space="0" w:color="auto"/>
        <w:bottom w:val="none" w:sz="0" w:space="0" w:color="auto"/>
        <w:right w:val="none" w:sz="0" w:space="0" w:color="auto"/>
      </w:divBdr>
    </w:div>
    <w:div w:id="702561575">
      <w:bodyDiv w:val="1"/>
      <w:marLeft w:val="0"/>
      <w:marRight w:val="0"/>
      <w:marTop w:val="0"/>
      <w:marBottom w:val="0"/>
      <w:divBdr>
        <w:top w:val="none" w:sz="0" w:space="0" w:color="auto"/>
        <w:left w:val="none" w:sz="0" w:space="0" w:color="auto"/>
        <w:bottom w:val="none" w:sz="0" w:space="0" w:color="auto"/>
        <w:right w:val="none" w:sz="0" w:space="0" w:color="auto"/>
      </w:divBdr>
    </w:div>
    <w:div w:id="754592798">
      <w:bodyDiv w:val="1"/>
      <w:marLeft w:val="0"/>
      <w:marRight w:val="0"/>
      <w:marTop w:val="0"/>
      <w:marBottom w:val="0"/>
      <w:divBdr>
        <w:top w:val="none" w:sz="0" w:space="0" w:color="auto"/>
        <w:left w:val="none" w:sz="0" w:space="0" w:color="auto"/>
        <w:bottom w:val="none" w:sz="0" w:space="0" w:color="auto"/>
        <w:right w:val="none" w:sz="0" w:space="0" w:color="auto"/>
      </w:divBdr>
    </w:div>
    <w:div w:id="766468296">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193440">
      <w:bodyDiv w:val="1"/>
      <w:marLeft w:val="0"/>
      <w:marRight w:val="0"/>
      <w:marTop w:val="0"/>
      <w:marBottom w:val="0"/>
      <w:divBdr>
        <w:top w:val="none" w:sz="0" w:space="0" w:color="auto"/>
        <w:left w:val="none" w:sz="0" w:space="0" w:color="auto"/>
        <w:bottom w:val="none" w:sz="0" w:space="0" w:color="auto"/>
        <w:right w:val="none" w:sz="0" w:space="0" w:color="auto"/>
      </w:divBdr>
    </w:div>
    <w:div w:id="829561965">
      <w:bodyDiv w:val="1"/>
      <w:marLeft w:val="0"/>
      <w:marRight w:val="0"/>
      <w:marTop w:val="0"/>
      <w:marBottom w:val="0"/>
      <w:divBdr>
        <w:top w:val="none" w:sz="0" w:space="0" w:color="auto"/>
        <w:left w:val="none" w:sz="0" w:space="0" w:color="auto"/>
        <w:bottom w:val="none" w:sz="0" w:space="0" w:color="auto"/>
        <w:right w:val="none" w:sz="0" w:space="0" w:color="auto"/>
      </w:divBdr>
    </w:div>
    <w:div w:id="862867639">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027558">
      <w:bodyDiv w:val="1"/>
      <w:marLeft w:val="0"/>
      <w:marRight w:val="0"/>
      <w:marTop w:val="0"/>
      <w:marBottom w:val="0"/>
      <w:divBdr>
        <w:top w:val="none" w:sz="0" w:space="0" w:color="auto"/>
        <w:left w:val="none" w:sz="0" w:space="0" w:color="auto"/>
        <w:bottom w:val="none" w:sz="0" w:space="0" w:color="auto"/>
        <w:right w:val="none" w:sz="0" w:space="0" w:color="auto"/>
      </w:divBdr>
    </w:div>
    <w:div w:id="1013218773">
      <w:bodyDiv w:val="1"/>
      <w:marLeft w:val="0"/>
      <w:marRight w:val="0"/>
      <w:marTop w:val="0"/>
      <w:marBottom w:val="0"/>
      <w:divBdr>
        <w:top w:val="none" w:sz="0" w:space="0" w:color="auto"/>
        <w:left w:val="none" w:sz="0" w:space="0" w:color="auto"/>
        <w:bottom w:val="none" w:sz="0" w:space="0" w:color="auto"/>
        <w:right w:val="none" w:sz="0" w:space="0" w:color="auto"/>
      </w:divBdr>
    </w:div>
    <w:div w:id="1026323155">
      <w:bodyDiv w:val="1"/>
      <w:marLeft w:val="0"/>
      <w:marRight w:val="0"/>
      <w:marTop w:val="0"/>
      <w:marBottom w:val="0"/>
      <w:divBdr>
        <w:top w:val="none" w:sz="0" w:space="0" w:color="auto"/>
        <w:left w:val="none" w:sz="0" w:space="0" w:color="auto"/>
        <w:bottom w:val="none" w:sz="0" w:space="0" w:color="auto"/>
        <w:right w:val="none" w:sz="0" w:space="0" w:color="auto"/>
      </w:divBdr>
    </w:div>
    <w:div w:id="1030423535">
      <w:bodyDiv w:val="1"/>
      <w:marLeft w:val="0"/>
      <w:marRight w:val="0"/>
      <w:marTop w:val="0"/>
      <w:marBottom w:val="0"/>
      <w:divBdr>
        <w:top w:val="none" w:sz="0" w:space="0" w:color="auto"/>
        <w:left w:val="none" w:sz="0" w:space="0" w:color="auto"/>
        <w:bottom w:val="none" w:sz="0" w:space="0" w:color="auto"/>
        <w:right w:val="none" w:sz="0" w:space="0" w:color="auto"/>
      </w:divBdr>
    </w:div>
    <w:div w:id="1048456462">
      <w:bodyDiv w:val="1"/>
      <w:marLeft w:val="0"/>
      <w:marRight w:val="0"/>
      <w:marTop w:val="0"/>
      <w:marBottom w:val="0"/>
      <w:divBdr>
        <w:top w:val="none" w:sz="0" w:space="0" w:color="auto"/>
        <w:left w:val="none" w:sz="0" w:space="0" w:color="auto"/>
        <w:bottom w:val="none" w:sz="0" w:space="0" w:color="auto"/>
        <w:right w:val="none" w:sz="0" w:space="0" w:color="auto"/>
      </w:divBdr>
    </w:div>
    <w:div w:id="1069380496">
      <w:bodyDiv w:val="1"/>
      <w:marLeft w:val="0"/>
      <w:marRight w:val="0"/>
      <w:marTop w:val="0"/>
      <w:marBottom w:val="0"/>
      <w:divBdr>
        <w:top w:val="none" w:sz="0" w:space="0" w:color="auto"/>
        <w:left w:val="none" w:sz="0" w:space="0" w:color="auto"/>
        <w:bottom w:val="none" w:sz="0" w:space="0" w:color="auto"/>
        <w:right w:val="none" w:sz="0" w:space="0" w:color="auto"/>
      </w:divBdr>
    </w:div>
    <w:div w:id="1090808337">
      <w:bodyDiv w:val="1"/>
      <w:marLeft w:val="0"/>
      <w:marRight w:val="0"/>
      <w:marTop w:val="0"/>
      <w:marBottom w:val="0"/>
      <w:divBdr>
        <w:top w:val="none" w:sz="0" w:space="0" w:color="auto"/>
        <w:left w:val="none" w:sz="0" w:space="0" w:color="auto"/>
        <w:bottom w:val="none" w:sz="0" w:space="0" w:color="auto"/>
        <w:right w:val="none" w:sz="0" w:space="0" w:color="auto"/>
      </w:divBdr>
    </w:div>
    <w:div w:id="1113747105">
      <w:bodyDiv w:val="1"/>
      <w:marLeft w:val="0"/>
      <w:marRight w:val="0"/>
      <w:marTop w:val="0"/>
      <w:marBottom w:val="0"/>
      <w:divBdr>
        <w:top w:val="none" w:sz="0" w:space="0" w:color="auto"/>
        <w:left w:val="none" w:sz="0" w:space="0" w:color="auto"/>
        <w:bottom w:val="none" w:sz="0" w:space="0" w:color="auto"/>
        <w:right w:val="none" w:sz="0" w:space="0" w:color="auto"/>
      </w:divBdr>
    </w:div>
    <w:div w:id="1172645776">
      <w:bodyDiv w:val="1"/>
      <w:marLeft w:val="0"/>
      <w:marRight w:val="0"/>
      <w:marTop w:val="0"/>
      <w:marBottom w:val="0"/>
      <w:divBdr>
        <w:top w:val="none" w:sz="0" w:space="0" w:color="auto"/>
        <w:left w:val="none" w:sz="0" w:space="0" w:color="auto"/>
        <w:bottom w:val="none" w:sz="0" w:space="0" w:color="auto"/>
        <w:right w:val="none" w:sz="0" w:space="0" w:color="auto"/>
      </w:divBdr>
    </w:div>
    <w:div w:id="1214807316">
      <w:bodyDiv w:val="1"/>
      <w:marLeft w:val="0"/>
      <w:marRight w:val="0"/>
      <w:marTop w:val="0"/>
      <w:marBottom w:val="0"/>
      <w:divBdr>
        <w:top w:val="none" w:sz="0" w:space="0" w:color="auto"/>
        <w:left w:val="none" w:sz="0" w:space="0" w:color="auto"/>
        <w:bottom w:val="none" w:sz="0" w:space="0" w:color="auto"/>
        <w:right w:val="none" w:sz="0" w:space="0" w:color="auto"/>
      </w:divBdr>
    </w:div>
    <w:div w:id="1229418675">
      <w:bodyDiv w:val="1"/>
      <w:marLeft w:val="0"/>
      <w:marRight w:val="0"/>
      <w:marTop w:val="0"/>
      <w:marBottom w:val="0"/>
      <w:divBdr>
        <w:top w:val="none" w:sz="0" w:space="0" w:color="auto"/>
        <w:left w:val="none" w:sz="0" w:space="0" w:color="auto"/>
        <w:bottom w:val="none" w:sz="0" w:space="0" w:color="auto"/>
        <w:right w:val="none" w:sz="0" w:space="0" w:color="auto"/>
      </w:divBdr>
    </w:div>
    <w:div w:id="1269771500">
      <w:bodyDiv w:val="1"/>
      <w:marLeft w:val="0"/>
      <w:marRight w:val="0"/>
      <w:marTop w:val="0"/>
      <w:marBottom w:val="0"/>
      <w:divBdr>
        <w:top w:val="none" w:sz="0" w:space="0" w:color="auto"/>
        <w:left w:val="none" w:sz="0" w:space="0" w:color="auto"/>
        <w:bottom w:val="none" w:sz="0" w:space="0" w:color="auto"/>
        <w:right w:val="none" w:sz="0" w:space="0" w:color="auto"/>
      </w:divBdr>
    </w:div>
    <w:div w:id="1279068027">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18091486">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36251311">
      <w:bodyDiv w:val="1"/>
      <w:marLeft w:val="0"/>
      <w:marRight w:val="0"/>
      <w:marTop w:val="0"/>
      <w:marBottom w:val="0"/>
      <w:divBdr>
        <w:top w:val="none" w:sz="0" w:space="0" w:color="auto"/>
        <w:left w:val="none" w:sz="0" w:space="0" w:color="auto"/>
        <w:bottom w:val="none" w:sz="0" w:space="0" w:color="auto"/>
        <w:right w:val="none" w:sz="0" w:space="0" w:color="auto"/>
      </w:divBdr>
    </w:div>
    <w:div w:id="1440838196">
      <w:bodyDiv w:val="1"/>
      <w:marLeft w:val="0"/>
      <w:marRight w:val="0"/>
      <w:marTop w:val="0"/>
      <w:marBottom w:val="0"/>
      <w:divBdr>
        <w:top w:val="none" w:sz="0" w:space="0" w:color="auto"/>
        <w:left w:val="none" w:sz="0" w:space="0" w:color="auto"/>
        <w:bottom w:val="none" w:sz="0" w:space="0" w:color="auto"/>
        <w:right w:val="none" w:sz="0" w:space="0" w:color="auto"/>
      </w:divBdr>
    </w:div>
    <w:div w:id="144973578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30684301">
      <w:bodyDiv w:val="1"/>
      <w:marLeft w:val="0"/>
      <w:marRight w:val="0"/>
      <w:marTop w:val="0"/>
      <w:marBottom w:val="0"/>
      <w:divBdr>
        <w:top w:val="none" w:sz="0" w:space="0" w:color="auto"/>
        <w:left w:val="none" w:sz="0" w:space="0" w:color="auto"/>
        <w:bottom w:val="none" w:sz="0" w:space="0" w:color="auto"/>
        <w:right w:val="none" w:sz="0" w:space="0" w:color="auto"/>
      </w:divBdr>
    </w:div>
    <w:div w:id="1552889479">
      <w:bodyDiv w:val="1"/>
      <w:marLeft w:val="0"/>
      <w:marRight w:val="0"/>
      <w:marTop w:val="0"/>
      <w:marBottom w:val="0"/>
      <w:divBdr>
        <w:top w:val="none" w:sz="0" w:space="0" w:color="auto"/>
        <w:left w:val="none" w:sz="0" w:space="0" w:color="auto"/>
        <w:bottom w:val="none" w:sz="0" w:space="0" w:color="auto"/>
        <w:right w:val="none" w:sz="0" w:space="0" w:color="auto"/>
      </w:divBdr>
    </w:div>
    <w:div w:id="1561863847">
      <w:bodyDiv w:val="1"/>
      <w:marLeft w:val="0"/>
      <w:marRight w:val="0"/>
      <w:marTop w:val="0"/>
      <w:marBottom w:val="0"/>
      <w:divBdr>
        <w:top w:val="none" w:sz="0" w:space="0" w:color="auto"/>
        <w:left w:val="none" w:sz="0" w:space="0" w:color="auto"/>
        <w:bottom w:val="none" w:sz="0" w:space="0" w:color="auto"/>
        <w:right w:val="none" w:sz="0" w:space="0" w:color="auto"/>
      </w:divBdr>
    </w:div>
    <w:div w:id="1669599886">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05666">
      <w:bodyDiv w:val="1"/>
      <w:marLeft w:val="0"/>
      <w:marRight w:val="0"/>
      <w:marTop w:val="0"/>
      <w:marBottom w:val="0"/>
      <w:divBdr>
        <w:top w:val="none" w:sz="0" w:space="0" w:color="auto"/>
        <w:left w:val="none" w:sz="0" w:space="0" w:color="auto"/>
        <w:bottom w:val="none" w:sz="0" w:space="0" w:color="auto"/>
        <w:right w:val="none" w:sz="0" w:space="0" w:color="auto"/>
      </w:divBdr>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895697170">
      <w:bodyDiv w:val="1"/>
      <w:marLeft w:val="0"/>
      <w:marRight w:val="0"/>
      <w:marTop w:val="0"/>
      <w:marBottom w:val="0"/>
      <w:divBdr>
        <w:top w:val="none" w:sz="0" w:space="0" w:color="auto"/>
        <w:left w:val="none" w:sz="0" w:space="0" w:color="auto"/>
        <w:bottom w:val="none" w:sz="0" w:space="0" w:color="auto"/>
        <w:right w:val="none" w:sz="0" w:space="0" w:color="auto"/>
      </w:divBdr>
    </w:div>
    <w:div w:id="1960640990">
      <w:bodyDiv w:val="1"/>
      <w:marLeft w:val="0"/>
      <w:marRight w:val="0"/>
      <w:marTop w:val="0"/>
      <w:marBottom w:val="0"/>
      <w:divBdr>
        <w:top w:val="none" w:sz="0" w:space="0" w:color="auto"/>
        <w:left w:val="none" w:sz="0" w:space="0" w:color="auto"/>
        <w:bottom w:val="none" w:sz="0" w:space="0" w:color="auto"/>
        <w:right w:val="none" w:sz="0" w:space="0" w:color="auto"/>
      </w:divBdr>
    </w:div>
    <w:div w:id="1999993937">
      <w:bodyDiv w:val="1"/>
      <w:marLeft w:val="0"/>
      <w:marRight w:val="0"/>
      <w:marTop w:val="0"/>
      <w:marBottom w:val="0"/>
      <w:divBdr>
        <w:top w:val="none" w:sz="0" w:space="0" w:color="auto"/>
        <w:left w:val="none" w:sz="0" w:space="0" w:color="auto"/>
        <w:bottom w:val="none" w:sz="0" w:space="0" w:color="auto"/>
        <w:right w:val="none" w:sz="0" w:space="0" w:color="auto"/>
      </w:divBdr>
    </w:div>
    <w:div w:id="2050911953">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7568</Words>
  <Characters>43138</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Dipartimento CMIC - Politecnico di Milano</Company>
  <LinksUpToDate>false</LinksUpToDate>
  <CharactersWithSpaces>50605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66</cp:revision>
  <cp:lastPrinted>2015-05-12T18:31:00Z</cp:lastPrinted>
  <dcterms:created xsi:type="dcterms:W3CDTF">2024-12-11T15:02:00Z</dcterms:created>
  <dcterms:modified xsi:type="dcterms:W3CDTF">2025-04-16T11:44:00Z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id="14GKPNnT"/&gt;&lt;style id="http://www.zotero.org/styles/computers-and-chemical-engineering" hasBibliography="1" bibliographyStyleHasBeenSet="1"/&gt;&lt;prefs&gt;&lt;pref name="fieldType" value="Field"/&gt;&lt;pref name</vt:lpwstr>
  </property>
  <property fmtid="{D5CDD505-2E9C-101B-9397-08002B2CF9AE}" pid="3" name="ZOTERO_PREF_2">
    <vt:lpwstr>="storeReferences" value="true"/&gt;&lt;/prefs&gt;&lt;/data&gt;</vt:lpwstr>
  </property>
</Properties>
</file>