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608778F3" w:rsidR="005C1A57" w:rsidRPr="00B81DCD" w:rsidRDefault="0025590A" w:rsidP="00591C6C">
      <w:pPr>
        <w:pStyle w:val="BOATitle"/>
        <w:rPr>
          <w:rFonts w:eastAsia="MS PGothic"/>
        </w:rPr>
      </w:pPr>
      <w:bookmarkStart w:id="0" w:name="_Hlk197343106"/>
      <w:bookmarkEnd w:id="0"/>
      <w:r w:rsidRPr="00B81DCD">
        <w:rPr>
          <w:rFonts w:eastAsia="MS PGothic"/>
        </w:rPr>
        <w:t>Identification of critical inputs in QRA studies using Monte Carlo-based sensitivity analysis</w:t>
      </w:r>
    </w:p>
    <w:p w14:paraId="29E2E91E" w14:textId="791AD8A6" w:rsidR="005C1A57" w:rsidRPr="00B81DCD" w:rsidRDefault="003115DB" w:rsidP="00591C6C">
      <w:pPr>
        <w:pStyle w:val="BOAAuthors"/>
        <w:rPr>
          <w:rFonts w:eastAsia="MS PGothic"/>
          <w:vertAlign w:val="superscript"/>
        </w:rPr>
      </w:pPr>
      <w:r w:rsidRPr="00B81DCD">
        <w:rPr>
          <w:rFonts w:eastAsia="SimSun"/>
        </w:rPr>
        <w:t>Mercedes Belda-Ley</w:t>
      </w:r>
      <w:r w:rsidR="005A4E79" w:rsidRPr="00B81DCD">
        <w:rPr>
          <w:rFonts w:eastAsia="SimSun"/>
          <w:vertAlign w:val="superscript"/>
        </w:rPr>
        <w:t>1</w:t>
      </w:r>
      <w:r w:rsidR="00BF1C27" w:rsidRPr="00B81DCD">
        <w:rPr>
          <w:rFonts w:eastAsia="SimSun"/>
          <w:vertAlign w:val="superscript"/>
        </w:rPr>
        <w:t>,*</w:t>
      </w:r>
      <w:r w:rsidR="005C1A57" w:rsidRPr="00B81DCD">
        <w:rPr>
          <w:rFonts w:eastAsia="SimSun"/>
        </w:rPr>
        <w:t xml:space="preserve">, </w:t>
      </w:r>
      <w:r w:rsidRPr="00B81DCD">
        <w:rPr>
          <w:rFonts w:eastAsia="SimSun"/>
        </w:rPr>
        <w:t>Gürkan Sin</w:t>
      </w:r>
      <w:r w:rsidR="005A4E79" w:rsidRPr="00B81DCD">
        <w:rPr>
          <w:rFonts w:eastAsia="SimSun"/>
          <w:vertAlign w:val="superscript"/>
        </w:rPr>
        <w:t>1</w:t>
      </w:r>
    </w:p>
    <w:p w14:paraId="0115F7AC" w14:textId="72A2DA6C" w:rsidR="005C1A57" w:rsidRPr="00B81DCD" w:rsidRDefault="005C1A57" w:rsidP="00591C6C">
      <w:pPr>
        <w:pStyle w:val="BOAAddress"/>
        <w:rPr>
          <w:rFonts w:eastAsia="MS PGothic"/>
          <w:i w:val="0"/>
        </w:rPr>
      </w:pPr>
      <w:r w:rsidRPr="00B81DCD">
        <w:rPr>
          <w:rFonts w:eastAsia="MS PGothic"/>
        </w:rPr>
        <w:t xml:space="preserve">1 </w:t>
      </w:r>
      <w:r w:rsidR="005A4E79" w:rsidRPr="00B81DCD">
        <w:rPr>
          <w:rFonts w:eastAsia="MS PGothic"/>
        </w:rPr>
        <w:t>PROSYS, Department of Chemical and Biochemical Engineering, Technical University of Denmark, Kgs. Lyngby, DK-2800, Denmark</w:t>
      </w:r>
    </w:p>
    <w:p w14:paraId="42CB37CF" w14:textId="473234FE" w:rsidR="005C1A57" w:rsidRPr="00B81DCD" w:rsidRDefault="00055533" w:rsidP="00591C6C">
      <w:pPr>
        <w:pStyle w:val="BOAemail"/>
        <w:rPr>
          <w:rFonts w:eastAsia="MS PGothic"/>
        </w:rPr>
      </w:pPr>
      <w:r w:rsidRPr="00B81DCD">
        <w:rPr>
          <w:rFonts w:eastAsia="MS PGothic"/>
        </w:rPr>
        <w:t>*</w:t>
      </w:r>
      <w:r w:rsidR="005C1A57" w:rsidRPr="00B81DCD">
        <w:rPr>
          <w:rFonts w:eastAsia="MS PGothic"/>
        </w:rPr>
        <w:t>Corresponding author</w:t>
      </w:r>
      <w:r w:rsidR="005C1A57" w:rsidRPr="00B81DCD">
        <w:rPr>
          <w:rFonts w:eastAsia="MS PGothic"/>
          <w:lang w:eastAsia="ko-KR"/>
        </w:rPr>
        <w:t xml:space="preserve"> E-Mail: </w:t>
      </w:r>
      <w:r w:rsidR="005C1A57" w:rsidRPr="00B81DCD">
        <w:rPr>
          <w:rFonts w:eastAsia="MS PGothic"/>
        </w:rPr>
        <w:t xml:space="preserve"> </w:t>
      </w:r>
      <w:r w:rsidR="00400FFC" w:rsidRPr="00B81DCD">
        <w:rPr>
          <w:rFonts w:eastAsia="MS PGothic"/>
        </w:rPr>
        <w:t>mbele@kt.dtu.dk</w:t>
      </w:r>
    </w:p>
    <w:p w14:paraId="7D788354" w14:textId="77777777" w:rsidR="005C1A57" w:rsidRPr="00B81DCD" w:rsidRDefault="005C1A57" w:rsidP="00F879FE">
      <w:pPr>
        <w:pStyle w:val="BOAHeading"/>
        <w:rPr>
          <w:lang w:val="en-GB"/>
        </w:rPr>
      </w:pPr>
      <w:r w:rsidRPr="00B81DCD">
        <w:rPr>
          <w:lang w:val="en-GB"/>
        </w:rPr>
        <w:t>1. Introduction</w:t>
      </w:r>
    </w:p>
    <w:p w14:paraId="43ADEF16" w14:textId="03F5F994" w:rsidR="001E0B76" w:rsidRPr="00B81DCD" w:rsidRDefault="001D67F7" w:rsidP="001D67F7">
      <w:pPr>
        <w:pStyle w:val="BOAAbstractBody"/>
        <w:rPr>
          <w:rFonts w:eastAsia="MS PGothic"/>
          <w:lang w:val="en-GB"/>
        </w:rPr>
      </w:pPr>
      <w:r w:rsidRPr="00B81DCD">
        <w:rPr>
          <w:rFonts w:eastAsia="MS PGothic"/>
          <w:lang w:val="en-GB"/>
        </w:rPr>
        <w:t xml:space="preserve">Quantitative Risk Assessment (QRA) is a well-established methodology used in different fields to identify, quantify and evaluate the risks associated with human and industrial activities. It provides a structured and extensive approach to calculate risk values, providing as a result the ability to identify major risk contributors and </w:t>
      </w:r>
      <w:r w:rsidR="00902AE6" w:rsidRPr="00B81DCD">
        <w:rPr>
          <w:rFonts w:eastAsia="MS PGothic"/>
          <w:lang w:val="en-GB"/>
        </w:rPr>
        <w:t xml:space="preserve">to </w:t>
      </w:r>
      <w:r w:rsidR="00777A73" w:rsidRPr="00B81DCD">
        <w:rPr>
          <w:rFonts w:eastAsia="MS PGothic"/>
          <w:lang w:val="en-GB"/>
        </w:rPr>
        <w:t>assist</w:t>
      </w:r>
      <w:r w:rsidRPr="00B81DCD">
        <w:rPr>
          <w:rFonts w:eastAsia="MS PGothic"/>
          <w:lang w:val="en-GB"/>
        </w:rPr>
        <w:t xml:space="preserve"> with decision-making among others. Owed to its extensiveness and complexity, numerous decisions and assumptions are to be made throughout its execution. With the intention of harmonizing and facilitating the execution of QRAs, multiple guidelines and methodologies have been </w:t>
      </w:r>
      <w:r w:rsidR="00F35B58" w:rsidRPr="00B81DCD">
        <w:rPr>
          <w:rFonts w:eastAsia="MS PGothic"/>
          <w:lang w:val="en-GB"/>
        </w:rPr>
        <w:t>developed. H</w:t>
      </w:r>
      <w:r w:rsidRPr="00B81DCD">
        <w:rPr>
          <w:rFonts w:eastAsia="MS PGothic"/>
          <w:lang w:val="en-GB"/>
        </w:rPr>
        <w:t>owever, these diverge depending on the country, region, and can further be translated differently by each risk analyst, aggravating the uncertainty in the estimation of QRA results. Consequently, QRA reliability has frequently been questioned, reiterating and analysing its – inherent – uncertainties and related implications (e.g., Rae et al., 2014). This scrutiny has led to</w:t>
      </w:r>
      <w:r w:rsidR="000F3B49" w:rsidRPr="00B81DCD">
        <w:rPr>
          <w:rFonts w:eastAsia="MS PGothic"/>
          <w:lang w:val="en-GB"/>
        </w:rPr>
        <w:t xml:space="preserve"> proposing and</w:t>
      </w:r>
      <w:r w:rsidRPr="00B81DCD">
        <w:rPr>
          <w:rFonts w:eastAsia="MS PGothic"/>
          <w:lang w:val="en-GB"/>
        </w:rPr>
        <w:t xml:space="preserve"> developing diverse strategies for treating its uncertainty (e.g., Abrahamsson, 2002; Xu et al., 2023)</w:t>
      </w:r>
      <w:r w:rsidR="00614A7C" w:rsidRPr="00B81DCD">
        <w:rPr>
          <w:rFonts w:eastAsia="MS PGothic"/>
          <w:lang w:val="en-GB"/>
        </w:rPr>
        <w:t xml:space="preserve"> as well as discussing the </w:t>
      </w:r>
      <w:r w:rsidR="00ED67A8" w:rsidRPr="00B81DCD">
        <w:rPr>
          <w:rFonts w:eastAsia="MS PGothic"/>
          <w:lang w:val="en-GB"/>
        </w:rPr>
        <w:t xml:space="preserve">role of sensitivity analysis in </w:t>
      </w:r>
      <w:r w:rsidR="00F35CB6" w:rsidRPr="00B81DCD">
        <w:rPr>
          <w:rFonts w:eastAsia="MS PGothic"/>
          <w:lang w:val="en-GB"/>
        </w:rPr>
        <w:t>QRA</w:t>
      </w:r>
      <w:r w:rsidR="00226EFA" w:rsidRPr="00B81DCD">
        <w:rPr>
          <w:rFonts w:eastAsia="MS PGothic"/>
          <w:lang w:val="en-GB"/>
        </w:rPr>
        <w:t xml:space="preserve"> (</w:t>
      </w:r>
      <w:r w:rsidR="00C6690D" w:rsidRPr="00B81DCD">
        <w:rPr>
          <w:rFonts w:eastAsia="MS PGothic"/>
          <w:lang w:val="en-GB"/>
        </w:rPr>
        <w:t xml:space="preserve">e.g., </w:t>
      </w:r>
      <w:r w:rsidR="00226EFA" w:rsidRPr="00B81DCD">
        <w:rPr>
          <w:rFonts w:eastAsia="MS PGothic"/>
          <w:lang w:val="en-GB"/>
        </w:rPr>
        <w:t>Flage and Aven, 2009)</w:t>
      </w:r>
      <w:r w:rsidR="002C7D58" w:rsidRPr="00B81DCD">
        <w:rPr>
          <w:rFonts w:eastAsia="MS PGothic"/>
          <w:lang w:val="en-GB"/>
        </w:rPr>
        <w:t>.</w:t>
      </w:r>
      <w:r w:rsidR="000D6E15" w:rsidRPr="00B81DCD">
        <w:rPr>
          <w:rFonts w:eastAsia="MS PGothic"/>
          <w:lang w:val="en-GB"/>
        </w:rPr>
        <w:t xml:space="preserve"> </w:t>
      </w:r>
    </w:p>
    <w:p w14:paraId="367EC4D3" w14:textId="77777777" w:rsidR="00ED4C5F" w:rsidRPr="00B81DCD" w:rsidRDefault="00ED4C5F" w:rsidP="001D67F7">
      <w:pPr>
        <w:pStyle w:val="BOAAbstractBody"/>
        <w:rPr>
          <w:rFonts w:eastAsia="MS PGothic"/>
          <w:lang w:val="en-GB"/>
        </w:rPr>
      </w:pPr>
    </w:p>
    <w:p w14:paraId="5FAD8E61" w14:textId="1E1BEEDA" w:rsidR="0021387B" w:rsidRPr="00B81DCD" w:rsidRDefault="00276C3E" w:rsidP="00482C8D">
      <w:pPr>
        <w:pStyle w:val="BOAAbstractBody"/>
        <w:rPr>
          <w:rFonts w:eastAsia="MS PGothic"/>
          <w:lang w:val="en-GB"/>
        </w:rPr>
      </w:pPr>
      <w:r w:rsidRPr="00B81DCD">
        <w:rPr>
          <w:rFonts w:eastAsia="MS PGothic"/>
          <w:bCs/>
          <w:lang w:val="en-GB"/>
        </w:rPr>
        <w:t>In this context, the Monte Carlo</w:t>
      </w:r>
      <w:r w:rsidR="00B616AC" w:rsidRPr="00B81DCD">
        <w:rPr>
          <w:rFonts w:eastAsia="MS PGothic"/>
          <w:bCs/>
          <w:lang w:val="en-GB"/>
        </w:rPr>
        <w:t xml:space="preserve"> </w:t>
      </w:r>
      <w:r w:rsidRPr="00B81DCD">
        <w:rPr>
          <w:rFonts w:eastAsia="MS PGothic"/>
          <w:bCs/>
          <w:lang w:val="en-GB"/>
        </w:rPr>
        <w:t xml:space="preserve">(MC) methods provide a suitable framework for performing uncertainty analysis to complex problems (Sin and </w:t>
      </w:r>
      <w:proofErr w:type="spellStart"/>
      <w:r w:rsidRPr="00B81DCD">
        <w:rPr>
          <w:rFonts w:eastAsia="MS PGothic"/>
          <w:bCs/>
          <w:lang w:val="en-GB"/>
        </w:rPr>
        <w:t>Espuña</w:t>
      </w:r>
      <w:proofErr w:type="spellEnd"/>
      <w:r w:rsidRPr="00B81DCD">
        <w:rPr>
          <w:rFonts w:eastAsia="MS PGothic"/>
          <w:bCs/>
          <w:lang w:val="en-GB"/>
        </w:rPr>
        <w:t>, 2020) where the description of the context, e.g., possible inputs, can be highly uncertain, as is the case for QRA (Abrahamsson, 2002; Li et al., 2022). Instinctively, these methods also serve as an effective framework for sensitivity analysis, since it is closely related to uncertainty analysis.</w:t>
      </w:r>
      <w:r w:rsidR="00C6690D" w:rsidRPr="00B81DCD">
        <w:rPr>
          <w:rFonts w:eastAsia="MS PGothic"/>
          <w:lang w:val="en-GB"/>
        </w:rPr>
        <w:t xml:space="preserve"> MC</w:t>
      </w:r>
      <w:r w:rsidR="00502E99" w:rsidRPr="00B81DCD">
        <w:rPr>
          <w:rFonts w:eastAsia="MS PGothic"/>
          <w:lang w:val="en-GB"/>
        </w:rPr>
        <w:t>-</w:t>
      </w:r>
      <w:r w:rsidR="00C6690D" w:rsidRPr="00B81DCD">
        <w:rPr>
          <w:rFonts w:eastAsia="MS PGothic"/>
          <w:lang w:val="en-GB"/>
        </w:rPr>
        <w:t xml:space="preserve">based sensitivity analysis has been applied to specific </w:t>
      </w:r>
      <w:r w:rsidR="00332F33" w:rsidRPr="00B81DCD">
        <w:rPr>
          <w:rFonts w:eastAsia="MS PGothic"/>
          <w:lang w:val="en-GB"/>
        </w:rPr>
        <w:t>sections</w:t>
      </w:r>
      <w:r w:rsidR="00C6690D" w:rsidRPr="00B81DCD">
        <w:rPr>
          <w:rFonts w:eastAsia="MS PGothic"/>
          <w:lang w:val="en-GB"/>
        </w:rPr>
        <w:t xml:space="preserve"> compos</w:t>
      </w:r>
      <w:r w:rsidR="00332F33" w:rsidRPr="00B81DCD">
        <w:rPr>
          <w:rFonts w:eastAsia="MS PGothic"/>
          <w:lang w:val="en-GB"/>
        </w:rPr>
        <w:t>ing</w:t>
      </w:r>
      <w:r w:rsidR="00C6690D" w:rsidRPr="00B81DCD">
        <w:rPr>
          <w:rFonts w:eastAsia="MS PGothic"/>
          <w:lang w:val="en-GB"/>
        </w:rPr>
        <w:t xml:space="preserve"> QRA </w:t>
      </w:r>
      <w:r w:rsidR="00332F33" w:rsidRPr="00B81DCD">
        <w:rPr>
          <w:rFonts w:eastAsia="MS PGothic"/>
          <w:lang w:val="en-GB"/>
        </w:rPr>
        <w:t>in</w:t>
      </w:r>
      <w:r w:rsidR="00C6690D" w:rsidRPr="00B81DCD">
        <w:rPr>
          <w:rFonts w:eastAsia="MS PGothic"/>
          <w:lang w:val="en-GB"/>
        </w:rPr>
        <w:t xml:space="preserve"> Pandya</w:t>
      </w:r>
      <w:r w:rsidR="00307BEC" w:rsidRPr="00B81DCD">
        <w:rPr>
          <w:rFonts w:eastAsia="MS PGothic"/>
          <w:lang w:val="en-GB"/>
        </w:rPr>
        <w:t xml:space="preserve"> et al. (</w:t>
      </w:r>
      <w:r w:rsidR="00C6690D" w:rsidRPr="00B81DCD">
        <w:rPr>
          <w:rFonts w:eastAsia="MS PGothic"/>
          <w:lang w:val="en-GB"/>
        </w:rPr>
        <w:t>20</w:t>
      </w:r>
      <w:r w:rsidR="00405185" w:rsidRPr="00B81DCD">
        <w:rPr>
          <w:rFonts w:eastAsia="MS PGothic"/>
          <w:lang w:val="en-GB"/>
        </w:rPr>
        <w:t>12</w:t>
      </w:r>
      <w:r w:rsidR="00307BEC" w:rsidRPr="00B81DCD">
        <w:rPr>
          <w:rFonts w:eastAsia="MS PGothic"/>
          <w:lang w:val="en-GB"/>
        </w:rPr>
        <w:t>)</w:t>
      </w:r>
      <w:r w:rsidR="00C6690D" w:rsidRPr="00B81DCD">
        <w:rPr>
          <w:rFonts w:eastAsia="MS PGothic"/>
          <w:lang w:val="en-GB"/>
        </w:rPr>
        <w:t>, howeve</w:t>
      </w:r>
      <w:r w:rsidR="00332F33" w:rsidRPr="00B81DCD">
        <w:rPr>
          <w:rFonts w:eastAsia="MS PGothic"/>
          <w:lang w:val="en-GB"/>
        </w:rPr>
        <w:t xml:space="preserve">r, the focus of this work </w:t>
      </w:r>
      <w:r w:rsidR="007642C8" w:rsidRPr="00B81DCD">
        <w:rPr>
          <w:rFonts w:eastAsia="MS PGothic"/>
          <w:lang w:val="en-GB"/>
        </w:rPr>
        <w:t>wa</w:t>
      </w:r>
      <w:r w:rsidR="00332F33" w:rsidRPr="00B81DCD">
        <w:rPr>
          <w:rFonts w:eastAsia="MS PGothic"/>
          <w:lang w:val="en-GB"/>
        </w:rPr>
        <w:t xml:space="preserve">s </w:t>
      </w:r>
      <w:r w:rsidR="0099763B" w:rsidRPr="00B81DCD">
        <w:rPr>
          <w:rFonts w:eastAsia="MS PGothic"/>
          <w:lang w:val="en-GB"/>
        </w:rPr>
        <w:t xml:space="preserve">set on analysing the influence of model parameters in the calculated output. </w:t>
      </w:r>
    </w:p>
    <w:p w14:paraId="6C70AFC7" w14:textId="77777777" w:rsidR="00ED4C5F" w:rsidRPr="00B81DCD" w:rsidRDefault="00ED4C5F" w:rsidP="00482C8D">
      <w:pPr>
        <w:pStyle w:val="BOAAbstractBody"/>
        <w:rPr>
          <w:rFonts w:eastAsia="MS PGothic"/>
          <w:lang w:val="en-GB"/>
        </w:rPr>
      </w:pPr>
    </w:p>
    <w:p w14:paraId="316F6D5D" w14:textId="7196A759" w:rsidR="001E0B76" w:rsidRPr="00B81DCD" w:rsidRDefault="0021387B" w:rsidP="001D67F7">
      <w:pPr>
        <w:pStyle w:val="BOAAbstractBody"/>
        <w:rPr>
          <w:rFonts w:eastAsia="MS PGothic"/>
          <w:bCs/>
          <w:lang w:val="en-GB"/>
        </w:rPr>
      </w:pPr>
      <w:r w:rsidRPr="00B81DCD">
        <w:rPr>
          <w:rFonts w:eastAsia="MS PGothic"/>
          <w:lang w:val="en-GB"/>
        </w:rPr>
        <w:t>This</w:t>
      </w:r>
      <w:r w:rsidR="00DA6308" w:rsidRPr="00B81DCD">
        <w:rPr>
          <w:rFonts w:eastAsia="MS PGothic"/>
          <w:lang w:val="en-GB"/>
        </w:rPr>
        <w:t xml:space="preserve"> study </w:t>
      </w:r>
      <w:r w:rsidR="004202BD" w:rsidRPr="00B81DCD">
        <w:rPr>
          <w:rFonts w:eastAsia="MS PGothic"/>
          <w:lang w:val="en-GB"/>
        </w:rPr>
        <w:t>presents an initial framework for applying MC-based</w:t>
      </w:r>
      <w:r w:rsidR="00AF5E9E">
        <w:rPr>
          <w:rFonts w:eastAsia="MS PGothic"/>
          <w:lang w:val="en-GB"/>
        </w:rPr>
        <w:t xml:space="preserve"> Global</w:t>
      </w:r>
      <w:r w:rsidR="004202BD" w:rsidRPr="00B81DCD">
        <w:rPr>
          <w:rFonts w:eastAsia="MS PGothic"/>
          <w:lang w:val="en-GB"/>
        </w:rPr>
        <w:t xml:space="preserve"> Sensitivity Analysis (</w:t>
      </w:r>
      <w:r w:rsidR="00AF5E9E">
        <w:rPr>
          <w:rFonts w:eastAsia="MS PGothic"/>
          <w:lang w:val="en-GB"/>
        </w:rPr>
        <w:t>G</w:t>
      </w:r>
      <w:r w:rsidR="004202BD" w:rsidRPr="00B81DCD">
        <w:rPr>
          <w:rFonts w:eastAsia="MS PGothic"/>
          <w:lang w:val="en-GB"/>
        </w:rPr>
        <w:t>SA) to QRA with the goal of pinpointing the most critical input parameters driving uncertainty in risk estimates</w:t>
      </w:r>
      <w:r w:rsidR="00EA539B" w:rsidRPr="00B81DCD">
        <w:rPr>
          <w:rFonts w:eastAsia="MS PGothic"/>
          <w:lang w:val="en-GB"/>
        </w:rPr>
        <w:t>. T</w:t>
      </w:r>
      <w:r w:rsidR="00DA6308" w:rsidRPr="00B81DCD">
        <w:rPr>
          <w:rFonts w:eastAsia="MS PGothic"/>
          <w:lang w:val="en-GB"/>
        </w:rPr>
        <w:t xml:space="preserve">he aim is to </w:t>
      </w:r>
      <w:r w:rsidR="00EA539B" w:rsidRPr="00B81DCD">
        <w:rPr>
          <w:rFonts w:eastAsia="MS PGothic"/>
          <w:lang w:val="en-GB"/>
        </w:rPr>
        <w:t>quantify the</w:t>
      </w:r>
      <w:r w:rsidR="00482C8D" w:rsidRPr="00B81DCD">
        <w:rPr>
          <w:rFonts w:eastAsia="MS PGothic"/>
          <w:lang w:val="en-GB"/>
        </w:rPr>
        <w:t xml:space="preserve"> contribution of individual input uncertainties to the variance of the overall risk outputs, </w:t>
      </w:r>
      <w:r w:rsidRPr="00B81DCD">
        <w:rPr>
          <w:rFonts w:eastAsia="MS PGothic"/>
          <w:lang w:val="en-GB"/>
        </w:rPr>
        <w:t xml:space="preserve">i.e., the </w:t>
      </w:r>
      <w:r w:rsidR="00531227" w:rsidRPr="00B81DCD">
        <w:rPr>
          <w:rFonts w:eastAsia="MS PGothic"/>
          <w:lang w:val="en-GB"/>
        </w:rPr>
        <w:t>impact</w:t>
      </w:r>
      <w:r w:rsidRPr="00B81DCD">
        <w:rPr>
          <w:rFonts w:eastAsia="MS PGothic"/>
          <w:lang w:val="en-GB"/>
        </w:rPr>
        <w:t xml:space="preserve"> that the</w:t>
      </w:r>
      <w:r w:rsidR="002B2956" w:rsidRPr="00B81DCD">
        <w:rPr>
          <w:rFonts w:eastAsia="MS PGothic"/>
          <w:lang w:val="en-GB"/>
        </w:rPr>
        <w:t xml:space="preserve"> assumptions and decisions made throughout the QRA st</w:t>
      </w:r>
      <w:r w:rsidR="00124747" w:rsidRPr="00B81DCD">
        <w:rPr>
          <w:rFonts w:eastAsia="MS PGothic"/>
          <w:lang w:val="en-GB"/>
        </w:rPr>
        <w:t>udies</w:t>
      </w:r>
      <w:r w:rsidRPr="00B81DCD">
        <w:rPr>
          <w:rFonts w:eastAsia="MS PGothic"/>
          <w:lang w:val="en-GB"/>
        </w:rPr>
        <w:t xml:space="preserve"> </w:t>
      </w:r>
      <w:r w:rsidR="00531227" w:rsidRPr="00B81DCD">
        <w:rPr>
          <w:rFonts w:eastAsia="MS PGothic"/>
          <w:lang w:val="en-GB"/>
        </w:rPr>
        <w:t>may</w:t>
      </w:r>
      <w:r w:rsidRPr="00B81DCD">
        <w:rPr>
          <w:rFonts w:eastAsia="MS PGothic"/>
          <w:lang w:val="en-GB"/>
        </w:rPr>
        <w:t xml:space="preserve"> have in the calculated output</w:t>
      </w:r>
      <w:r w:rsidR="00124747" w:rsidRPr="00B81DCD">
        <w:rPr>
          <w:rFonts w:eastAsia="MS PGothic"/>
          <w:lang w:val="en-GB"/>
        </w:rPr>
        <w:t xml:space="preserve">. </w:t>
      </w:r>
    </w:p>
    <w:p w14:paraId="783EC6E6" w14:textId="77777777" w:rsidR="005C1A57" w:rsidRPr="00B81DCD" w:rsidRDefault="005C1A57" w:rsidP="00F879FE">
      <w:pPr>
        <w:pStyle w:val="BOAHeading"/>
        <w:rPr>
          <w:lang w:val="en-GB"/>
        </w:rPr>
      </w:pPr>
      <w:r w:rsidRPr="00B81DCD">
        <w:rPr>
          <w:lang w:val="en-GB"/>
        </w:rPr>
        <w:t>2. Methods</w:t>
      </w:r>
    </w:p>
    <w:p w14:paraId="08993A9F" w14:textId="73C4780D" w:rsidR="00AA772F" w:rsidRPr="00B81DCD" w:rsidRDefault="00EA4097" w:rsidP="001D67F7">
      <w:pPr>
        <w:pStyle w:val="BOAAbstractBody"/>
        <w:rPr>
          <w:rFonts w:cs="Arial"/>
          <w:szCs w:val="18"/>
          <w:lang w:val="en-GB"/>
        </w:rPr>
      </w:pPr>
      <w:r w:rsidRPr="00B81DCD">
        <w:rPr>
          <w:rFonts w:eastAsia="MS PGothic"/>
          <w:lang w:val="en-GB"/>
        </w:rPr>
        <w:t>T</w:t>
      </w:r>
      <w:r w:rsidR="00580354" w:rsidRPr="00B81DCD">
        <w:rPr>
          <w:rFonts w:eastAsia="MS PGothic"/>
          <w:lang w:val="en-GB"/>
        </w:rPr>
        <w:t xml:space="preserve">his study </w:t>
      </w:r>
      <w:r w:rsidR="004A7607" w:rsidRPr="00B81DCD">
        <w:rPr>
          <w:rFonts w:eastAsia="MS PGothic"/>
          <w:lang w:val="en-GB"/>
        </w:rPr>
        <w:t>examines</w:t>
      </w:r>
      <w:r w:rsidR="00580354" w:rsidRPr="00B81DCD">
        <w:rPr>
          <w:rFonts w:eastAsia="MS PGothic"/>
          <w:lang w:val="en-GB"/>
        </w:rPr>
        <w:t xml:space="preserve"> </w:t>
      </w:r>
      <w:r w:rsidR="00905D08" w:rsidRPr="00B81DCD">
        <w:rPr>
          <w:rFonts w:eastAsia="MS PGothic"/>
          <w:lang w:val="en-GB"/>
        </w:rPr>
        <w:t xml:space="preserve">the </w:t>
      </w:r>
      <w:r w:rsidR="00740A48" w:rsidRPr="00B81DCD">
        <w:rPr>
          <w:rFonts w:eastAsia="MS PGothic"/>
          <w:lang w:val="en-GB"/>
        </w:rPr>
        <w:t xml:space="preserve">effects modelling of </w:t>
      </w:r>
      <w:r w:rsidR="00580354" w:rsidRPr="00B81DCD">
        <w:rPr>
          <w:rFonts w:eastAsia="MS PGothic"/>
          <w:lang w:val="en-GB"/>
        </w:rPr>
        <w:t>an instantaneous release from an acrylonit</w:t>
      </w:r>
      <w:r w:rsidR="008D695D" w:rsidRPr="00B81DCD">
        <w:rPr>
          <w:rFonts w:eastAsia="MS PGothic"/>
          <w:lang w:val="en-GB"/>
        </w:rPr>
        <w:t>rile</w:t>
      </w:r>
      <w:r w:rsidR="00740A48" w:rsidRPr="00B81DCD">
        <w:rPr>
          <w:rFonts w:eastAsia="MS PGothic"/>
          <w:lang w:val="en-GB"/>
        </w:rPr>
        <w:t xml:space="preserve"> tank</w:t>
      </w:r>
      <w:r w:rsidR="00676821" w:rsidRPr="00B81DCD">
        <w:rPr>
          <w:rFonts w:eastAsia="MS PGothic"/>
          <w:lang w:val="en-GB"/>
        </w:rPr>
        <w:t xml:space="preserve">, </w:t>
      </w:r>
      <w:r w:rsidR="00BC4EC1" w:rsidRPr="00B81DCD">
        <w:rPr>
          <w:rFonts w:eastAsia="MS PGothic"/>
          <w:lang w:val="en-GB"/>
        </w:rPr>
        <w:t xml:space="preserve">whose </w:t>
      </w:r>
      <w:r w:rsidR="00462188" w:rsidRPr="00B81DCD">
        <w:rPr>
          <w:rFonts w:eastAsia="MS PGothic"/>
          <w:lang w:val="en-GB"/>
        </w:rPr>
        <w:t>subsequent events include</w:t>
      </w:r>
      <w:r w:rsidR="00676821" w:rsidRPr="00B81DCD">
        <w:rPr>
          <w:rFonts w:eastAsia="MS PGothic"/>
          <w:lang w:val="en-GB"/>
        </w:rPr>
        <w:t xml:space="preserve"> liquid pool formation</w:t>
      </w:r>
      <w:r w:rsidR="00905D08" w:rsidRPr="00B81DCD">
        <w:rPr>
          <w:rFonts w:eastAsia="MS PGothic"/>
          <w:lang w:val="en-GB"/>
        </w:rPr>
        <w:t>, liquid evaporation and dispersion</w:t>
      </w:r>
      <w:r w:rsidR="00462188" w:rsidRPr="00B81DCD">
        <w:rPr>
          <w:rFonts w:eastAsia="MS PGothic"/>
          <w:lang w:val="en-GB"/>
        </w:rPr>
        <w:t>.</w:t>
      </w:r>
      <w:r w:rsidR="00E5644D" w:rsidRPr="00B81DCD">
        <w:rPr>
          <w:rFonts w:eastAsia="MS PGothic"/>
          <w:lang w:val="en-GB"/>
        </w:rPr>
        <w:t xml:space="preserve"> Acrylonitrile is a highly toxic and </w:t>
      </w:r>
      <w:r w:rsidR="009C6F86" w:rsidRPr="00B81DCD">
        <w:rPr>
          <w:rFonts w:eastAsia="MS PGothic"/>
          <w:lang w:val="en-GB"/>
        </w:rPr>
        <w:t>volatile flammable</w:t>
      </w:r>
      <w:r w:rsidR="008F3657" w:rsidRPr="00B81DCD">
        <w:rPr>
          <w:rFonts w:eastAsia="MS PGothic"/>
          <w:lang w:val="en-GB"/>
        </w:rPr>
        <w:t xml:space="preserve"> liquid generally stored</w:t>
      </w:r>
      <w:r w:rsidR="004B0659" w:rsidRPr="00B81DCD">
        <w:rPr>
          <w:rFonts w:eastAsia="MS PGothic"/>
          <w:lang w:val="en-GB"/>
        </w:rPr>
        <w:t xml:space="preserve"> in </w:t>
      </w:r>
      <w:r w:rsidR="00B3207F" w:rsidRPr="00B81DCD">
        <w:rPr>
          <w:rFonts w:eastAsia="MS PGothic"/>
          <w:lang w:val="en-GB"/>
        </w:rPr>
        <w:t>unpressurized tanks</w:t>
      </w:r>
      <w:r w:rsidR="008F3657" w:rsidRPr="00B81DCD">
        <w:rPr>
          <w:rFonts w:eastAsia="MS PGothic"/>
          <w:lang w:val="en-GB"/>
        </w:rPr>
        <w:t xml:space="preserve"> </w:t>
      </w:r>
      <w:r w:rsidR="004B0659" w:rsidRPr="00B81DCD">
        <w:rPr>
          <w:rFonts w:eastAsia="MS PGothic"/>
          <w:lang w:val="en-GB"/>
        </w:rPr>
        <w:t>at ambient temperature</w:t>
      </w:r>
      <w:r w:rsidR="00B3207F" w:rsidRPr="00B81DCD">
        <w:rPr>
          <w:rFonts w:eastAsia="MS PGothic"/>
          <w:lang w:val="en-GB"/>
        </w:rPr>
        <w:t>.</w:t>
      </w:r>
      <w:r w:rsidR="00462188" w:rsidRPr="00B81DCD">
        <w:rPr>
          <w:rFonts w:eastAsia="MS PGothic"/>
          <w:lang w:val="en-GB"/>
        </w:rPr>
        <w:t xml:space="preserve"> It is assumed</w:t>
      </w:r>
      <w:r w:rsidR="00740A48" w:rsidRPr="00B81DCD">
        <w:rPr>
          <w:rFonts w:eastAsia="MS PGothic"/>
          <w:lang w:val="en-GB"/>
        </w:rPr>
        <w:t xml:space="preserve"> that</w:t>
      </w:r>
      <w:r w:rsidR="005C4F12" w:rsidRPr="00B81DCD">
        <w:rPr>
          <w:rFonts w:eastAsia="MS PGothic"/>
          <w:lang w:val="en-GB"/>
        </w:rPr>
        <w:t>,</w:t>
      </w:r>
      <w:r w:rsidR="00462188" w:rsidRPr="00B81DCD">
        <w:rPr>
          <w:rFonts w:eastAsia="MS PGothic"/>
          <w:lang w:val="en-GB"/>
        </w:rPr>
        <w:t xml:space="preserve"> </w:t>
      </w:r>
      <w:r w:rsidR="005C4F12" w:rsidRPr="00B81DCD">
        <w:rPr>
          <w:rFonts w:eastAsia="MS PGothic"/>
          <w:lang w:val="en-GB"/>
        </w:rPr>
        <w:t xml:space="preserve">after </w:t>
      </w:r>
      <w:r w:rsidR="00462188" w:rsidRPr="00B81DCD">
        <w:rPr>
          <w:rFonts w:eastAsia="MS PGothic"/>
          <w:lang w:val="en-GB"/>
        </w:rPr>
        <w:t>the release</w:t>
      </w:r>
      <w:r w:rsidR="005C4F12" w:rsidRPr="00B81DCD">
        <w:rPr>
          <w:rFonts w:eastAsia="MS PGothic"/>
          <w:lang w:val="en-GB"/>
        </w:rPr>
        <w:t>,</w:t>
      </w:r>
      <w:r w:rsidR="00740A48" w:rsidRPr="00B81DCD">
        <w:rPr>
          <w:rFonts w:eastAsia="MS PGothic"/>
          <w:lang w:val="en-GB"/>
        </w:rPr>
        <w:t xml:space="preserve"> acrylon</w:t>
      </w:r>
      <w:r w:rsidR="008D695D" w:rsidRPr="00B81DCD">
        <w:rPr>
          <w:rFonts w:eastAsia="MS PGothic"/>
          <w:lang w:val="en-GB"/>
        </w:rPr>
        <w:t>itrile forms a</w:t>
      </w:r>
      <w:r w:rsidR="000D2AF9" w:rsidRPr="00B81DCD">
        <w:rPr>
          <w:rFonts w:eastAsia="MS PGothic"/>
          <w:lang w:val="en-GB"/>
        </w:rPr>
        <w:t xml:space="preserve"> liquid pool</w:t>
      </w:r>
      <w:r w:rsidR="007D4770" w:rsidRPr="00B81DCD">
        <w:rPr>
          <w:rFonts w:eastAsia="MS PGothic"/>
          <w:lang w:val="en-GB"/>
        </w:rPr>
        <w:t xml:space="preserve"> spreading to </w:t>
      </w:r>
      <w:r w:rsidR="000D2AF9" w:rsidRPr="00B81DCD">
        <w:rPr>
          <w:rFonts w:eastAsia="MS PGothic"/>
          <w:lang w:val="en-GB"/>
        </w:rPr>
        <w:t>the</w:t>
      </w:r>
      <w:r w:rsidR="00E83A19" w:rsidRPr="00B81DCD">
        <w:rPr>
          <w:rFonts w:eastAsia="MS PGothic"/>
          <w:lang w:val="en-GB"/>
        </w:rPr>
        <w:t xml:space="preserve"> available </w:t>
      </w:r>
      <w:r w:rsidR="008E5CAB" w:rsidRPr="00B81DCD">
        <w:rPr>
          <w:rFonts w:eastAsia="MS PGothic"/>
          <w:lang w:val="en-GB"/>
        </w:rPr>
        <w:t>surface</w:t>
      </w:r>
      <w:r w:rsidR="000D2AF9" w:rsidRPr="00B81DCD">
        <w:rPr>
          <w:rFonts w:eastAsia="MS PGothic"/>
          <w:lang w:val="en-GB"/>
        </w:rPr>
        <w:t xml:space="preserve"> of</w:t>
      </w:r>
      <w:r w:rsidR="009733F4" w:rsidRPr="00B81DCD">
        <w:rPr>
          <w:rFonts w:eastAsia="MS PGothic"/>
          <w:lang w:val="en-GB"/>
        </w:rPr>
        <w:t xml:space="preserve"> the</w:t>
      </w:r>
      <w:r w:rsidR="00360FDD" w:rsidRPr="00B81DCD">
        <w:rPr>
          <w:rFonts w:eastAsia="MS PGothic"/>
          <w:lang w:val="en-GB"/>
        </w:rPr>
        <w:t xml:space="preserve"> bund surrounding </w:t>
      </w:r>
      <w:r w:rsidR="00360FDD" w:rsidRPr="00B81DCD">
        <w:rPr>
          <w:rFonts w:eastAsia="MS PGothic"/>
          <w:lang w:val="en-GB"/>
        </w:rPr>
        <w:lastRenderedPageBreak/>
        <w:t>the storage area.</w:t>
      </w:r>
      <w:r w:rsidR="008C1E92" w:rsidRPr="00B81DCD">
        <w:rPr>
          <w:rFonts w:eastAsia="MS PGothic"/>
          <w:lang w:val="en-GB"/>
        </w:rPr>
        <w:t xml:space="preserve"> This area</w:t>
      </w:r>
      <w:r w:rsidR="00A43467" w:rsidRPr="00B81DCD">
        <w:rPr>
          <w:rFonts w:eastAsia="MS PGothic"/>
          <w:lang w:val="en-GB"/>
        </w:rPr>
        <w:t xml:space="preserve"> includes three tanks for acrylonitrile storage</w:t>
      </w:r>
      <w:r w:rsidR="0074067B" w:rsidRPr="00B81DCD">
        <w:rPr>
          <w:rFonts w:eastAsia="MS PGothic"/>
          <w:lang w:val="en-GB"/>
        </w:rPr>
        <w:t xml:space="preserve"> of 500 m</w:t>
      </w:r>
      <w:r w:rsidR="0074067B" w:rsidRPr="00B81DCD">
        <w:rPr>
          <w:rFonts w:eastAsia="MS PGothic"/>
          <w:vertAlign w:val="superscript"/>
          <w:lang w:val="en-GB"/>
        </w:rPr>
        <w:t>3</w:t>
      </w:r>
      <w:r w:rsidR="0074067B" w:rsidRPr="00B81DCD">
        <w:rPr>
          <w:rFonts w:eastAsia="MS PGothic"/>
          <w:lang w:val="en-GB"/>
        </w:rPr>
        <w:t xml:space="preserve"> capacity each</w:t>
      </w:r>
      <w:r w:rsidR="00444370" w:rsidRPr="00B81DCD">
        <w:rPr>
          <w:rFonts w:eastAsia="MS PGothic"/>
          <w:lang w:val="en-GB"/>
        </w:rPr>
        <w:t xml:space="preserve"> and the </w:t>
      </w:r>
      <w:r w:rsidR="0074067B" w:rsidRPr="00B81DCD">
        <w:rPr>
          <w:rFonts w:eastAsia="MS PGothic"/>
          <w:lang w:val="en-GB"/>
        </w:rPr>
        <w:t xml:space="preserve">bund was designed </w:t>
      </w:r>
      <w:r w:rsidR="007D4770" w:rsidRPr="00B81DCD">
        <w:rPr>
          <w:rFonts w:eastAsia="MS PGothic"/>
          <w:lang w:val="en-GB"/>
        </w:rPr>
        <w:t>following</w:t>
      </w:r>
      <w:r w:rsidR="006E663F" w:rsidRPr="00B81DCD">
        <w:rPr>
          <w:rFonts w:eastAsia="MS PGothic"/>
          <w:lang w:val="en-GB"/>
        </w:rPr>
        <w:t xml:space="preserve"> </w:t>
      </w:r>
      <w:r w:rsidR="0023213D" w:rsidRPr="00B81DCD">
        <w:rPr>
          <w:rFonts w:eastAsia="MS PGothic"/>
          <w:lang w:val="en-GB"/>
        </w:rPr>
        <w:t>ITC – MIE APQ 7</w:t>
      </w:r>
      <w:r w:rsidR="00C74BE6" w:rsidRPr="00B81DCD">
        <w:rPr>
          <w:rFonts w:eastAsia="MS PGothic"/>
          <w:lang w:val="en-GB"/>
        </w:rPr>
        <w:t xml:space="preserve">, </w:t>
      </w:r>
      <w:r w:rsidR="009E7AA7" w:rsidRPr="00B81DCD">
        <w:rPr>
          <w:rFonts w:eastAsia="MS PGothic"/>
          <w:lang w:val="en-GB"/>
        </w:rPr>
        <w:t xml:space="preserve">the </w:t>
      </w:r>
      <w:r w:rsidR="00C74BE6" w:rsidRPr="00B81DCD">
        <w:rPr>
          <w:rFonts w:eastAsia="MS PGothic"/>
          <w:lang w:val="en-GB"/>
        </w:rPr>
        <w:t>Complementary Te</w:t>
      </w:r>
      <w:r w:rsidR="00A573EE" w:rsidRPr="00B81DCD">
        <w:rPr>
          <w:rFonts w:eastAsia="MS PGothic"/>
          <w:lang w:val="en-GB"/>
        </w:rPr>
        <w:t xml:space="preserve">chnical Instruction for </w:t>
      </w:r>
      <w:r w:rsidR="0023213D" w:rsidRPr="00B81DCD">
        <w:rPr>
          <w:rFonts w:eastAsia="MS PGothic"/>
          <w:lang w:val="en-GB"/>
        </w:rPr>
        <w:t xml:space="preserve">the </w:t>
      </w:r>
      <w:r w:rsidR="002B21AE" w:rsidRPr="00B81DCD">
        <w:rPr>
          <w:rFonts w:eastAsia="MS PGothic"/>
          <w:lang w:val="en-GB"/>
        </w:rPr>
        <w:t>S</w:t>
      </w:r>
      <w:r w:rsidR="00C74BE6" w:rsidRPr="00B81DCD">
        <w:rPr>
          <w:rFonts w:eastAsia="MS PGothic"/>
          <w:lang w:val="en-GB"/>
        </w:rPr>
        <w:t>torage</w:t>
      </w:r>
      <w:r w:rsidR="00A573EE" w:rsidRPr="00B81DCD">
        <w:rPr>
          <w:rFonts w:eastAsia="MS PGothic"/>
          <w:lang w:val="en-GB"/>
        </w:rPr>
        <w:t xml:space="preserve"> of </w:t>
      </w:r>
      <w:r w:rsidR="002B21AE" w:rsidRPr="00B81DCD">
        <w:rPr>
          <w:rFonts w:eastAsia="MS PGothic"/>
          <w:lang w:val="en-GB"/>
        </w:rPr>
        <w:t>T</w:t>
      </w:r>
      <w:r w:rsidR="00A573EE" w:rsidRPr="00B81DCD">
        <w:rPr>
          <w:rFonts w:eastAsia="MS PGothic"/>
          <w:lang w:val="en-GB"/>
        </w:rPr>
        <w:t xml:space="preserve">oxic </w:t>
      </w:r>
      <w:r w:rsidR="002B21AE" w:rsidRPr="00B81DCD">
        <w:rPr>
          <w:rFonts w:eastAsia="MS PGothic"/>
          <w:lang w:val="en-GB"/>
        </w:rPr>
        <w:t>Liquids</w:t>
      </w:r>
      <w:r w:rsidR="00A573EE" w:rsidRPr="00B81DCD">
        <w:rPr>
          <w:rFonts w:eastAsia="MS PGothic"/>
          <w:lang w:val="en-GB"/>
        </w:rPr>
        <w:t xml:space="preserve"> in</w:t>
      </w:r>
      <w:r w:rsidR="002B21AE" w:rsidRPr="00B81DCD">
        <w:rPr>
          <w:rFonts w:eastAsia="MS PGothic"/>
          <w:lang w:val="en-GB"/>
        </w:rPr>
        <w:t xml:space="preserve"> F</w:t>
      </w:r>
      <w:r w:rsidR="00A573EE" w:rsidRPr="00B81DCD">
        <w:rPr>
          <w:rFonts w:eastAsia="MS PGothic"/>
          <w:lang w:val="en-GB"/>
        </w:rPr>
        <w:t xml:space="preserve">ixed </w:t>
      </w:r>
      <w:r w:rsidR="002B21AE" w:rsidRPr="00B81DCD">
        <w:rPr>
          <w:rFonts w:eastAsia="MS PGothic"/>
          <w:lang w:val="en-GB"/>
        </w:rPr>
        <w:t>Containers (</w:t>
      </w:r>
      <w:r w:rsidR="009E7AA7" w:rsidRPr="00B81DCD">
        <w:rPr>
          <w:rFonts w:eastAsia="MS PGothic"/>
          <w:lang w:val="en-GB"/>
        </w:rPr>
        <w:t xml:space="preserve">Royal Decree </w:t>
      </w:r>
      <w:r w:rsidR="002B21AE" w:rsidRPr="00B81DCD">
        <w:rPr>
          <w:lang w:val="en-GB"/>
        </w:rPr>
        <w:t>656/2017)</w:t>
      </w:r>
      <w:r w:rsidR="00FD63CC" w:rsidRPr="00B81DCD">
        <w:rPr>
          <w:rFonts w:eastAsia="MS PGothic"/>
          <w:lang w:val="en-GB"/>
        </w:rPr>
        <w:t>.</w:t>
      </w:r>
      <w:r w:rsidR="002111B9" w:rsidRPr="00B81DCD">
        <w:rPr>
          <w:rFonts w:eastAsia="MS PGothic"/>
          <w:lang w:val="en-GB"/>
        </w:rPr>
        <w:t xml:space="preserve"> The sensitivity analysis </w:t>
      </w:r>
      <w:r w:rsidR="009733F4" w:rsidRPr="00B81DCD">
        <w:rPr>
          <w:rFonts w:eastAsia="MS PGothic"/>
          <w:lang w:val="en-GB"/>
        </w:rPr>
        <w:t>comprises</w:t>
      </w:r>
      <w:r w:rsidR="00194E79" w:rsidRPr="00B81DCD">
        <w:rPr>
          <w:rFonts w:eastAsia="MS PGothic"/>
          <w:lang w:val="en-GB"/>
        </w:rPr>
        <w:t xml:space="preserve"> acrylonitrile</w:t>
      </w:r>
      <w:r w:rsidR="00074879" w:rsidRPr="00B81DCD">
        <w:rPr>
          <w:rFonts w:eastAsia="MS PGothic"/>
          <w:lang w:val="en-GB"/>
        </w:rPr>
        <w:t xml:space="preserve"> </w:t>
      </w:r>
      <w:r w:rsidR="00B47156" w:rsidRPr="00B81DCD">
        <w:rPr>
          <w:rFonts w:eastAsia="MS PGothic"/>
          <w:lang w:val="en-GB"/>
        </w:rPr>
        <w:t>pool evaporation</w:t>
      </w:r>
      <w:r w:rsidR="00505EDB" w:rsidRPr="00B81DCD">
        <w:rPr>
          <w:rFonts w:eastAsia="MS PGothic"/>
          <w:lang w:val="en-GB"/>
        </w:rPr>
        <w:t xml:space="preserve"> – of </w:t>
      </w:r>
      <w:r w:rsidR="00AA7463" w:rsidRPr="00B81DCD">
        <w:rPr>
          <w:rFonts w:eastAsia="MS PGothic"/>
          <w:lang w:val="en-GB"/>
        </w:rPr>
        <w:t>the</w:t>
      </w:r>
      <w:r w:rsidR="00505EDB" w:rsidRPr="00B81DCD">
        <w:rPr>
          <w:rFonts w:eastAsia="MS PGothic"/>
          <w:lang w:val="en-GB"/>
        </w:rPr>
        <w:t xml:space="preserve"> non-boiling pool – </w:t>
      </w:r>
      <w:r w:rsidR="00176750" w:rsidRPr="00B81DCD">
        <w:rPr>
          <w:rFonts w:eastAsia="MS PGothic"/>
          <w:lang w:val="en-GB"/>
        </w:rPr>
        <w:t>and subsequent dispersion</w:t>
      </w:r>
      <w:r w:rsidR="00505EDB" w:rsidRPr="00B81DCD">
        <w:rPr>
          <w:rFonts w:eastAsia="MS PGothic"/>
          <w:lang w:val="en-GB"/>
        </w:rPr>
        <w:t xml:space="preserve"> – </w:t>
      </w:r>
      <w:r w:rsidR="00AA7463" w:rsidRPr="00B81DCD">
        <w:rPr>
          <w:rFonts w:eastAsia="MS PGothic"/>
          <w:lang w:val="en-GB"/>
        </w:rPr>
        <w:t xml:space="preserve">a </w:t>
      </w:r>
      <w:r w:rsidR="00505EDB" w:rsidRPr="00B81DCD">
        <w:rPr>
          <w:rFonts w:eastAsia="MS PGothic"/>
          <w:lang w:val="en-GB"/>
        </w:rPr>
        <w:t>neutrally buoyant gaussian dispersion</w:t>
      </w:r>
      <w:r w:rsidR="00176750" w:rsidRPr="00B81DCD">
        <w:rPr>
          <w:rFonts w:eastAsia="MS PGothic"/>
          <w:lang w:val="en-GB"/>
        </w:rPr>
        <w:t>.</w:t>
      </w:r>
      <w:r w:rsidR="00AA772F" w:rsidRPr="00B81DCD">
        <w:rPr>
          <w:rFonts w:eastAsia="MS PGothic"/>
          <w:lang w:val="en-GB"/>
        </w:rPr>
        <w:t xml:space="preserve"> </w:t>
      </w:r>
      <w:r w:rsidR="0066716A" w:rsidRPr="00B81DCD">
        <w:rPr>
          <w:rFonts w:eastAsia="MS PGothic"/>
          <w:lang w:val="en-GB"/>
        </w:rPr>
        <w:t xml:space="preserve">The input variables </w:t>
      </w:r>
      <w:r w:rsidR="00822C41" w:rsidRPr="00B81DCD">
        <w:rPr>
          <w:rFonts w:eastAsia="MS PGothic"/>
          <w:lang w:val="en-GB"/>
        </w:rPr>
        <w:t>sampled</w:t>
      </w:r>
      <w:r w:rsidR="0066716A" w:rsidRPr="00B81DCD">
        <w:rPr>
          <w:rFonts w:eastAsia="MS PGothic"/>
          <w:lang w:val="en-GB"/>
        </w:rPr>
        <w:t xml:space="preserve"> </w:t>
      </w:r>
      <w:r w:rsidR="00F53A30" w:rsidRPr="00B81DCD">
        <w:rPr>
          <w:rFonts w:eastAsia="MS PGothic"/>
          <w:lang w:val="en-GB"/>
        </w:rPr>
        <w:t xml:space="preserve">consist of </w:t>
      </w:r>
      <w:r w:rsidR="0066716A" w:rsidRPr="00B81DCD">
        <w:rPr>
          <w:rFonts w:eastAsia="MS PGothic"/>
          <w:lang w:val="en-GB"/>
        </w:rPr>
        <w:t xml:space="preserve">the wind </w:t>
      </w:r>
      <w:r w:rsidR="00D5385C" w:rsidRPr="00B81DCD">
        <w:rPr>
          <w:rFonts w:eastAsia="MS PGothic"/>
          <w:lang w:val="en-GB"/>
        </w:rPr>
        <w:t xml:space="preserve">speed, ambient temperature, cloud cover and </w:t>
      </w:r>
      <w:proofErr w:type="gramStart"/>
      <w:r w:rsidR="00D5385C" w:rsidRPr="00B81DCD">
        <w:rPr>
          <w:rFonts w:eastAsia="MS PGothic"/>
          <w:lang w:val="en-GB"/>
        </w:rPr>
        <w:t>day</w:t>
      </w:r>
      <w:r w:rsidR="00823903" w:rsidRPr="00B81DCD">
        <w:rPr>
          <w:rFonts w:eastAsia="MS PGothic"/>
          <w:lang w:val="en-GB"/>
        </w:rPr>
        <w:t>-</w:t>
      </w:r>
      <w:r w:rsidR="00D5385C" w:rsidRPr="00B81DCD">
        <w:rPr>
          <w:rFonts w:eastAsia="MS PGothic"/>
          <w:lang w:val="en-GB"/>
        </w:rPr>
        <w:t>time</w:t>
      </w:r>
      <w:proofErr w:type="gramEnd"/>
      <w:r w:rsidR="00D5385C" w:rsidRPr="00B81DCD">
        <w:rPr>
          <w:rFonts w:eastAsia="MS PGothic"/>
          <w:lang w:val="en-GB"/>
        </w:rPr>
        <w:t xml:space="preserve"> or </w:t>
      </w:r>
      <w:r w:rsidR="00823903" w:rsidRPr="00B81DCD">
        <w:rPr>
          <w:rFonts w:eastAsia="MS PGothic"/>
          <w:lang w:val="en-GB"/>
        </w:rPr>
        <w:t>night-time</w:t>
      </w:r>
      <w:r w:rsidR="00D5385C" w:rsidRPr="00B81DCD">
        <w:rPr>
          <w:rFonts w:eastAsia="MS PGothic"/>
          <w:lang w:val="en-GB"/>
        </w:rPr>
        <w:t xml:space="preserve"> conditions. </w:t>
      </w:r>
      <w:r w:rsidR="00823903" w:rsidRPr="00B81DCD">
        <w:rPr>
          <w:rFonts w:eastAsia="MS PGothic"/>
          <w:lang w:val="en-GB"/>
        </w:rPr>
        <w:t xml:space="preserve">Wind speed and ambient temperature input distributions are based on </w:t>
      </w:r>
      <w:r w:rsidR="00E6300B" w:rsidRPr="00B81DCD">
        <w:rPr>
          <w:rFonts w:eastAsia="MS PGothic"/>
          <w:lang w:val="en-GB"/>
        </w:rPr>
        <w:t>available met</w:t>
      </w:r>
      <w:r w:rsidR="007A6CA9" w:rsidRPr="00B81DCD">
        <w:rPr>
          <w:rFonts w:eastAsia="MS PGothic"/>
          <w:lang w:val="en-GB"/>
        </w:rPr>
        <w:t xml:space="preserve">eorological </w:t>
      </w:r>
      <w:r w:rsidR="00E6300B" w:rsidRPr="00B81DCD">
        <w:rPr>
          <w:rFonts w:eastAsia="MS PGothic"/>
          <w:lang w:val="en-GB"/>
        </w:rPr>
        <w:t>data</w:t>
      </w:r>
      <w:r w:rsidR="007A6CA9" w:rsidRPr="00B81DCD">
        <w:rPr>
          <w:rFonts w:eastAsia="MS PGothic"/>
          <w:lang w:val="en-GB"/>
        </w:rPr>
        <w:t xml:space="preserve"> (</w:t>
      </w:r>
      <w:r w:rsidR="00A658FD" w:rsidRPr="00B81DCD">
        <w:rPr>
          <w:rFonts w:eastAsia="MS PGothic"/>
          <w:lang w:val="en-GB"/>
        </w:rPr>
        <w:t>Danish Meteorological Institute</w:t>
      </w:r>
      <w:r w:rsidR="00602531" w:rsidRPr="00B81DCD">
        <w:rPr>
          <w:rFonts w:eastAsia="MS PGothic"/>
          <w:lang w:val="en-GB"/>
        </w:rPr>
        <w:t>, n.d.</w:t>
      </w:r>
      <w:r w:rsidR="007A6CA9" w:rsidRPr="00B81DCD">
        <w:rPr>
          <w:rFonts w:eastAsia="MS PGothic"/>
          <w:lang w:val="en-GB"/>
        </w:rPr>
        <w:t xml:space="preserve">) and </w:t>
      </w:r>
      <w:r w:rsidR="00FE7D53" w:rsidRPr="00B81DCD">
        <w:rPr>
          <w:rFonts w:eastAsia="MS PGothic"/>
          <w:lang w:val="en-GB"/>
        </w:rPr>
        <w:t xml:space="preserve">are respectively </w:t>
      </w:r>
      <w:r w:rsidR="007A6CA9" w:rsidRPr="00B81DCD">
        <w:rPr>
          <w:rFonts w:eastAsia="MS PGothic"/>
          <w:lang w:val="en-GB"/>
        </w:rPr>
        <w:t>approximated to a Weibull distribution with parameters A = 5.6115 and B =</w:t>
      </w:r>
      <w:r w:rsidR="008F42E6" w:rsidRPr="00B81DCD">
        <w:rPr>
          <w:rFonts w:eastAsia="MS PGothic"/>
          <w:lang w:val="en-GB"/>
        </w:rPr>
        <w:t xml:space="preserve"> 2.0647 (m/s) and to a normal distribution with </w:t>
      </w:r>
      <w:r w:rsidR="008F42E6" w:rsidRPr="00B81DCD">
        <w:rPr>
          <w:rFonts w:eastAsia="MS PGothic" w:cs="Arial"/>
          <w:lang w:val="en-GB"/>
        </w:rPr>
        <w:t>μ</w:t>
      </w:r>
      <w:r w:rsidR="008F42E6" w:rsidRPr="00B81DCD">
        <w:rPr>
          <w:rFonts w:eastAsia="MS PGothic"/>
          <w:lang w:val="en-GB"/>
        </w:rPr>
        <w:t xml:space="preserve"> = </w:t>
      </w:r>
      <w:r w:rsidR="003844DA" w:rsidRPr="00B81DCD">
        <w:rPr>
          <w:rFonts w:eastAsia="MS PGothic"/>
          <w:lang w:val="en-GB"/>
        </w:rPr>
        <w:t xml:space="preserve">10.8671 and </w:t>
      </w:r>
      <w:r w:rsidR="003844DA" w:rsidRPr="00B81DCD">
        <w:rPr>
          <w:rFonts w:eastAsia="MS PGothic" w:cs="Arial"/>
          <w:lang w:val="en-GB"/>
        </w:rPr>
        <w:t>σ</w:t>
      </w:r>
      <w:r w:rsidR="003844DA" w:rsidRPr="00B81DCD">
        <w:rPr>
          <w:rFonts w:eastAsia="MS PGothic"/>
          <w:lang w:val="en-GB"/>
        </w:rPr>
        <w:t xml:space="preserve"> = 6.7939 </w:t>
      </w:r>
      <w:r w:rsidR="00FE7D53" w:rsidRPr="00B81DCD">
        <w:rPr>
          <w:rFonts w:eastAsia="MS PGothic"/>
          <w:lang w:val="en-GB"/>
        </w:rPr>
        <w:t>(</w:t>
      </w:r>
      <w:r w:rsidR="003844DA" w:rsidRPr="00B81DCD">
        <w:rPr>
          <w:rFonts w:ascii="Aptos Narrow" w:hAnsi="Aptos Narrow" w:cs="Arial"/>
          <w:szCs w:val="18"/>
          <w:lang w:val="en-GB"/>
        </w:rPr>
        <w:t>°</w:t>
      </w:r>
      <w:r w:rsidR="003844DA" w:rsidRPr="00B81DCD">
        <w:rPr>
          <w:rFonts w:cs="Arial"/>
          <w:szCs w:val="18"/>
          <w:lang w:val="en-GB"/>
        </w:rPr>
        <w:t>C</w:t>
      </w:r>
      <w:r w:rsidR="00FE7D53" w:rsidRPr="00B81DCD">
        <w:rPr>
          <w:rFonts w:cs="Arial"/>
          <w:szCs w:val="18"/>
          <w:lang w:val="en-GB"/>
        </w:rPr>
        <w:t>). Cloud cover follow</w:t>
      </w:r>
      <w:r w:rsidR="004C3DEC" w:rsidRPr="00B81DCD">
        <w:rPr>
          <w:rFonts w:cs="Arial"/>
          <w:szCs w:val="18"/>
          <w:lang w:val="en-GB"/>
        </w:rPr>
        <w:t>s</w:t>
      </w:r>
      <w:r w:rsidR="00FE7D53" w:rsidRPr="00B81DCD">
        <w:rPr>
          <w:rFonts w:cs="Arial"/>
          <w:szCs w:val="18"/>
          <w:lang w:val="en-GB"/>
        </w:rPr>
        <w:t xml:space="preserve"> discrete distributions from 0 to 10 </w:t>
      </w:r>
      <w:r w:rsidR="004C3DEC" w:rsidRPr="00B81DCD">
        <w:rPr>
          <w:rFonts w:cs="Arial"/>
          <w:szCs w:val="18"/>
          <w:lang w:val="en-GB"/>
        </w:rPr>
        <w:t>with equal probabilities</w:t>
      </w:r>
      <w:r w:rsidR="00FE7D53" w:rsidRPr="00B81DCD">
        <w:rPr>
          <w:rFonts w:cs="Arial"/>
          <w:szCs w:val="18"/>
          <w:lang w:val="en-GB"/>
        </w:rPr>
        <w:t xml:space="preserve">. </w:t>
      </w:r>
    </w:p>
    <w:p w14:paraId="25A0C892" w14:textId="77777777" w:rsidR="003C4F2A" w:rsidRPr="00B81DCD" w:rsidRDefault="003C4F2A" w:rsidP="001D67F7">
      <w:pPr>
        <w:pStyle w:val="BOAAbstractBody"/>
        <w:rPr>
          <w:rFonts w:cs="Arial"/>
          <w:szCs w:val="18"/>
          <w:lang w:val="en-GB"/>
        </w:rPr>
      </w:pPr>
    </w:p>
    <w:p w14:paraId="56A9D8A5" w14:textId="4D13A790" w:rsidR="00B52CFF" w:rsidRPr="00B81DCD" w:rsidRDefault="006E12B1" w:rsidP="001D67F7">
      <w:pPr>
        <w:pStyle w:val="BOAAbstractBody"/>
        <w:rPr>
          <w:rFonts w:cs="Arial"/>
          <w:szCs w:val="18"/>
          <w:lang w:val="en-GB"/>
        </w:rPr>
      </w:pPr>
      <w:r w:rsidRPr="00B81DCD">
        <w:rPr>
          <w:rFonts w:cs="Arial"/>
          <w:szCs w:val="18"/>
          <w:lang w:val="en-GB"/>
        </w:rPr>
        <w:t>Appropriate sampling strategies are selected for each</w:t>
      </w:r>
      <w:r w:rsidR="00860859" w:rsidRPr="00B81DCD">
        <w:rPr>
          <w:rFonts w:cs="Arial"/>
          <w:szCs w:val="18"/>
          <w:lang w:val="en-GB"/>
        </w:rPr>
        <w:t xml:space="preserve"> input,</w:t>
      </w:r>
      <w:r w:rsidRPr="00B81DCD">
        <w:rPr>
          <w:rFonts w:cs="Arial"/>
          <w:szCs w:val="18"/>
          <w:lang w:val="en-GB"/>
        </w:rPr>
        <w:t xml:space="preserve"> and subsequently</w:t>
      </w:r>
      <w:r w:rsidR="00860859" w:rsidRPr="00B81DCD">
        <w:rPr>
          <w:rFonts w:cs="Arial"/>
          <w:szCs w:val="18"/>
          <w:lang w:val="en-GB"/>
        </w:rPr>
        <w:t xml:space="preserve"> </w:t>
      </w:r>
      <w:r w:rsidR="00D57EA3" w:rsidRPr="00B81DCD">
        <w:rPr>
          <w:rFonts w:cs="Arial"/>
          <w:szCs w:val="18"/>
          <w:lang w:val="en-GB"/>
        </w:rPr>
        <w:t>the stability class based on the Pasquil</w:t>
      </w:r>
      <w:r w:rsidR="00284A25" w:rsidRPr="00B81DCD">
        <w:rPr>
          <w:rFonts w:cs="Arial"/>
          <w:szCs w:val="18"/>
          <w:lang w:val="en-GB"/>
        </w:rPr>
        <w:t>l</w:t>
      </w:r>
      <w:r w:rsidR="00EA65BE" w:rsidRPr="00B81DCD">
        <w:rPr>
          <w:rFonts w:cs="Arial"/>
          <w:szCs w:val="18"/>
          <w:lang w:val="en-GB"/>
        </w:rPr>
        <w:t>-Gifford</w:t>
      </w:r>
      <w:r w:rsidR="00D57EA3" w:rsidRPr="00B81DCD">
        <w:rPr>
          <w:rFonts w:cs="Arial"/>
          <w:szCs w:val="18"/>
          <w:lang w:val="en-GB"/>
        </w:rPr>
        <w:t xml:space="preserve"> classification is determined for each sample</w:t>
      </w:r>
      <w:r w:rsidR="00777CAD" w:rsidRPr="00B81DCD">
        <w:rPr>
          <w:rFonts w:cs="Arial"/>
          <w:szCs w:val="18"/>
          <w:lang w:val="en-GB"/>
        </w:rPr>
        <w:t xml:space="preserve"> </w:t>
      </w:r>
      <w:r w:rsidR="007C3D8D" w:rsidRPr="00B81DCD">
        <w:rPr>
          <w:rFonts w:cs="Arial"/>
          <w:szCs w:val="18"/>
          <w:lang w:val="en-GB"/>
        </w:rPr>
        <w:t>according to</w:t>
      </w:r>
      <w:r w:rsidR="001A010B" w:rsidRPr="00B81DCD">
        <w:rPr>
          <w:rFonts w:cs="Arial"/>
          <w:szCs w:val="18"/>
          <w:lang w:val="en-GB"/>
        </w:rPr>
        <w:t xml:space="preserve"> the cloud cover, wind speed and </w:t>
      </w:r>
      <w:r w:rsidR="00CB2438" w:rsidRPr="00B81DCD">
        <w:rPr>
          <w:rFonts w:cs="Arial"/>
          <w:szCs w:val="18"/>
          <w:lang w:val="en-GB"/>
        </w:rPr>
        <w:t xml:space="preserve">whether it is </w:t>
      </w:r>
      <w:proofErr w:type="gramStart"/>
      <w:r w:rsidR="00CB2438" w:rsidRPr="00B81DCD">
        <w:rPr>
          <w:rFonts w:cs="Arial"/>
          <w:szCs w:val="18"/>
          <w:lang w:val="en-GB"/>
        </w:rPr>
        <w:t>day</w:t>
      </w:r>
      <w:r w:rsidR="007A3ECA" w:rsidRPr="00B81DCD">
        <w:rPr>
          <w:rFonts w:cs="Arial"/>
          <w:szCs w:val="18"/>
          <w:lang w:val="en-GB"/>
        </w:rPr>
        <w:t>-</w:t>
      </w:r>
      <w:r w:rsidR="00CB2438" w:rsidRPr="00B81DCD">
        <w:rPr>
          <w:rFonts w:cs="Arial"/>
          <w:szCs w:val="18"/>
          <w:lang w:val="en-GB"/>
        </w:rPr>
        <w:t>time</w:t>
      </w:r>
      <w:proofErr w:type="gramEnd"/>
      <w:r w:rsidR="00CB2438" w:rsidRPr="00B81DCD">
        <w:rPr>
          <w:rFonts w:cs="Arial"/>
          <w:szCs w:val="18"/>
          <w:lang w:val="en-GB"/>
        </w:rPr>
        <w:t xml:space="preserve"> or night</w:t>
      </w:r>
      <w:r w:rsidR="007A3ECA" w:rsidRPr="00B81DCD">
        <w:rPr>
          <w:rFonts w:cs="Arial"/>
          <w:szCs w:val="18"/>
          <w:lang w:val="en-GB"/>
        </w:rPr>
        <w:t>-</w:t>
      </w:r>
      <w:r w:rsidR="00CB2438" w:rsidRPr="00B81DCD">
        <w:rPr>
          <w:rFonts w:cs="Arial"/>
          <w:szCs w:val="18"/>
          <w:lang w:val="en-GB"/>
        </w:rPr>
        <w:t>time</w:t>
      </w:r>
      <w:r w:rsidR="00D57EA3" w:rsidRPr="00B81DCD">
        <w:rPr>
          <w:rFonts w:cs="Arial"/>
          <w:szCs w:val="18"/>
          <w:lang w:val="en-GB"/>
        </w:rPr>
        <w:t xml:space="preserve">. Followingly </w:t>
      </w:r>
      <w:r w:rsidR="009F63A9" w:rsidRPr="00B81DCD">
        <w:rPr>
          <w:rFonts w:cs="Arial"/>
          <w:szCs w:val="18"/>
          <w:lang w:val="en-GB"/>
        </w:rPr>
        <w:t xml:space="preserve">the </w:t>
      </w:r>
      <w:r w:rsidR="00D57EA3" w:rsidRPr="00B81DCD">
        <w:rPr>
          <w:rFonts w:cs="Arial"/>
          <w:szCs w:val="18"/>
          <w:lang w:val="en-GB"/>
        </w:rPr>
        <w:t xml:space="preserve">pertinent </w:t>
      </w:r>
      <w:r w:rsidR="009F63A9" w:rsidRPr="00B81DCD">
        <w:rPr>
          <w:rFonts w:cs="Arial"/>
          <w:szCs w:val="18"/>
          <w:lang w:val="en-GB"/>
        </w:rPr>
        <w:t>dispersion coefficients</w:t>
      </w:r>
      <w:r w:rsidR="00D57EA3" w:rsidRPr="00B81DCD">
        <w:rPr>
          <w:rFonts w:cs="Arial"/>
          <w:szCs w:val="18"/>
          <w:lang w:val="en-GB"/>
        </w:rPr>
        <w:t xml:space="preserve"> </w:t>
      </w:r>
      <w:r w:rsidR="00736773" w:rsidRPr="00B81DCD">
        <w:rPr>
          <w:rFonts w:cs="Arial"/>
          <w:szCs w:val="18"/>
          <w:lang w:val="en-GB"/>
        </w:rPr>
        <w:t xml:space="preserve">for the y-axis, </w:t>
      </w:r>
      <w:proofErr w:type="spellStart"/>
      <w:r w:rsidR="00736773" w:rsidRPr="00B81DCD">
        <w:rPr>
          <w:rFonts w:cs="Arial"/>
          <w:lang w:val="en-GB"/>
        </w:rPr>
        <w:t>σ</w:t>
      </w:r>
      <w:r w:rsidR="00736773" w:rsidRPr="00B81DCD">
        <w:rPr>
          <w:vertAlign w:val="subscript"/>
          <w:lang w:val="en-GB"/>
        </w:rPr>
        <w:t>y</w:t>
      </w:r>
      <w:proofErr w:type="spellEnd"/>
      <w:r w:rsidR="00736773" w:rsidRPr="00B81DCD">
        <w:rPr>
          <w:lang w:val="en-GB"/>
        </w:rPr>
        <w:t>,</w:t>
      </w:r>
      <w:r w:rsidR="00736773" w:rsidRPr="00B81DCD">
        <w:rPr>
          <w:rFonts w:cs="Arial"/>
          <w:szCs w:val="18"/>
          <w:lang w:val="en-GB"/>
        </w:rPr>
        <w:t xml:space="preserve"> and the z-axis, </w:t>
      </w:r>
      <w:proofErr w:type="spellStart"/>
      <w:r w:rsidR="00736773" w:rsidRPr="00B81DCD">
        <w:rPr>
          <w:rFonts w:cs="Arial"/>
          <w:lang w:val="en-GB"/>
        </w:rPr>
        <w:t>σ</w:t>
      </w:r>
      <w:r w:rsidR="00736773" w:rsidRPr="00B81DCD">
        <w:rPr>
          <w:vertAlign w:val="subscript"/>
          <w:lang w:val="en-GB"/>
        </w:rPr>
        <w:t>z</w:t>
      </w:r>
      <w:proofErr w:type="spellEnd"/>
      <w:r w:rsidR="00736773" w:rsidRPr="00B81DCD">
        <w:rPr>
          <w:rFonts w:cs="Arial"/>
          <w:szCs w:val="18"/>
          <w:lang w:val="en-GB"/>
        </w:rPr>
        <w:t xml:space="preserve">, </w:t>
      </w:r>
      <w:r w:rsidR="00D57EA3" w:rsidRPr="00B81DCD">
        <w:rPr>
          <w:rFonts w:cs="Arial"/>
          <w:szCs w:val="18"/>
          <w:lang w:val="en-GB"/>
        </w:rPr>
        <w:t>are calculated</w:t>
      </w:r>
      <w:r w:rsidR="009F63A9" w:rsidRPr="00B81DCD">
        <w:rPr>
          <w:rFonts w:cs="Arial"/>
          <w:szCs w:val="18"/>
          <w:lang w:val="en-GB"/>
        </w:rPr>
        <w:t xml:space="preserve">. </w:t>
      </w:r>
      <w:r w:rsidR="005D0309" w:rsidRPr="00B81DCD">
        <w:rPr>
          <w:rFonts w:cs="Arial"/>
          <w:szCs w:val="18"/>
          <w:lang w:val="en-GB"/>
        </w:rPr>
        <w:t>Two</w:t>
      </w:r>
      <w:r w:rsidR="009F63A9" w:rsidRPr="00B81DCD">
        <w:rPr>
          <w:rFonts w:cs="Arial"/>
          <w:szCs w:val="18"/>
          <w:lang w:val="en-GB"/>
        </w:rPr>
        <w:t xml:space="preserve"> </w:t>
      </w:r>
      <w:r w:rsidR="007C3D8D" w:rsidRPr="00B81DCD">
        <w:rPr>
          <w:rFonts w:cs="Arial"/>
          <w:szCs w:val="18"/>
          <w:lang w:val="en-GB"/>
        </w:rPr>
        <w:t xml:space="preserve">main </w:t>
      </w:r>
      <w:r w:rsidR="005D0309" w:rsidRPr="00B81DCD">
        <w:rPr>
          <w:rFonts w:cs="Arial"/>
          <w:szCs w:val="18"/>
          <w:lang w:val="en-GB"/>
        </w:rPr>
        <w:t xml:space="preserve">outputs are calculated, </w:t>
      </w:r>
      <w:r w:rsidR="009F63A9" w:rsidRPr="00B81DCD">
        <w:rPr>
          <w:rFonts w:cs="Arial"/>
          <w:szCs w:val="18"/>
          <w:lang w:val="en-GB"/>
        </w:rPr>
        <w:t>first</w:t>
      </w:r>
      <w:r w:rsidR="003F4C43" w:rsidRPr="00B81DCD">
        <w:rPr>
          <w:rFonts w:cs="Arial"/>
          <w:szCs w:val="18"/>
          <w:lang w:val="en-GB"/>
        </w:rPr>
        <w:t>,</w:t>
      </w:r>
      <w:r w:rsidR="009F63A9" w:rsidRPr="00B81DCD">
        <w:rPr>
          <w:rFonts w:cs="Arial"/>
          <w:szCs w:val="18"/>
          <w:lang w:val="en-GB"/>
        </w:rPr>
        <w:t xml:space="preserve"> the </w:t>
      </w:r>
      <w:r w:rsidR="005D0309" w:rsidRPr="00B81DCD">
        <w:rPr>
          <w:rFonts w:cs="Arial"/>
          <w:szCs w:val="18"/>
          <w:lang w:val="en-GB"/>
        </w:rPr>
        <w:t>evaporation rate</w:t>
      </w:r>
      <w:r w:rsidR="00B627F6" w:rsidRPr="00B81DCD">
        <w:rPr>
          <w:rFonts w:cs="Arial"/>
          <w:szCs w:val="18"/>
          <w:lang w:val="en-GB"/>
        </w:rPr>
        <w:t xml:space="preserve"> in g/s</w:t>
      </w:r>
      <w:r w:rsidR="007207B5" w:rsidRPr="00B81DCD">
        <w:rPr>
          <w:rFonts w:cs="Arial"/>
          <w:szCs w:val="18"/>
          <w:lang w:val="en-GB"/>
        </w:rPr>
        <w:t>. Th</w:t>
      </w:r>
      <w:r w:rsidR="00AF5E9E">
        <w:rPr>
          <w:rFonts w:cs="Arial"/>
          <w:szCs w:val="18"/>
          <w:lang w:val="en-GB"/>
        </w:rPr>
        <w:t>e</w:t>
      </w:r>
      <w:r w:rsidR="00646C86" w:rsidRPr="00B81DCD">
        <w:rPr>
          <w:rFonts w:cs="Arial"/>
          <w:szCs w:val="18"/>
          <w:lang w:val="en-GB"/>
        </w:rPr>
        <w:t xml:space="preserve"> result</w:t>
      </w:r>
      <w:r w:rsidR="00AF5E9E">
        <w:rPr>
          <w:rFonts w:cs="Arial"/>
          <w:szCs w:val="18"/>
          <w:lang w:val="en-GB"/>
        </w:rPr>
        <w:t>s</w:t>
      </w:r>
      <w:r w:rsidR="00144C93" w:rsidRPr="00B81DCD">
        <w:rPr>
          <w:rFonts w:cs="Arial"/>
          <w:szCs w:val="18"/>
          <w:lang w:val="en-GB"/>
        </w:rPr>
        <w:t xml:space="preserve"> </w:t>
      </w:r>
      <w:r w:rsidR="00AF5E9E">
        <w:rPr>
          <w:rFonts w:cs="Arial"/>
          <w:szCs w:val="18"/>
          <w:lang w:val="en-GB"/>
        </w:rPr>
        <w:t>are</w:t>
      </w:r>
      <w:r w:rsidR="00144C93" w:rsidRPr="00B81DCD">
        <w:rPr>
          <w:rFonts w:cs="Arial"/>
          <w:szCs w:val="18"/>
          <w:lang w:val="en-GB"/>
        </w:rPr>
        <w:t xml:space="preserve"> subsequently fed to the dispersion model </w:t>
      </w:r>
      <w:r w:rsidR="007207B5" w:rsidRPr="00B81DCD">
        <w:rPr>
          <w:rFonts w:cs="Arial"/>
          <w:szCs w:val="18"/>
          <w:lang w:val="en-GB"/>
        </w:rPr>
        <w:t xml:space="preserve">as a continuous source of toxic gas </w:t>
      </w:r>
      <w:proofErr w:type="gramStart"/>
      <w:r w:rsidR="008C6033" w:rsidRPr="00B81DCD">
        <w:rPr>
          <w:rFonts w:cs="Arial"/>
          <w:szCs w:val="18"/>
          <w:lang w:val="en-GB"/>
        </w:rPr>
        <w:t xml:space="preserve">in order </w:t>
      </w:r>
      <w:r w:rsidR="00144C93" w:rsidRPr="00B81DCD">
        <w:rPr>
          <w:rFonts w:cs="Arial"/>
          <w:szCs w:val="18"/>
          <w:lang w:val="en-GB"/>
        </w:rPr>
        <w:t>to</w:t>
      </w:r>
      <w:proofErr w:type="gramEnd"/>
      <w:r w:rsidR="00144C93" w:rsidRPr="00B81DCD">
        <w:rPr>
          <w:rFonts w:cs="Arial"/>
          <w:szCs w:val="18"/>
          <w:lang w:val="en-GB"/>
        </w:rPr>
        <w:t xml:space="preserve"> calculate the </w:t>
      </w:r>
      <w:r w:rsidR="00E538FD" w:rsidRPr="00B81DCD">
        <w:rPr>
          <w:rFonts w:cs="Arial"/>
          <w:szCs w:val="18"/>
          <w:lang w:val="en-GB"/>
        </w:rPr>
        <w:t xml:space="preserve">second output: </w:t>
      </w:r>
      <w:r w:rsidR="005D0309" w:rsidRPr="00B81DCD">
        <w:rPr>
          <w:rFonts w:cs="Arial"/>
          <w:szCs w:val="18"/>
          <w:lang w:val="en-GB"/>
        </w:rPr>
        <w:t>acrylonitrile airborne concentration</w:t>
      </w:r>
      <w:r w:rsidR="00B627F6" w:rsidRPr="00B81DCD">
        <w:rPr>
          <w:rFonts w:cs="Arial"/>
          <w:szCs w:val="18"/>
          <w:lang w:val="en-GB"/>
        </w:rPr>
        <w:t xml:space="preserve"> in g/m</w:t>
      </w:r>
      <w:r w:rsidR="00B627F6" w:rsidRPr="00B81DCD">
        <w:rPr>
          <w:rFonts w:cs="Arial"/>
          <w:szCs w:val="18"/>
          <w:vertAlign w:val="superscript"/>
          <w:lang w:val="en-GB"/>
        </w:rPr>
        <w:t>3</w:t>
      </w:r>
      <w:r w:rsidR="005D0309" w:rsidRPr="00B81DCD">
        <w:rPr>
          <w:rFonts w:cs="Arial"/>
          <w:szCs w:val="18"/>
          <w:lang w:val="en-GB"/>
        </w:rPr>
        <w:t xml:space="preserve"> </w:t>
      </w:r>
      <w:r w:rsidR="00B52CFF" w:rsidRPr="00B81DCD">
        <w:rPr>
          <w:rFonts w:cs="Arial"/>
          <w:szCs w:val="18"/>
          <w:lang w:val="en-GB"/>
        </w:rPr>
        <w:t>at a certain distance of interest</w:t>
      </w:r>
      <w:r w:rsidR="00A40576" w:rsidRPr="00B81DCD">
        <w:rPr>
          <w:rFonts w:cs="Arial"/>
          <w:szCs w:val="18"/>
          <w:lang w:val="en-GB"/>
        </w:rPr>
        <w:t xml:space="preserve"> downwind from the source</w:t>
      </w:r>
      <w:r w:rsidR="00B52CFF" w:rsidRPr="00B81DCD">
        <w:rPr>
          <w:rFonts w:cs="Arial"/>
          <w:szCs w:val="18"/>
          <w:lang w:val="en-GB"/>
        </w:rPr>
        <w:t xml:space="preserve">, </w:t>
      </w:r>
      <w:r w:rsidR="003F4C43" w:rsidRPr="00B81DCD">
        <w:rPr>
          <w:rFonts w:cs="Arial"/>
          <w:szCs w:val="18"/>
          <w:lang w:val="en-GB"/>
        </w:rPr>
        <w:t>more particularly</w:t>
      </w:r>
      <w:r w:rsidR="00E538FD" w:rsidRPr="00B81DCD">
        <w:rPr>
          <w:rFonts w:cs="Arial"/>
          <w:szCs w:val="18"/>
          <w:lang w:val="en-GB"/>
        </w:rPr>
        <w:t xml:space="preserve"> at</w:t>
      </w:r>
      <w:r w:rsidR="003F4C43" w:rsidRPr="00B81DCD">
        <w:rPr>
          <w:rFonts w:cs="Arial"/>
          <w:szCs w:val="18"/>
          <w:lang w:val="en-GB"/>
        </w:rPr>
        <w:t xml:space="preserve"> </w:t>
      </w:r>
      <w:r w:rsidR="00B52CFF" w:rsidRPr="00B81DCD">
        <w:rPr>
          <w:rFonts w:cs="Arial"/>
          <w:szCs w:val="18"/>
          <w:lang w:val="en-GB"/>
        </w:rPr>
        <w:t xml:space="preserve">211 m. </w:t>
      </w:r>
    </w:p>
    <w:p w14:paraId="4BB01328" w14:textId="77777777" w:rsidR="00646C86" w:rsidRPr="00B81DCD" w:rsidRDefault="00646C86" w:rsidP="001D67F7">
      <w:pPr>
        <w:pStyle w:val="BOAAbstractBody"/>
        <w:rPr>
          <w:rFonts w:cs="Arial"/>
          <w:szCs w:val="18"/>
          <w:lang w:val="en-GB"/>
        </w:rPr>
      </w:pPr>
    </w:p>
    <w:p w14:paraId="1B616217" w14:textId="42F02EE8" w:rsidR="005C1A57" w:rsidRPr="00B81DCD" w:rsidRDefault="00BC4521" w:rsidP="001D67F7">
      <w:pPr>
        <w:pStyle w:val="BOAAbstractBody"/>
        <w:rPr>
          <w:rFonts w:cs="Arial"/>
          <w:szCs w:val="18"/>
          <w:lang w:val="en-GB"/>
        </w:rPr>
      </w:pPr>
      <w:r w:rsidRPr="00B81DCD">
        <w:rPr>
          <w:rFonts w:cs="Arial"/>
          <w:szCs w:val="18"/>
          <w:lang w:val="en-GB"/>
        </w:rPr>
        <w:t xml:space="preserve">Two different sensitivity indices are </w:t>
      </w:r>
      <w:r w:rsidR="00660D2A">
        <w:rPr>
          <w:rFonts w:cs="Arial"/>
          <w:szCs w:val="18"/>
          <w:lang w:val="en-GB"/>
        </w:rPr>
        <w:t>generated</w:t>
      </w:r>
      <w:r w:rsidRPr="00B81DCD">
        <w:rPr>
          <w:rFonts w:cs="Arial"/>
          <w:szCs w:val="18"/>
          <w:lang w:val="en-GB"/>
        </w:rPr>
        <w:t xml:space="preserve"> for the latter output.</w:t>
      </w:r>
      <w:r w:rsidR="00E101E0">
        <w:rPr>
          <w:rFonts w:cs="Arial"/>
          <w:szCs w:val="18"/>
          <w:lang w:val="en-GB"/>
        </w:rPr>
        <w:t xml:space="preserve"> </w:t>
      </w:r>
      <w:r w:rsidR="00660D2A">
        <w:rPr>
          <w:rFonts w:cs="Arial"/>
          <w:szCs w:val="18"/>
          <w:lang w:val="en-GB"/>
        </w:rPr>
        <w:t>First,</w:t>
      </w:r>
      <w:r w:rsidRPr="00B81DCD">
        <w:rPr>
          <w:rFonts w:cs="Arial"/>
          <w:szCs w:val="18"/>
          <w:lang w:val="en-GB"/>
        </w:rPr>
        <w:t xml:space="preserve"> the Standardized Regression Coefficients (SRCs) are </w:t>
      </w:r>
      <w:r w:rsidR="00660D2A">
        <w:rPr>
          <w:rFonts w:cs="Arial"/>
          <w:szCs w:val="18"/>
          <w:lang w:val="en-GB"/>
        </w:rPr>
        <w:t>computed</w:t>
      </w:r>
      <w:r w:rsidRPr="00B81DCD">
        <w:rPr>
          <w:rFonts w:cs="Arial"/>
          <w:szCs w:val="18"/>
          <w:lang w:val="en-GB"/>
        </w:rPr>
        <w:t xml:space="preserve"> </w:t>
      </w:r>
      <w:r w:rsidR="00660D2A" w:rsidRPr="00B81DCD">
        <w:rPr>
          <w:rFonts w:cs="Arial"/>
          <w:szCs w:val="18"/>
          <w:lang w:val="en-GB"/>
        </w:rPr>
        <w:t xml:space="preserve">using available MATLAB functions for linear least-squares solver, </w:t>
      </w:r>
      <w:proofErr w:type="spellStart"/>
      <w:r w:rsidR="00660D2A" w:rsidRPr="00B81DCD">
        <w:rPr>
          <w:rFonts w:cs="Arial"/>
          <w:i/>
          <w:iCs/>
          <w:szCs w:val="18"/>
          <w:lang w:val="en-GB"/>
        </w:rPr>
        <w:t>lsqlin</w:t>
      </w:r>
      <w:proofErr w:type="spellEnd"/>
      <w:r w:rsidR="00660D2A" w:rsidRPr="00B81DCD">
        <w:rPr>
          <w:rFonts w:cs="Arial"/>
          <w:szCs w:val="18"/>
          <w:lang w:val="en-GB"/>
        </w:rPr>
        <w:t xml:space="preserve">, and multiple linear regression, </w:t>
      </w:r>
      <w:r w:rsidR="00660D2A" w:rsidRPr="00B81DCD">
        <w:rPr>
          <w:rFonts w:cs="Arial"/>
          <w:i/>
          <w:iCs/>
          <w:szCs w:val="18"/>
          <w:lang w:val="en-GB"/>
        </w:rPr>
        <w:t>regress</w:t>
      </w:r>
      <w:r w:rsidR="00660D2A" w:rsidRPr="00B81DCD">
        <w:rPr>
          <w:rFonts w:cs="Arial"/>
          <w:szCs w:val="18"/>
          <w:lang w:val="en-GB"/>
        </w:rPr>
        <w:t>.</w:t>
      </w:r>
      <w:r w:rsidR="00660D2A">
        <w:rPr>
          <w:rFonts w:cs="Arial"/>
          <w:szCs w:val="18"/>
          <w:lang w:val="en-GB"/>
        </w:rPr>
        <w:t xml:space="preserve"> Second, </w:t>
      </w:r>
      <w:r w:rsidR="009F5BC2">
        <w:rPr>
          <w:rFonts w:cs="Arial"/>
          <w:szCs w:val="18"/>
          <w:lang w:val="en-GB"/>
        </w:rPr>
        <w:t xml:space="preserve">the </w:t>
      </w:r>
      <w:r w:rsidR="009F5BC2">
        <w:rPr>
          <w:rFonts w:cs="Arial"/>
          <w:szCs w:val="18"/>
        </w:rPr>
        <w:t>first order effect (S</w:t>
      </w:r>
      <w:r w:rsidR="009F5BC2" w:rsidRPr="00FF655B">
        <w:rPr>
          <w:rFonts w:cs="Arial"/>
          <w:szCs w:val="18"/>
          <w:vertAlign w:val="subscript"/>
        </w:rPr>
        <w:t>i</w:t>
      </w:r>
      <w:r w:rsidR="009F5BC2">
        <w:rPr>
          <w:rFonts w:cs="Arial"/>
          <w:szCs w:val="18"/>
        </w:rPr>
        <w:t>) and total order effect (ST</w:t>
      </w:r>
      <w:r w:rsidR="009F5BC2" w:rsidRPr="00FF655B">
        <w:rPr>
          <w:rFonts w:cs="Arial"/>
          <w:szCs w:val="18"/>
          <w:vertAlign w:val="subscript"/>
        </w:rPr>
        <w:t>i</w:t>
      </w:r>
      <w:r w:rsidR="009F5BC2">
        <w:rPr>
          <w:rFonts w:cs="Arial"/>
          <w:szCs w:val="18"/>
        </w:rPr>
        <w:t>) indices</w:t>
      </w:r>
      <w:r w:rsidR="0050094A">
        <w:rPr>
          <w:rFonts w:cs="Arial"/>
          <w:szCs w:val="18"/>
        </w:rPr>
        <w:t xml:space="preserve"> are computed using the approximations</w:t>
      </w:r>
      <w:r w:rsidR="009C09E6">
        <w:rPr>
          <w:rFonts w:cs="Arial"/>
          <w:szCs w:val="18"/>
        </w:rPr>
        <w:t xml:space="preserve"> of the variance-based GSA indices</w:t>
      </w:r>
      <w:r w:rsidR="0050094A">
        <w:rPr>
          <w:rFonts w:cs="Arial"/>
          <w:szCs w:val="18"/>
        </w:rPr>
        <w:t xml:space="preserve"> given by Sobol, </w:t>
      </w:r>
      <w:proofErr w:type="spellStart"/>
      <w:r w:rsidR="0050094A">
        <w:rPr>
          <w:rFonts w:cs="Arial"/>
          <w:szCs w:val="18"/>
        </w:rPr>
        <w:t>Saltelli</w:t>
      </w:r>
      <w:proofErr w:type="spellEnd"/>
      <w:r w:rsidR="0050094A">
        <w:rPr>
          <w:rFonts w:cs="Arial"/>
          <w:szCs w:val="18"/>
        </w:rPr>
        <w:t xml:space="preserve"> and Jansen, which are manually implemented in MATLAB</w:t>
      </w:r>
      <w:r w:rsidR="00AF5E9E">
        <w:rPr>
          <w:rFonts w:cs="Arial"/>
          <w:szCs w:val="18"/>
        </w:rPr>
        <w:t xml:space="preserve">. </w:t>
      </w:r>
      <w:proofErr w:type="gramStart"/>
      <w:r w:rsidR="009C7554" w:rsidRPr="00B81DCD">
        <w:rPr>
          <w:rFonts w:cs="Arial"/>
          <w:szCs w:val="18"/>
          <w:lang w:val="en-GB"/>
        </w:rPr>
        <w:t>In order t</w:t>
      </w:r>
      <w:r w:rsidR="003E27E5" w:rsidRPr="00B81DCD">
        <w:rPr>
          <w:rFonts w:cs="Arial"/>
          <w:szCs w:val="18"/>
          <w:lang w:val="en-GB"/>
        </w:rPr>
        <w:t>o</w:t>
      </w:r>
      <w:proofErr w:type="gramEnd"/>
      <w:r w:rsidR="003E27E5" w:rsidRPr="00B81DCD">
        <w:rPr>
          <w:rFonts w:cs="Arial"/>
          <w:szCs w:val="18"/>
          <w:lang w:val="en-GB"/>
        </w:rPr>
        <w:t xml:space="preserve"> ensure </w:t>
      </w:r>
      <w:r w:rsidR="00010D15" w:rsidRPr="00B81DCD">
        <w:rPr>
          <w:rFonts w:cs="Arial"/>
          <w:szCs w:val="18"/>
          <w:lang w:val="en-GB"/>
        </w:rPr>
        <w:t xml:space="preserve">statistical consistency and </w:t>
      </w:r>
      <w:r w:rsidR="004556B7" w:rsidRPr="00B81DCD">
        <w:rPr>
          <w:rFonts w:cs="Arial"/>
          <w:szCs w:val="18"/>
          <w:lang w:val="en-GB"/>
        </w:rPr>
        <w:t>reliability</w:t>
      </w:r>
      <w:r w:rsidR="003E27E5" w:rsidRPr="00B81DCD">
        <w:rPr>
          <w:rFonts w:cs="Arial"/>
          <w:szCs w:val="18"/>
          <w:lang w:val="en-GB"/>
        </w:rPr>
        <w:t xml:space="preserve"> of the sensitivity </w:t>
      </w:r>
      <w:r w:rsidR="00010D15" w:rsidRPr="00B81DCD">
        <w:rPr>
          <w:rFonts w:cs="Arial"/>
          <w:szCs w:val="18"/>
          <w:lang w:val="en-GB"/>
        </w:rPr>
        <w:t>indices</w:t>
      </w:r>
      <w:r w:rsidR="003E27E5" w:rsidRPr="00B81DCD">
        <w:rPr>
          <w:rFonts w:cs="Arial"/>
          <w:szCs w:val="18"/>
          <w:lang w:val="en-GB"/>
        </w:rPr>
        <w:t xml:space="preserve">, the convergence of the first two moments </w:t>
      </w:r>
      <w:r w:rsidR="00FE75A3">
        <w:rPr>
          <w:rFonts w:cs="Arial"/>
          <w:szCs w:val="18"/>
          <w:lang w:val="en-GB"/>
        </w:rPr>
        <w:t xml:space="preserve">– mean and variance – </w:t>
      </w:r>
      <w:r w:rsidR="003E27E5" w:rsidRPr="00B81DCD">
        <w:rPr>
          <w:rFonts w:cs="Arial"/>
          <w:szCs w:val="18"/>
          <w:lang w:val="en-GB"/>
        </w:rPr>
        <w:t>of the output distributions</w:t>
      </w:r>
      <w:r w:rsidR="00A020B3" w:rsidRPr="00B81DCD">
        <w:rPr>
          <w:rFonts w:cs="Arial"/>
          <w:szCs w:val="18"/>
          <w:lang w:val="en-GB"/>
        </w:rPr>
        <w:t>,</w:t>
      </w:r>
      <w:r w:rsidR="003E27E5" w:rsidRPr="00B81DCD">
        <w:rPr>
          <w:rFonts w:cs="Arial"/>
          <w:szCs w:val="18"/>
          <w:lang w:val="en-GB"/>
        </w:rPr>
        <w:t xml:space="preserve"> </w:t>
      </w:r>
      <w:r w:rsidR="00384DF5" w:rsidRPr="00B81DCD">
        <w:rPr>
          <w:rFonts w:cs="Arial"/>
          <w:szCs w:val="18"/>
          <w:lang w:val="en-GB"/>
        </w:rPr>
        <w:t>guided by the Law of Large Numbers (LLN)</w:t>
      </w:r>
      <w:r w:rsidR="00A020B3" w:rsidRPr="00B81DCD">
        <w:rPr>
          <w:rFonts w:cs="Arial"/>
          <w:szCs w:val="18"/>
          <w:lang w:val="en-GB"/>
        </w:rPr>
        <w:t xml:space="preserve">, is </w:t>
      </w:r>
      <w:r w:rsidR="00010D15" w:rsidRPr="00B81DCD">
        <w:rPr>
          <w:rFonts w:cs="Arial"/>
          <w:szCs w:val="18"/>
          <w:lang w:val="en-GB"/>
        </w:rPr>
        <w:t>implemented</w:t>
      </w:r>
      <w:r w:rsidR="0027130A" w:rsidRPr="00B81DCD">
        <w:rPr>
          <w:rFonts w:cs="Arial"/>
          <w:szCs w:val="18"/>
          <w:lang w:val="en-GB"/>
        </w:rPr>
        <w:t xml:space="preserve">. </w:t>
      </w:r>
      <w:r w:rsidR="00885F6F" w:rsidRPr="00B81DCD">
        <w:rPr>
          <w:rFonts w:cs="Arial"/>
          <w:szCs w:val="18"/>
          <w:lang w:val="en-GB"/>
        </w:rPr>
        <w:t>In this regard, t</w:t>
      </w:r>
      <w:r w:rsidR="000316BD" w:rsidRPr="00B81DCD">
        <w:rPr>
          <w:rFonts w:cs="Arial"/>
          <w:szCs w:val="18"/>
          <w:lang w:val="en-GB"/>
        </w:rPr>
        <w:t>he</w:t>
      </w:r>
      <w:r w:rsidR="0027130A" w:rsidRPr="00B81DCD">
        <w:rPr>
          <w:rFonts w:cs="Arial"/>
          <w:szCs w:val="18"/>
          <w:lang w:val="en-GB"/>
        </w:rPr>
        <w:t xml:space="preserve"> </w:t>
      </w:r>
      <w:r w:rsidR="000316BD" w:rsidRPr="00B81DCD">
        <w:rPr>
          <w:rFonts w:cs="Arial"/>
          <w:szCs w:val="18"/>
          <w:lang w:val="en-GB"/>
        </w:rPr>
        <w:t>graphical method of Maximum-to-Sum plots</w:t>
      </w:r>
      <w:r w:rsidR="00586C63" w:rsidRPr="00B81DCD">
        <w:rPr>
          <w:rFonts w:cs="Arial"/>
          <w:szCs w:val="18"/>
          <w:lang w:val="en-GB"/>
        </w:rPr>
        <w:t xml:space="preserve"> provides</w:t>
      </w:r>
      <w:r w:rsidR="00582662" w:rsidRPr="00B81DCD">
        <w:rPr>
          <w:rFonts w:cs="Arial"/>
          <w:szCs w:val="18"/>
          <w:lang w:val="en-GB"/>
        </w:rPr>
        <w:t xml:space="preserve"> an indication of </w:t>
      </w:r>
      <w:r w:rsidR="00A020B3" w:rsidRPr="00B81DCD">
        <w:rPr>
          <w:rFonts w:cs="Arial"/>
          <w:szCs w:val="18"/>
          <w:lang w:val="en-GB"/>
        </w:rPr>
        <w:t>the required</w:t>
      </w:r>
      <w:r w:rsidR="00582662" w:rsidRPr="00B81DCD">
        <w:rPr>
          <w:rFonts w:cs="Arial"/>
          <w:szCs w:val="18"/>
          <w:lang w:val="en-GB"/>
        </w:rPr>
        <w:t xml:space="preserve"> number of MC simulations </w:t>
      </w:r>
      <w:r w:rsidR="007A6DFB" w:rsidRPr="00B81DCD">
        <w:rPr>
          <w:rFonts w:cs="Arial"/>
          <w:szCs w:val="18"/>
          <w:lang w:val="en-GB"/>
        </w:rPr>
        <w:t xml:space="preserve">for </w:t>
      </w:r>
      <w:r w:rsidR="00885F6F" w:rsidRPr="00B81DCD">
        <w:rPr>
          <w:rFonts w:cs="Arial"/>
          <w:szCs w:val="18"/>
          <w:lang w:val="en-GB"/>
        </w:rPr>
        <w:t xml:space="preserve">a </w:t>
      </w:r>
      <w:r w:rsidR="00A020B3" w:rsidRPr="00B81DCD">
        <w:rPr>
          <w:rFonts w:cs="Arial"/>
          <w:szCs w:val="18"/>
          <w:lang w:val="en-GB"/>
        </w:rPr>
        <w:t>re</w:t>
      </w:r>
      <w:r w:rsidR="007A6DFB" w:rsidRPr="00B81DCD">
        <w:rPr>
          <w:rFonts w:cs="Arial"/>
          <w:szCs w:val="18"/>
          <w:lang w:val="en-GB"/>
        </w:rPr>
        <w:t xml:space="preserve"> sensitivity analysis</w:t>
      </w:r>
      <w:r w:rsidR="00BE164C" w:rsidRPr="00B81DCD">
        <w:rPr>
          <w:rFonts w:cs="Arial"/>
          <w:szCs w:val="18"/>
          <w:lang w:val="en-GB"/>
        </w:rPr>
        <w:t xml:space="preserve">. </w:t>
      </w:r>
    </w:p>
    <w:p w14:paraId="01FCBBA4" w14:textId="77777777" w:rsidR="005C1A57" w:rsidRPr="00B81DCD" w:rsidRDefault="005C1A57" w:rsidP="00F879FE">
      <w:pPr>
        <w:pStyle w:val="BOAHeading"/>
        <w:rPr>
          <w:lang w:val="en-GB"/>
        </w:rPr>
      </w:pPr>
      <w:r w:rsidRPr="00B81DCD">
        <w:rPr>
          <w:lang w:val="en-GB"/>
        </w:rPr>
        <w:t>3. Results and discussion</w:t>
      </w:r>
    </w:p>
    <w:p w14:paraId="5C96AEF2" w14:textId="323ECD0F" w:rsidR="00A26B7D" w:rsidRPr="00B81DCD" w:rsidRDefault="00A26B7D" w:rsidP="007A6DFB">
      <w:pPr>
        <w:pStyle w:val="BOAAbstractBody"/>
        <w:rPr>
          <w:rFonts w:cs="Arial"/>
          <w:szCs w:val="18"/>
          <w:lang w:val="en-GB"/>
        </w:rPr>
      </w:pPr>
      <w:r w:rsidRPr="00B81DCD">
        <w:rPr>
          <w:rFonts w:cs="Arial"/>
          <w:szCs w:val="18"/>
          <w:lang w:val="en-GB"/>
        </w:rPr>
        <w:t xml:space="preserve">MC simulations are </w:t>
      </w:r>
      <w:r w:rsidR="00512B4E" w:rsidRPr="00B81DCD">
        <w:rPr>
          <w:rFonts w:cs="Arial"/>
          <w:szCs w:val="18"/>
          <w:lang w:val="en-GB"/>
        </w:rPr>
        <w:t>executed</w:t>
      </w:r>
      <w:r w:rsidR="00CE5A31" w:rsidRPr="00B81DCD">
        <w:rPr>
          <w:rFonts w:cs="Arial"/>
          <w:szCs w:val="18"/>
          <w:lang w:val="en-GB"/>
        </w:rPr>
        <w:t xml:space="preserve"> sampling from the </w:t>
      </w:r>
      <w:r w:rsidR="004B61E0" w:rsidRPr="00B81DCD">
        <w:rPr>
          <w:rFonts w:cs="Arial"/>
          <w:szCs w:val="18"/>
          <w:lang w:val="en-GB"/>
        </w:rPr>
        <w:t>above-mentioned</w:t>
      </w:r>
      <w:r w:rsidR="00CE5A31" w:rsidRPr="00B81DCD">
        <w:rPr>
          <w:rFonts w:cs="Arial"/>
          <w:szCs w:val="18"/>
          <w:lang w:val="en-GB"/>
        </w:rPr>
        <w:t xml:space="preserve"> input distributions</w:t>
      </w:r>
      <w:r w:rsidRPr="00B81DCD">
        <w:rPr>
          <w:rFonts w:cs="Arial"/>
          <w:szCs w:val="18"/>
          <w:lang w:val="en-GB"/>
        </w:rPr>
        <w:t xml:space="preserve"> and the two out</w:t>
      </w:r>
      <w:r w:rsidR="00020DD5" w:rsidRPr="00B81DCD">
        <w:rPr>
          <w:rFonts w:cs="Arial"/>
          <w:szCs w:val="18"/>
          <w:lang w:val="en-GB"/>
        </w:rPr>
        <w:t>puts</w:t>
      </w:r>
      <w:r w:rsidRPr="00B81DCD">
        <w:rPr>
          <w:rFonts w:cs="Arial"/>
          <w:szCs w:val="18"/>
          <w:lang w:val="en-GB"/>
        </w:rPr>
        <w:t xml:space="preserve"> calculated, </w:t>
      </w:r>
      <w:r w:rsidR="00940B86" w:rsidRPr="00B81DCD">
        <w:rPr>
          <w:rFonts w:cs="Arial"/>
          <w:szCs w:val="18"/>
          <w:lang w:val="en-GB"/>
        </w:rPr>
        <w:t>wh</w:t>
      </w:r>
      <w:r w:rsidR="00CE5A31" w:rsidRPr="00B81DCD">
        <w:rPr>
          <w:rFonts w:cs="Arial"/>
          <w:szCs w:val="18"/>
          <w:lang w:val="en-GB"/>
        </w:rPr>
        <w:t>ose distributions</w:t>
      </w:r>
      <w:r w:rsidR="00940B86" w:rsidRPr="00B81DCD">
        <w:rPr>
          <w:rFonts w:cs="Arial"/>
          <w:szCs w:val="18"/>
          <w:lang w:val="en-GB"/>
        </w:rPr>
        <w:t xml:space="preserve"> are characterized </w:t>
      </w:r>
      <w:r w:rsidR="00887D67" w:rsidRPr="00B81DCD">
        <w:rPr>
          <w:rFonts w:cs="Arial"/>
          <w:szCs w:val="18"/>
          <w:lang w:val="en-GB"/>
        </w:rPr>
        <w:t>by a mean value of 346.33 (g/s) and 0.3644 (g/m</w:t>
      </w:r>
      <w:r w:rsidR="00887D67" w:rsidRPr="00B81DCD">
        <w:rPr>
          <w:rFonts w:cs="Arial"/>
          <w:szCs w:val="18"/>
          <w:vertAlign w:val="superscript"/>
          <w:lang w:val="en-GB"/>
        </w:rPr>
        <w:t>3</w:t>
      </w:r>
      <w:r w:rsidR="00887D67" w:rsidRPr="00B81DCD">
        <w:rPr>
          <w:rFonts w:cs="Arial"/>
          <w:szCs w:val="18"/>
          <w:lang w:val="en-GB"/>
        </w:rPr>
        <w:t xml:space="preserve">) and standard deviation </w:t>
      </w:r>
      <w:r w:rsidR="0028383C" w:rsidRPr="00B81DCD">
        <w:rPr>
          <w:rFonts w:cs="Arial"/>
          <w:szCs w:val="18"/>
          <w:lang w:val="en-GB"/>
        </w:rPr>
        <w:t>values of 107.89 (g/s) and 0.8899 (g/m</w:t>
      </w:r>
      <w:r w:rsidR="0028383C" w:rsidRPr="00B81DCD">
        <w:rPr>
          <w:rFonts w:cs="Arial"/>
          <w:szCs w:val="18"/>
          <w:vertAlign w:val="superscript"/>
          <w:lang w:val="en-GB"/>
        </w:rPr>
        <w:t>3</w:t>
      </w:r>
      <w:r w:rsidR="0028383C" w:rsidRPr="00B81DCD">
        <w:rPr>
          <w:rFonts w:cs="Arial"/>
          <w:szCs w:val="18"/>
          <w:lang w:val="en-GB"/>
        </w:rPr>
        <w:t>)</w:t>
      </w:r>
      <w:r w:rsidR="001B0049" w:rsidRPr="00B81DCD">
        <w:rPr>
          <w:rFonts w:cs="Arial"/>
          <w:szCs w:val="18"/>
          <w:lang w:val="en-GB"/>
        </w:rPr>
        <w:t xml:space="preserve"> respectively. These values </w:t>
      </w:r>
      <w:r w:rsidR="00A57197" w:rsidRPr="00B81DCD">
        <w:rPr>
          <w:rFonts w:cs="Arial"/>
          <w:szCs w:val="18"/>
          <w:lang w:val="en-GB"/>
        </w:rPr>
        <w:t>indicate</w:t>
      </w:r>
      <w:r w:rsidR="001B0049" w:rsidRPr="00B81DCD">
        <w:rPr>
          <w:rFonts w:cs="Arial"/>
          <w:szCs w:val="18"/>
          <w:lang w:val="en-GB"/>
        </w:rPr>
        <w:t xml:space="preserve"> that the </w:t>
      </w:r>
      <w:r w:rsidR="00A6397E" w:rsidRPr="00B81DCD">
        <w:rPr>
          <w:rFonts w:cs="Arial"/>
          <w:szCs w:val="18"/>
          <w:lang w:val="en-GB"/>
        </w:rPr>
        <w:t>concentration values are highly spread in comparison to the e</w:t>
      </w:r>
      <w:r w:rsidR="00512B4E" w:rsidRPr="00B81DCD">
        <w:rPr>
          <w:rFonts w:cs="Arial"/>
          <w:szCs w:val="18"/>
          <w:lang w:val="en-GB"/>
        </w:rPr>
        <w:t xml:space="preserve">vaporation rate, </w:t>
      </w:r>
      <w:r w:rsidR="00724F9C" w:rsidRPr="00B81DCD">
        <w:rPr>
          <w:rFonts w:cs="Arial"/>
          <w:szCs w:val="18"/>
          <w:lang w:val="en-GB"/>
        </w:rPr>
        <w:t xml:space="preserve">which </w:t>
      </w:r>
      <w:r w:rsidR="00860E4C" w:rsidRPr="00B81DCD">
        <w:rPr>
          <w:rFonts w:cs="Arial"/>
          <w:szCs w:val="18"/>
          <w:lang w:val="en-GB"/>
        </w:rPr>
        <w:t>exhibits</w:t>
      </w:r>
      <w:r w:rsidR="00314898" w:rsidRPr="00B81DCD">
        <w:rPr>
          <w:rFonts w:cs="Arial"/>
          <w:szCs w:val="18"/>
          <w:lang w:val="en-GB"/>
        </w:rPr>
        <w:t xml:space="preserve"> a </w:t>
      </w:r>
      <w:r w:rsidR="003E7464" w:rsidRPr="00B81DCD">
        <w:rPr>
          <w:rFonts w:cs="Arial"/>
          <w:szCs w:val="18"/>
          <w:lang w:val="en-GB"/>
        </w:rPr>
        <w:t>C</w:t>
      </w:r>
      <w:r w:rsidR="00A9445C" w:rsidRPr="00B81DCD">
        <w:rPr>
          <w:rFonts w:cs="Arial"/>
          <w:szCs w:val="18"/>
          <w:lang w:val="en-GB"/>
        </w:rPr>
        <w:t xml:space="preserve">oefficient of </w:t>
      </w:r>
      <w:r w:rsidR="003E7464" w:rsidRPr="00B81DCD">
        <w:rPr>
          <w:rFonts w:cs="Arial"/>
          <w:szCs w:val="18"/>
          <w:lang w:val="en-GB"/>
        </w:rPr>
        <w:t>V</w:t>
      </w:r>
      <w:r w:rsidR="00A9445C" w:rsidRPr="00B81DCD">
        <w:rPr>
          <w:rFonts w:cs="Arial"/>
          <w:szCs w:val="18"/>
          <w:lang w:val="en-GB"/>
        </w:rPr>
        <w:t>ariation</w:t>
      </w:r>
      <w:r w:rsidR="003E7464" w:rsidRPr="00B81DCD">
        <w:rPr>
          <w:rFonts w:cs="Arial"/>
          <w:szCs w:val="18"/>
          <w:lang w:val="en-GB"/>
        </w:rPr>
        <w:t xml:space="preserve"> (CV)</w:t>
      </w:r>
      <w:r w:rsidR="00A9445C" w:rsidRPr="00B81DCD">
        <w:rPr>
          <w:rFonts w:cs="Arial"/>
          <w:szCs w:val="18"/>
          <w:lang w:val="en-GB"/>
        </w:rPr>
        <w:t xml:space="preserve"> of </w:t>
      </w:r>
      <w:r w:rsidR="00C43690" w:rsidRPr="00B81DCD">
        <w:rPr>
          <w:rFonts w:cs="Arial"/>
          <w:szCs w:val="18"/>
          <w:lang w:val="en-GB"/>
        </w:rPr>
        <w:t xml:space="preserve">0.31 against that for the concentration of </w:t>
      </w:r>
      <w:r w:rsidR="00A57197" w:rsidRPr="00B81DCD">
        <w:rPr>
          <w:rFonts w:cs="Arial"/>
          <w:szCs w:val="18"/>
          <w:lang w:val="en-GB"/>
        </w:rPr>
        <w:t>2.44.</w:t>
      </w:r>
      <w:r w:rsidR="009F2784" w:rsidRPr="00B81DCD">
        <w:rPr>
          <w:rFonts w:cs="Arial"/>
          <w:szCs w:val="18"/>
          <w:lang w:val="en-GB"/>
        </w:rPr>
        <w:t xml:space="preserve"> Figure 1 </w:t>
      </w:r>
      <w:r w:rsidR="00B47E65" w:rsidRPr="00B81DCD">
        <w:rPr>
          <w:rFonts w:cs="Arial"/>
          <w:szCs w:val="18"/>
          <w:lang w:val="en-GB"/>
        </w:rPr>
        <w:t>further demonstrates</w:t>
      </w:r>
      <w:r w:rsidR="00C40BA8" w:rsidRPr="00B81DCD">
        <w:rPr>
          <w:rFonts w:cs="Arial"/>
          <w:szCs w:val="18"/>
          <w:lang w:val="en-GB"/>
        </w:rPr>
        <w:t xml:space="preserve"> </w:t>
      </w:r>
      <w:r w:rsidR="00C93242" w:rsidRPr="00B81DCD">
        <w:rPr>
          <w:rFonts w:cs="Arial"/>
          <w:szCs w:val="18"/>
          <w:lang w:val="en-GB"/>
        </w:rPr>
        <w:t xml:space="preserve">this statement </w:t>
      </w:r>
      <w:r w:rsidR="00C40BA8" w:rsidRPr="00B81DCD">
        <w:rPr>
          <w:rFonts w:cs="Arial"/>
          <w:szCs w:val="18"/>
          <w:lang w:val="en-GB"/>
        </w:rPr>
        <w:t>by</w:t>
      </w:r>
      <w:r w:rsidR="00C93242" w:rsidRPr="00B81DCD">
        <w:rPr>
          <w:rFonts w:cs="Arial"/>
          <w:szCs w:val="18"/>
          <w:lang w:val="en-GB"/>
        </w:rPr>
        <w:t xml:space="preserve"> displaying </w:t>
      </w:r>
      <w:r w:rsidR="008F049D" w:rsidRPr="00B81DCD">
        <w:rPr>
          <w:rFonts w:cs="Arial"/>
          <w:szCs w:val="18"/>
          <w:lang w:val="en-GB"/>
        </w:rPr>
        <w:t xml:space="preserve">a </w:t>
      </w:r>
      <w:r w:rsidR="005E252B" w:rsidRPr="00B81DCD">
        <w:rPr>
          <w:rFonts w:cs="Arial"/>
          <w:szCs w:val="18"/>
          <w:lang w:val="en-GB"/>
        </w:rPr>
        <w:t xml:space="preserve">slower convergence of the </w:t>
      </w:r>
      <w:r w:rsidR="009076CE" w:rsidRPr="00B81DCD">
        <w:rPr>
          <w:rFonts w:cs="Arial"/>
          <w:szCs w:val="18"/>
          <w:lang w:val="en-GB"/>
        </w:rPr>
        <w:t xml:space="preserve">logarithmic </w:t>
      </w:r>
      <w:r w:rsidR="005E252B" w:rsidRPr="00B81DCD">
        <w:rPr>
          <w:rFonts w:cs="Arial"/>
          <w:szCs w:val="18"/>
          <w:lang w:val="en-GB"/>
        </w:rPr>
        <w:t xml:space="preserve">Maximum-to-Sum plots </w:t>
      </w:r>
      <w:r w:rsidR="00EF6838" w:rsidRPr="00B81DCD">
        <w:rPr>
          <w:rFonts w:cs="Arial"/>
          <w:szCs w:val="18"/>
          <w:lang w:val="en-GB"/>
        </w:rPr>
        <w:t xml:space="preserve">for concentration in comparison to the evaporation rate. </w:t>
      </w:r>
      <w:r w:rsidR="006C084A" w:rsidRPr="00B81DCD">
        <w:rPr>
          <w:rFonts w:cs="Arial"/>
          <w:szCs w:val="18"/>
          <w:lang w:val="en-GB"/>
        </w:rPr>
        <w:t xml:space="preserve">This </w:t>
      </w:r>
      <w:r w:rsidR="009076CE" w:rsidRPr="00B81DCD">
        <w:rPr>
          <w:rFonts w:cs="Arial"/>
          <w:szCs w:val="18"/>
          <w:lang w:val="en-GB"/>
        </w:rPr>
        <w:t>can be attributed</w:t>
      </w:r>
      <w:r w:rsidR="006C084A" w:rsidRPr="00B81DCD">
        <w:rPr>
          <w:rFonts w:cs="Arial"/>
          <w:szCs w:val="18"/>
          <w:lang w:val="en-GB"/>
        </w:rPr>
        <w:t xml:space="preserve"> to the fact that </w:t>
      </w:r>
      <w:r w:rsidR="001B2A30" w:rsidRPr="00B81DCD">
        <w:rPr>
          <w:rFonts w:cs="Arial"/>
          <w:szCs w:val="18"/>
          <w:lang w:val="en-GB"/>
        </w:rPr>
        <w:t>evaporation rate is only affected in this study by the</w:t>
      </w:r>
      <w:r w:rsidR="00E5043E" w:rsidRPr="00B81DCD">
        <w:rPr>
          <w:rFonts w:cs="Arial"/>
          <w:szCs w:val="18"/>
          <w:lang w:val="en-GB"/>
        </w:rPr>
        <w:t xml:space="preserve"> ambient temperature, while concentration is additionally affected by the </w:t>
      </w:r>
      <w:r w:rsidR="00AF5E9E">
        <w:rPr>
          <w:rFonts w:cs="Arial"/>
          <w:szCs w:val="18"/>
          <w:lang w:val="en-GB"/>
        </w:rPr>
        <w:t>other input variables considered in the work</w:t>
      </w:r>
      <w:r w:rsidR="00FA5658" w:rsidRPr="00B81DCD">
        <w:rPr>
          <w:rFonts w:cs="Arial"/>
          <w:szCs w:val="18"/>
          <w:lang w:val="en-GB"/>
        </w:rPr>
        <w:t xml:space="preserve">. </w:t>
      </w:r>
    </w:p>
    <w:p w14:paraId="54AD3478" w14:textId="77777777" w:rsidR="00860E4C" w:rsidRPr="00B81DCD" w:rsidRDefault="00860E4C" w:rsidP="007A6DFB">
      <w:pPr>
        <w:pStyle w:val="BOAAbstractBody"/>
        <w:rPr>
          <w:rFonts w:cs="Arial"/>
          <w:szCs w:val="18"/>
          <w:lang w:val="en-GB"/>
        </w:rPr>
      </w:pPr>
    </w:p>
    <w:p w14:paraId="3214E330" w14:textId="01BB0067" w:rsidR="00D15730" w:rsidRPr="00B81DCD" w:rsidRDefault="00A20149" w:rsidP="00D15730">
      <w:pPr>
        <w:pStyle w:val="BOAAbstractBody"/>
        <w:rPr>
          <w:rFonts w:cs="Arial"/>
          <w:szCs w:val="18"/>
          <w:lang w:val="en-GB"/>
        </w:rPr>
      </w:pPr>
      <w:r w:rsidRPr="00B81DCD">
        <w:rPr>
          <w:rFonts w:cs="Arial"/>
          <w:szCs w:val="18"/>
          <w:lang w:val="en-GB"/>
        </w:rPr>
        <w:t>The number of MC simulations performed</w:t>
      </w:r>
      <w:r w:rsidR="00FE7B8D" w:rsidRPr="00B81DCD">
        <w:rPr>
          <w:rFonts w:cs="Arial"/>
          <w:szCs w:val="18"/>
          <w:lang w:val="en-GB"/>
        </w:rPr>
        <w:t xml:space="preserve"> – </w:t>
      </w:r>
      <w:r w:rsidR="00860E4C" w:rsidRPr="00B81DCD">
        <w:rPr>
          <w:rFonts w:cs="Arial"/>
          <w:szCs w:val="18"/>
          <w:lang w:val="en-GB"/>
        </w:rPr>
        <w:t>500 000</w:t>
      </w:r>
      <w:r w:rsidR="00FE7B8D" w:rsidRPr="00B81DCD">
        <w:rPr>
          <w:rFonts w:cs="Arial"/>
          <w:szCs w:val="18"/>
          <w:lang w:val="en-GB"/>
        </w:rPr>
        <w:t xml:space="preserve"> –</w:t>
      </w:r>
      <w:r w:rsidR="00860E4C" w:rsidRPr="00B81DCD">
        <w:rPr>
          <w:rFonts w:cs="Arial"/>
          <w:szCs w:val="18"/>
          <w:lang w:val="en-GB"/>
        </w:rPr>
        <w:t xml:space="preserve"> ensur</w:t>
      </w:r>
      <w:r w:rsidR="00FE7B8D" w:rsidRPr="00B81DCD">
        <w:rPr>
          <w:rFonts w:cs="Arial"/>
          <w:szCs w:val="18"/>
          <w:lang w:val="en-GB"/>
        </w:rPr>
        <w:t>es the</w:t>
      </w:r>
      <w:r w:rsidR="00860E4C" w:rsidRPr="00B81DCD">
        <w:rPr>
          <w:rFonts w:cs="Arial"/>
          <w:szCs w:val="18"/>
          <w:lang w:val="en-GB"/>
        </w:rPr>
        <w:t xml:space="preserve"> validity of the sensitivity analysis, </w:t>
      </w:r>
      <w:r w:rsidR="00FE7B8D" w:rsidRPr="00B81DCD">
        <w:rPr>
          <w:rFonts w:cs="Arial"/>
          <w:szCs w:val="18"/>
          <w:lang w:val="en-GB"/>
        </w:rPr>
        <w:t>by allowing the output distributions</w:t>
      </w:r>
      <w:r w:rsidR="00AF5E9E">
        <w:rPr>
          <w:rFonts w:cs="Arial"/>
          <w:szCs w:val="18"/>
          <w:lang w:val="en-GB"/>
        </w:rPr>
        <w:t xml:space="preserve"> moments</w:t>
      </w:r>
      <w:r w:rsidR="00FE7B8D" w:rsidRPr="00B81DCD">
        <w:rPr>
          <w:rFonts w:cs="Arial"/>
          <w:szCs w:val="18"/>
          <w:lang w:val="en-GB"/>
        </w:rPr>
        <w:t xml:space="preserve"> to converge to</w:t>
      </w:r>
      <w:r w:rsidR="0086775A" w:rsidRPr="00B81DCD">
        <w:rPr>
          <w:rFonts w:cs="Arial"/>
          <w:szCs w:val="18"/>
          <w:lang w:val="en-GB"/>
        </w:rPr>
        <w:t>wards</w:t>
      </w:r>
      <w:r w:rsidR="00FE7B8D" w:rsidRPr="00B81DCD">
        <w:rPr>
          <w:rFonts w:cs="Arial"/>
          <w:szCs w:val="18"/>
          <w:lang w:val="en-GB"/>
        </w:rPr>
        <w:t xml:space="preserve"> </w:t>
      </w:r>
      <w:r w:rsidR="0086775A" w:rsidRPr="00B81DCD">
        <w:rPr>
          <w:rFonts w:cs="Arial"/>
          <w:szCs w:val="18"/>
          <w:lang w:val="en-GB"/>
        </w:rPr>
        <w:t xml:space="preserve">zero, </w:t>
      </w:r>
      <w:r w:rsidR="00860E4C" w:rsidRPr="00B81DCD">
        <w:rPr>
          <w:rFonts w:cs="Arial"/>
          <w:szCs w:val="18"/>
          <w:lang w:val="en-GB"/>
        </w:rPr>
        <w:t xml:space="preserve">as can be seen in </w:t>
      </w:r>
      <w:r w:rsidR="0086775A" w:rsidRPr="00B81DCD">
        <w:rPr>
          <w:rFonts w:cs="Arial"/>
          <w:szCs w:val="18"/>
          <w:lang w:val="en-GB"/>
        </w:rPr>
        <w:t xml:space="preserve">the Maximum-to-Sum plots in </w:t>
      </w:r>
      <w:r w:rsidR="001F6DC3" w:rsidRPr="00B81DCD">
        <w:rPr>
          <w:rFonts w:cs="Arial"/>
          <w:szCs w:val="18"/>
          <w:lang w:val="en-GB"/>
        </w:rPr>
        <w:t>Fi</w:t>
      </w:r>
      <w:r w:rsidR="00860E4C" w:rsidRPr="00B81DCD">
        <w:rPr>
          <w:rFonts w:cs="Arial"/>
          <w:szCs w:val="18"/>
          <w:lang w:val="en-GB"/>
        </w:rPr>
        <w:t xml:space="preserve">gure </w:t>
      </w:r>
      <w:r w:rsidR="001F6DC3" w:rsidRPr="00B81DCD">
        <w:rPr>
          <w:rFonts w:cs="Arial"/>
          <w:szCs w:val="18"/>
          <w:lang w:val="en-GB"/>
        </w:rPr>
        <w:t>1</w:t>
      </w:r>
      <w:r w:rsidR="0086775A" w:rsidRPr="00B81DCD">
        <w:rPr>
          <w:rFonts w:cs="Arial"/>
          <w:szCs w:val="18"/>
          <w:lang w:val="en-GB"/>
        </w:rPr>
        <w:t>.</w:t>
      </w:r>
      <w:r w:rsidR="001F6DC3" w:rsidRPr="00B81DCD">
        <w:rPr>
          <w:rFonts w:cs="Arial"/>
          <w:szCs w:val="18"/>
          <w:lang w:val="en-GB"/>
        </w:rPr>
        <w:t xml:space="preserve"> </w:t>
      </w:r>
      <w:r w:rsidR="00D15730" w:rsidRPr="00B81DCD">
        <w:rPr>
          <w:rFonts w:cs="Arial"/>
          <w:szCs w:val="18"/>
          <w:lang w:val="en-GB"/>
        </w:rPr>
        <w:t>SRCs are calculated including as inputs the stability class and the dispersion coefficients, providing a goodness of the fit – coefficient of determination, R</w:t>
      </w:r>
      <w:r w:rsidR="00D15730" w:rsidRPr="00B81DCD">
        <w:rPr>
          <w:rFonts w:cs="Arial"/>
          <w:szCs w:val="18"/>
          <w:vertAlign w:val="superscript"/>
          <w:lang w:val="en-GB"/>
        </w:rPr>
        <w:t>2</w:t>
      </w:r>
      <w:r w:rsidR="00D15730" w:rsidRPr="00B81DCD">
        <w:rPr>
          <w:rFonts w:cs="Arial"/>
          <w:szCs w:val="18"/>
          <w:lang w:val="en-GB"/>
        </w:rPr>
        <w:t xml:space="preserve"> – </w:t>
      </w:r>
      <w:r w:rsidR="00172C7B" w:rsidRPr="00B81DCD">
        <w:rPr>
          <w:rFonts w:cs="Arial"/>
          <w:szCs w:val="18"/>
          <w:lang w:val="en-GB"/>
        </w:rPr>
        <w:t>of</w:t>
      </w:r>
      <w:r w:rsidR="00D15730" w:rsidRPr="00B81DCD">
        <w:rPr>
          <w:rFonts w:cs="Arial"/>
          <w:szCs w:val="18"/>
          <w:lang w:val="en-GB"/>
        </w:rPr>
        <w:t xml:space="preserve"> 0.588 </w:t>
      </w:r>
      <w:r w:rsidR="00172C7B" w:rsidRPr="00B81DCD">
        <w:rPr>
          <w:rFonts w:cs="Arial"/>
          <w:szCs w:val="18"/>
          <w:lang w:val="en-GB"/>
        </w:rPr>
        <w:t xml:space="preserve">for </w:t>
      </w:r>
      <w:proofErr w:type="spellStart"/>
      <w:r w:rsidR="00172C7B" w:rsidRPr="00B81DCD">
        <w:rPr>
          <w:rFonts w:cs="Arial"/>
          <w:i/>
          <w:iCs/>
          <w:szCs w:val="18"/>
          <w:lang w:val="en-GB"/>
        </w:rPr>
        <w:t>lsqlin</w:t>
      </w:r>
      <w:proofErr w:type="spellEnd"/>
      <w:r w:rsidR="00172C7B" w:rsidRPr="00B81DCD">
        <w:rPr>
          <w:rFonts w:cs="Arial"/>
          <w:szCs w:val="18"/>
          <w:lang w:val="en-GB"/>
        </w:rPr>
        <w:t xml:space="preserve"> method </w:t>
      </w:r>
      <w:r w:rsidR="00D15730" w:rsidRPr="00B81DCD">
        <w:rPr>
          <w:rFonts w:cs="Arial"/>
          <w:szCs w:val="18"/>
          <w:lang w:val="en-GB"/>
        </w:rPr>
        <w:t xml:space="preserve">and 0.622 </w:t>
      </w:r>
      <w:r w:rsidR="00172C7B" w:rsidRPr="00B81DCD">
        <w:rPr>
          <w:rFonts w:cs="Arial"/>
          <w:szCs w:val="18"/>
          <w:lang w:val="en-GB"/>
        </w:rPr>
        <w:t>for the</w:t>
      </w:r>
      <w:r w:rsidR="00D15730" w:rsidRPr="00B81DCD">
        <w:rPr>
          <w:rFonts w:cs="Arial"/>
          <w:szCs w:val="18"/>
          <w:lang w:val="en-GB"/>
        </w:rPr>
        <w:t xml:space="preserve"> </w:t>
      </w:r>
      <w:r w:rsidR="00D15730" w:rsidRPr="00B81DCD">
        <w:rPr>
          <w:rFonts w:cs="Arial"/>
          <w:i/>
          <w:iCs/>
          <w:szCs w:val="18"/>
          <w:lang w:val="en-GB"/>
        </w:rPr>
        <w:t>regress</w:t>
      </w:r>
      <w:r w:rsidR="00D15730" w:rsidRPr="00B81DCD">
        <w:rPr>
          <w:rFonts w:cs="Arial"/>
          <w:szCs w:val="18"/>
          <w:lang w:val="en-GB"/>
        </w:rPr>
        <w:t xml:space="preserve"> method.</w:t>
      </w:r>
    </w:p>
    <w:p w14:paraId="3F6C2003" w14:textId="77777777" w:rsidR="00D15730" w:rsidRPr="00B81DCD" w:rsidRDefault="00D15730" w:rsidP="00860E4C">
      <w:pPr>
        <w:pStyle w:val="BOAAbstractBody"/>
        <w:rPr>
          <w:rFonts w:cs="Arial"/>
          <w:szCs w:val="18"/>
          <w:lang w:val="en-GB"/>
        </w:rPr>
      </w:pPr>
    </w:p>
    <w:p w14:paraId="557B2B4D" w14:textId="045AEC40" w:rsidR="00664C2F" w:rsidRPr="00B81DCD" w:rsidRDefault="00664C2F" w:rsidP="00117B05">
      <w:pPr>
        <w:pStyle w:val="BOAAbstractBody"/>
        <w:jc w:val="center"/>
        <w:rPr>
          <w:rFonts w:cs="Arial"/>
          <w:szCs w:val="18"/>
          <w:lang w:val="en-GB"/>
        </w:rPr>
      </w:pPr>
      <w:r w:rsidRPr="00B81DCD">
        <w:rPr>
          <w:rFonts w:cs="Arial"/>
          <w:noProof/>
          <w:szCs w:val="18"/>
          <w:lang w:val="en-GB"/>
        </w:rPr>
        <w:lastRenderedPageBreak/>
        <w:drawing>
          <wp:inline distT="0" distB="0" distL="0" distR="0" wp14:anchorId="0D8C2BDB" wp14:editId="21891C87">
            <wp:extent cx="3427506" cy="2520000"/>
            <wp:effectExtent l="0" t="0" r="1905" b="0"/>
            <wp:docPr id="89476072" name="Picture 6" descr="A comparison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6072" name="Picture 6" descr="A comparison of a graph&#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13" t="8237" r="2685"/>
                    <a:stretch/>
                  </pic:blipFill>
                  <pic:spPr bwMode="auto">
                    <a:xfrm>
                      <a:off x="0" y="0"/>
                      <a:ext cx="3427506"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3489465D" w14:textId="0382CB71" w:rsidR="00664C2F" w:rsidRPr="00B81DCD" w:rsidRDefault="00117B05" w:rsidP="00071037">
      <w:pPr>
        <w:pStyle w:val="BOACaption"/>
      </w:pPr>
      <w:r w:rsidRPr="00B81DCD">
        <w:t xml:space="preserve">Figure 1. </w:t>
      </w:r>
      <w:r w:rsidR="005E7A05" w:rsidRPr="00B81DCD">
        <w:t xml:space="preserve">Logarithmic </w:t>
      </w:r>
      <w:r w:rsidRPr="00B81DCD">
        <w:t xml:space="preserve">Maximum-to-Sum plots for </w:t>
      </w:r>
      <w:r w:rsidR="005E7A05" w:rsidRPr="00B81DCD">
        <w:t>evaporation rate</w:t>
      </w:r>
      <w:r w:rsidR="009D7FE3" w:rsidRPr="00B81DCD">
        <w:t xml:space="preserve"> (left)</w:t>
      </w:r>
      <w:r w:rsidR="005E7A05" w:rsidRPr="00B81DCD">
        <w:t xml:space="preserve"> and concentration</w:t>
      </w:r>
      <w:r w:rsidR="009D7FE3" w:rsidRPr="00B81DCD">
        <w:t xml:space="preserve"> (right)</w:t>
      </w:r>
      <w:r w:rsidR="005E7A05" w:rsidRPr="00B81DCD">
        <w:t>.</w:t>
      </w:r>
    </w:p>
    <w:p w14:paraId="383AA2E9" w14:textId="3D31CFA9" w:rsidR="00A550E3" w:rsidRPr="00B81DCD" w:rsidRDefault="004C1033" w:rsidP="00664C2F">
      <w:pPr>
        <w:pStyle w:val="BOAAbstractBody"/>
        <w:rPr>
          <w:rFonts w:cs="Arial"/>
          <w:szCs w:val="18"/>
          <w:lang w:val="en-GB"/>
        </w:rPr>
      </w:pPr>
      <w:r w:rsidRPr="00B81DCD">
        <w:rPr>
          <w:rFonts w:cs="Arial"/>
          <w:szCs w:val="18"/>
          <w:lang w:val="en-GB"/>
        </w:rPr>
        <w:t>Table 1 shows that there is sufficient agreement between the two linear regression methods for the sampled inputs. On the contrary, the obtained SRC values for the stability class and dispersion coefficients show a significantly lo</w:t>
      </w:r>
      <w:r w:rsidR="00D44253" w:rsidRPr="00B81DCD">
        <w:rPr>
          <w:rFonts w:cs="Arial"/>
          <w:szCs w:val="18"/>
          <w:lang w:val="en-GB"/>
        </w:rPr>
        <w:t>wer</w:t>
      </w:r>
      <w:r w:rsidRPr="00B81DCD">
        <w:rPr>
          <w:rFonts w:cs="Arial"/>
          <w:szCs w:val="18"/>
          <w:lang w:val="en-GB"/>
        </w:rPr>
        <w:t xml:space="preserve"> agreement. However, given that the of R</w:t>
      </w:r>
      <w:r w:rsidRPr="00B81DCD">
        <w:rPr>
          <w:rFonts w:cs="Arial"/>
          <w:szCs w:val="18"/>
          <w:vertAlign w:val="superscript"/>
          <w:lang w:val="en-GB"/>
        </w:rPr>
        <w:t>2</w:t>
      </w:r>
      <w:r w:rsidR="00181CF1" w:rsidRPr="00B81DCD">
        <w:rPr>
          <w:rFonts w:cs="Arial"/>
          <w:szCs w:val="18"/>
          <w:lang w:val="en-GB"/>
        </w:rPr>
        <w:t xml:space="preserve"> </w:t>
      </w:r>
      <w:r w:rsidR="00A91F47" w:rsidRPr="00B81DCD">
        <w:rPr>
          <w:rFonts w:cs="Arial"/>
          <w:szCs w:val="18"/>
          <w:lang w:val="en-GB"/>
        </w:rPr>
        <w:t xml:space="preserve">for both methods </w:t>
      </w:r>
      <w:r w:rsidR="00AF1F4B" w:rsidRPr="00B81DCD">
        <w:rPr>
          <w:rFonts w:cs="Arial"/>
          <w:szCs w:val="18"/>
          <w:lang w:val="en-GB"/>
        </w:rPr>
        <w:t xml:space="preserve">are below 0.7, the validity of these results is debatable. </w:t>
      </w:r>
    </w:p>
    <w:p w14:paraId="00FF704E" w14:textId="08650E1A" w:rsidR="00C34CC8" w:rsidRPr="00B81DCD" w:rsidRDefault="00C34CC8" w:rsidP="00C34CC8">
      <w:pPr>
        <w:pStyle w:val="BOACaption"/>
      </w:pPr>
      <w:r w:rsidRPr="00B81DCD">
        <w:t>Table 1. SRC</w:t>
      </w:r>
      <w:r w:rsidR="00A9195C">
        <w:t xml:space="preserve"> </w:t>
      </w:r>
      <w:r w:rsidR="0084430D">
        <w:t>and SRC</w:t>
      </w:r>
      <w:r w:rsidR="0084430D" w:rsidRPr="0084430D">
        <w:rPr>
          <w:vertAlign w:val="superscript"/>
        </w:rPr>
        <w:t>2</w:t>
      </w:r>
      <w:r w:rsidR="0084430D">
        <w:t xml:space="preserve"> </w:t>
      </w:r>
      <w:r w:rsidR="00A9195C">
        <w:t>values</w:t>
      </w:r>
      <w:r w:rsidR="00ED6AF8" w:rsidRPr="00B81DCD">
        <w:t xml:space="preserve"> for concentration (g/m</w:t>
      </w:r>
      <w:r w:rsidR="00ED6AF8" w:rsidRPr="00B81DCD">
        <w:rPr>
          <w:vertAlign w:val="superscript"/>
        </w:rPr>
        <w:t>3</w:t>
      </w:r>
      <w:r w:rsidR="00ED6AF8" w:rsidRPr="00B81DCD">
        <w:t>) at 211 m downwind.</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247"/>
        <w:gridCol w:w="1247"/>
        <w:gridCol w:w="1247"/>
        <w:gridCol w:w="1247"/>
      </w:tblGrid>
      <w:tr w:rsidR="007C6633" w:rsidRPr="00B81DCD" w14:paraId="51D56765" w14:textId="77777777" w:rsidTr="00422956">
        <w:trPr>
          <w:jc w:val="center"/>
        </w:trPr>
        <w:tc>
          <w:tcPr>
            <w:tcW w:w="2268" w:type="dxa"/>
            <w:tcBorders>
              <w:top w:val="single" w:sz="12" w:space="0" w:color="008000"/>
              <w:bottom w:val="single" w:sz="6" w:space="0" w:color="008000"/>
            </w:tcBorders>
            <w:shd w:val="clear" w:color="auto" w:fill="FFFFFF"/>
          </w:tcPr>
          <w:p w14:paraId="629D3301" w14:textId="687FACBE" w:rsidR="007C6633" w:rsidRPr="00B81DCD" w:rsidRDefault="007C6633" w:rsidP="007C6633">
            <w:r w:rsidRPr="00B81DCD">
              <w:t>Input variable</w:t>
            </w:r>
          </w:p>
        </w:tc>
        <w:tc>
          <w:tcPr>
            <w:tcW w:w="1247" w:type="dxa"/>
            <w:tcBorders>
              <w:top w:val="single" w:sz="12" w:space="0" w:color="008000"/>
              <w:bottom w:val="single" w:sz="6" w:space="0" w:color="008000"/>
            </w:tcBorders>
            <w:shd w:val="clear" w:color="auto" w:fill="FFFFFF"/>
          </w:tcPr>
          <w:p w14:paraId="43BAA1BA" w14:textId="394C1FC9" w:rsidR="007C6633" w:rsidRPr="00B81DCD" w:rsidRDefault="007C6633" w:rsidP="007C6633">
            <w:r w:rsidRPr="00B81DCD">
              <w:t xml:space="preserve">SRC - </w:t>
            </w:r>
            <w:proofErr w:type="spellStart"/>
            <w:r w:rsidRPr="00B81DCD">
              <w:rPr>
                <w:i/>
                <w:iCs/>
              </w:rPr>
              <w:t>lsqlin</w:t>
            </w:r>
            <w:proofErr w:type="spellEnd"/>
          </w:p>
        </w:tc>
        <w:tc>
          <w:tcPr>
            <w:tcW w:w="1247" w:type="dxa"/>
            <w:tcBorders>
              <w:top w:val="single" w:sz="12" w:space="0" w:color="008000"/>
              <w:bottom w:val="single" w:sz="6" w:space="0" w:color="008000"/>
            </w:tcBorders>
            <w:shd w:val="clear" w:color="auto" w:fill="FFFFFF"/>
          </w:tcPr>
          <w:p w14:paraId="739D7310" w14:textId="166DABDB" w:rsidR="007C6633" w:rsidRPr="00B81DCD" w:rsidRDefault="007C6633" w:rsidP="007C6633">
            <w:pPr>
              <w:ind w:right="-1"/>
              <w:rPr>
                <w:rFonts w:cs="Arial"/>
                <w:szCs w:val="18"/>
              </w:rPr>
            </w:pPr>
            <w:r w:rsidRPr="00B81DCD">
              <w:rPr>
                <w:rFonts w:cs="Arial"/>
                <w:szCs w:val="18"/>
              </w:rPr>
              <w:t>SRC</w:t>
            </w:r>
            <w:r w:rsidRPr="00B81DCD">
              <w:rPr>
                <w:rFonts w:cs="Arial"/>
                <w:szCs w:val="18"/>
                <w:vertAlign w:val="superscript"/>
              </w:rPr>
              <w:t>2</w:t>
            </w:r>
            <w:r w:rsidRPr="00B81DCD">
              <w:rPr>
                <w:rFonts w:cs="Arial"/>
                <w:szCs w:val="18"/>
              </w:rPr>
              <w:t xml:space="preserve"> - </w:t>
            </w:r>
            <w:proofErr w:type="spellStart"/>
            <w:r w:rsidRPr="00B81DCD">
              <w:rPr>
                <w:rFonts w:cs="Arial"/>
                <w:i/>
                <w:iCs/>
                <w:szCs w:val="18"/>
              </w:rPr>
              <w:t>lsqlin</w:t>
            </w:r>
            <w:proofErr w:type="spellEnd"/>
          </w:p>
        </w:tc>
        <w:tc>
          <w:tcPr>
            <w:tcW w:w="1247" w:type="dxa"/>
            <w:tcBorders>
              <w:top w:val="single" w:sz="12" w:space="0" w:color="008000"/>
              <w:bottom w:val="single" w:sz="6" w:space="0" w:color="008000"/>
            </w:tcBorders>
            <w:shd w:val="clear" w:color="auto" w:fill="FFFFFF"/>
          </w:tcPr>
          <w:p w14:paraId="69DB39C7" w14:textId="72FC38F2" w:rsidR="007C6633" w:rsidRPr="00B81DCD" w:rsidRDefault="007C6633" w:rsidP="007C6633">
            <w:pPr>
              <w:ind w:right="-1"/>
              <w:rPr>
                <w:rFonts w:cs="Arial"/>
                <w:szCs w:val="18"/>
              </w:rPr>
            </w:pPr>
            <w:r w:rsidRPr="00B81DCD">
              <w:t xml:space="preserve">SRC - </w:t>
            </w:r>
            <w:r w:rsidRPr="00B81DCD">
              <w:rPr>
                <w:i/>
                <w:iCs/>
              </w:rPr>
              <w:t>regress</w:t>
            </w:r>
          </w:p>
        </w:tc>
        <w:tc>
          <w:tcPr>
            <w:tcW w:w="1247" w:type="dxa"/>
            <w:tcBorders>
              <w:top w:val="single" w:sz="12" w:space="0" w:color="008000"/>
              <w:bottom w:val="single" w:sz="6" w:space="0" w:color="008000"/>
            </w:tcBorders>
            <w:shd w:val="clear" w:color="auto" w:fill="FFFFFF"/>
          </w:tcPr>
          <w:p w14:paraId="1A448600" w14:textId="22C4D46B" w:rsidR="007C6633" w:rsidRPr="00B81DCD" w:rsidRDefault="007C6633" w:rsidP="007C6633">
            <w:pPr>
              <w:ind w:right="-1"/>
              <w:rPr>
                <w:rFonts w:cs="Arial"/>
                <w:szCs w:val="18"/>
              </w:rPr>
            </w:pPr>
            <w:r w:rsidRPr="00B81DCD">
              <w:rPr>
                <w:rFonts w:cs="Arial"/>
                <w:szCs w:val="18"/>
              </w:rPr>
              <w:t>SRC</w:t>
            </w:r>
            <w:r w:rsidRPr="00B81DCD">
              <w:rPr>
                <w:rFonts w:cs="Arial"/>
                <w:szCs w:val="18"/>
                <w:vertAlign w:val="superscript"/>
              </w:rPr>
              <w:t>2</w:t>
            </w:r>
            <w:r w:rsidRPr="00B81DCD">
              <w:rPr>
                <w:rFonts w:cs="Arial"/>
                <w:szCs w:val="18"/>
              </w:rPr>
              <w:t xml:space="preserve"> - </w:t>
            </w:r>
            <w:r w:rsidRPr="00B81DCD">
              <w:rPr>
                <w:rFonts w:cs="Arial"/>
                <w:i/>
                <w:iCs/>
                <w:szCs w:val="18"/>
              </w:rPr>
              <w:t>regress</w:t>
            </w:r>
          </w:p>
        </w:tc>
      </w:tr>
      <w:tr w:rsidR="00185220" w:rsidRPr="00B81DCD" w14:paraId="6969E8DB" w14:textId="77777777" w:rsidTr="00422956">
        <w:trPr>
          <w:jc w:val="center"/>
        </w:trPr>
        <w:tc>
          <w:tcPr>
            <w:tcW w:w="2268" w:type="dxa"/>
            <w:shd w:val="clear" w:color="auto" w:fill="FFFFFF"/>
          </w:tcPr>
          <w:p w14:paraId="02EC6CC8" w14:textId="7A894512" w:rsidR="00185220" w:rsidRPr="00B81DCD" w:rsidRDefault="00185220" w:rsidP="00185220">
            <w:r w:rsidRPr="00B81DCD">
              <w:t>Wind speed (m/s)</w:t>
            </w:r>
          </w:p>
        </w:tc>
        <w:tc>
          <w:tcPr>
            <w:tcW w:w="1247" w:type="dxa"/>
            <w:shd w:val="clear" w:color="auto" w:fill="FFFFFF"/>
          </w:tcPr>
          <w:p w14:paraId="4315D507" w14:textId="67C1E116" w:rsidR="00185220" w:rsidRPr="00B81DCD" w:rsidRDefault="00185220" w:rsidP="00185220">
            <w:r w:rsidRPr="00B81DCD">
              <w:t>-0.321</w:t>
            </w:r>
            <w:r w:rsidR="00485AFD">
              <w:t>4</w:t>
            </w:r>
          </w:p>
        </w:tc>
        <w:tc>
          <w:tcPr>
            <w:tcW w:w="1247" w:type="dxa"/>
            <w:shd w:val="clear" w:color="auto" w:fill="FFFFFF"/>
          </w:tcPr>
          <w:p w14:paraId="5D2648DF" w14:textId="635052E1" w:rsidR="00185220" w:rsidRPr="00B81DCD" w:rsidRDefault="00185220" w:rsidP="00185220">
            <w:pPr>
              <w:ind w:right="-1"/>
              <w:rPr>
                <w:rFonts w:cs="Arial"/>
                <w:szCs w:val="18"/>
              </w:rPr>
            </w:pPr>
            <w:r w:rsidRPr="00B81DCD">
              <w:t>0.103</w:t>
            </w:r>
            <w:r w:rsidR="00065D8B">
              <w:t>3</w:t>
            </w:r>
          </w:p>
        </w:tc>
        <w:tc>
          <w:tcPr>
            <w:tcW w:w="1247" w:type="dxa"/>
            <w:shd w:val="clear" w:color="auto" w:fill="FFFFFF"/>
          </w:tcPr>
          <w:p w14:paraId="379A3301" w14:textId="26E82B94" w:rsidR="00185220" w:rsidRPr="00B81DCD" w:rsidRDefault="00185220" w:rsidP="00185220">
            <w:pPr>
              <w:ind w:right="-1"/>
              <w:rPr>
                <w:rFonts w:cs="Arial"/>
                <w:szCs w:val="18"/>
              </w:rPr>
            </w:pPr>
            <w:r w:rsidRPr="00B81DCD">
              <w:t>-0.16</w:t>
            </w:r>
            <w:r w:rsidR="001716B1">
              <w:t>39</w:t>
            </w:r>
          </w:p>
        </w:tc>
        <w:tc>
          <w:tcPr>
            <w:tcW w:w="1247" w:type="dxa"/>
            <w:shd w:val="clear" w:color="auto" w:fill="FFFFFF"/>
          </w:tcPr>
          <w:p w14:paraId="31A38674" w14:textId="3074B58D" w:rsidR="00185220" w:rsidRPr="00B81DCD" w:rsidRDefault="00185220" w:rsidP="00185220">
            <w:pPr>
              <w:ind w:right="-1"/>
              <w:rPr>
                <w:rFonts w:cs="Arial"/>
                <w:szCs w:val="18"/>
              </w:rPr>
            </w:pPr>
            <w:r w:rsidRPr="00B81DCD">
              <w:t>0.026</w:t>
            </w:r>
            <w:r w:rsidR="00C34CC8" w:rsidRPr="00B81DCD">
              <w:t>9</w:t>
            </w:r>
          </w:p>
        </w:tc>
      </w:tr>
      <w:tr w:rsidR="00185220" w:rsidRPr="00B81DCD" w14:paraId="30334CB2" w14:textId="77777777" w:rsidTr="00422956">
        <w:trPr>
          <w:jc w:val="center"/>
        </w:trPr>
        <w:tc>
          <w:tcPr>
            <w:tcW w:w="2268" w:type="dxa"/>
            <w:shd w:val="clear" w:color="auto" w:fill="FFFFFF"/>
          </w:tcPr>
          <w:p w14:paraId="62768F70" w14:textId="77777777" w:rsidR="00185220" w:rsidRPr="00B81DCD" w:rsidRDefault="00185220" w:rsidP="00185220">
            <w:r w:rsidRPr="00B81DCD">
              <w:t>Cloud cover</w:t>
            </w:r>
          </w:p>
        </w:tc>
        <w:tc>
          <w:tcPr>
            <w:tcW w:w="1247" w:type="dxa"/>
            <w:shd w:val="clear" w:color="auto" w:fill="FFFFFF"/>
          </w:tcPr>
          <w:p w14:paraId="7969B225" w14:textId="3CCBCE22" w:rsidR="00185220" w:rsidRPr="00B81DCD" w:rsidRDefault="00185220" w:rsidP="00185220">
            <w:r w:rsidRPr="00B81DCD">
              <w:t>-0.0976</w:t>
            </w:r>
          </w:p>
        </w:tc>
        <w:tc>
          <w:tcPr>
            <w:tcW w:w="1247" w:type="dxa"/>
            <w:shd w:val="clear" w:color="auto" w:fill="FFFFFF"/>
          </w:tcPr>
          <w:p w14:paraId="3B0A0D88" w14:textId="1B885B81" w:rsidR="00185220" w:rsidRPr="00B81DCD" w:rsidRDefault="00185220" w:rsidP="00185220">
            <w:pPr>
              <w:ind w:right="-1"/>
              <w:rPr>
                <w:rFonts w:cs="Arial"/>
                <w:szCs w:val="18"/>
              </w:rPr>
            </w:pPr>
            <w:r w:rsidRPr="00B81DCD">
              <w:t>0.0095</w:t>
            </w:r>
          </w:p>
        </w:tc>
        <w:tc>
          <w:tcPr>
            <w:tcW w:w="1247" w:type="dxa"/>
            <w:shd w:val="clear" w:color="auto" w:fill="FFFFFF"/>
          </w:tcPr>
          <w:p w14:paraId="66E43C4F" w14:textId="20F2EAA7" w:rsidR="00185220" w:rsidRPr="00B81DCD" w:rsidRDefault="00185220" w:rsidP="00185220">
            <w:pPr>
              <w:ind w:right="-1"/>
              <w:rPr>
                <w:rFonts w:cs="Arial"/>
                <w:szCs w:val="18"/>
              </w:rPr>
            </w:pPr>
            <w:r w:rsidRPr="00B81DCD">
              <w:t>-0.0785</w:t>
            </w:r>
          </w:p>
        </w:tc>
        <w:tc>
          <w:tcPr>
            <w:tcW w:w="1247" w:type="dxa"/>
            <w:shd w:val="clear" w:color="auto" w:fill="FFFFFF"/>
          </w:tcPr>
          <w:p w14:paraId="5CEAA11A" w14:textId="2B63E980" w:rsidR="00185220" w:rsidRPr="00B81DCD" w:rsidRDefault="00185220" w:rsidP="00185220">
            <w:pPr>
              <w:ind w:right="-1"/>
              <w:rPr>
                <w:rFonts w:cs="Arial"/>
                <w:szCs w:val="18"/>
              </w:rPr>
            </w:pPr>
            <w:r w:rsidRPr="00B81DCD">
              <w:t>0.0061</w:t>
            </w:r>
            <w:r w:rsidR="00C34CC8" w:rsidRPr="00B81DCD">
              <w:t>7</w:t>
            </w:r>
          </w:p>
        </w:tc>
      </w:tr>
      <w:tr w:rsidR="00185220" w:rsidRPr="00B81DCD" w14:paraId="0F299D1A" w14:textId="77777777" w:rsidTr="00422956">
        <w:trPr>
          <w:jc w:val="center"/>
        </w:trPr>
        <w:tc>
          <w:tcPr>
            <w:tcW w:w="2268" w:type="dxa"/>
            <w:shd w:val="clear" w:color="auto" w:fill="FFFFFF"/>
          </w:tcPr>
          <w:p w14:paraId="3B1211DF" w14:textId="702C9C44" w:rsidR="00185220" w:rsidRPr="00B81DCD" w:rsidRDefault="00185220" w:rsidP="00185220">
            <w:proofErr w:type="gramStart"/>
            <w:r w:rsidRPr="00B81DCD">
              <w:t>Day</w:t>
            </w:r>
            <w:r w:rsidR="007A3ECA" w:rsidRPr="00B81DCD">
              <w:t>-time</w:t>
            </w:r>
            <w:proofErr w:type="gramEnd"/>
            <w:r w:rsidRPr="00B81DCD">
              <w:t>/Night</w:t>
            </w:r>
            <w:r w:rsidR="007A3ECA" w:rsidRPr="00B81DCD">
              <w:t>-time</w:t>
            </w:r>
          </w:p>
        </w:tc>
        <w:tc>
          <w:tcPr>
            <w:tcW w:w="1247" w:type="dxa"/>
            <w:shd w:val="clear" w:color="auto" w:fill="FFFFFF"/>
          </w:tcPr>
          <w:p w14:paraId="3F445D3F" w14:textId="612B17A1" w:rsidR="00185220" w:rsidRPr="00B81DCD" w:rsidRDefault="00185220" w:rsidP="00185220">
            <w:r w:rsidRPr="00B81DCD">
              <w:t>-0.11</w:t>
            </w:r>
            <w:r w:rsidR="00357C9D">
              <w:t>59</w:t>
            </w:r>
          </w:p>
        </w:tc>
        <w:tc>
          <w:tcPr>
            <w:tcW w:w="1247" w:type="dxa"/>
            <w:shd w:val="clear" w:color="auto" w:fill="FFFFFF"/>
          </w:tcPr>
          <w:p w14:paraId="0A8B215E" w14:textId="32356188" w:rsidR="00185220" w:rsidRPr="00B81DCD" w:rsidRDefault="00185220" w:rsidP="00185220">
            <w:pPr>
              <w:ind w:right="-1"/>
              <w:rPr>
                <w:rFonts w:cs="Arial"/>
                <w:szCs w:val="18"/>
              </w:rPr>
            </w:pPr>
            <w:r w:rsidRPr="00B81DCD">
              <w:t>0.0134</w:t>
            </w:r>
          </w:p>
        </w:tc>
        <w:tc>
          <w:tcPr>
            <w:tcW w:w="1247" w:type="dxa"/>
            <w:shd w:val="clear" w:color="auto" w:fill="FFFFFF"/>
          </w:tcPr>
          <w:p w14:paraId="3CBA0D6F" w14:textId="33DC9406" w:rsidR="00185220" w:rsidRPr="00B81DCD" w:rsidRDefault="00185220" w:rsidP="00185220">
            <w:pPr>
              <w:ind w:right="-1"/>
              <w:rPr>
                <w:rFonts w:cs="Arial"/>
                <w:szCs w:val="18"/>
              </w:rPr>
            </w:pPr>
            <w:r w:rsidRPr="00B81DCD">
              <w:t>-0.151</w:t>
            </w:r>
            <w:r w:rsidR="001716B1">
              <w:t>4</w:t>
            </w:r>
          </w:p>
        </w:tc>
        <w:tc>
          <w:tcPr>
            <w:tcW w:w="1247" w:type="dxa"/>
            <w:shd w:val="clear" w:color="auto" w:fill="FFFFFF"/>
          </w:tcPr>
          <w:p w14:paraId="48A2231B" w14:textId="62AB910B" w:rsidR="00185220" w:rsidRPr="00B81DCD" w:rsidRDefault="00185220" w:rsidP="00185220">
            <w:pPr>
              <w:ind w:right="-1"/>
              <w:rPr>
                <w:rFonts w:cs="Arial"/>
                <w:szCs w:val="18"/>
              </w:rPr>
            </w:pPr>
            <w:r w:rsidRPr="00B81DCD">
              <w:t>0.0229</w:t>
            </w:r>
          </w:p>
        </w:tc>
      </w:tr>
      <w:tr w:rsidR="00185220" w:rsidRPr="00B81DCD" w14:paraId="6BE0D48A" w14:textId="77777777" w:rsidTr="00422956">
        <w:trPr>
          <w:jc w:val="center"/>
        </w:trPr>
        <w:tc>
          <w:tcPr>
            <w:tcW w:w="2268" w:type="dxa"/>
            <w:shd w:val="clear" w:color="auto" w:fill="FFFFFF"/>
          </w:tcPr>
          <w:p w14:paraId="43BD13E6" w14:textId="0FF345DF" w:rsidR="00185220" w:rsidRPr="00B81DCD" w:rsidRDefault="00185220" w:rsidP="00185220">
            <w:r w:rsidRPr="00B81DCD">
              <w:t>Ambient temperature (</w:t>
            </w:r>
            <w:r w:rsidRPr="00B81DCD">
              <w:rPr>
                <w:rFonts w:ascii="Aptos Narrow" w:hAnsi="Aptos Narrow" w:cs="Arial"/>
                <w:szCs w:val="18"/>
              </w:rPr>
              <w:t>°</w:t>
            </w:r>
            <w:r w:rsidRPr="00B81DCD">
              <w:rPr>
                <w:rFonts w:cs="Arial"/>
                <w:szCs w:val="18"/>
              </w:rPr>
              <w:t>C)</w:t>
            </w:r>
          </w:p>
        </w:tc>
        <w:tc>
          <w:tcPr>
            <w:tcW w:w="1247" w:type="dxa"/>
            <w:shd w:val="clear" w:color="auto" w:fill="FFFFFF"/>
          </w:tcPr>
          <w:p w14:paraId="47B144AF" w14:textId="4D366F54" w:rsidR="00185220" w:rsidRPr="00B81DCD" w:rsidRDefault="00185220" w:rsidP="00185220">
            <w:r w:rsidRPr="00B81DCD">
              <w:t>0.124</w:t>
            </w:r>
            <w:r w:rsidR="00357C9D">
              <w:t>2</w:t>
            </w:r>
          </w:p>
        </w:tc>
        <w:tc>
          <w:tcPr>
            <w:tcW w:w="1247" w:type="dxa"/>
            <w:shd w:val="clear" w:color="auto" w:fill="FFFFFF"/>
          </w:tcPr>
          <w:p w14:paraId="76A4B727" w14:textId="17853C2B" w:rsidR="00185220" w:rsidRPr="00B81DCD" w:rsidRDefault="00185220" w:rsidP="00185220">
            <w:pPr>
              <w:ind w:right="-1"/>
              <w:rPr>
                <w:rFonts w:cs="Arial"/>
                <w:szCs w:val="18"/>
              </w:rPr>
            </w:pPr>
            <w:r w:rsidRPr="00B81DCD">
              <w:t>0.0154</w:t>
            </w:r>
          </w:p>
        </w:tc>
        <w:tc>
          <w:tcPr>
            <w:tcW w:w="1247" w:type="dxa"/>
            <w:shd w:val="clear" w:color="auto" w:fill="FFFFFF"/>
          </w:tcPr>
          <w:p w14:paraId="28133B3F" w14:textId="30277A0E" w:rsidR="00185220" w:rsidRPr="00B81DCD" w:rsidRDefault="00185220" w:rsidP="00185220">
            <w:pPr>
              <w:ind w:right="-1"/>
              <w:rPr>
                <w:rFonts w:cs="Arial"/>
                <w:szCs w:val="18"/>
              </w:rPr>
            </w:pPr>
            <w:r w:rsidRPr="00B81DCD">
              <w:t>0.124</w:t>
            </w:r>
            <w:r w:rsidR="001716B1">
              <w:t>3</w:t>
            </w:r>
          </w:p>
        </w:tc>
        <w:tc>
          <w:tcPr>
            <w:tcW w:w="1247" w:type="dxa"/>
            <w:shd w:val="clear" w:color="auto" w:fill="FFFFFF"/>
          </w:tcPr>
          <w:p w14:paraId="04D49EE8" w14:textId="4B56BB14" w:rsidR="00185220" w:rsidRPr="00B81DCD" w:rsidRDefault="00185220" w:rsidP="00185220">
            <w:pPr>
              <w:ind w:right="-1"/>
              <w:rPr>
                <w:rFonts w:cs="Arial"/>
                <w:szCs w:val="18"/>
              </w:rPr>
            </w:pPr>
            <w:r w:rsidRPr="00B81DCD">
              <w:t>0.015</w:t>
            </w:r>
            <w:r w:rsidR="00C34CC8" w:rsidRPr="00B81DCD">
              <w:t>5</w:t>
            </w:r>
          </w:p>
        </w:tc>
      </w:tr>
      <w:tr w:rsidR="00185220" w:rsidRPr="00B81DCD" w14:paraId="01881057" w14:textId="77777777" w:rsidTr="00422956">
        <w:trPr>
          <w:jc w:val="center"/>
        </w:trPr>
        <w:tc>
          <w:tcPr>
            <w:tcW w:w="2268" w:type="dxa"/>
            <w:shd w:val="clear" w:color="auto" w:fill="FFFFFF"/>
          </w:tcPr>
          <w:p w14:paraId="451F959F" w14:textId="3CB886A6" w:rsidR="00185220" w:rsidRPr="00B81DCD" w:rsidRDefault="00185220" w:rsidP="00185220">
            <w:r w:rsidRPr="00B81DCD">
              <w:t>Stability class</w:t>
            </w:r>
          </w:p>
        </w:tc>
        <w:tc>
          <w:tcPr>
            <w:tcW w:w="1247" w:type="dxa"/>
            <w:shd w:val="clear" w:color="auto" w:fill="FFFFFF"/>
          </w:tcPr>
          <w:p w14:paraId="67BBC336" w14:textId="1AD2D032" w:rsidR="00185220" w:rsidRPr="00B81DCD" w:rsidRDefault="00185220" w:rsidP="00185220">
            <w:r w:rsidRPr="00B81DCD">
              <w:t>1</w:t>
            </w:r>
            <w:r w:rsidR="0084430D">
              <w:t>.0000</w:t>
            </w:r>
          </w:p>
        </w:tc>
        <w:tc>
          <w:tcPr>
            <w:tcW w:w="1247" w:type="dxa"/>
            <w:shd w:val="clear" w:color="auto" w:fill="FFFFFF"/>
          </w:tcPr>
          <w:p w14:paraId="293CCF47" w14:textId="552939F2" w:rsidR="00185220" w:rsidRPr="00B81DCD" w:rsidRDefault="00185220" w:rsidP="00185220">
            <w:pPr>
              <w:ind w:right="-1"/>
              <w:rPr>
                <w:rFonts w:cs="Arial"/>
                <w:szCs w:val="18"/>
              </w:rPr>
            </w:pPr>
            <w:r w:rsidRPr="00B81DCD">
              <w:t>1</w:t>
            </w:r>
            <w:r w:rsidR="0084430D">
              <w:t>.0000</w:t>
            </w:r>
          </w:p>
        </w:tc>
        <w:tc>
          <w:tcPr>
            <w:tcW w:w="1247" w:type="dxa"/>
            <w:shd w:val="clear" w:color="auto" w:fill="FFFFFF"/>
          </w:tcPr>
          <w:p w14:paraId="1CE89669" w14:textId="7B900CBA" w:rsidR="00185220" w:rsidRPr="00B81DCD" w:rsidRDefault="00185220" w:rsidP="00185220">
            <w:pPr>
              <w:ind w:right="-1"/>
              <w:rPr>
                <w:rFonts w:cs="Arial"/>
                <w:szCs w:val="18"/>
              </w:rPr>
            </w:pPr>
            <w:r w:rsidRPr="00B81DCD">
              <w:t>1.87</w:t>
            </w:r>
            <w:r w:rsidR="001716B1">
              <w:t>26</w:t>
            </w:r>
          </w:p>
        </w:tc>
        <w:tc>
          <w:tcPr>
            <w:tcW w:w="1247" w:type="dxa"/>
            <w:shd w:val="clear" w:color="auto" w:fill="FFFFFF"/>
          </w:tcPr>
          <w:p w14:paraId="21DEF5CA" w14:textId="207C9168" w:rsidR="00185220" w:rsidRPr="00B81DCD" w:rsidRDefault="00185220" w:rsidP="00185220">
            <w:pPr>
              <w:ind w:right="-1"/>
              <w:rPr>
                <w:rFonts w:cs="Arial"/>
                <w:szCs w:val="18"/>
              </w:rPr>
            </w:pPr>
            <w:r w:rsidRPr="00B81DCD">
              <w:t>3.50</w:t>
            </w:r>
            <w:r w:rsidR="0084430D">
              <w:t>66</w:t>
            </w:r>
          </w:p>
        </w:tc>
      </w:tr>
      <w:tr w:rsidR="00185220" w:rsidRPr="00B81DCD" w14:paraId="2B9CA348" w14:textId="77777777" w:rsidTr="00422956">
        <w:trPr>
          <w:jc w:val="center"/>
        </w:trPr>
        <w:tc>
          <w:tcPr>
            <w:tcW w:w="2268" w:type="dxa"/>
            <w:shd w:val="clear" w:color="auto" w:fill="FFFFFF"/>
          </w:tcPr>
          <w:p w14:paraId="455C6CFB" w14:textId="2786FA1A" w:rsidR="00185220" w:rsidRPr="00B81DCD" w:rsidRDefault="00185220" w:rsidP="00185220">
            <w:proofErr w:type="spellStart"/>
            <w:r w:rsidRPr="00B81DCD">
              <w:rPr>
                <w:rFonts w:cs="Arial"/>
              </w:rPr>
              <w:t>σ</w:t>
            </w:r>
            <w:r w:rsidRPr="00B81DCD">
              <w:rPr>
                <w:vertAlign w:val="subscript"/>
              </w:rPr>
              <w:t>y</w:t>
            </w:r>
            <w:proofErr w:type="spellEnd"/>
            <w:r w:rsidRPr="00B81DCD">
              <w:t xml:space="preserve"> (m)</w:t>
            </w:r>
          </w:p>
        </w:tc>
        <w:tc>
          <w:tcPr>
            <w:tcW w:w="1247" w:type="dxa"/>
            <w:shd w:val="clear" w:color="auto" w:fill="FFFFFF"/>
          </w:tcPr>
          <w:p w14:paraId="05CDAC0F" w14:textId="07933C9B" w:rsidR="00185220" w:rsidRPr="00B81DCD" w:rsidRDefault="00185220" w:rsidP="00185220">
            <w:r w:rsidRPr="00B81DCD">
              <w:t>-0.34</w:t>
            </w:r>
            <w:r w:rsidR="00357C9D">
              <w:t>88</w:t>
            </w:r>
          </w:p>
        </w:tc>
        <w:tc>
          <w:tcPr>
            <w:tcW w:w="1247" w:type="dxa"/>
            <w:shd w:val="clear" w:color="auto" w:fill="FFFFFF"/>
          </w:tcPr>
          <w:p w14:paraId="3E4E6AE1" w14:textId="4F12554A" w:rsidR="00185220" w:rsidRPr="00B81DCD" w:rsidRDefault="00185220" w:rsidP="00185220">
            <w:pPr>
              <w:ind w:right="-1"/>
              <w:rPr>
                <w:rFonts w:cs="Arial"/>
                <w:szCs w:val="18"/>
              </w:rPr>
            </w:pPr>
            <w:r w:rsidRPr="00B81DCD">
              <w:t>0.12</w:t>
            </w:r>
            <w:r w:rsidR="00065D8B">
              <w:t>16</w:t>
            </w:r>
          </w:p>
        </w:tc>
        <w:tc>
          <w:tcPr>
            <w:tcW w:w="1247" w:type="dxa"/>
            <w:shd w:val="clear" w:color="auto" w:fill="FFFFFF"/>
          </w:tcPr>
          <w:p w14:paraId="616712C0" w14:textId="115CA267" w:rsidR="00185220" w:rsidRPr="00B81DCD" w:rsidRDefault="00185220" w:rsidP="00185220">
            <w:pPr>
              <w:ind w:right="-1"/>
              <w:rPr>
                <w:rFonts w:cs="Arial"/>
                <w:szCs w:val="18"/>
              </w:rPr>
            </w:pPr>
            <w:r w:rsidRPr="00B81DCD">
              <w:t>1.155</w:t>
            </w:r>
            <w:r w:rsidR="00124F5A">
              <w:t>4</w:t>
            </w:r>
          </w:p>
        </w:tc>
        <w:tc>
          <w:tcPr>
            <w:tcW w:w="1247" w:type="dxa"/>
            <w:shd w:val="clear" w:color="auto" w:fill="FFFFFF"/>
          </w:tcPr>
          <w:p w14:paraId="4A4747DC" w14:textId="0F1159A9" w:rsidR="00185220" w:rsidRPr="00B81DCD" w:rsidRDefault="00185220" w:rsidP="00185220">
            <w:pPr>
              <w:ind w:right="-1"/>
              <w:rPr>
                <w:rFonts w:cs="Arial"/>
                <w:szCs w:val="18"/>
              </w:rPr>
            </w:pPr>
            <w:r w:rsidRPr="00B81DCD">
              <w:t>1.33</w:t>
            </w:r>
            <w:r w:rsidR="0084430D">
              <w:t>48</w:t>
            </w:r>
          </w:p>
        </w:tc>
      </w:tr>
      <w:tr w:rsidR="00185220" w:rsidRPr="00B81DCD" w14:paraId="5B637244" w14:textId="77777777" w:rsidTr="00422956">
        <w:trPr>
          <w:jc w:val="center"/>
        </w:trPr>
        <w:tc>
          <w:tcPr>
            <w:tcW w:w="2268" w:type="dxa"/>
            <w:shd w:val="clear" w:color="auto" w:fill="FFFFFF"/>
          </w:tcPr>
          <w:p w14:paraId="0813511E" w14:textId="7D8985E8" w:rsidR="00185220" w:rsidRPr="00B81DCD" w:rsidRDefault="00185220" w:rsidP="00185220">
            <w:proofErr w:type="spellStart"/>
            <w:r w:rsidRPr="00B81DCD">
              <w:rPr>
                <w:rFonts w:cs="Arial"/>
              </w:rPr>
              <w:t>σ</w:t>
            </w:r>
            <w:r w:rsidRPr="00B81DCD">
              <w:rPr>
                <w:rFonts w:cs="Arial"/>
                <w:vertAlign w:val="subscript"/>
              </w:rPr>
              <w:t>z</w:t>
            </w:r>
            <w:proofErr w:type="spellEnd"/>
            <w:r w:rsidRPr="00B81DCD">
              <w:t xml:space="preserve"> (m)</w:t>
            </w:r>
          </w:p>
        </w:tc>
        <w:tc>
          <w:tcPr>
            <w:tcW w:w="1247" w:type="dxa"/>
            <w:shd w:val="clear" w:color="auto" w:fill="FFFFFF"/>
          </w:tcPr>
          <w:p w14:paraId="681BAAFC" w14:textId="753A130B" w:rsidR="00185220" w:rsidRPr="00B81DCD" w:rsidRDefault="00185220" w:rsidP="00185220">
            <w:r w:rsidRPr="00B81DCD">
              <w:t>0.76</w:t>
            </w:r>
            <w:r w:rsidR="00357C9D">
              <w:t>07</w:t>
            </w:r>
          </w:p>
        </w:tc>
        <w:tc>
          <w:tcPr>
            <w:tcW w:w="1247" w:type="dxa"/>
            <w:shd w:val="clear" w:color="auto" w:fill="FFFFFF"/>
          </w:tcPr>
          <w:p w14:paraId="087B8381" w14:textId="2F5B798C" w:rsidR="00185220" w:rsidRPr="00B81DCD" w:rsidRDefault="00185220" w:rsidP="00185220">
            <w:pPr>
              <w:ind w:right="-1"/>
              <w:rPr>
                <w:rFonts w:cs="Arial"/>
                <w:szCs w:val="18"/>
              </w:rPr>
            </w:pPr>
            <w:r w:rsidRPr="00B81DCD">
              <w:t>0.57</w:t>
            </w:r>
            <w:r w:rsidR="00065D8B">
              <w:t>86</w:t>
            </w:r>
          </w:p>
        </w:tc>
        <w:tc>
          <w:tcPr>
            <w:tcW w:w="1247" w:type="dxa"/>
            <w:shd w:val="clear" w:color="auto" w:fill="FFFFFF"/>
          </w:tcPr>
          <w:p w14:paraId="0570AC4E" w14:textId="51CFD708" w:rsidR="00185220" w:rsidRPr="00B81DCD" w:rsidRDefault="00185220" w:rsidP="00185220">
            <w:pPr>
              <w:ind w:right="-1"/>
              <w:rPr>
                <w:rFonts w:cs="Arial"/>
                <w:szCs w:val="18"/>
              </w:rPr>
            </w:pPr>
            <w:r w:rsidRPr="00B81DCD">
              <w:t>0.090</w:t>
            </w:r>
            <w:r w:rsidR="001C2FBE" w:rsidRPr="00B81DCD">
              <w:t>5</w:t>
            </w:r>
          </w:p>
        </w:tc>
        <w:tc>
          <w:tcPr>
            <w:tcW w:w="1247" w:type="dxa"/>
            <w:shd w:val="clear" w:color="auto" w:fill="FFFFFF"/>
          </w:tcPr>
          <w:p w14:paraId="4E8EE7E7" w14:textId="700DBF0B" w:rsidR="00185220" w:rsidRPr="00B81DCD" w:rsidRDefault="00185220" w:rsidP="00185220">
            <w:pPr>
              <w:ind w:right="-1"/>
              <w:rPr>
                <w:rFonts w:cs="Arial"/>
                <w:szCs w:val="18"/>
              </w:rPr>
            </w:pPr>
            <w:r w:rsidRPr="00B81DCD">
              <w:t>0.008</w:t>
            </w:r>
            <w:r w:rsidR="00124F5A">
              <w:t>2</w:t>
            </w:r>
          </w:p>
        </w:tc>
      </w:tr>
    </w:tbl>
    <w:p w14:paraId="66C7C511" w14:textId="77777777" w:rsidR="009873F3" w:rsidRPr="00B81DCD" w:rsidRDefault="009873F3" w:rsidP="007A6DFB">
      <w:pPr>
        <w:pStyle w:val="BOAAbstractBody"/>
        <w:rPr>
          <w:rFonts w:cs="Arial"/>
          <w:szCs w:val="18"/>
          <w:lang w:val="en-GB"/>
        </w:rPr>
      </w:pPr>
    </w:p>
    <w:p w14:paraId="5AB35023" w14:textId="24568B96" w:rsidR="00847B1D" w:rsidRDefault="000E14EF" w:rsidP="007A6DFB">
      <w:pPr>
        <w:pStyle w:val="BOAAbstractBody"/>
        <w:rPr>
          <w:rFonts w:cs="Arial"/>
          <w:szCs w:val="18"/>
          <w:lang w:val="en-GB"/>
        </w:rPr>
      </w:pPr>
      <w:r>
        <w:rPr>
          <w:lang w:val="en-GB"/>
        </w:rPr>
        <w:t xml:space="preserve">Global sensitivity analysis results, </w:t>
      </w:r>
      <w:r w:rsidR="00A1134A" w:rsidRPr="00B81DCD">
        <w:rPr>
          <w:lang w:val="en-GB"/>
        </w:rPr>
        <w:t>S</w:t>
      </w:r>
      <w:r w:rsidR="00A1134A" w:rsidRPr="00B81DCD">
        <w:rPr>
          <w:vertAlign w:val="subscript"/>
          <w:lang w:val="en-GB"/>
        </w:rPr>
        <w:t>i</w:t>
      </w:r>
      <w:r w:rsidR="00A1134A">
        <w:rPr>
          <w:rFonts w:cs="Arial"/>
          <w:szCs w:val="18"/>
          <w:lang w:val="en-GB"/>
        </w:rPr>
        <w:t xml:space="preserve"> </w:t>
      </w:r>
      <w:r w:rsidR="006E7BAD">
        <w:rPr>
          <w:rFonts w:cs="Arial"/>
          <w:szCs w:val="18"/>
          <w:lang w:val="en-GB"/>
        </w:rPr>
        <w:t xml:space="preserve">and </w:t>
      </w:r>
      <w:r w:rsidR="00A1134A" w:rsidRPr="00B81DCD">
        <w:rPr>
          <w:lang w:val="en-GB"/>
        </w:rPr>
        <w:t>ST</w:t>
      </w:r>
      <w:r w:rsidR="00A1134A" w:rsidRPr="00B81DCD">
        <w:rPr>
          <w:vertAlign w:val="subscript"/>
          <w:lang w:val="en-GB"/>
        </w:rPr>
        <w:t>i</w:t>
      </w:r>
      <w:r>
        <w:rPr>
          <w:rFonts w:cs="Arial"/>
          <w:szCs w:val="18"/>
          <w:lang w:val="en-GB"/>
        </w:rPr>
        <w:t xml:space="preserve">, </w:t>
      </w:r>
      <w:r w:rsidR="006E7BAD">
        <w:rPr>
          <w:rFonts w:cs="Arial"/>
          <w:szCs w:val="18"/>
          <w:lang w:val="en-GB"/>
        </w:rPr>
        <w:t xml:space="preserve">presented in Table 2 </w:t>
      </w:r>
      <w:r w:rsidR="00202E92">
        <w:rPr>
          <w:rFonts w:cs="Arial"/>
          <w:szCs w:val="18"/>
          <w:lang w:val="en-GB"/>
        </w:rPr>
        <w:t xml:space="preserve">show </w:t>
      </w:r>
      <w:r w:rsidR="00847B1D">
        <w:rPr>
          <w:rFonts w:cs="Arial"/>
          <w:szCs w:val="18"/>
          <w:lang w:val="en-GB"/>
        </w:rPr>
        <w:t xml:space="preserve">general </w:t>
      </w:r>
      <w:r w:rsidR="00202E92">
        <w:rPr>
          <w:rFonts w:cs="Arial"/>
          <w:szCs w:val="18"/>
          <w:lang w:val="en-GB"/>
        </w:rPr>
        <w:t xml:space="preserve">agreement </w:t>
      </w:r>
      <w:r w:rsidR="00E305F8">
        <w:rPr>
          <w:rFonts w:cs="Arial"/>
          <w:szCs w:val="18"/>
          <w:lang w:val="en-GB"/>
        </w:rPr>
        <w:t xml:space="preserve">for </w:t>
      </w:r>
      <w:r w:rsidR="00847B1D">
        <w:rPr>
          <w:rFonts w:cs="Arial"/>
          <w:szCs w:val="18"/>
          <w:lang w:val="en-GB"/>
        </w:rPr>
        <w:t>all the sensitivity indices calculated</w:t>
      </w:r>
      <w:r w:rsidR="007E0BD6">
        <w:rPr>
          <w:rFonts w:cs="Arial"/>
          <w:szCs w:val="18"/>
          <w:lang w:val="en-GB"/>
        </w:rPr>
        <w:t xml:space="preserve"> –</w:t>
      </w:r>
      <w:r w:rsidR="00847B1D">
        <w:rPr>
          <w:rFonts w:cs="Arial"/>
          <w:szCs w:val="18"/>
          <w:lang w:val="en-GB"/>
        </w:rPr>
        <w:t xml:space="preserve"> Jansen and </w:t>
      </w:r>
      <w:proofErr w:type="spellStart"/>
      <w:r w:rsidR="00847B1D">
        <w:rPr>
          <w:rFonts w:cs="Arial"/>
          <w:szCs w:val="18"/>
          <w:lang w:val="en-GB"/>
        </w:rPr>
        <w:t>Saltelli</w:t>
      </w:r>
      <w:proofErr w:type="spellEnd"/>
      <w:r w:rsidR="00847B1D">
        <w:rPr>
          <w:rFonts w:cs="Arial"/>
          <w:szCs w:val="18"/>
          <w:lang w:val="en-GB"/>
        </w:rPr>
        <w:t xml:space="preserve"> approximations to S</w:t>
      </w:r>
      <w:r w:rsidR="00626A5C">
        <w:rPr>
          <w:rFonts w:cs="Arial"/>
          <w:szCs w:val="18"/>
          <w:lang w:val="en-GB"/>
        </w:rPr>
        <w:t>T</w:t>
      </w:r>
      <w:r w:rsidR="00847B1D" w:rsidRPr="008D7DDD">
        <w:rPr>
          <w:rFonts w:cs="Arial"/>
          <w:szCs w:val="18"/>
          <w:vertAlign w:val="subscript"/>
          <w:lang w:val="en-GB"/>
        </w:rPr>
        <w:t>i</w:t>
      </w:r>
      <w:r w:rsidR="00847B1D">
        <w:rPr>
          <w:rFonts w:cs="Arial"/>
          <w:szCs w:val="18"/>
          <w:lang w:val="en-GB"/>
        </w:rPr>
        <w:t xml:space="preserve"> are the same.</w:t>
      </w:r>
      <w:r w:rsidR="007E0BD6">
        <w:rPr>
          <w:rFonts w:cs="Arial"/>
          <w:szCs w:val="18"/>
          <w:lang w:val="en-GB"/>
        </w:rPr>
        <w:t xml:space="preserve"> </w:t>
      </w:r>
      <w:r w:rsidR="00931E38">
        <w:rPr>
          <w:rFonts w:cs="Arial"/>
          <w:szCs w:val="18"/>
          <w:lang w:val="en-GB"/>
        </w:rPr>
        <w:t>According to these results, w</w:t>
      </w:r>
      <w:r w:rsidR="00AD094D">
        <w:rPr>
          <w:rFonts w:cs="Arial"/>
          <w:szCs w:val="18"/>
          <w:lang w:val="en-GB"/>
        </w:rPr>
        <w:t xml:space="preserve">ind speed </w:t>
      </w:r>
      <w:r w:rsidR="00447782">
        <w:rPr>
          <w:rFonts w:cs="Arial"/>
          <w:szCs w:val="18"/>
          <w:lang w:val="en-GB"/>
        </w:rPr>
        <w:t>variations – in other words, assumptions – are likely to have</w:t>
      </w:r>
      <w:r w:rsidR="007D6601">
        <w:rPr>
          <w:rFonts w:cs="Arial"/>
          <w:szCs w:val="18"/>
          <w:lang w:val="en-GB"/>
        </w:rPr>
        <w:t xml:space="preserve"> a </w:t>
      </w:r>
      <w:r w:rsidR="00143E10">
        <w:rPr>
          <w:rFonts w:cs="Arial"/>
          <w:szCs w:val="18"/>
          <w:lang w:val="en-GB"/>
        </w:rPr>
        <w:t>considerable</w:t>
      </w:r>
      <w:r w:rsidR="007D6601">
        <w:rPr>
          <w:rFonts w:cs="Arial"/>
          <w:szCs w:val="18"/>
          <w:lang w:val="en-GB"/>
        </w:rPr>
        <w:t xml:space="preserve"> i</w:t>
      </w:r>
      <w:r w:rsidR="00143E10">
        <w:rPr>
          <w:rFonts w:cs="Arial"/>
          <w:szCs w:val="18"/>
          <w:lang w:val="en-GB"/>
        </w:rPr>
        <w:t xml:space="preserve">mpact </w:t>
      </w:r>
      <w:r w:rsidR="00C81E66">
        <w:rPr>
          <w:rFonts w:cs="Arial"/>
          <w:szCs w:val="18"/>
          <w:lang w:val="en-GB"/>
        </w:rPr>
        <w:t xml:space="preserve">in the </w:t>
      </w:r>
      <w:r w:rsidR="00A975DF">
        <w:rPr>
          <w:rFonts w:cs="Arial"/>
          <w:szCs w:val="18"/>
          <w:lang w:val="en-GB"/>
        </w:rPr>
        <w:t>variability of the airborn</w:t>
      </w:r>
      <w:r w:rsidR="00F95747">
        <w:rPr>
          <w:rFonts w:cs="Arial"/>
          <w:szCs w:val="18"/>
          <w:lang w:val="en-GB"/>
        </w:rPr>
        <w:t>e</w:t>
      </w:r>
      <w:r w:rsidR="00A975DF">
        <w:rPr>
          <w:rFonts w:cs="Arial"/>
          <w:szCs w:val="18"/>
          <w:lang w:val="en-GB"/>
        </w:rPr>
        <w:t xml:space="preserve"> acrylonitrile concentration</w:t>
      </w:r>
      <w:r w:rsidR="00A1134A">
        <w:rPr>
          <w:rFonts w:cs="Arial"/>
          <w:szCs w:val="18"/>
          <w:lang w:val="en-GB"/>
        </w:rPr>
        <w:t>, whereas the other factors play a less significant role in the uncertainty of the concentration estimates.</w:t>
      </w:r>
      <w:r w:rsidR="009309CD">
        <w:rPr>
          <w:rFonts w:cs="Arial"/>
          <w:szCs w:val="18"/>
          <w:lang w:val="en-GB"/>
        </w:rPr>
        <w:t xml:space="preserve"> This can be</w:t>
      </w:r>
      <w:r w:rsidR="00AF5E9E">
        <w:rPr>
          <w:rFonts w:cs="Arial"/>
          <w:szCs w:val="18"/>
          <w:lang w:val="en-GB"/>
        </w:rPr>
        <w:t xml:space="preserve"> explained</w:t>
      </w:r>
      <w:r w:rsidR="009309CD">
        <w:rPr>
          <w:rFonts w:cs="Arial"/>
          <w:szCs w:val="18"/>
          <w:lang w:val="en-GB"/>
        </w:rPr>
        <w:t xml:space="preserve"> </w:t>
      </w:r>
      <w:proofErr w:type="gramStart"/>
      <w:r w:rsidR="009309CD">
        <w:rPr>
          <w:rFonts w:cs="Arial"/>
          <w:szCs w:val="18"/>
          <w:lang w:val="en-GB"/>
        </w:rPr>
        <w:t>due to the fact that</w:t>
      </w:r>
      <w:proofErr w:type="gramEnd"/>
      <w:r w:rsidR="009309CD">
        <w:rPr>
          <w:rFonts w:cs="Arial"/>
          <w:szCs w:val="18"/>
          <w:lang w:val="en-GB"/>
        </w:rPr>
        <w:t xml:space="preserve"> wind speed affects both, </w:t>
      </w:r>
      <w:r w:rsidR="00594BF5">
        <w:rPr>
          <w:rFonts w:cs="Arial"/>
          <w:szCs w:val="18"/>
          <w:lang w:val="en-GB"/>
        </w:rPr>
        <w:t>the gaussian dispersion calculations as well as t</w:t>
      </w:r>
      <w:r w:rsidR="009309CD">
        <w:rPr>
          <w:rFonts w:cs="Arial"/>
          <w:szCs w:val="18"/>
          <w:lang w:val="en-GB"/>
        </w:rPr>
        <w:t xml:space="preserve">he considered stability class for </w:t>
      </w:r>
      <w:r w:rsidR="00594BF5">
        <w:rPr>
          <w:rFonts w:cs="Arial"/>
          <w:szCs w:val="18"/>
          <w:lang w:val="en-GB"/>
        </w:rPr>
        <w:t>i</w:t>
      </w:r>
      <w:r w:rsidR="00AF5E9E">
        <w:rPr>
          <w:rFonts w:cs="Arial"/>
          <w:szCs w:val="18"/>
          <w:lang w:val="en-GB"/>
        </w:rPr>
        <w:t>t</w:t>
      </w:r>
      <w:r w:rsidR="00594BF5">
        <w:rPr>
          <w:rFonts w:cs="Arial"/>
          <w:szCs w:val="18"/>
          <w:lang w:val="en-GB"/>
        </w:rPr>
        <w:t>.</w:t>
      </w:r>
    </w:p>
    <w:p w14:paraId="5E5ECCEE" w14:textId="77777777" w:rsidR="000A7F09" w:rsidRDefault="000A7F09" w:rsidP="007A6DFB">
      <w:pPr>
        <w:pStyle w:val="BOAAbstractBody"/>
        <w:rPr>
          <w:rFonts w:cs="Arial"/>
          <w:szCs w:val="18"/>
          <w:lang w:val="en-GB"/>
        </w:rPr>
      </w:pPr>
    </w:p>
    <w:p w14:paraId="1D76D8A9" w14:textId="595A7E40" w:rsidR="00AF5E9E" w:rsidRDefault="00263BB8" w:rsidP="007A6DFB">
      <w:pPr>
        <w:pStyle w:val="BOAAbstractBody"/>
        <w:rPr>
          <w:rFonts w:cs="Arial"/>
          <w:szCs w:val="18"/>
          <w:lang w:val="en-GB"/>
        </w:rPr>
      </w:pPr>
      <w:r w:rsidRPr="00263BB8">
        <w:rPr>
          <w:rFonts w:cs="Arial"/>
          <w:szCs w:val="18"/>
          <w:lang w:val="en-GB"/>
        </w:rPr>
        <w:t>Further analysis on the behaviour of the output led to the understanding that the concentration values differed significantly for each stability class. Figure 2 clearly depicts this difference, which is particularly noticeable for stability class F. From stability classes A to F, the mean and dispersion of the calculated concentration mostly increases. This</w:t>
      </w:r>
      <w:r w:rsidR="00AF5E9E">
        <w:rPr>
          <w:rFonts w:cs="Arial"/>
          <w:szCs w:val="18"/>
          <w:lang w:val="en-GB"/>
        </w:rPr>
        <w:t xml:space="preserve"> </w:t>
      </w:r>
      <w:r w:rsidR="00AF5E9E" w:rsidRPr="00B81DCD">
        <w:rPr>
          <w:rFonts w:cs="Arial"/>
          <w:szCs w:val="18"/>
          <w:lang w:val="en-GB"/>
        </w:rPr>
        <w:t>observation agrees with the definition of the stability classes, which provides from A to F</w:t>
      </w:r>
      <w:r w:rsidR="00AF5E9E">
        <w:rPr>
          <w:rFonts w:cs="Arial"/>
          <w:szCs w:val="18"/>
          <w:lang w:val="en-GB"/>
        </w:rPr>
        <w:t xml:space="preserve"> </w:t>
      </w:r>
      <w:r w:rsidR="00AF5E9E" w:rsidRPr="00B81DCD">
        <w:rPr>
          <w:rFonts w:cs="Arial"/>
          <w:szCs w:val="18"/>
          <w:lang w:val="en-GB"/>
        </w:rPr>
        <w:t xml:space="preserve">more stable atmospheric conditions, hence, preventing the dispersion of </w:t>
      </w:r>
      <w:r w:rsidR="0084430D">
        <w:rPr>
          <w:rFonts w:cs="Arial"/>
          <w:szCs w:val="18"/>
          <w:lang w:val="en-GB"/>
        </w:rPr>
        <w:t>the toxic gas.</w:t>
      </w:r>
      <w:r w:rsidR="0084430D" w:rsidRPr="0084430D">
        <w:rPr>
          <w:rFonts w:cs="Arial"/>
          <w:szCs w:val="18"/>
          <w:lang w:val="en-GB"/>
        </w:rPr>
        <w:t xml:space="preserve"> </w:t>
      </w:r>
      <w:r w:rsidR="0084430D" w:rsidRPr="00B81DCD">
        <w:rPr>
          <w:rFonts w:cs="Arial"/>
          <w:szCs w:val="18"/>
          <w:lang w:val="en-GB"/>
        </w:rPr>
        <w:t xml:space="preserve">Following this evidence, the output values were sorted and grouped according to their stability class and the SRC coefficients for each group were newly determined, this time </w:t>
      </w:r>
      <w:r w:rsidR="0084430D" w:rsidRPr="00B81DCD">
        <w:rPr>
          <w:rFonts w:cs="Arial"/>
          <w:szCs w:val="18"/>
          <w:lang w:val="en-GB"/>
        </w:rPr>
        <w:lastRenderedPageBreak/>
        <w:t xml:space="preserve">dropping the stability class related inputs and </w:t>
      </w:r>
      <w:proofErr w:type="gramStart"/>
      <w:r w:rsidR="0084430D" w:rsidRPr="00B81DCD">
        <w:rPr>
          <w:rFonts w:cs="Arial"/>
          <w:szCs w:val="18"/>
          <w:lang w:val="en-GB"/>
        </w:rPr>
        <w:t>day-time</w:t>
      </w:r>
      <w:proofErr w:type="gramEnd"/>
      <w:r w:rsidR="0084430D" w:rsidRPr="00B81DCD">
        <w:rPr>
          <w:rFonts w:cs="Arial"/>
          <w:szCs w:val="18"/>
          <w:lang w:val="en-GB"/>
        </w:rPr>
        <w:t xml:space="preserve"> or night-time for SRC calculations. As a result of the separation the number of samples per stability class is different.</w:t>
      </w:r>
    </w:p>
    <w:p w14:paraId="58838563" w14:textId="40F3D02A" w:rsidR="001871FB" w:rsidRPr="00B81DCD" w:rsidRDefault="00B86F92" w:rsidP="00EB3205">
      <w:pPr>
        <w:pStyle w:val="BOACaption"/>
      </w:pPr>
      <w:r w:rsidRPr="00B81DCD">
        <w:t>Table 2. First order and total order effects</w:t>
      </w:r>
      <w:r w:rsidR="00C30775">
        <w:t xml:space="preserve"> </w:t>
      </w:r>
      <w:r w:rsidR="00C30775" w:rsidRPr="00B81DCD">
        <w:t>for concentration (g/m</w:t>
      </w:r>
      <w:r w:rsidR="00C30775" w:rsidRPr="00B81DCD">
        <w:rPr>
          <w:vertAlign w:val="superscript"/>
        </w:rPr>
        <w:t>3</w:t>
      </w:r>
      <w:r w:rsidR="00C30775" w:rsidRPr="00B81DCD">
        <w:t>) at 211 m downwind</w:t>
      </w:r>
      <w:r w:rsidRPr="00B81DCD">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247"/>
        <w:gridCol w:w="1247"/>
        <w:gridCol w:w="1247"/>
        <w:gridCol w:w="1247"/>
        <w:gridCol w:w="1247"/>
      </w:tblGrid>
      <w:tr w:rsidR="00F77EB9" w:rsidRPr="00B81DCD" w14:paraId="49332E14" w14:textId="76864724" w:rsidTr="006431CE">
        <w:trPr>
          <w:jc w:val="center"/>
        </w:trPr>
        <w:tc>
          <w:tcPr>
            <w:tcW w:w="2268" w:type="dxa"/>
            <w:tcBorders>
              <w:top w:val="single" w:sz="12" w:space="0" w:color="008000"/>
              <w:bottom w:val="single" w:sz="6" w:space="0" w:color="008000"/>
            </w:tcBorders>
            <w:shd w:val="clear" w:color="auto" w:fill="FFFFFF"/>
          </w:tcPr>
          <w:p w14:paraId="47F0924C" w14:textId="77777777" w:rsidR="00F77EB9" w:rsidRPr="00B81DCD" w:rsidRDefault="00F77EB9" w:rsidP="00F77EB9">
            <w:r w:rsidRPr="00B81DCD">
              <w:t>Input variable</w:t>
            </w:r>
          </w:p>
        </w:tc>
        <w:tc>
          <w:tcPr>
            <w:tcW w:w="1247" w:type="dxa"/>
            <w:tcBorders>
              <w:top w:val="single" w:sz="12" w:space="0" w:color="008000"/>
              <w:bottom w:val="single" w:sz="6" w:space="0" w:color="008000"/>
            </w:tcBorders>
            <w:shd w:val="clear" w:color="auto" w:fill="FFFFFF"/>
          </w:tcPr>
          <w:p w14:paraId="73294AD1" w14:textId="25C70E2A" w:rsidR="00F77EB9" w:rsidRPr="00B81DCD" w:rsidRDefault="00F77EB9" w:rsidP="00F77EB9">
            <w:r w:rsidRPr="00B81DCD">
              <w:t>S</w:t>
            </w:r>
            <w:r w:rsidRPr="00B81DCD">
              <w:rPr>
                <w:vertAlign w:val="subscript"/>
              </w:rPr>
              <w:t>i</w:t>
            </w:r>
            <w:r w:rsidRPr="00B81DCD">
              <w:t xml:space="preserve"> – Sobol</w:t>
            </w:r>
          </w:p>
        </w:tc>
        <w:tc>
          <w:tcPr>
            <w:tcW w:w="1247" w:type="dxa"/>
            <w:tcBorders>
              <w:top w:val="single" w:sz="12" w:space="0" w:color="008000"/>
              <w:bottom w:val="single" w:sz="6" w:space="0" w:color="008000"/>
            </w:tcBorders>
            <w:shd w:val="clear" w:color="auto" w:fill="FFFFFF"/>
          </w:tcPr>
          <w:p w14:paraId="122832A2" w14:textId="5ACE7BC5" w:rsidR="00F77EB9" w:rsidRPr="00B81DCD" w:rsidRDefault="00F77EB9" w:rsidP="00F77EB9">
            <w:pPr>
              <w:ind w:right="-1"/>
              <w:rPr>
                <w:rFonts w:cs="Arial"/>
                <w:szCs w:val="18"/>
              </w:rPr>
            </w:pPr>
            <w:r w:rsidRPr="00B81DCD">
              <w:t>S</w:t>
            </w:r>
            <w:r w:rsidRPr="00B81DCD">
              <w:rPr>
                <w:vertAlign w:val="subscript"/>
              </w:rPr>
              <w:t>i</w:t>
            </w:r>
            <w:r w:rsidRPr="00B81DCD">
              <w:t xml:space="preserve"> – </w:t>
            </w:r>
            <w:proofErr w:type="spellStart"/>
            <w:r w:rsidRPr="00B81DCD">
              <w:rPr>
                <w:rFonts w:cs="Arial"/>
                <w:szCs w:val="18"/>
              </w:rPr>
              <w:t>Saltelli</w:t>
            </w:r>
            <w:proofErr w:type="spellEnd"/>
          </w:p>
        </w:tc>
        <w:tc>
          <w:tcPr>
            <w:tcW w:w="1247" w:type="dxa"/>
            <w:tcBorders>
              <w:top w:val="single" w:sz="12" w:space="0" w:color="008000"/>
              <w:bottom w:val="single" w:sz="6" w:space="0" w:color="008000"/>
            </w:tcBorders>
            <w:shd w:val="clear" w:color="auto" w:fill="FFFFFF"/>
          </w:tcPr>
          <w:p w14:paraId="2B2B2A53" w14:textId="3E6F0CC2" w:rsidR="00F77EB9" w:rsidRPr="00B81DCD" w:rsidRDefault="00F77EB9" w:rsidP="00F77EB9">
            <w:pPr>
              <w:ind w:right="-1"/>
              <w:rPr>
                <w:rFonts w:cs="Arial"/>
                <w:szCs w:val="18"/>
              </w:rPr>
            </w:pPr>
            <w:r w:rsidRPr="00B81DCD">
              <w:t>S</w:t>
            </w:r>
            <w:r w:rsidRPr="00B81DCD">
              <w:rPr>
                <w:vertAlign w:val="subscript"/>
              </w:rPr>
              <w:t>i</w:t>
            </w:r>
            <w:r w:rsidRPr="00B81DCD">
              <w:t xml:space="preserve"> – Jansen</w:t>
            </w:r>
          </w:p>
        </w:tc>
        <w:tc>
          <w:tcPr>
            <w:tcW w:w="1247" w:type="dxa"/>
            <w:tcBorders>
              <w:top w:val="single" w:sz="12" w:space="0" w:color="008000"/>
              <w:bottom w:val="single" w:sz="6" w:space="0" w:color="008000"/>
            </w:tcBorders>
            <w:shd w:val="clear" w:color="auto" w:fill="FFFFFF"/>
          </w:tcPr>
          <w:p w14:paraId="6836D447" w14:textId="7836D428" w:rsidR="00F77EB9" w:rsidRPr="00B81DCD" w:rsidRDefault="00F77EB9" w:rsidP="00F77EB9">
            <w:pPr>
              <w:ind w:right="-1"/>
            </w:pPr>
            <w:r w:rsidRPr="00B81DCD">
              <w:t>ST</w:t>
            </w:r>
            <w:r w:rsidRPr="00B81DCD">
              <w:rPr>
                <w:vertAlign w:val="subscript"/>
              </w:rPr>
              <w:t>i</w:t>
            </w:r>
            <w:r w:rsidRPr="00B81DCD">
              <w:t xml:space="preserve"> – Sobol</w:t>
            </w:r>
          </w:p>
        </w:tc>
        <w:tc>
          <w:tcPr>
            <w:tcW w:w="1247" w:type="dxa"/>
            <w:tcBorders>
              <w:top w:val="single" w:sz="12" w:space="0" w:color="008000"/>
              <w:bottom w:val="single" w:sz="6" w:space="0" w:color="008000"/>
            </w:tcBorders>
            <w:shd w:val="clear" w:color="auto" w:fill="FFFFFF"/>
          </w:tcPr>
          <w:p w14:paraId="18641ED3" w14:textId="0D0DB06E" w:rsidR="00F77EB9" w:rsidRPr="00B81DCD" w:rsidRDefault="00F77EB9" w:rsidP="00F77EB9">
            <w:pPr>
              <w:ind w:right="-1"/>
            </w:pPr>
            <w:r w:rsidRPr="00B81DCD">
              <w:t>ST</w:t>
            </w:r>
            <w:r w:rsidRPr="00B81DCD">
              <w:rPr>
                <w:vertAlign w:val="subscript"/>
              </w:rPr>
              <w:t>i</w:t>
            </w:r>
            <w:r w:rsidRPr="00B81DCD">
              <w:t xml:space="preserve"> – </w:t>
            </w:r>
            <w:proofErr w:type="spellStart"/>
            <w:r w:rsidRPr="00B81DCD">
              <w:rPr>
                <w:rFonts w:cs="Arial"/>
                <w:szCs w:val="18"/>
              </w:rPr>
              <w:t>Saltelli</w:t>
            </w:r>
            <w:proofErr w:type="spellEnd"/>
            <w:r w:rsidR="00626A5C">
              <w:rPr>
                <w:rFonts w:cs="Arial"/>
                <w:szCs w:val="18"/>
              </w:rPr>
              <w:t xml:space="preserve"> / Jansen</w:t>
            </w:r>
          </w:p>
        </w:tc>
      </w:tr>
      <w:tr w:rsidR="00A45363" w:rsidRPr="00B81DCD" w14:paraId="650F4D14" w14:textId="1D4A418C" w:rsidTr="006431CE">
        <w:trPr>
          <w:jc w:val="center"/>
        </w:trPr>
        <w:tc>
          <w:tcPr>
            <w:tcW w:w="2268" w:type="dxa"/>
            <w:shd w:val="clear" w:color="auto" w:fill="FFFFFF"/>
          </w:tcPr>
          <w:p w14:paraId="4B7BA176" w14:textId="77777777" w:rsidR="00A45363" w:rsidRPr="00B81DCD" w:rsidRDefault="00A45363" w:rsidP="00A45363">
            <w:r w:rsidRPr="00B81DCD">
              <w:t>Wind speed (m/s)</w:t>
            </w:r>
          </w:p>
        </w:tc>
        <w:tc>
          <w:tcPr>
            <w:tcW w:w="1247" w:type="dxa"/>
            <w:shd w:val="clear" w:color="auto" w:fill="FFFFFF"/>
          </w:tcPr>
          <w:p w14:paraId="60EE10CB" w14:textId="711B651D" w:rsidR="00A45363" w:rsidRPr="00B81DCD" w:rsidRDefault="00A45363" w:rsidP="00A45363">
            <w:r w:rsidRPr="00B81DCD">
              <w:t>0.4318</w:t>
            </w:r>
          </w:p>
        </w:tc>
        <w:tc>
          <w:tcPr>
            <w:tcW w:w="1247" w:type="dxa"/>
            <w:shd w:val="clear" w:color="auto" w:fill="FFFFFF"/>
          </w:tcPr>
          <w:p w14:paraId="28072F4A" w14:textId="602E5807" w:rsidR="00A45363" w:rsidRPr="00B81DCD" w:rsidRDefault="00A45363" w:rsidP="00A45363">
            <w:pPr>
              <w:ind w:right="-1"/>
              <w:rPr>
                <w:rFonts w:cs="Arial"/>
                <w:szCs w:val="18"/>
              </w:rPr>
            </w:pPr>
            <w:r w:rsidRPr="00B81DCD">
              <w:t>0.4444</w:t>
            </w:r>
          </w:p>
        </w:tc>
        <w:tc>
          <w:tcPr>
            <w:tcW w:w="1247" w:type="dxa"/>
            <w:shd w:val="clear" w:color="auto" w:fill="FFFFFF"/>
          </w:tcPr>
          <w:p w14:paraId="36ADE0CE" w14:textId="7B98A96E" w:rsidR="00A45363" w:rsidRPr="00B81DCD" w:rsidRDefault="00A45363" w:rsidP="00A45363">
            <w:pPr>
              <w:ind w:right="-1"/>
              <w:rPr>
                <w:rFonts w:cs="Arial"/>
                <w:szCs w:val="18"/>
              </w:rPr>
            </w:pPr>
            <w:r w:rsidRPr="00B81DCD">
              <w:t>0.4387</w:t>
            </w:r>
          </w:p>
        </w:tc>
        <w:tc>
          <w:tcPr>
            <w:tcW w:w="1247" w:type="dxa"/>
            <w:shd w:val="clear" w:color="auto" w:fill="FFFFFF"/>
          </w:tcPr>
          <w:p w14:paraId="1CA17D1D" w14:textId="5D179134" w:rsidR="00A45363" w:rsidRPr="00B81DCD" w:rsidRDefault="00A45363" w:rsidP="00A45363">
            <w:pPr>
              <w:ind w:right="-1"/>
            </w:pPr>
            <w:r w:rsidRPr="00440B9C">
              <w:t>0.8788</w:t>
            </w:r>
          </w:p>
        </w:tc>
        <w:tc>
          <w:tcPr>
            <w:tcW w:w="1247" w:type="dxa"/>
            <w:shd w:val="clear" w:color="auto" w:fill="FFFFFF"/>
          </w:tcPr>
          <w:p w14:paraId="44C14CE9" w14:textId="548C0AF3" w:rsidR="00A45363" w:rsidRPr="00B81DCD" w:rsidRDefault="00A45363" w:rsidP="00A45363">
            <w:pPr>
              <w:ind w:right="-1"/>
            </w:pPr>
            <w:r w:rsidRPr="005A3540">
              <w:t>0.8868</w:t>
            </w:r>
          </w:p>
        </w:tc>
      </w:tr>
      <w:tr w:rsidR="00A45363" w:rsidRPr="00B81DCD" w14:paraId="7DD8C5DA" w14:textId="15F3788A" w:rsidTr="006431CE">
        <w:trPr>
          <w:jc w:val="center"/>
        </w:trPr>
        <w:tc>
          <w:tcPr>
            <w:tcW w:w="2268" w:type="dxa"/>
            <w:shd w:val="clear" w:color="auto" w:fill="FFFFFF"/>
          </w:tcPr>
          <w:p w14:paraId="170CD7BA" w14:textId="77777777" w:rsidR="00A45363" w:rsidRPr="00B81DCD" w:rsidRDefault="00A45363" w:rsidP="00A45363">
            <w:r w:rsidRPr="00B81DCD">
              <w:t>Cloud cover</w:t>
            </w:r>
          </w:p>
        </w:tc>
        <w:tc>
          <w:tcPr>
            <w:tcW w:w="1247" w:type="dxa"/>
            <w:shd w:val="clear" w:color="auto" w:fill="FFFFFF"/>
          </w:tcPr>
          <w:p w14:paraId="62BCBDC7" w14:textId="65D5F233" w:rsidR="00A45363" w:rsidRPr="00B81DCD" w:rsidRDefault="00A45363" w:rsidP="00A45363">
            <w:r w:rsidRPr="00B81DCD">
              <w:t>0.0107</w:t>
            </w:r>
          </w:p>
        </w:tc>
        <w:tc>
          <w:tcPr>
            <w:tcW w:w="1247" w:type="dxa"/>
            <w:shd w:val="clear" w:color="auto" w:fill="FFFFFF"/>
          </w:tcPr>
          <w:p w14:paraId="7DC978DF" w14:textId="624B2B69" w:rsidR="00A45363" w:rsidRPr="00B81DCD" w:rsidRDefault="00A45363" w:rsidP="00A45363">
            <w:pPr>
              <w:ind w:right="-1"/>
              <w:rPr>
                <w:rFonts w:cs="Arial"/>
                <w:szCs w:val="18"/>
              </w:rPr>
            </w:pPr>
            <w:r w:rsidRPr="00B81DCD">
              <w:t>0.0091</w:t>
            </w:r>
          </w:p>
        </w:tc>
        <w:tc>
          <w:tcPr>
            <w:tcW w:w="1247" w:type="dxa"/>
            <w:shd w:val="clear" w:color="auto" w:fill="FFFFFF"/>
          </w:tcPr>
          <w:p w14:paraId="352EED56" w14:textId="2CDB4E1C" w:rsidR="00A45363" w:rsidRPr="00B81DCD" w:rsidRDefault="00A45363" w:rsidP="00A45363">
            <w:pPr>
              <w:ind w:right="-1"/>
              <w:rPr>
                <w:rFonts w:cs="Arial"/>
                <w:szCs w:val="18"/>
              </w:rPr>
            </w:pPr>
            <w:r w:rsidRPr="00B81DCD">
              <w:t>0.0095</w:t>
            </w:r>
          </w:p>
        </w:tc>
        <w:tc>
          <w:tcPr>
            <w:tcW w:w="1247" w:type="dxa"/>
            <w:shd w:val="clear" w:color="auto" w:fill="FFFFFF"/>
          </w:tcPr>
          <w:p w14:paraId="3DA81D07" w14:textId="6C2A4E6E" w:rsidR="00A45363" w:rsidRPr="00B81DCD" w:rsidRDefault="00A45363" w:rsidP="00A45363">
            <w:pPr>
              <w:ind w:right="-1"/>
            </w:pPr>
            <w:r w:rsidRPr="00440B9C">
              <w:t>0.1031</w:t>
            </w:r>
          </w:p>
        </w:tc>
        <w:tc>
          <w:tcPr>
            <w:tcW w:w="1247" w:type="dxa"/>
            <w:shd w:val="clear" w:color="auto" w:fill="FFFFFF"/>
          </w:tcPr>
          <w:p w14:paraId="386414BC" w14:textId="1B8CE4EC" w:rsidR="00A45363" w:rsidRPr="00B81DCD" w:rsidRDefault="00A45363" w:rsidP="00A45363">
            <w:pPr>
              <w:ind w:right="-1"/>
            </w:pPr>
            <w:r w:rsidRPr="005A3540">
              <w:t>0.1050</w:t>
            </w:r>
          </w:p>
        </w:tc>
      </w:tr>
      <w:tr w:rsidR="00A45363" w:rsidRPr="00B81DCD" w14:paraId="736A21D7" w14:textId="40A06520" w:rsidTr="006431CE">
        <w:trPr>
          <w:jc w:val="center"/>
        </w:trPr>
        <w:tc>
          <w:tcPr>
            <w:tcW w:w="2268" w:type="dxa"/>
            <w:shd w:val="clear" w:color="auto" w:fill="FFFFFF"/>
          </w:tcPr>
          <w:p w14:paraId="002B325D" w14:textId="77777777" w:rsidR="00A45363" w:rsidRPr="00B81DCD" w:rsidRDefault="00A45363" w:rsidP="00A45363">
            <w:proofErr w:type="gramStart"/>
            <w:r w:rsidRPr="00B81DCD">
              <w:t>Day-time</w:t>
            </w:r>
            <w:proofErr w:type="gramEnd"/>
            <w:r w:rsidRPr="00B81DCD">
              <w:t>/Night-time</w:t>
            </w:r>
          </w:p>
        </w:tc>
        <w:tc>
          <w:tcPr>
            <w:tcW w:w="1247" w:type="dxa"/>
            <w:shd w:val="clear" w:color="auto" w:fill="FFFFFF"/>
          </w:tcPr>
          <w:p w14:paraId="1437B822" w14:textId="75A03064" w:rsidR="00A45363" w:rsidRPr="00B81DCD" w:rsidRDefault="00A45363" w:rsidP="00A45363">
            <w:r w:rsidRPr="00B81DCD">
              <w:t>0.0737</w:t>
            </w:r>
          </w:p>
        </w:tc>
        <w:tc>
          <w:tcPr>
            <w:tcW w:w="1247" w:type="dxa"/>
            <w:shd w:val="clear" w:color="auto" w:fill="FFFFFF"/>
          </w:tcPr>
          <w:p w14:paraId="389FB97C" w14:textId="75EEDCC4" w:rsidR="00A45363" w:rsidRPr="00B81DCD" w:rsidRDefault="00A45363" w:rsidP="00A45363">
            <w:pPr>
              <w:ind w:right="-1"/>
              <w:rPr>
                <w:rFonts w:cs="Arial"/>
                <w:szCs w:val="18"/>
              </w:rPr>
            </w:pPr>
            <w:r w:rsidRPr="00B81DCD">
              <w:t>0.0689</w:t>
            </w:r>
          </w:p>
        </w:tc>
        <w:tc>
          <w:tcPr>
            <w:tcW w:w="1247" w:type="dxa"/>
            <w:shd w:val="clear" w:color="auto" w:fill="FFFFFF"/>
          </w:tcPr>
          <w:p w14:paraId="629B96AE" w14:textId="46B3ADF7" w:rsidR="00A45363" w:rsidRPr="00B81DCD" w:rsidRDefault="00A45363" w:rsidP="00A45363">
            <w:pPr>
              <w:ind w:right="-1"/>
              <w:rPr>
                <w:rFonts w:cs="Arial"/>
                <w:szCs w:val="18"/>
              </w:rPr>
            </w:pPr>
            <w:r w:rsidRPr="00B81DCD">
              <w:t>0.0738</w:t>
            </w:r>
          </w:p>
        </w:tc>
        <w:tc>
          <w:tcPr>
            <w:tcW w:w="1247" w:type="dxa"/>
            <w:shd w:val="clear" w:color="auto" w:fill="FFFFFF"/>
          </w:tcPr>
          <w:p w14:paraId="18926492" w14:textId="2E0FCA4C" w:rsidR="00A45363" w:rsidRPr="00B81DCD" w:rsidRDefault="00A45363" w:rsidP="00A45363">
            <w:pPr>
              <w:ind w:right="-1"/>
            </w:pPr>
            <w:r w:rsidRPr="00440B9C">
              <w:t>0.4562</w:t>
            </w:r>
          </w:p>
        </w:tc>
        <w:tc>
          <w:tcPr>
            <w:tcW w:w="1247" w:type="dxa"/>
            <w:shd w:val="clear" w:color="auto" w:fill="FFFFFF"/>
          </w:tcPr>
          <w:p w14:paraId="64544681" w14:textId="0736E0A5" w:rsidR="00A45363" w:rsidRPr="00B81DCD" w:rsidRDefault="00A45363" w:rsidP="00A45363">
            <w:pPr>
              <w:ind w:right="-1"/>
            </w:pPr>
            <w:r w:rsidRPr="005A3540">
              <w:t>0.4536</w:t>
            </w:r>
          </w:p>
        </w:tc>
      </w:tr>
      <w:tr w:rsidR="00A45363" w:rsidRPr="00B81DCD" w14:paraId="2E8EEAEB" w14:textId="48F628BC" w:rsidTr="006431CE">
        <w:trPr>
          <w:jc w:val="center"/>
        </w:trPr>
        <w:tc>
          <w:tcPr>
            <w:tcW w:w="2268" w:type="dxa"/>
            <w:shd w:val="clear" w:color="auto" w:fill="FFFFFF"/>
          </w:tcPr>
          <w:p w14:paraId="49A129C5" w14:textId="77777777" w:rsidR="00A45363" w:rsidRPr="00B81DCD" w:rsidRDefault="00A45363" w:rsidP="00A45363">
            <w:r w:rsidRPr="00B81DCD">
              <w:t>Ambient temperature (</w:t>
            </w:r>
            <w:r w:rsidRPr="00B81DCD">
              <w:rPr>
                <w:rFonts w:ascii="Aptos Narrow" w:hAnsi="Aptos Narrow" w:cs="Arial"/>
                <w:szCs w:val="18"/>
              </w:rPr>
              <w:t>°</w:t>
            </w:r>
            <w:r w:rsidRPr="00B81DCD">
              <w:rPr>
                <w:rFonts w:cs="Arial"/>
                <w:szCs w:val="18"/>
              </w:rPr>
              <w:t>C)</w:t>
            </w:r>
          </w:p>
        </w:tc>
        <w:tc>
          <w:tcPr>
            <w:tcW w:w="1247" w:type="dxa"/>
            <w:shd w:val="clear" w:color="auto" w:fill="FFFFFF"/>
          </w:tcPr>
          <w:p w14:paraId="46CC3D5D" w14:textId="093FD6B6" w:rsidR="00A45363" w:rsidRPr="00B81DCD" w:rsidRDefault="00A45363" w:rsidP="00A45363">
            <w:r w:rsidRPr="00B81DCD">
              <w:t>0.0163</w:t>
            </w:r>
          </w:p>
        </w:tc>
        <w:tc>
          <w:tcPr>
            <w:tcW w:w="1247" w:type="dxa"/>
            <w:shd w:val="clear" w:color="auto" w:fill="FFFFFF"/>
          </w:tcPr>
          <w:p w14:paraId="245AE79D" w14:textId="54E2D0F2" w:rsidR="00A45363" w:rsidRPr="00B81DCD" w:rsidRDefault="00A45363" w:rsidP="00A45363">
            <w:pPr>
              <w:ind w:right="-1"/>
              <w:rPr>
                <w:rFonts w:cs="Arial"/>
                <w:szCs w:val="18"/>
              </w:rPr>
            </w:pPr>
            <w:r w:rsidRPr="00B81DCD">
              <w:t>0.0159</w:t>
            </w:r>
          </w:p>
        </w:tc>
        <w:tc>
          <w:tcPr>
            <w:tcW w:w="1247" w:type="dxa"/>
            <w:shd w:val="clear" w:color="auto" w:fill="FFFFFF"/>
          </w:tcPr>
          <w:p w14:paraId="4E7428CF" w14:textId="20FF0386" w:rsidR="00A45363" w:rsidRPr="00B81DCD" w:rsidRDefault="00A45363" w:rsidP="00A45363">
            <w:pPr>
              <w:ind w:right="-1"/>
              <w:rPr>
                <w:rFonts w:cs="Arial"/>
                <w:szCs w:val="18"/>
              </w:rPr>
            </w:pPr>
            <w:r w:rsidRPr="00B81DCD">
              <w:t>0.0142</w:t>
            </w:r>
          </w:p>
        </w:tc>
        <w:tc>
          <w:tcPr>
            <w:tcW w:w="1247" w:type="dxa"/>
            <w:shd w:val="clear" w:color="auto" w:fill="FFFFFF"/>
          </w:tcPr>
          <w:p w14:paraId="7D47B5A9" w14:textId="2ED094A9" w:rsidR="00A45363" w:rsidRPr="00B81DCD" w:rsidRDefault="00A45363" w:rsidP="00A45363">
            <w:pPr>
              <w:ind w:right="-1"/>
            </w:pPr>
            <w:r w:rsidRPr="00440B9C">
              <w:t>0.0982</w:t>
            </w:r>
          </w:p>
        </w:tc>
        <w:tc>
          <w:tcPr>
            <w:tcW w:w="1247" w:type="dxa"/>
            <w:shd w:val="clear" w:color="auto" w:fill="FFFFFF"/>
          </w:tcPr>
          <w:p w14:paraId="26859555" w14:textId="5F54C22D" w:rsidR="00A45363" w:rsidRPr="00B81DCD" w:rsidRDefault="00A45363" w:rsidP="00A45363">
            <w:pPr>
              <w:ind w:right="-1"/>
            </w:pPr>
            <w:r w:rsidRPr="005A3540">
              <w:t>0.1022</w:t>
            </w:r>
          </w:p>
        </w:tc>
      </w:tr>
    </w:tbl>
    <w:p w14:paraId="39EB4EB8" w14:textId="77777777" w:rsidR="00853A90" w:rsidRDefault="00853A90" w:rsidP="00A979B1">
      <w:pPr>
        <w:pStyle w:val="BOAAbstractBody"/>
        <w:rPr>
          <w:rFonts w:cs="Arial"/>
          <w:szCs w:val="18"/>
          <w:lang w:val="en-GB"/>
        </w:rPr>
      </w:pPr>
    </w:p>
    <w:p w14:paraId="24128CB5" w14:textId="26871CB0" w:rsidR="00592F6F" w:rsidRPr="00B81DCD" w:rsidRDefault="00A550E3" w:rsidP="007A6DFB">
      <w:pPr>
        <w:pStyle w:val="BOAAbstractBody"/>
        <w:rPr>
          <w:rFonts w:cs="Arial"/>
          <w:szCs w:val="18"/>
          <w:lang w:val="en-GB"/>
        </w:rPr>
      </w:pPr>
      <w:r w:rsidRPr="00B81DCD">
        <w:rPr>
          <w:rFonts w:cs="Arial"/>
          <w:szCs w:val="18"/>
          <w:lang w:val="en-GB"/>
        </w:rPr>
        <w:t xml:space="preserve">The results included in Table </w:t>
      </w:r>
      <w:r w:rsidR="00B0584C">
        <w:rPr>
          <w:rFonts w:cs="Arial"/>
          <w:szCs w:val="18"/>
          <w:lang w:val="en-GB"/>
        </w:rPr>
        <w:t>3</w:t>
      </w:r>
      <w:r w:rsidRPr="00B81DCD">
        <w:rPr>
          <w:rFonts w:cs="Arial"/>
          <w:szCs w:val="18"/>
          <w:lang w:val="en-GB"/>
        </w:rPr>
        <w:t xml:space="preserve"> represent the results for the two implemented MATLAB regression functions, </w:t>
      </w:r>
      <w:proofErr w:type="spellStart"/>
      <w:r w:rsidRPr="00B81DCD">
        <w:rPr>
          <w:rFonts w:cs="Arial"/>
          <w:i/>
          <w:iCs/>
          <w:szCs w:val="18"/>
          <w:lang w:val="en-GB"/>
        </w:rPr>
        <w:t>lsqlin</w:t>
      </w:r>
      <w:proofErr w:type="spellEnd"/>
      <w:r w:rsidRPr="00B81DCD">
        <w:rPr>
          <w:rFonts w:cs="Arial"/>
          <w:szCs w:val="18"/>
          <w:lang w:val="en-GB"/>
        </w:rPr>
        <w:t xml:space="preserve"> and </w:t>
      </w:r>
      <w:r w:rsidRPr="00B81DCD">
        <w:rPr>
          <w:rFonts w:cs="Arial"/>
          <w:i/>
          <w:iCs/>
          <w:szCs w:val="18"/>
          <w:lang w:val="en-GB"/>
        </w:rPr>
        <w:t>regress</w:t>
      </w:r>
      <w:r w:rsidRPr="00B81DCD">
        <w:rPr>
          <w:rFonts w:cs="Arial"/>
          <w:szCs w:val="18"/>
          <w:lang w:val="en-GB"/>
        </w:rPr>
        <w:t xml:space="preserve">, as in this second estimation the </w:t>
      </w:r>
      <w:r w:rsidR="00C36B82" w:rsidRPr="00B81DCD">
        <w:rPr>
          <w:rFonts w:cs="Arial"/>
          <w:szCs w:val="18"/>
          <w:lang w:val="en-GB"/>
        </w:rPr>
        <w:t>c</w:t>
      </w:r>
      <w:r w:rsidR="003004F3" w:rsidRPr="00B81DCD">
        <w:rPr>
          <w:rFonts w:cs="Arial"/>
          <w:szCs w:val="18"/>
          <w:lang w:val="en-GB"/>
        </w:rPr>
        <w:t xml:space="preserve">omputed </w:t>
      </w:r>
      <w:r w:rsidRPr="00B81DCD">
        <w:rPr>
          <w:rFonts w:cs="Arial"/>
          <w:szCs w:val="18"/>
          <w:lang w:val="en-GB"/>
        </w:rPr>
        <w:t xml:space="preserve">coefficients </w:t>
      </w:r>
      <w:r w:rsidR="004B00DE" w:rsidRPr="00B81DCD">
        <w:rPr>
          <w:rFonts w:cs="Arial"/>
          <w:szCs w:val="18"/>
          <w:lang w:val="en-GB"/>
        </w:rPr>
        <w:t>align</w:t>
      </w:r>
      <w:r w:rsidRPr="00B81DCD">
        <w:rPr>
          <w:rFonts w:cs="Arial"/>
          <w:szCs w:val="18"/>
          <w:lang w:val="en-GB"/>
        </w:rPr>
        <w:t xml:space="preserve"> for both methods. The separation of the different stability classes for the sensitivity analysis provides a </w:t>
      </w:r>
      <w:r w:rsidR="003004F3" w:rsidRPr="00B81DCD">
        <w:rPr>
          <w:rFonts w:cs="Arial"/>
          <w:szCs w:val="18"/>
          <w:lang w:val="en-GB"/>
        </w:rPr>
        <w:t xml:space="preserve">more </w:t>
      </w:r>
      <w:r w:rsidRPr="00B81DCD">
        <w:rPr>
          <w:rFonts w:cs="Arial"/>
          <w:szCs w:val="18"/>
          <w:lang w:val="en-GB"/>
        </w:rPr>
        <w:t>suitable methodology for calculating sensitivity indices based on linear regression and MC methods. The R</w:t>
      </w:r>
      <w:r w:rsidRPr="00B81DCD">
        <w:rPr>
          <w:rFonts w:cs="Arial"/>
          <w:szCs w:val="18"/>
          <w:vertAlign w:val="superscript"/>
          <w:lang w:val="en-GB"/>
        </w:rPr>
        <w:t>2</w:t>
      </w:r>
      <w:r w:rsidRPr="00B81DCD">
        <w:rPr>
          <w:rFonts w:cs="Arial"/>
          <w:szCs w:val="18"/>
          <w:lang w:val="en-GB"/>
        </w:rPr>
        <w:t xml:space="preserve"> values are </w:t>
      </w:r>
      <w:r w:rsidR="0084430D">
        <w:rPr>
          <w:rFonts w:cs="Arial"/>
          <w:szCs w:val="18"/>
          <w:lang w:val="en-GB"/>
        </w:rPr>
        <w:t>mostly</w:t>
      </w:r>
      <w:r w:rsidRPr="00B81DCD">
        <w:rPr>
          <w:rFonts w:cs="Arial"/>
          <w:szCs w:val="18"/>
          <w:lang w:val="en-GB"/>
        </w:rPr>
        <w:t xml:space="preserve"> above 0.7, hence, indicating that linear regression is </w:t>
      </w:r>
      <w:proofErr w:type="gramStart"/>
      <w:r w:rsidRPr="00B81DCD">
        <w:rPr>
          <w:rFonts w:cs="Arial"/>
          <w:szCs w:val="18"/>
          <w:lang w:val="en-GB"/>
        </w:rPr>
        <w:t>a</w:t>
      </w:r>
      <w:r w:rsidR="00FF7F1B">
        <w:rPr>
          <w:rFonts w:cs="Arial"/>
          <w:szCs w:val="18"/>
          <w:lang w:val="en-GB"/>
        </w:rPr>
        <w:t xml:space="preserve"> sufficiently</w:t>
      </w:r>
      <w:r w:rsidRPr="00B81DCD">
        <w:rPr>
          <w:rFonts w:cs="Arial"/>
          <w:szCs w:val="18"/>
          <w:lang w:val="en-GB"/>
        </w:rPr>
        <w:t xml:space="preserve"> adequate</w:t>
      </w:r>
      <w:proofErr w:type="gramEnd"/>
      <w:r w:rsidRPr="00B81DCD">
        <w:rPr>
          <w:rFonts w:cs="Arial"/>
          <w:szCs w:val="18"/>
          <w:lang w:val="en-GB"/>
        </w:rPr>
        <w:t xml:space="preserve"> </w:t>
      </w:r>
      <w:r w:rsidR="00D525E5" w:rsidRPr="00B81DCD">
        <w:rPr>
          <w:rFonts w:cs="Arial"/>
          <w:szCs w:val="18"/>
          <w:lang w:val="en-GB"/>
        </w:rPr>
        <w:t>method</w:t>
      </w:r>
      <w:r w:rsidRPr="00B81DCD">
        <w:rPr>
          <w:rFonts w:cs="Arial"/>
          <w:szCs w:val="18"/>
          <w:lang w:val="en-GB"/>
        </w:rPr>
        <w:t xml:space="preserve"> for th</w:t>
      </w:r>
      <w:r w:rsidR="00FF7F1B">
        <w:rPr>
          <w:rFonts w:cs="Arial"/>
          <w:szCs w:val="18"/>
          <w:lang w:val="en-GB"/>
        </w:rPr>
        <w:t>is</w:t>
      </w:r>
      <w:r w:rsidRPr="00B81DCD">
        <w:rPr>
          <w:rFonts w:cs="Arial"/>
          <w:szCs w:val="18"/>
          <w:lang w:val="en-GB"/>
        </w:rPr>
        <w:t xml:space="preserve"> </w:t>
      </w:r>
      <w:r w:rsidR="00D525E5" w:rsidRPr="00B81DCD">
        <w:rPr>
          <w:rFonts w:cs="Arial"/>
          <w:szCs w:val="18"/>
          <w:lang w:val="en-GB"/>
        </w:rPr>
        <w:t>sensitivity</w:t>
      </w:r>
      <w:r w:rsidR="00B60A10" w:rsidRPr="00B81DCD">
        <w:rPr>
          <w:rFonts w:cs="Arial"/>
          <w:szCs w:val="18"/>
          <w:lang w:val="en-GB"/>
        </w:rPr>
        <w:t xml:space="preserve"> analysis</w:t>
      </w:r>
      <w:r w:rsidR="0084430D" w:rsidRPr="00B81DCD">
        <w:rPr>
          <w:rFonts w:cs="Arial"/>
          <w:szCs w:val="18"/>
          <w:lang w:val="en-GB"/>
        </w:rPr>
        <w:t>, except for stability class D</w:t>
      </w:r>
      <w:r w:rsidR="0084430D">
        <w:rPr>
          <w:rFonts w:cs="Arial"/>
          <w:szCs w:val="18"/>
          <w:lang w:val="en-GB"/>
        </w:rPr>
        <w:t xml:space="preserve">. </w:t>
      </w:r>
      <w:r w:rsidR="0084430D" w:rsidRPr="00B81DCD">
        <w:rPr>
          <w:rFonts w:cs="Arial"/>
          <w:szCs w:val="18"/>
          <w:lang w:val="en-GB"/>
        </w:rPr>
        <w:t xml:space="preserve">The reason behind stability class D presenting a poor fit for linear regression </w:t>
      </w:r>
      <w:r w:rsidR="00734DC4">
        <w:rPr>
          <w:rFonts w:cs="Arial"/>
          <w:szCs w:val="18"/>
          <w:lang w:val="en-GB"/>
        </w:rPr>
        <w:t>can be explained by</w:t>
      </w:r>
      <w:r w:rsidR="0084430D" w:rsidRPr="00B81DCD">
        <w:rPr>
          <w:rFonts w:cs="Arial"/>
          <w:szCs w:val="18"/>
          <w:lang w:val="en-GB"/>
        </w:rPr>
        <w:t xml:space="preserve"> the fact that, following the Pasquill-Gifford classification, overcast conditions, i.e., cloud cover of 10, are always assigned to belong to category D, regardless of the other atmospheric conditions. </w:t>
      </w:r>
      <w:r w:rsidR="0084430D">
        <w:rPr>
          <w:rFonts w:cs="Arial"/>
          <w:szCs w:val="18"/>
          <w:lang w:val="en-GB"/>
        </w:rPr>
        <w:t>Consequently</w:t>
      </w:r>
      <w:r w:rsidR="0084430D" w:rsidRPr="00B81DCD">
        <w:rPr>
          <w:rFonts w:cs="Arial"/>
          <w:szCs w:val="18"/>
          <w:lang w:val="en-GB"/>
        </w:rPr>
        <w:t>, there are wider ranges and more diverse combinations of input values in this stability class group.</w:t>
      </w:r>
    </w:p>
    <w:p w14:paraId="0C7E66A5" w14:textId="43B2DA09" w:rsidR="00D94C43" w:rsidRPr="00B81DCD" w:rsidRDefault="00DD5DCA" w:rsidP="00DD5DCA">
      <w:pPr>
        <w:pStyle w:val="BOAemail"/>
        <w:rPr>
          <w:rFonts w:eastAsia="MS PGothic"/>
          <w:color w:val="000000"/>
        </w:rPr>
      </w:pPr>
      <w:r w:rsidRPr="00B81DCD">
        <w:rPr>
          <w:rFonts w:eastAsia="MS PGothic"/>
          <w:noProof/>
          <w:color w:val="000000"/>
        </w:rPr>
        <w:drawing>
          <wp:inline distT="0" distB="0" distL="0" distR="0" wp14:anchorId="2ADACD8C" wp14:editId="47EB6548">
            <wp:extent cx="3267502" cy="2520000"/>
            <wp:effectExtent l="0" t="0" r="9525" b="0"/>
            <wp:docPr id="318134938" name="Picture 4" descr="A graph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34938" name="Picture 4" descr="A graph of a diagram&#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44" t="3329" r="3349"/>
                    <a:stretch/>
                  </pic:blipFill>
                  <pic:spPr bwMode="auto">
                    <a:xfrm>
                      <a:off x="0" y="0"/>
                      <a:ext cx="3267502"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35D8EE69" w14:textId="6D208EEC" w:rsidR="005C1A57" w:rsidRPr="00B81DCD" w:rsidRDefault="005C1A57" w:rsidP="00F879FE">
      <w:pPr>
        <w:pStyle w:val="BOACaption"/>
      </w:pPr>
      <w:r w:rsidRPr="00B81DCD">
        <w:t xml:space="preserve">Figure </w:t>
      </w:r>
      <w:r w:rsidR="005E7A05" w:rsidRPr="00B81DCD">
        <w:t>2</w:t>
      </w:r>
      <w:r w:rsidRPr="00B81DCD">
        <w:rPr>
          <w:lang w:eastAsia="ko-KR"/>
        </w:rPr>
        <w:t>.</w:t>
      </w:r>
      <w:r w:rsidRPr="00B81DCD">
        <w:t xml:space="preserve"> </w:t>
      </w:r>
      <w:r w:rsidR="00D94C43" w:rsidRPr="00B81DCD">
        <w:t>Box</w:t>
      </w:r>
      <w:r w:rsidR="00143AE9" w:rsidRPr="00B81DCD">
        <w:t xml:space="preserve"> </w:t>
      </w:r>
      <w:r w:rsidR="00D94C43" w:rsidRPr="00B81DCD">
        <w:t xml:space="preserve">chart </w:t>
      </w:r>
      <w:r w:rsidR="004C7FC1" w:rsidRPr="00B81DCD">
        <w:t xml:space="preserve">and mean </w:t>
      </w:r>
      <w:r w:rsidR="00D94C43" w:rsidRPr="00B81DCD">
        <w:t xml:space="preserve">for the </w:t>
      </w:r>
      <w:r w:rsidR="001057BB" w:rsidRPr="00B81DCD">
        <w:t>calculated acrylonitrile concentration per stability class</w:t>
      </w:r>
      <w:r w:rsidRPr="00B81DCD">
        <w:t>.</w:t>
      </w:r>
    </w:p>
    <w:p w14:paraId="5033173C" w14:textId="77F40208" w:rsidR="00284A25" w:rsidRPr="00B81DCD" w:rsidRDefault="00715180" w:rsidP="00284A25">
      <w:pPr>
        <w:pStyle w:val="BOAAbstractBody"/>
        <w:rPr>
          <w:rFonts w:cs="Arial"/>
          <w:szCs w:val="18"/>
          <w:lang w:val="en-GB"/>
        </w:rPr>
      </w:pPr>
      <w:r w:rsidRPr="00B81DCD">
        <w:rPr>
          <w:rFonts w:cs="Arial"/>
          <w:szCs w:val="18"/>
          <w:lang w:val="en-GB"/>
        </w:rPr>
        <w:t xml:space="preserve">Furthermore, the </w:t>
      </w:r>
      <w:r w:rsidR="003E7464" w:rsidRPr="00B81DCD">
        <w:rPr>
          <w:rFonts w:cs="Arial"/>
          <w:szCs w:val="18"/>
          <w:lang w:val="en-GB"/>
        </w:rPr>
        <w:t>CVs</w:t>
      </w:r>
      <w:r w:rsidRPr="00B81DCD">
        <w:rPr>
          <w:rFonts w:cs="Arial"/>
          <w:szCs w:val="18"/>
          <w:lang w:val="en-GB"/>
        </w:rPr>
        <w:t xml:space="preserve"> after the </w:t>
      </w:r>
      <w:r w:rsidR="007250BF" w:rsidRPr="00B81DCD">
        <w:rPr>
          <w:rFonts w:cs="Arial"/>
          <w:szCs w:val="18"/>
          <w:lang w:val="en-GB"/>
        </w:rPr>
        <w:t xml:space="preserve">separation </w:t>
      </w:r>
      <w:r w:rsidR="00934F67" w:rsidRPr="00B81DCD">
        <w:rPr>
          <w:rFonts w:cs="Arial"/>
          <w:szCs w:val="18"/>
          <w:lang w:val="en-GB"/>
        </w:rPr>
        <w:t>have been reduced in comparison to the one computed</w:t>
      </w:r>
      <w:r w:rsidR="00717B46" w:rsidRPr="00B81DCD">
        <w:rPr>
          <w:rFonts w:cs="Arial"/>
          <w:szCs w:val="18"/>
          <w:lang w:val="en-GB"/>
        </w:rPr>
        <w:t xml:space="preserve"> above for the </w:t>
      </w:r>
      <w:r w:rsidR="00ED5B80" w:rsidRPr="00B81DCD">
        <w:rPr>
          <w:rFonts w:cs="Arial"/>
          <w:szCs w:val="18"/>
          <w:lang w:val="en-GB"/>
        </w:rPr>
        <w:t>combined stability classes</w:t>
      </w:r>
      <w:r w:rsidR="00934F67" w:rsidRPr="00B81DCD">
        <w:rPr>
          <w:rFonts w:cs="Arial"/>
          <w:szCs w:val="18"/>
          <w:lang w:val="en-GB"/>
        </w:rPr>
        <w:t xml:space="preserve">. The updated </w:t>
      </w:r>
      <w:r w:rsidR="00D56B07" w:rsidRPr="00B81DCD">
        <w:rPr>
          <w:rFonts w:cs="Arial"/>
          <w:szCs w:val="18"/>
          <w:lang w:val="en-GB"/>
        </w:rPr>
        <w:t xml:space="preserve">CV </w:t>
      </w:r>
      <w:r w:rsidR="00934F67" w:rsidRPr="00B81DCD">
        <w:rPr>
          <w:rFonts w:cs="Arial"/>
          <w:szCs w:val="18"/>
          <w:lang w:val="en-GB"/>
        </w:rPr>
        <w:t>values</w:t>
      </w:r>
      <w:r w:rsidR="00ED5B80" w:rsidRPr="00B81DCD">
        <w:rPr>
          <w:rFonts w:cs="Arial"/>
          <w:szCs w:val="18"/>
          <w:lang w:val="en-GB"/>
        </w:rPr>
        <w:t xml:space="preserve"> </w:t>
      </w:r>
      <w:r w:rsidR="004459E3" w:rsidRPr="00B81DCD">
        <w:rPr>
          <w:rFonts w:cs="Arial"/>
          <w:szCs w:val="18"/>
          <w:lang w:val="en-GB"/>
        </w:rPr>
        <w:t>fall</w:t>
      </w:r>
      <w:r w:rsidR="00ED5B80" w:rsidRPr="00B81DCD">
        <w:rPr>
          <w:rFonts w:cs="Arial"/>
          <w:szCs w:val="18"/>
          <w:lang w:val="en-GB"/>
        </w:rPr>
        <w:t xml:space="preserve"> below 0.7</w:t>
      </w:r>
      <w:r w:rsidR="004459E3" w:rsidRPr="00B81DCD">
        <w:rPr>
          <w:rFonts w:cs="Arial"/>
          <w:szCs w:val="18"/>
          <w:lang w:val="en-GB"/>
        </w:rPr>
        <w:t xml:space="preserve"> for all stability classes</w:t>
      </w:r>
      <w:r w:rsidR="0084430D">
        <w:rPr>
          <w:rFonts w:cs="Arial"/>
          <w:szCs w:val="18"/>
          <w:lang w:val="en-GB"/>
        </w:rPr>
        <w:t>, being much lower than the previous value of 2.44</w:t>
      </w:r>
      <w:r w:rsidR="005869D8" w:rsidRPr="00B81DCD">
        <w:rPr>
          <w:rFonts w:cs="Arial"/>
          <w:szCs w:val="18"/>
          <w:lang w:val="en-GB"/>
        </w:rPr>
        <w:t xml:space="preserve">. </w:t>
      </w:r>
      <w:r w:rsidR="00702F89" w:rsidRPr="00B81DCD">
        <w:rPr>
          <w:rFonts w:cs="Arial"/>
          <w:szCs w:val="18"/>
          <w:lang w:val="en-GB"/>
        </w:rPr>
        <w:t xml:space="preserve">Beyond this, there is general agreement for all stability classes that the influence of the wind speed </w:t>
      </w:r>
      <w:r w:rsidR="00452890" w:rsidRPr="00B81DCD">
        <w:rPr>
          <w:rFonts w:cs="Arial"/>
          <w:szCs w:val="18"/>
          <w:lang w:val="en-GB"/>
        </w:rPr>
        <w:t xml:space="preserve">and ambient temperatures are significant. </w:t>
      </w:r>
      <w:r w:rsidR="007B32BA" w:rsidRPr="00B81DCD">
        <w:rPr>
          <w:rFonts w:cs="Arial"/>
          <w:szCs w:val="18"/>
          <w:lang w:val="en-GB"/>
        </w:rPr>
        <w:t xml:space="preserve">Naturally, the higher the wind speed, the more effective acrylonitrile dispersion and the lower its concentration at the point of interest. </w:t>
      </w:r>
      <w:r w:rsidR="008B5916" w:rsidRPr="00B81DCD">
        <w:rPr>
          <w:rFonts w:cs="Arial"/>
          <w:szCs w:val="18"/>
          <w:lang w:val="en-GB"/>
        </w:rPr>
        <w:t>On the contrary</w:t>
      </w:r>
      <w:r w:rsidR="00486EAB" w:rsidRPr="00B81DCD">
        <w:rPr>
          <w:rFonts w:cs="Arial"/>
          <w:szCs w:val="18"/>
          <w:lang w:val="en-GB"/>
        </w:rPr>
        <w:t xml:space="preserve">, </w:t>
      </w:r>
      <w:r w:rsidR="008B5916" w:rsidRPr="00B81DCD">
        <w:rPr>
          <w:rFonts w:cs="Arial"/>
          <w:szCs w:val="18"/>
          <w:lang w:val="en-GB"/>
        </w:rPr>
        <w:t xml:space="preserve">the higher the ambient temperature, the </w:t>
      </w:r>
      <w:r w:rsidR="00526D9E" w:rsidRPr="00B81DCD">
        <w:rPr>
          <w:rFonts w:cs="Arial"/>
          <w:szCs w:val="18"/>
          <w:lang w:val="en-GB"/>
        </w:rPr>
        <w:t>higher the evaporation rate of acrylonitrile from the liquid pool will be</w:t>
      </w:r>
      <w:r w:rsidR="00CA6F52" w:rsidRPr="00B81DCD">
        <w:rPr>
          <w:rFonts w:cs="Arial"/>
          <w:szCs w:val="18"/>
          <w:lang w:val="en-GB"/>
        </w:rPr>
        <w:t>, resulting in a higher</w:t>
      </w:r>
      <w:r w:rsidR="00D671B0" w:rsidRPr="00B81DCD">
        <w:rPr>
          <w:rFonts w:cs="Arial"/>
          <w:szCs w:val="18"/>
          <w:lang w:val="en-GB"/>
        </w:rPr>
        <w:t xml:space="preserve"> airborne concentration of the </w:t>
      </w:r>
      <w:r w:rsidR="00D671B0" w:rsidRPr="00B81DCD">
        <w:rPr>
          <w:rFonts w:cs="Arial"/>
          <w:szCs w:val="18"/>
          <w:lang w:val="en-GB"/>
        </w:rPr>
        <w:lastRenderedPageBreak/>
        <w:t>toxic substance</w:t>
      </w:r>
      <w:r w:rsidR="00CA6F52" w:rsidRPr="00B81DCD">
        <w:rPr>
          <w:rFonts w:cs="Arial"/>
          <w:szCs w:val="18"/>
          <w:lang w:val="en-GB"/>
        </w:rPr>
        <w:t>. Th</w:t>
      </w:r>
      <w:r w:rsidR="00D671B0" w:rsidRPr="00B81DCD">
        <w:rPr>
          <w:rFonts w:cs="Arial"/>
          <w:szCs w:val="18"/>
          <w:lang w:val="en-GB"/>
        </w:rPr>
        <w:t xml:space="preserve">ese logics are </w:t>
      </w:r>
      <w:r w:rsidR="00B863B4" w:rsidRPr="00B81DCD">
        <w:rPr>
          <w:rFonts w:cs="Arial"/>
          <w:szCs w:val="18"/>
          <w:lang w:val="en-GB"/>
        </w:rPr>
        <w:t>adequately</w:t>
      </w:r>
      <w:r w:rsidR="00D671B0" w:rsidRPr="00B81DCD">
        <w:rPr>
          <w:rFonts w:cs="Arial"/>
          <w:szCs w:val="18"/>
          <w:lang w:val="en-GB"/>
        </w:rPr>
        <w:t xml:space="preserve"> evidenced in the </w:t>
      </w:r>
      <w:r w:rsidR="00032C21" w:rsidRPr="00B81DCD">
        <w:rPr>
          <w:rFonts w:cs="Arial"/>
          <w:szCs w:val="18"/>
          <w:lang w:val="en-GB"/>
        </w:rPr>
        <w:t xml:space="preserve">SRCs, </w:t>
      </w:r>
      <w:r w:rsidR="007C6A4F" w:rsidRPr="00B81DCD">
        <w:rPr>
          <w:rFonts w:cs="Arial"/>
          <w:szCs w:val="18"/>
          <w:lang w:val="en-GB"/>
        </w:rPr>
        <w:t>yielding</w:t>
      </w:r>
      <w:r w:rsidR="00032C21" w:rsidRPr="00B81DCD">
        <w:rPr>
          <w:rFonts w:cs="Arial"/>
          <w:szCs w:val="18"/>
          <w:lang w:val="en-GB"/>
        </w:rPr>
        <w:t xml:space="preserve"> </w:t>
      </w:r>
      <w:r w:rsidR="00D671B0" w:rsidRPr="00B81DCD">
        <w:rPr>
          <w:rFonts w:cs="Arial"/>
          <w:szCs w:val="18"/>
          <w:lang w:val="en-GB"/>
        </w:rPr>
        <w:t>negative values for wind speed and positive value</w:t>
      </w:r>
      <w:r w:rsidR="00032C21" w:rsidRPr="00B81DCD">
        <w:rPr>
          <w:rFonts w:cs="Arial"/>
          <w:szCs w:val="18"/>
          <w:lang w:val="en-GB"/>
        </w:rPr>
        <w:t>s</w:t>
      </w:r>
      <w:r w:rsidR="00D671B0" w:rsidRPr="00B81DCD">
        <w:rPr>
          <w:rFonts w:cs="Arial"/>
          <w:szCs w:val="18"/>
          <w:lang w:val="en-GB"/>
        </w:rPr>
        <w:t xml:space="preserve"> for </w:t>
      </w:r>
      <w:r w:rsidR="00032C21" w:rsidRPr="00B81DCD">
        <w:rPr>
          <w:rFonts w:cs="Arial"/>
          <w:szCs w:val="18"/>
          <w:lang w:val="en-GB"/>
        </w:rPr>
        <w:t>ambient temperature.</w:t>
      </w:r>
    </w:p>
    <w:p w14:paraId="2D2D8D30" w14:textId="68C59CC4" w:rsidR="003D33C7" w:rsidRPr="00B81DCD" w:rsidRDefault="003D33C7" w:rsidP="003D33C7">
      <w:pPr>
        <w:pStyle w:val="BOACaption"/>
      </w:pPr>
      <w:r w:rsidRPr="00B81DCD">
        <w:t xml:space="preserve">Table </w:t>
      </w:r>
      <w:r w:rsidR="00B0584C">
        <w:t>3</w:t>
      </w:r>
      <w:r w:rsidRPr="00B81DCD">
        <w:t>. SRC</w:t>
      </w:r>
      <w:r w:rsidR="00A9195C">
        <w:t xml:space="preserve"> values</w:t>
      </w:r>
      <w:r w:rsidRPr="00B81DCD">
        <w:t xml:space="preserve"> for concentration (g/m</w:t>
      </w:r>
      <w:r w:rsidRPr="00B81DCD">
        <w:rPr>
          <w:vertAlign w:val="superscript"/>
        </w:rPr>
        <w:t>3</w:t>
      </w:r>
      <w:r w:rsidRPr="00B81DCD">
        <w:t>) at 211 m downwind per stability class calculated with the method</w:t>
      </w:r>
      <w:r w:rsidR="00041A7D">
        <w:t>.</w:t>
      </w:r>
    </w:p>
    <w:tbl>
      <w:tblPr>
        <w:tblW w:w="8847"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98"/>
        <w:gridCol w:w="1049"/>
        <w:gridCol w:w="1329"/>
        <w:gridCol w:w="1311"/>
        <w:gridCol w:w="1096"/>
        <w:gridCol w:w="982"/>
        <w:gridCol w:w="982"/>
      </w:tblGrid>
      <w:tr w:rsidR="003D33C7" w:rsidRPr="00B81DCD" w14:paraId="2E22CF9C" w14:textId="77777777" w:rsidTr="00D62DD2">
        <w:trPr>
          <w:jc w:val="center"/>
        </w:trPr>
        <w:tc>
          <w:tcPr>
            <w:tcW w:w="2098" w:type="dxa"/>
            <w:tcBorders>
              <w:top w:val="single" w:sz="12" w:space="0" w:color="008000"/>
              <w:bottom w:val="single" w:sz="6" w:space="0" w:color="008000"/>
            </w:tcBorders>
            <w:shd w:val="clear" w:color="auto" w:fill="FFFFFF"/>
          </w:tcPr>
          <w:p w14:paraId="478E3451" w14:textId="77777777" w:rsidR="003D33C7" w:rsidRPr="00B81DCD" w:rsidRDefault="003D33C7" w:rsidP="00D62DD2">
            <w:r w:rsidRPr="00B81DCD">
              <w:t>Input variable</w:t>
            </w:r>
          </w:p>
        </w:tc>
        <w:tc>
          <w:tcPr>
            <w:tcW w:w="1049" w:type="dxa"/>
            <w:tcBorders>
              <w:top w:val="single" w:sz="12" w:space="0" w:color="008000"/>
              <w:bottom w:val="single" w:sz="6" w:space="0" w:color="008000"/>
            </w:tcBorders>
            <w:shd w:val="clear" w:color="auto" w:fill="FFFFFF"/>
          </w:tcPr>
          <w:p w14:paraId="3579E503" w14:textId="77777777" w:rsidR="003D33C7" w:rsidRPr="00B81DCD" w:rsidRDefault="003D33C7" w:rsidP="00D62DD2">
            <w:r w:rsidRPr="00B81DCD">
              <w:t>A</w:t>
            </w:r>
          </w:p>
        </w:tc>
        <w:tc>
          <w:tcPr>
            <w:tcW w:w="1329" w:type="dxa"/>
            <w:tcBorders>
              <w:top w:val="single" w:sz="12" w:space="0" w:color="008000"/>
              <w:bottom w:val="single" w:sz="6" w:space="0" w:color="008000"/>
            </w:tcBorders>
            <w:shd w:val="clear" w:color="auto" w:fill="FFFFFF"/>
          </w:tcPr>
          <w:p w14:paraId="205378E9" w14:textId="77777777" w:rsidR="003D33C7" w:rsidRPr="00B81DCD" w:rsidRDefault="003D33C7" w:rsidP="00D62DD2">
            <w:pPr>
              <w:ind w:right="-1"/>
              <w:rPr>
                <w:rFonts w:cs="Arial"/>
                <w:szCs w:val="18"/>
              </w:rPr>
            </w:pPr>
            <w:r w:rsidRPr="00B81DCD">
              <w:rPr>
                <w:rFonts w:cs="Arial"/>
                <w:szCs w:val="18"/>
              </w:rPr>
              <w:t>B</w:t>
            </w:r>
          </w:p>
        </w:tc>
        <w:tc>
          <w:tcPr>
            <w:tcW w:w="1311" w:type="dxa"/>
            <w:tcBorders>
              <w:top w:val="single" w:sz="12" w:space="0" w:color="008000"/>
              <w:bottom w:val="single" w:sz="6" w:space="0" w:color="008000"/>
            </w:tcBorders>
            <w:shd w:val="clear" w:color="auto" w:fill="FFFFFF"/>
          </w:tcPr>
          <w:p w14:paraId="3D524DCC" w14:textId="77777777" w:rsidR="003D33C7" w:rsidRPr="00B81DCD" w:rsidRDefault="003D33C7" w:rsidP="00D62DD2">
            <w:pPr>
              <w:ind w:right="-1"/>
              <w:rPr>
                <w:rFonts w:cs="Arial"/>
                <w:szCs w:val="18"/>
              </w:rPr>
            </w:pPr>
            <w:r w:rsidRPr="00B81DCD">
              <w:t>C</w:t>
            </w:r>
          </w:p>
        </w:tc>
        <w:tc>
          <w:tcPr>
            <w:tcW w:w="1096" w:type="dxa"/>
            <w:tcBorders>
              <w:top w:val="single" w:sz="12" w:space="0" w:color="008000"/>
              <w:bottom w:val="single" w:sz="6" w:space="0" w:color="008000"/>
            </w:tcBorders>
            <w:shd w:val="clear" w:color="auto" w:fill="FFFFFF"/>
          </w:tcPr>
          <w:p w14:paraId="197F6C12" w14:textId="77777777" w:rsidR="003D33C7" w:rsidRPr="00B81DCD" w:rsidRDefault="003D33C7" w:rsidP="00D62DD2">
            <w:pPr>
              <w:ind w:right="-1"/>
              <w:rPr>
                <w:rFonts w:cs="Arial"/>
                <w:szCs w:val="18"/>
              </w:rPr>
            </w:pPr>
            <w:r w:rsidRPr="00B81DCD">
              <w:rPr>
                <w:rFonts w:cs="Arial"/>
                <w:szCs w:val="18"/>
              </w:rPr>
              <w:t>D</w:t>
            </w:r>
          </w:p>
        </w:tc>
        <w:tc>
          <w:tcPr>
            <w:tcW w:w="982" w:type="dxa"/>
            <w:tcBorders>
              <w:top w:val="single" w:sz="12" w:space="0" w:color="008000"/>
              <w:bottom w:val="single" w:sz="6" w:space="0" w:color="008000"/>
            </w:tcBorders>
            <w:shd w:val="clear" w:color="auto" w:fill="FFFFFF"/>
          </w:tcPr>
          <w:p w14:paraId="4861A3AA" w14:textId="77777777" w:rsidR="003D33C7" w:rsidRPr="00B81DCD" w:rsidRDefault="003D33C7" w:rsidP="00D62DD2">
            <w:pPr>
              <w:ind w:right="-1"/>
              <w:rPr>
                <w:rFonts w:cs="Arial"/>
                <w:szCs w:val="18"/>
              </w:rPr>
            </w:pPr>
            <w:r w:rsidRPr="00B81DCD">
              <w:rPr>
                <w:rFonts w:cs="Arial"/>
                <w:szCs w:val="18"/>
              </w:rPr>
              <w:t>E</w:t>
            </w:r>
          </w:p>
        </w:tc>
        <w:tc>
          <w:tcPr>
            <w:tcW w:w="982" w:type="dxa"/>
            <w:tcBorders>
              <w:top w:val="single" w:sz="12" w:space="0" w:color="008000"/>
              <w:bottom w:val="single" w:sz="6" w:space="0" w:color="008000"/>
            </w:tcBorders>
            <w:shd w:val="clear" w:color="auto" w:fill="FFFFFF"/>
          </w:tcPr>
          <w:p w14:paraId="64D08247" w14:textId="77777777" w:rsidR="003D33C7" w:rsidRPr="00B81DCD" w:rsidRDefault="003D33C7" w:rsidP="00D62DD2">
            <w:pPr>
              <w:ind w:right="-1"/>
              <w:rPr>
                <w:rFonts w:cs="Arial"/>
                <w:szCs w:val="18"/>
              </w:rPr>
            </w:pPr>
            <w:r w:rsidRPr="00B81DCD">
              <w:rPr>
                <w:rFonts w:cs="Arial"/>
                <w:szCs w:val="18"/>
              </w:rPr>
              <w:t>F</w:t>
            </w:r>
          </w:p>
        </w:tc>
      </w:tr>
      <w:tr w:rsidR="00A47AFC" w:rsidRPr="00B81DCD" w14:paraId="2B478EFF" w14:textId="77777777" w:rsidTr="00D62DD2">
        <w:trPr>
          <w:jc w:val="center"/>
        </w:trPr>
        <w:tc>
          <w:tcPr>
            <w:tcW w:w="2098" w:type="dxa"/>
            <w:shd w:val="clear" w:color="auto" w:fill="FFFFFF"/>
          </w:tcPr>
          <w:p w14:paraId="08836A25" w14:textId="77777777" w:rsidR="00A47AFC" w:rsidRPr="00B81DCD" w:rsidRDefault="00A47AFC" w:rsidP="00A47AFC">
            <w:r w:rsidRPr="00B81DCD">
              <w:t>Wind speed (m/s)</w:t>
            </w:r>
          </w:p>
        </w:tc>
        <w:tc>
          <w:tcPr>
            <w:tcW w:w="1049" w:type="dxa"/>
            <w:shd w:val="clear" w:color="auto" w:fill="FFFFFF"/>
          </w:tcPr>
          <w:p w14:paraId="348BB215" w14:textId="27A95953" w:rsidR="00A47AFC" w:rsidRPr="00B81DCD" w:rsidRDefault="00A47AFC" w:rsidP="00A47AFC">
            <w:r w:rsidRPr="00B81DCD">
              <w:t>-0.738</w:t>
            </w:r>
            <w:r w:rsidR="0084430D">
              <w:t>4</w:t>
            </w:r>
          </w:p>
        </w:tc>
        <w:tc>
          <w:tcPr>
            <w:tcW w:w="1329" w:type="dxa"/>
            <w:shd w:val="clear" w:color="auto" w:fill="FFFFFF"/>
          </w:tcPr>
          <w:p w14:paraId="6E3BA2A6" w14:textId="43A841AE" w:rsidR="00A47AFC" w:rsidRPr="00B81DCD" w:rsidRDefault="00A47AFC" w:rsidP="00A47AFC">
            <w:pPr>
              <w:ind w:right="-1"/>
              <w:rPr>
                <w:rFonts w:cs="Arial"/>
                <w:szCs w:val="18"/>
              </w:rPr>
            </w:pPr>
            <w:r w:rsidRPr="00B81DCD">
              <w:t>-0.722</w:t>
            </w:r>
            <w:r w:rsidR="0084430D">
              <w:t>1</w:t>
            </w:r>
          </w:p>
        </w:tc>
        <w:tc>
          <w:tcPr>
            <w:tcW w:w="1311" w:type="dxa"/>
            <w:shd w:val="clear" w:color="auto" w:fill="FFFFFF"/>
          </w:tcPr>
          <w:p w14:paraId="00DB9E0A" w14:textId="15E88436" w:rsidR="00A47AFC" w:rsidRPr="00B81DCD" w:rsidRDefault="00A47AFC" w:rsidP="00A47AFC">
            <w:pPr>
              <w:ind w:right="-1"/>
              <w:rPr>
                <w:rFonts w:cs="Arial"/>
                <w:szCs w:val="18"/>
              </w:rPr>
            </w:pPr>
            <w:r w:rsidRPr="00B81DCD">
              <w:t>-0.49</w:t>
            </w:r>
            <w:r w:rsidR="0084430D">
              <w:t>29</w:t>
            </w:r>
          </w:p>
        </w:tc>
        <w:tc>
          <w:tcPr>
            <w:tcW w:w="1096" w:type="dxa"/>
            <w:shd w:val="clear" w:color="auto" w:fill="FFFFFF"/>
          </w:tcPr>
          <w:p w14:paraId="044A901F" w14:textId="40111B5F" w:rsidR="00A47AFC" w:rsidRPr="00B81DCD" w:rsidRDefault="00A47AFC" w:rsidP="00A47AFC">
            <w:pPr>
              <w:ind w:right="-1"/>
              <w:rPr>
                <w:rFonts w:cs="Arial"/>
                <w:szCs w:val="18"/>
              </w:rPr>
            </w:pPr>
            <w:r w:rsidRPr="00B81DCD">
              <w:t>-0.59</w:t>
            </w:r>
            <w:r w:rsidR="0084430D">
              <w:t>48</w:t>
            </w:r>
          </w:p>
        </w:tc>
        <w:tc>
          <w:tcPr>
            <w:tcW w:w="982" w:type="dxa"/>
            <w:shd w:val="clear" w:color="auto" w:fill="FFFFFF"/>
          </w:tcPr>
          <w:p w14:paraId="3B87A85D" w14:textId="11885104" w:rsidR="00A47AFC" w:rsidRPr="00B81DCD" w:rsidRDefault="00A47AFC" w:rsidP="00A47AFC">
            <w:pPr>
              <w:ind w:right="-1"/>
            </w:pPr>
            <w:r w:rsidRPr="00B81DCD">
              <w:t>-0.5</w:t>
            </w:r>
            <w:r w:rsidR="0084430D">
              <w:t>300</w:t>
            </w:r>
          </w:p>
        </w:tc>
        <w:tc>
          <w:tcPr>
            <w:tcW w:w="982" w:type="dxa"/>
            <w:shd w:val="clear" w:color="auto" w:fill="FFFFFF"/>
          </w:tcPr>
          <w:p w14:paraId="5E52D879" w14:textId="531B1FF0" w:rsidR="00A47AFC" w:rsidRPr="00B81DCD" w:rsidRDefault="00A47AFC" w:rsidP="00A47AFC">
            <w:pPr>
              <w:ind w:right="-1"/>
            </w:pPr>
            <w:r w:rsidRPr="00B81DCD">
              <w:t>-0.746</w:t>
            </w:r>
            <w:r w:rsidR="0084430D">
              <w:t>4</w:t>
            </w:r>
          </w:p>
        </w:tc>
      </w:tr>
      <w:tr w:rsidR="00A47AFC" w:rsidRPr="00B81DCD" w14:paraId="71549055" w14:textId="77777777" w:rsidTr="00D62DD2">
        <w:trPr>
          <w:jc w:val="center"/>
        </w:trPr>
        <w:tc>
          <w:tcPr>
            <w:tcW w:w="2098" w:type="dxa"/>
            <w:shd w:val="clear" w:color="auto" w:fill="FFFFFF"/>
          </w:tcPr>
          <w:p w14:paraId="73459BD5" w14:textId="77777777" w:rsidR="00A47AFC" w:rsidRPr="00B81DCD" w:rsidRDefault="00A47AFC" w:rsidP="00A47AFC">
            <w:r w:rsidRPr="00B81DCD">
              <w:t>Cloud cover</w:t>
            </w:r>
          </w:p>
        </w:tc>
        <w:tc>
          <w:tcPr>
            <w:tcW w:w="1049" w:type="dxa"/>
            <w:shd w:val="clear" w:color="auto" w:fill="FFFFFF"/>
          </w:tcPr>
          <w:p w14:paraId="50783A5B" w14:textId="77777777" w:rsidR="00A47AFC" w:rsidRPr="00B81DCD" w:rsidRDefault="00A47AFC" w:rsidP="00A47AFC">
            <w:r w:rsidRPr="00B81DCD">
              <w:t>-0.0271</w:t>
            </w:r>
          </w:p>
        </w:tc>
        <w:tc>
          <w:tcPr>
            <w:tcW w:w="1329" w:type="dxa"/>
            <w:shd w:val="clear" w:color="auto" w:fill="FFFFFF"/>
          </w:tcPr>
          <w:p w14:paraId="2F639831" w14:textId="0C999051" w:rsidR="00A47AFC" w:rsidRPr="00B81DCD" w:rsidRDefault="00A47AFC" w:rsidP="00A47AFC">
            <w:pPr>
              <w:ind w:right="-1"/>
              <w:rPr>
                <w:rFonts w:cs="Arial"/>
                <w:szCs w:val="18"/>
              </w:rPr>
            </w:pPr>
            <w:r w:rsidRPr="00B81DCD">
              <w:t>0.00</w:t>
            </w:r>
            <w:r w:rsidR="0084430D">
              <w:t>30</w:t>
            </w:r>
          </w:p>
        </w:tc>
        <w:tc>
          <w:tcPr>
            <w:tcW w:w="1311" w:type="dxa"/>
            <w:shd w:val="clear" w:color="auto" w:fill="FFFFFF"/>
          </w:tcPr>
          <w:p w14:paraId="1AD24F31" w14:textId="1424C3D1" w:rsidR="00A47AFC" w:rsidRPr="00B81DCD" w:rsidRDefault="00A47AFC" w:rsidP="00A47AFC">
            <w:pPr>
              <w:ind w:right="-1"/>
              <w:rPr>
                <w:rFonts w:cs="Arial"/>
                <w:szCs w:val="18"/>
              </w:rPr>
            </w:pPr>
            <w:r w:rsidRPr="00B81DCD">
              <w:t>0.273</w:t>
            </w:r>
            <w:r w:rsidR="0084430D">
              <w:t>3</w:t>
            </w:r>
          </w:p>
        </w:tc>
        <w:tc>
          <w:tcPr>
            <w:tcW w:w="1096" w:type="dxa"/>
            <w:shd w:val="clear" w:color="auto" w:fill="FFFFFF"/>
          </w:tcPr>
          <w:p w14:paraId="1134D7E8" w14:textId="5CD06ABC" w:rsidR="00A47AFC" w:rsidRPr="00B81DCD" w:rsidRDefault="00A47AFC" w:rsidP="00A47AFC">
            <w:pPr>
              <w:ind w:right="-1"/>
              <w:rPr>
                <w:rFonts w:cs="Arial"/>
                <w:szCs w:val="18"/>
              </w:rPr>
            </w:pPr>
            <w:r w:rsidRPr="00B81DCD">
              <w:t>0.0956</w:t>
            </w:r>
          </w:p>
        </w:tc>
        <w:tc>
          <w:tcPr>
            <w:tcW w:w="982" w:type="dxa"/>
            <w:shd w:val="clear" w:color="auto" w:fill="FFFFFF"/>
          </w:tcPr>
          <w:p w14:paraId="334B8F3D" w14:textId="3598CCA9" w:rsidR="00A47AFC" w:rsidRPr="00B81DCD" w:rsidRDefault="00A47AFC" w:rsidP="00A47AFC">
            <w:pPr>
              <w:ind w:right="-1"/>
            </w:pPr>
            <w:r w:rsidRPr="00B81DCD">
              <w:t>0.0067</w:t>
            </w:r>
          </w:p>
        </w:tc>
        <w:tc>
          <w:tcPr>
            <w:tcW w:w="982" w:type="dxa"/>
            <w:shd w:val="clear" w:color="auto" w:fill="FFFFFF"/>
          </w:tcPr>
          <w:p w14:paraId="74C2D439" w14:textId="303CD0BE" w:rsidR="00A47AFC" w:rsidRPr="00B81DCD" w:rsidRDefault="00A47AFC" w:rsidP="00A47AFC">
            <w:pPr>
              <w:ind w:right="-1"/>
            </w:pPr>
            <w:r w:rsidRPr="00B81DCD">
              <w:t>0.0507</w:t>
            </w:r>
          </w:p>
        </w:tc>
      </w:tr>
      <w:tr w:rsidR="00A47AFC" w:rsidRPr="00B81DCD" w14:paraId="5633B552" w14:textId="77777777" w:rsidTr="00D62DD2">
        <w:trPr>
          <w:jc w:val="center"/>
        </w:trPr>
        <w:tc>
          <w:tcPr>
            <w:tcW w:w="2098" w:type="dxa"/>
            <w:shd w:val="clear" w:color="auto" w:fill="FFFFFF"/>
          </w:tcPr>
          <w:p w14:paraId="5431F002" w14:textId="77777777" w:rsidR="00A47AFC" w:rsidRPr="00B81DCD" w:rsidRDefault="00A47AFC" w:rsidP="00A47AFC">
            <w:r w:rsidRPr="00B81DCD">
              <w:t>Ambient temperature (</w:t>
            </w:r>
            <w:r w:rsidRPr="00B81DCD">
              <w:rPr>
                <w:rFonts w:ascii="Aptos Narrow" w:hAnsi="Aptos Narrow" w:cs="Arial"/>
                <w:szCs w:val="18"/>
              </w:rPr>
              <w:t>°</w:t>
            </w:r>
            <w:r w:rsidRPr="00B81DCD">
              <w:rPr>
                <w:rFonts w:cs="Arial"/>
                <w:szCs w:val="18"/>
              </w:rPr>
              <w:t>C)</w:t>
            </w:r>
          </w:p>
        </w:tc>
        <w:tc>
          <w:tcPr>
            <w:tcW w:w="1049" w:type="dxa"/>
            <w:shd w:val="clear" w:color="auto" w:fill="FFFFFF"/>
          </w:tcPr>
          <w:p w14:paraId="1AD1628F" w14:textId="77777777" w:rsidR="00A47AFC" w:rsidRPr="00B81DCD" w:rsidRDefault="00A47AFC" w:rsidP="00A47AFC">
            <w:r w:rsidRPr="00B81DCD">
              <w:t>0.5503</w:t>
            </w:r>
          </w:p>
        </w:tc>
        <w:tc>
          <w:tcPr>
            <w:tcW w:w="1329" w:type="dxa"/>
            <w:shd w:val="clear" w:color="auto" w:fill="FFFFFF"/>
          </w:tcPr>
          <w:p w14:paraId="6DBEB5A7" w14:textId="23E4D418" w:rsidR="00A47AFC" w:rsidRPr="00B81DCD" w:rsidRDefault="00A47AFC" w:rsidP="00A47AFC">
            <w:pPr>
              <w:ind w:right="-1"/>
              <w:rPr>
                <w:rFonts w:cs="Arial"/>
                <w:szCs w:val="18"/>
              </w:rPr>
            </w:pPr>
            <w:r w:rsidRPr="00B81DCD">
              <w:t>0.46</w:t>
            </w:r>
            <w:r w:rsidR="0084430D">
              <w:t>57</w:t>
            </w:r>
          </w:p>
        </w:tc>
        <w:tc>
          <w:tcPr>
            <w:tcW w:w="1311" w:type="dxa"/>
            <w:shd w:val="clear" w:color="auto" w:fill="FFFFFF"/>
          </w:tcPr>
          <w:p w14:paraId="484BC03A" w14:textId="6178E53E" w:rsidR="00A47AFC" w:rsidRPr="00B81DCD" w:rsidRDefault="00A47AFC" w:rsidP="00A47AFC">
            <w:pPr>
              <w:ind w:right="-1"/>
              <w:rPr>
                <w:rFonts w:cs="Arial"/>
                <w:szCs w:val="18"/>
              </w:rPr>
            </w:pPr>
            <w:r w:rsidRPr="00B81DCD">
              <w:t>0.587</w:t>
            </w:r>
            <w:r w:rsidR="0084430D">
              <w:t>4</w:t>
            </w:r>
          </w:p>
        </w:tc>
        <w:tc>
          <w:tcPr>
            <w:tcW w:w="1096" w:type="dxa"/>
            <w:shd w:val="clear" w:color="auto" w:fill="FFFFFF"/>
          </w:tcPr>
          <w:p w14:paraId="1D1A54F4" w14:textId="1C4DD29A" w:rsidR="00A47AFC" w:rsidRPr="00B81DCD" w:rsidRDefault="00A47AFC" w:rsidP="00A47AFC">
            <w:pPr>
              <w:ind w:right="-1"/>
              <w:rPr>
                <w:rFonts w:cs="Arial"/>
                <w:szCs w:val="18"/>
              </w:rPr>
            </w:pPr>
            <w:r w:rsidRPr="00B81DCD">
              <w:t>0.45</w:t>
            </w:r>
            <w:r w:rsidR="0084430D">
              <w:t>85</w:t>
            </w:r>
          </w:p>
        </w:tc>
        <w:tc>
          <w:tcPr>
            <w:tcW w:w="982" w:type="dxa"/>
            <w:shd w:val="clear" w:color="auto" w:fill="FFFFFF"/>
          </w:tcPr>
          <w:p w14:paraId="1639CCFD" w14:textId="41F050CD" w:rsidR="00A47AFC" w:rsidRPr="00B81DCD" w:rsidRDefault="00A47AFC" w:rsidP="00A47AFC">
            <w:pPr>
              <w:ind w:right="-1"/>
            </w:pPr>
            <w:r w:rsidRPr="00B81DCD">
              <w:t>0.817</w:t>
            </w:r>
            <w:r w:rsidR="0084430D">
              <w:t>4</w:t>
            </w:r>
          </w:p>
        </w:tc>
        <w:tc>
          <w:tcPr>
            <w:tcW w:w="982" w:type="dxa"/>
            <w:shd w:val="clear" w:color="auto" w:fill="FFFFFF"/>
          </w:tcPr>
          <w:p w14:paraId="4279D02A" w14:textId="52A52E40" w:rsidR="00A47AFC" w:rsidRPr="00B81DCD" w:rsidRDefault="00A47AFC" w:rsidP="00A47AFC">
            <w:pPr>
              <w:ind w:right="-1"/>
            </w:pPr>
            <w:r w:rsidRPr="00B81DCD">
              <w:t>0.514</w:t>
            </w:r>
            <w:r w:rsidR="0084430D">
              <w:t>1</w:t>
            </w:r>
          </w:p>
        </w:tc>
      </w:tr>
      <w:tr w:rsidR="003D33C7" w:rsidRPr="00B81DCD" w14:paraId="0B24728B" w14:textId="77777777" w:rsidTr="00D62DD2">
        <w:trPr>
          <w:jc w:val="center"/>
        </w:trPr>
        <w:tc>
          <w:tcPr>
            <w:tcW w:w="2098" w:type="dxa"/>
            <w:shd w:val="clear" w:color="auto" w:fill="FFFFFF"/>
          </w:tcPr>
          <w:p w14:paraId="18BFF15E" w14:textId="77777777" w:rsidR="003D33C7" w:rsidRPr="00B81DCD" w:rsidRDefault="003D33C7" w:rsidP="00D62DD2">
            <w:r w:rsidRPr="00B81DCD">
              <w:t>R</w:t>
            </w:r>
            <w:r w:rsidRPr="00B81DCD">
              <w:rPr>
                <w:vertAlign w:val="superscript"/>
              </w:rPr>
              <w:t>2</w:t>
            </w:r>
          </w:p>
        </w:tc>
        <w:tc>
          <w:tcPr>
            <w:tcW w:w="1049" w:type="dxa"/>
            <w:shd w:val="clear" w:color="auto" w:fill="FFFFFF"/>
          </w:tcPr>
          <w:p w14:paraId="169B702D" w14:textId="26D49015" w:rsidR="003D33C7" w:rsidRPr="00B81DCD" w:rsidRDefault="003D33C7" w:rsidP="00D62DD2">
            <w:r w:rsidRPr="00B81DCD">
              <w:t>0.</w:t>
            </w:r>
            <w:r w:rsidR="00E85819" w:rsidRPr="00B81DCD">
              <w:t>826</w:t>
            </w:r>
            <w:r w:rsidR="0084430D">
              <w:t>0</w:t>
            </w:r>
          </w:p>
        </w:tc>
        <w:tc>
          <w:tcPr>
            <w:tcW w:w="1329" w:type="dxa"/>
            <w:shd w:val="clear" w:color="auto" w:fill="FFFFFF"/>
          </w:tcPr>
          <w:p w14:paraId="642B3DB2" w14:textId="381420BC" w:rsidR="003D33C7" w:rsidRPr="00B81DCD" w:rsidRDefault="00626EBC" w:rsidP="00D62DD2">
            <w:pPr>
              <w:ind w:right="-1"/>
            </w:pPr>
            <w:r w:rsidRPr="00B81DCD">
              <w:t>0.74</w:t>
            </w:r>
            <w:r w:rsidR="0084430D">
              <w:t>87</w:t>
            </w:r>
          </w:p>
        </w:tc>
        <w:tc>
          <w:tcPr>
            <w:tcW w:w="1311" w:type="dxa"/>
            <w:shd w:val="clear" w:color="auto" w:fill="FFFFFF"/>
          </w:tcPr>
          <w:p w14:paraId="69EABD36" w14:textId="2BCBF99D" w:rsidR="003D33C7" w:rsidRPr="00B81DCD" w:rsidRDefault="00BB0BBA" w:rsidP="00D62DD2">
            <w:pPr>
              <w:ind w:right="-1"/>
            </w:pPr>
            <w:r w:rsidRPr="00B81DCD">
              <w:t>0.85</w:t>
            </w:r>
            <w:r w:rsidR="0084430D">
              <w:t>06</w:t>
            </w:r>
          </w:p>
        </w:tc>
        <w:tc>
          <w:tcPr>
            <w:tcW w:w="1096" w:type="dxa"/>
            <w:shd w:val="clear" w:color="auto" w:fill="FFFFFF"/>
          </w:tcPr>
          <w:p w14:paraId="6D69C1DE" w14:textId="70952161" w:rsidR="003D33C7" w:rsidRPr="00B81DCD" w:rsidRDefault="008208AE" w:rsidP="00D62DD2">
            <w:pPr>
              <w:ind w:right="-1"/>
            </w:pPr>
            <w:r w:rsidRPr="00B81DCD">
              <w:t>0.579</w:t>
            </w:r>
            <w:r w:rsidR="0084430D">
              <w:t>3</w:t>
            </w:r>
          </w:p>
        </w:tc>
        <w:tc>
          <w:tcPr>
            <w:tcW w:w="982" w:type="dxa"/>
            <w:shd w:val="clear" w:color="auto" w:fill="FFFFFF"/>
          </w:tcPr>
          <w:p w14:paraId="0D3F4827" w14:textId="3B58A768" w:rsidR="003D33C7" w:rsidRPr="00B81DCD" w:rsidRDefault="00340CFC" w:rsidP="00D62DD2">
            <w:pPr>
              <w:ind w:right="-1"/>
            </w:pPr>
            <w:r w:rsidRPr="00B81DCD">
              <w:t>0.941</w:t>
            </w:r>
            <w:r w:rsidR="0084430D">
              <w:t>1</w:t>
            </w:r>
          </w:p>
        </w:tc>
        <w:tc>
          <w:tcPr>
            <w:tcW w:w="982" w:type="dxa"/>
            <w:shd w:val="clear" w:color="auto" w:fill="FFFFFF"/>
          </w:tcPr>
          <w:p w14:paraId="4FBFC63A" w14:textId="25EC34F4" w:rsidR="003D33C7" w:rsidRPr="00B81DCD" w:rsidRDefault="00A47AFC" w:rsidP="00D62DD2">
            <w:pPr>
              <w:ind w:right="-1"/>
            </w:pPr>
            <w:r w:rsidRPr="00B81DCD">
              <w:t>0.791</w:t>
            </w:r>
            <w:r w:rsidR="0084430D">
              <w:t>1</w:t>
            </w:r>
          </w:p>
        </w:tc>
      </w:tr>
    </w:tbl>
    <w:p w14:paraId="2297F523" w14:textId="77777777" w:rsidR="009873F3" w:rsidRPr="00B81DCD" w:rsidRDefault="009873F3" w:rsidP="009873F3">
      <w:pPr>
        <w:pStyle w:val="BOAAbstractBody"/>
        <w:rPr>
          <w:rFonts w:cs="Arial"/>
          <w:szCs w:val="18"/>
          <w:lang w:val="en-GB"/>
        </w:rPr>
      </w:pPr>
    </w:p>
    <w:p w14:paraId="6295B266" w14:textId="1390796C" w:rsidR="009873F3" w:rsidRPr="00B81DCD" w:rsidRDefault="000F599B" w:rsidP="00F75CE2">
      <w:pPr>
        <w:pStyle w:val="BOAAbstractBody"/>
        <w:rPr>
          <w:rFonts w:eastAsia="MS PGothic"/>
          <w:lang w:val="en-GB"/>
        </w:rPr>
      </w:pPr>
      <w:r w:rsidRPr="00B81DCD">
        <w:rPr>
          <w:rFonts w:cs="Arial"/>
          <w:szCs w:val="18"/>
          <w:lang w:val="en-GB"/>
        </w:rPr>
        <w:t>Based on the</w:t>
      </w:r>
      <w:r w:rsidR="00C37903" w:rsidRPr="00B81DCD">
        <w:rPr>
          <w:rFonts w:cs="Arial"/>
          <w:szCs w:val="18"/>
          <w:lang w:val="en-GB"/>
        </w:rPr>
        <w:t xml:space="preserve"> SRC</w:t>
      </w:r>
      <w:r w:rsidRPr="00B81DCD">
        <w:rPr>
          <w:rFonts w:cs="Arial"/>
          <w:szCs w:val="18"/>
          <w:lang w:val="en-GB"/>
        </w:rPr>
        <w:t xml:space="preserve"> results</w:t>
      </w:r>
      <w:r w:rsidR="00C37903" w:rsidRPr="00B81DCD">
        <w:rPr>
          <w:rFonts w:cs="Arial"/>
          <w:szCs w:val="18"/>
          <w:lang w:val="en-GB"/>
        </w:rPr>
        <w:t xml:space="preserve"> </w:t>
      </w:r>
      <w:r w:rsidR="00E37A38">
        <w:rPr>
          <w:rFonts w:cs="Arial"/>
          <w:szCs w:val="18"/>
          <w:lang w:val="en-GB"/>
        </w:rPr>
        <w:t xml:space="preserve">depicted </w:t>
      </w:r>
      <w:r w:rsidR="00C37903" w:rsidRPr="00B81DCD">
        <w:rPr>
          <w:rFonts w:cs="Arial"/>
          <w:szCs w:val="18"/>
          <w:lang w:val="en-GB"/>
        </w:rPr>
        <w:t xml:space="preserve">in Table </w:t>
      </w:r>
      <w:r w:rsidR="00B0584C">
        <w:rPr>
          <w:rFonts w:cs="Arial"/>
          <w:szCs w:val="18"/>
          <w:lang w:val="en-GB"/>
        </w:rPr>
        <w:t>3</w:t>
      </w:r>
      <w:r w:rsidR="00C37903" w:rsidRPr="00B81DCD">
        <w:rPr>
          <w:rFonts w:cs="Arial"/>
          <w:szCs w:val="18"/>
          <w:lang w:val="en-GB"/>
        </w:rPr>
        <w:t xml:space="preserve"> and the coefficient of variation reduction</w:t>
      </w:r>
      <w:r w:rsidRPr="00B81DCD">
        <w:rPr>
          <w:rFonts w:cs="Arial"/>
          <w:szCs w:val="18"/>
          <w:lang w:val="en-GB"/>
        </w:rPr>
        <w:t xml:space="preserve">, it can be </w:t>
      </w:r>
      <w:r w:rsidR="00BD02C0" w:rsidRPr="00B81DCD">
        <w:rPr>
          <w:rFonts w:cs="Arial"/>
          <w:szCs w:val="18"/>
          <w:lang w:val="en-GB"/>
        </w:rPr>
        <w:t>deduced</w:t>
      </w:r>
      <w:r w:rsidR="00C37903" w:rsidRPr="00B81DCD">
        <w:rPr>
          <w:rFonts w:cs="Arial"/>
          <w:szCs w:val="18"/>
          <w:lang w:val="en-GB"/>
        </w:rPr>
        <w:t xml:space="preserve"> that</w:t>
      </w:r>
      <w:r w:rsidR="00D20FDF" w:rsidRPr="00B81DCD">
        <w:rPr>
          <w:rFonts w:cs="Arial"/>
          <w:szCs w:val="18"/>
          <w:lang w:val="en-GB"/>
        </w:rPr>
        <w:t>, despite</w:t>
      </w:r>
      <w:r w:rsidR="002D0147" w:rsidRPr="00B81DCD">
        <w:rPr>
          <w:rFonts w:cs="Arial"/>
          <w:szCs w:val="18"/>
          <w:lang w:val="en-GB"/>
        </w:rPr>
        <w:t xml:space="preserve"> the concentration values</w:t>
      </w:r>
      <w:r w:rsidR="00D20FDF" w:rsidRPr="00B81DCD">
        <w:rPr>
          <w:rFonts w:cs="Arial"/>
          <w:szCs w:val="18"/>
          <w:lang w:val="en-GB"/>
        </w:rPr>
        <w:t xml:space="preserve"> being </w:t>
      </w:r>
      <w:r w:rsidR="002D0147" w:rsidRPr="00B81DCD">
        <w:rPr>
          <w:rFonts w:cs="Arial"/>
          <w:szCs w:val="18"/>
          <w:lang w:val="en-GB"/>
        </w:rPr>
        <w:t xml:space="preserve">determined after </w:t>
      </w:r>
      <w:r w:rsidR="00D20FDF" w:rsidRPr="00B81DCD">
        <w:rPr>
          <w:rFonts w:cs="Arial"/>
          <w:szCs w:val="18"/>
          <w:lang w:val="en-GB"/>
        </w:rPr>
        <w:t xml:space="preserve">sampling from the same </w:t>
      </w:r>
      <w:r w:rsidR="002D0147" w:rsidRPr="00B81DCD">
        <w:rPr>
          <w:rFonts w:cs="Arial"/>
          <w:szCs w:val="18"/>
          <w:lang w:val="en-GB"/>
        </w:rPr>
        <w:t xml:space="preserve">ensemble of input values, </w:t>
      </w:r>
      <w:r w:rsidR="00DC5B13">
        <w:rPr>
          <w:rFonts w:cs="Arial"/>
          <w:szCs w:val="18"/>
          <w:lang w:val="en-GB"/>
        </w:rPr>
        <w:t>it</w:t>
      </w:r>
      <w:r w:rsidR="002D0147" w:rsidRPr="00B81DCD">
        <w:rPr>
          <w:rFonts w:cs="Arial"/>
          <w:szCs w:val="18"/>
          <w:lang w:val="en-GB"/>
        </w:rPr>
        <w:t xml:space="preserve"> </w:t>
      </w:r>
      <w:r w:rsidR="00DC5B13">
        <w:rPr>
          <w:rFonts w:cs="Arial"/>
          <w:szCs w:val="18"/>
          <w:lang w:val="en-GB"/>
        </w:rPr>
        <w:t>would not be</w:t>
      </w:r>
      <w:r w:rsidR="001C084A">
        <w:rPr>
          <w:rFonts w:cs="Arial"/>
          <w:szCs w:val="18"/>
          <w:lang w:val="en-GB"/>
        </w:rPr>
        <w:t xml:space="preserve"> completely</w:t>
      </w:r>
      <w:r w:rsidR="00DC5B13">
        <w:rPr>
          <w:rFonts w:cs="Arial"/>
          <w:szCs w:val="18"/>
          <w:lang w:val="en-GB"/>
        </w:rPr>
        <w:t xml:space="preserve"> appropriate to consider that the output values</w:t>
      </w:r>
      <w:r w:rsidR="002D0147" w:rsidRPr="00B81DCD">
        <w:rPr>
          <w:rFonts w:cs="Arial"/>
          <w:szCs w:val="18"/>
          <w:lang w:val="en-GB"/>
        </w:rPr>
        <w:t xml:space="preserve"> </w:t>
      </w:r>
      <w:r w:rsidR="00D531E6" w:rsidRPr="00B81DCD">
        <w:rPr>
          <w:rFonts w:cs="Arial"/>
          <w:szCs w:val="18"/>
          <w:lang w:val="en-GB"/>
        </w:rPr>
        <w:t xml:space="preserve">belong to </w:t>
      </w:r>
      <w:r w:rsidR="00D43C21" w:rsidRPr="00B81DCD">
        <w:rPr>
          <w:rFonts w:cs="Arial"/>
          <w:szCs w:val="18"/>
          <w:lang w:val="en-GB"/>
        </w:rPr>
        <w:t>a unique</w:t>
      </w:r>
      <w:r w:rsidR="00D531E6" w:rsidRPr="00B81DCD">
        <w:rPr>
          <w:rFonts w:cs="Arial"/>
          <w:szCs w:val="18"/>
          <w:lang w:val="en-GB"/>
        </w:rPr>
        <w:t xml:space="preserve"> output distributio</w:t>
      </w:r>
      <w:r w:rsidR="00E053DC" w:rsidRPr="00B81DCD">
        <w:rPr>
          <w:rFonts w:cs="Arial"/>
          <w:szCs w:val="18"/>
          <w:lang w:val="en-GB"/>
        </w:rPr>
        <w:t>n.</w:t>
      </w:r>
      <w:r w:rsidR="00330BF2" w:rsidRPr="00B81DCD">
        <w:rPr>
          <w:rFonts w:cs="Arial"/>
          <w:szCs w:val="18"/>
          <w:lang w:val="en-GB"/>
        </w:rPr>
        <w:t xml:space="preserve"> </w:t>
      </w:r>
      <w:r w:rsidR="00CD1FEB" w:rsidRPr="00B81DCD">
        <w:rPr>
          <w:rFonts w:cs="Arial"/>
          <w:szCs w:val="18"/>
          <w:lang w:val="en-GB"/>
        </w:rPr>
        <w:t xml:space="preserve">This circumstance is </w:t>
      </w:r>
      <w:r w:rsidR="001D5638">
        <w:rPr>
          <w:rFonts w:cs="Arial"/>
          <w:szCs w:val="18"/>
          <w:lang w:val="en-GB"/>
        </w:rPr>
        <w:t>additionally related to</w:t>
      </w:r>
      <w:r w:rsidR="008A0B8B" w:rsidRPr="00B81DCD">
        <w:rPr>
          <w:rFonts w:cs="Arial"/>
          <w:szCs w:val="18"/>
          <w:lang w:val="en-GB"/>
        </w:rPr>
        <w:t xml:space="preserve"> the reason </w:t>
      </w:r>
      <w:r w:rsidR="001D5638">
        <w:rPr>
          <w:rFonts w:cs="Arial"/>
          <w:szCs w:val="18"/>
          <w:lang w:val="en-GB"/>
        </w:rPr>
        <w:t>behind the requirements for</w:t>
      </w:r>
      <w:r w:rsidR="008A0B8B" w:rsidRPr="00B81DCD">
        <w:rPr>
          <w:rFonts w:cs="Arial"/>
          <w:szCs w:val="18"/>
          <w:lang w:val="en-GB"/>
        </w:rPr>
        <w:t xml:space="preserve"> high number of MC simulations </w:t>
      </w:r>
      <w:r w:rsidR="00C57AF3" w:rsidRPr="00B81DCD">
        <w:rPr>
          <w:rFonts w:cs="Arial"/>
          <w:szCs w:val="18"/>
          <w:lang w:val="en-GB"/>
        </w:rPr>
        <w:t xml:space="preserve">for the </w:t>
      </w:r>
      <w:r w:rsidR="00095F73" w:rsidRPr="00B81DCD">
        <w:rPr>
          <w:rFonts w:cs="Arial"/>
          <w:szCs w:val="18"/>
          <w:lang w:val="en-GB"/>
        </w:rPr>
        <w:t xml:space="preserve">distribution of </w:t>
      </w:r>
      <w:r w:rsidR="009B6536" w:rsidRPr="00B81DCD">
        <w:rPr>
          <w:rFonts w:cs="Arial"/>
          <w:szCs w:val="18"/>
          <w:lang w:val="en-GB"/>
        </w:rPr>
        <w:t xml:space="preserve">the acrylonitrile </w:t>
      </w:r>
      <w:r w:rsidR="00095F73" w:rsidRPr="00B81DCD">
        <w:rPr>
          <w:rFonts w:cs="Arial"/>
          <w:szCs w:val="18"/>
          <w:lang w:val="en-GB"/>
        </w:rPr>
        <w:t xml:space="preserve">concentration </w:t>
      </w:r>
      <w:r w:rsidR="009B6536" w:rsidRPr="00B81DCD">
        <w:rPr>
          <w:rFonts w:cs="Arial"/>
          <w:szCs w:val="18"/>
          <w:lang w:val="en-GB"/>
        </w:rPr>
        <w:t>combining all stability classes</w:t>
      </w:r>
      <w:r w:rsidR="00B627F6" w:rsidRPr="00B81DCD">
        <w:rPr>
          <w:rFonts w:cs="Arial"/>
          <w:szCs w:val="18"/>
          <w:lang w:val="en-GB"/>
        </w:rPr>
        <w:t xml:space="preserve"> to converge following the LLN</w:t>
      </w:r>
      <w:r w:rsidR="008A0B8B" w:rsidRPr="00B81DCD">
        <w:rPr>
          <w:rFonts w:cs="Arial"/>
          <w:szCs w:val="18"/>
          <w:lang w:val="en-GB"/>
        </w:rPr>
        <w:t>.</w:t>
      </w:r>
      <w:r w:rsidR="00E053DC" w:rsidRPr="00B81DCD">
        <w:rPr>
          <w:rFonts w:cs="Arial"/>
          <w:szCs w:val="18"/>
          <w:lang w:val="en-GB"/>
        </w:rPr>
        <w:t xml:space="preserve"> Instead, </w:t>
      </w:r>
      <w:r w:rsidR="00D531E6" w:rsidRPr="00B81DCD">
        <w:rPr>
          <w:rFonts w:cs="Arial"/>
          <w:szCs w:val="18"/>
          <w:lang w:val="en-GB"/>
        </w:rPr>
        <w:t>the</w:t>
      </w:r>
      <w:r w:rsidR="00890D5E" w:rsidRPr="00B81DCD">
        <w:rPr>
          <w:rFonts w:cs="Arial"/>
          <w:szCs w:val="18"/>
          <w:lang w:val="en-GB"/>
        </w:rPr>
        <w:t xml:space="preserve"> concentrations</w:t>
      </w:r>
      <w:r w:rsidR="00EB10E1" w:rsidRPr="00B81DCD">
        <w:rPr>
          <w:rFonts w:cs="Arial"/>
          <w:szCs w:val="18"/>
          <w:lang w:val="en-GB"/>
        </w:rPr>
        <w:t xml:space="preserve"> obtained</w:t>
      </w:r>
      <w:r w:rsidR="00D531E6" w:rsidRPr="00B81DCD">
        <w:rPr>
          <w:rFonts w:cs="Arial"/>
          <w:szCs w:val="18"/>
          <w:lang w:val="en-GB"/>
        </w:rPr>
        <w:t xml:space="preserve"> </w:t>
      </w:r>
      <w:r w:rsidR="00EB10E1" w:rsidRPr="00B81DCD">
        <w:rPr>
          <w:rFonts w:cs="Arial"/>
          <w:szCs w:val="18"/>
          <w:lang w:val="en-GB"/>
        </w:rPr>
        <w:t>are better</w:t>
      </w:r>
      <w:r w:rsidR="00D531E6" w:rsidRPr="00B81DCD">
        <w:rPr>
          <w:rFonts w:cs="Arial"/>
          <w:szCs w:val="18"/>
          <w:lang w:val="en-GB"/>
        </w:rPr>
        <w:t xml:space="preserve"> </w:t>
      </w:r>
      <w:r w:rsidR="00890D5E" w:rsidRPr="00B81DCD">
        <w:rPr>
          <w:rFonts w:cs="Arial"/>
          <w:szCs w:val="18"/>
          <w:lang w:val="en-GB"/>
        </w:rPr>
        <w:t>understood as separated</w:t>
      </w:r>
      <w:r w:rsidR="00D531E6" w:rsidRPr="00B81DCD">
        <w:rPr>
          <w:rFonts w:cs="Arial"/>
          <w:szCs w:val="18"/>
          <w:lang w:val="en-GB"/>
        </w:rPr>
        <w:t xml:space="preserve"> distribution</w:t>
      </w:r>
      <w:r w:rsidR="00890D5E" w:rsidRPr="00B81DCD">
        <w:rPr>
          <w:rFonts w:cs="Arial"/>
          <w:szCs w:val="18"/>
          <w:lang w:val="en-GB"/>
        </w:rPr>
        <w:t>s</w:t>
      </w:r>
      <w:r w:rsidR="00D531E6" w:rsidRPr="00B81DCD">
        <w:rPr>
          <w:rFonts w:cs="Arial"/>
          <w:szCs w:val="18"/>
          <w:lang w:val="en-GB"/>
        </w:rPr>
        <w:t xml:space="preserve"> </w:t>
      </w:r>
      <w:r w:rsidR="00EB10E1" w:rsidRPr="00B81DCD">
        <w:rPr>
          <w:rFonts w:cs="Arial"/>
          <w:szCs w:val="18"/>
          <w:lang w:val="en-GB"/>
        </w:rPr>
        <w:t>for each</w:t>
      </w:r>
      <w:r w:rsidR="00D531E6" w:rsidRPr="00B81DCD">
        <w:rPr>
          <w:rFonts w:cs="Arial"/>
          <w:szCs w:val="18"/>
          <w:lang w:val="en-GB"/>
        </w:rPr>
        <w:t xml:space="preserve"> stability class</w:t>
      </w:r>
      <w:r w:rsidR="004B5A7F" w:rsidRPr="00B81DCD">
        <w:rPr>
          <w:rFonts w:cs="Arial"/>
          <w:szCs w:val="18"/>
          <w:lang w:val="en-GB"/>
        </w:rPr>
        <w:t xml:space="preserve">, suggesting that </w:t>
      </w:r>
      <w:r w:rsidR="00D87135" w:rsidRPr="00B81DCD">
        <w:rPr>
          <w:rFonts w:cs="Arial"/>
          <w:szCs w:val="18"/>
          <w:lang w:val="en-GB"/>
        </w:rPr>
        <w:t>complete</w:t>
      </w:r>
      <w:r w:rsidR="004B5A7F" w:rsidRPr="00B81DCD">
        <w:rPr>
          <w:rFonts w:cs="Arial"/>
          <w:szCs w:val="18"/>
          <w:lang w:val="en-GB"/>
        </w:rPr>
        <w:t xml:space="preserve"> QRA sensitivity analysis including all types of weather conditions</w:t>
      </w:r>
      <w:r w:rsidR="00900559" w:rsidRPr="00B81DCD">
        <w:rPr>
          <w:rFonts w:cs="Arial"/>
          <w:szCs w:val="18"/>
          <w:lang w:val="en-GB"/>
        </w:rPr>
        <w:t xml:space="preserve"> </w:t>
      </w:r>
      <w:r w:rsidR="003B3BEC" w:rsidRPr="00B81DCD">
        <w:rPr>
          <w:rFonts w:cs="Arial"/>
          <w:szCs w:val="18"/>
          <w:lang w:val="en-GB"/>
        </w:rPr>
        <w:t>is a challenging endeavour</w:t>
      </w:r>
      <w:r w:rsidR="00B93621" w:rsidRPr="00B81DCD">
        <w:rPr>
          <w:rFonts w:cs="Arial"/>
          <w:szCs w:val="18"/>
          <w:lang w:val="en-GB"/>
        </w:rPr>
        <w:t>.</w:t>
      </w:r>
      <w:r w:rsidR="005B5270" w:rsidRPr="00B81DCD">
        <w:rPr>
          <w:rFonts w:cs="Arial"/>
          <w:szCs w:val="18"/>
          <w:lang w:val="en-GB"/>
        </w:rPr>
        <w:t xml:space="preserve"> </w:t>
      </w:r>
      <w:r w:rsidR="00DB34FC">
        <w:rPr>
          <w:rFonts w:cs="Arial"/>
          <w:szCs w:val="18"/>
          <w:lang w:val="en-GB"/>
        </w:rPr>
        <w:t xml:space="preserve">However, </w:t>
      </w:r>
      <w:r w:rsidR="009971C0">
        <w:rPr>
          <w:rFonts w:cs="Arial"/>
          <w:szCs w:val="18"/>
          <w:lang w:val="en-GB"/>
        </w:rPr>
        <w:t xml:space="preserve">the impact of this condition for </w:t>
      </w:r>
      <w:r w:rsidR="00596745">
        <w:rPr>
          <w:rFonts w:cs="Arial"/>
          <w:szCs w:val="18"/>
          <w:lang w:val="en-GB"/>
        </w:rPr>
        <w:t xml:space="preserve">GSA, in contrast to linear regression, would appear to be </w:t>
      </w:r>
      <w:proofErr w:type="spellStart"/>
      <w:r w:rsidR="00734DC4">
        <w:rPr>
          <w:rFonts w:cs="Arial"/>
          <w:szCs w:val="18"/>
          <w:lang w:val="en-GB"/>
        </w:rPr>
        <w:t>overcomed</w:t>
      </w:r>
      <w:proofErr w:type="spellEnd"/>
      <w:r w:rsidR="00596745">
        <w:rPr>
          <w:rFonts w:cs="Arial"/>
          <w:szCs w:val="18"/>
          <w:lang w:val="en-GB"/>
        </w:rPr>
        <w:t>.</w:t>
      </w:r>
      <w:r w:rsidR="00DB34FC">
        <w:rPr>
          <w:rFonts w:cs="Arial"/>
          <w:szCs w:val="18"/>
          <w:lang w:val="en-GB"/>
        </w:rPr>
        <w:t xml:space="preserve"> </w:t>
      </w:r>
    </w:p>
    <w:p w14:paraId="311252DF" w14:textId="77777777" w:rsidR="005C1A57" w:rsidRPr="00B81DCD" w:rsidRDefault="005C1A57" w:rsidP="00F879FE">
      <w:pPr>
        <w:pStyle w:val="BOAHeading"/>
        <w:rPr>
          <w:lang w:val="en-GB" w:eastAsia="ko-KR"/>
        </w:rPr>
      </w:pPr>
      <w:r w:rsidRPr="00B81DCD">
        <w:rPr>
          <w:lang w:val="en-GB"/>
        </w:rPr>
        <w:t>4. Conclusion</w:t>
      </w:r>
      <w:r w:rsidRPr="00B81DCD">
        <w:rPr>
          <w:lang w:val="en-GB" w:eastAsia="ko-KR"/>
        </w:rPr>
        <w:t>s</w:t>
      </w:r>
    </w:p>
    <w:p w14:paraId="680F6B02" w14:textId="5B76861C" w:rsidR="004616F6" w:rsidRPr="00B81DCD" w:rsidRDefault="001510FD" w:rsidP="00793A45">
      <w:pPr>
        <w:pStyle w:val="BOAAbstractBody"/>
        <w:rPr>
          <w:rFonts w:eastAsia="MS PGothic"/>
          <w:lang w:val="en-GB"/>
        </w:rPr>
      </w:pPr>
      <w:r w:rsidRPr="00B81DCD">
        <w:rPr>
          <w:rFonts w:eastAsia="MS PGothic"/>
          <w:lang w:val="en-GB"/>
        </w:rPr>
        <w:t xml:space="preserve">Overall, the work proposes a starting point for advanced, comprehensive sensitivity analysis based on MC methods for QRA. </w:t>
      </w:r>
      <w:r w:rsidR="009F1841">
        <w:rPr>
          <w:rFonts w:eastAsia="MS PGothic"/>
          <w:lang w:val="en-GB"/>
        </w:rPr>
        <w:t>A</w:t>
      </w:r>
      <w:r w:rsidR="00E40A20" w:rsidRPr="00B81DCD">
        <w:rPr>
          <w:rFonts w:eastAsia="MS PGothic"/>
          <w:lang w:val="en-GB"/>
        </w:rPr>
        <w:t xml:space="preserve"> sensitivity analysis is performed on</w:t>
      </w:r>
      <w:r w:rsidR="009F1841">
        <w:rPr>
          <w:rFonts w:eastAsia="MS PGothic"/>
          <w:lang w:val="en-GB"/>
        </w:rPr>
        <w:t xml:space="preserve"> two</w:t>
      </w:r>
      <w:r w:rsidR="00E40A20" w:rsidRPr="00B81DCD">
        <w:rPr>
          <w:rFonts w:eastAsia="MS PGothic"/>
          <w:lang w:val="en-GB"/>
        </w:rPr>
        <w:t xml:space="preserve"> </w:t>
      </w:r>
      <w:r w:rsidR="00F51ADC" w:rsidRPr="00B81DCD">
        <w:rPr>
          <w:rFonts w:eastAsia="MS PGothic"/>
          <w:lang w:val="en-GB"/>
        </w:rPr>
        <w:t>interconnected</w:t>
      </w:r>
      <w:r w:rsidR="00E06E70" w:rsidRPr="00B81DCD">
        <w:rPr>
          <w:rFonts w:eastAsia="MS PGothic"/>
          <w:lang w:val="en-GB"/>
        </w:rPr>
        <w:t xml:space="preserve"> sub-models belonging to</w:t>
      </w:r>
      <w:r w:rsidR="001A6586" w:rsidRPr="00B81DCD">
        <w:rPr>
          <w:rFonts w:eastAsia="MS PGothic"/>
          <w:lang w:val="en-GB"/>
        </w:rPr>
        <w:t xml:space="preserve"> QRA</w:t>
      </w:r>
      <w:r w:rsidR="00CF2833" w:rsidRPr="00B81DCD">
        <w:rPr>
          <w:rFonts w:eastAsia="MS PGothic"/>
          <w:lang w:val="en-GB"/>
        </w:rPr>
        <w:t xml:space="preserve"> where the LLN determines the necessary number of MC simulations to be </w:t>
      </w:r>
      <w:r w:rsidR="000104A7" w:rsidRPr="00B81DCD">
        <w:rPr>
          <w:rFonts w:eastAsia="MS PGothic"/>
          <w:lang w:val="en-GB"/>
        </w:rPr>
        <w:t>conducted</w:t>
      </w:r>
      <w:r w:rsidR="006C6DC3" w:rsidRPr="00B81DCD">
        <w:rPr>
          <w:rFonts w:eastAsia="MS PGothic"/>
          <w:lang w:val="en-GB"/>
        </w:rPr>
        <w:t>.</w:t>
      </w:r>
      <w:r w:rsidR="001A6586" w:rsidRPr="00B81DCD">
        <w:rPr>
          <w:rFonts w:eastAsia="MS PGothic"/>
          <w:lang w:val="en-GB"/>
        </w:rPr>
        <w:t xml:space="preserve"> The results </w:t>
      </w:r>
      <w:r w:rsidR="00FE0AF0" w:rsidRPr="00B81DCD">
        <w:rPr>
          <w:rFonts w:eastAsia="MS PGothic"/>
          <w:lang w:val="en-GB"/>
        </w:rPr>
        <w:t>provide</w:t>
      </w:r>
      <w:r w:rsidR="00461AEC" w:rsidRPr="00B81DCD">
        <w:rPr>
          <w:rFonts w:eastAsia="MS PGothic"/>
          <w:lang w:val="en-GB"/>
        </w:rPr>
        <w:t xml:space="preserve"> e</w:t>
      </w:r>
      <w:r w:rsidR="00FE0AF0" w:rsidRPr="00B81DCD">
        <w:rPr>
          <w:rFonts w:eastAsia="MS PGothic"/>
          <w:lang w:val="en-GB"/>
        </w:rPr>
        <w:t xml:space="preserve">vidence that the stability classification </w:t>
      </w:r>
      <w:r w:rsidR="004F5181" w:rsidRPr="00B81DCD">
        <w:rPr>
          <w:rFonts w:eastAsia="MS PGothic"/>
          <w:lang w:val="en-GB"/>
        </w:rPr>
        <w:t xml:space="preserve">has </w:t>
      </w:r>
      <w:r w:rsidR="00734DC4">
        <w:rPr>
          <w:rFonts w:eastAsia="MS PGothic"/>
          <w:lang w:val="en-GB"/>
        </w:rPr>
        <w:t xml:space="preserve">a </w:t>
      </w:r>
      <w:r w:rsidR="004F5181" w:rsidRPr="00B81DCD">
        <w:rPr>
          <w:rFonts w:eastAsia="MS PGothic"/>
          <w:lang w:val="en-GB"/>
        </w:rPr>
        <w:t xml:space="preserve">strong </w:t>
      </w:r>
      <w:r w:rsidR="00734DC4">
        <w:rPr>
          <w:rFonts w:eastAsia="MS PGothic"/>
          <w:lang w:val="en-GB"/>
        </w:rPr>
        <w:t>impact</w:t>
      </w:r>
      <w:r w:rsidR="004F5181" w:rsidRPr="00B81DCD">
        <w:rPr>
          <w:rFonts w:eastAsia="MS PGothic"/>
          <w:lang w:val="en-GB"/>
        </w:rPr>
        <w:t xml:space="preserve"> on the airborne concentration results for neutrally buoyant gases</w:t>
      </w:r>
      <w:r w:rsidR="00E46529" w:rsidRPr="00B81DCD">
        <w:rPr>
          <w:rFonts w:eastAsia="MS PGothic"/>
          <w:lang w:val="en-GB"/>
        </w:rPr>
        <w:t>.</w:t>
      </w:r>
      <w:r w:rsidR="000523D2" w:rsidRPr="00B81DCD">
        <w:rPr>
          <w:rFonts w:eastAsia="MS PGothic"/>
          <w:lang w:val="en-GB"/>
        </w:rPr>
        <w:t xml:space="preserve"> </w:t>
      </w:r>
      <w:r w:rsidR="00DE6F6D" w:rsidRPr="00B81DCD">
        <w:rPr>
          <w:rFonts w:eastAsia="MS PGothic"/>
          <w:lang w:val="en-GB"/>
        </w:rPr>
        <w:t>As a result, the calculated output behave</w:t>
      </w:r>
      <w:r w:rsidR="00000657">
        <w:rPr>
          <w:rFonts w:eastAsia="MS PGothic"/>
          <w:lang w:val="en-GB"/>
        </w:rPr>
        <w:t>s in a more complicated manner than</w:t>
      </w:r>
      <w:r w:rsidR="00DE6F6D" w:rsidRPr="00B81DCD">
        <w:rPr>
          <w:rFonts w:eastAsia="MS PGothic"/>
          <w:lang w:val="en-GB"/>
        </w:rPr>
        <w:t xml:space="preserve"> one solely distribution</w:t>
      </w:r>
      <w:r w:rsidR="00490877" w:rsidRPr="00B81DCD">
        <w:rPr>
          <w:rFonts w:eastAsia="MS PGothic"/>
          <w:lang w:val="en-GB"/>
        </w:rPr>
        <w:t xml:space="preserve"> that can be </w:t>
      </w:r>
      <w:r w:rsidR="00000657">
        <w:rPr>
          <w:rFonts w:eastAsia="MS PGothic"/>
          <w:lang w:val="en-GB"/>
        </w:rPr>
        <w:t>straightforwardly</w:t>
      </w:r>
      <w:r w:rsidR="00490877" w:rsidRPr="00B81DCD">
        <w:rPr>
          <w:rFonts w:eastAsia="MS PGothic"/>
          <w:lang w:val="en-GB"/>
        </w:rPr>
        <w:t xml:space="preserve"> </w:t>
      </w:r>
      <w:r w:rsidR="00137CCE" w:rsidRPr="00B81DCD">
        <w:rPr>
          <w:rFonts w:eastAsia="MS PGothic"/>
          <w:lang w:val="en-GB"/>
        </w:rPr>
        <w:t>studied through</w:t>
      </w:r>
      <w:r w:rsidR="00490877" w:rsidRPr="00B81DCD">
        <w:rPr>
          <w:rFonts w:eastAsia="MS PGothic"/>
          <w:lang w:val="en-GB"/>
        </w:rPr>
        <w:t xml:space="preserve"> sensitivity analysis</w:t>
      </w:r>
      <w:r w:rsidR="00137CCE" w:rsidRPr="00B81DCD">
        <w:rPr>
          <w:rFonts w:eastAsia="MS PGothic"/>
          <w:lang w:val="en-GB"/>
        </w:rPr>
        <w:t xml:space="preserve">. </w:t>
      </w:r>
      <w:r w:rsidR="00734DC4">
        <w:rPr>
          <w:rFonts w:eastAsia="MS PGothic"/>
          <w:lang w:val="en-GB"/>
        </w:rPr>
        <w:t>Different</w:t>
      </w:r>
      <w:r w:rsidR="003B438F" w:rsidRPr="00B81DCD">
        <w:rPr>
          <w:rFonts w:eastAsia="MS PGothic"/>
          <w:lang w:val="en-GB"/>
        </w:rPr>
        <w:t xml:space="preserve"> requirements</w:t>
      </w:r>
      <w:r w:rsidR="004810B5">
        <w:rPr>
          <w:rFonts w:eastAsia="MS PGothic"/>
          <w:lang w:val="en-GB"/>
        </w:rPr>
        <w:t xml:space="preserve">, </w:t>
      </w:r>
      <w:r w:rsidR="003B438F" w:rsidRPr="00B81DCD">
        <w:rPr>
          <w:rFonts w:eastAsia="MS PGothic"/>
          <w:lang w:val="en-GB"/>
        </w:rPr>
        <w:t>challenges</w:t>
      </w:r>
      <w:r w:rsidR="004810B5">
        <w:rPr>
          <w:rFonts w:eastAsia="MS PGothic"/>
          <w:lang w:val="en-GB"/>
        </w:rPr>
        <w:t xml:space="preserve"> and suitable sensitivity analysis</w:t>
      </w:r>
      <w:r w:rsidR="003B438F" w:rsidRPr="00B81DCD">
        <w:rPr>
          <w:rFonts w:eastAsia="MS PGothic"/>
          <w:lang w:val="en-GB"/>
        </w:rPr>
        <w:t xml:space="preserve"> </w:t>
      </w:r>
      <w:r w:rsidR="00734DC4">
        <w:rPr>
          <w:rFonts w:eastAsia="MS PGothic"/>
          <w:lang w:val="en-GB"/>
        </w:rPr>
        <w:t xml:space="preserve">indicators </w:t>
      </w:r>
      <w:r w:rsidR="003B438F" w:rsidRPr="00B81DCD">
        <w:rPr>
          <w:rFonts w:eastAsia="MS PGothic"/>
          <w:lang w:val="en-GB"/>
        </w:rPr>
        <w:t xml:space="preserve">for effectively applying </w:t>
      </w:r>
      <w:r w:rsidR="009C50B8">
        <w:rPr>
          <w:rFonts w:eastAsia="MS PGothic"/>
          <w:lang w:val="en-GB"/>
        </w:rPr>
        <w:t>sensitivity analysis</w:t>
      </w:r>
      <w:r w:rsidR="003B438F" w:rsidRPr="00B81DCD">
        <w:rPr>
          <w:rFonts w:eastAsia="MS PGothic"/>
          <w:lang w:val="en-GB"/>
        </w:rPr>
        <w:t xml:space="preserve"> to QRA are </w:t>
      </w:r>
      <w:r w:rsidR="00793A45" w:rsidRPr="00B81DCD">
        <w:rPr>
          <w:rFonts w:eastAsia="MS PGothic"/>
          <w:lang w:val="en-GB"/>
        </w:rPr>
        <w:t>outlined</w:t>
      </w:r>
      <w:r w:rsidR="00734DC4">
        <w:rPr>
          <w:rFonts w:eastAsia="MS PGothic"/>
          <w:lang w:val="en-GB"/>
        </w:rPr>
        <w:t xml:space="preserve"> in this study</w:t>
      </w:r>
      <w:r w:rsidR="00793A45" w:rsidRPr="00B81DCD">
        <w:rPr>
          <w:rFonts w:eastAsia="MS PGothic"/>
          <w:lang w:val="en-GB"/>
        </w:rPr>
        <w:t>.</w:t>
      </w:r>
      <w:r w:rsidR="003B438F" w:rsidRPr="00B81DCD">
        <w:rPr>
          <w:rFonts w:eastAsia="MS PGothic"/>
          <w:lang w:val="en-GB"/>
        </w:rPr>
        <w:t xml:space="preserve"> </w:t>
      </w:r>
      <w:r w:rsidR="0001636A" w:rsidRPr="00B81DCD">
        <w:rPr>
          <w:rFonts w:cs="Arial"/>
          <w:szCs w:val="18"/>
          <w:lang w:val="en-GB"/>
        </w:rPr>
        <w:t>The methodology showcases a framework for conducting GSA to QRA and an initial approach for the treatment of stability classes and its impact in effects modelling for QRA sensitivity analysis.</w:t>
      </w:r>
      <w:r w:rsidR="005637B4" w:rsidRPr="005637B4">
        <w:rPr>
          <w:rFonts w:eastAsia="MS PGothic"/>
          <w:lang w:val="en-GB"/>
        </w:rPr>
        <w:t xml:space="preserve"> </w:t>
      </w:r>
      <w:r w:rsidR="005637B4" w:rsidRPr="00B81DCD">
        <w:rPr>
          <w:rFonts w:eastAsia="MS PGothic"/>
          <w:lang w:val="en-GB"/>
        </w:rPr>
        <w:t>The identification of key contributors to the variability in QRA results will be pivotal for harmonizing the QRA procedure and enhance its reliability.</w:t>
      </w:r>
    </w:p>
    <w:p w14:paraId="1F47AA76" w14:textId="7BF900BA" w:rsidR="004616F6" w:rsidRPr="00B81DCD" w:rsidRDefault="004616F6" w:rsidP="005637B4">
      <w:pPr>
        <w:pStyle w:val="BOAAbstractBody"/>
        <w:rPr>
          <w:rFonts w:eastAsia="MS PGothic"/>
          <w:lang w:val="en-GB"/>
        </w:rPr>
      </w:pPr>
    </w:p>
    <w:p w14:paraId="714DF323" w14:textId="77777777" w:rsidR="00E1280C" w:rsidRPr="00B81DCD" w:rsidRDefault="00E1280C" w:rsidP="00E1280C">
      <w:pPr>
        <w:pStyle w:val="BOAReference"/>
      </w:pPr>
      <w:r w:rsidRPr="00B81DCD">
        <w:t>Acknowledgments</w:t>
      </w:r>
    </w:p>
    <w:p w14:paraId="56757A27" w14:textId="79C03A53" w:rsidR="00E1280C" w:rsidRPr="00B81DCD" w:rsidRDefault="002E1F90" w:rsidP="00E1280C">
      <w:pPr>
        <w:pStyle w:val="BOAReference-text"/>
      </w:pPr>
      <w:r w:rsidRPr="00B81DCD">
        <w:t>This work is funded by the EU Horizon 2022 call HORIZON-MSCA-2022-DN-01, project number 101119358 as part of the Marie Sklodowska-Curie Actions.</w:t>
      </w:r>
    </w:p>
    <w:p w14:paraId="3F9528E9" w14:textId="77777777" w:rsidR="0027205A" w:rsidRDefault="0027205A" w:rsidP="00302C82">
      <w:pPr>
        <w:pStyle w:val="BOAReference"/>
        <w:rPr>
          <w:rFonts w:eastAsia="MS PGothic"/>
        </w:rPr>
      </w:pPr>
    </w:p>
    <w:p w14:paraId="72E8BD3A" w14:textId="77777777" w:rsidR="0027205A" w:rsidRDefault="0027205A" w:rsidP="00302C82">
      <w:pPr>
        <w:pStyle w:val="BOAReference"/>
        <w:rPr>
          <w:rFonts w:eastAsia="MS PGothic"/>
        </w:rPr>
      </w:pPr>
    </w:p>
    <w:p w14:paraId="11D31778" w14:textId="584F3D1F" w:rsidR="005C1A57" w:rsidRPr="00B81DCD" w:rsidRDefault="005C1A57" w:rsidP="00302C82">
      <w:pPr>
        <w:pStyle w:val="BOAReference"/>
        <w:rPr>
          <w:rFonts w:eastAsia="SimSun"/>
          <w:lang w:eastAsia="zh-CN"/>
        </w:rPr>
      </w:pPr>
      <w:r w:rsidRPr="00B81DCD">
        <w:rPr>
          <w:rFonts w:eastAsia="MS PGothic"/>
        </w:rPr>
        <w:t xml:space="preserve">References </w:t>
      </w:r>
    </w:p>
    <w:p w14:paraId="5661773C" w14:textId="09C54E77" w:rsidR="0013158A" w:rsidRPr="00B81DCD" w:rsidRDefault="0013158A" w:rsidP="0013158A">
      <w:pPr>
        <w:pStyle w:val="BOAReference-text"/>
      </w:pPr>
      <w:r w:rsidRPr="00B81DCD">
        <w:t>Abrahamsson, M.</w:t>
      </w:r>
      <w:r w:rsidR="00395AAB" w:rsidRPr="00B81DCD">
        <w:t xml:space="preserve">, </w:t>
      </w:r>
      <w:r w:rsidRPr="00B81DCD">
        <w:t>2002. Uncertainty in Quantitative Risk Analysis - Characterisation and Methods of Treatment. [Licentiate Thesis, Division of Fire Safety Engineering, Lund University]. Fire Safety Engineering and Systems Safety.</w:t>
      </w:r>
    </w:p>
    <w:p w14:paraId="0EE71516" w14:textId="7A42AD4D" w:rsidR="00780830" w:rsidRPr="00B81DCD" w:rsidRDefault="00780830" w:rsidP="0013158A">
      <w:pPr>
        <w:pStyle w:val="BOAReference-text"/>
      </w:pPr>
      <w:r w:rsidRPr="00B81DCD">
        <w:lastRenderedPageBreak/>
        <w:t>Flage, R. &amp; Aven, T.</w:t>
      </w:r>
      <w:r w:rsidR="00395AAB" w:rsidRPr="00B81DCD">
        <w:t xml:space="preserve">, </w:t>
      </w:r>
      <w:r w:rsidRPr="00B81DCD">
        <w:t xml:space="preserve">2009. Expressing and communicating uncertainty in relation to quantitative risk analysis. </w:t>
      </w:r>
      <w:r w:rsidR="004F02F2" w:rsidRPr="00B81DCD">
        <w:t>Reliability: Theory &amp; Applications,</w:t>
      </w:r>
      <w:r w:rsidR="009D3222" w:rsidRPr="00B81DCD">
        <w:t xml:space="preserve"> </w:t>
      </w:r>
      <w:r w:rsidR="004F02F2" w:rsidRPr="00B81DCD">
        <w:t>2(2–1,13), 9–18</w:t>
      </w:r>
      <w:r w:rsidRPr="00B81DCD">
        <w:t xml:space="preserve">. </w:t>
      </w:r>
    </w:p>
    <w:p w14:paraId="4090A6B0" w14:textId="355D4E36" w:rsidR="0013158A" w:rsidRPr="00B81DCD" w:rsidRDefault="0013158A" w:rsidP="0013158A">
      <w:pPr>
        <w:pStyle w:val="BOAReference-text"/>
      </w:pPr>
      <w:r w:rsidRPr="00B81DCD">
        <w:t>Li, Y., Wang, Y., Lai, Y., Shuai, J., &amp; Zhang, L.</w:t>
      </w:r>
      <w:r w:rsidR="00EF1054" w:rsidRPr="00B81DCD">
        <w:t xml:space="preserve">, </w:t>
      </w:r>
      <w:r w:rsidRPr="00B81DCD">
        <w:t>2022. Monte Carlo-based quantitative risk assessment of parking areas for vehicles carrying hazardous chemicals. Reliability Engineering &amp; System Safety, 231, 109010. https://doi.org/10.1016/j.ress.2022.109010</w:t>
      </w:r>
    </w:p>
    <w:p w14:paraId="78E1791B" w14:textId="13238900" w:rsidR="004033DE" w:rsidRPr="00B81DCD" w:rsidRDefault="002D5E1C" w:rsidP="0013158A">
      <w:pPr>
        <w:pStyle w:val="BOAReference-text"/>
      </w:pPr>
      <w:proofErr w:type="spellStart"/>
      <w:r w:rsidRPr="00B81DCD">
        <w:t>Ministerio</w:t>
      </w:r>
      <w:proofErr w:type="spellEnd"/>
      <w:r w:rsidRPr="00B81DCD">
        <w:t xml:space="preserve"> de Economía, Industria y </w:t>
      </w:r>
      <w:proofErr w:type="spellStart"/>
      <w:r w:rsidRPr="00B81DCD">
        <w:t>Competitividad</w:t>
      </w:r>
      <w:proofErr w:type="spellEnd"/>
      <w:r w:rsidRPr="00B81DCD">
        <w:t xml:space="preserve">, 2017, Royal Decree 656/2017, of June 23, which approves the Regulations for the Storage of Chemical Products and their Complementary Technical Instructions MIE APQ 0 to 10, </w:t>
      </w:r>
      <w:proofErr w:type="spellStart"/>
      <w:r w:rsidRPr="00B81DCD">
        <w:t>Boletín</w:t>
      </w:r>
      <w:proofErr w:type="spellEnd"/>
      <w:r w:rsidRPr="00B81DCD">
        <w:t xml:space="preserve"> </w:t>
      </w:r>
      <w:proofErr w:type="spellStart"/>
      <w:r w:rsidRPr="00B81DCD">
        <w:t>Oficial</w:t>
      </w:r>
      <w:proofErr w:type="spellEnd"/>
      <w:r w:rsidRPr="00B81DCD">
        <w:t xml:space="preserve"> del Estado.</w:t>
      </w:r>
    </w:p>
    <w:p w14:paraId="2507C652" w14:textId="0D848EA5" w:rsidR="00C5712F" w:rsidRPr="00B81DCD" w:rsidRDefault="00101374" w:rsidP="0013158A">
      <w:pPr>
        <w:pStyle w:val="BOAReference-text"/>
      </w:pPr>
      <w:r w:rsidRPr="00B81DCD">
        <w:t xml:space="preserve">Danish Meteorological Institute, n.d. </w:t>
      </w:r>
      <w:proofErr w:type="spellStart"/>
      <w:r w:rsidR="00C5712F" w:rsidRPr="00B81DCD">
        <w:t>Observationer</w:t>
      </w:r>
      <w:proofErr w:type="spellEnd"/>
      <w:r w:rsidR="00C5712F" w:rsidRPr="00B81DCD">
        <w:t>. DMI. https://www.dmi.dk/friedata/observationer</w:t>
      </w:r>
    </w:p>
    <w:p w14:paraId="101DE00D" w14:textId="06E68CA5" w:rsidR="00BE7B84" w:rsidRPr="00B81DCD" w:rsidRDefault="00BE7B84" w:rsidP="00405185">
      <w:pPr>
        <w:pStyle w:val="BOAReference-text"/>
      </w:pPr>
      <w:r w:rsidRPr="00B81DCD">
        <w:t>Pandya, N., Gabas, N., &amp; Marsden, E.</w:t>
      </w:r>
      <w:r w:rsidR="00405185" w:rsidRPr="00B81DCD">
        <w:t xml:space="preserve">, </w:t>
      </w:r>
      <w:r w:rsidRPr="00B81DCD">
        <w:t>201</w:t>
      </w:r>
      <w:r w:rsidR="00405185" w:rsidRPr="00B81DCD">
        <w:t>2</w:t>
      </w:r>
      <w:r w:rsidRPr="00B81DCD">
        <w:t xml:space="preserve">. Sensitivity analysis of </w:t>
      </w:r>
      <w:proofErr w:type="spellStart"/>
      <w:r w:rsidRPr="00B81DCD">
        <w:t>Phast’s</w:t>
      </w:r>
      <w:proofErr w:type="spellEnd"/>
      <w:r w:rsidRPr="00B81DCD">
        <w:t xml:space="preserve"> atmospheric dispersion model for three toxic materials (nitric oxide, ammonia, chlorine). </w:t>
      </w:r>
      <w:r w:rsidRPr="00B81DCD">
        <w:rPr>
          <w:i/>
          <w:iCs/>
        </w:rPr>
        <w:t>Journal of Loss Prevention in the Process Industries</w:t>
      </w:r>
      <w:r w:rsidRPr="00B81DCD">
        <w:t xml:space="preserve">, </w:t>
      </w:r>
      <w:r w:rsidRPr="00B81DCD">
        <w:rPr>
          <w:i/>
          <w:iCs/>
        </w:rPr>
        <w:t>25</w:t>
      </w:r>
      <w:r w:rsidRPr="00B81DCD">
        <w:t>(1), 20–32. https://doi.org/10.1016/j.jlp.2011.06.015</w:t>
      </w:r>
    </w:p>
    <w:p w14:paraId="08578E13" w14:textId="1049C399" w:rsidR="0013158A" w:rsidRPr="00B81DCD" w:rsidRDefault="0013158A" w:rsidP="0013158A">
      <w:pPr>
        <w:pStyle w:val="BOAReference-text"/>
      </w:pPr>
      <w:r w:rsidRPr="00B81DCD">
        <w:t>Rae, A., Alexander, R., &amp; McDermid, J.</w:t>
      </w:r>
      <w:r w:rsidR="003F0A65" w:rsidRPr="00B81DCD">
        <w:t xml:space="preserve">, </w:t>
      </w:r>
      <w:r w:rsidRPr="00B81DCD">
        <w:t>2014. Fixing the cracks in the crystal ball: A maturity model for quantitative risk assessment. Reliability Engineering &amp; System Safety, 125, 67–81. https://doi.org/10.1016/j.ress.2013.09.008</w:t>
      </w:r>
    </w:p>
    <w:p w14:paraId="21F2241B" w14:textId="7A748472" w:rsidR="0013158A" w:rsidRPr="00B81DCD" w:rsidRDefault="0013158A" w:rsidP="0013158A">
      <w:pPr>
        <w:pStyle w:val="BOAReference-text"/>
      </w:pPr>
      <w:r w:rsidRPr="00B81DCD">
        <w:t xml:space="preserve">Sin, G. and </w:t>
      </w:r>
      <w:proofErr w:type="spellStart"/>
      <w:r w:rsidRPr="00B81DCD">
        <w:t>Espuña</w:t>
      </w:r>
      <w:proofErr w:type="spellEnd"/>
      <w:r w:rsidRPr="00B81DCD">
        <w:t>, A.</w:t>
      </w:r>
      <w:r w:rsidR="003F0A65" w:rsidRPr="00B81DCD">
        <w:t xml:space="preserve">, </w:t>
      </w:r>
      <w:r w:rsidRPr="00B81DCD">
        <w:t>2020</w:t>
      </w:r>
      <w:r w:rsidR="00C76F29" w:rsidRPr="00B81DCD">
        <w:t>.</w:t>
      </w:r>
      <w:r w:rsidRPr="00B81DCD">
        <w:t xml:space="preserve"> Editorial: Applications of Monte Carlo Method in Chemical, Biochemical and Environmental Engineering. Front. Energy Res. 8:68. https://doi.org/10.3389/fenrg.2020.00068</w:t>
      </w:r>
    </w:p>
    <w:p w14:paraId="52932C98" w14:textId="32B451F6" w:rsidR="00F50758" w:rsidRPr="00B81DCD" w:rsidRDefault="0013158A" w:rsidP="003F0A65">
      <w:pPr>
        <w:pStyle w:val="BOAReference-text"/>
        <w:rPr>
          <w:rFonts w:eastAsia="SimSun"/>
        </w:rPr>
      </w:pPr>
      <w:r w:rsidRPr="00B81DCD">
        <w:t>Xu, Y., Reniers, G., Yang, M., Yuan, S., Chen, C.</w:t>
      </w:r>
      <w:r w:rsidR="00C76F29" w:rsidRPr="00B81DCD">
        <w:t xml:space="preserve">, </w:t>
      </w:r>
      <w:r w:rsidRPr="00B81DCD">
        <w:t>2023. Uncertainties and their treatment in the quantitative risk assessment of domino effects: Classification and review. Process Safety and Environmental Protection, 172, 971-985. https://doi.org/10.1016/j.psep.2023.02.082</w:t>
      </w:r>
    </w:p>
    <w:p w14:paraId="61F8E9A1" w14:textId="77777777" w:rsidR="003F0A65" w:rsidRPr="00B81DCD" w:rsidRDefault="003F0A65" w:rsidP="003F0A65">
      <w:pPr>
        <w:pStyle w:val="BOAReference-text"/>
        <w:rPr>
          <w:rFonts w:eastAsia="SimSun"/>
        </w:rPr>
      </w:pPr>
    </w:p>
    <w:sectPr w:rsidR="003F0A65" w:rsidRPr="00B81DCD" w:rsidSect="00F879FE">
      <w:headerReference w:type="default" r:id="rId10"/>
      <w:headerReference w:type="first" r:id="rId11"/>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DE659" w14:textId="77777777" w:rsidR="00541BC3" w:rsidRPr="00B81DCD" w:rsidRDefault="00541BC3" w:rsidP="004F5E36">
      <w:r w:rsidRPr="00B81DCD">
        <w:separator/>
      </w:r>
    </w:p>
  </w:endnote>
  <w:endnote w:type="continuationSeparator" w:id="0">
    <w:p w14:paraId="182CB84F" w14:textId="77777777" w:rsidR="00541BC3" w:rsidRPr="00B81DCD" w:rsidRDefault="00541BC3" w:rsidP="004F5E36">
      <w:r w:rsidRPr="00B81D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022A" w14:textId="77777777" w:rsidR="00541BC3" w:rsidRPr="00B81DCD" w:rsidRDefault="00541BC3" w:rsidP="004F5E36">
      <w:r w:rsidRPr="00B81DCD">
        <w:separator/>
      </w:r>
    </w:p>
  </w:footnote>
  <w:footnote w:type="continuationSeparator" w:id="0">
    <w:p w14:paraId="04C0E389" w14:textId="77777777" w:rsidR="00541BC3" w:rsidRPr="00B81DCD" w:rsidRDefault="00541BC3" w:rsidP="004F5E36">
      <w:r w:rsidRPr="00B81D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B81DCD" w:rsidRDefault="00426BD4" w:rsidP="00E1280C">
    <w:pPr>
      <w:pStyle w:val="Titolo1"/>
      <w:pBdr>
        <w:bottom w:val="single" w:sz="4" w:space="1" w:color="auto"/>
      </w:pBdr>
      <w:spacing w:after="480"/>
      <w:jc w:val="center"/>
      <w:rPr>
        <w:color w:val="808080" w:themeColor="background1" w:themeShade="80"/>
      </w:rPr>
    </w:pPr>
    <w:r w:rsidRPr="00B81DCD">
      <w:rPr>
        <w:color w:val="808080" w:themeColor="background1" w:themeShade="80"/>
      </w:rPr>
      <w:t>LOSS PREVENTION 2025</w:t>
    </w:r>
    <w:r w:rsidR="009047CF" w:rsidRPr="00B81DCD">
      <w:rPr>
        <w:color w:val="808080" w:themeColor="background1" w:themeShade="80"/>
      </w:rPr>
      <w:t xml:space="preserve">, </w:t>
    </w:r>
    <w:r w:rsidRPr="00B81DCD">
      <w:rPr>
        <w:i/>
        <w:iCs/>
        <w:color w:val="808080" w:themeColor="background1" w:themeShade="80"/>
      </w:rPr>
      <w:t>Bologna</w:t>
    </w:r>
    <w:r w:rsidR="009047CF" w:rsidRPr="00B81DCD">
      <w:rPr>
        <w:i/>
        <w:iCs/>
        <w:color w:val="808080" w:themeColor="background1" w:themeShade="80"/>
      </w:rPr>
      <w:t xml:space="preserve"> (Italy)</w:t>
    </w:r>
    <w:r w:rsidRPr="00B81DCD">
      <w:rPr>
        <w:i/>
        <w:iCs/>
        <w:color w:val="808080" w:themeColor="background1" w:themeShade="80"/>
      </w:rPr>
      <w:t>, 8-11 June</w:t>
    </w:r>
    <w:r w:rsidR="009047CF" w:rsidRPr="00B81DCD">
      <w:rPr>
        <w:i/>
        <w:iCs/>
        <w:color w:val="808080" w:themeColor="background1" w:themeShade="80"/>
      </w:rPr>
      <w:t xml:space="preserve"> 202</w:t>
    </w:r>
    <w:r w:rsidRPr="00B81DCD">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Pr="00B81DCD" w:rsidRDefault="00621A1B">
    <w:r w:rsidRPr="00B81DCD">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Pr="00B81DCD" w:rsidRDefault="00591C6C"/>
  <w:p w14:paraId="6729447D" w14:textId="1087F0ED" w:rsidR="00591C6C" w:rsidRPr="00B81DCD" w:rsidRDefault="00591C6C"/>
  <w:p w14:paraId="4F4256FC" w14:textId="0AC917B5" w:rsidR="00591C6C" w:rsidRPr="00B81DCD"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750421"/>
    <w:multiLevelType w:val="hybridMultilevel"/>
    <w:tmpl w:val="47722EBC"/>
    <w:lvl w:ilvl="0" w:tplc="57E08232">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913882"/>
    <w:multiLevelType w:val="hybridMultilevel"/>
    <w:tmpl w:val="1D46521A"/>
    <w:lvl w:ilvl="0" w:tplc="77EE86FE">
      <w:start w:val="4"/>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3"/>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7"/>
  </w:num>
  <w:num w:numId="13" w16cid:durableId="634725585">
    <w:abstractNumId w:val="14"/>
  </w:num>
  <w:num w:numId="14" w16cid:durableId="191119089">
    <w:abstractNumId w:val="18"/>
  </w:num>
  <w:num w:numId="15" w16cid:durableId="1966620109">
    <w:abstractNumId w:val="21"/>
  </w:num>
  <w:num w:numId="16" w16cid:durableId="695279686">
    <w:abstractNumId w:val="23"/>
  </w:num>
  <w:num w:numId="17" w16cid:durableId="158927901">
    <w:abstractNumId w:val="10"/>
  </w:num>
  <w:num w:numId="18" w16cid:durableId="119997729">
    <w:abstractNumId w:val="22"/>
  </w:num>
  <w:num w:numId="19" w16cid:durableId="79841364">
    <w:abstractNumId w:val="15"/>
  </w:num>
  <w:num w:numId="20" w16cid:durableId="1843427198">
    <w:abstractNumId w:val="11"/>
  </w:num>
  <w:num w:numId="21" w16cid:durableId="1378311685">
    <w:abstractNumId w:val="12"/>
  </w:num>
  <w:num w:numId="22" w16cid:durableId="1977102699">
    <w:abstractNumId w:val="20"/>
  </w:num>
  <w:num w:numId="23" w16cid:durableId="15427168">
    <w:abstractNumId w:val="16"/>
  </w:num>
  <w:num w:numId="24" w16cid:durableId="824663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0657"/>
    <w:rsid w:val="00001A4D"/>
    <w:rsid w:val="000027C0"/>
    <w:rsid w:val="000038C7"/>
    <w:rsid w:val="000104A7"/>
    <w:rsid w:val="00010D15"/>
    <w:rsid w:val="000117CB"/>
    <w:rsid w:val="0001636A"/>
    <w:rsid w:val="00020DD5"/>
    <w:rsid w:val="00022DA5"/>
    <w:rsid w:val="000260A2"/>
    <w:rsid w:val="00026AA7"/>
    <w:rsid w:val="0003148D"/>
    <w:rsid w:val="0003154C"/>
    <w:rsid w:val="000316BD"/>
    <w:rsid w:val="00032C21"/>
    <w:rsid w:val="00032F91"/>
    <w:rsid w:val="0003338B"/>
    <w:rsid w:val="00033C05"/>
    <w:rsid w:val="00034C2C"/>
    <w:rsid w:val="0004123B"/>
    <w:rsid w:val="00041A7D"/>
    <w:rsid w:val="000523D2"/>
    <w:rsid w:val="00055533"/>
    <w:rsid w:val="00062440"/>
    <w:rsid w:val="00062A9A"/>
    <w:rsid w:val="00065D8B"/>
    <w:rsid w:val="00071037"/>
    <w:rsid w:val="00071C44"/>
    <w:rsid w:val="00074879"/>
    <w:rsid w:val="000900E3"/>
    <w:rsid w:val="00091947"/>
    <w:rsid w:val="00091A8E"/>
    <w:rsid w:val="00093BE9"/>
    <w:rsid w:val="00095F73"/>
    <w:rsid w:val="000A03B2"/>
    <w:rsid w:val="000A6F05"/>
    <w:rsid w:val="000A7F09"/>
    <w:rsid w:val="000B036A"/>
    <w:rsid w:val="000B52A5"/>
    <w:rsid w:val="000C5464"/>
    <w:rsid w:val="000D2AF9"/>
    <w:rsid w:val="000D34BE"/>
    <w:rsid w:val="000D6E15"/>
    <w:rsid w:val="000D6FF9"/>
    <w:rsid w:val="000E14EF"/>
    <w:rsid w:val="000E36F1"/>
    <w:rsid w:val="000E3A73"/>
    <w:rsid w:val="000E414A"/>
    <w:rsid w:val="000F3B49"/>
    <w:rsid w:val="000F599B"/>
    <w:rsid w:val="00101374"/>
    <w:rsid w:val="00102FA9"/>
    <w:rsid w:val="001057BB"/>
    <w:rsid w:val="00105EF3"/>
    <w:rsid w:val="001169BD"/>
    <w:rsid w:val="00117B05"/>
    <w:rsid w:val="00124747"/>
    <w:rsid w:val="00124F5A"/>
    <w:rsid w:val="0013121F"/>
    <w:rsid w:val="0013158A"/>
    <w:rsid w:val="00134DE4"/>
    <w:rsid w:val="00137CCE"/>
    <w:rsid w:val="00143AE9"/>
    <w:rsid w:val="00143E10"/>
    <w:rsid w:val="00144C93"/>
    <w:rsid w:val="00150E59"/>
    <w:rsid w:val="001510FD"/>
    <w:rsid w:val="00167A08"/>
    <w:rsid w:val="001716B1"/>
    <w:rsid w:val="00172C7B"/>
    <w:rsid w:val="00174E75"/>
    <w:rsid w:val="00176750"/>
    <w:rsid w:val="00176A2A"/>
    <w:rsid w:val="00181CF1"/>
    <w:rsid w:val="00182D5D"/>
    <w:rsid w:val="00184AD6"/>
    <w:rsid w:val="00185220"/>
    <w:rsid w:val="001871FB"/>
    <w:rsid w:val="001908AA"/>
    <w:rsid w:val="00194E79"/>
    <w:rsid w:val="001A010B"/>
    <w:rsid w:val="001A6586"/>
    <w:rsid w:val="001A6598"/>
    <w:rsid w:val="001A7E2F"/>
    <w:rsid w:val="001B0049"/>
    <w:rsid w:val="001B2A30"/>
    <w:rsid w:val="001B2F64"/>
    <w:rsid w:val="001B65C1"/>
    <w:rsid w:val="001C084A"/>
    <w:rsid w:val="001C2FBE"/>
    <w:rsid w:val="001C48B3"/>
    <w:rsid w:val="001C684B"/>
    <w:rsid w:val="001D53FC"/>
    <w:rsid w:val="001D5638"/>
    <w:rsid w:val="001D67F7"/>
    <w:rsid w:val="001E0462"/>
    <w:rsid w:val="001E0B76"/>
    <w:rsid w:val="001F0660"/>
    <w:rsid w:val="001F2EC7"/>
    <w:rsid w:val="001F6A5B"/>
    <w:rsid w:val="001F6DC3"/>
    <w:rsid w:val="00202E92"/>
    <w:rsid w:val="002065DB"/>
    <w:rsid w:val="002111B9"/>
    <w:rsid w:val="0021387B"/>
    <w:rsid w:val="00215D53"/>
    <w:rsid w:val="0022175C"/>
    <w:rsid w:val="00223A57"/>
    <w:rsid w:val="00226EFA"/>
    <w:rsid w:val="0023213D"/>
    <w:rsid w:val="002324F9"/>
    <w:rsid w:val="00240FBD"/>
    <w:rsid w:val="002422FD"/>
    <w:rsid w:val="002447EF"/>
    <w:rsid w:val="00251550"/>
    <w:rsid w:val="0025590A"/>
    <w:rsid w:val="002626FE"/>
    <w:rsid w:val="00263BB8"/>
    <w:rsid w:val="0026485D"/>
    <w:rsid w:val="0027130A"/>
    <w:rsid w:val="0027205A"/>
    <w:rsid w:val="0027221A"/>
    <w:rsid w:val="00275B61"/>
    <w:rsid w:val="002761EF"/>
    <w:rsid w:val="00276C3E"/>
    <w:rsid w:val="00277EE0"/>
    <w:rsid w:val="002809F7"/>
    <w:rsid w:val="0028383C"/>
    <w:rsid w:val="00284A25"/>
    <w:rsid w:val="00290980"/>
    <w:rsid w:val="002948AE"/>
    <w:rsid w:val="002964A6"/>
    <w:rsid w:val="002A5A5C"/>
    <w:rsid w:val="002B0428"/>
    <w:rsid w:val="002B21AE"/>
    <w:rsid w:val="002B2956"/>
    <w:rsid w:val="002B5F9F"/>
    <w:rsid w:val="002C357F"/>
    <w:rsid w:val="002C633D"/>
    <w:rsid w:val="002C7D58"/>
    <w:rsid w:val="002D0147"/>
    <w:rsid w:val="002D1F12"/>
    <w:rsid w:val="002D5E1C"/>
    <w:rsid w:val="002E1F90"/>
    <w:rsid w:val="002E3B59"/>
    <w:rsid w:val="002E7C1B"/>
    <w:rsid w:val="002F4849"/>
    <w:rsid w:val="003004F3"/>
    <w:rsid w:val="003009B7"/>
    <w:rsid w:val="00302C82"/>
    <w:rsid w:val="0030469C"/>
    <w:rsid w:val="003053E3"/>
    <w:rsid w:val="00306F5C"/>
    <w:rsid w:val="00307BEC"/>
    <w:rsid w:val="003115DB"/>
    <w:rsid w:val="00314898"/>
    <w:rsid w:val="00330BF2"/>
    <w:rsid w:val="00332F33"/>
    <w:rsid w:val="00334987"/>
    <w:rsid w:val="00340CFC"/>
    <w:rsid w:val="00356B82"/>
    <w:rsid w:val="00357C9D"/>
    <w:rsid w:val="00360787"/>
    <w:rsid w:val="00360FDD"/>
    <w:rsid w:val="003723D4"/>
    <w:rsid w:val="003739DB"/>
    <w:rsid w:val="003844DA"/>
    <w:rsid w:val="00384DF5"/>
    <w:rsid w:val="0038786D"/>
    <w:rsid w:val="00387B29"/>
    <w:rsid w:val="00395AAB"/>
    <w:rsid w:val="003A4D03"/>
    <w:rsid w:val="003A65AE"/>
    <w:rsid w:val="003A7D1C"/>
    <w:rsid w:val="003B3BEC"/>
    <w:rsid w:val="003B438F"/>
    <w:rsid w:val="003B61C3"/>
    <w:rsid w:val="003C4643"/>
    <w:rsid w:val="003C4F2A"/>
    <w:rsid w:val="003D33C7"/>
    <w:rsid w:val="003D61D4"/>
    <w:rsid w:val="003E27E5"/>
    <w:rsid w:val="003E7464"/>
    <w:rsid w:val="003F06D4"/>
    <w:rsid w:val="003F0A65"/>
    <w:rsid w:val="003F0A70"/>
    <w:rsid w:val="003F4C43"/>
    <w:rsid w:val="00400FFC"/>
    <w:rsid w:val="004033DE"/>
    <w:rsid w:val="00405185"/>
    <w:rsid w:val="0041381B"/>
    <w:rsid w:val="0041414E"/>
    <w:rsid w:val="00417D19"/>
    <w:rsid w:val="004202BD"/>
    <w:rsid w:val="00422956"/>
    <w:rsid w:val="00422D56"/>
    <w:rsid w:val="0042639A"/>
    <w:rsid w:val="00426BD4"/>
    <w:rsid w:val="00426FD6"/>
    <w:rsid w:val="004316D3"/>
    <w:rsid w:val="00431AA3"/>
    <w:rsid w:val="00435501"/>
    <w:rsid w:val="00444370"/>
    <w:rsid w:val="004459E3"/>
    <w:rsid w:val="00447782"/>
    <w:rsid w:val="004514FD"/>
    <w:rsid w:val="00451659"/>
    <w:rsid w:val="00452890"/>
    <w:rsid w:val="00452D92"/>
    <w:rsid w:val="004556B7"/>
    <w:rsid w:val="0046164A"/>
    <w:rsid w:val="004616F6"/>
    <w:rsid w:val="00461AEC"/>
    <w:rsid w:val="00462188"/>
    <w:rsid w:val="00462685"/>
    <w:rsid w:val="00462DCD"/>
    <w:rsid w:val="0046419A"/>
    <w:rsid w:val="00465C49"/>
    <w:rsid w:val="00470F63"/>
    <w:rsid w:val="00471C93"/>
    <w:rsid w:val="00473BEE"/>
    <w:rsid w:val="004750F0"/>
    <w:rsid w:val="004810B5"/>
    <w:rsid w:val="00482C8D"/>
    <w:rsid w:val="0048470B"/>
    <w:rsid w:val="00485AFD"/>
    <w:rsid w:val="00486EAB"/>
    <w:rsid w:val="00487D84"/>
    <w:rsid w:val="00490877"/>
    <w:rsid w:val="00490AA8"/>
    <w:rsid w:val="004A7607"/>
    <w:rsid w:val="004B00DE"/>
    <w:rsid w:val="004B00EF"/>
    <w:rsid w:val="004B03F3"/>
    <w:rsid w:val="004B0659"/>
    <w:rsid w:val="004B0B75"/>
    <w:rsid w:val="004B5A7F"/>
    <w:rsid w:val="004B61E0"/>
    <w:rsid w:val="004C1033"/>
    <w:rsid w:val="004C2084"/>
    <w:rsid w:val="004C3676"/>
    <w:rsid w:val="004C3DEC"/>
    <w:rsid w:val="004C7FC1"/>
    <w:rsid w:val="004D1162"/>
    <w:rsid w:val="004D729F"/>
    <w:rsid w:val="004E0FB2"/>
    <w:rsid w:val="004E0FFD"/>
    <w:rsid w:val="004E4DD6"/>
    <w:rsid w:val="004E680E"/>
    <w:rsid w:val="004E689E"/>
    <w:rsid w:val="004F02F2"/>
    <w:rsid w:val="004F06E9"/>
    <w:rsid w:val="004F1BCC"/>
    <w:rsid w:val="004F50B8"/>
    <w:rsid w:val="004F5181"/>
    <w:rsid w:val="004F5E36"/>
    <w:rsid w:val="004F67A6"/>
    <w:rsid w:val="0050094A"/>
    <w:rsid w:val="00502E99"/>
    <w:rsid w:val="005036CF"/>
    <w:rsid w:val="00505493"/>
    <w:rsid w:val="00505EDB"/>
    <w:rsid w:val="00506874"/>
    <w:rsid w:val="005119A5"/>
    <w:rsid w:val="00512A0F"/>
    <w:rsid w:val="00512B4E"/>
    <w:rsid w:val="00515824"/>
    <w:rsid w:val="00521D2B"/>
    <w:rsid w:val="00522240"/>
    <w:rsid w:val="00522345"/>
    <w:rsid w:val="00524B67"/>
    <w:rsid w:val="00526D9E"/>
    <w:rsid w:val="005278B7"/>
    <w:rsid w:val="00531227"/>
    <w:rsid w:val="005346C8"/>
    <w:rsid w:val="0053765C"/>
    <w:rsid w:val="00537CCB"/>
    <w:rsid w:val="00541BC3"/>
    <w:rsid w:val="00543D49"/>
    <w:rsid w:val="0055228F"/>
    <w:rsid w:val="00557DEA"/>
    <w:rsid w:val="005606F2"/>
    <w:rsid w:val="005637B4"/>
    <w:rsid w:val="00574A07"/>
    <w:rsid w:val="00575637"/>
    <w:rsid w:val="00580354"/>
    <w:rsid w:val="00581815"/>
    <w:rsid w:val="00582662"/>
    <w:rsid w:val="005869D8"/>
    <w:rsid w:val="00586C63"/>
    <w:rsid w:val="005902BD"/>
    <w:rsid w:val="00591C6C"/>
    <w:rsid w:val="00592F6F"/>
    <w:rsid w:val="00594BF5"/>
    <w:rsid w:val="00594E9F"/>
    <w:rsid w:val="00596745"/>
    <w:rsid w:val="005A0F4B"/>
    <w:rsid w:val="005A4E79"/>
    <w:rsid w:val="005B5270"/>
    <w:rsid w:val="005B61E6"/>
    <w:rsid w:val="005C1A57"/>
    <w:rsid w:val="005C4F12"/>
    <w:rsid w:val="005C648D"/>
    <w:rsid w:val="005C77E1"/>
    <w:rsid w:val="005D0309"/>
    <w:rsid w:val="005D6A2F"/>
    <w:rsid w:val="005E09A4"/>
    <w:rsid w:val="005E1A82"/>
    <w:rsid w:val="005E252B"/>
    <w:rsid w:val="005E36B8"/>
    <w:rsid w:val="005E45B3"/>
    <w:rsid w:val="005E7A05"/>
    <w:rsid w:val="005F0A28"/>
    <w:rsid w:val="005F0E5E"/>
    <w:rsid w:val="006005EB"/>
    <w:rsid w:val="00602531"/>
    <w:rsid w:val="00612FFD"/>
    <w:rsid w:val="00614A7C"/>
    <w:rsid w:val="006201EA"/>
    <w:rsid w:val="00620DEE"/>
    <w:rsid w:val="00621A1B"/>
    <w:rsid w:val="00623D69"/>
    <w:rsid w:val="00625639"/>
    <w:rsid w:val="00626A5C"/>
    <w:rsid w:val="00626EBC"/>
    <w:rsid w:val="0064184D"/>
    <w:rsid w:val="00641B3C"/>
    <w:rsid w:val="006436CF"/>
    <w:rsid w:val="00646C86"/>
    <w:rsid w:val="00660107"/>
    <w:rsid w:val="00660D2A"/>
    <w:rsid w:val="00660E3E"/>
    <w:rsid w:val="00662E74"/>
    <w:rsid w:val="00664C2F"/>
    <w:rsid w:val="0066716A"/>
    <w:rsid w:val="00672BF5"/>
    <w:rsid w:val="00676821"/>
    <w:rsid w:val="00676CCD"/>
    <w:rsid w:val="006837DC"/>
    <w:rsid w:val="006A07AA"/>
    <w:rsid w:val="006A58D2"/>
    <w:rsid w:val="006A6F16"/>
    <w:rsid w:val="006B093B"/>
    <w:rsid w:val="006B524D"/>
    <w:rsid w:val="006B5A27"/>
    <w:rsid w:val="006C084A"/>
    <w:rsid w:val="006C5579"/>
    <w:rsid w:val="006C6DC3"/>
    <w:rsid w:val="006C7F15"/>
    <w:rsid w:val="006D650A"/>
    <w:rsid w:val="006E12B1"/>
    <w:rsid w:val="006E1970"/>
    <w:rsid w:val="006E663F"/>
    <w:rsid w:val="006E7BAD"/>
    <w:rsid w:val="00700C44"/>
    <w:rsid w:val="0070271E"/>
    <w:rsid w:val="00702F89"/>
    <w:rsid w:val="00703A98"/>
    <w:rsid w:val="00704BDF"/>
    <w:rsid w:val="0070638F"/>
    <w:rsid w:val="00707C26"/>
    <w:rsid w:val="00715180"/>
    <w:rsid w:val="00715394"/>
    <w:rsid w:val="00717B46"/>
    <w:rsid w:val="007207B5"/>
    <w:rsid w:val="00720C17"/>
    <w:rsid w:val="00724F9C"/>
    <w:rsid w:val="007250BF"/>
    <w:rsid w:val="00734DC4"/>
    <w:rsid w:val="00735685"/>
    <w:rsid w:val="00736773"/>
    <w:rsid w:val="00736B13"/>
    <w:rsid w:val="0074067B"/>
    <w:rsid w:val="00740A48"/>
    <w:rsid w:val="007447F3"/>
    <w:rsid w:val="007623CD"/>
    <w:rsid w:val="007642C8"/>
    <w:rsid w:val="0076474E"/>
    <w:rsid w:val="0076525B"/>
    <w:rsid w:val="007661C8"/>
    <w:rsid w:val="0076777E"/>
    <w:rsid w:val="007711B1"/>
    <w:rsid w:val="00777A73"/>
    <w:rsid w:val="00777CAD"/>
    <w:rsid w:val="00780830"/>
    <w:rsid w:val="00791BF2"/>
    <w:rsid w:val="0079230B"/>
    <w:rsid w:val="0079299D"/>
    <w:rsid w:val="00793A45"/>
    <w:rsid w:val="007A3ECA"/>
    <w:rsid w:val="007A6CA9"/>
    <w:rsid w:val="007A6DFB"/>
    <w:rsid w:val="007B32BA"/>
    <w:rsid w:val="007C1A40"/>
    <w:rsid w:val="007C3D8D"/>
    <w:rsid w:val="007C6633"/>
    <w:rsid w:val="007C6A4F"/>
    <w:rsid w:val="007D1BE1"/>
    <w:rsid w:val="007D4770"/>
    <w:rsid w:val="007D52CD"/>
    <w:rsid w:val="007D6601"/>
    <w:rsid w:val="007E0BD6"/>
    <w:rsid w:val="007E3035"/>
    <w:rsid w:val="007E4FB6"/>
    <w:rsid w:val="007E58B6"/>
    <w:rsid w:val="007F02FB"/>
    <w:rsid w:val="007F446C"/>
    <w:rsid w:val="00813288"/>
    <w:rsid w:val="008168FC"/>
    <w:rsid w:val="00820102"/>
    <w:rsid w:val="008208AE"/>
    <w:rsid w:val="00822C41"/>
    <w:rsid w:val="00823903"/>
    <w:rsid w:val="00823968"/>
    <w:rsid w:val="0082635A"/>
    <w:rsid w:val="008267D2"/>
    <w:rsid w:val="00832270"/>
    <w:rsid w:val="00836DB2"/>
    <w:rsid w:val="00843FB2"/>
    <w:rsid w:val="0084430D"/>
    <w:rsid w:val="00845E58"/>
    <w:rsid w:val="008479A2"/>
    <w:rsid w:val="00847B1D"/>
    <w:rsid w:val="00853A90"/>
    <w:rsid w:val="00857228"/>
    <w:rsid w:val="00860859"/>
    <w:rsid w:val="00860E4C"/>
    <w:rsid w:val="0086775A"/>
    <w:rsid w:val="00871EED"/>
    <w:rsid w:val="00873BA3"/>
    <w:rsid w:val="0087637F"/>
    <w:rsid w:val="00883889"/>
    <w:rsid w:val="00885F6F"/>
    <w:rsid w:val="00887D67"/>
    <w:rsid w:val="008905F8"/>
    <w:rsid w:val="00890D5E"/>
    <w:rsid w:val="008A0B8B"/>
    <w:rsid w:val="008A1512"/>
    <w:rsid w:val="008A57C0"/>
    <w:rsid w:val="008B417B"/>
    <w:rsid w:val="008B5916"/>
    <w:rsid w:val="008B703B"/>
    <w:rsid w:val="008C1E92"/>
    <w:rsid w:val="008C3EC8"/>
    <w:rsid w:val="008C5337"/>
    <w:rsid w:val="008C6033"/>
    <w:rsid w:val="008C656E"/>
    <w:rsid w:val="008C779C"/>
    <w:rsid w:val="008D0BEB"/>
    <w:rsid w:val="008D695D"/>
    <w:rsid w:val="008D7DDD"/>
    <w:rsid w:val="008E1256"/>
    <w:rsid w:val="008E4095"/>
    <w:rsid w:val="008E566E"/>
    <w:rsid w:val="008E5CAB"/>
    <w:rsid w:val="008F049D"/>
    <w:rsid w:val="008F3657"/>
    <w:rsid w:val="008F42E6"/>
    <w:rsid w:val="00900559"/>
    <w:rsid w:val="00901EB6"/>
    <w:rsid w:val="00902AE6"/>
    <w:rsid w:val="009047CF"/>
    <w:rsid w:val="00905D08"/>
    <w:rsid w:val="009076CE"/>
    <w:rsid w:val="00917477"/>
    <w:rsid w:val="009221BC"/>
    <w:rsid w:val="009309CD"/>
    <w:rsid w:val="00931E38"/>
    <w:rsid w:val="009335B5"/>
    <w:rsid w:val="00934F67"/>
    <w:rsid w:val="00936C15"/>
    <w:rsid w:val="00940B86"/>
    <w:rsid w:val="009425B4"/>
    <w:rsid w:val="009450CE"/>
    <w:rsid w:val="0094666E"/>
    <w:rsid w:val="0095164B"/>
    <w:rsid w:val="009537CF"/>
    <w:rsid w:val="00961CF2"/>
    <w:rsid w:val="009733F4"/>
    <w:rsid w:val="009856C7"/>
    <w:rsid w:val="009873F3"/>
    <w:rsid w:val="00994109"/>
    <w:rsid w:val="00996483"/>
    <w:rsid w:val="009971C0"/>
    <w:rsid w:val="0099763B"/>
    <w:rsid w:val="009B29C3"/>
    <w:rsid w:val="009B6536"/>
    <w:rsid w:val="009C09E6"/>
    <w:rsid w:val="009C32E4"/>
    <w:rsid w:val="009C50B8"/>
    <w:rsid w:val="009C6F86"/>
    <w:rsid w:val="009C7554"/>
    <w:rsid w:val="009D3222"/>
    <w:rsid w:val="009D4E62"/>
    <w:rsid w:val="009D73AD"/>
    <w:rsid w:val="009D7FE3"/>
    <w:rsid w:val="009E1AD8"/>
    <w:rsid w:val="009E2E7C"/>
    <w:rsid w:val="009E3D40"/>
    <w:rsid w:val="009E788A"/>
    <w:rsid w:val="009E7A0C"/>
    <w:rsid w:val="009E7AA7"/>
    <w:rsid w:val="009F1841"/>
    <w:rsid w:val="009F2784"/>
    <w:rsid w:val="009F5BC2"/>
    <w:rsid w:val="009F63A9"/>
    <w:rsid w:val="009F7FA1"/>
    <w:rsid w:val="00A020B3"/>
    <w:rsid w:val="00A05A15"/>
    <w:rsid w:val="00A07E93"/>
    <w:rsid w:val="00A1134A"/>
    <w:rsid w:val="00A15BF4"/>
    <w:rsid w:val="00A1763D"/>
    <w:rsid w:val="00A17CEC"/>
    <w:rsid w:val="00A20149"/>
    <w:rsid w:val="00A22B8B"/>
    <w:rsid w:val="00A23532"/>
    <w:rsid w:val="00A26B7D"/>
    <w:rsid w:val="00A27EF0"/>
    <w:rsid w:val="00A32FC4"/>
    <w:rsid w:val="00A35082"/>
    <w:rsid w:val="00A364B6"/>
    <w:rsid w:val="00A37E7F"/>
    <w:rsid w:val="00A40576"/>
    <w:rsid w:val="00A41EE5"/>
    <w:rsid w:val="00A433F5"/>
    <w:rsid w:val="00A43467"/>
    <w:rsid w:val="00A45363"/>
    <w:rsid w:val="00A45D55"/>
    <w:rsid w:val="00A47AFC"/>
    <w:rsid w:val="00A50A42"/>
    <w:rsid w:val="00A50FFE"/>
    <w:rsid w:val="00A51ACB"/>
    <w:rsid w:val="00A52A45"/>
    <w:rsid w:val="00A550E3"/>
    <w:rsid w:val="00A57197"/>
    <w:rsid w:val="00A573EE"/>
    <w:rsid w:val="00A6255A"/>
    <w:rsid w:val="00A63683"/>
    <w:rsid w:val="00A6397E"/>
    <w:rsid w:val="00A64720"/>
    <w:rsid w:val="00A658FD"/>
    <w:rsid w:val="00A65D07"/>
    <w:rsid w:val="00A66B9C"/>
    <w:rsid w:val="00A713CE"/>
    <w:rsid w:val="00A758EC"/>
    <w:rsid w:val="00A76EFC"/>
    <w:rsid w:val="00A84ADC"/>
    <w:rsid w:val="00A909CC"/>
    <w:rsid w:val="00A9195C"/>
    <w:rsid w:val="00A91F47"/>
    <w:rsid w:val="00A9445C"/>
    <w:rsid w:val="00A9626B"/>
    <w:rsid w:val="00A975DF"/>
    <w:rsid w:val="00A979B1"/>
    <w:rsid w:val="00A97F29"/>
    <w:rsid w:val="00AA3A75"/>
    <w:rsid w:val="00AA7463"/>
    <w:rsid w:val="00AA772F"/>
    <w:rsid w:val="00AA7A37"/>
    <w:rsid w:val="00AA7AA7"/>
    <w:rsid w:val="00AB0964"/>
    <w:rsid w:val="00AB1AC5"/>
    <w:rsid w:val="00AB2518"/>
    <w:rsid w:val="00AB31C5"/>
    <w:rsid w:val="00AC5F71"/>
    <w:rsid w:val="00AD094D"/>
    <w:rsid w:val="00AD729C"/>
    <w:rsid w:val="00AE29FF"/>
    <w:rsid w:val="00AE377D"/>
    <w:rsid w:val="00AF1F4B"/>
    <w:rsid w:val="00AF2A20"/>
    <w:rsid w:val="00AF5E9E"/>
    <w:rsid w:val="00B04E4E"/>
    <w:rsid w:val="00B0584C"/>
    <w:rsid w:val="00B10FFB"/>
    <w:rsid w:val="00B1160F"/>
    <w:rsid w:val="00B31173"/>
    <w:rsid w:val="00B3207F"/>
    <w:rsid w:val="00B33B51"/>
    <w:rsid w:val="00B430A4"/>
    <w:rsid w:val="00B47156"/>
    <w:rsid w:val="00B47E65"/>
    <w:rsid w:val="00B52CFF"/>
    <w:rsid w:val="00B5323A"/>
    <w:rsid w:val="00B5381A"/>
    <w:rsid w:val="00B60A10"/>
    <w:rsid w:val="00B616AC"/>
    <w:rsid w:val="00B61DBF"/>
    <w:rsid w:val="00B627F6"/>
    <w:rsid w:val="00B77530"/>
    <w:rsid w:val="00B81B9E"/>
    <w:rsid w:val="00B81DCD"/>
    <w:rsid w:val="00B84D16"/>
    <w:rsid w:val="00B863B4"/>
    <w:rsid w:val="00B86F92"/>
    <w:rsid w:val="00B93621"/>
    <w:rsid w:val="00B94F28"/>
    <w:rsid w:val="00BA0442"/>
    <w:rsid w:val="00BA348B"/>
    <w:rsid w:val="00BA41E5"/>
    <w:rsid w:val="00BA52B3"/>
    <w:rsid w:val="00BA5CAB"/>
    <w:rsid w:val="00BA76D7"/>
    <w:rsid w:val="00BB0BBA"/>
    <w:rsid w:val="00BB36FB"/>
    <w:rsid w:val="00BB6185"/>
    <w:rsid w:val="00BB6F9B"/>
    <w:rsid w:val="00BC30C9"/>
    <w:rsid w:val="00BC4521"/>
    <w:rsid w:val="00BC4738"/>
    <w:rsid w:val="00BC4EC1"/>
    <w:rsid w:val="00BC77D8"/>
    <w:rsid w:val="00BD02C0"/>
    <w:rsid w:val="00BD1EBB"/>
    <w:rsid w:val="00BD29DA"/>
    <w:rsid w:val="00BD64DE"/>
    <w:rsid w:val="00BD741F"/>
    <w:rsid w:val="00BE164C"/>
    <w:rsid w:val="00BE387C"/>
    <w:rsid w:val="00BE3E58"/>
    <w:rsid w:val="00BE45A8"/>
    <w:rsid w:val="00BE7B84"/>
    <w:rsid w:val="00BF1C27"/>
    <w:rsid w:val="00BF515F"/>
    <w:rsid w:val="00BF5715"/>
    <w:rsid w:val="00C01616"/>
    <w:rsid w:val="00C0162B"/>
    <w:rsid w:val="00C11324"/>
    <w:rsid w:val="00C15321"/>
    <w:rsid w:val="00C24936"/>
    <w:rsid w:val="00C255CB"/>
    <w:rsid w:val="00C30775"/>
    <w:rsid w:val="00C31778"/>
    <w:rsid w:val="00C317CB"/>
    <w:rsid w:val="00C345B1"/>
    <w:rsid w:val="00C34CC8"/>
    <w:rsid w:val="00C36B82"/>
    <w:rsid w:val="00C37903"/>
    <w:rsid w:val="00C40142"/>
    <w:rsid w:val="00C40BA8"/>
    <w:rsid w:val="00C43690"/>
    <w:rsid w:val="00C5712F"/>
    <w:rsid w:val="00C57182"/>
    <w:rsid w:val="00C57AF3"/>
    <w:rsid w:val="00C6250C"/>
    <w:rsid w:val="00C655FD"/>
    <w:rsid w:val="00C6690D"/>
    <w:rsid w:val="00C67663"/>
    <w:rsid w:val="00C74BE6"/>
    <w:rsid w:val="00C757BE"/>
    <w:rsid w:val="00C76EA5"/>
    <w:rsid w:val="00C76F29"/>
    <w:rsid w:val="00C807FD"/>
    <w:rsid w:val="00C81E66"/>
    <w:rsid w:val="00C82BA2"/>
    <w:rsid w:val="00C8474A"/>
    <w:rsid w:val="00C867B1"/>
    <w:rsid w:val="00C90B0B"/>
    <w:rsid w:val="00C922B4"/>
    <w:rsid w:val="00C93242"/>
    <w:rsid w:val="00C94434"/>
    <w:rsid w:val="00CA0D8F"/>
    <w:rsid w:val="00CA1C95"/>
    <w:rsid w:val="00CA517E"/>
    <w:rsid w:val="00CA54AA"/>
    <w:rsid w:val="00CA5A9C"/>
    <w:rsid w:val="00CA6F52"/>
    <w:rsid w:val="00CB2438"/>
    <w:rsid w:val="00CC27D2"/>
    <w:rsid w:val="00CD1FEB"/>
    <w:rsid w:val="00CD2D15"/>
    <w:rsid w:val="00CD32AA"/>
    <w:rsid w:val="00CD5FE2"/>
    <w:rsid w:val="00CD660C"/>
    <w:rsid w:val="00CD6ED3"/>
    <w:rsid w:val="00CE0633"/>
    <w:rsid w:val="00CE594A"/>
    <w:rsid w:val="00CE5A31"/>
    <w:rsid w:val="00CF2833"/>
    <w:rsid w:val="00CF66DB"/>
    <w:rsid w:val="00D02B4C"/>
    <w:rsid w:val="00D15730"/>
    <w:rsid w:val="00D20FDF"/>
    <w:rsid w:val="00D32FB9"/>
    <w:rsid w:val="00D35BF7"/>
    <w:rsid w:val="00D42073"/>
    <w:rsid w:val="00D43C21"/>
    <w:rsid w:val="00D44253"/>
    <w:rsid w:val="00D46D09"/>
    <w:rsid w:val="00D525E5"/>
    <w:rsid w:val="00D531E6"/>
    <w:rsid w:val="00D5385C"/>
    <w:rsid w:val="00D56B07"/>
    <w:rsid w:val="00D5740C"/>
    <w:rsid w:val="00D57EA3"/>
    <w:rsid w:val="00D671B0"/>
    <w:rsid w:val="00D801F0"/>
    <w:rsid w:val="00D831BA"/>
    <w:rsid w:val="00D84576"/>
    <w:rsid w:val="00D87135"/>
    <w:rsid w:val="00D948AD"/>
    <w:rsid w:val="00D94C43"/>
    <w:rsid w:val="00D9501A"/>
    <w:rsid w:val="00D97343"/>
    <w:rsid w:val="00D97AB2"/>
    <w:rsid w:val="00DA6308"/>
    <w:rsid w:val="00DB34FC"/>
    <w:rsid w:val="00DB49EF"/>
    <w:rsid w:val="00DB59AE"/>
    <w:rsid w:val="00DC46CB"/>
    <w:rsid w:val="00DC5B13"/>
    <w:rsid w:val="00DD1859"/>
    <w:rsid w:val="00DD5DCA"/>
    <w:rsid w:val="00DE0019"/>
    <w:rsid w:val="00DE264A"/>
    <w:rsid w:val="00DE6F6D"/>
    <w:rsid w:val="00DF2CBF"/>
    <w:rsid w:val="00E041E7"/>
    <w:rsid w:val="00E053DC"/>
    <w:rsid w:val="00E068B0"/>
    <w:rsid w:val="00E06E70"/>
    <w:rsid w:val="00E101E0"/>
    <w:rsid w:val="00E1280C"/>
    <w:rsid w:val="00E23B9E"/>
    <w:rsid w:val="00E23CA1"/>
    <w:rsid w:val="00E305F8"/>
    <w:rsid w:val="00E3458A"/>
    <w:rsid w:val="00E37A38"/>
    <w:rsid w:val="00E409A8"/>
    <w:rsid w:val="00E40A20"/>
    <w:rsid w:val="00E425B3"/>
    <w:rsid w:val="00E431A8"/>
    <w:rsid w:val="00E46529"/>
    <w:rsid w:val="00E466CB"/>
    <w:rsid w:val="00E5043E"/>
    <w:rsid w:val="00E51D68"/>
    <w:rsid w:val="00E538FD"/>
    <w:rsid w:val="00E5644D"/>
    <w:rsid w:val="00E61D3F"/>
    <w:rsid w:val="00E62AA4"/>
    <w:rsid w:val="00E6300B"/>
    <w:rsid w:val="00E65992"/>
    <w:rsid w:val="00E7209D"/>
    <w:rsid w:val="00E83A19"/>
    <w:rsid w:val="00E850C3"/>
    <w:rsid w:val="00E85819"/>
    <w:rsid w:val="00E91E48"/>
    <w:rsid w:val="00EA290A"/>
    <w:rsid w:val="00EA4097"/>
    <w:rsid w:val="00EA50E1"/>
    <w:rsid w:val="00EA539B"/>
    <w:rsid w:val="00EA65BE"/>
    <w:rsid w:val="00EB036B"/>
    <w:rsid w:val="00EB09F7"/>
    <w:rsid w:val="00EB10E1"/>
    <w:rsid w:val="00EB22FE"/>
    <w:rsid w:val="00EB3205"/>
    <w:rsid w:val="00ED4C5F"/>
    <w:rsid w:val="00ED5B80"/>
    <w:rsid w:val="00ED67A8"/>
    <w:rsid w:val="00ED6AF8"/>
    <w:rsid w:val="00EE0131"/>
    <w:rsid w:val="00EE1A54"/>
    <w:rsid w:val="00EF1054"/>
    <w:rsid w:val="00EF3557"/>
    <w:rsid w:val="00EF6838"/>
    <w:rsid w:val="00F03B5B"/>
    <w:rsid w:val="00F21D59"/>
    <w:rsid w:val="00F30C64"/>
    <w:rsid w:val="00F35B58"/>
    <w:rsid w:val="00F35CB6"/>
    <w:rsid w:val="00F36F5A"/>
    <w:rsid w:val="00F50758"/>
    <w:rsid w:val="00F51ADC"/>
    <w:rsid w:val="00F51CDF"/>
    <w:rsid w:val="00F53A30"/>
    <w:rsid w:val="00F55A12"/>
    <w:rsid w:val="00F72C4F"/>
    <w:rsid w:val="00F75CE2"/>
    <w:rsid w:val="00F77EB9"/>
    <w:rsid w:val="00F82EFA"/>
    <w:rsid w:val="00F879FE"/>
    <w:rsid w:val="00F90512"/>
    <w:rsid w:val="00F94067"/>
    <w:rsid w:val="00F95747"/>
    <w:rsid w:val="00FA18E3"/>
    <w:rsid w:val="00FA1C6E"/>
    <w:rsid w:val="00FA3D84"/>
    <w:rsid w:val="00FA5658"/>
    <w:rsid w:val="00FA63E7"/>
    <w:rsid w:val="00FA69CC"/>
    <w:rsid w:val="00FB730C"/>
    <w:rsid w:val="00FC2171"/>
    <w:rsid w:val="00FC2695"/>
    <w:rsid w:val="00FC3E03"/>
    <w:rsid w:val="00FD30BE"/>
    <w:rsid w:val="00FD5D93"/>
    <w:rsid w:val="00FD63CC"/>
    <w:rsid w:val="00FD6427"/>
    <w:rsid w:val="00FE0AF0"/>
    <w:rsid w:val="00FE5867"/>
    <w:rsid w:val="00FE6A2D"/>
    <w:rsid w:val="00FE75A3"/>
    <w:rsid w:val="00FE7B8D"/>
    <w:rsid w:val="00FE7D53"/>
    <w:rsid w:val="00FF655B"/>
    <w:rsid w:val="00FF7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1D67F7"/>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Collegamentoipertestuale">
    <w:name w:val="Hyperlink"/>
    <w:basedOn w:val="Carpredefinitoparagrafo"/>
    <w:uiPriority w:val="99"/>
    <w:unhideWhenUsed/>
    <w:locked/>
    <w:rsid w:val="003F0A65"/>
    <w:rPr>
      <w:color w:val="0000FF" w:themeColor="hyperlink"/>
      <w:u w:val="single"/>
    </w:rPr>
  </w:style>
  <w:style w:type="character" w:styleId="Menzionenonrisolta">
    <w:name w:val="Unresolved Mention"/>
    <w:basedOn w:val="Carpredefinitoparagrafo"/>
    <w:uiPriority w:val="99"/>
    <w:semiHidden/>
    <w:unhideWhenUsed/>
    <w:rsid w:val="003F0A65"/>
    <w:rPr>
      <w:color w:val="605E5C"/>
      <w:shd w:val="clear" w:color="auto" w:fill="E1DFDD"/>
    </w:rPr>
  </w:style>
  <w:style w:type="character" w:styleId="Rimandocommento">
    <w:name w:val="annotation reference"/>
    <w:basedOn w:val="Carpredefinitoparagrafo"/>
    <w:uiPriority w:val="99"/>
    <w:semiHidden/>
    <w:unhideWhenUsed/>
    <w:locked/>
    <w:rsid w:val="00091A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73825">
      <w:bodyDiv w:val="1"/>
      <w:marLeft w:val="0"/>
      <w:marRight w:val="0"/>
      <w:marTop w:val="0"/>
      <w:marBottom w:val="0"/>
      <w:divBdr>
        <w:top w:val="none" w:sz="0" w:space="0" w:color="auto"/>
        <w:left w:val="none" w:sz="0" w:space="0" w:color="auto"/>
        <w:bottom w:val="none" w:sz="0" w:space="0" w:color="auto"/>
        <w:right w:val="none" w:sz="0" w:space="0" w:color="auto"/>
      </w:divBdr>
    </w:div>
    <w:div w:id="357505472">
      <w:bodyDiv w:val="1"/>
      <w:marLeft w:val="0"/>
      <w:marRight w:val="0"/>
      <w:marTop w:val="0"/>
      <w:marBottom w:val="0"/>
      <w:divBdr>
        <w:top w:val="none" w:sz="0" w:space="0" w:color="auto"/>
        <w:left w:val="none" w:sz="0" w:space="0" w:color="auto"/>
        <w:bottom w:val="none" w:sz="0" w:space="0" w:color="auto"/>
        <w:right w:val="none" w:sz="0" w:space="0" w:color="auto"/>
      </w:divBdr>
    </w:div>
    <w:div w:id="472253408">
      <w:bodyDiv w:val="1"/>
      <w:marLeft w:val="0"/>
      <w:marRight w:val="0"/>
      <w:marTop w:val="0"/>
      <w:marBottom w:val="0"/>
      <w:divBdr>
        <w:top w:val="none" w:sz="0" w:space="0" w:color="auto"/>
        <w:left w:val="none" w:sz="0" w:space="0" w:color="auto"/>
        <w:bottom w:val="none" w:sz="0" w:space="0" w:color="auto"/>
        <w:right w:val="none" w:sz="0" w:space="0" w:color="auto"/>
      </w:divBdr>
      <w:divsChild>
        <w:div w:id="1290086984">
          <w:marLeft w:val="-720"/>
          <w:marRight w:val="0"/>
          <w:marTop w:val="0"/>
          <w:marBottom w:val="0"/>
          <w:divBdr>
            <w:top w:val="none" w:sz="0" w:space="0" w:color="auto"/>
            <w:left w:val="none" w:sz="0" w:space="0" w:color="auto"/>
            <w:bottom w:val="none" w:sz="0" w:space="0" w:color="auto"/>
            <w:right w:val="none" w:sz="0" w:space="0" w:color="auto"/>
          </w:divBdr>
        </w:div>
      </w:divsChild>
    </w:div>
    <w:div w:id="970865727">
      <w:bodyDiv w:val="1"/>
      <w:marLeft w:val="0"/>
      <w:marRight w:val="0"/>
      <w:marTop w:val="0"/>
      <w:marBottom w:val="0"/>
      <w:divBdr>
        <w:top w:val="none" w:sz="0" w:space="0" w:color="auto"/>
        <w:left w:val="none" w:sz="0" w:space="0" w:color="auto"/>
        <w:bottom w:val="none" w:sz="0" w:space="0" w:color="auto"/>
        <w:right w:val="none" w:sz="0" w:space="0" w:color="auto"/>
      </w:divBdr>
    </w:div>
    <w:div w:id="1171680496">
      <w:bodyDiv w:val="1"/>
      <w:marLeft w:val="0"/>
      <w:marRight w:val="0"/>
      <w:marTop w:val="0"/>
      <w:marBottom w:val="0"/>
      <w:divBdr>
        <w:top w:val="none" w:sz="0" w:space="0" w:color="auto"/>
        <w:left w:val="none" w:sz="0" w:space="0" w:color="auto"/>
        <w:bottom w:val="none" w:sz="0" w:space="0" w:color="auto"/>
        <w:right w:val="none" w:sz="0" w:space="0" w:color="auto"/>
      </w:divBdr>
      <w:divsChild>
        <w:div w:id="227494599">
          <w:marLeft w:val="-720"/>
          <w:marRight w:val="0"/>
          <w:marTop w:val="0"/>
          <w:marBottom w:val="0"/>
          <w:divBdr>
            <w:top w:val="none" w:sz="0" w:space="0" w:color="auto"/>
            <w:left w:val="none" w:sz="0" w:space="0" w:color="auto"/>
            <w:bottom w:val="none" w:sz="0" w:space="0" w:color="auto"/>
            <w:right w:val="none" w:sz="0" w:space="0" w:color="auto"/>
          </w:divBdr>
        </w:div>
      </w:divsChild>
    </w:div>
    <w:div w:id="1446072589">
      <w:bodyDiv w:val="1"/>
      <w:marLeft w:val="0"/>
      <w:marRight w:val="0"/>
      <w:marTop w:val="0"/>
      <w:marBottom w:val="0"/>
      <w:divBdr>
        <w:top w:val="none" w:sz="0" w:space="0" w:color="auto"/>
        <w:left w:val="none" w:sz="0" w:space="0" w:color="auto"/>
        <w:bottom w:val="none" w:sz="0" w:space="0" w:color="auto"/>
        <w:right w:val="none" w:sz="0" w:space="0" w:color="auto"/>
      </w:divBdr>
    </w:div>
    <w:div w:id="1477452089">
      <w:bodyDiv w:val="1"/>
      <w:marLeft w:val="0"/>
      <w:marRight w:val="0"/>
      <w:marTop w:val="0"/>
      <w:marBottom w:val="0"/>
      <w:divBdr>
        <w:top w:val="none" w:sz="0" w:space="0" w:color="auto"/>
        <w:left w:val="none" w:sz="0" w:space="0" w:color="auto"/>
        <w:bottom w:val="none" w:sz="0" w:space="0" w:color="auto"/>
        <w:right w:val="none" w:sz="0" w:space="0" w:color="auto"/>
      </w:divBdr>
    </w:div>
    <w:div w:id="1487747410">
      <w:bodyDiv w:val="1"/>
      <w:marLeft w:val="0"/>
      <w:marRight w:val="0"/>
      <w:marTop w:val="0"/>
      <w:marBottom w:val="0"/>
      <w:divBdr>
        <w:top w:val="none" w:sz="0" w:space="0" w:color="auto"/>
        <w:left w:val="none" w:sz="0" w:space="0" w:color="auto"/>
        <w:bottom w:val="none" w:sz="0" w:space="0" w:color="auto"/>
        <w:right w:val="none" w:sz="0" w:space="0" w:color="auto"/>
      </w:divBdr>
    </w:div>
    <w:div w:id="1576628877">
      <w:bodyDiv w:val="1"/>
      <w:marLeft w:val="0"/>
      <w:marRight w:val="0"/>
      <w:marTop w:val="0"/>
      <w:marBottom w:val="0"/>
      <w:divBdr>
        <w:top w:val="none" w:sz="0" w:space="0" w:color="auto"/>
        <w:left w:val="none" w:sz="0" w:space="0" w:color="auto"/>
        <w:bottom w:val="none" w:sz="0" w:space="0" w:color="auto"/>
        <w:right w:val="none" w:sz="0" w:space="0" w:color="auto"/>
      </w:divBdr>
      <w:divsChild>
        <w:div w:id="986469181">
          <w:marLeft w:val="-720"/>
          <w:marRight w:val="0"/>
          <w:marTop w:val="0"/>
          <w:marBottom w:val="0"/>
          <w:divBdr>
            <w:top w:val="none" w:sz="0" w:space="0" w:color="auto"/>
            <w:left w:val="none" w:sz="0" w:space="0" w:color="auto"/>
            <w:bottom w:val="none" w:sz="0" w:space="0" w:color="auto"/>
            <w:right w:val="none" w:sz="0" w:space="0" w:color="auto"/>
          </w:divBdr>
        </w:div>
      </w:divsChild>
    </w:div>
    <w:div w:id="1927492517">
      <w:bodyDiv w:val="1"/>
      <w:marLeft w:val="0"/>
      <w:marRight w:val="0"/>
      <w:marTop w:val="0"/>
      <w:marBottom w:val="0"/>
      <w:divBdr>
        <w:top w:val="none" w:sz="0" w:space="0" w:color="auto"/>
        <w:left w:val="none" w:sz="0" w:space="0" w:color="auto"/>
        <w:bottom w:val="none" w:sz="0" w:space="0" w:color="auto"/>
        <w:right w:val="none" w:sz="0" w:space="0" w:color="auto"/>
      </w:divBdr>
      <w:divsChild>
        <w:div w:id="136552120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2445</Words>
  <Characters>13938</Characters>
  <Application>Microsoft Office Word</Application>
  <DocSecurity>0</DocSecurity>
  <Lines>116</Lines>
  <Paragraphs>32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2015-05-12T18:31:00Z</cp:lastPrinted>
  <dcterms:created xsi:type="dcterms:W3CDTF">2025-05-07T07:20:00Z</dcterms:created>
  <dcterms:modified xsi:type="dcterms:W3CDTF">2025-05-07T07:20:00Z</dcterms:modified>
</cp:coreProperties>
</file>