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B48C" w14:textId="2E989394" w:rsidR="005C1A57" w:rsidRPr="005C1A57" w:rsidRDefault="006F37F2" w:rsidP="00591C6C">
      <w:pPr>
        <w:pStyle w:val="BOATitle"/>
        <w:rPr>
          <w:rFonts w:eastAsia="MS PGothic"/>
        </w:rPr>
      </w:pPr>
      <w:r w:rsidRPr="006F37F2">
        <w:rPr>
          <w:rFonts w:eastAsia="MS PGothic"/>
        </w:rPr>
        <w:t>Introduction to Digital Twins for Supporting Quantitative Cybersecurity Risk Assessment</w:t>
      </w:r>
    </w:p>
    <w:p w14:paraId="29E2E91E" w14:textId="2366BBD9" w:rsidR="005C1A57" w:rsidRPr="00E33C85" w:rsidRDefault="006F37F2" w:rsidP="00591C6C">
      <w:pPr>
        <w:pStyle w:val="BOAAuthors"/>
        <w:rPr>
          <w:rFonts w:eastAsia="MS PGothic"/>
          <w:lang w:val="it-IT"/>
        </w:rPr>
      </w:pPr>
      <w:r w:rsidRPr="00E33C85">
        <w:rPr>
          <w:rFonts w:eastAsia="SimSun"/>
          <w:lang w:val="it-IT"/>
        </w:rPr>
        <w:t>Antonio Manzi</w:t>
      </w:r>
      <w:r w:rsidR="0016181C" w:rsidRPr="0016181C">
        <w:rPr>
          <w:rFonts w:eastAsia="SimSun"/>
          <w:vertAlign w:val="superscript"/>
          <w:lang w:val="it-IT"/>
        </w:rPr>
        <w:t>1</w:t>
      </w:r>
      <w:r w:rsidR="005C1A57" w:rsidRPr="00E33C85">
        <w:rPr>
          <w:rFonts w:eastAsia="SimSun"/>
          <w:lang w:val="it-IT"/>
        </w:rPr>
        <w:t xml:space="preserve">, </w:t>
      </w:r>
      <w:r w:rsidR="00E33C85" w:rsidRPr="00E33C85">
        <w:rPr>
          <w:rFonts w:eastAsia="SimSun"/>
          <w:lang w:val="it-IT"/>
        </w:rPr>
        <w:t>Matteo Iaiani</w:t>
      </w:r>
      <w:r w:rsidR="0016181C" w:rsidRPr="0016181C">
        <w:rPr>
          <w:rFonts w:eastAsia="SimSun"/>
          <w:vertAlign w:val="superscript"/>
          <w:lang w:val="it-IT"/>
        </w:rPr>
        <w:t>1</w:t>
      </w:r>
      <w:r w:rsidR="00E33C85" w:rsidRPr="00E33C85">
        <w:rPr>
          <w:rFonts w:eastAsia="SimSun"/>
          <w:lang w:val="it-IT"/>
        </w:rPr>
        <w:t>, Alessandro Tugnoli</w:t>
      </w:r>
      <w:r w:rsidR="0016181C" w:rsidRPr="0016181C">
        <w:rPr>
          <w:rFonts w:eastAsia="SimSun"/>
          <w:vertAlign w:val="superscript"/>
          <w:lang w:val="it-IT"/>
        </w:rPr>
        <w:t>1</w:t>
      </w:r>
      <w:r w:rsidR="0016181C">
        <w:rPr>
          <w:rFonts w:eastAsia="SimSun"/>
          <w:vertAlign w:val="superscript"/>
          <w:lang w:val="it-IT"/>
        </w:rPr>
        <w:t>,</w:t>
      </w:r>
      <w:r w:rsidR="00E33C85">
        <w:rPr>
          <w:rFonts w:eastAsia="SimSun"/>
          <w:lang w:val="it-IT"/>
        </w:rPr>
        <w:t>*</w:t>
      </w:r>
      <w:r w:rsidR="00E33C85" w:rsidRPr="00E33C85">
        <w:rPr>
          <w:rFonts w:eastAsia="SimSun"/>
          <w:lang w:val="it-IT"/>
        </w:rPr>
        <w:t>,</w:t>
      </w:r>
      <w:r w:rsidR="00E33C85">
        <w:rPr>
          <w:rFonts w:eastAsia="SimSun"/>
          <w:lang w:val="it-IT"/>
        </w:rPr>
        <w:t xml:space="preserve"> Giacomo Antonioni</w:t>
      </w:r>
      <w:r w:rsidR="0016181C" w:rsidRPr="0016181C">
        <w:rPr>
          <w:rFonts w:eastAsia="SimSun"/>
          <w:vertAlign w:val="superscript"/>
          <w:lang w:val="it-IT"/>
        </w:rPr>
        <w:t>1</w:t>
      </w:r>
      <w:r w:rsidR="00E33C85">
        <w:rPr>
          <w:rFonts w:eastAsia="SimSun"/>
          <w:lang w:val="it-IT"/>
        </w:rPr>
        <w:t>, Valerio Cozzani</w:t>
      </w:r>
      <w:r w:rsidR="0016181C" w:rsidRPr="0016181C">
        <w:rPr>
          <w:rFonts w:eastAsia="SimSun"/>
          <w:vertAlign w:val="superscript"/>
          <w:lang w:val="it-IT"/>
        </w:rPr>
        <w:t>1</w:t>
      </w:r>
    </w:p>
    <w:p w14:paraId="0115F7AC" w14:textId="570936A6" w:rsidR="005C1A57" w:rsidRPr="00C04AB6" w:rsidRDefault="005C1A57" w:rsidP="00591C6C">
      <w:pPr>
        <w:pStyle w:val="BOAAddress"/>
        <w:rPr>
          <w:rFonts w:eastAsia="MS PGothic"/>
          <w:i w:val="0"/>
          <w:lang w:val="it-IT"/>
        </w:rPr>
      </w:pPr>
      <w:r w:rsidRPr="00C04AB6">
        <w:rPr>
          <w:rFonts w:eastAsia="MS PGothic"/>
          <w:lang w:val="it-IT"/>
        </w:rPr>
        <w:t xml:space="preserve">1 </w:t>
      </w:r>
      <w:r w:rsidR="00C04AB6" w:rsidRPr="00C04AB6">
        <w:rPr>
          <w:rFonts w:eastAsia="MS PGothic"/>
          <w:lang w:val="it-IT"/>
        </w:rPr>
        <w:t>LISES - Dipartimento di Ingegneria Civile, Chimica, Ambientale e dei Materiali, Alma Mater Studiorum - Università di Bologna, via Terracini n.28, 40131 Bologna (Italy)</w:t>
      </w:r>
    </w:p>
    <w:p w14:paraId="42CB37CF" w14:textId="7B73F872" w:rsidR="005C1A57" w:rsidRPr="00591C6C" w:rsidRDefault="005C1A57" w:rsidP="00591C6C">
      <w:pPr>
        <w:pStyle w:val="BOAemail"/>
        <w:rPr>
          <w:rFonts w:eastAsia="MS PGothic"/>
        </w:rPr>
      </w:pPr>
      <w:r w:rsidRPr="00591C6C">
        <w:rPr>
          <w:rFonts w:eastAsia="MS PGothic"/>
        </w:rPr>
        <w:t>*Corresponding author</w:t>
      </w:r>
      <w:r w:rsidRPr="00591C6C">
        <w:rPr>
          <w:rFonts w:eastAsia="MS PGothic"/>
          <w:lang w:eastAsia="ko-KR"/>
        </w:rPr>
        <w:t xml:space="preserve"> E-Mail: </w:t>
      </w:r>
      <w:r w:rsidRPr="00591C6C">
        <w:rPr>
          <w:rFonts w:eastAsia="MS PGothic"/>
        </w:rPr>
        <w:t xml:space="preserve"> </w:t>
      </w:r>
      <w:r w:rsidR="00C04AB6">
        <w:rPr>
          <w:rFonts w:eastAsia="MS PGothic"/>
        </w:rPr>
        <w:t>a.tugnoli@unibo.it</w:t>
      </w:r>
    </w:p>
    <w:p w14:paraId="7D788354" w14:textId="77777777" w:rsidR="005C1A57" w:rsidRPr="00621A1B" w:rsidRDefault="005C1A57" w:rsidP="00F879FE">
      <w:pPr>
        <w:pStyle w:val="BOAHeading"/>
      </w:pPr>
      <w:r w:rsidRPr="00621A1B">
        <w:t>1. Introduction</w:t>
      </w:r>
    </w:p>
    <w:p w14:paraId="4841412E" w14:textId="598D789E" w:rsidR="00AA3D51" w:rsidRDefault="00AA3D51" w:rsidP="00F879FE">
      <w:pPr>
        <w:pStyle w:val="BOAAbstractBody"/>
        <w:rPr>
          <w:rFonts w:eastAsia="MS PGothic"/>
        </w:rPr>
      </w:pPr>
      <w:r w:rsidRPr="00AA3D51">
        <w:rPr>
          <w:rFonts w:eastAsia="MS PGothic"/>
        </w:rPr>
        <w:t xml:space="preserve">With the increasing digitalization of the chemical, process, </w:t>
      </w:r>
      <w:proofErr w:type="spellStart"/>
      <w:r w:rsidRPr="00AA3D51">
        <w:rPr>
          <w:rFonts w:eastAsia="MS PGothic"/>
        </w:rPr>
        <w:t>Oil&amp;Gas</w:t>
      </w:r>
      <w:proofErr w:type="spellEnd"/>
      <w:r w:rsidRPr="00AA3D51">
        <w:rPr>
          <w:rFonts w:eastAsia="MS PGothic"/>
        </w:rPr>
        <w:t>, and energy production industries, cybersecurity has emerged as a critical issue</w:t>
      </w:r>
      <w:r w:rsidR="00B449EA">
        <w:rPr>
          <w:rFonts w:eastAsia="MS PGothic"/>
        </w:rPr>
        <w:t xml:space="preserve"> </w:t>
      </w:r>
      <w:sdt>
        <w:sdtPr>
          <w:rPr>
            <w:rFonts w:eastAsia="MS PGothic"/>
            <w:color w:val="000000"/>
          </w:rPr>
          <w:tag w:val="MENDELEY_CITATION_v3_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"/>
          <w:id w:val="197670615"/>
          <w:placeholder>
            <w:docPart w:val="DefaultPlaceholder_-1854013440"/>
          </w:placeholder>
        </w:sdtPr>
        <w:sdtContent>
          <w:r w:rsidR="00874D81" w:rsidRPr="00874D81">
            <w:rPr>
              <w:rFonts w:eastAsia="MS PGothic"/>
              <w:color w:val="000000"/>
            </w:rPr>
            <w:t>(Center for Chemical Process Safety, 2022)</w:t>
          </w:r>
        </w:sdtContent>
      </w:sdt>
      <w:r w:rsidRPr="00AA3D51">
        <w:rPr>
          <w:rFonts w:eastAsia="MS PGothic"/>
        </w:rPr>
        <w:t xml:space="preserve">. </w:t>
      </w:r>
      <w:r w:rsidR="000C2D3F" w:rsidRPr="000C2D3F">
        <w:rPr>
          <w:rFonts w:eastAsia="MS PGothic"/>
        </w:rPr>
        <w:t>This is particularly evident in scenarios where cyber attackers gain access to and manipulate Operational Technology (OT) systems, including the Basic Process Control System (BPCS) and the Safety Instrumented System (SIS).</w:t>
      </w:r>
      <w:r w:rsidR="00991AE8">
        <w:rPr>
          <w:rFonts w:eastAsia="MS PGothic"/>
        </w:rPr>
        <w:t xml:space="preserve"> In fact, h</w:t>
      </w:r>
      <w:r w:rsidR="000C2D3F" w:rsidRPr="000C2D3F">
        <w:rPr>
          <w:rFonts w:eastAsia="MS PGothic"/>
        </w:rPr>
        <w:t>istorical evidence demonstrates that such malicious interferences can initiate events with consequences comparable to scenarios arising from conventional equipment failures</w:t>
      </w:r>
      <w:r w:rsidR="00991AE8">
        <w:rPr>
          <w:rFonts w:eastAsia="MS PGothic"/>
        </w:rPr>
        <w:t xml:space="preserve"> </w:t>
      </w:r>
      <w:sdt>
        <w:sdtPr>
          <w:rPr>
            <w:rFonts w:eastAsia="MS PGothic"/>
            <w:color w:val="000000"/>
          </w:rPr>
          <w:tag w:val="MENDELEY_CITATION_v3_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"/>
          <w:id w:val="-778722648"/>
          <w:placeholder>
            <w:docPart w:val="DefaultPlaceholder_-1854013440"/>
          </w:placeholder>
        </w:sdtPr>
        <w:sdtContent>
          <w:r w:rsidR="00874D81" w:rsidRPr="00874D81">
            <w:rPr>
              <w:rFonts w:eastAsia="MS PGothic"/>
              <w:color w:val="000000"/>
            </w:rPr>
            <w:t>(Iaiani et al., 2023a)</w:t>
          </w:r>
        </w:sdtContent>
      </w:sdt>
      <w:r w:rsidR="000C2D3F" w:rsidRPr="000C2D3F">
        <w:rPr>
          <w:rFonts w:eastAsia="MS PGothic"/>
        </w:rPr>
        <w:t>.</w:t>
      </w:r>
    </w:p>
    <w:p w14:paraId="498F614E" w14:textId="4FF721CD" w:rsidR="00AA3D51" w:rsidRDefault="002E1FD4" w:rsidP="00F879FE">
      <w:pPr>
        <w:pStyle w:val="BOAAbstractBody"/>
        <w:rPr>
          <w:rFonts w:eastAsia="MS PGothic"/>
        </w:rPr>
      </w:pPr>
      <w:r w:rsidRPr="002E1FD4">
        <w:rPr>
          <w:rFonts w:eastAsia="MS PGothic"/>
        </w:rPr>
        <w:t xml:space="preserve">A key phase in quantitative cybersecurity risk assessment </w:t>
      </w:r>
      <w:r w:rsidR="00867114">
        <w:rPr>
          <w:rFonts w:eastAsia="MS PGothic"/>
        </w:rPr>
        <w:t xml:space="preserve">(QCRA) </w:t>
      </w:r>
      <w:r w:rsidRPr="002E1FD4">
        <w:rPr>
          <w:rFonts w:eastAsia="MS PGothic"/>
        </w:rPr>
        <w:t xml:space="preserve">involves understanding and modeling the dynamics of plants when BPCS and SIS are maliciously manipulated through cyber-attacks, alongside evaluating the response performance of the adopted protection strategies (e.g., inherent/passive </w:t>
      </w:r>
      <w:r w:rsidR="002F1B81">
        <w:rPr>
          <w:rFonts w:eastAsia="MS PGothic"/>
        </w:rPr>
        <w:t xml:space="preserve">safeguards such as pressure safety valves, </w:t>
      </w:r>
      <w:r w:rsidRPr="002E1FD4">
        <w:rPr>
          <w:rFonts w:eastAsia="MS PGothic"/>
        </w:rPr>
        <w:t xml:space="preserve">and procedural/active </w:t>
      </w:r>
      <w:r w:rsidR="00B3385D">
        <w:rPr>
          <w:rFonts w:eastAsia="MS PGothic"/>
        </w:rPr>
        <w:t>safeguards such as shutdown procedures</w:t>
      </w:r>
      <w:r w:rsidRPr="002E1FD4">
        <w:rPr>
          <w:rFonts w:eastAsia="MS PGothic"/>
        </w:rPr>
        <w:t>)</w:t>
      </w:r>
      <w:r w:rsidR="005876FE">
        <w:rPr>
          <w:rFonts w:eastAsia="MS PGothic"/>
        </w:rPr>
        <w:t xml:space="preserve">, </w:t>
      </w:r>
      <w:r w:rsidR="005876FE" w:rsidRPr="005876FE">
        <w:rPr>
          <w:rFonts w:eastAsia="MS PGothic"/>
          <w:lang w:val="en-GB"/>
        </w:rPr>
        <w:t>to identify vulnerabilities, quantify potential consequences, and prioritize mitigation measures</w:t>
      </w:r>
      <w:r w:rsidR="002F1B81">
        <w:rPr>
          <w:rFonts w:eastAsia="MS PGothic"/>
          <w:lang w:val="en-GB"/>
        </w:rPr>
        <w:t>.</w:t>
      </w:r>
    </w:p>
    <w:p w14:paraId="06A4BA35" w14:textId="1419C258" w:rsidR="00E56405" w:rsidRDefault="00E56405" w:rsidP="00F879FE">
      <w:pPr>
        <w:pStyle w:val="BOAAbstractBody"/>
        <w:rPr>
          <w:rFonts w:eastAsia="MS PGothic"/>
        </w:rPr>
      </w:pPr>
      <w:r w:rsidRPr="00E56405">
        <w:rPr>
          <w:rFonts w:eastAsia="MS PGothic"/>
        </w:rPr>
        <w:t>In this regard, the present study investigates the use of digital twins—digital replicas of physical plants implemented in dynamic process simulation environments—as a tool to support the quantitative assessment of cybersecurity risks.</w:t>
      </w:r>
      <w:r w:rsidR="005D063F">
        <w:rPr>
          <w:rFonts w:eastAsia="MS PGothic"/>
        </w:rPr>
        <w:t xml:space="preserve"> </w:t>
      </w:r>
      <w:r w:rsidR="0081634E">
        <w:rPr>
          <w:rFonts w:eastAsia="MS PGothic"/>
        </w:rPr>
        <w:t>T</w:t>
      </w:r>
      <w:r w:rsidR="000E1741">
        <w:rPr>
          <w:rFonts w:eastAsia="MS PGothic"/>
        </w:rPr>
        <w:t xml:space="preserve">he conditioning section of a green hydrogen </w:t>
      </w:r>
      <w:r w:rsidR="003A05E2">
        <w:rPr>
          <w:rFonts w:eastAsia="MS PGothic"/>
        </w:rPr>
        <w:t>production plant</w:t>
      </w:r>
      <w:r w:rsidR="0081634E">
        <w:rPr>
          <w:rFonts w:eastAsia="MS PGothic"/>
        </w:rPr>
        <w:t xml:space="preserve"> was taken as case study.</w:t>
      </w:r>
    </w:p>
    <w:p w14:paraId="783EC6E6" w14:textId="0E761F3F" w:rsidR="005C1A57" w:rsidRDefault="005C1A57" w:rsidP="00F879FE">
      <w:pPr>
        <w:pStyle w:val="BOAHeading"/>
      </w:pPr>
      <w:r w:rsidRPr="00591C6C">
        <w:t xml:space="preserve">2. </w:t>
      </w:r>
      <w:r w:rsidR="00C82FD3">
        <w:t>Method</w:t>
      </w:r>
    </w:p>
    <w:p w14:paraId="49E35333" w14:textId="553D65E9" w:rsidR="00466EBB" w:rsidRDefault="00FF6A6E" w:rsidP="00466EBB">
      <w:pPr>
        <w:pStyle w:val="BOAAbstractBody"/>
      </w:pPr>
      <w:r w:rsidRPr="00FF6A6E">
        <w:rPr>
          <w:lang w:val="en-GB"/>
        </w:rPr>
        <w:t>The method employed in this study is outlined</w:t>
      </w:r>
      <w:r>
        <w:rPr>
          <w:lang w:val="en-GB"/>
        </w:rPr>
        <w:t xml:space="preserve"> </w:t>
      </w:r>
      <w:r w:rsidR="00D64508">
        <w:t xml:space="preserve">in Figure 1. </w:t>
      </w:r>
    </w:p>
    <w:p w14:paraId="073E205F" w14:textId="77777777" w:rsidR="003C7D73" w:rsidRDefault="003C7D73" w:rsidP="00466EBB">
      <w:pPr>
        <w:pStyle w:val="BOAAbstractBody"/>
      </w:pPr>
    </w:p>
    <w:p w14:paraId="1539A5A1" w14:textId="77777777" w:rsidR="003C7D73" w:rsidRDefault="003C7D73" w:rsidP="003C7D73">
      <w:pPr>
        <w:pStyle w:val="BOAAbstractBody"/>
        <w:jc w:val="center"/>
        <w:rPr>
          <w:rFonts w:eastAsia="MS PGothic"/>
        </w:rPr>
      </w:pPr>
      <w:r w:rsidRPr="001A2A5A">
        <w:rPr>
          <w:rFonts w:eastAsia="MS PGothic"/>
          <w:noProof/>
        </w:rPr>
        <w:drawing>
          <wp:inline distT="0" distB="0" distL="0" distR="0" wp14:anchorId="4456B9A0" wp14:editId="4E1C0478">
            <wp:extent cx="4357254" cy="729432"/>
            <wp:effectExtent l="0" t="0" r="5715" b="0"/>
            <wp:docPr id="135562055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5272" cy="730774"/>
                    </a:xfrm>
                    <a:prstGeom prst="rect">
                      <a:avLst/>
                    </a:prstGeom>
                    <a:noFill/>
                    <a:ln>
                      <a:noFill/>
                    </a:ln>
                  </pic:spPr>
                </pic:pic>
              </a:graphicData>
            </a:graphic>
          </wp:inline>
        </w:drawing>
      </w:r>
    </w:p>
    <w:p w14:paraId="5F93CE1B" w14:textId="48133E4A" w:rsidR="003C7D73" w:rsidRPr="00F879FE" w:rsidRDefault="003C7D73" w:rsidP="00FD737A">
      <w:pPr>
        <w:pStyle w:val="BOACaption"/>
      </w:pPr>
      <w:r w:rsidRPr="00F879FE">
        <w:t>Figure 1</w:t>
      </w:r>
      <w:r w:rsidRPr="00F879FE">
        <w:rPr>
          <w:lang w:eastAsia="ko-KR"/>
        </w:rPr>
        <w:t>.</w:t>
      </w:r>
      <w:r w:rsidRPr="00F879FE">
        <w:t xml:space="preserve"> </w:t>
      </w:r>
      <w:r>
        <w:t>Method adopted in the present study.</w:t>
      </w:r>
    </w:p>
    <w:p w14:paraId="617A9950" w14:textId="77777777" w:rsidR="009E5218" w:rsidRDefault="0080353C" w:rsidP="00466EBB">
      <w:pPr>
        <w:pStyle w:val="BOAAbstractBody"/>
      </w:pPr>
      <w:r>
        <w:t xml:space="preserve">Firstly, the </w:t>
      </w:r>
      <w:r w:rsidR="004967B9">
        <w:t xml:space="preserve">digital twin </w:t>
      </w:r>
      <w:r w:rsidR="00C82FD3">
        <w:t xml:space="preserve">of the </w:t>
      </w:r>
      <w:r w:rsidR="00BF2360">
        <w:t xml:space="preserve">plant section </w:t>
      </w:r>
      <w:r w:rsidR="00A11724">
        <w:t>analyzed</w:t>
      </w:r>
      <w:r w:rsidR="00BF2360">
        <w:t xml:space="preserve"> was created</w:t>
      </w:r>
      <w:r w:rsidR="000532B7">
        <w:t xml:space="preserve"> using aspen </w:t>
      </w:r>
      <w:r w:rsidR="00A11724">
        <w:t xml:space="preserve">HYSIS </w:t>
      </w:r>
      <w:r w:rsidR="00967C79">
        <w:t xml:space="preserve">software in dynamic </w:t>
      </w:r>
      <w:r w:rsidR="00A46188">
        <w:t>mode</w:t>
      </w:r>
      <w:r w:rsidR="00967C79">
        <w:t xml:space="preserve">. Then, </w:t>
      </w:r>
      <w:r w:rsidR="00E27764">
        <w:t xml:space="preserve">the </w:t>
      </w:r>
      <w:r w:rsidR="00311267">
        <w:t xml:space="preserve">cybersecurity scenarios </w:t>
      </w:r>
      <w:r w:rsidR="00E71F83">
        <w:t>to be simulated</w:t>
      </w:r>
      <w:r w:rsidR="00311267">
        <w:t xml:space="preserve"> (</w:t>
      </w:r>
      <w:r w:rsidR="00D53CE6">
        <w:t xml:space="preserve">e.g., those relevant </w:t>
      </w:r>
      <w:r w:rsidR="009F7179">
        <w:t xml:space="preserve">in the context of quantitative cyber risk assessment) </w:t>
      </w:r>
      <w:r w:rsidR="00876FA8">
        <w:t>were identified</w:t>
      </w:r>
    </w:p>
    <w:p w14:paraId="57809F75" w14:textId="77777777" w:rsidR="009E5218" w:rsidRDefault="009E5218" w:rsidP="00466EBB">
      <w:pPr>
        <w:pStyle w:val="BOAAbstractBody"/>
      </w:pPr>
    </w:p>
    <w:p w14:paraId="0B74189C" w14:textId="375874AB" w:rsidR="00950C26" w:rsidRDefault="00876FA8" w:rsidP="00466EBB">
      <w:pPr>
        <w:pStyle w:val="BOAAbstractBody"/>
      </w:pPr>
      <w:r>
        <w:t xml:space="preserve"> </w:t>
      </w:r>
      <w:r w:rsidR="0053743A">
        <w:t xml:space="preserve">using </w:t>
      </w:r>
      <w:r w:rsidR="00007331">
        <w:t>POROS</w:t>
      </w:r>
      <w:r w:rsidR="0053743A">
        <w:t xml:space="preserve"> 2.0 (</w:t>
      </w:r>
      <w:r w:rsidR="00556C33" w:rsidRPr="00556C33">
        <w:rPr>
          <w:lang w:val="en-GB"/>
        </w:rPr>
        <w:t xml:space="preserve">Process Operability analysis of Remote manipulations through the </w:t>
      </w:r>
      <w:proofErr w:type="spellStart"/>
      <w:r w:rsidR="00556C33" w:rsidRPr="00556C33">
        <w:rPr>
          <w:lang w:val="en-GB"/>
        </w:rPr>
        <w:t>cOntrol</w:t>
      </w:r>
      <w:proofErr w:type="spellEnd"/>
      <w:r w:rsidR="00556C33" w:rsidRPr="00556C33">
        <w:rPr>
          <w:lang w:val="en-GB"/>
        </w:rPr>
        <w:t xml:space="preserve"> System</w:t>
      </w:r>
      <w:r w:rsidR="0053743A">
        <w:t>) methodology, developed</w:t>
      </w:r>
      <w:r w:rsidR="00A20ED8">
        <w:t xml:space="preserve"> by the authors</w:t>
      </w:r>
      <w:r w:rsidR="0053743A">
        <w:t xml:space="preserve"> in a previous study </w:t>
      </w:r>
      <w:sdt>
        <w:sdtPr>
          <w:rPr>
            <w:color w:val="000000"/>
          </w:rPr>
          <w:tag w:val="MENDELEY_CITATION_v3_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"/>
          <w:id w:val="330647957"/>
          <w:placeholder>
            <w:docPart w:val="DefaultPlaceholder_-1854013440"/>
          </w:placeholder>
        </w:sdtPr>
        <w:sdtContent>
          <w:r w:rsidR="00874D81" w:rsidRPr="00874D81">
            <w:rPr>
              <w:color w:val="000000"/>
            </w:rPr>
            <w:t xml:space="preserve">(Iaiani et al., </w:t>
          </w:r>
          <w:r w:rsidR="00874D81" w:rsidRPr="00874D81">
            <w:rPr>
              <w:color w:val="000000"/>
            </w:rPr>
            <w:lastRenderedPageBreak/>
            <w:t>2023b)</w:t>
          </w:r>
        </w:sdtContent>
      </w:sdt>
      <w:r w:rsidR="005E0E32">
        <w:t>.</w:t>
      </w:r>
      <w:r w:rsidR="00197A6E">
        <w:t xml:space="preserve"> The methodology provides the </w:t>
      </w:r>
      <w:r w:rsidR="00B56E44">
        <w:t>sequence</w:t>
      </w:r>
      <w:r w:rsidR="00197A6E">
        <w:t xml:space="preserve"> o</w:t>
      </w:r>
      <w:r w:rsidR="00B56E44">
        <w:t xml:space="preserve">f manipulations </w:t>
      </w:r>
      <w:r w:rsidR="0068272D">
        <w:t>of BPCS and SIS components that can initiate process-related critical events such as major events</w:t>
      </w:r>
      <w:r w:rsidR="006B5805">
        <w:t xml:space="preserve"> or operation outages.</w:t>
      </w:r>
    </w:p>
    <w:p w14:paraId="2ECD7EA2" w14:textId="677EED5D" w:rsidR="00137BE3" w:rsidRDefault="00137BE3" w:rsidP="00F879FE">
      <w:pPr>
        <w:pStyle w:val="BOAAbstractBody"/>
        <w:rPr>
          <w:lang w:val="en-GB"/>
        </w:rPr>
      </w:pPr>
      <w:r w:rsidRPr="00137BE3">
        <w:rPr>
          <w:lang w:val="en-GB"/>
        </w:rPr>
        <w:t xml:space="preserve">The identified scenarios were individually simulated using the developed digital twin, and the resulting data—including pressure, temperature, level, and flow plots—were </w:t>
      </w:r>
      <w:r w:rsidR="00C04303" w:rsidRPr="00137BE3">
        <w:rPr>
          <w:lang w:val="en-GB"/>
        </w:rPr>
        <w:t>analysed</w:t>
      </w:r>
      <w:r w:rsidRPr="00137BE3">
        <w:rPr>
          <w:lang w:val="en-GB"/>
        </w:rPr>
        <w:t xml:space="preserve"> to extract information relevant to quantitative risk assessment, such as response times and the capability of the installed pressure safety valves in managing the pressurization induced by the scenario</w:t>
      </w:r>
      <w:r>
        <w:rPr>
          <w:lang w:val="en-GB"/>
        </w:rPr>
        <w:t>.</w:t>
      </w:r>
    </w:p>
    <w:p w14:paraId="01FCBBA4" w14:textId="2D33C97F" w:rsidR="005C1A57" w:rsidRPr="00591C6C" w:rsidRDefault="005C1A57" w:rsidP="00F879FE">
      <w:pPr>
        <w:pStyle w:val="BOAHeading"/>
      </w:pPr>
      <w:r w:rsidRPr="00591C6C">
        <w:t xml:space="preserve">3. </w:t>
      </w:r>
      <w:r w:rsidR="009D7A14">
        <w:t>Case Study</w:t>
      </w:r>
    </w:p>
    <w:p w14:paraId="03BAA4AE" w14:textId="59B0FC76" w:rsidR="00D948AD" w:rsidRDefault="00D948AD" w:rsidP="00D948AD">
      <w:pPr>
        <w:pStyle w:val="BOAheadingx1"/>
        <w:numPr>
          <w:ilvl w:val="0"/>
          <w:numId w:val="0"/>
        </w:numPr>
      </w:pPr>
      <w:r>
        <w:t xml:space="preserve">3.1 </w:t>
      </w:r>
      <w:r w:rsidR="00130ADE">
        <w:t>Description</w:t>
      </w:r>
    </w:p>
    <w:p w14:paraId="3DCEAF15" w14:textId="044985AD" w:rsidR="005031D9" w:rsidRPr="00FD565B" w:rsidRDefault="005031D9" w:rsidP="003C7D73">
      <w:pPr>
        <w:pStyle w:val="BOAAbstractBody"/>
        <w:rPr>
          <w:lang w:val="en-GB"/>
        </w:rPr>
      </w:pPr>
      <w:r w:rsidRPr="005031D9">
        <w:rPr>
          <w:lang w:val="en-GB"/>
        </w:rPr>
        <w:t xml:space="preserve">Figure 2 </w:t>
      </w:r>
      <w:r w:rsidR="005306ED">
        <w:rPr>
          <w:lang w:val="en-GB"/>
        </w:rPr>
        <w:t>shows</w:t>
      </w:r>
      <w:r w:rsidRPr="005031D9">
        <w:rPr>
          <w:lang w:val="en-GB"/>
        </w:rPr>
        <w:t xml:space="preserve"> Process Flow Diagram (PFD) of the plant section </w:t>
      </w:r>
      <w:r w:rsidR="007964D6" w:rsidRPr="005031D9">
        <w:rPr>
          <w:lang w:val="en-GB"/>
        </w:rPr>
        <w:t>analysed</w:t>
      </w:r>
      <w:r w:rsidRPr="005031D9">
        <w:rPr>
          <w:lang w:val="en-GB"/>
        </w:rPr>
        <w:t xml:space="preserve"> in the case study. The section represents one of the parallel conditioning lines in a green hydrogen production plant utilizing</w:t>
      </w:r>
      <w:r w:rsidR="00B22C09">
        <w:rPr>
          <w:lang w:val="en-GB"/>
        </w:rPr>
        <w:t xml:space="preserve"> AEL</w:t>
      </w:r>
      <w:r w:rsidRPr="005031D9">
        <w:rPr>
          <w:lang w:val="en-GB"/>
        </w:rPr>
        <w:t xml:space="preserve"> </w:t>
      </w:r>
      <w:r w:rsidR="002A7892" w:rsidRPr="005031D9">
        <w:rPr>
          <w:lang w:val="en-GB"/>
        </w:rPr>
        <w:t>electrolysers</w:t>
      </w:r>
      <w:r w:rsidRPr="005031D9">
        <w:rPr>
          <w:lang w:val="en-GB"/>
        </w:rPr>
        <w:t>. Specifically, the produced hydrogen is first dehydrated in V</w:t>
      </w:r>
      <w:r w:rsidR="002A7892">
        <w:rPr>
          <w:lang w:val="en-GB"/>
        </w:rPr>
        <w:t>-100</w:t>
      </w:r>
      <w:r w:rsidRPr="005031D9">
        <w:rPr>
          <w:lang w:val="en-GB"/>
        </w:rPr>
        <w:t xml:space="preserve"> after being cooled </w:t>
      </w:r>
      <w:r w:rsidRPr="008D3B46">
        <w:rPr>
          <w:lang w:val="en-GB"/>
        </w:rPr>
        <w:t xml:space="preserve">in </w:t>
      </w:r>
      <w:r w:rsidR="008D3B46" w:rsidRPr="008D3B46">
        <w:rPr>
          <w:lang w:val="en-GB"/>
        </w:rPr>
        <w:t>H</w:t>
      </w:r>
      <w:r w:rsidRPr="008D3B46">
        <w:rPr>
          <w:lang w:val="en-GB"/>
        </w:rPr>
        <w:t>E</w:t>
      </w:r>
      <w:r w:rsidR="008D3B46" w:rsidRPr="008D3B46">
        <w:rPr>
          <w:lang w:val="en-GB"/>
        </w:rPr>
        <w:t>-100</w:t>
      </w:r>
      <w:r w:rsidRPr="008D3B46">
        <w:rPr>
          <w:lang w:val="en-GB"/>
        </w:rPr>
        <w:t>,</w:t>
      </w:r>
      <w:r w:rsidRPr="005031D9">
        <w:rPr>
          <w:lang w:val="en-GB"/>
        </w:rPr>
        <w:t xml:space="preserve"> where water condenses. Subsequently, the small amount of oxygen present in the stream is converted into water within the deoxidizer (</w:t>
      </w:r>
      <w:r w:rsidR="00E65885">
        <w:rPr>
          <w:lang w:val="en-GB"/>
        </w:rPr>
        <w:t>C</w:t>
      </w:r>
      <w:r w:rsidRPr="005031D9">
        <w:rPr>
          <w:lang w:val="en-GB"/>
        </w:rPr>
        <w:t>R</w:t>
      </w:r>
      <w:r w:rsidR="00E65885">
        <w:rPr>
          <w:lang w:val="en-GB"/>
        </w:rPr>
        <w:t>V-</w:t>
      </w:r>
      <w:r w:rsidR="007964D6">
        <w:rPr>
          <w:lang w:val="en-GB"/>
        </w:rPr>
        <w:t>100</w:t>
      </w:r>
      <w:r w:rsidRPr="005031D9">
        <w:rPr>
          <w:lang w:val="en-GB"/>
        </w:rPr>
        <w:t>). This water is then separated in V</w:t>
      </w:r>
      <w:r w:rsidR="007964D6">
        <w:rPr>
          <w:lang w:val="en-GB"/>
        </w:rPr>
        <w:t>-101</w:t>
      </w:r>
      <w:r w:rsidRPr="005031D9">
        <w:rPr>
          <w:lang w:val="en-GB"/>
        </w:rPr>
        <w:t>, and the hydrogen is compressed to meet transport specifications.</w:t>
      </w:r>
    </w:p>
    <w:p w14:paraId="50229E88" w14:textId="5089BEAC" w:rsidR="009A0173" w:rsidRPr="009A0173" w:rsidRDefault="00D61211" w:rsidP="009A0173">
      <w:pPr>
        <w:pStyle w:val="BOAAbstractBody"/>
      </w:pPr>
      <w:r>
        <w:rPr>
          <w:noProof/>
        </w:rPr>
        <w:drawing>
          <wp:inline distT="0" distB="0" distL="0" distR="0" wp14:anchorId="57770CD7" wp14:editId="4F64AE6A">
            <wp:extent cx="5569585" cy="2438400"/>
            <wp:effectExtent l="0" t="0" r="0" b="0"/>
            <wp:docPr id="52722671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9585" cy="2438400"/>
                    </a:xfrm>
                    <a:prstGeom prst="rect">
                      <a:avLst/>
                    </a:prstGeom>
                    <a:noFill/>
                    <a:ln>
                      <a:noFill/>
                    </a:ln>
                  </pic:spPr>
                </pic:pic>
              </a:graphicData>
            </a:graphic>
          </wp:inline>
        </w:drawing>
      </w:r>
    </w:p>
    <w:p w14:paraId="77E012A2" w14:textId="6906E1D9" w:rsidR="00C45A2B" w:rsidRPr="00F879FE" w:rsidRDefault="00C45A2B" w:rsidP="00FD737A">
      <w:pPr>
        <w:pStyle w:val="BOACaption"/>
      </w:pPr>
      <w:r w:rsidRPr="00F879FE">
        <w:t xml:space="preserve">Figure </w:t>
      </w:r>
      <w:r w:rsidR="009A0173">
        <w:t>2</w:t>
      </w:r>
      <w:r w:rsidRPr="00F879FE">
        <w:rPr>
          <w:lang w:eastAsia="ko-KR"/>
        </w:rPr>
        <w:t>.</w:t>
      </w:r>
      <w:r w:rsidRPr="00F879FE">
        <w:t xml:space="preserve"> </w:t>
      </w:r>
      <w:r w:rsidR="009A0173">
        <w:t>Process Flow Diagram (PFD) of the section analysed</w:t>
      </w:r>
      <w:r w:rsidR="001F0EEE">
        <w:t xml:space="preserve"> (green H</w:t>
      </w:r>
      <w:r w:rsidR="001F0EEE" w:rsidRPr="001F0EEE">
        <w:rPr>
          <w:vertAlign w:val="subscript"/>
        </w:rPr>
        <w:t>2</w:t>
      </w:r>
      <w:r w:rsidR="001F0EEE">
        <w:t xml:space="preserve"> conditioning)</w:t>
      </w:r>
    </w:p>
    <w:p w14:paraId="669D145E" w14:textId="3C4A50C4" w:rsidR="00D948AD" w:rsidRDefault="00D948AD" w:rsidP="00D948AD">
      <w:pPr>
        <w:pStyle w:val="BOAheadingx1"/>
        <w:numPr>
          <w:ilvl w:val="0"/>
          <w:numId w:val="0"/>
        </w:numPr>
      </w:pPr>
      <w:r>
        <w:t xml:space="preserve">3.2 </w:t>
      </w:r>
      <w:r w:rsidR="00293CED">
        <w:t>Results and discussion</w:t>
      </w:r>
    </w:p>
    <w:p w14:paraId="761ACF37" w14:textId="77777777" w:rsidR="00CD42DE" w:rsidRPr="00CD42DE" w:rsidRDefault="00CD42DE" w:rsidP="00CD42DE">
      <w:pPr>
        <w:pStyle w:val="BOAAbstractBody"/>
      </w:pPr>
      <w:r w:rsidRPr="00CD42DE">
        <w:t>The digital twin corresponding to the plant section depicted in Figure 2 was developed using Aspen HYSYS in dynamic mode. This process involved designing all equipment and valves, as well as implementing the necessary control loops.</w:t>
      </w:r>
    </w:p>
    <w:p w14:paraId="0CC31414" w14:textId="0FD6F827" w:rsidR="0025365C" w:rsidRDefault="00CD42DE" w:rsidP="005031D9">
      <w:pPr>
        <w:pStyle w:val="BOAAbstractBody"/>
        <w:rPr>
          <w:lang w:val="en-GB"/>
        </w:rPr>
      </w:pPr>
      <w:r w:rsidRPr="00CD42DE">
        <w:t xml:space="preserve">POROS 2.0 was subsequently </w:t>
      </w:r>
      <w:r>
        <w:t>applied</w:t>
      </w:r>
      <w:r w:rsidRPr="00CD42DE">
        <w:t xml:space="preserve"> to identify relevant cybersecurity scenarios. For the sake of brevity, the results are presented for a single scenario: the simultaneous opening of the bypass stream between the conditioning line under assessment and the adjacent line (via manipulation of the BPCS controller managing valve </w:t>
      </w:r>
      <w:r w:rsidR="008D3B46">
        <w:t>VLV-102</w:t>
      </w:r>
      <w:r w:rsidRPr="00CD42DE">
        <w:t xml:space="preserve">) and the closure of the gas outlet stream </w:t>
      </w:r>
      <w:r w:rsidRPr="007964D6">
        <w:t>from V</w:t>
      </w:r>
      <w:r w:rsidR="007964D6" w:rsidRPr="007964D6">
        <w:t>-100</w:t>
      </w:r>
      <w:r w:rsidRPr="00CD42DE">
        <w:t xml:space="preserve"> (via manipulation of the pressure controller managing </w:t>
      </w:r>
      <w:r w:rsidR="00021F7C">
        <w:t>VLV-10</w:t>
      </w:r>
      <w:r w:rsidR="00620B4E">
        <w:t>0</w:t>
      </w:r>
      <w:r w:rsidRPr="00CD42DE">
        <w:t xml:space="preserve">). This scenario is designed to over-pressurize the dryer </w:t>
      </w:r>
      <w:r w:rsidRPr="00AB1566">
        <w:t>V</w:t>
      </w:r>
      <w:r w:rsidR="00AB1566" w:rsidRPr="00AB1566">
        <w:t>-100</w:t>
      </w:r>
      <w:r w:rsidRPr="00CD42DE">
        <w:t>, potentially causing a breach and the subsequent release of hydrogen</w:t>
      </w:r>
      <w:r w:rsidR="00F32D16">
        <w:t xml:space="preserve"> (highly flammable gas)</w:t>
      </w:r>
      <w:r w:rsidRPr="00CD42DE">
        <w:t>.</w:t>
      </w:r>
      <w:r w:rsidR="00DB753D">
        <w:t xml:space="preserve"> </w:t>
      </w:r>
      <w:r w:rsidR="007A7B6D" w:rsidRPr="007A7B6D">
        <w:rPr>
          <w:lang w:val="en-GB"/>
        </w:rPr>
        <w:t xml:space="preserve">It was then simulated using the digital twin to assess the adequacy of the PSV installed on </w:t>
      </w:r>
      <w:r w:rsidR="00F2372A" w:rsidRPr="007964D6">
        <w:t>V-100</w:t>
      </w:r>
      <w:r w:rsidR="007A7B6D" w:rsidRPr="007A7B6D">
        <w:rPr>
          <w:lang w:val="en-GB"/>
        </w:rPr>
        <w:t>, which was designed for a closed outlet configuration, and to evaluate the system’s response time.</w:t>
      </w:r>
      <w:r w:rsidR="007A7B6D">
        <w:rPr>
          <w:lang w:val="en-GB"/>
        </w:rPr>
        <w:t xml:space="preserve"> </w:t>
      </w:r>
    </w:p>
    <w:p w14:paraId="4F5E2FC2" w14:textId="41090C1A" w:rsidR="00B9740D" w:rsidRDefault="0025365C" w:rsidP="005031D9">
      <w:pPr>
        <w:pStyle w:val="BOAAbstractBody"/>
        <w:rPr>
          <w:lang w:val="en-GB"/>
        </w:rPr>
      </w:pPr>
      <w:r w:rsidRPr="0025365C">
        <w:rPr>
          <w:lang w:val="en-GB"/>
        </w:rPr>
        <w:t xml:space="preserve">Figure 3 illustrates the pressure response within the separator V-100 under the simulated </w:t>
      </w:r>
      <w:r>
        <w:rPr>
          <w:lang w:val="en-GB"/>
        </w:rPr>
        <w:t xml:space="preserve">cybersecurity </w:t>
      </w:r>
      <w:r w:rsidRPr="0025365C">
        <w:rPr>
          <w:lang w:val="en-GB"/>
        </w:rPr>
        <w:t xml:space="preserve">scenario. The pressure exceeds the Maximum Allowable Accumulated </w:t>
      </w:r>
      <w:r w:rsidRPr="0025365C">
        <w:rPr>
          <w:lang w:val="en-GB"/>
        </w:rPr>
        <w:lastRenderedPageBreak/>
        <w:t xml:space="preserve">Pressure </w:t>
      </w:r>
      <w:r w:rsidR="00687317">
        <w:rPr>
          <w:lang w:val="en-GB"/>
        </w:rPr>
        <w:t>(</w:t>
      </w:r>
      <w:r w:rsidRPr="0025365C">
        <w:rPr>
          <w:lang w:val="en-GB"/>
        </w:rPr>
        <w:t>3</w:t>
      </w:r>
      <w:r w:rsidR="00981E99">
        <w:rPr>
          <w:lang w:val="en-GB"/>
        </w:rPr>
        <w:t>5</w:t>
      </w:r>
      <w:r w:rsidRPr="0025365C">
        <w:rPr>
          <w:lang w:val="en-GB"/>
        </w:rPr>
        <w:t xml:space="preserve"> bar</w:t>
      </w:r>
      <w:r w:rsidR="00687317">
        <w:rPr>
          <w:lang w:val="en-GB"/>
        </w:rPr>
        <w:t>)</w:t>
      </w:r>
      <w:r w:rsidRPr="0025365C">
        <w:rPr>
          <w:lang w:val="en-GB"/>
        </w:rPr>
        <w:t xml:space="preserve">, reaching a peak of </w:t>
      </w:r>
      <w:r w:rsidR="00981E99">
        <w:rPr>
          <w:lang w:val="en-GB"/>
        </w:rPr>
        <w:t>40</w:t>
      </w:r>
      <w:r w:rsidRPr="0025365C">
        <w:rPr>
          <w:lang w:val="en-GB"/>
        </w:rPr>
        <w:t xml:space="preserve"> bar</w:t>
      </w:r>
      <w:r w:rsidR="00687317">
        <w:rPr>
          <w:lang w:val="en-GB"/>
        </w:rPr>
        <w:t xml:space="preserve"> (black curve)</w:t>
      </w:r>
      <w:r w:rsidR="003B417E">
        <w:rPr>
          <w:lang w:val="en-GB"/>
        </w:rPr>
        <w:t xml:space="preserve"> after </w:t>
      </w:r>
      <w:r w:rsidR="00981E99">
        <w:rPr>
          <w:lang w:val="en-GB"/>
        </w:rPr>
        <w:t>17</w:t>
      </w:r>
      <w:r w:rsidR="003B417E">
        <w:rPr>
          <w:lang w:val="en-GB"/>
        </w:rPr>
        <w:t xml:space="preserve"> s</w:t>
      </w:r>
      <w:r w:rsidR="00DA2DD9">
        <w:rPr>
          <w:lang w:val="en-GB"/>
        </w:rPr>
        <w:t xml:space="preserve"> </w:t>
      </w:r>
      <w:r w:rsidR="003B417E">
        <w:rPr>
          <w:lang w:val="en-GB"/>
        </w:rPr>
        <w:t>after</w:t>
      </w:r>
      <w:r w:rsidR="00981E99">
        <w:rPr>
          <w:lang w:val="en-GB"/>
        </w:rPr>
        <w:t xml:space="preserve"> </w:t>
      </w:r>
      <w:r w:rsidR="00981E99" w:rsidRPr="005306ED">
        <w:rPr>
          <w:lang w:val="en-GB"/>
        </w:rPr>
        <w:t xml:space="preserve">the </w:t>
      </w:r>
      <w:r w:rsidR="003B417E">
        <w:rPr>
          <w:lang w:val="en-GB"/>
        </w:rPr>
        <w:t>second manipulation</w:t>
      </w:r>
      <w:r w:rsidR="00DA2DD9">
        <w:rPr>
          <w:lang w:val="en-GB"/>
        </w:rPr>
        <w:t xml:space="preserve"> (pressurization time to be used in QCRA)</w:t>
      </w:r>
      <w:r w:rsidRPr="0025365C">
        <w:rPr>
          <w:lang w:val="en-GB"/>
        </w:rPr>
        <w:t xml:space="preserve">. This </w:t>
      </w:r>
      <w:r w:rsidR="00981E99" w:rsidRPr="005306ED">
        <w:rPr>
          <w:lang w:val="en-GB"/>
        </w:rPr>
        <w:t>highlights</w:t>
      </w:r>
      <w:r w:rsidR="00954509">
        <w:rPr>
          <w:lang w:val="en-GB"/>
        </w:rPr>
        <w:t xml:space="preserve"> </w:t>
      </w:r>
      <w:r w:rsidRPr="0025365C">
        <w:rPr>
          <w:lang w:val="en-GB"/>
        </w:rPr>
        <w:t xml:space="preserve">that the PSV </w:t>
      </w:r>
      <w:r w:rsidR="00293C1E" w:rsidRPr="0025365C">
        <w:rPr>
          <w:lang w:val="en-GB"/>
        </w:rPr>
        <w:t xml:space="preserve">installed </w:t>
      </w:r>
      <w:r w:rsidRPr="0025365C">
        <w:rPr>
          <w:lang w:val="en-GB"/>
        </w:rPr>
        <w:t xml:space="preserve">on V-100, with an orifice area of 29 mm², is </w:t>
      </w:r>
      <w:r w:rsidR="00841E06" w:rsidRPr="00841E06">
        <w:rPr>
          <w:lang w:val="en-GB"/>
        </w:rPr>
        <w:t>unable to provide adequate relief for the overpressure</w:t>
      </w:r>
      <w:r w:rsidRPr="0025365C">
        <w:rPr>
          <w:lang w:val="en-GB"/>
        </w:rPr>
        <w:t xml:space="preserve"> induced by the described manipulation</w:t>
      </w:r>
      <w:r w:rsidR="007A7E4D">
        <w:rPr>
          <w:lang w:val="en-GB"/>
        </w:rPr>
        <w:t>s</w:t>
      </w:r>
      <w:r w:rsidRPr="0025365C">
        <w:rPr>
          <w:lang w:val="en-GB"/>
        </w:rPr>
        <w:t xml:space="preserve">. </w:t>
      </w:r>
      <w:r w:rsidR="007F1B01" w:rsidRPr="007F1B01">
        <w:rPr>
          <w:lang w:val="en-GB"/>
        </w:rPr>
        <w:t>As previously stated, this scenario is critical, as the excessive pressure could compromise the structural integrity of the separator and lead to a potential release of hydrogen, warranting consideration within cybersecurity risk assessmen</w:t>
      </w:r>
      <w:r w:rsidR="007F1B01">
        <w:rPr>
          <w:lang w:val="en-GB"/>
        </w:rPr>
        <w:t xml:space="preserve">t. </w:t>
      </w:r>
    </w:p>
    <w:p w14:paraId="08AEE2EF" w14:textId="6466DFF4" w:rsidR="00E25280" w:rsidRPr="005031D9" w:rsidRDefault="0025365C" w:rsidP="005031D9">
      <w:pPr>
        <w:pStyle w:val="BOAAbstractBody"/>
      </w:pPr>
      <w:r w:rsidRPr="0025365C">
        <w:rPr>
          <w:lang w:val="en-GB"/>
        </w:rPr>
        <w:t xml:space="preserve">To address this </w:t>
      </w:r>
      <w:r w:rsidR="0053161F">
        <w:rPr>
          <w:lang w:val="en-GB"/>
        </w:rPr>
        <w:t>criticality</w:t>
      </w:r>
      <w:r w:rsidRPr="0025365C">
        <w:rPr>
          <w:lang w:val="en-GB"/>
        </w:rPr>
        <w:t xml:space="preserve">, the installation of a </w:t>
      </w:r>
      <w:r w:rsidR="007000FF">
        <w:rPr>
          <w:lang w:val="en-GB"/>
        </w:rPr>
        <w:t>t</w:t>
      </w:r>
      <w:r w:rsidRPr="0025365C">
        <w:rPr>
          <w:lang w:val="en-GB"/>
        </w:rPr>
        <w:t>ype D PSV</w:t>
      </w:r>
      <w:r w:rsidR="006B663C">
        <w:rPr>
          <w:lang w:val="en-GB"/>
        </w:rPr>
        <w:t xml:space="preserve"> (orifice area of 70.</w:t>
      </w:r>
      <w:r w:rsidR="00E62CD6">
        <w:rPr>
          <w:lang w:val="en-GB"/>
        </w:rPr>
        <w:t>97 mm</w:t>
      </w:r>
      <w:r w:rsidR="00E62CD6" w:rsidRPr="00E62CD6">
        <w:rPr>
          <w:vertAlign w:val="superscript"/>
          <w:lang w:val="en-GB"/>
        </w:rPr>
        <w:t>2</w:t>
      </w:r>
      <w:r w:rsidR="00E62CD6">
        <w:rPr>
          <w:lang w:val="en-GB"/>
        </w:rPr>
        <w:t>)</w:t>
      </w:r>
      <w:r w:rsidRPr="0025365C">
        <w:rPr>
          <w:lang w:val="en-GB"/>
        </w:rPr>
        <w:t xml:space="preserve">, as specified in API </w:t>
      </w:r>
      <w:r w:rsidR="00413A75">
        <w:rPr>
          <w:lang w:val="en-GB"/>
        </w:rPr>
        <w:t xml:space="preserve">standard </w:t>
      </w:r>
      <w:r w:rsidRPr="0025365C">
        <w:rPr>
          <w:lang w:val="en-GB"/>
        </w:rPr>
        <w:t>526, is proposed to enhance the system's overpressure protection capabilities</w:t>
      </w:r>
      <w:r w:rsidR="000256F4">
        <w:rPr>
          <w:lang w:val="en-GB"/>
        </w:rPr>
        <w:t xml:space="preserve"> against this cybersecurity scenario.</w:t>
      </w:r>
    </w:p>
    <w:p w14:paraId="61EEEFCA" w14:textId="3942F08A" w:rsidR="001F0EEE" w:rsidRDefault="002D1FD1" w:rsidP="003C7D73">
      <w:pPr>
        <w:pStyle w:val="BOAAbstractBody"/>
        <w:jc w:val="center"/>
      </w:pPr>
      <w:r w:rsidRPr="002D1FD1">
        <w:rPr>
          <w:noProof/>
        </w:rPr>
        <w:drawing>
          <wp:inline distT="0" distB="0" distL="0" distR="0" wp14:anchorId="4E01FBA7" wp14:editId="1B9AD5C5">
            <wp:extent cx="5579745" cy="2452649"/>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9745" cy="2452649"/>
                    </a:xfrm>
                    <a:prstGeom prst="rect">
                      <a:avLst/>
                    </a:prstGeom>
                    <a:noFill/>
                    <a:ln>
                      <a:noFill/>
                    </a:ln>
                  </pic:spPr>
                </pic:pic>
              </a:graphicData>
            </a:graphic>
          </wp:inline>
        </w:drawing>
      </w:r>
    </w:p>
    <w:p w14:paraId="7860C058" w14:textId="7D88DDCC" w:rsidR="00722E38" w:rsidRPr="00F879FE" w:rsidRDefault="00722E38" w:rsidP="00FD737A">
      <w:pPr>
        <w:pStyle w:val="BOACaption"/>
      </w:pPr>
      <w:r w:rsidRPr="00F879FE">
        <w:t xml:space="preserve">Figure </w:t>
      </w:r>
      <w:r>
        <w:t>3</w:t>
      </w:r>
      <w:r w:rsidRPr="00F879FE">
        <w:rPr>
          <w:lang w:eastAsia="ko-KR"/>
        </w:rPr>
        <w:t>.</w:t>
      </w:r>
      <w:r w:rsidRPr="00F879FE">
        <w:t xml:space="preserve"> </w:t>
      </w:r>
      <w:r w:rsidR="009E18CB">
        <w:t xml:space="preserve">Pressure trend in dryer </w:t>
      </w:r>
      <w:r w:rsidR="009E18CB" w:rsidRPr="005B0DA4">
        <w:t>V</w:t>
      </w:r>
      <w:r w:rsidR="005B0DA4" w:rsidRPr="005B0DA4">
        <w:t>-</w:t>
      </w:r>
      <w:r w:rsidR="009E18CB" w:rsidRPr="005B0DA4">
        <w:t>1</w:t>
      </w:r>
      <w:r w:rsidR="005B0DA4" w:rsidRPr="005B0DA4">
        <w:t>00</w:t>
      </w:r>
      <w:r w:rsidR="001D7DEE">
        <w:t xml:space="preserve"> obtained with Aspen HYSYS simulation.</w:t>
      </w:r>
    </w:p>
    <w:p w14:paraId="311252DF" w14:textId="77777777" w:rsidR="005C1A57" w:rsidRPr="00591C6C" w:rsidRDefault="005C1A57" w:rsidP="00F879FE">
      <w:pPr>
        <w:pStyle w:val="BOAHeading"/>
        <w:rPr>
          <w:lang w:eastAsia="ko-KR"/>
        </w:rPr>
      </w:pPr>
      <w:r w:rsidRPr="00591C6C">
        <w:t>4. Conclusion</w:t>
      </w:r>
      <w:r w:rsidRPr="00591C6C">
        <w:rPr>
          <w:lang w:eastAsia="ko-KR"/>
        </w:rPr>
        <w:t>s</w:t>
      </w:r>
    </w:p>
    <w:p w14:paraId="2701F9A6" w14:textId="6BCE7795" w:rsidR="005C1A57" w:rsidRDefault="00C43F2F" w:rsidP="00F879FE">
      <w:pPr>
        <w:pStyle w:val="BOAAbstractBody"/>
        <w:rPr>
          <w:lang w:val="en-GB"/>
        </w:rPr>
      </w:pPr>
      <w:r w:rsidRPr="00C43F2F">
        <w:rPr>
          <w:rFonts w:eastAsia="MS PGothic"/>
          <w:lang w:val="en-GB"/>
        </w:rPr>
        <w:t>The present study investigates the role of digital twins in supporting quantitative cyber</w:t>
      </w:r>
      <w:r w:rsidR="00867114">
        <w:rPr>
          <w:rFonts w:eastAsia="MS PGothic"/>
          <w:lang w:val="en-GB"/>
        </w:rPr>
        <w:t>security</w:t>
      </w:r>
      <w:r w:rsidRPr="00C43F2F">
        <w:rPr>
          <w:rFonts w:eastAsia="MS PGothic"/>
          <w:lang w:val="en-GB"/>
        </w:rPr>
        <w:t xml:space="preserve"> risk assessment (QCRA). The dynamic Aspen HYSYS-based digital twin of the conditioning section of a green hydrogen production plant, considered as a case study, demonstrated the effectiveness of digital twins in checking the adequacy of passive safeguards (such as PSVs) in preventing or mitigating the cyber malicious interference with the BPCS and SIS and in evaluating the system’s response time, information required in QCRA.</w:t>
      </w:r>
      <w:r w:rsidR="00464124">
        <w:rPr>
          <w:rFonts w:eastAsia="MS PGothic"/>
          <w:lang w:val="en-GB"/>
        </w:rPr>
        <w:t xml:space="preserve"> </w:t>
      </w:r>
      <w:r w:rsidR="00464124" w:rsidRPr="00464124">
        <w:rPr>
          <w:rFonts w:eastAsia="MS PGothic"/>
          <w:lang w:val="en-GB"/>
        </w:rPr>
        <w:t xml:space="preserve">Future developments </w:t>
      </w:r>
      <w:r w:rsidR="00B20973">
        <w:rPr>
          <w:rFonts w:eastAsia="MS PGothic"/>
          <w:lang w:val="en-GB"/>
        </w:rPr>
        <w:t xml:space="preserve">will </w:t>
      </w:r>
      <w:r w:rsidR="00464124" w:rsidRPr="00464124">
        <w:rPr>
          <w:rFonts w:eastAsia="MS PGothic"/>
          <w:lang w:val="en-GB"/>
        </w:rPr>
        <w:t>explore the use of digital twins to simulate more complex scenarios</w:t>
      </w:r>
      <w:r w:rsidR="00245FC7">
        <w:rPr>
          <w:rFonts w:eastAsia="MS PGothic"/>
          <w:lang w:val="en-GB"/>
        </w:rPr>
        <w:t xml:space="preserve"> </w:t>
      </w:r>
      <w:r w:rsidR="003F62F8" w:rsidRPr="003F62F8">
        <w:rPr>
          <w:rFonts w:eastAsia="MS PGothic"/>
          <w:lang w:val="en-GB"/>
        </w:rPr>
        <w:t xml:space="preserve">and to assess whether the </w:t>
      </w:r>
      <w:r w:rsidR="003F62F8">
        <w:rPr>
          <w:rFonts w:eastAsia="MS PGothic"/>
          <w:lang w:val="en-GB"/>
        </w:rPr>
        <w:t>order</w:t>
      </w:r>
      <w:r w:rsidR="003F62F8" w:rsidRPr="003F62F8">
        <w:rPr>
          <w:rFonts w:eastAsia="MS PGothic"/>
          <w:lang w:val="en-GB"/>
        </w:rPr>
        <w:t xml:space="preserve"> of manipulations affects the extent of consequences</w:t>
      </w:r>
      <w:r w:rsidR="00552DD7">
        <w:rPr>
          <w:rFonts w:eastAsia="MS PGothic"/>
          <w:lang w:val="en-GB"/>
        </w:rPr>
        <w:t>.</w:t>
      </w:r>
    </w:p>
    <w:p w14:paraId="714DF323" w14:textId="77777777" w:rsidR="00E1280C" w:rsidRPr="00B57B36" w:rsidRDefault="00E1280C" w:rsidP="00E1280C">
      <w:pPr>
        <w:pStyle w:val="BOAReference"/>
      </w:pPr>
      <w:r w:rsidRPr="00B57B36">
        <w:t>Acknowledgments</w:t>
      </w:r>
    </w:p>
    <w:p w14:paraId="211A7778" w14:textId="77777777" w:rsidR="0052653C" w:rsidRPr="0084760D" w:rsidRDefault="0052653C" w:rsidP="0052653C">
      <w:pPr>
        <w:pStyle w:val="CETBodytext"/>
        <w:rPr>
          <w:lang w:val="en-GB"/>
        </w:rPr>
      </w:pPr>
      <w:r w:rsidRPr="001E55C0">
        <w:rPr>
          <w:bCs/>
        </w:rPr>
        <w:t xml:space="preserve">This work was supported by project SERICS (PE00000014) under the MUR National Recovery and Resilience Plan funded by the European Union – </w:t>
      </w:r>
      <w:proofErr w:type="spellStart"/>
      <w:r w:rsidRPr="001E55C0">
        <w:rPr>
          <w:bCs/>
        </w:rPr>
        <w:t>NextGenerationEU</w:t>
      </w:r>
      <w:proofErr w:type="spellEnd"/>
      <w:r>
        <w:rPr>
          <w:bCs/>
        </w:rPr>
        <w:t>.</w:t>
      </w:r>
    </w:p>
    <w:p w14:paraId="11D31778" w14:textId="77777777" w:rsidR="005C1A57" w:rsidRPr="004C2084" w:rsidRDefault="005C1A57" w:rsidP="00302C82">
      <w:pPr>
        <w:pStyle w:val="BOAReference"/>
        <w:rPr>
          <w:rFonts w:eastAsia="SimSun"/>
          <w:lang w:val="fr-FR" w:eastAsia="zh-CN"/>
        </w:rPr>
      </w:pPr>
      <w:proofErr w:type="spellStart"/>
      <w:r w:rsidRPr="004C2084">
        <w:rPr>
          <w:rFonts w:eastAsia="MS PGothic"/>
          <w:lang w:val="fr-FR"/>
        </w:rPr>
        <w:t>References</w:t>
      </w:r>
      <w:proofErr w:type="spellEnd"/>
      <w:r w:rsidRPr="004C2084">
        <w:rPr>
          <w:rFonts w:eastAsia="MS PGothic"/>
          <w:lang w:val="fr-FR"/>
        </w:rPr>
        <w:t xml:space="preserve"> </w:t>
      </w:r>
    </w:p>
    <w:p w14:paraId="57D83B01" w14:textId="77777777" w:rsidR="008E049A" w:rsidRPr="008E049A" w:rsidRDefault="008E049A" w:rsidP="008E049A">
      <w:pPr>
        <w:pStyle w:val="BOAReference-text"/>
        <w:rPr>
          <w:lang w:val="fr-FR"/>
        </w:rPr>
      </w:pPr>
      <w:r w:rsidRPr="008E049A">
        <w:rPr>
          <w:lang w:val="fr-FR"/>
        </w:rPr>
        <w:t xml:space="preserve">Center for Chemical Process </w:t>
      </w:r>
      <w:proofErr w:type="spellStart"/>
      <w:r w:rsidRPr="008E049A">
        <w:rPr>
          <w:lang w:val="fr-FR"/>
        </w:rPr>
        <w:t>Safety</w:t>
      </w:r>
      <w:proofErr w:type="spellEnd"/>
      <w:r w:rsidRPr="008E049A">
        <w:rPr>
          <w:lang w:val="fr-FR"/>
        </w:rPr>
        <w:t xml:space="preserve"> (CCPS), 2022. </w:t>
      </w:r>
      <w:proofErr w:type="spellStart"/>
      <w:r w:rsidRPr="008E049A">
        <w:rPr>
          <w:lang w:val="fr-FR"/>
        </w:rPr>
        <w:t>Managing</w:t>
      </w:r>
      <w:proofErr w:type="spellEnd"/>
      <w:r w:rsidRPr="008E049A">
        <w:rPr>
          <w:lang w:val="fr-FR"/>
        </w:rPr>
        <w:t xml:space="preserve"> </w:t>
      </w:r>
      <w:proofErr w:type="spellStart"/>
      <w:r w:rsidRPr="008E049A">
        <w:rPr>
          <w:lang w:val="fr-FR"/>
        </w:rPr>
        <w:t>Cybersecurity</w:t>
      </w:r>
      <w:proofErr w:type="spellEnd"/>
      <w:r w:rsidRPr="008E049A">
        <w:rPr>
          <w:lang w:val="fr-FR"/>
        </w:rPr>
        <w:t xml:space="preserve"> in the Process Industries - A Risk-</w:t>
      </w:r>
      <w:proofErr w:type="spellStart"/>
      <w:r w:rsidRPr="008E049A">
        <w:rPr>
          <w:lang w:val="fr-FR"/>
        </w:rPr>
        <w:t>based</w:t>
      </w:r>
      <w:proofErr w:type="spellEnd"/>
      <w:r w:rsidRPr="008E049A">
        <w:rPr>
          <w:lang w:val="fr-FR"/>
        </w:rPr>
        <w:t xml:space="preserve"> </w:t>
      </w:r>
      <w:proofErr w:type="spellStart"/>
      <w:r w:rsidRPr="008E049A">
        <w:rPr>
          <w:lang w:val="fr-FR"/>
        </w:rPr>
        <w:t>Approach</w:t>
      </w:r>
      <w:proofErr w:type="spellEnd"/>
      <w:r w:rsidRPr="008E049A">
        <w:rPr>
          <w:lang w:val="fr-FR"/>
        </w:rPr>
        <w:t xml:space="preserve">. </w:t>
      </w:r>
      <w:proofErr w:type="spellStart"/>
      <w:r w:rsidRPr="008E049A">
        <w:rPr>
          <w:lang w:val="fr-FR"/>
        </w:rPr>
        <w:t>Wiley</w:t>
      </w:r>
      <w:proofErr w:type="spellEnd"/>
      <w:r w:rsidRPr="008E049A">
        <w:rPr>
          <w:lang w:val="fr-FR"/>
        </w:rPr>
        <w:t>.</w:t>
      </w:r>
    </w:p>
    <w:p w14:paraId="1D5C8A7B" w14:textId="77777777" w:rsidR="008E049A" w:rsidRPr="008E049A" w:rsidRDefault="008E049A" w:rsidP="008E049A">
      <w:pPr>
        <w:pStyle w:val="BOAReference-text"/>
        <w:rPr>
          <w:lang w:val="fr-FR"/>
        </w:rPr>
      </w:pPr>
      <w:r w:rsidRPr="00CE6497">
        <w:rPr>
          <w:lang w:val="it-IT"/>
        </w:rPr>
        <w:t xml:space="preserve">Iaiani, M., Tugnoli, A., &amp; Cozzani, V., 2023a. </w:t>
      </w:r>
      <w:r w:rsidRPr="008E049A">
        <w:rPr>
          <w:lang w:val="fr-FR"/>
        </w:rPr>
        <w:t>Identification of cyber-</w:t>
      </w:r>
      <w:proofErr w:type="spellStart"/>
      <w:r w:rsidRPr="008E049A">
        <w:rPr>
          <w:lang w:val="fr-FR"/>
        </w:rPr>
        <w:t>risks</w:t>
      </w:r>
      <w:proofErr w:type="spellEnd"/>
      <w:r w:rsidRPr="008E049A">
        <w:rPr>
          <w:lang w:val="fr-FR"/>
        </w:rPr>
        <w:t xml:space="preserve"> for the control and </w:t>
      </w:r>
      <w:proofErr w:type="spellStart"/>
      <w:r w:rsidRPr="008E049A">
        <w:rPr>
          <w:lang w:val="fr-FR"/>
        </w:rPr>
        <w:t>safety</w:t>
      </w:r>
      <w:proofErr w:type="spellEnd"/>
      <w:r w:rsidRPr="008E049A">
        <w:rPr>
          <w:lang w:val="fr-FR"/>
        </w:rPr>
        <w:t xml:space="preserve"> </w:t>
      </w:r>
      <w:proofErr w:type="spellStart"/>
      <w:r w:rsidRPr="008E049A">
        <w:rPr>
          <w:lang w:val="fr-FR"/>
        </w:rPr>
        <w:t>instrumented</w:t>
      </w:r>
      <w:proofErr w:type="spellEnd"/>
      <w:r w:rsidRPr="008E049A">
        <w:rPr>
          <w:lang w:val="fr-FR"/>
        </w:rPr>
        <w:t xml:space="preserve"> </w:t>
      </w:r>
      <w:proofErr w:type="spellStart"/>
      <w:r w:rsidRPr="008E049A">
        <w:rPr>
          <w:lang w:val="fr-FR"/>
        </w:rPr>
        <w:t>systems</w:t>
      </w:r>
      <w:proofErr w:type="spellEnd"/>
      <w:r w:rsidRPr="008E049A">
        <w:rPr>
          <w:lang w:val="fr-FR"/>
        </w:rPr>
        <w:t xml:space="preserve">: </w:t>
      </w:r>
      <w:proofErr w:type="spellStart"/>
      <w:r w:rsidRPr="008E049A">
        <w:rPr>
          <w:lang w:val="fr-FR"/>
        </w:rPr>
        <w:t>a</w:t>
      </w:r>
      <w:proofErr w:type="spellEnd"/>
      <w:r w:rsidRPr="008E049A">
        <w:rPr>
          <w:lang w:val="fr-FR"/>
        </w:rPr>
        <w:t xml:space="preserve"> </w:t>
      </w:r>
      <w:proofErr w:type="spellStart"/>
      <w:r w:rsidRPr="008E049A">
        <w:rPr>
          <w:lang w:val="fr-FR"/>
        </w:rPr>
        <w:t>synergic</w:t>
      </w:r>
      <w:proofErr w:type="spellEnd"/>
      <w:r w:rsidRPr="008E049A">
        <w:rPr>
          <w:lang w:val="fr-FR"/>
        </w:rPr>
        <w:t xml:space="preserve"> </w:t>
      </w:r>
      <w:proofErr w:type="spellStart"/>
      <w:r w:rsidRPr="008E049A">
        <w:rPr>
          <w:lang w:val="fr-FR"/>
        </w:rPr>
        <w:t>framework</w:t>
      </w:r>
      <w:proofErr w:type="spellEnd"/>
      <w:r w:rsidRPr="008E049A">
        <w:rPr>
          <w:lang w:val="fr-FR"/>
        </w:rPr>
        <w:t xml:space="preserve"> for the process </w:t>
      </w:r>
      <w:proofErr w:type="spellStart"/>
      <w:r w:rsidRPr="008E049A">
        <w:rPr>
          <w:lang w:val="fr-FR"/>
        </w:rPr>
        <w:t>industry</w:t>
      </w:r>
      <w:proofErr w:type="spellEnd"/>
      <w:r w:rsidRPr="008E049A">
        <w:rPr>
          <w:lang w:val="fr-FR"/>
        </w:rPr>
        <w:t xml:space="preserve">. Proc </w:t>
      </w:r>
      <w:proofErr w:type="spellStart"/>
      <w:r w:rsidRPr="008E049A">
        <w:rPr>
          <w:lang w:val="fr-FR"/>
        </w:rPr>
        <w:t>Saf</w:t>
      </w:r>
      <w:proofErr w:type="spellEnd"/>
      <w:r w:rsidRPr="008E049A">
        <w:rPr>
          <w:lang w:val="fr-FR"/>
        </w:rPr>
        <w:t xml:space="preserve"> </w:t>
      </w:r>
      <w:proofErr w:type="spellStart"/>
      <w:r w:rsidRPr="008E049A">
        <w:rPr>
          <w:lang w:val="fr-FR"/>
        </w:rPr>
        <w:t>Env</w:t>
      </w:r>
      <w:proofErr w:type="spellEnd"/>
      <w:r w:rsidRPr="008E049A">
        <w:rPr>
          <w:lang w:val="fr-FR"/>
        </w:rPr>
        <w:t xml:space="preserve"> Prot. 172, 69–82. https://doi.org/10.1016/j.psep.2023.01.078</w:t>
      </w:r>
    </w:p>
    <w:p w14:paraId="0C5C820E" w14:textId="5FBF4CB3" w:rsidR="009047CF" w:rsidRPr="00DA2DD9" w:rsidRDefault="008E049A" w:rsidP="00DA2DD9">
      <w:pPr>
        <w:pStyle w:val="BOAReference-text"/>
        <w:rPr>
          <w:lang w:val="fr-FR"/>
        </w:rPr>
      </w:pPr>
      <w:r w:rsidRPr="008E049A">
        <w:rPr>
          <w:lang w:val="fr-FR"/>
        </w:rPr>
        <w:t xml:space="preserve">Iaiani, M., Tugnoli, A., &amp; Cozzani, V., 2023b. Process </w:t>
      </w:r>
      <w:proofErr w:type="spellStart"/>
      <w:r w:rsidRPr="008E049A">
        <w:rPr>
          <w:lang w:val="fr-FR"/>
        </w:rPr>
        <w:t>hazard</w:t>
      </w:r>
      <w:proofErr w:type="spellEnd"/>
      <w:r w:rsidRPr="008E049A">
        <w:rPr>
          <w:lang w:val="fr-FR"/>
        </w:rPr>
        <w:t xml:space="preserve"> and </w:t>
      </w:r>
      <w:proofErr w:type="spellStart"/>
      <w:r w:rsidRPr="008E049A">
        <w:rPr>
          <w:lang w:val="fr-FR"/>
        </w:rPr>
        <w:t>operability</w:t>
      </w:r>
      <w:proofErr w:type="spellEnd"/>
      <w:r w:rsidRPr="008E049A">
        <w:rPr>
          <w:lang w:val="fr-FR"/>
        </w:rPr>
        <w:t xml:space="preserve"> </w:t>
      </w:r>
      <w:proofErr w:type="spellStart"/>
      <w:r w:rsidRPr="008E049A">
        <w:rPr>
          <w:lang w:val="fr-FR"/>
        </w:rPr>
        <w:t>analysis</w:t>
      </w:r>
      <w:proofErr w:type="spellEnd"/>
      <w:r w:rsidRPr="008E049A">
        <w:rPr>
          <w:lang w:val="fr-FR"/>
        </w:rPr>
        <w:t xml:space="preserve"> of BPCS and SIS </w:t>
      </w:r>
      <w:proofErr w:type="spellStart"/>
      <w:r w:rsidRPr="008E049A">
        <w:rPr>
          <w:lang w:val="fr-FR"/>
        </w:rPr>
        <w:t>malicious</w:t>
      </w:r>
      <w:proofErr w:type="spellEnd"/>
      <w:r w:rsidRPr="008E049A">
        <w:rPr>
          <w:lang w:val="fr-FR"/>
        </w:rPr>
        <w:t xml:space="preserve"> manipulations by POROS 2.0. Proc </w:t>
      </w:r>
      <w:proofErr w:type="spellStart"/>
      <w:r w:rsidRPr="008E049A">
        <w:rPr>
          <w:lang w:val="fr-FR"/>
        </w:rPr>
        <w:t>Saf</w:t>
      </w:r>
      <w:proofErr w:type="spellEnd"/>
      <w:r w:rsidRPr="008E049A">
        <w:rPr>
          <w:lang w:val="fr-FR"/>
        </w:rPr>
        <w:t xml:space="preserve"> </w:t>
      </w:r>
      <w:proofErr w:type="spellStart"/>
      <w:r w:rsidRPr="008E049A">
        <w:rPr>
          <w:lang w:val="fr-FR"/>
        </w:rPr>
        <w:t>Env</w:t>
      </w:r>
      <w:proofErr w:type="spellEnd"/>
      <w:r w:rsidRPr="008E049A">
        <w:rPr>
          <w:lang w:val="fr-FR"/>
        </w:rPr>
        <w:t xml:space="preserve"> Prot. 176, 226–237. https://doi.org/10.1016/j.psep.2023.06.024</w:t>
      </w:r>
    </w:p>
    <w:sectPr w:rsidR="009047CF" w:rsidRPr="00DA2DD9" w:rsidSect="00F879FE">
      <w:headerReference w:type="default" r:id="rId11"/>
      <w:headerReference w:type="first" r:id="rId12"/>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731DD" w14:textId="77777777" w:rsidR="004E386B" w:rsidRDefault="004E386B" w:rsidP="004F5E36">
      <w:r>
        <w:separator/>
      </w:r>
    </w:p>
  </w:endnote>
  <w:endnote w:type="continuationSeparator" w:id="0">
    <w:p w14:paraId="0D9E8289" w14:textId="77777777" w:rsidR="004E386B" w:rsidRDefault="004E386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683B1" w14:textId="77777777" w:rsidR="004E386B" w:rsidRDefault="004E386B" w:rsidP="004F5E36">
      <w:r>
        <w:separator/>
      </w:r>
    </w:p>
  </w:footnote>
  <w:footnote w:type="continuationSeparator" w:id="0">
    <w:p w14:paraId="7C935A69" w14:textId="77777777" w:rsidR="004E386B" w:rsidRDefault="004E386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E1280C" w:rsidRDefault="00426BD4" w:rsidP="00E1280C">
    <w:pPr>
      <w:pStyle w:val="Titolo1"/>
      <w:pBdr>
        <w:bottom w:val="single" w:sz="4" w:space="1" w:color="auto"/>
      </w:pBdr>
      <w:spacing w:after="480"/>
      <w:jc w:val="center"/>
      <w:rPr>
        <w:color w:val="808080" w:themeColor="background1" w:themeShade="80"/>
      </w:rPr>
    </w:pPr>
    <w:r w:rsidRPr="00E1280C">
      <w:rPr>
        <w:color w:val="808080" w:themeColor="background1" w:themeShade="80"/>
      </w:rPr>
      <w:t>LOSS PREVENTION 2025</w:t>
    </w:r>
    <w:r w:rsidR="009047CF" w:rsidRPr="00E1280C">
      <w:rPr>
        <w:color w:val="808080" w:themeColor="background1" w:themeShade="80"/>
      </w:rPr>
      <w:t xml:space="preserve">, </w:t>
    </w:r>
    <w:r w:rsidRPr="00E1280C">
      <w:rPr>
        <w:i/>
        <w:iCs/>
        <w:color w:val="808080" w:themeColor="background1" w:themeShade="80"/>
      </w:rPr>
      <w:t>Bologna</w:t>
    </w:r>
    <w:r w:rsidR="009047CF" w:rsidRPr="00E1280C">
      <w:rPr>
        <w:i/>
        <w:iCs/>
        <w:color w:val="808080" w:themeColor="background1" w:themeShade="80"/>
      </w:rPr>
      <w:t xml:space="preserve"> (Italy)</w:t>
    </w:r>
    <w:r w:rsidRPr="00E1280C">
      <w:rPr>
        <w:i/>
        <w:iCs/>
        <w:color w:val="808080" w:themeColor="background1" w:themeShade="80"/>
      </w:rPr>
      <w:t>, 8-11 June</w:t>
    </w:r>
    <w:r w:rsidR="009047CF" w:rsidRPr="00E1280C">
      <w:rPr>
        <w:i/>
        <w:iCs/>
        <w:color w:val="808080" w:themeColor="background1" w:themeShade="80"/>
      </w:rPr>
      <w:t xml:space="preserve"> 202</w:t>
    </w:r>
    <w:r w:rsidRPr="00E1280C">
      <w:rPr>
        <w:i/>
        <w:iCs/>
        <w:color w:val="808080" w:themeColor="background1" w:themeShade="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2FA3" w14:textId="5F9F28D5" w:rsidR="00591C6C" w:rsidRDefault="00621A1B">
    <w:r>
      <w:rPr>
        <w:noProof/>
      </w:rPr>
      <w:drawing>
        <wp:anchor distT="0" distB="0" distL="114300" distR="114300" simplePos="0" relativeHeight="251669504"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Default="00591C6C"/>
  <w:p w14:paraId="6729447D" w14:textId="1087F0ED" w:rsidR="00591C6C" w:rsidRDefault="00591C6C"/>
  <w:p w14:paraId="4F4256FC" w14:textId="0AC917B5" w:rsidR="00591C6C"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9303553">
    <w:abstractNumId w:val="13"/>
  </w:num>
  <w:num w:numId="2" w16cid:durableId="724335452">
    <w:abstractNumId w:val="8"/>
  </w:num>
  <w:num w:numId="3" w16cid:durableId="1301157249">
    <w:abstractNumId w:val="3"/>
  </w:num>
  <w:num w:numId="4" w16cid:durableId="1732771919">
    <w:abstractNumId w:val="2"/>
  </w:num>
  <w:num w:numId="5" w16cid:durableId="184290588">
    <w:abstractNumId w:val="1"/>
  </w:num>
  <w:num w:numId="6" w16cid:durableId="1263226469">
    <w:abstractNumId w:val="0"/>
  </w:num>
  <w:num w:numId="7" w16cid:durableId="1968581658">
    <w:abstractNumId w:val="9"/>
  </w:num>
  <w:num w:numId="8" w16cid:durableId="680477071">
    <w:abstractNumId w:val="7"/>
  </w:num>
  <w:num w:numId="9" w16cid:durableId="1395859839">
    <w:abstractNumId w:val="6"/>
  </w:num>
  <w:num w:numId="10" w16cid:durableId="278727349">
    <w:abstractNumId w:val="5"/>
  </w:num>
  <w:num w:numId="11" w16cid:durableId="760833735">
    <w:abstractNumId w:val="4"/>
  </w:num>
  <w:num w:numId="12" w16cid:durableId="157965183">
    <w:abstractNumId w:val="16"/>
  </w:num>
  <w:num w:numId="13" w16cid:durableId="1904675735">
    <w:abstractNumId w:val="14"/>
  </w:num>
  <w:num w:numId="14" w16cid:durableId="616059268">
    <w:abstractNumId w:val="17"/>
  </w:num>
  <w:num w:numId="15" w16cid:durableId="937952292">
    <w:abstractNumId w:val="19"/>
  </w:num>
  <w:num w:numId="16" w16cid:durableId="1069957238">
    <w:abstractNumId w:val="21"/>
  </w:num>
  <w:num w:numId="17" w16cid:durableId="857502106">
    <w:abstractNumId w:val="10"/>
  </w:num>
  <w:num w:numId="18" w16cid:durableId="960189585">
    <w:abstractNumId w:val="20"/>
  </w:num>
  <w:num w:numId="19" w16cid:durableId="1229926117">
    <w:abstractNumId w:val="15"/>
  </w:num>
  <w:num w:numId="20" w16cid:durableId="330178610">
    <w:abstractNumId w:val="11"/>
  </w:num>
  <w:num w:numId="21" w16cid:durableId="383914274">
    <w:abstractNumId w:val="12"/>
  </w:num>
  <w:num w:numId="22" w16cid:durableId="4059574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067EF"/>
    <w:rsid w:val="00007331"/>
    <w:rsid w:val="0001039A"/>
    <w:rsid w:val="000117CB"/>
    <w:rsid w:val="00021F7C"/>
    <w:rsid w:val="000256F4"/>
    <w:rsid w:val="000302FB"/>
    <w:rsid w:val="0003148D"/>
    <w:rsid w:val="0003411A"/>
    <w:rsid w:val="00040B2D"/>
    <w:rsid w:val="000532B7"/>
    <w:rsid w:val="00060DE1"/>
    <w:rsid w:val="00062A9A"/>
    <w:rsid w:val="000656B8"/>
    <w:rsid w:val="000675BB"/>
    <w:rsid w:val="00085324"/>
    <w:rsid w:val="000A03B2"/>
    <w:rsid w:val="000A3117"/>
    <w:rsid w:val="000C2D3F"/>
    <w:rsid w:val="000D34BE"/>
    <w:rsid w:val="000E1741"/>
    <w:rsid w:val="000E36F1"/>
    <w:rsid w:val="000E3A73"/>
    <w:rsid w:val="000E414A"/>
    <w:rsid w:val="000F51AD"/>
    <w:rsid w:val="0010018D"/>
    <w:rsid w:val="00102BF1"/>
    <w:rsid w:val="0012142E"/>
    <w:rsid w:val="00123DB0"/>
    <w:rsid w:val="00130ADE"/>
    <w:rsid w:val="0013121F"/>
    <w:rsid w:val="00134DE4"/>
    <w:rsid w:val="00137BE3"/>
    <w:rsid w:val="00150E59"/>
    <w:rsid w:val="0016181C"/>
    <w:rsid w:val="00161FD0"/>
    <w:rsid w:val="0017615E"/>
    <w:rsid w:val="00180A27"/>
    <w:rsid w:val="00184AD6"/>
    <w:rsid w:val="0019193D"/>
    <w:rsid w:val="00197A6E"/>
    <w:rsid w:val="001A2A5A"/>
    <w:rsid w:val="001A7FAE"/>
    <w:rsid w:val="001B65C1"/>
    <w:rsid w:val="001C3ACA"/>
    <w:rsid w:val="001C3CCE"/>
    <w:rsid w:val="001C684B"/>
    <w:rsid w:val="001D53FC"/>
    <w:rsid w:val="001D7DEE"/>
    <w:rsid w:val="001E0997"/>
    <w:rsid w:val="001E7352"/>
    <w:rsid w:val="001F0EEE"/>
    <w:rsid w:val="001F2C9B"/>
    <w:rsid w:val="001F2EC7"/>
    <w:rsid w:val="00204B30"/>
    <w:rsid w:val="002065DB"/>
    <w:rsid w:val="00206A75"/>
    <w:rsid w:val="0022593B"/>
    <w:rsid w:val="002369BF"/>
    <w:rsid w:val="002447EF"/>
    <w:rsid w:val="00245FC7"/>
    <w:rsid w:val="00246365"/>
    <w:rsid w:val="00247544"/>
    <w:rsid w:val="00251550"/>
    <w:rsid w:val="0025365C"/>
    <w:rsid w:val="002626FE"/>
    <w:rsid w:val="0027221A"/>
    <w:rsid w:val="00275B61"/>
    <w:rsid w:val="00276960"/>
    <w:rsid w:val="00286E65"/>
    <w:rsid w:val="00291C9D"/>
    <w:rsid w:val="00293C1E"/>
    <w:rsid w:val="00293CED"/>
    <w:rsid w:val="002A7892"/>
    <w:rsid w:val="002C633D"/>
    <w:rsid w:val="002D1F12"/>
    <w:rsid w:val="002D1FD1"/>
    <w:rsid w:val="002E1FD4"/>
    <w:rsid w:val="002F1B81"/>
    <w:rsid w:val="003009B7"/>
    <w:rsid w:val="00302C82"/>
    <w:rsid w:val="00302F7E"/>
    <w:rsid w:val="0030469C"/>
    <w:rsid w:val="00311267"/>
    <w:rsid w:val="00312D24"/>
    <w:rsid w:val="003312C6"/>
    <w:rsid w:val="00341AD9"/>
    <w:rsid w:val="003505FF"/>
    <w:rsid w:val="003723D4"/>
    <w:rsid w:val="003A05E2"/>
    <w:rsid w:val="003A69BF"/>
    <w:rsid w:val="003A7D1C"/>
    <w:rsid w:val="003B309B"/>
    <w:rsid w:val="003B3CCD"/>
    <w:rsid w:val="003B417E"/>
    <w:rsid w:val="003B61C3"/>
    <w:rsid w:val="003C7D73"/>
    <w:rsid w:val="003E5A27"/>
    <w:rsid w:val="003F62F8"/>
    <w:rsid w:val="00400C04"/>
    <w:rsid w:val="00413A75"/>
    <w:rsid w:val="0042639A"/>
    <w:rsid w:val="00426BD4"/>
    <w:rsid w:val="004307AE"/>
    <w:rsid w:val="00435501"/>
    <w:rsid w:val="00444163"/>
    <w:rsid w:val="0046164A"/>
    <w:rsid w:val="00462DCD"/>
    <w:rsid w:val="00464124"/>
    <w:rsid w:val="0046419A"/>
    <w:rsid w:val="00466EBB"/>
    <w:rsid w:val="0047674D"/>
    <w:rsid w:val="00484307"/>
    <w:rsid w:val="004967B9"/>
    <w:rsid w:val="004A63E6"/>
    <w:rsid w:val="004B60D2"/>
    <w:rsid w:val="004C11F9"/>
    <w:rsid w:val="004C2084"/>
    <w:rsid w:val="004D1162"/>
    <w:rsid w:val="004D6DCB"/>
    <w:rsid w:val="004E032B"/>
    <w:rsid w:val="004E0FFD"/>
    <w:rsid w:val="004E386B"/>
    <w:rsid w:val="004E4DD6"/>
    <w:rsid w:val="004F5234"/>
    <w:rsid w:val="004F5E36"/>
    <w:rsid w:val="005031D9"/>
    <w:rsid w:val="005119A5"/>
    <w:rsid w:val="00515A82"/>
    <w:rsid w:val="005202AD"/>
    <w:rsid w:val="0052653C"/>
    <w:rsid w:val="005278B7"/>
    <w:rsid w:val="005306ED"/>
    <w:rsid w:val="0053161F"/>
    <w:rsid w:val="005346C8"/>
    <w:rsid w:val="0053743A"/>
    <w:rsid w:val="00537CCB"/>
    <w:rsid w:val="00552DD7"/>
    <w:rsid w:val="00556C33"/>
    <w:rsid w:val="00560EAD"/>
    <w:rsid w:val="0057230D"/>
    <w:rsid w:val="00581815"/>
    <w:rsid w:val="005876FE"/>
    <w:rsid w:val="00591C6C"/>
    <w:rsid w:val="00594E9F"/>
    <w:rsid w:val="005A0566"/>
    <w:rsid w:val="005B0DA4"/>
    <w:rsid w:val="005B4019"/>
    <w:rsid w:val="005B61E6"/>
    <w:rsid w:val="005C1A57"/>
    <w:rsid w:val="005C4A56"/>
    <w:rsid w:val="005C648D"/>
    <w:rsid w:val="005C77E1"/>
    <w:rsid w:val="005D063F"/>
    <w:rsid w:val="005D6A2F"/>
    <w:rsid w:val="005E0E32"/>
    <w:rsid w:val="005E1A82"/>
    <w:rsid w:val="005F0A28"/>
    <w:rsid w:val="005F0E5E"/>
    <w:rsid w:val="005F44F2"/>
    <w:rsid w:val="005F46C4"/>
    <w:rsid w:val="005F4EDC"/>
    <w:rsid w:val="005F554E"/>
    <w:rsid w:val="0061274A"/>
    <w:rsid w:val="00620B4E"/>
    <w:rsid w:val="00620DEE"/>
    <w:rsid w:val="00621A1B"/>
    <w:rsid w:val="0062375A"/>
    <w:rsid w:val="00623D69"/>
    <w:rsid w:val="00625639"/>
    <w:rsid w:val="0064184D"/>
    <w:rsid w:val="00645CA5"/>
    <w:rsid w:val="00656F14"/>
    <w:rsid w:val="00660E3E"/>
    <w:rsid w:val="00662E74"/>
    <w:rsid w:val="00667B9D"/>
    <w:rsid w:val="006708F9"/>
    <w:rsid w:val="0068272D"/>
    <w:rsid w:val="00687317"/>
    <w:rsid w:val="00693456"/>
    <w:rsid w:val="006A58D2"/>
    <w:rsid w:val="006B245A"/>
    <w:rsid w:val="006B5805"/>
    <w:rsid w:val="006B663C"/>
    <w:rsid w:val="006C16C5"/>
    <w:rsid w:val="006C5542"/>
    <w:rsid w:val="006C5579"/>
    <w:rsid w:val="006E0BB7"/>
    <w:rsid w:val="006F0E8D"/>
    <w:rsid w:val="006F37F2"/>
    <w:rsid w:val="007000FF"/>
    <w:rsid w:val="00704BDF"/>
    <w:rsid w:val="00720C17"/>
    <w:rsid w:val="00722E38"/>
    <w:rsid w:val="00730D2F"/>
    <w:rsid w:val="00732CD3"/>
    <w:rsid w:val="00736B13"/>
    <w:rsid w:val="00737E61"/>
    <w:rsid w:val="007447F3"/>
    <w:rsid w:val="00757909"/>
    <w:rsid w:val="007661C8"/>
    <w:rsid w:val="00783F45"/>
    <w:rsid w:val="0079141C"/>
    <w:rsid w:val="007964D6"/>
    <w:rsid w:val="007A7B6D"/>
    <w:rsid w:val="007A7E4D"/>
    <w:rsid w:val="007C3DB3"/>
    <w:rsid w:val="007D52CD"/>
    <w:rsid w:val="007E3BE8"/>
    <w:rsid w:val="007E4DFF"/>
    <w:rsid w:val="007F1B01"/>
    <w:rsid w:val="0080353C"/>
    <w:rsid w:val="00813288"/>
    <w:rsid w:val="00815B26"/>
    <w:rsid w:val="0081634E"/>
    <w:rsid w:val="008168FC"/>
    <w:rsid w:val="008238D7"/>
    <w:rsid w:val="008377CF"/>
    <w:rsid w:val="00841E06"/>
    <w:rsid w:val="008429EF"/>
    <w:rsid w:val="008479A2"/>
    <w:rsid w:val="008651E2"/>
    <w:rsid w:val="00867114"/>
    <w:rsid w:val="0086784D"/>
    <w:rsid w:val="00871585"/>
    <w:rsid w:val="00874981"/>
    <w:rsid w:val="00874D81"/>
    <w:rsid w:val="0087637F"/>
    <w:rsid w:val="00876FA8"/>
    <w:rsid w:val="008A1512"/>
    <w:rsid w:val="008A54E1"/>
    <w:rsid w:val="008C779C"/>
    <w:rsid w:val="008D0751"/>
    <w:rsid w:val="008D0BEB"/>
    <w:rsid w:val="008D1189"/>
    <w:rsid w:val="008D3B46"/>
    <w:rsid w:val="008E049A"/>
    <w:rsid w:val="008E52F6"/>
    <w:rsid w:val="008E566E"/>
    <w:rsid w:val="00900F57"/>
    <w:rsid w:val="00901EB6"/>
    <w:rsid w:val="00902534"/>
    <w:rsid w:val="009047CF"/>
    <w:rsid w:val="00907F2B"/>
    <w:rsid w:val="009176BC"/>
    <w:rsid w:val="0092090F"/>
    <w:rsid w:val="009425B4"/>
    <w:rsid w:val="009450CE"/>
    <w:rsid w:val="00950C26"/>
    <w:rsid w:val="0095164B"/>
    <w:rsid w:val="0095305A"/>
    <w:rsid w:val="00954509"/>
    <w:rsid w:val="0096105F"/>
    <w:rsid w:val="009664B4"/>
    <w:rsid w:val="00967C79"/>
    <w:rsid w:val="00972F48"/>
    <w:rsid w:val="00974040"/>
    <w:rsid w:val="00974EA7"/>
    <w:rsid w:val="00981BD8"/>
    <w:rsid w:val="00981E99"/>
    <w:rsid w:val="00985D33"/>
    <w:rsid w:val="0098761A"/>
    <w:rsid w:val="00991AE8"/>
    <w:rsid w:val="00996483"/>
    <w:rsid w:val="009A0173"/>
    <w:rsid w:val="009C32E4"/>
    <w:rsid w:val="009C4DAB"/>
    <w:rsid w:val="009D29B7"/>
    <w:rsid w:val="009D7A14"/>
    <w:rsid w:val="009E1589"/>
    <w:rsid w:val="009E18CB"/>
    <w:rsid w:val="009E5218"/>
    <w:rsid w:val="009E788A"/>
    <w:rsid w:val="009F5723"/>
    <w:rsid w:val="009F7179"/>
    <w:rsid w:val="00A05A15"/>
    <w:rsid w:val="00A07E93"/>
    <w:rsid w:val="00A11724"/>
    <w:rsid w:val="00A1763D"/>
    <w:rsid w:val="00A17CEC"/>
    <w:rsid w:val="00A20ED8"/>
    <w:rsid w:val="00A224D6"/>
    <w:rsid w:val="00A27EF0"/>
    <w:rsid w:val="00A46188"/>
    <w:rsid w:val="00A6255A"/>
    <w:rsid w:val="00A66B9C"/>
    <w:rsid w:val="00A73AF0"/>
    <w:rsid w:val="00A73C53"/>
    <w:rsid w:val="00A76EFC"/>
    <w:rsid w:val="00A9626B"/>
    <w:rsid w:val="00A97F29"/>
    <w:rsid w:val="00AA3D51"/>
    <w:rsid w:val="00AB0964"/>
    <w:rsid w:val="00AB1566"/>
    <w:rsid w:val="00AC448F"/>
    <w:rsid w:val="00AC5F71"/>
    <w:rsid w:val="00AE377D"/>
    <w:rsid w:val="00B06EDB"/>
    <w:rsid w:val="00B20973"/>
    <w:rsid w:val="00B21350"/>
    <w:rsid w:val="00B22C09"/>
    <w:rsid w:val="00B31173"/>
    <w:rsid w:val="00B3385D"/>
    <w:rsid w:val="00B35E48"/>
    <w:rsid w:val="00B430A4"/>
    <w:rsid w:val="00B449EA"/>
    <w:rsid w:val="00B4694C"/>
    <w:rsid w:val="00B541DE"/>
    <w:rsid w:val="00B56E44"/>
    <w:rsid w:val="00B57D60"/>
    <w:rsid w:val="00B61DBF"/>
    <w:rsid w:val="00B73D6E"/>
    <w:rsid w:val="00B9740D"/>
    <w:rsid w:val="00BB6185"/>
    <w:rsid w:val="00BB6F9B"/>
    <w:rsid w:val="00BC30C9"/>
    <w:rsid w:val="00BC4E0D"/>
    <w:rsid w:val="00BE3E58"/>
    <w:rsid w:val="00BF2360"/>
    <w:rsid w:val="00C01616"/>
    <w:rsid w:val="00C0162B"/>
    <w:rsid w:val="00C04303"/>
    <w:rsid w:val="00C04AB6"/>
    <w:rsid w:val="00C345B1"/>
    <w:rsid w:val="00C34E6E"/>
    <w:rsid w:val="00C35B88"/>
    <w:rsid w:val="00C40142"/>
    <w:rsid w:val="00C43F2F"/>
    <w:rsid w:val="00C45A2B"/>
    <w:rsid w:val="00C4648D"/>
    <w:rsid w:val="00C5037B"/>
    <w:rsid w:val="00C56760"/>
    <w:rsid w:val="00C57182"/>
    <w:rsid w:val="00C63788"/>
    <w:rsid w:val="00C655FD"/>
    <w:rsid w:val="00C72312"/>
    <w:rsid w:val="00C75985"/>
    <w:rsid w:val="00C77120"/>
    <w:rsid w:val="00C77E1B"/>
    <w:rsid w:val="00C82FD3"/>
    <w:rsid w:val="00C867B1"/>
    <w:rsid w:val="00C86AB6"/>
    <w:rsid w:val="00C94434"/>
    <w:rsid w:val="00C972C2"/>
    <w:rsid w:val="00CA1C95"/>
    <w:rsid w:val="00CA54AA"/>
    <w:rsid w:val="00CA5A9C"/>
    <w:rsid w:val="00CD42DE"/>
    <w:rsid w:val="00CD5FE2"/>
    <w:rsid w:val="00CE6497"/>
    <w:rsid w:val="00CF5128"/>
    <w:rsid w:val="00D02B4C"/>
    <w:rsid w:val="00D104BF"/>
    <w:rsid w:val="00D10895"/>
    <w:rsid w:val="00D32049"/>
    <w:rsid w:val="00D455FB"/>
    <w:rsid w:val="00D4598A"/>
    <w:rsid w:val="00D47FFB"/>
    <w:rsid w:val="00D53CE6"/>
    <w:rsid w:val="00D61211"/>
    <w:rsid w:val="00D64508"/>
    <w:rsid w:val="00D64758"/>
    <w:rsid w:val="00D6586A"/>
    <w:rsid w:val="00D71611"/>
    <w:rsid w:val="00D801F0"/>
    <w:rsid w:val="00D84576"/>
    <w:rsid w:val="00D948AD"/>
    <w:rsid w:val="00DA2DD9"/>
    <w:rsid w:val="00DB5CA6"/>
    <w:rsid w:val="00DB753D"/>
    <w:rsid w:val="00DC07D1"/>
    <w:rsid w:val="00DE0019"/>
    <w:rsid w:val="00DE264A"/>
    <w:rsid w:val="00DF31F5"/>
    <w:rsid w:val="00DF4D31"/>
    <w:rsid w:val="00E02BC2"/>
    <w:rsid w:val="00E041E7"/>
    <w:rsid w:val="00E1280C"/>
    <w:rsid w:val="00E13AD1"/>
    <w:rsid w:val="00E16B33"/>
    <w:rsid w:val="00E23CA1"/>
    <w:rsid w:val="00E2504A"/>
    <w:rsid w:val="00E25280"/>
    <w:rsid w:val="00E273E5"/>
    <w:rsid w:val="00E27764"/>
    <w:rsid w:val="00E31B09"/>
    <w:rsid w:val="00E33C85"/>
    <w:rsid w:val="00E3752D"/>
    <w:rsid w:val="00E409A8"/>
    <w:rsid w:val="00E431A8"/>
    <w:rsid w:val="00E466CB"/>
    <w:rsid w:val="00E50D98"/>
    <w:rsid w:val="00E56405"/>
    <w:rsid w:val="00E62CD6"/>
    <w:rsid w:val="00E65885"/>
    <w:rsid w:val="00E71F83"/>
    <w:rsid w:val="00E7209D"/>
    <w:rsid w:val="00E74898"/>
    <w:rsid w:val="00E75FB8"/>
    <w:rsid w:val="00EA50E1"/>
    <w:rsid w:val="00EB3FCA"/>
    <w:rsid w:val="00EC0308"/>
    <w:rsid w:val="00ED4290"/>
    <w:rsid w:val="00EE0131"/>
    <w:rsid w:val="00EE1A59"/>
    <w:rsid w:val="00EE43F7"/>
    <w:rsid w:val="00EF3557"/>
    <w:rsid w:val="00F060D9"/>
    <w:rsid w:val="00F1215B"/>
    <w:rsid w:val="00F21D59"/>
    <w:rsid w:val="00F21F14"/>
    <w:rsid w:val="00F2372A"/>
    <w:rsid w:val="00F25353"/>
    <w:rsid w:val="00F30C64"/>
    <w:rsid w:val="00F32D16"/>
    <w:rsid w:val="00F33C93"/>
    <w:rsid w:val="00F72C4F"/>
    <w:rsid w:val="00F879FE"/>
    <w:rsid w:val="00F9392A"/>
    <w:rsid w:val="00FA55D4"/>
    <w:rsid w:val="00FB1BAF"/>
    <w:rsid w:val="00FB2843"/>
    <w:rsid w:val="00FB730C"/>
    <w:rsid w:val="00FC059D"/>
    <w:rsid w:val="00FC2171"/>
    <w:rsid w:val="00FC2695"/>
    <w:rsid w:val="00FC3E03"/>
    <w:rsid w:val="00FC5BD3"/>
    <w:rsid w:val="00FD565B"/>
    <w:rsid w:val="00FD5BEE"/>
    <w:rsid w:val="00FD737A"/>
    <w:rsid w:val="00FE6A2D"/>
    <w:rsid w:val="00FE6D64"/>
    <w:rsid w:val="00FF1D74"/>
    <w:rsid w:val="00FF6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F879FE"/>
    <w:pPr>
      <w:keepNext/>
      <w:suppressAutoHyphens/>
      <w:spacing w:before="240"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FD737A"/>
    <w:pPr>
      <w:spacing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FD737A"/>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D948AD"/>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D948AD"/>
    <w:rPr>
      <w:rFonts w:ascii="Arial" w:eastAsia="Times New Roman"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F879FE"/>
    <w:pPr>
      <w:tabs>
        <w:tab w:val="clear" w:pos="7100"/>
      </w:tabs>
      <w:spacing w:line="240" w:lineRule="atLeast"/>
      <w:ind w:right="-1"/>
    </w:pPr>
    <w:rPr>
      <w:sz w:val="22"/>
      <w:lang w:val="en-US"/>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 w:type="character" w:styleId="Testosegnaposto">
    <w:name w:val="Placeholder Text"/>
    <w:basedOn w:val="Carpredefinitoparagrafo"/>
    <w:uiPriority w:val="99"/>
    <w:semiHidden/>
    <w:locked/>
    <w:rsid w:val="00204B30"/>
    <w:rPr>
      <w:color w:val="666666"/>
    </w:rPr>
  </w:style>
  <w:style w:type="paragraph" w:customStyle="1" w:styleId="CETBodytext">
    <w:name w:val="CET Body text"/>
    <w:link w:val="CETBodytextCarattere"/>
    <w:qFormat/>
    <w:rsid w:val="0052653C"/>
    <w:pPr>
      <w:tabs>
        <w:tab w:val="right" w:pos="7100"/>
      </w:tabs>
      <w:spacing w:after="0" w:line="264" w:lineRule="auto"/>
      <w:jc w:val="both"/>
    </w:pPr>
    <w:rPr>
      <w:rFonts w:ascii="Arial" w:eastAsia="Times New Roman" w:hAnsi="Arial" w:cs="Times New Roman"/>
      <w:sz w:val="18"/>
      <w:szCs w:val="20"/>
      <w:lang w:val="en-US"/>
    </w:rPr>
  </w:style>
  <w:style w:type="character" w:customStyle="1" w:styleId="CETBodytextCarattere">
    <w:name w:val="CET Body text Carattere"/>
    <w:link w:val="CETBodytext"/>
    <w:rsid w:val="0052653C"/>
    <w:rPr>
      <w:rFonts w:ascii="Arial" w:eastAsia="Times New Roman" w:hAnsi="Arial" w:cs="Times New Roman"/>
      <w:sz w:val="18"/>
      <w:szCs w:val="20"/>
      <w:lang w:val="en-US"/>
    </w:rPr>
  </w:style>
  <w:style w:type="character" w:styleId="Rimandocommento">
    <w:name w:val="annotation reference"/>
    <w:basedOn w:val="Carpredefinitoparagrafo"/>
    <w:uiPriority w:val="99"/>
    <w:semiHidden/>
    <w:unhideWhenUsed/>
    <w:locked/>
    <w:rsid w:val="00981E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848952">
      <w:bodyDiv w:val="1"/>
      <w:marLeft w:val="0"/>
      <w:marRight w:val="0"/>
      <w:marTop w:val="0"/>
      <w:marBottom w:val="0"/>
      <w:divBdr>
        <w:top w:val="none" w:sz="0" w:space="0" w:color="auto"/>
        <w:left w:val="none" w:sz="0" w:space="0" w:color="auto"/>
        <w:bottom w:val="none" w:sz="0" w:space="0" w:color="auto"/>
        <w:right w:val="none" w:sz="0" w:space="0" w:color="auto"/>
      </w:divBdr>
    </w:div>
    <w:div w:id="944579422">
      <w:bodyDiv w:val="1"/>
      <w:marLeft w:val="0"/>
      <w:marRight w:val="0"/>
      <w:marTop w:val="0"/>
      <w:marBottom w:val="0"/>
      <w:divBdr>
        <w:top w:val="none" w:sz="0" w:space="0" w:color="auto"/>
        <w:left w:val="none" w:sz="0" w:space="0" w:color="auto"/>
        <w:bottom w:val="none" w:sz="0" w:space="0" w:color="auto"/>
        <w:right w:val="none" w:sz="0" w:space="0" w:color="auto"/>
      </w:divBdr>
    </w:div>
    <w:div w:id="994453136">
      <w:bodyDiv w:val="1"/>
      <w:marLeft w:val="0"/>
      <w:marRight w:val="0"/>
      <w:marTop w:val="0"/>
      <w:marBottom w:val="0"/>
      <w:divBdr>
        <w:top w:val="none" w:sz="0" w:space="0" w:color="auto"/>
        <w:left w:val="none" w:sz="0" w:space="0" w:color="auto"/>
        <w:bottom w:val="none" w:sz="0" w:space="0" w:color="auto"/>
        <w:right w:val="none" w:sz="0" w:space="0" w:color="auto"/>
      </w:divBdr>
    </w:div>
    <w:div w:id="1026835795">
      <w:bodyDiv w:val="1"/>
      <w:marLeft w:val="0"/>
      <w:marRight w:val="0"/>
      <w:marTop w:val="0"/>
      <w:marBottom w:val="0"/>
      <w:divBdr>
        <w:top w:val="none" w:sz="0" w:space="0" w:color="auto"/>
        <w:left w:val="none" w:sz="0" w:space="0" w:color="auto"/>
        <w:bottom w:val="none" w:sz="0" w:space="0" w:color="auto"/>
        <w:right w:val="none" w:sz="0" w:space="0" w:color="auto"/>
      </w:divBdr>
    </w:div>
    <w:div w:id="1072240148">
      <w:bodyDiv w:val="1"/>
      <w:marLeft w:val="0"/>
      <w:marRight w:val="0"/>
      <w:marTop w:val="0"/>
      <w:marBottom w:val="0"/>
      <w:divBdr>
        <w:top w:val="none" w:sz="0" w:space="0" w:color="auto"/>
        <w:left w:val="none" w:sz="0" w:space="0" w:color="auto"/>
        <w:bottom w:val="none" w:sz="0" w:space="0" w:color="auto"/>
        <w:right w:val="none" w:sz="0" w:space="0" w:color="auto"/>
      </w:divBdr>
    </w:div>
    <w:div w:id="1159923036">
      <w:bodyDiv w:val="1"/>
      <w:marLeft w:val="0"/>
      <w:marRight w:val="0"/>
      <w:marTop w:val="0"/>
      <w:marBottom w:val="0"/>
      <w:divBdr>
        <w:top w:val="none" w:sz="0" w:space="0" w:color="auto"/>
        <w:left w:val="none" w:sz="0" w:space="0" w:color="auto"/>
        <w:bottom w:val="none" w:sz="0" w:space="0" w:color="auto"/>
        <w:right w:val="none" w:sz="0" w:space="0" w:color="auto"/>
      </w:divBdr>
      <w:divsChild>
        <w:div w:id="685013329">
          <w:marLeft w:val="480"/>
          <w:marRight w:val="0"/>
          <w:marTop w:val="0"/>
          <w:marBottom w:val="0"/>
          <w:divBdr>
            <w:top w:val="none" w:sz="0" w:space="0" w:color="auto"/>
            <w:left w:val="none" w:sz="0" w:space="0" w:color="auto"/>
            <w:bottom w:val="none" w:sz="0" w:space="0" w:color="auto"/>
            <w:right w:val="none" w:sz="0" w:space="0" w:color="auto"/>
          </w:divBdr>
        </w:div>
        <w:div w:id="60178597">
          <w:marLeft w:val="480"/>
          <w:marRight w:val="0"/>
          <w:marTop w:val="0"/>
          <w:marBottom w:val="0"/>
          <w:divBdr>
            <w:top w:val="none" w:sz="0" w:space="0" w:color="auto"/>
            <w:left w:val="none" w:sz="0" w:space="0" w:color="auto"/>
            <w:bottom w:val="none" w:sz="0" w:space="0" w:color="auto"/>
            <w:right w:val="none" w:sz="0" w:space="0" w:color="auto"/>
          </w:divBdr>
        </w:div>
        <w:div w:id="1898127856">
          <w:marLeft w:val="480"/>
          <w:marRight w:val="0"/>
          <w:marTop w:val="0"/>
          <w:marBottom w:val="0"/>
          <w:divBdr>
            <w:top w:val="none" w:sz="0" w:space="0" w:color="auto"/>
            <w:left w:val="none" w:sz="0" w:space="0" w:color="auto"/>
            <w:bottom w:val="none" w:sz="0" w:space="0" w:color="auto"/>
            <w:right w:val="none" w:sz="0" w:space="0" w:color="auto"/>
          </w:divBdr>
        </w:div>
      </w:divsChild>
    </w:div>
    <w:div w:id="1381513471">
      <w:bodyDiv w:val="1"/>
      <w:marLeft w:val="0"/>
      <w:marRight w:val="0"/>
      <w:marTop w:val="0"/>
      <w:marBottom w:val="0"/>
      <w:divBdr>
        <w:top w:val="none" w:sz="0" w:space="0" w:color="auto"/>
        <w:left w:val="none" w:sz="0" w:space="0" w:color="auto"/>
        <w:bottom w:val="none" w:sz="0" w:space="0" w:color="auto"/>
        <w:right w:val="none" w:sz="0" w:space="0" w:color="auto"/>
      </w:divBdr>
      <w:divsChild>
        <w:div w:id="396437620">
          <w:marLeft w:val="480"/>
          <w:marRight w:val="0"/>
          <w:marTop w:val="0"/>
          <w:marBottom w:val="0"/>
          <w:divBdr>
            <w:top w:val="none" w:sz="0" w:space="0" w:color="auto"/>
            <w:left w:val="none" w:sz="0" w:space="0" w:color="auto"/>
            <w:bottom w:val="none" w:sz="0" w:space="0" w:color="auto"/>
            <w:right w:val="none" w:sz="0" w:space="0" w:color="auto"/>
          </w:divBdr>
        </w:div>
        <w:div w:id="477037427">
          <w:marLeft w:val="480"/>
          <w:marRight w:val="0"/>
          <w:marTop w:val="0"/>
          <w:marBottom w:val="0"/>
          <w:divBdr>
            <w:top w:val="none" w:sz="0" w:space="0" w:color="auto"/>
            <w:left w:val="none" w:sz="0" w:space="0" w:color="auto"/>
            <w:bottom w:val="none" w:sz="0" w:space="0" w:color="auto"/>
            <w:right w:val="none" w:sz="0" w:space="0" w:color="auto"/>
          </w:divBdr>
        </w:div>
        <w:div w:id="757558421">
          <w:marLeft w:val="480"/>
          <w:marRight w:val="0"/>
          <w:marTop w:val="0"/>
          <w:marBottom w:val="0"/>
          <w:divBdr>
            <w:top w:val="none" w:sz="0" w:space="0" w:color="auto"/>
            <w:left w:val="none" w:sz="0" w:space="0" w:color="auto"/>
            <w:bottom w:val="none" w:sz="0" w:space="0" w:color="auto"/>
            <w:right w:val="none" w:sz="0" w:space="0" w:color="auto"/>
          </w:divBdr>
        </w:div>
      </w:divsChild>
    </w:div>
    <w:div w:id="1458715545">
      <w:bodyDiv w:val="1"/>
      <w:marLeft w:val="0"/>
      <w:marRight w:val="0"/>
      <w:marTop w:val="0"/>
      <w:marBottom w:val="0"/>
      <w:divBdr>
        <w:top w:val="none" w:sz="0" w:space="0" w:color="auto"/>
        <w:left w:val="none" w:sz="0" w:space="0" w:color="auto"/>
        <w:bottom w:val="none" w:sz="0" w:space="0" w:color="auto"/>
        <w:right w:val="none" w:sz="0" w:space="0" w:color="auto"/>
      </w:divBdr>
    </w:div>
    <w:div w:id="1470512090">
      <w:bodyDiv w:val="1"/>
      <w:marLeft w:val="0"/>
      <w:marRight w:val="0"/>
      <w:marTop w:val="0"/>
      <w:marBottom w:val="0"/>
      <w:divBdr>
        <w:top w:val="none" w:sz="0" w:space="0" w:color="auto"/>
        <w:left w:val="none" w:sz="0" w:space="0" w:color="auto"/>
        <w:bottom w:val="none" w:sz="0" w:space="0" w:color="auto"/>
        <w:right w:val="none" w:sz="0" w:space="0" w:color="auto"/>
      </w:divBdr>
      <w:divsChild>
        <w:div w:id="154346849">
          <w:marLeft w:val="480"/>
          <w:marRight w:val="0"/>
          <w:marTop w:val="0"/>
          <w:marBottom w:val="0"/>
          <w:divBdr>
            <w:top w:val="none" w:sz="0" w:space="0" w:color="auto"/>
            <w:left w:val="none" w:sz="0" w:space="0" w:color="auto"/>
            <w:bottom w:val="none" w:sz="0" w:space="0" w:color="auto"/>
            <w:right w:val="none" w:sz="0" w:space="0" w:color="auto"/>
          </w:divBdr>
        </w:div>
        <w:div w:id="225841224">
          <w:marLeft w:val="480"/>
          <w:marRight w:val="0"/>
          <w:marTop w:val="0"/>
          <w:marBottom w:val="0"/>
          <w:divBdr>
            <w:top w:val="none" w:sz="0" w:space="0" w:color="auto"/>
            <w:left w:val="none" w:sz="0" w:space="0" w:color="auto"/>
            <w:bottom w:val="none" w:sz="0" w:space="0" w:color="auto"/>
            <w:right w:val="none" w:sz="0" w:space="0" w:color="auto"/>
          </w:divBdr>
        </w:div>
        <w:div w:id="1551383286">
          <w:marLeft w:val="480"/>
          <w:marRight w:val="0"/>
          <w:marTop w:val="0"/>
          <w:marBottom w:val="0"/>
          <w:divBdr>
            <w:top w:val="none" w:sz="0" w:space="0" w:color="auto"/>
            <w:left w:val="none" w:sz="0" w:space="0" w:color="auto"/>
            <w:bottom w:val="none" w:sz="0" w:space="0" w:color="auto"/>
            <w:right w:val="none" w:sz="0" w:space="0" w:color="auto"/>
          </w:divBdr>
        </w:div>
      </w:divsChild>
    </w:div>
    <w:div w:id="1556313216">
      <w:bodyDiv w:val="1"/>
      <w:marLeft w:val="0"/>
      <w:marRight w:val="0"/>
      <w:marTop w:val="0"/>
      <w:marBottom w:val="0"/>
      <w:divBdr>
        <w:top w:val="none" w:sz="0" w:space="0" w:color="auto"/>
        <w:left w:val="none" w:sz="0" w:space="0" w:color="auto"/>
        <w:bottom w:val="none" w:sz="0" w:space="0" w:color="auto"/>
        <w:right w:val="none" w:sz="0" w:space="0" w:color="auto"/>
      </w:divBdr>
    </w:div>
    <w:div w:id="175134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BEF66CBC-95C9-4B9A-A15E-CDF3463994BB}"/>
      </w:docPartPr>
      <w:docPartBody>
        <w:p w:rsidR="00DA43E7" w:rsidRDefault="00DA43E7">
          <w:r w:rsidRPr="003C26DE">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E7"/>
    <w:rsid w:val="000A65DA"/>
    <w:rsid w:val="007E3BE8"/>
    <w:rsid w:val="008A4061"/>
    <w:rsid w:val="00932432"/>
    <w:rsid w:val="009664B4"/>
    <w:rsid w:val="00A5694B"/>
    <w:rsid w:val="00C75985"/>
    <w:rsid w:val="00DA43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A43E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35778A-28C7-4E1F-9F56-255686F3C29E}">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87e25dca-d1f6-44f2-9c27-2b1331d04d63&quot;,&quot;properties&quot;:{&quot;noteIndex&quot;:0},&quot;isEdited&quot;:false,&quot;manualOverride&quot;:{&quot;isManuallyOverridden&quot;:true,&quot;citeprocText&quot;:&quot;(Center for Chemical Process Safety (CCPS), 2022)&quot;,&quot;manualOverrideText&quot;:&quot;(Center for Chemical Process Safety, 2022)&quot;},&quot;citationTag&quot;:&quot;MENDELEY_CITATION_v3_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&quot;,&quot;citationItems&quot;:[{&quot;id&quot;:&quot;6a414a8d-e13b-32f3-aaa4-819f6500b786&quot;,&quot;itemData&quot;:{&quot;type&quot;:&quot;book&quot;,&quot;id&quot;:&quot;6a414a8d-e13b-32f3-aaa4-819f6500b786&quot;,&quot;title&quot;:&quot;Managing Cybersecurity in the Process Industries - A Risk-based Approach&quot;,&quot;author&quot;:[{&quot;family&quot;:&quot;Center for Chemical Process Safety (CCPS)&quot;,&quot;given&quot;:&quot;&quot;,&quot;parse-names&quot;:false,&quot;dropping-particle&quot;:&quot;&quot;,&quot;non-dropping-particle&quot;:&quot;&quot;}],&quot;ISBN&quot;:&quot;9781119861782&quot;,&quot;issued&quot;:{&quot;date-parts&quot;:[[2022]]},&quot;publisher&quot;:&quot;Wiley&quot;,&quot;container-title-short&quot;:&quot;&quot;},&quot;isTemporary&quot;:false}]},{&quot;citationID&quot;:&quot;MENDELEY_CITATION_28b13dfa-c61a-4e12-9af4-41ab96facb04&quot;,&quot;properties&quot;:{&quot;noteIndex&quot;:0},&quot;isEdited&quot;:false,&quot;manualOverride&quot;:{&quot;isManuallyOverridden&quot;:false,&quot;citeprocText&quot;:&quot;(Iaiani et al., 2023a)&quot;,&quot;manualOverrideText&quot;:&quot;&quot;},&quot;citationTag&quot;:&quot;MENDELEY_CITATION_v3_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&quot;,&quot;citationItems&quot;:[{&quot;id&quot;:&quot;94dbfd9c-891b-374c-b82c-dbd187c8d279&quot;,&quot;itemData&quot;:{&quot;type&quot;:&quot;article-journal&quot;,&quot;id&quot;:&quot;94dbfd9c-891b-374c-b82c-dbd187c8d279&quot;,&quot;title&quot;:&quot;Identification of cyber-risks for the control and safety instrumented systems: a synergic framework for the process industry&quot;,&quot;author&quot;:[{&quot;family&quot;:&quot;Iaiani&quot;,&quot;given&quot;:&quot;M.&quot;,&quot;parse-names&quot;:false,&quot;dropping-particle&quot;:&quot;&quot;,&quot;non-dropping-particle&quot;:&quot;&quot;},{&quot;family&quot;:&quot;Tugnoli&quot;,&quot;given&quot;:&quot;A.&quot;,&quot;parse-names&quot;:false,&quot;dropping-particle&quot;:&quot;&quot;,&quot;non-dropping-particle&quot;:&quot;&quot;},{&quot;family&quot;:&quot;Cozzani&quot;,&quot;given&quot;:&quot;V.&quot;,&quot;parse-names&quot;:false,&quot;dropping-particle&quot;:&quot;&quot;,&quot;non-dropping-particle&quot;:&quot;&quot;}],&quot;container-title&quot;:&quot;Process Safety and Environmental Protection&quot;,&quot;DOI&quot;:&quot;10.1016/j.psep.2023.01.078&quot;,&quot;ISSN&quot;:&quot;09575820&quot;,&quot;URL&quot;:&quot;https://linkinghub.elsevier.com/retrieve/pii/S0957582023000885&quot;,&quot;issued&quot;:{&quot;date-parts&quot;:[[2023,2]]},&quot;page&quot;:&quot;69-82&quot;,&quot;volume&quot;:&quot;172&quot;,&quot;container-title-short&quot;:&quot;&quot;},&quot;isTemporary&quot;:false}]},{&quot;citationID&quot;:&quot;MENDELEY_CITATION_f3c4361b-182d-426d-a085-4f7ebbc4d214&quot;,&quot;properties&quot;:{&quot;noteIndex&quot;:0},&quot;isEdited&quot;:false,&quot;manualOverride&quot;:{&quot;isManuallyOverridden&quot;:false,&quot;citeprocText&quot;:&quot;(Iaiani et al., 2023b)&quot;,&quot;manualOverrideText&quot;:&quot;&quot;},&quot;citationTag&quot;:&quot;MENDELEY_CITATION_v3_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&quot;,&quot;citationItems&quot;:[{&quot;id&quot;:&quot;a1aac176-6a08-30e9-a3ca-85a7f7b1dc06&quot;,&quot;itemData&quot;:{&quot;type&quot;:&quot;article-journal&quot;,&quot;id&quot;:&quot;a1aac176-6a08-30e9-a3ca-85a7f7b1dc06&quot;,&quot;title&quot;:&quot;Process hazard and operability analysis of BPCS and SIS malicious manipulations by POROS 2.0&quot;,&quot;author&quot;:[{&quot;family&quot;:&quot;Iaiani&quot;,&quot;given&quot;:&quot;M.&quot;,&quot;parse-names&quot;:false,&quot;dropping-particle&quot;:&quot;&quot;,&quot;non-dropping-particle&quot;:&quot;&quot;},{&quot;family&quot;:&quot;Tugnoli&quot;,&quot;given&quot;:&quot;A.&quot;,&quot;parse-names&quot;:false,&quot;dropping-particle&quot;:&quot;&quot;,&quot;non-dropping-particle&quot;:&quot;&quot;},{&quot;family&quot;:&quot;Cozzani&quot;,&quot;given&quot;:&quot;V.&quot;,&quot;parse-names&quot;:false,&quot;dropping-particle&quot;:&quot;&quot;,&quot;non-dropping-particle&quot;:&quot;&quot;}],&quot;container-title&quot;:&quot;Process Safety and Environmental Protection&quot;,&quot;DOI&quot;:&quot;10.1016/j.psep.2023.06.024&quot;,&quot;ISSN&quot;:&quot;09575820&quot;,&quot;URL&quot;:&quot;https://linkinghub.elsevier.com/retrieve/pii/S0957582023005049&quot;,&quot;issued&quot;:{&quot;date-parts&quot;:[[2023,6]]},&quot;page&quot;:&quot;226-237&quot;,&quot;volume&quot;:&quot;17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1797D-CABC-48AB-BF68-6D5FFA591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6189</Characters>
  <Application>Microsoft Office Word</Application>
  <DocSecurity>0</DocSecurity>
  <Lines>51</Lines>
  <Paragraphs>14</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Dipartimento CMIC - Politecnico di Milano</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2</cp:revision>
  <cp:lastPrinted>2025-03-18T17:31:00Z</cp:lastPrinted>
  <dcterms:created xsi:type="dcterms:W3CDTF">2025-04-07T09:07:00Z</dcterms:created>
  <dcterms:modified xsi:type="dcterms:W3CDTF">2025-04-07T09:07:00Z</dcterms:modified>
</cp:coreProperties>
</file>