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45526B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45526B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45526B">
        <w:trPr>
          <w:trHeight w:val="68"/>
          <w:jc w:val="center"/>
        </w:trPr>
        <w:tc>
          <w:tcPr>
            <w:tcW w:w="8782" w:type="dxa"/>
            <w:gridSpan w:val="2"/>
          </w:tcPr>
          <w:p w14:paraId="30F07041" w14:textId="11182ABA" w:rsidR="00F27EE4" w:rsidRPr="00F27EE4" w:rsidRDefault="00AA7D26" w:rsidP="00F27EE4">
            <w:pPr>
              <w:ind w:left="-107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F27EE4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7D610D" w:rsidRPr="00F27EE4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="00F27EE4" w:rsidRPr="00F27EE4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Bruno Fabiano, Va</w:t>
            </w:r>
            <w:r w:rsidR="00F27EE4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lerio Cozzani</w:t>
            </w:r>
          </w:p>
          <w:p w14:paraId="1B0F1814" w14:textId="2DB8A072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</w:t>
            </w:r>
            <w:r w:rsidR="00F27EE4">
              <w:rPr>
                <w:rFonts w:ascii="Tahoma" w:hAnsi="Tahoma" w:cs="Tahoma"/>
                <w:sz w:val="14"/>
                <w:szCs w:val="14"/>
              </w:rPr>
              <w:t>xx-y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2E667253" w14:textId="64FB9FDB" w:rsidR="00E978D0" w:rsidRPr="00B57B36" w:rsidRDefault="0045526B" w:rsidP="00E978D0">
      <w:pPr>
        <w:pStyle w:val="CETTitle"/>
      </w:pPr>
      <w:r w:rsidRPr="0045526B">
        <w:t>Safety implications for petrochemical sites resulting from the use of alternatively powered trucks</w:t>
      </w:r>
    </w:p>
    <w:p w14:paraId="0488FED2" w14:textId="5C070D05" w:rsidR="00B57E6F" w:rsidRPr="00B57B36" w:rsidRDefault="0045526B" w:rsidP="00B57E6F">
      <w:pPr>
        <w:pStyle w:val="CETAuthors"/>
      </w:pPr>
      <w:r>
        <w:t>Johan E.A. Reinders</w:t>
      </w:r>
      <w:r w:rsidRPr="00B57B36">
        <w:t>*</w:t>
      </w:r>
      <w:r w:rsidR="00B57E6F" w:rsidRPr="00B57B36">
        <w:t xml:space="preserve">, </w:t>
      </w:r>
      <w:r>
        <w:t>Nils Rosmuller</w:t>
      </w:r>
      <w:r w:rsidR="00B57E6F" w:rsidRPr="00B57B36">
        <w:t xml:space="preserve">, </w:t>
      </w:r>
      <w:r>
        <w:t>Henk Brans</w:t>
      </w:r>
    </w:p>
    <w:p w14:paraId="6B2D21B3" w14:textId="27A4F951" w:rsidR="00B57E6F" w:rsidRPr="00B57B36" w:rsidRDefault="0045526B" w:rsidP="0045526B">
      <w:pPr>
        <w:pStyle w:val="CETAddress"/>
      </w:pPr>
      <w:r w:rsidRPr="0045526B">
        <w:t>Netherlands Institute for Public Safety (NIPV)</w:t>
      </w:r>
      <w:r>
        <w:t>, P.O. box 7010, 6801 HA Arnhem, The Netherlands</w:t>
      </w:r>
      <w:r w:rsidRPr="0045526B">
        <w:t>. www.nipv.nl</w:t>
      </w:r>
    </w:p>
    <w:p w14:paraId="73F1267A" w14:textId="1CA18FF0" w:rsidR="00B57E6F" w:rsidRPr="00B57B36" w:rsidRDefault="0045526B" w:rsidP="00B57E6F">
      <w:pPr>
        <w:pStyle w:val="CETemail"/>
      </w:pPr>
      <w:r>
        <w:t>johan.reinders</w:t>
      </w:r>
      <w:r w:rsidR="00B57E6F" w:rsidRPr="00B57B36">
        <w:t>@</w:t>
      </w:r>
      <w:r>
        <w:t>NIPV.nl</w:t>
      </w:r>
    </w:p>
    <w:p w14:paraId="7DF37FF3" w14:textId="21E4B20A" w:rsidR="00FC0406" w:rsidRDefault="00694B08" w:rsidP="0084397E">
      <w:pPr>
        <w:pStyle w:val="CETBodytext"/>
        <w:rPr>
          <w:lang w:val="en-GB"/>
        </w:rPr>
      </w:pPr>
      <w:r>
        <w:rPr>
          <w:lang w:val="en-GB"/>
        </w:rPr>
        <w:t>As with passenger cars</w:t>
      </w:r>
      <w:r w:rsidR="00637999">
        <w:rPr>
          <w:lang w:val="en-GB"/>
        </w:rPr>
        <w:t xml:space="preserve"> and buses</w:t>
      </w:r>
      <w:r>
        <w:rPr>
          <w:lang w:val="en-GB"/>
        </w:rPr>
        <w:t>, t</w:t>
      </w:r>
      <w:r w:rsidR="00E20B23">
        <w:rPr>
          <w:lang w:val="en-GB"/>
        </w:rPr>
        <w:t>ruck</w:t>
      </w:r>
      <w:r>
        <w:rPr>
          <w:lang w:val="en-GB"/>
        </w:rPr>
        <w:t>s</w:t>
      </w:r>
      <w:r w:rsidR="00E20B23">
        <w:rPr>
          <w:lang w:val="en-GB"/>
        </w:rPr>
        <w:t xml:space="preserve"> </w:t>
      </w:r>
      <w:r>
        <w:rPr>
          <w:lang w:val="en-GB"/>
        </w:rPr>
        <w:t>are more and more powered</w:t>
      </w:r>
      <w:r w:rsidR="00E20B23">
        <w:rPr>
          <w:lang w:val="en-GB"/>
        </w:rPr>
        <w:t xml:space="preserve"> by </w:t>
      </w:r>
      <w:r>
        <w:rPr>
          <w:lang w:val="en-GB"/>
        </w:rPr>
        <w:t>alternative (</w:t>
      </w:r>
      <w:r w:rsidR="00E20B23">
        <w:rPr>
          <w:lang w:val="en-GB"/>
        </w:rPr>
        <w:t>“sustainable”</w:t>
      </w:r>
      <w:r>
        <w:rPr>
          <w:lang w:val="en-GB"/>
        </w:rPr>
        <w:t>)</w:t>
      </w:r>
      <w:r w:rsidR="00E20B23">
        <w:rPr>
          <w:lang w:val="en-GB"/>
        </w:rPr>
        <w:t xml:space="preserve"> fuels</w:t>
      </w:r>
      <w:r>
        <w:rPr>
          <w:lang w:val="en-GB"/>
        </w:rPr>
        <w:t xml:space="preserve">. </w:t>
      </w:r>
      <w:r w:rsidR="006D7357">
        <w:rPr>
          <w:lang w:val="en-GB"/>
        </w:rPr>
        <w:t>This paper presents a study</w:t>
      </w:r>
      <w:r w:rsidR="00E20B23" w:rsidRPr="00E20B23">
        <w:rPr>
          <w:lang w:val="en-GB"/>
        </w:rPr>
        <w:t xml:space="preserve"> into the </w:t>
      </w:r>
      <w:r w:rsidR="00811D6E">
        <w:rPr>
          <w:lang w:val="en-GB"/>
        </w:rPr>
        <w:t>implication</w:t>
      </w:r>
      <w:r w:rsidR="00637999">
        <w:rPr>
          <w:lang w:val="en-GB"/>
        </w:rPr>
        <w:t xml:space="preserve"> </w:t>
      </w:r>
      <w:r w:rsidR="00811D6E">
        <w:rPr>
          <w:lang w:val="en-GB"/>
        </w:rPr>
        <w:t xml:space="preserve">for safety </w:t>
      </w:r>
      <w:r w:rsidR="00F40798">
        <w:rPr>
          <w:lang w:val="en-GB"/>
        </w:rPr>
        <w:t xml:space="preserve">of </w:t>
      </w:r>
      <w:r w:rsidR="00637999">
        <w:rPr>
          <w:lang w:val="en-GB"/>
        </w:rPr>
        <w:t>th</w:t>
      </w:r>
      <w:r w:rsidR="00923B8C">
        <w:rPr>
          <w:lang w:val="en-GB"/>
        </w:rPr>
        <w:t xml:space="preserve">e use of Alternatively </w:t>
      </w:r>
      <w:r w:rsidR="00201078">
        <w:rPr>
          <w:lang w:val="en-GB"/>
        </w:rPr>
        <w:t>P</w:t>
      </w:r>
      <w:r w:rsidR="00923B8C">
        <w:rPr>
          <w:lang w:val="en-GB"/>
        </w:rPr>
        <w:t>ower</w:t>
      </w:r>
      <w:r w:rsidR="00201078">
        <w:rPr>
          <w:lang w:val="en-GB"/>
        </w:rPr>
        <w:t>ed Vehicles (A</w:t>
      </w:r>
      <w:r w:rsidR="00C60E3D">
        <w:rPr>
          <w:lang w:val="en-GB"/>
        </w:rPr>
        <w:t>P</w:t>
      </w:r>
      <w:r w:rsidR="00201078">
        <w:rPr>
          <w:lang w:val="en-GB"/>
        </w:rPr>
        <w:t>V</w:t>
      </w:r>
      <w:r w:rsidR="005104CE">
        <w:rPr>
          <w:lang w:val="en-GB"/>
        </w:rPr>
        <w:t>s</w:t>
      </w:r>
      <w:r w:rsidR="00201078">
        <w:rPr>
          <w:lang w:val="en-GB"/>
        </w:rPr>
        <w:t>)</w:t>
      </w:r>
      <w:r w:rsidR="00465BAC">
        <w:rPr>
          <w:lang w:val="en-GB"/>
        </w:rPr>
        <w:t xml:space="preserve"> on </w:t>
      </w:r>
      <w:r w:rsidR="007B3EAC">
        <w:rPr>
          <w:lang w:val="en-GB"/>
        </w:rPr>
        <w:t>(</w:t>
      </w:r>
      <w:r w:rsidR="00465BAC">
        <w:rPr>
          <w:lang w:val="en-GB"/>
        </w:rPr>
        <w:t>petro</w:t>
      </w:r>
      <w:r w:rsidR="007B3EAC">
        <w:rPr>
          <w:lang w:val="en-GB"/>
        </w:rPr>
        <w:t>)</w:t>
      </w:r>
      <w:r w:rsidR="00465BAC">
        <w:rPr>
          <w:lang w:val="en-GB"/>
        </w:rPr>
        <w:t>chemical</w:t>
      </w:r>
      <w:r w:rsidR="00637999">
        <w:rPr>
          <w:lang w:val="en-GB"/>
        </w:rPr>
        <w:t xml:space="preserve"> </w:t>
      </w:r>
      <w:r w:rsidR="00465BAC" w:rsidRPr="00E20B23">
        <w:rPr>
          <w:lang w:val="en-GB"/>
        </w:rPr>
        <w:t>sites</w:t>
      </w:r>
      <w:r w:rsidR="0084397E">
        <w:rPr>
          <w:lang w:val="en-GB"/>
        </w:rPr>
        <w:t xml:space="preserve">. </w:t>
      </w:r>
      <w:r w:rsidR="00FC0406" w:rsidRPr="00E20B23">
        <w:rPr>
          <w:lang w:val="en-GB"/>
        </w:rPr>
        <w:t xml:space="preserve">APVs are defined here as trucks that </w:t>
      </w:r>
      <w:r w:rsidR="006D7357">
        <w:rPr>
          <w:lang w:val="en-GB"/>
        </w:rPr>
        <w:t>are powered by</w:t>
      </w:r>
      <w:r w:rsidR="00FC0406" w:rsidRPr="00E20B23">
        <w:rPr>
          <w:lang w:val="en-GB"/>
        </w:rPr>
        <w:t xml:space="preserve"> LNG</w:t>
      </w:r>
      <w:r w:rsidR="006D7357">
        <w:rPr>
          <w:lang w:val="en-GB"/>
        </w:rPr>
        <w:t>,</w:t>
      </w:r>
      <w:r w:rsidR="00FC0406" w:rsidRPr="00E20B23">
        <w:rPr>
          <w:lang w:val="en-GB"/>
        </w:rPr>
        <w:t xml:space="preserve"> CNG</w:t>
      </w:r>
      <w:r w:rsidR="006D7357">
        <w:rPr>
          <w:lang w:val="en-GB"/>
        </w:rPr>
        <w:t>,</w:t>
      </w:r>
      <w:r w:rsidR="00FC0406" w:rsidRPr="00E20B23">
        <w:rPr>
          <w:lang w:val="en-GB"/>
        </w:rPr>
        <w:t xml:space="preserve"> or </w:t>
      </w:r>
      <w:r w:rsidR="006D7357">
        <w:rPr>
          <w:lang w:val="en-GB"/>
        </w:rPr>
        <w:t xml:space="preserve">Li-ion </w:t>
      </w:r>
      <w:r w:rsidR="00FC0406" w:rsidRPr="00E20B23">
        <w:rPr>
          <w:lang w:val="en-GB"/>
        </w:rPr>
        <w:t>batter</w:t>
      </w:r>
      <w:r w:rsidR="006D7357">
        <w:rPr>
          <w:lang w:val="en-GB"/>
        </w:rPr>
        <w:t>ies</w:t>
      </w:r>
      <w:r w:rsidR="00FC0406">
        <w:rPr>
          <w:lang w:val="en-GB"/>
        </w:rPr>
        <w:t>.</w:t>
      </w:r>
    </w:p>
    <w:p w14:paraId="1D68BEA9" w14:textId="744865F7" w:rsidR="0084397E" w:rsidRDefault="00003709" w:rsidP="0084397E">
      <w:pPr>
        <w:pStyle w:val="CETBodytext"/>
        <w:rPr>
          <w:lang w:val="en-GB"/>
        </w:rPr>
      </w:pPr>
      <w:r>
        <w:rPr>
          <w:lang w:val="en-GB"/>
        </w:rPr>
        <w:t xml:space="preserve">Firstly </w:t>
      </w:r>
      <w:r w:rsidR="00A61A9C">
        <w:rPr>
          <w:lang w:val="en-GB"/>
        </w:rPr>
        <w:t>we</w:t>
      </w:r>
      <w:r w:rsidR="0084397E">
        <w:rPr>
          <w:lang w:val="en-GB"/>
        </w:rPr>
        <w:t xml:space="preserve"> found that very</w:t>
      </w:r>
      <w:r w:rsidR="0084397E" w:rsidRPr="00923B8C">
        <w:rPr>
          <w:lang w:val="en-GB"/>
        </w:rPr>
        <w:t xml:space="preserve"> little, if any, legislation </w:t>
      </w:r>
      <w:r w:rsidR="006D7357">
        <w:rPr>
          <w:lang w:val="en-GB"/>
        </w:rPr>
        <w:t xml:space="preserve">regarding </w:t>
      </w:r>
      <w:r w:rsidR="0084397E" w:rsidRPr="00923B8C">
        <w:rPr>
          <w:lang w:val="en-GB"/>
        </w:rPr>
        <w:t>the fuel of trucks on chemical sites exists in Europe</w:t>
      </w:r>
      <w:r w:rsidR="0084397E">
        <w:rPr>
          <w:lang w:val="en-GB"/>
        </w:rPr>
        <w:t>. However, there are various regulations</w:t>
      </w:r>
      <w:r w:rsidR="009728FE">
        <w:rPr>
          <w:lang w:val="en-GB"/>
        </w:rPr>
        <w:t xml:space="preserve"> </w:t>
      </w:r>
      <w:r w:rsidR="0084397E">
        <w:rPr>
          <w:lang w:val="en-GB"/>
        </w:rPr>
        <w:t>that cover</w:t>
      </w:r>
      <w:r w:rsidR="00FC0406">
        <w:rPr>
          <w:lang w:val="en-GB"/>
        </w:rPr>
        <w:t xml:space="preserve"> relevant</w:t>
      </w:r>
      <w:r w:rsidR="0084397E">
        <w:rPr>
          <w:lang w:val="en-GB"/>
        </w:rPr>
        <w:t xml:space="preserve"> </w:t>
      </w:r>
      <w:r w:rsidR="00FC0406">
        <w:rPr>
          <w:lang w:val="en-GB"/>
        </w:rPr>
        <w:t>vehicle</w:t>
      </w:r>
      <w:r w:rsidR="00ED3E23">
        <w:rPr>
          <w:lang w:val="en-GB"/>
        </w:rPr>
        <w:t>, equipment</w:t>
      </w:r>
      <w:r w:rsidR="00FC0406">
        <w:rPr>
          <w:lang w:val="en-GB"/>
        </w:rPr>
        <w:t xml:space="preserve"> or spatial aspects. Also</w:t>
      </w:r>
      <w:r w:rsidR="00B7080E">
        <w:rPr>
          <w:lang w:val="en-GB"/>
        </w:rPr>
        <w:t>,</w:t>
      </w:r>
      <w:r w:rsidR="00FC0406" w:rsidRPr="00E62B4D">
        <w:rPr>
          <w:lang w:val="en-GB"/>
        </w:rPr>
        <w:t xml:space="preserve"> initiatives </w:t>
      </w:r>
      <w:r w:rsidR="00950FC7">
        <w:rPr>
          <w:lang w:val="en-GB"/>
        </w:rPr>
        <w:t xml:space="preserve">to develop APV-guidelines on industrial sites </w:t>
      </w:r>
      <w:r w:rsidR="00FC0406" w:rsidRPr="00E62B4D">
        <w:rPr>
          <w:lang w:val="en-GB"/>
        </w:rPr>
        <w:t xml:space="preserve">are </w:t>
      </w:r>
      <w:r w:rsidR="00B7080E">
        <w:rPr>
          <w:lang w:val="en-GB"/>
        </w:rPr>
        <w:t>being undertaken by (chemical)</w:t>
      </w:r>
      <w:r w:rsidR="00FC0406" w:rsidRPr="00E62B4D">
        <w:rPr>
          <w:lang w:val="en-GB"/>
        </w:rPr>
        <w:t xml:space="preserve"> </w:t>
      </w:r>
      <w:r w:rsidR="00B7080E">
        <w:rPr>
          <w:lang w:val="en-GB"/>
        </w:rPr>
        <w:t>companies</w:t>
      </w:r>
      <w:r w:rsidR="00FC0406">
        <w:rPr>
          <w:lang w:val="en-GB"/>
        </w:rPr>
        <w:t>.</w:t>
      </w:r>
    </w:p>
    <w:p w14:paraId="145CDA44" w14:textId="112F8097" w:rsidR="000A6099" w:rsidRDefault="00FC0406" w:rsidP="00600535">
      <w:pPr>
        <w:pStyle w:val="CETBodytext"/>
        <w:rPr>
          <w:lang w:val="en-GB"/>
        </w:rPr>
      </w:pPr>
      <w:r>
        <w:rPr>
          <w:lang w:val="en-GB"/>
        </w:rPr>
        <w:t xml:space="preserve">Secondly we have created and </w:t>
      </w:r>
      <w:r w:rsidR="000A6099">
        <w:rPr>
          <w:lang w:val="en-GB"/>
        </w:rPr>
        <w:t>evaluat</w:t>
      </w:r>
      <w:r>
        <w:rPr>
          <w:lang w:val="en-GB"/>
        </w:rPr>
        <w:t>ed</w:t>
      </w:r>
      <w:r w:rsidR="00C60E3D">
        <w:rPr>
          <w:lang w:val="en-GB"/>
        </w:rPr>
        <w:t xml:space="preserve"> </w:t>
      </w:r>
      <w:r w:rsidR="00B7080E">
        <w:rPr>
          <w:lang w:val="en-GB"/>
        </w:rPr>
        <w:t>accident</w:t>
      </w:r>
      <w:r w:rsidR="000A6099">
        <w:rPr>
          <w:lang w:val="en-GB"/>
        </w:rPr>
        <w:t xml:space="preserve"> scenario’s</w:t>
      </w:r>
      <w:r w:rsidR="00EF2D02" w:rsidRPr="000A6099">
        <w:rPr>
          <w:lang w:val="en-GB"/>
        </w:rPr>
        <w:t xml:space="preserve"> </w:t>
      </w:r>
      <w:r w:rsidR="00EF2D02">
        <w:rPr>
          <w:lang w:val="en-GB"/>
        </w:rPr>
        <w:t>involving the energy source</w:t>
      </w:r>
      <w:r w:rsidR="00A61A9C">
        <w:rPr>
          <w:lang w:val="en-GB"/>
        </w:rPr>
        <w:t>s</w:t>
      </w:r>
      <w:r w:rsidR="002A2EC4">
        <w:rPr>
          <w:lang w:val="en-GB"/>
        </w:rPr>
        <w:t xml:space="preserve">. </w:t>
      </w:r>
      <w:r w:rsidR="005104CE">
        <w:rPr>
          <w:lang w:val="en-GB"/>
        </w:rPr>
        <w:t xml:space="preserve">For </w:t>
      </w:r>
      <w:r>
        <w:rPr>
          <w:lang w:val="en-GB"/>
        </w:rPr>
        <w:t>e</w:t>
      </w:r>
      <w:r w:rsidR="005104CE">
        <w:rPr>
          <w:lang w:val="en-GB"/>
        </w:rPr>
        <w:t>ach</w:t>
      </w:r>
      <w:r w:rsidR="00B7080E">
        <w:rPr>
          <w:lang w:val="en-GB"/>
        </w:rPr>
        <w:t xml:space="preserve"> of the</w:t>
      </w:r>
      <w:r w:rsidR="005104CE">
        <w:rPr>
          <w:lang w:val="en-GB"/>
        </w:rPr>
        <w:t xml:space="preserve"> </w:t>
      </w:r>
      <w:r w:rsidR="00EF2D02">
        <w:rPr>
          <w:lang w:val="en-GB"/>
        </w:rPr>
        <w:t xml:space="preserve">four </w:t>
      </w:r>
      <w:r w:rsidR="005104CE">
        <w:rPr>
          <w:lang w:val="en-GB"/>
        </w:rPr>
        <w:t>energy source</w:t>
      </w:r>
      <w:r w:rsidR="00EF2D02">
        <w:rPr>
          <w:lang w:val="en-GB"/>
        </w:rPr>
        <w:t xml:space="preserve">s </w:t>
      </w:r>
      <w:r w:rsidR="005104CE">
        <w:rPr>
          <w:lang w:val="en-GB"/>
        </w:rPr>
        <w:t xml:space="preserve">key incident scenarios </w:t>
      </w:r>
      <w:r w:rsidR="005104CE" w:rsidRPr="00C60E3D">
        <w:rPr>
          <w:lang w:val="en-GB"/>
        </w:rPr>
        <w:t>w</w:t>
      </w:r>
      <w:r w:rsidR="005104CE">
        <w:rPr>
          <w:lang w:val="en-GB"/>
        </w:rPr>
        <w:t>ere</w:t>
      </w:r>
      <w:r w:rsidR="00003709">
        <w:rPr>
          <w:lang w:val="en-GB"/>
        </w:rPr>
        <w:t xml:space="preserve"> created</w:t>
      </w:r>
      <w:r w:rsidR="00FC3D11">
        <w:rPr>
          <w:lang w:val="en-GB"/>
        </w:rPr>
        <w:t xml:space="preserve"> for</w:t>
      </w:r>
      <w:r w:rsidR="00F40798">
        <w:rPr>
          <w:lang w:val="en-GB"/>
        </w:rPr>
        <w:t xml:space="preserve"> driving across the site, </w:t>
      </w:r>
      <w:r w:rsidR="00FC3D11">
        <w:rPr>
          <w:lang w:val="en-GB"/>
        </w:rPr>
        <w:t xml:space="preserve">for </w:t>
      </w:r>
      <w:r w:rsidR="00003709">
        <w:rPr>
          <w:lang w:val="en-GB"/>
        </w:rPr>
        <w:t>cargo (un)</w:t>
      </w:r>
      <w:r w:rsidR="00F40798" w:rsidRPr="00C60E3D">
        <w:rPr>
          <w:lang w:val="en-GB"/>
        </w:rPr>
        <w:t xml:space="preserve">loading </w:t>
      </w:r>
      <w:r w:rsidR="00003709">
        <w:rPr>
          <w:lang w:val="en-GB"/>
        </w:rPr>
        <w:t>and</w:t>
      </w:r>
      <w:r w:rsidR="00950FC7">
        <w:rPr>
          <w:lang w:val="en-GB"/>
        </w:rPr>
        <w:t xml:space="preserve"> </w:t>
      </w:r>
      <w:r w:rsidR="00FC3D11">
        <w:rPr>
          <w:lang w:val="en-GB"/>
        </w:rPr>
        <w:t xml:space="preserve">for </w:t>
      </w:r>
      <w:r w:rsidR="00950FC7">
        <w:rPr>
          <w:lang w:val="en-GB"/>
        </w:rPr>
        <w:t>park</w:t>
      </w:r>
      <w:r w:rsidR="00003709">
        <w:rPr>
          <w:lang w:val="en-GB"/>
        </w:rPr>
        <w:t>ing</w:t>
      </w:r>
      <w:r w:rsidR="00F40798">
        <w:rPr>
          <w:lang w:val="en-GB"/>
        </w:rPr>
        <w:t xml:space="preserve">. </w:t>
      </w:r>
      <w:r w:rsidR="00003709">
        <w:rPr>
          <w:lang w:val="en-GB"/>
        </w:rPr>
        <w:t>C</w:t>
      </w:r>
      <w:r w:rsidR="000A6099" w:rsidRPr="000A6099">
        <w:rPr>
          <w:lang w:val="en-GB"/>
        </w:rPr>
        <w:t xml:space="preserve">onsequences of </w:t>
      </w:r>
      <w:r w:rsidR="009A617C">
        <w:rPr>
          <w:lang w:val="en-GB"/>
        </w:rPr>
        <w:t xml:space="preserve">these </w:t>
      </w:r>
      <w:r w:rsidR="00B7080E">
        <w:rPr>
          <w:lang w:val="en-GB"/>
        </w:rPr>
        <w:t>accidents</w:t>
      </w:r>
      <w:r w:rsidR="00950FC7">
        <w:rPr>
          <w:lang w:val="en-GB"/>
        </w:rPr>
        <w:t xml:space="preserve"> </w:t>
      </w:r>
      <w:r w:rsidR="000A6099" w:rsidRPr="000A6099">
        <w:rPr>
          <w:lang w:val="en-GB"/>
        </w:rPr>
        <w:t>differ considerably from those with diesel trucks</w:t>
      </w:r>
      <w:r w:rsidR="000A6099">
        <w:rPr>
          <w:lang w:val="en-GB"/>
        </w:rPr>
        <w:t xml:space="preserve">. </w:t>
      </w:r>
      <w:r w:rsidR="00E74586">
        <w:rPr>
          <w:lang w:val="en-GB"/>
        </w:rPr>
        <w:t>F</w:t>
      </w:r>
      <w:r w:rsidR="005104CE">
        <w:rPr>
          <w:lang w:val="en-GB"/>
        </w:rPr>
        <w:t>ailure</w:t>
      </w:r>
      <w:r w:rsidR="000A6099" w:rsidRPr="000A6099">
        <w:rPr>
          <w:lang w:val="en-GB"/>
        </w:rPr>
        <w:t xml:space="preserve"> of a </w:t>
      </w:r>
      <w:r w:rsidR="005104CE">
        <w:rPr>
          <w:lang w:val="en-GB"/>
        </w:rPr>
        <w:t xml:space="preserve">fuel </w:t>
      </w:r>
      <w:r w:rsidR="000A6099" w:rsidRPr="000A6099">
        <w:rPr>
          <w:lang w:val="en-GB"/>
        </w:rPr>
        <w:t>tank of a diesel truck leads to a pool of liquid that won’t easily ignite</w:t>
      </w:r>
      <w:r w:rsidR="00E74586">
        <w:rPr>
          <w:lang w:val="en-GB"/>
        </w:rPr>
        <w:t>. I</w:t>
      </w:r>
      <w:r w:rsidR="00463D33">
        <w:rPr>
          <w:lang w:val="en-GB"/>
        </w:rPr>
        <w:t>n</w:t>
      </w:r>
      <w:r w:rsidR="000A6099">
        <w:rPr>
          <w:lang w:val="en-GB"/>
        </w:rPr>
        <w:t xml:space="preserve">cidents with natural gas or hydrogen may cause </w:t>
      </w:r>
      <w:r w:rsidR="000A6099" w:rsidRPr="000A6099">
        <w:rPr>
          <w:lang w:val="en-GB"/>
        </w:rPr>
        <w:t>jet fire</w:t>
      </w:r>
      <w:r>
        <w:rPr>
          <w:lang w:val="en-GB"/>
        </w:rPr>
        <w:t>s</w:t>
      </w:r>
      <w:r w:rsidR="000A6099">
        <w:rPr>
          <w:lang w:val="en-GB"/>
        </w:rPr>
        <w:t xml:space="preserve">, </w:t>
      </w:r>
      <w:r w:rsidR="000A6099" w:rsidRPr="000A6099">
        <w:rPr>
          <w:lang w:val="en-GB"/>
        </w:rPr>
        <w:t>fire ball</w:t>
      </w:r>
      <w:r>
        <w:rPr>
          <w:lang w:val="en-GB"/>
        </w:rPr>
        <w:t>s</w:t>
      </w:r>
      <w:r w:rsidR="000A6099">
        <w:rPr>
          <w:lang w:val="en-GB"/>
        </w:rPr>
        <w:t>,</w:t>
      </w:r>
      <w:r w:rsidR="000A6099" w:rsidRPr="000A6099">
        <w:rPr>
          <w:lang w:val="en-GB"/>
        </w:rPr>
        <w:t xml:space="preserve"> explosion</w:t>
      </w:r>
      <w:r>
        <w:rPr>
          <w:lang w:val="en-GB"/>
        </w:rPr>
        <w:t xml:space="preserve">s, or a </w:t>
      </w:r>
      <w:r w:rsidR="000A6099">
        <w:rPr>
          <w:lang w:val="en-GB"/>
        </w:rPr>
        <w:t>BLEVE</w:t>
      </w:r>
      <w:r>
        <w:rPr>
          <w:lang w:val="en-GB"/>
        </w:rPr>
        <w:t xml:space="preserve">. </w:t>
      </w:r>
      <w:r w:rsidR="00B7080E">
        <w:rPr>
          <w:lang w:val="en-GB"/>
        </w:rPr>
        <w:t>Accidents</w:t>
      </w:r>
      <w:r>
        <w:rPr>
          <w:lang w:val="en-GB"/>
        </w:rPr>
        <w:t xml:space="preserve"> with</w:t>
      </w:r>
      <w:r w:rsidR="009A617C">
        <w:rPr>
          <w:lang w:val="en-GB"/>
        </w:rPr>
        <w:t xml:space="preserve"> b</w:t>
      </w:r>
      <w:r w:rsidR="0087154D">
        <w:rPr>
          <w:lang w:val="en-GB"/>
        </w:rPr>
        <w:t xml:space="preserve">atteries </w:t>
      </w:r>
      <w:r w:rsidR="00003709">
        <w:rPr>
          <w:lang w:val="en-GB"/>
        </w:rPr>
        <w:t xml:space="preserve">may lead to a ‘thermal runaway’ generating </w:t>
      </w:r>
      <w:r w:rsidR="00003709" w:rsidRPr="000A6099">
        <w:rPr>
          <w:lang w:val="en-GB"/>
        </w:rPr>
        <w:t>sparks</w:t>
      </w:r>
      <w:r w:rsidR="00003709">
        <w:rPr>
          <w:lang w:val="en-GB"/>
        </w:rPr>
        <w:t>,</w:t>
      </w:r>
      <w:r w:rsidR="00003709" w:rsidRPr="000A6099">
        <w:rPr>
          <w:lang w:val="en-GB"/>
        </w:rPr>
        <w:t xml:space="preserve"> flares</w:t>
      </w:r>
      <w:r w:rsidR="00003709">
        <w:rPr>
          <w:lang w:val="en-GB"/>
        </w:rPr>
        <w:t xml:space="preserve"> and </w:t>
      </w:r>
      <w:r w:rsidR="009A617C" w:rsidRPr="000A6099">
        <w:rPr>
          <w:lang w:val="en-GB"/>
        </w:rPr>
        <w:t>toxic and flammable gases</w:t>
      </w:r>
      <w:r w:rsidR="00003709">
        <w:rPr>
          <w:lang w:val="en-GB"/>
        </w:rPr>
        <w:t xml:space="preserve">, possibly resulting in damage or injuries. </w:t>
      </w:r>
      <w:r w:rsidR="000A6099" w:rsidRPr="000A6099">
        <w:rPr>
          <w:lang w:val="en-GB"/>
        </w:rPr>
        <w:t xml:space="preserve">These effects require special measures </w:t>
      </w:r>
      <w:r w:rsidR="0087154D">
        <w:rPr>
          <w:lang w:val="en-GB"/>
        </w:rPr>
        <w:t xml:space="preserve">that </w:t>
      </w:r>
      <w:r w:rsidR="000A6099" w:rsidRPr="000A6099">
        <w:rPr>
          <w:lang w:val="en-GB"/>
        </w:rPr>
        <w:t xml:space="preserve">should be laid down in </w:t>
      </w:r>
      <w:r w:rsidR="009A617C">
        <w:rPr>
          <w:lang w:val="en-GB"/>
        </w:rPr>
        <w:t xml:space="preserve">the </w:t>
      </w:r>
      <w:r w:rsidR="009E16CC">
        <w:rPr>
          <w:lang w:val="en-GB"/>
        </w:rPr>
        <w:t xml:space="preserve">company’s </w:t>
      </w:r>
      <w:r w:rsidR="000A6099" w:rsidRPr="000A6099">
        <w:rPr>
          <w:lang w:val="en-GB"/>
        </w:rPr>
        <w:t>Safety Management System.</w:t>
      </w:r>
    </w:p>
    <w:p w14:paraId="476B2F2E" w14:textId="52B36035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6725B1DB" w14:textId="57ECFD3E" w:rsidR="009E16CC" w:rsidRDefault="00774475" w:rsidP="00D62C0E">
      <w:pPr>
        <w:pStyle w:val="CETBodytext"/>
        <w:rPr>
          <w:lang w:val="en-GB"/>
        </w:rPr>
      </w:pPr>
      <w:r>
        <w:rPr>
          <w:lang w:val="en-GB"/>
        </w:rPr>
        <w:t>Currently</w:t>
      </w:r>
      <w:r w:rsidR="00F95F52" w:rsidRPr="00F95F52">
        <w:rPr>
          <w:lang w:val="en-GB"/>
        </w:rPr>
        <w:t xml:space="preserve"> </w:t>
      </w:r>
      <w:r>
        <w:rPr>
          <w:lang w:val="en-GB"/>
        </w:rPr>
        <w:t>t</w:t>
      </w:r>
      <w:r w:rsidR="00F95F52" w:rsidRPr="00F95F52">
        <w:rPr>
          <w:lang w:val="en-GB"/>
        </w:rPr>
        <w:t>ransport</w:t>
      </w:r>
      <w:r>
        <w:rPr>
          <w:lang w:val="en-GB"/>
        </w:rPr>
        <w:t xml:space="preserve"> of goods</w:t>
      </w:r>
      <w:r w:rsidR="00F95F52" w:rsidRPr="00F95F52">
        <w:rPr>
          <w:lang w:val="en-GB"/>
        </w:rPr>
        <w:t xml:space="preserve"> over </w:t>
      </w:r>
      <w:r>
        <w:rPr>
          <w:lang w:val="en-GB"/>
        </w:rPr>
        <w:t>(petro)chemical</w:t>
      </w:r>
      <w:r w:rsidR="00F95F52" w:rsidRPr="00F95F52">
        <w:rPr>
          <w:lang w:val="en-GB"/>
        </w:rPr>
        <w:t xml:space="preserve"> sites takes place almost exclusively with </w:t>
      </w:r>
      <w:r>
        <w:rPr>
          <w:lang w:val="en-GB"/>
        </w:rPr>
        <w:t xml:space="preserve">diesel trucks, leading to </w:t>
      </w:r>
      <w:r w:rsidR="00F95F52" w:rsidRPr="00F95F52">
        <w:rPr>
          <w:lang w:val="en-GB"/>
        </w:rPr>
        <w:t>emission of the greenhouse gas CO</w:t>
      </w:r>
      <w:r w:rsidR="00F95F52" w:rsidRPr="005104CE">
        <w:rPr>
          <w:vertAlign w:val="subscript"/>
          <w:lang w:val="en-GB"/>
        </w:rPr>
        <w:t>2</w:t>
      </w:r>
      <w:r w:rsidR="00F95F52" w:rsidRPr="00F95F52">
        <w:rPr>
          <w:lang w:val="en-GB"/>
        </w:rPr>
        <w:t xml:space="preserve">, </w:t>
      </w:r>
      <w:r>
        <w:rPr>
          <w:lang w:val="en-GB"/>
        </w:rPr>
        <w:t>causing</w:t>
      </w:r>
      <w:r w:rsidR="00F95F52" w:rsidRPr="00F95F52">
        <w:rPr>
          <w:lang w:val="en-GB"/>
        </w:rPr>
        <w:t xml:space="preserve"> global warming. </w:t>
      </w:r>
      <w:r w:rsidR="00031C82">
        <w:rPr>
          <w:lang w:val="en-GB"/>
        </w:rPr>
        <w:t>Therefore, a</w:t>
      </w:r>
      <w:r>
        <w:rPr>
          <w:lang w:val="en-GB"/>
        </w:rPr>
        <w:t xml:space="preserve">s with cars and buses, in </w:t>
      </w:r>
      <w:r w:rsidR="00031C82">
        <w:rPr>
          <w:lang w:val="en-GB"/>
        </w:rPr>
        <w:t>freight transport</w:t>
      </w:r>
      <w:r>
        <w:rPr>
          <w:lang w:val="en-GB"/>
        </w:rPr>
        <w:t xml:space="preserve"> fossil fuels are increasingly replaced </w:t>
      </w:r>
      <w:r w:rsidR="00F95F52" w:rsidRPr="00F95F52">
        <w:rPr>
          <w:lang w:val="en-GB"/>
        </w:rPr>
        <w:t xml:space="preserve">by </w:t>
      </w:r>
      <w:r>
        <w:rPr>
          <w:lang w:val="en-GB"/>
        </w:rPr>
        <w:t xml:space="preserve">more </w:t>
      </w:r>
      <w:r w:rsidR="00F95F52" w:rsidRPr="00F95F52">
        <w:rPr>
          <w:lang w:val="en-GB"/>
        </w:rPr>
        <w:t>“sustainable” alternative</w:t>
      </w:r>
      <w:r w:rsidR="00031C82">
        <w:rPr>
          <w:lang w:val="en-GB"/>
        </w:rPr>
        <w:t xml:space="preserve"> fuel</w:t>
      </w:r>
      <w:r w:rsidR="00F95F52" w:rsidRPr="00F95F52">
        <w:rPr>
          <w:lang w:val="en-GB"/>
        </w:rPr>
        <w:t>s, avoiding CO</w:t>
      </w:r>
      <w:r w:rsidR="00F95F52" w:rsidRPr="00F95F52">
        <w:rPr>
          <w:vertAlign w:val="subscript"/>
          <w:lang w:val="en-GB"/>
        </w:rPr>
        <w:t>2</w:t>
      </w:r>
      <w:r w:rsidR="00F95F52" w:rsidRPr="00F95F52">
        <w:rPr>
          <w:lang w:val="en-GB"/>
        </w:rPr>
        <w:t xml:space="preserve"> emissions as much as possible. In th</w:t>
      </w:r>
      <w:r w:rsidR="00405DE3">
        <w:rPr>
          <w:lang w:val="en-GB"/>
        </w:rPr>
        <w:t>e</w:t>
      </w:r>
      <w:r w:rsidR="00F95F52" w:rsidRPr="00F95F52">
        <w:rPr>
          <w:lang w:val="en-GB"/>
        </w:rPr>
        <w:t xml:space="preserve"> context</w:t>
      </w:r>
      <w:r w:rsidR="00405DE3">
        <w:rPr>
          <w:lang w:val="en-GB"/>
        </w:rPr>
        <w:t xml:space="preserve"> of this study</w:t>
      </w:r>
      <w:r w:rsidR="00F95F52" w:rsidRPr="00F95F52">
        <w:rPr>
          <w:lang w:val="en-GB"/>
        </w:rPr>
        <w:t xml:space="preserve">, alternative fuels </w:t>
      </w:r>
      <w:r w:rsidR="00405DE3">
        <w:rPr>
          <w:lang w:val="en-GB"/>
        </w:rPr>
        <w:t xml:space="preserve">refers to </w:t>
      </w:r>
      <w:r w:rsidR="00F95F52" w:rsidRPr="00F95F52">
        <w:rPr>
          <w:lang w:val="en-GB"/>
        </w:rPr>
        <w:t xml:space="preserve">LNG, CNG, hydrogen </w:t>
      </w:r>
      <w:r w:rsidR="00405DE3">
        <w:rPr>
          <w:lang w:val="en-GB"/>
        </w:rPr>
        <w:t>Li-ion</w:t>
      </w:r>
      <w:r w:rsidR="00420FDF">
        <w:rPr>
          <w:lang w:val="en-GB"/>
        </w:rPr>
        <w:t xml:space="preserve"> </w:t>
      </w:r>
      <w:r w:rsidR="00F95F52" w:rsidRPr="00F95F52">
        <w:rPr>
          <w:lang w:val="en-GB"/>
        </w:rPr>
        <w:t xml:space="preserve">batteries. </w:t>
      </w:r>
    </w:p>
    <w:p w14:paraId="75F1E781" w14:textId="5D35C4A8" w:rsidR="009A617C" w:rsidRDefault="00F95F52" w:rsidP="00D62C0E">
      <w:pPr>
        <w:pStyle w:val="CETBodytext"/>
        <w:rPr>
          <w:lang w:val="en-GB"/>
        </w:rPr>
      </w:pPr>
      <w:r w:rsidRPr="00F95F52">
        <w:rPr>
          <w:lang w:val="en-GB"/>
        </w:rPr>
        <w:t xml:space="preserve">Although alternatively powered trucks (APVs) currently make up only a very small proportion of the truck fleet in the Netherlands (about 1% in 2020), their share </w:t>
      </w:r>
      <w:r>
        <w:rPr>
          <w:lang w:val="en-GB"/>
        </w:rPr>
        <w:t xml:space="preserve">has </w:t>
      </w:r>
      <w:r w:rsidRPr="00F95F52">
        <w:rPr>
          <w:lang w:val="en-GB"/>
        </w:rPr>
        <w:t>increase</w:t>
      </w:r>
      <w:r>
        <w:rPr>
          <w:lang w:val="en-GB"/>
        </w:rPr>
        <w:t>d</w:t>
      </w:r>
      <w:r w:rsidRPr="00F95F52">
        <w:rPr>
          <w:lang w:val="en-GB"/>
        </w:rPr>
        <w:t xml:space="preserve"> by a factor of 3 during the period 2015-2020</w:t>
      </w:r>
      <w:r w:rsidR="00B7080E">
        <w:rPr>
          <w:lang w:val="en-GB"/>
        </w:rPr>
        <w:t xml:space="preserve"> (</w:t>
      </w:r>
      <w:r w:rsidR="00D62C0E" w:rsidRPr="00D62C0E">
        <w:rPr>
          <w:lang w:val="en-GB"/>
        </w:rPr>
        <w:t>ACEA, 2021</w:t>
      </w:r>
      <w:r w:rsidR="00B7080E">
        <w:rPr>
          <w:lang w:val="en-GB"/>
        </w:rPr>
        <w:t>)</w:t>
      </w:r>
      <w:r w:rsidR="005E5C92">
        <w:rPr>
          <w:lang w:val="en-GB"/>
        </w:rPr>
        <w:t xml:space="preserve"> and is expected to increase further given t</w:t>
      </w:r>
      <w:r w:rsidRPr="00F95F52">
        <w:rPr>
          <w:lang w:val="en-GB"/>
        </w:rPr>
        <w:t xml:space="preserve">he </w:t>
      </w:r>
      <w:r w:rsidR="005E5C92">
        <w:rPr>
          <w:lang w:val="en-GB"/>
        </w:rPr>
        <w:t xml:space="preserve">Dutch </w:t>
      </w:r>
      <w:r w:rsidRPr="00F95F52">
        <w:rPr>
          <w:lang w:val="en-GB"/>
        </w:rPr>
        <w:t xml:space="preserve">ambition that all new trucks </w:t>
      </w:r>
      <w:r w:rsidR="005E5C92">
        <w:rPr>
          <w:lang w:val="en-GB"/>
        </w:rPr>
        <w:t>should</w:t>
      </w:r>
      <w:r w:rsidR="009728FE">
        <w:rPr>
          <w:lang w:val="en-GB"/>
        </w:rPr>
        <w:t xml:space="preserve"> </w:t>
      </w:r>
      <w:r w:rsidRPr="00F95F52">
        <w:rPr>
          <w:lang w:val="en-GB"/>
        </w:rPr>
        <w:t>be “zero emission” by 2040</w:t>
      </w:r>
      <w:r w:rsidR="00B91F16">
        <w:rPr>
          <w:lang w:val="en-GB"/>
        </w:rPr>
        <w:t xml:space="preserve"> (</w:t>
      </w:r>
      <w:r w:rsidR="00F04FBF">
        <w:rPr>
          <w:lang w:val="en-GB"/>
        </w:rPr>
        <w:t>TLN, n.d.</w:t>
      </w:r>
      <w:r w:rsidR="00B91F16">
        <w:rPr>
          <w:lang w:val="en-GB"/>
        </w:rPr>
        <w:t>)</w:t>
      </w:r>
      <w:r w:rsidRPr="00F95F52">
        <w:rPr>
          <w:lang w:val="en-GB"/>
        </w:rPr>
        <w:t>.</w:t>
      </w:r>
      <w:r w:rsidR="005E5C92">
        <w:rPr>
          <w:lang w:val="en-GB"/>
        </w:rPr>
        <w:t xml:space="preserve"> </w:t>
      </w:r>
      <w:r w:rsidRPr="00F95F52">
        <w:rPr>
          <w:lang w:val="en-GB"/>
        </w:rPr>
        <w:t xml:space="preserve">However, </w:t>
      </w:r>
      <w:r w:rsidR="004D4609">
        <w:rPr>
          <w:lang w:val="en-GB"/>
        </w:rPr>
        <w:t>this</w:t>
      </w:r>
      <w:r w:rsidRPr="00F95F52">
        <w:rPr>
          <w:lang w:val="en-GB"/>
        </w:rPr>
        <w:t xml:space="preserve"> </w:t>
      </w:r>
      <w:r>
        <w:rPr>
          <w:lang w:val="en-GB"/>
        </w:rPr>
        <w:t>should</w:t>
      </w:r>
      <w:r w:rsidRPr="00F95F52">
        <w:rPr>
          <w:lang w:val="en-GB"/>
        </w:rPr>
        <w:t xml:space="preserve"> not </w:t>
      </w:r>
      <w:r w:rsidR="00405DE3">
        <w:rPr>
          <w:lang w:val="en-GB"/>
        </w:rPr>
        <w:t xml:space="preserve">compromise </w:t>
      </w:r>
      <w:r w:rsidRPr="00F95F52">
        <w:rPr>
          <w:lang w:val="en-GB"/>
        </w:rPr>
        <w:t>safety</w:t>
      </w:r>
      <w:r w:rsidR="005E5C92">
        <w:rPr>
          <w:lang w:val="en-GB"/>
        </w:rPr>
        <w:t>. Therefore</w:t>
      </w:r>
      <w:r w:rsidR="00405DE3">
        <w:rPr>
          <w:lang w:val="en-GB"/>
        </w:rPr>
        <w:t xml:space="preserve"> </w:t>
      </w:r>
      <w:r w:rsidRPr="00F95F52">
        <w:rPr>
          <w:lang w:val="en-GB"/>
        </w:rPr>
        <w:t>NIPV investigate</w:t>
      </w:r>
      <w:r w:rsidR="00405DE3">
        <w:rPr>
          <w:lang w:val="en-GB"/>
        </w:rPr>
        <w:t>d</w:t>
      </w:r>
      <w:r w:rsidRPr="00F95F52">
        <w:rPr>
          <w:lang w:val="en-GB"/>
        </w:rPr>
        <w:t xml:space="preserve"> the safety risks associated with the use of A</w:t>
      </w:r>
      <w:r>
        <w:rPr>
          <w:lang w:val="en-GB"/>
        </w:rPr>
        <w:t>P</w:t>
      </w:r>
      <w:r w:rsidRPr="00F95F52">
        <w:rPr>
          <w:lang w:val="en-GB"/>
        </w:rPr>
        <w:t xml:space="preserve">Vs at </w:t>
      </w:r>
      <w:r w:rsidR="00CC2423">
        <w:rPr>
          <w:lang w:val="en-GB"/>
        </w:rPr>
        <w:t>(petro)</w:t>
      </w:r>
      <w:r w:rsidRPr="00F95F52">
        <w:rPr>
          <w:lang w:val="en-GB"/>
        </w:rPr>
        <w:t>chemical sites. The research consist</w:t>
      </w:r>
      <w:r w:rsidR="00CC2423">
        <w:rPr>
          <w:lang w:val="en-GB"/>
        </w:rPr>
        <w:t>ed</w:t>
      </w:r>
      <w:r w:rsidRPr="00F95F52">
        <w:rPr>
          <w:lang w:val="en-GB"/>
        </w:rPr>
        <w:t xml:space="preserve"> of a </w:t>
      </w:r>
      <w:r w:rsidR="004D4609">
        <w:rPr>
          <w:lang w:val="en-GB"/>
        </w:rPr>
        <w:t xml:space="preserve">literature </w:t>
      </w:r>
      <w:r>
        <w:rPr>
          <w:lang w:val="en-GB"/>
        </w:rPr>
        <w:t xml:space="preserve">study of </w:t>
      </w:r>
      <w:r w:rsidRPr="00F95F52">
        <w:rPr>
          <w:lang w:val="en-GB"/>
        </w:rPr>
        <w:t>regulations</w:t>
      </w:r>
      <w:r w:rsidR="005E5C92">
        <w:rPr>
          <w:lang w:val="en-GB"/>
        </w:rPr>
        <w:t>,</w:t>
      </w:r>
      <w:r w:rsidR="00E202FA">
        <w:rPr>
          <w:lang w:val="en-GB"/>
        </w:rPr>
        <w:t xml:space="preserve"> requirements </w:t>
      </w:r>
      <w:r w:rsidRPr="00F95F52">
        <w:rPr>
          <w:lang w:val="en-GB"/>
        </w:rPr>
        <w:t>and</w:t>
      </w:r>
      <w:r>
        <w:rPr>
          <w:lang w:val="en-GB"/>
        </w:rPr>
        <w:t xml:space="preserve"> </w:t>
      </w:r>
      <w:r w:rsidR="005E5C92">
        <w:rPr>
          <w:lang w:val="en-GB"/>
        </w:rPr>
        <w:t>private initiatives</w:t>
      </w:r>
      <w:r w:rsidR="004D4609">
        <w:rPr>
          <w:lang w:val="en-GB"/>
        </w:rPr>
        <w:t xml:space="preserve"> </w:t>
      </w:r>
      <w:r w:rsidR="005E5C92">
        <w:rPr>
          <w:lang w:val="en-GB"/>
        </w:rPr>
        <w:t xml:space="preserve">and </w:t>
      </w:r>
      <w:r w:rsidR="00C922A6">
        <w:rPr>
          <w:lang w:val="en-GB"/>
        </w:rPr>
        <w:t xml:space="preserve">an </w:t>
      </w:r>
      <w:r>
        <w:rPr>
          <w:lang w:val="en-GB"/>
        </w:rPr>
        <w:t>evaluat</w:t>
      </w:r>
      <w:r w:rsidR="00C922A6">
        <w:rPr>
          <w:lang w:val="en-GB"/>
        </w:rPr>
        <w:t>ion of</w:t>
      </w:r>
      <w:r>
        <w:rPr>
          <w:lang w:val="en-GB"/>
        </w:rPr>
        <w:t xml:space="preserve"> representative (key) incident scenario’s</w:t>
      </w:r>
      <w:r w:rsidRPr="00F95F52">
        <w:rPr>
          <w:lang w:val="en-GB"/>
        </w:rPr>
        <w:t xml:space="preserve"> </w:t>
      </w:r>
      <w:r w:rsidR="00C922A6">
        <w:rPr>
          <w:lang w:val="en-GB"/>
        </w:rPr>
        <w:t>with APVs</w:t>
      </w:r>
      <w:r w:rsidRPr="00F95F52">
        <w:rPr>
          <w:lang w:val="en-GB"/>
        </w:rPr>
        <w:t xml:space="preserve"> at hazardous materials sites</w:t>
      </w:r>
      <w:r>
        <w:rPr>
          <w:lang w:val="en-GB"/>
        </w:rPr>
        <w:t xml:space="preserve">. </w:t>
      </w:r>
    </w:p>
    <w:p w14:paraId="685546C4" w14:textId="6EE08F20" w:rsidR="009A617C" w:rsidRPr="00B57B36" w:rsidRDefault="009A617C" w:rsidP="009A617C">
      <w:pPr>
        <w:pStyle w:val="CETHeading1"/>
        <w:rPr>
          <w:lang w:val="en-GB"/>
        </w:rPr>
      </w:pPr>
      <w:r>
        <w:rPr>
          <w:lang w:val="en-GB"/>
        </w:rPr>
        <w:t>Method</w:t>
      </w:r>
    </w:p>
    <w:p w14:paraId="4E333A81" w14:textId="0E69D207" w:rsidR="009A617C" w:rsidRDefault="00E202FA" w:rsidP="00600535">
      <w:pPr>
        <w:pStyle w:val="CETBodytext"/>
        <w:rPr>
          <w:lang w:val="en-GB"/>
        </w:rPr>
      </w:pPr>
      <w:r>
        <w:rPr>
          <w:lang w:val="en-GB"/>
        </w:rPr>
        <w:t>Regulations</w:t>
      </w:r>
      <w:r w:rsidR="006C0DE2">
        <w:rPr>
          <w:lang w:val="en-GB"/>
        </w:rPr>
        <w:t>,</w:t>
      </w:r>
      <w:r>
        <w:rPr>
          <w:lang w:val="en-GB"/>
        </w:rPr>
        <w:t xml:space="preserve"> requirement</w:t>
      </w:r>
      <w:r w:rsidR="00CC2423">
        <w:rPr>
          <w:lang w:val="en-GB"/>
        </w:rPr>
        <w:t>s</w:t>
      </w:r>
      <w:r>
        <w:rPr>
          <w:lang w:val="en-GB"/>
        </w:rPr>
        <w:t xml:space="preserve"> </w:t>
      </w:r>
      <w:r w:rsidR="006C0DE2">
        <w:rPr>
          <w:lang w:val="en-GB"/>
        </w:rPr>
        <w:t xml:space="preserve">and other initiatives </w:t>
      </w:r>
      <w:r>
        <w:rPr>
          <w:lang w:val="en-GB"/>
        </w:rPr>
        <w:t xml:space="preserve">were compiled through a desk </w:t>
      </w:r>
      <w:r w:rsidR="005E5C92">
        <w:rPr>
          <w:lang w:val="en-GB"/>
        </w:rPr>
        <w:t xml:space="preserve">(internet) </w:t>
      </w:r>
      <w:r>
        <w:rPr>
          <w:lang w:val="en-GB"/>
        </w:rPr>
        <w:t>study</w:t>
      </w:r>
      <w:r w:rsidR="006C0DE2">
        <w:rPr>
          <w:lang w:val="en-GB"/>
        </w:rPr>
        <w:t xml:space="preserve"> using </w:t>
      </w:r>
      <w:r w:rsidR="00420FDF">
        <w:rPr>
          <w:lang w:val="en-GB"/>
        </w:rPr>
        <w:t>G</w:t>
      </w:r>
      <w:r>
        <w:rPr>
          <w:lang w:val="en-GB"/>
        </w:rPr>
        <w:t>oogle</w:t>
      </w:r>
      <w:r w:rsidR="005E5C92">
        <w:rPr>
          <w:lang w:val="en-GB"/>
        </w:rPr>
        <w:t xml:space="preserve">. </w:t>
      </w:r>
      <w:r w:rsidR="004D4609">
        <w:rPr>
          <w:lang w:val="en-GB"/>
        </w:rPr>
        <w:t>Also specific sites, known (from professional experience) to contain relevant information, were consulted. R</w:t>
      </w:r>
      <w:r>
        <w:rPr>
          <w:lang w:val="en-GB"/>
        </w:rPr>
        <w:t>elevant documents were analysed and from further links</w:t>
      </w:r>
      <w:r w:rsidR="00254D50">
        <w:rPr>
          <w:lang w:val="en-GB"/>
        </w:rPr>
        <w:t xml:space="preserve"> within these documents </w:t>
      </w:r>
      <w:r w:rsidR="004D4609">
        <w:rPr>
          <w:lang w:val="en-GB"/>
        </w:rPr>
        <w:t>more information was retrieved</w:t>
      </w:r>
      <w:r w:rsidR="003F13F3">
        <w:rPr>
          <w:lang w:val="en-GB"/>
        </w:rPr>
        <w:t xml:space="preserve"> (“snow ball method”)</w:t>
      </w:r>
      <w:r w:rsidR="004D4609">
        <w:rPr>
          <w:lang w:val="en-GB"/>
        </w:rPr>
        <w:t>.</w:t>
      </w:r>
      <w:r w:rsidR="00254D50">
        <w:rPr>
          <w:lang w:val="en-GB"/>
        </w:rPr>
        <w:t xml:space="preserve"> </w:t>
      </w:r>
    </w:p>
    <w:p w14:paraId="0D412CD8" w14:textId="57AB4232" w:rsidR="00254D50" w:rsidRDefault="00254D50" w:rsidP="00600535">
      <w:pPr>
        <w:pStyle w:val="CETBodytext"/>
        <w:rPr>
          <w:lang w:val="en-GB"/>
        </w:rPr>
      </w:pPr>
      <w:r>
        <w:rPr>
          <w:lang w:val="en-GB"/>
        </w:rPr>
        <w:t xml:space="preserve">For the second part of the study two workshops were held with representatives of the Dutch chemical industry, </w:t>
      </w:r>
      <w:r w:rsidR="006D681A">
        <w:rPr>
          <w:lang w:val="en-GB"/>
        </w:rPr>
        <w:t>e</w:t>
      </w:r>
      <w:r>
        <w:rPr>
          <w:lang w:val="en-GB"/>
        </w:rPr>
        <w:t xml:space="preserve">mergency </w:t>
      </w:r>
      <w:r w:rsidR="006D681A">
        <w:rPr>
          <w:lang w:val="en-GB"/>
        </w:rPr>
        <w:t>r</w:t>
      </w:r>
      <w:r>
        <w:rPr>
          <w:lang w:val="en-GB"/>
        </w:rPr>
        <w:t>esponders and governmental organisations involved with industrial safety of “Seveso</w:t>
      </w:r>
      <w:r w:rsidR="00B33B33">
        <w:rPr>
          <w:lang w:val="en-GB"/>
        </w:rPr>
        <w:t>-sites”</w:t>
      </w:r>
      <w:r>
        <w:rPr>
          <w:lang w:val="en-GB"/>
        </w:rPr>
        <w:t>. During the workshops key incident scenarios</w:t>
      </w:r>
      <w:r w:rsidR="00B33B33">
        <w:rPr>
          <w:lang w:val="en-GB"/>
        </w:rPr>
        <w:t xml:space="preserve"> </w:t>
      </w:r>
      <w:r>
        <w:rPr>
          <w:lang w:val="en-GB"/>
        </w:rPr>
        <w:t xml:space="preserve">were constructed and analysed. </w:t>
      </w:r>
      <w:r w:rsidR="004A2989">
        <w:rPr>
          <w:lang w:val="en-GB"/>
        </w:rPr>
        <w:t>This is shown in Figure 1.</w:t>
      </w:r>
    </w:p>
    <w:p w14:paraId="3ECD6383" w14:textId="204F7FA9" w:rsidR="004A2989" w:rsidRDefault="004D4609" w:rsidP="00600535">
      <w:pPr>
        <w:pStyle w:val="CETBodytext"/>
        <w:rPr>
          <w:lang w:val="en-GB"/>
        </w:rPr>
      </w:pPr>
      <w:r w:rsidRPr="004A2989">
        <w:t xml:space="preserve">Because in principle numerous incidents are conceivable, </w:t>
      </w:r>
      <w:r>
        <w:t>prior to the workshops</w:t>
      </w:r>
      <w:r w:rsidRPr="004A2989">
        <w:t xml:space="preserve"> a number of example scenarios were prepared </w:t>
      </w:r>
      <w:r w:rsidR="003F13F3">
        <w:t>based on</w:t>
      </w:r>
      <w:r w:rsidR="00DD6C14">
        <w:t xml:space="preserve"> the principles of</w:t>
      </w:r>
      <w:r w:rsidR="003F13F3">
        <w:t xml:space="preserve"> </w:t>
      </w:r>
      <w:r>
        <w:t>e</w:t>
      </w:r>
      <w:r w:rsidRPr="004A2989">
        <w:t xml:space="preserve">xternal </w:t>
      </w:r>
      <w:r>
        <w:t>s</w:t>
      </w:r>
      <w:r w:rsidRPr="004A2989">
        <w:t>afety</w:t>
      </w:r>
      <w:r>
        <w:t xml:space="preserve"> </w:t>
      </w:r>
      <w:r w:rsidR="00DD6C14">
        <w:t xml:space="preserve">assessments </w:t>
      </w:r>
      <w:r w:rsidR="003F13F3">
        <w:t xml:space="preserve">in the Netherlands </w:t>
      </w:r>
      <w:r>
        <w:t>(PGS 3, 2005)</w:t>
      </w:r>
      <w:r w:rsidRPr="004A2989">
        <w:t xml:space="preserve">. These were used as a starting point </w:t>
      </w:r>
      <w:r>
        <w:t xml:space="preserve">and combined with industry experience </w:t>
      </w:r>
      <w:r w:rsidRPr="004A2989">
        <w:t xml:space="preserve">to </w:t>
      </w:r>
      <w:r>
        <w:t>construct key</w:t>
      </w:r>
      <w:r w:rsidRPr="004A2989">
        <w:t xml:space="preserve"> scenarios for three </w:t>
      </w:r>
      <w:r>
        <w:t>truck-</w:t>
      </w:r>
      <w:r>
        <w:lastRenderedPageBreak/>
        <w:t xml:space="preserve">related </w:t>
      </w:r>
      <w:r w:rsidRPr="004A2989">
        <w:t xml:space="preserve">activities at petrochemical sites: driving, loading/unloading and parking. </w:t>
      </w:r>
      <w:r>
        <w:t xml:space="preserve">This was done for </w:t>
      </w:r>
      <w:r w:rsidRPr="004A2989">
        <w:t>LNG</w:t>
      </w:r>
      <w:r>
        <w:t>-</w:t>
      </w:r>
      <w:r w:rsidRPr="004A2989">
        <w:t>, CNG</w:t>
      </w:r>
      <w:r>
        <w:t>- and</w:t>
      </w:r>
      <w:r w:rsidRPr="004A2989">
        <w:t xml:space="preserve"> H</w:t>
      </w:r>
      <w:r w:rsidRPr="00677EAB">
        <w:rPr>
          <w:vertAlign w:val="subscript"/>
        </w:rPr>
        <w:t>2</w:t>
      </w:r>
      <w:r>
        <w:t>-</w:t>
      </w:r>
      <w:r w:rsidRPr="004A2989">
        <w:t>fuel tank</w:t>
      </w:r>
      <w:r>
        <w:t>s</w:t>
      </w:r>
      <w:r w:rsidRPr="004A2989">
        <w:t xml:space="preserve"> </w:t>
      </w:r>
      <w:r>
        <w:t>and</w:t>
      </w:r>
      <w:r w:rsidRPr="004A2989">
        <w:t xml:space="preserve"> </w:t>
      </w:r>
      <w:r w:rsidR="00FC3D11">
        <w:t xml:space="preserve">Li-ion </w:t>
      </w:r>
      <w:r w:rsidRPr="004A2989">
        <w:t>batter</w:t>
      </w:r>
      <w:r>
        <w:t>ies, resulting in 12 key scenarios. For these scenarios type and extend (effect distances) of (adverse) effects were determined using the software tool EFFECTS</w:t>
      </w:r>
      <w:r w:rsidR="00444219">
        <w:t xml:space="preserve">, </w:t>
      </w:r>
      <w:r>
        <w:t>version 12</w:t>
      </w:r>
      <w:r w:rsidR="00FC3D11">
        <w:t xml:space="preserve"> (Gexcon, 202</w:t>
      </w:r>
      <w:r w:rsidR="00444219">
        <w:t>5</w:t>
      </w:r>
      <w:r w:rsidR="00FC3D11">
        <w:t>)</w:t>
      </w:r>
      <w:r>
        <w:t xml:space="preserve">. Accidents yielding the largest effect distances (Worst Credible Accidents or WCAs) were used for further evaluation, </w:t>
      </w:r>
      <w:r w:rsidR="00444219">
        <w:t>i.e.</w:t>
      </w:r>
      <w:r>
        <w:t xml:space="preserve"> for site impact.</w:t>
      </w:r>
    </w:p>
    <w:p w14:paraId="14AE4CD8" w14:textId="38E06AF6" w:rsidR="004A2989" w:rsidRDefault="00F77D21" w:rsidP="000E606D">
      <w:pPr>
        <w:pStyle w:val="CETCaption"/>
        <w:keepNext/>
      </w:pPr>
      <w:r w:rsidRPr="00F77D21">
        <w:rPr>
          <w:noProof/>
        </w:rPr>
        <w:drawing>
          <wp:inline distT="0" distB="0" distL="0" distR="0" wp14:anchorId="147420EF" wp14:editId="675AA017">
            <wp:extent cx="5579745" cy="1365250"/>
            <wp:effectExtent l="0" t="0" r="1905" b="6350"/>
            <wp:docPr id="405839693" name="Afbeelding 1" descr="Afbeelding met tekst, schermopname, Lettertyp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39693" name="Afbeelding 1" descr="Afbeelding met tekst, schermopname, Lettertype, lijn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E3CA" w14:textId="4C022FA4" w:rsidR="00B33B33" w:rsidRDefault="004A2989" w:rsidP="004A2989">
      <w:pPr>
        <w:pStyle w:val="CETCaption"/>
      </w:pPr>
      <w:r w:rsidRPr="00BD077D">
        <w:rPr>
          <w:rStyle w:val="CETCaptionCarattere"/>
          <w:i/>
        </w:rPr>
        <w:t xml:space="preserve">Figure 1: </w:t>
      </w:r>
      <w:r w:rsidR="002F6131">
        <w:rPr>
          <w:rStyle w:val="CETCaptionCarattere"/>
          <w:i/>
        </w:rPr>
        <w:t>Working method to obtain WC</w:t>
      </w:r>
      <w:r w:rsidR="00F77D21">
        <w:rPr>
          <w:rStyle w:val="CETCaptionCarattere"/>
          <w:i/>
        </w:rPr>
        <w:t>A</w:t>
      </w:r>
      <w:r w:rsidR="002F6131">
        <w:rPr>
          <w:rStyle w:val="CETCaptionCarattere"/>
          <w:i/>
        </w:rPr>
        <w:t>s and safety measures</w:t>
      </w:r>
    </w:p>
    <w:p w14:paraId="44157A45" w14:textId="1BDEF6D2" w:rsidR="00B33B33" w:rsidRPr="004A2989" w:rsidRDefault="00B33B33" w:rsidP="00A711ED">
      <w:pPr>
        <w:pStyle w:val="CETBodytext"/>
      </w:pPr>
      <w:r w:rsidRPr="004A2989">
        <w:t xml:space="preserve">To be able to estimate the </w:t>
      </w:r>
      <w:r w:rsidR="00D43AD1">
        <w:t>impact</w:t>
      </w:r>
      <w:r w:rsidRPr="004A2989">
        <w:t xml:space="preserve"> of the scenarios </w:t>
      </w:r>
      <w:r w:rsidR="00412E01">
        <w:t xml:space="preserve">on site </w:t>
      </w:r>
      <w:r w:rsidRPr="004A2989">
        <w:t xml:space="preserve">and later work out the </w:t>
      </w:r>
      <w:r w:rsidR="00A711ED">
        <w:t xml:space="preserve">safety </w:t>
      </w:r>
      <w:r w:rsidRPr="004A2989">
        <w:t xml:space="preserve">measures, realistic settings (working methods, </w:t>
      </w:r>
      <w:r w:rsidR="00CC2423">
        <w:t>location</w:t>
      </w:r>
      <w:r w:rsidR="000600B5">
        <w:t>,</w:t>
      </w:r>
      <w:r w:rsidR="00CC2423">
        <w:t xml:space="preserve"> </w:t>
      </w:r>
      <w:r w:rsidRPr="004A2989">
        <w:t>environment</w:t>
      </w:r>
      <w:r w:rsidR="000600B5">
        <w:t xml:space="preserve"> etc.</w:t>
      </w:r>
      <w:r w:rsidRPr="004A2989">
        <w:t xml:space="preserve">) </w:t>
      </w:r>
      <w:r w:rsidR="000600B5">
        <w:t>for</w:t>
      </w:r>
      <w:r w:rsidRPr="004A2989">
        <w:t xml:space="preserve"> the scenarios are important. Input provided by workshop participants </w:t>
      </w:r>
      <w:r w:rsidR="00677EAB">
        <w:t>wa</w:t>
      </w:r>
      <w:r w:rsidR="00A711ED">
        <w:t>s</w:t>
      </w:r>
      <w:r w:rsidRPr="004A2989">
        <w:t xml:space="preserve"> essential for this purpose. </w:t>
      </w:r>
      <w:r w:rsidR="00A711ED">
        <w:t>Safety measures</w:t>
      </w:r>
      <w:r w:rsidRPr="004A2989">
        <w:t xml:space="preserve"> can be aimed at preventing the undesired event (preventive</w:t>
      </w:r>
      <w:r w:rsidR="00677EAB">
        <w:t xml:space="preserve"> measures</w:t>
      </w:r>
      <w:r w:rsidRPr="004A2989">
        <w:t>) or at limiting the consequences (mitigating</w:t>
      </w:r>
      <w:r w:rsidR="00677EAB">
        <w:t xml:space="preserve"> or</w:t>
      </w:r>
      <w:r w:rsidRPr="004A2989">
        <w:t xml:space="preserve"> repressive</w:t>
      </w:r>
      <w:r w:rsidR="00677EAB">
        <w:t xml:space="preserve"> measures</w:t>
      </w:r>
      <w:r w:rsidRPr="004A2989">
        <w:t xml:space="preserve">). They can be of spatial (distance), organizational or technical nature. </w:t>
      </w:r>
    </w:p>
    <w:p w14:paraId="1EAB7DF5" w14:textId="6EEFC953" w:rsidR="009A617C" w:rsidRDefault="004D4609" w:rsidP="00600535">
      <w:pPr>
        <w:pStyle w:val="CETBodytext"/>
        <w:rPr>
          <w:lang w:val="en-GB"/>
        </w:rPr>
      </w:pPr>
      <w:r>
        <w:t>As t</w:t>
      </w:r>
      <w:r w:rsidR="00B33B33" w:rsidRPr="004A2989">
        <w:t>here is a wide variety of petrochemical companies</w:t>
      </w:r>
      <w:r w:rsidR="003F4B31">
        <w:t>,</w:t>
      </w:r>
      <w:r>
        <w:t xml:space="preserve"> i</w:t>
      </w:r>
      <w:r w:rsidR="00A711ED">
        <w:t>mplementation</w:t>
      </w:r>
      <w:r w:rsidR="003F4B31">
        <w:t xml:space="preserve"> of safety measures will </w:t>
      </w:r>
      <w:r w:rsidR="00A711ED">
        <w:t>vary</w:t>
      </w:r>
      <w:r w:rsidR="00677EAB">
        <w:t xml:space="preserve">. </w:t>
      </w:r>
      <w:r w:rsidR="00A711ED">
        <w:t xml:space="preserve">In a </w:t>
      </w:r>
      <w:r w:rsidR="00CC2423">
        <w:t>further</w:t>
      </w:r>
      <w:r w:rsidR="00A711ED">
        <w:t xml:space="preserve"> workshop </w:t>
      </w:r>
      <w:r w:rsidR="003F4B31">
        <w:t>some</w:t>
      </w:r>
      <w:r w:rsidR="00677EAB">
        <w:t xml:space="preserve"> companies reported on the imp</w:t>
      </w:r>
      <w:r w:rsidR="00CC2423">
        <w:t>lica</w:t>
      </w:r>
      <w:r w:rsidR="00677EAB">
        <w:t>t</w:t>
      </w:r>
      <w:r w:rsidR="00CC2423">
        <w:t>ions</w:t>
      </w:r>
      <w:r w:rsidR="00677EAB">
        <w:t xml:space="preserve"> </w:t>
      </w:r>
      <w:r w:rsidR="003F4B31">
        <w:t>this might have on</w:t>
      </w:r>
      <w:r w:rsidR="00677EAB">
        <w:t xml:space="preserve"> their </w:t>
      </w:r>
      <w:r w:rsidR="003F4B31">
        <w:t>safety management system (</w:t>
      </w:r>
      <w:r w:rsidR="00677EAB">
        <w:t>SMS</w:t>
      </w:r>
      <w:r w:rsidR="003F4B31">
        <w:t>)</w:t>
      </w:r>
      <w:r w:rsidR="00677EAB">
        <w:t>.</w:t>
      </w:r>
    </w:p>
    <w:p w14:paraId="79D932CF" w14:textId="7228F9A3" w:rsidR="00E62B4D" w:rsidRPr="00B57B36" w:rsidRDefault="00E62B4D" w:rsidP="00E62B4D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Results</w:t>
      </w:r>
    </w:p>
    <w:p w14:paraId="2DF83F39" w14:textId="58B33D8F" w:rsidR="00E62B4D" w:rsidRPr="00B57B36" w:rsidRDefault="00E62B4D" w:rsidP="00E62B4D">
      <w:pPr>
        <w:pStyle w:val="CETheadingx"/>
      </w:pPr>
      <w:r>
        <w:t>Legislation</w:t>
      </w:r>
      <w:r w:rsidR="005E5C92">
        <w:t>,</w:t>
      </w:r>
      <w:r>
        <w:t xml:space="preserve"> regulations</w:t>
      </w:r>
      <w:r w:rsidR="005E5C92">
        <w:t xml:space="preserve"> and company initiatives</w:t>
      </w:r>
    </w:p>
    <w:p w14:paraId="0360C61C" w14:textId="725F9436" w:rsidR="00E816CE" w:rsidRDefault="00E62B4D" w:rsidP="00E62B4D">
      <w:pPr>
        <w:pStyle w:val="CETBodytext"/>
        <w:rPr>
          <w:lang w:val="en-GB"/>
        </w:rPr>
      </w:pPr>
      <w:r w:rsidRPr="00E62B4D">
        <w:rPr>
          <w:lang w:val="en-GB"/>
        </w:rPr>
        <w:t xml:space="preserve">The literature review </w:t>
      </w:r>
      <w:r w:rsidR="003F4B31">
        <w:rPr>
          <w:lang w:val="en-GB"/>
        </w:rPr>
        <w:t>showed</w:t>
      </w:r>
      <w:r w:rsidRPr="00E62B4D">
        <w:rPr>
          <w:lang w:val="en-GB"/>
        </w:rPr>
        <w:t xml:space="preserve"> that there are no regulations for the use of alternatively powered vehicles in the European ‘Seveso-III-Directive’</w:t>
      </w:r>
      <w:r w:rsidR="0053672D">
        <w:rPr>
          <w:lang w:val="en-GB"/>
        </w:rPr>
        <w:t xml:space="preserve"> </w:t>
      </w:r>
      <w:r w:rsidRPr="00E62B4D">
        <w:rPr>
          <w:lang w:val="en-GB"/>
        </w:rPr>
        <w:t>(2012/18/EU)</w:t>
      </w:r>
      <w:r w:rsidR="00D9489F">
        <w:rPr>
          <w:lang w:val="en-GB"/>
        </w:rPr>
        <w:t xml:space="preserve"> (EU, 2012)</w:t>
      </w:r>
      <w:r w:rsidRPr="00E62B4D">
        <w:rPr>
          <w:lang w:val="en-GB"/>
        </w:rPr>
        <w:t xml:space="preserve">. </w:t>
      </w:r>
      <w:r w:rsidR="001926B2">
        <w:rPr>
          <w:lang w:val="en-GB"/>
        </w:rPr>
        <w:t>R</w:t>
      </w:r>
      <w:r w:rsidR="00E816CE" w:rsidRPr="00E62B4D">
        <w:rPr>
          <w:lang w:val="en-GB"/>
        </w:rPr>
        <w:t xml:space="preserve">egulations for the use of </w:t>
      </w:r>
      <w:r w:rsidR="00E816CE">
        <w:rPr>
          <w:lang w:val="en-GB"/>
        </w:rPr>
        <w:t>APVs</w:t>
      </w:r>
      <w:r w:rsidR="00E816CE" w:rsidRPr="00E62B4D">
        <w:rPr>
          <w:lang w:val="en-GB"/>
        </w:rPr>
        <w:t xml:space="preserve"> at specific (chemical) sites</w:t>
      </w:r>
      <w:r w:rsidR="003F4B31">
        <w:rPr>
          <w:lang w:val="en-GB"/>
        </w:rPr>
        <w:t xml:space="preserve"> in the USA</w:t>
      </w:r>
      <w:r w:rsidR="001926B2">
        <w:rPr>
          <w:lang w:val="en-GB"/>
        </w:rPr>
        <w:t xml:space="preserve"> were not found either.</w:t>
      </w:r>
    </w:p>
    <w:p w14:paraId="46C93CDC" w14:textId="6E853DAF" w:rsidR="00E62B4D" w:rsidRDefault="006C0DE2" w:rsidP="00E62B4D">
      <w:pPr>
        <w:pStyle w:val="CETBodytext"/>
        <w:rPr>
          <w:lang w:val="en-GB"/>
        </w:rPr>
      </w:pPr>
      <w:r>
        <w:rPr>
          <w:lang w:val="en-GB"/>
        </w:rPr>
        <w:t>However t</w:t>
      </w:r>
      <w:r w:rsidR="00E62B4D" w:rsidRPr="00E62B4D">
        <w:rPr>
          <w:lang w:val="en-GB"/>
        </w:rPr>
        <w:t>here are national and international requirements that alternatively powered vehicles must meet</w:t>
      </w:r>
      <w:r w:rsidR="006C3A19">
        <w:rPr>
          <w:lang w:val="en-GB"/>
        </w:rPr>
        <w:t>:</w:t>
      </w:r>
      <w:r w:rsidR="009728FE">
        <w:rPr>
          <w:lang w:val="en-GB"/>
        </w:rPr>
        <w:t xml:space="preserve"> </w:t>
      </w:r>
      <w:r w:rsidR="006C3A19" w:rsidRPr="00E62B4D">
        <w:rPr>
          <w:lang w:val="en-GB"/>
        </w:rPr>
        <w:t>UN/ECE Regulation No. 110</w:t>
      </w:r>
      <w:r w:rsidR="006C3A19">
        <w:rPr>
          <w:lang w:val="en-GB"/>
        </w:rPr>
        <w:t xml:space="preserve"> (UN, 2000) f</w:t>
      </w:r>
      <w:r w:rsidR="00E62B4D" w:rsidRPr="00E62B4D">
        <w:rPr>
          <w:lang w:val="en-GB"/>
        </w:rPr>
        <w:t xml:space="preserve">or natural gas </w:t>
      </w:r>
      <w:r w:rsidR="006C3A19">
        <w:rPr>
          <w:lang w:val="en-GB"/>
        </w:rPr>
        <w:t xml:space="preserve">and </w:t>
      </w:r>
      <w:r w:rsidR="006C3A19" w:rsidRPr="00E816CE">
        <w:rPr>
          <w:lang w:val="en-GB"/>
        </w:rPr>
        <w:t>Regulation No. 134</w:t>
      </w:r>
      <w:r w:rsidR="006C3A19">
        <w:rPr>
          <w:lang w:val="en-GB"/>
        </w:rPr>
        <w:t xml:space="preserve"> (EU, 2019) </w:t>
      </w:r>
      <w:r w:rsidR="00E42540">
        <w:rPr>
          <w:lang w:val="en-GB"/>
        </w:rPr>
        <w:t>for hydrogen (fuel cells)</w:t>
      </w:r>
      <w:r w:rsidR="00E816CE" w:rsidRPr="00E816CE">
        <w:rPr>
          <w:lang w:val="en-GB"/>
        </w:rPr>
        <w:t xml:space="preserve">. </w:t>
      </w:r>
      <w:r w:rsidR="00817E2F" w:rsidRPr="00E816CE">
        <w:rPr>
          <w:lang w:val="en-GB"/>
        </w:rPr>
        <w:t xml:space="preserve">The safety requirements </w:t>
      </w:r>
      <w:r w:rsidR="00444219">
        <w:rPr>
          <w:lang w:val="en-GB"/>
        </w:rPr>
        <w:t>address</w:t>
      </w:r>
      <w:r w:rsidR="001926B2">
        <w:rPr>
          <w:lang w:val="en-GB"/>
        </w:rPr>
        <w:t xml:space="preserve"> </w:t>
      </w:r>
      <w:r w:rsidR="00817E2F" w:rsidRPr="00E816CE">
        <w:rPr>
          <w:lang w:val="en-GB"/>
        </w:rPr>
        <w:t>reliability and integrity of (pressuri</w:t>
      </w:r>
      <w:r w:rsidR="00817E2F">
        <w:rPr>
          <w:lang w:val="en-GB"/>
        </w:rPr>
        <w:t>s</w:t>
      </w:r>
      <w:r w:rsidR="00817E2F" w:rsidRPr="00E816CE">
        <w:rPr>
          <w:lang w:val="en-GB"/>
        </w:rPr>
        <w:t>ed) tanks</w:t>
      </w:r>
      <w:r w:rsidR="00817E2F">
        <w:rPr>
          <w:lang w:val="en-GB"/>
        </w:rPr>
        <w:t xml:space="preserve">. </w:t>
      </w:r>
      <w:r w:rsidR="00817E2F" w:rsidRPr="00E62B4D">
        <w:rPr>
          <w:lang w:val="en-GB"/>
        </w:rPr>
        <w:t xml:space="preserve">UN/ECE R100 </w:t>
      </w:r>
      <w:r w:rsidR="00817E2F">
        <w:rPr>
          <w:lang w:val="en-GB"/>
        </w:rPr>
        <w:t xml:space="preserve">(EU2010) </w:t>
      </w:r>
      <w:r w:rsidR="00817E2F" w:rsidRPr="00E62B4D">
        <w:rPr>
          <w:lang w:val="en-GB"/>
        </w:rPr>
        <w:t>and Addendum 20 to GTR 20</w:t>
      </w:r>
      <w:r w:rsidR="00817E2F">
        <w:rPr>
          <w:lang w:val="en-GB"/>
        </w:rPr>
        <w:t xml:space="preserve"> (UN, 2018) deal with </w:t>
      </w:r>
      <w:r w:rsidR="00E62B4D" w:rsidRPr="00E62B4D">
        <w:rPr>
          <w:lang w:val="en-GB"/>
        </w:rPr>
        <w:t>“thermal runaway</w:t>
      </w:r>
      <w:r w:rsidR="00817E2F">
        <w:rPr>
          <w:lang w:val="en-GB"/>
        </w:rPr>
        <w:t>s</w:t>
      </w:r>
      <w:r w:rsidR="00E62B4D" w:rsidRPr="00E62B4D">
        <w:rPr>
          <w:lang w:val="en-GB"/>
        </w:rPr>
        <w:t>”</w:t>
      </w:r>
      <w:r w:rsidR="00817E2F">
        <w:rPr>
          <w:lang w:val="en-GB"/>
        </w:rPr>
        <w:t xml:space="preserve"> in </w:t>
      </w:r>
      <w:r w:rsidR="00817E2F" w:rsidRPr="00E62B4D">
        <w:rPr>
          <w:lang w:val="en-GB"/>
        </w:rPr>
        <w:t>electrically powered vehicles</w:t>
      </w:r>
      <w:r w:rsidR="00817E2F">
        <w:rPr>
          <w:lang w:val="en-GB"/>
        </w:rPr>
        <w:t xml:space="preserve">. </w:t>
      </w:r>
    </w:p>
    <w:p w14:paraId="18069677" w14:textId="6EFA19A3" w:rsidR="00E62B4D" w:rsidRPr="00E62B4D" w:rsidRDefault="005573A9" w:rsidP="00817E2F">
      <w:pPr>
        <w:pStyle w:val="CETBodytext"/>
        <w:rPr>
          <w:lang w:val="en-GB"/>
        </w:rPr>
      </w:pPr>
      <w:r>
        <w:rPr>
          <w:lang w:val="en-GB"/>
        </w:rPr>
        <w:t>Also</w:t>
      </w:r>
      <w:r w:rsidR="006C3A19">
        <w:rPr>
          <w:lang w:val="en-GB"/>
        </w:rPr>
        <w:t xml:space="preserve"> regulations </w:t>
      </w:r>
      <w:r>
        <w:rPr>
          <w:lang w:val="en-GB"/>
        </w:rPr>
        <w:t>for hydrogen and natural gas</w:t>
      </w:r>
      <w:r w:rsidRPr="00E62B4D">
        <w:rPr>
          <w:lang w:val="en-GB"/>
        </w:rPr>
        <w:t xml:space="preserve"> refuelling stations</w:t>
      </w:r>
      <w:r>
        <w:rPr>
          <w:lang w:val="en-GB"/>
        </w:rPr>
        <w:t xml:space="preserve"> </w:t>
      </w:r>
      <w:r w:rsidR="00444219">
        <w:rPr>
          <w:lang w:val="en-GB"/>
        </w:rPr>
        <w:t>contain</w:t>
      </w:r>
      <w:r>
        <w:rPr>
          <w:lang w:val="en-GB"/>
        </w:rPr>
        <w:t xml:space="preserve"> useful</w:t>
      </w:r>
      <w:r w:rsidR="00444219">
        <w:rPr>
          <w:lang w:val="en-GB"/>
        </w:rPr>
        <w:t xml:space="preserve"> information</w:t>
      </w:r>
      <w:r>
        <w:rPr>
          <w:lang w:val="en-GB"/>
        </w:rPr>
        <w:t xml:space="preserve">: </w:t>
      </w:r>
      <w:r w:rsidR="006C3A19" w:rsidRPr="00E62B4D">
        <w:rPr>
          <w:lang w:val="en-GB"/>
        </w:rPr>
        <w:t>NFPA codes</w:t>
      </w:r>
      <w:r>
        <w:rPr>
          <w:lang w:val="en-GB"/>
        </w:rPr>
        <w:t xml:space="preserve"> in the USA (</w:t>
      </w:r>
      <w:r w:rsidR="006C3A19">
        <w:rPr>
          <w:lang w:val="en-GB"/>
        </w:rPr>
        <w:t>NFPA</w:t>
      </w:r>
      <w:r>
        <w:rPr>
          <w:lang w:val="en-GB"/>
        </w:rPr>
        <w:t xml:space="preserve"> 2</w:t>
      </w:r>
      <w:r w:rsidR="006C3A19">
        <w:rPr>
          <w:lang w:val="en-GB"/>
        </w:rPr>
        <w:t>, 2023</w:t>
      </w:r>
      <w:r>
        <w:rPr>
          <w:lang w:val="en-GB"/>
        </w:rPr>
        <w:t>; NFPA 55, 2023; NFPA 55, 2023</w:t>
      </w:r>
      <w:r w:rsidR="006C3A19">
        <w:rPr>
          <w:lang w:val="en-GB"/>
        </w:rPr>
        <w:t>)</w:t>
      </w:r>
      <w:r w:rsidR="006C3A19" w:rsidRPr="00E62B4D">
        <w:rPr>
          <w:lang w:val="en-GB"/>
        </w:rPr>
        <w:t xml:space="preserve">, </w:t>
      </w:r>
      <w:r>
        <w:rPr>
          <w:lang w:val="en-GB"/>
        </w:rPr>
        <w:t xml:space="preserve">and PGS </w:t>
      </w:r>
      <w:r w:rsidR="00DD6C14">
        <w:rPr>
          <w:lang w:val="en-GB"/>
        </w:rPr>
        <w:t>guidelines</w:t>
      </w:r>
      <w:r>
        <w:rPr>
          <w:lang w:val="en-GB"/>
        </w:rPr>
        <w:t xml:space="preserve"> </w:t>
      </w:r>
      <w:r w:rsidR="00817E2F">
        <w:rPr>
          <w:lang w:val="en-GB"/>
        </w:rPr>
        <w:t>I</w:t>
      </w:r>
      <w:r w:rsidR="00E816CE">
        <w:rPr>
          <w:lang w:val="en-GB"/>
        </w:rPr>
        <w:t>n the</w:t>
      </w:r>
      <w:r>
        <w:rPr>
          <w:lang w:val="en-GB"/>
        </w:rPr>
        <w:t xml:space="preserve"> Netherlands</w:t>
      </w:r>
      <w:r w:rsidR="00E816CE">
        <w:rPr>
          <w:lang w:val="en-GB"/>
        </w:rPr>
        <w:t xml:space="preserve"> </w:t>
      </w:r>
      <w:r w:rsidR="001C380F">
        <w:rPr>
          <w:lang w:val="en-GB"/>
        </w:rPr>
        <w:t>(</w:t>
      </w:r>
      <w:r w:rsidR="00E62B4D" w:rsidRPr="00E62B4D">
        <w:rPr>
          <w:lang w:val="en-GB"/>
        </w:rPr>
        <w:t>PGS 25</w:t>
      </w:r>
      <w:r w:rsidR="001C380F">
        <w:rPr>
          <w:lang w:val="en-GB"/>
        </w:rPr>
        <w:t>, 20</w:t>
      </w:r>
      <w:r w:rsidR="00DF58E0">
        <w:rPr>
          <w:lang w:val="en-GB"/>
        </w:rPr>
        <w:t>23</w:t>
      </w:r>
      <w:r>
        <w:rPr>
          <w:lang w:val="en-GB"/>
        </w:rPr>
        <w:t xml:space="preserve">; </w:t>
      </w:r>
      <w:r w:rsidR="001C380F">
        <w:rPr>
          <w:lang w:val="en-GB"/>
        </w:rPr>
        <w:t xml:space="preserve">PGS </w:t>
      </w:r>
      <w:r w:rsidR="00E62B4D" w:rsidRPr="00E62B4D">
        <w:rPr>
          <w:lang w:val="en-GB"/>
        </w:rPr>
        <w:t>33</w:t>
      </w:r>
      <w:r w:rsidR="00DF58E0">
        <w:rPr>
          <w:lang w:val="en-GB"/>
        </w:rPr>
        <w:t>-1, 2022</w:t>
      </w:r>
      <w:r>
        <w:rPr>
          <w:lang w:val="en-GB"/>
        </w:rPr>
        <w:t xml:space="preserve">; </w:t>
      </w:r>
      <w:r w:rsidR="00F327B5" w:rsidRPr="00E62B4D">
        <w:rPr>
          <w:lang w:val="en-GB"/>
        </w:rPr>
        <w:t>PGS 35</w:t>
      </w:r>
      <w:r w:rsidR="00DF58E0">
        <w:rPr>
          <w:lang w:val="en-GB"/>
        </w:rPr>
        <w:t>, 20</w:t>
      </w:r>
      <w:r w:rsidR="008E0B08">
        <w:rPr>
          <w:lang w:val="en-GB"/>
        </w:rPr>
        <w:t>21</w:t>
      </w:r>
      <w:r w:rsidR="00DF58E0">
        <w:rPr>
          <w:lang w:val="en-GB"/>
        </w:rPr>
        <w:t>)</w:t>
      </w:r>
      <w:r w:rsidR="00E62B4D" w:rsidRPr="00E62B4D">
        <w:rPr>
          <w:lang w:val="en-GB"/>
        </w:rPr>
        <w:t>.</w:t>
      </w:r>
    </w:p>
    <w:p w14:paraId="12BE6C6C" w14:textId="61447AB7" w:rsidR="00E62B4D" w:rsidRDefault="001926B2" w:rsidP="00600535">
      <w:pPr>
        <w:pStyle w:val="CETBodytext"/>
        <w:rPr>
          <w:lang w:val="en-GB"/>
        </w:rPr>
      </w:pPr>
      <w:r>
        <w:rPr>
          <w:lang w:val="en-GB"/>
        </w:rPr>
        <w:t>In-company</w:t>
      </w:r>
      <w:r w:rsidR="00E62B4D" w:rsidRPr="00E62B4D">
        <w:rPr>
          <w:lang w:val="en-GB"/>
        </w:rPr>
        <w:t xml:space="preserve"> guidelines </w:t>
      </w:r>
      <w:r>
        <w:rPr>
          <w:lang w:val="en-GB"/>
        </w:rPr>
        <w:t>are still mostly</w:t>
      </w:r>
      <w:r w:rsidR="00E62B4D" w:rsidRPr="00E62B4D">
        <w:rPr>
          <w:lang w:val="en-GB"/>
        </w:rPr>
        <w:t xml:space="preserve"> </w:t>
      </w:r>
      <w:r>
        <w:rPr>
          <w:lang w:val="en-GB"/>
        </w:rPr>
        <w:t>missing</w:t>
      </w:r>
      <w:r w:rsidR="000845CF">
        <w:rPr>
          <w:lang w:val="en-GB"/>
        </w:rPr>
        <w:t xml:space="preserve">, </w:t>
      </w:r>
      <w:r w:rsidR="00E62B4D" w:rsidRPr="00E62B4D">
        <w:rPr>
          <w:lang w:val="en-GB"/>
        </w:rPr>
        <w:t>or</w:t>
      </w:r>
      <w:r>
        <w:rPr>
          <w:lang w:val="en-GB"/>
        </w:rPr>
        <w:t xml:space="preserve">, at best, </w:t>
      </w:r>
      <w:r w:rsidR="00E62B4D" w:rsidRPr="00E62B4D">
        <w:rPr>
          <w:lang w:val="en-GB"/>
        </w:rPr>
        <w:t xml:space="preserve">under development. </w:t>
      </w:r>
      <w:r w:rsidR="005C231E">
        <w:rPr>
          <w:lang w:val="en-GB"/>
        </w:rPr>
        <w:t>However</w:t>
      </w:r>
      <w:r w:rsidR="00E62B4D" w:rsidRPr="00E62B4D">
        <w:rPr>
          <w:lang w:val="en-GB"/>
        </w:rPr>
        <w:t xml:space="preserve">, </w:t>
      </w:r>
      <w:r w:rsidRPr="00E62B4D">
        <w:rPr>
          <w:lang w:val="en-GB"/>
        </w:rPr>
        <w:t>within (international) organizations</w:t>
      </w:r>
      <w:r w:rsidR="008210AA">
        <w:rPr>
          <w:lang w:val="en-GB"/>
        </w:rPr>
        <w:t xml:space="preserve">, like </w:t>
      </w:r>
      <w:r w:rsidR="008210AA" w:rsidRPr="00E62B4D">
        <w:rPr>
          <w:lang w:val="en-GB"/>
        </w:rPr>
        <w:t>the Energy Institute</w:t>
      </w:r>
      <w:r w:rsidR="008210AA">
        <w:rPr>
          <w:lang w:val="en-GB"/>
        </w:rPr>
        <w:t xml:space="preserve"> (EI, 2025), </w:t>
      </w:r>
      <w:r w:rsidR="008210AA" w:rsidRPr="00E62B4D">
        <w:rPr>
          <w:lang w:val="en-GB"/>
        </w:rPr>
        <w:t xml:space="preserve">CEFIC </w:t>
      </w:r>
      <w:r w:rsidR="008210AA">
        <w:rPr>
          <w:lang w:val="en-GB"/>
        </w:rPr>
        <w:t xml:space="preserve">and </w:t>
      </w:r>
      <w:r w:rsidR="007D490A">
        <w:rPr>
          <w:lang w:val="en-GB"/>
        </w:rPr>
        <w:t>UN (</w:t>
      </w:r>
      <w:r w:rsidR="008210AA">
        <w:rPr>
          <w:lang w:val="en-GB"/>
        </w:rPr>
        <w:t>ADR</w:t>
      </w:r>
      <w:r w:rsidR="007D490A">
        <w:rPr>
          <w:lang w:val="en-GB"/>
        </w:rPr>
        <w:t>)</w:t>
      </w:r>
      <w:r w:rsidR="008210AA">
        <w:rPr>
          <w:lang w:val="en-GB"/>
        </w:rPr>
        <w:t xml:space="preserve"> </w:t>
      </w:r>
      <w:r w:rsidR="00E62B4D" w:rsidRPr="00E62B4D">
        <w:rPr>
          <w:lang w:val="en-GB"/>
        </w:rPr>
        <w:t xml:space="preserve">initiatives are </w:t>
      </w:r>
      <w:r w:rsidR="008210AA">
        <w:rPr>
          <w:lang w:val="en-GB"/>
        </w:rPr>
        <w:t xml:space="preserve">emerging </w:t>
      </w:r>
      <w:r w:rsidR="006E2F7D">
        <w:rPr>
          <w:lang w:val="en-GB"/>
        </w:rPr>
        <w:t>(Pers. Comm., 202</w:t>
      </w:r>
      <w:r w:rsidR="007F799D">
        <w:rPr>
          <w:lang w:val="en-GB"/>
        </w:rPr>
        <w:t>2</w:t>
      </w:r>
      <w:r w:rsidR="006E2F7D">
        <w:rPr>
          <w:lang w:val="en-GB"/>
        </w:rPr>
        <w:t>)</w:t>
      </w:r>
      <w:r w:rsidR="008210AA">
        <w:rPr>
          <w:lang w:val="en-GB"/>
        </w:rPr>
        <w:t>.</w:t>
      </w:r>
    </w:p>
    <w:p w14:paraId="625093DE" w14:textId="19B5AA39" w:rsidR="00F327B5" w:rsidRPr="00B57B36" w:rsidRDefault="00845937" w:rsidP="00F327B5">
      <w:pPr>
        <w:pStyle w:val="CETheadingx"/>
      </w:pPr>
      <w:r>
        <w:t>I</w:t>
      </w:r>
      <w:r w:rsidR="00F327B5">
        <w:t>ncident scenarios</w:t>
      </w:r>
    </w:p>
    <w:p w14:paraId="07FF39C8" w14:textId="67A28700" w:rsidR="00C04893" w:rsidRDefault="00D1670E" w:rsidP="00C04893">
      <w:pPr>
        <w:pStyle w:val="CETHeadingxx"/>
        <w:rPr>
          <w:lang w:val="en-GB"/>
        </w:rPr>
      </w:pPr>
      <w:r>
        <w:t>Worst Credible Accidents</w:t>
      </w:r>
    </w:p>
    <w:p w14:paraId="69433419" w14:textId="1E139E69" w:rsidR="00A1473D" w:rsidRPr="000757E7" w:rsidRDefault="000757E7" w:rsidP="000757E7">
      <w:pPr>
        <w:pStyle w:val="CETBodytext"/>
        <w:rPr>
          <w:lang w:val="en-GB"/>
        </w:rPr>
      </w:pPr>
      <w:r w:rsidRPr="000757E7">
        <w:rPr>
          <w:lang w:val="en-GB"/>
        </w:rPr>
        <w:t>A</w:t>
      </w:r>
      <w:r w:rsidR="005A052F">
        <w:rPr>
          <w:lang w:val="en-GB"/>
        </w:rPr>
        <w:t>n incident</w:t>
      </w:r>
      <w:r w:rsidRPr="000757E7">
        <w:rPr>
          <w:lang w:val="en-GB"/>
        </w:rPr>
        <w:t xml:space="preserve"> scenario follows a chronological line of events. </w:t>
      </w:r>
      <w:r w:rsidR="00341B03">
        <w:rPr>
          <w:lang w:val="en-GB"/>
        </w:rPr>
        <w:t>In</w:t>
      </w:r>
      <w:r w:rsidRPr="000757E7">
        <w:rPr>
          <w:lang w:val="en-GB"/>
        </w:rPr>
        <w:t xml:space="preserve"> an incident scenario </w:t>
      </w:r>
      <w:r w:rsidR="00341B03">
        <w:rPr>
          <w:lang w:val="en-GB"/>
        </w:rPr>
        <w:t>an</w:t>
      </w:r>
      <w:r w:rsidRPr="000757E7">
        <w:rPr>
          <w:lang w:val="en-GB"/>
        </w:rPr>
        <w:t xml:space="preserve"> undesired event</w:t>
      </w:r>
      <w:r w:rsidR="005A052F">
        <w:rPr>
          <w:lang w:val="en-GB"/>
        </w:rPr>
        <w:t xml:space="preserve"> (often called Loss of containment or LOC</w:t>
      </w:r>
      <w:r w:rsidR="00341B03">
        <w:rPr>
          <w:lang w:val="en-GB"/>
        </w:rPr>
        <w:t xml:space="preserve">) is described including the </w:t>
      </w:r>
      <w:r w:rsidRPr="000757E7">
        <w:rPr>
          <w:lang w:val="en-GB"/>
        </w:rPr>
        <w:t>cause</w:t>
      </w:r>
      <w:r w:rsidR="00341B03">
        <w:rPr>
          <w:lang w:val="en-GB"/>
        </w:rPr>
        <w:t>(s)</w:t>
      </w:r>
      <w:r w:rsidR="008B16FD">
        <w:rPr>
          <w:lang w:val="en-GB"/>
        </w:rPr>
        <w:t>,</w:t>
      </w:r>
      <w:r w:rsidR="005A052F">
        <w:rPr>
          <w:lang w:val="en-GB"/>
        </w:rPr>
        <w:t xml:space="preserve"> </w:t>
      </w:r>
      <w:r w:rsidR="00444219">
        <w:rPr>
          <w:lang w:val="en-GB"/>
        </w:rPr>
        <w:t xml:space="preserve">physical </w:t>
      </w:r>
      <w:r w:rsidRPr="000757E7">
        <w:rPr>
          <w:lang w:val="en-GB"/>
        </w:rPr>
        <w:t>effect</w:t>
      </w:r>
      <w:r w:rsidR="00341B03">
        <w:rPr>
          <w:lang w:val="en-GB"/>
        </w:rPr>
        <w:t>(s)</w:t>
      </w:r>
      <w:r w:rsidRPr="000757E7">
        <w:rPr>
          <w:lang w:val="en-GB"/>
        </w:rPr>
        <w:t xml:space="preserve"> </w:t>
      </w:r>
      <w:r w:rsidR="008B16FD">
        <w:rPr>
          <w:lang w:val="en-GB"/>
        </w:rPr>
        <w:t>and</w:t>
      </w:r>
      <w:r w:rsidR="005A052F">
        <w:rPr>
          <w:lang w:val="en-GB"/>
        </w:rPr>
        <w:t xml:space="preserve"> consequence</w:t>
      </w:r>
      <w:r w:rsidR="00341B03">
        <w:rPr>
          <w:lang w:val="en-GB"/>
        </w:rPr>
        <w:t>(s)</w:t>
      </w:r>
      <w:r w:rsidRPr="000757E7">
        <w:rPr>
          <w:lang w:val="en-GB"/>
        </w:rPr>
        <w:t xml:space="preserve"> </w:t>
      </w:r>
      <w:r w:rsidR="00341B03">
        <w:rPr>
          <w:lang w:val="en-GB"/>
        </w:rPr>
        <w:t>for assets, people and/or the environment.</w:t>
      </w:r>
    </w:p>
    <w:p w14:paraId="57AFAC53" w14:textId="41A13165" w:rsidR="0071100F" w:rsidRDefault="000757E7" w:rsidP="000757E7">
      <w:pPr>
        <w:pStyle w:val="CETBodytext"/>
        <w:rPr>
          <w:lang w:val="en-GB"/>
        </w:rPr>
      </w:pPr>
      <w:r w:rsidRPr="000757E7">
        <w:rPr>
          <w:lang w:val="en-GB"/>
        </w:rPr>
        <w:t xml:space="preserve">Many types of incidents can occur </w:t>
      </w:r>
      <w:r w:rsidR="002D3553">
        <w:rPr>
          <w:lang w:val="en-GB"/>
        </w:rPr>
        <w:t>on</w:t>
      </w:r>
      <w:r w:rsidRPr="000757E7">
        <w:rPr>
          <w:lang w:val="en-GB"/>
        </w:rPr>
        <w:t xml:space="preserve"> a site. </w:t>
      </w:r>
      <w:r w:rsidR="0071100F">
        <w:rPr>
          <w:lang w:val="en-GB"/>
        </w:rPr>
        <w:t xml:space="preserve">As evaluation of incident scenarios are typically part of Quantitative Risk Assessment (QRA) methods in </w:t>
      </w:r>
      <w:r w:rsidR="00A31571">
        <w:rPr>
          <w:lang w:val="en-GB"/>
        </w:rPr>
        <w:t>e</w:t>
      </w:r>
      <w:r w:rsidR="0071100F">
        <w:rPr>
          <w:lang w:val="en-GB"/>
        </w:rPr>
        <w:t xml:space="preserve">xternal </w:t>
      </w:r>
      <w:r w:rsidR="00D1670E">
        <w:rPr>
          <w:lang w:val="en-GB"/>
        </w:rPr>
        <w:t>s</w:t>
      </w:r>
      <w:r w:rsidR="0071100F">
        <w:rPr>
          <w:lang w:val="en-GB"/>
        </w:rPr>
        <w:t>afety studies</w:t>
      </w:r>
      <w:r w:rsidR="00444219">
        <w:rPr>
          <w:lang w:val="en-GB"/>
        </w:rPr>
        <w:t>,</w:t>
      </w:r>
      <w:r w:rsidR="007F799D">
        <w:rPr>
          <w:lang w:val="en-GB"/>
        </w:rPr>
        <w:t xml:space="preserve"> </w:t>
      </w:r>
      <w:r w:rsidR="0071100F">
        <w:rPr>
          <w:lang w:val="en-GB"/>
        </w:rPr>
        <w:t xml:space="preserve">a number of example scenario’s, derived </w:t>
      </w:r>
      <w:r w:rsidR="00444219">
        <w:rPr>
          <w:lang w:val="en-GB"/>
        </w:rPr>
        <w:t>using the principles of performing</w:t>
      </w:r>
      <w:r w:rsidR="0071100F">
        <w:rPr>
          <w:lang w:val="en-GB"/>
        </w:rPr>
        <w:t xml:space="preserve"> QRAs</w:t>
      </w:r>
      <w:r w:rsidR="00444219">
        <w:rPr>
          <w:lang w:val="en-GB"/>
        </w:rPr>
        <w:t xml:space="preserve"> in the Netherlands (PGS 3, 2005),</w:t>
      </w:r>
      <w:r w:rsidR="0071100F">
        <w:rPr>
          <w:lang w:val="en-GB"/>
        </w:rPr>
        <w:t xml:space="preserve"> were used as the starting point to create key scenario’s (one for each </w:t>
      </w:r>
      <w:r w:rsidR="00A31571">
        <w:rPr>
          <w:lang w:val="en-GB"/>
        </w:rPr>
        <w:t xml:space="preserve">sustainable </w:t>
      </w:r>
      <w:r w:rsidR="0071100F">
        <w:rPr>
          <w:lang w:val="en-GB"/>
        </w:rPr>
        <w:t>energy source) for three activities: driving across a site, loading / unloading and parking</w:t>
      </w:r>
      <w:r w:rsidR="008B16FD">
        <w:rPr>
          <w:lang w:val="en-GB"/>
        </w:rPr>
        <w:t>.</w:t>
      </w:r>
      <w:r w:rsidR="0071100F">
        <w:rPr>
          <w:lang w:val="en-GB"/>
        </w:rPr>
        <w:t xml:space="preserve"> </w:t>
      </w:r>
      <w:r w:rsidR="008B16FD">
        <w:rPr>
          <w:lang w:val="en-GB"/>
        </w:rPr>
        <w:t>Refuelling or (re)charging of batteries w</w:t>
      </w:r>
      <w:r w:rsidR="00DD6C14">
        <w:rPr>
          <w:lang w:val="en-GB"/>
        </w:rPr>
        <w:t>as</w:t>
      </w:r>
      <w:r w:rsidR="008B16FD">
        <w:rPr>
          <w:lang w:val="en-GB"/>
        </w:rPr>
        <w:t xml:space="preserve"> not included in the study.</w:t>
      </w:r>
    </w:p>
    <w:p w14:paraId="162B1DFB" w14:textId="40737E95" w:rsidR="00EF4D6A" w:rsidRDefault="00EF4D6A" w:rsidP="000757E7">
      <w:pPr>
        <w:pStyle w:val="CETBodytext"/>
        <w:rPr>
          <w:lang w:val="en-GB"/>
        </w:rPr>
      </w:pPr>
      <w:r>
        <w:rPr>
          <w:lang w:val="en-GB"/>
        </w:rPr>
        <w:t xml:space="preserve">“Worst Credible Accidents” (WCAs) were selected based on (largest) effect distance and </w:t>
      </w:r>
      <w:r w:rsidR="00EF3E2A">
        <w:rPr>
          <w:lang w:val="en-GB"/>
        </w:rPr>
        <w:t xml:space="preserve">(estimated) </w:t>
      </w:r>
      <w:r>
        <w:rPr>
          <w:lang w:val="en-GB"/>
        </w:rPr>
        <w:t xml:space="preserve">likelihood of occurrence. In other words accidents </w:t>
      </w:r>
      <w:r w:rsidRPr="00A1473D">
        <w:rPr>
          <w:lang w:val="en-GB"/>
        </w:rPr>
        <w:t xml:space="preserve">that </w:t>
      </w:r>
      <w:r>
        <w:rPr>
          <w:lang w:val="en-GB"/>
        </w:rPr>
        <w:t xml:space="preserve">were </w:t>
      </w:r>
      <w:r w:rsidRPr="00A1473D">
        <w:rPr>
          <w:lang w:val="en-GB"/>
        </w:rPr>
        <w:t xml:space="preserve">considered credible (by process safety and industry experts) </w:t>
      </w:r>
      <w:r w:rsidRPr="00A1473D">
        <w:rPr>
          <w:lang w:val="en-GB"/>
        </w:rPr>
        <w:lastRenderedPageBreak/>
        <w:t xml:space="preserve">on such locations </w:t>
      </w:r>
      <w:r>
        <w:rPr>
          <w:lang w:val="en-GB"/>
        </w:rPr>
        <w:t xml:space="preserve">and </w:t>
      </w:r>
      <w:r w:rsidR="00806AC1">
        <w:rPr>
          <w:lang w:val="en-GB"/>
        </w:rPr>
        <w:t>could (</w:t>
      </w:r>
      <w:r w:rsidR="00806AC1" w:rsidRPr="00A1473D">
        <w:rPr>
          <w:lang w:val="en-GB"/>
        </w:rPr>
        <w:t>potentially</w:t>
      </w:r>
      <w:r w:rsidR="00806AC1">
        <w:rPr>
          <w:lang w:val="en-GB"/>
        </w:rPr>
        <w:t>)</w:t>
      </w:r>
      <w:r w:rsidR="00806AC1" w:rsidRPr="00A1473D">
        <w:rPr>
          <w:lang w:val="en-GB"/>
        </w:rPr>
        <w:t xml:space="preserve"> </w:t>
      </w:r>
      <w:r>
        <w:rPr>
          <w:lang w:val="en-GB"/>
        </w:rPr>
        <w:t>have</w:t>
      </w:r>
      <w:r w:rsidRPr="00A1473D">
        <w:rPr>
          <w:lang w:val="en-GB"/>
        </w:rPr>
        <w:t xml:space="preserve"> very serious safety consequences on </w:t>
      </w:r>
      <w:r>
        <w:rPr>
          <w:lang w:val="en-GB"/>
        </w:rPr>
        <w:t>or</w:t>
      </w:r>
      <w:r w:rsidRPr="00A1473D">
        <w:rPr>
          <w:lang w:val="en-GB"/>
        </w:rPr>
        <w:t xml:space="preserve"> around the location</w:t>
      </w:r>
      <w:r w:rsidRPr="0071100F">
        <w:rPr>
          <w:lang w:val="en-GB"/>
        </w:rPr>
        <w:t xml:space="preserve"> </w:t>
      </w:r>
      <w:r>
        <w:rPr>
          <w:lang w:val="en-GB"/>
        </w:rPr>
        <w:t>were selected for further evaluation</w:t>
      </w:r>
      <w:r w:rsidRPr="00A1473D">
        <w:rPr>
          <w:lang w:val="en-GB"/>
        </w:rPr>
        <w:t>.</w:t>
      </w:r>
    </w:p>
    <w:p w14:paraId="1A99B809" w14:textId="77056517" w:rsidR="00E311C3" w:rsidRDefault="00C04893" w:rsidP="00C04893">
      <w:pPr>
        <w:pStyle w:val="CETHeadingxx"/>
      </w:pPr>
      <w:r>
        <w:t>Types of Loss Of Containment (LOC)</w:t>
      </w:r>
    </w:p>
    <w:p w14:paraId="2C7B6DD6" w14:textId="0443C75E" w:rsidR="00C04893" w:rsidRPr="00C04893" w:rsidRDefault="00C04893" w:rsidP="00C04893">
      <w:pPr>
        <w:pStyle w:val="CETBodytext"/>
        <w:rPr>
          <w:lang w:val="en-GB"/>
        </w:rPr>
      </w:pPr>
      <w:r>
        <w:rPr>
          <w:lang w:val="en-GB"/>
        </w:rPr>
        <w:t>The following types of LOC were used</w:t>
      </w:r>
      <w:r w:rsidRPr="00C04893">
        <w:rPr>
          <w:lang w:val="en-GB"/>
        </w:rPr>
        <w:t>:</w:t>
      </w:r>
    </w:p>
    <w:p w14:paraId="04EBD77A" w14:textId="57E53352" w:rsidR="00C04893" w:rsidRPr="00C04893" w:rsidRDefault="00C04893" w:rsidP="009E6067">
      <w:pPr>
        <w:pStyle w:val="CETListbullets"/>
        <w:numPr>
          <w:ilvl w:val="0"/>
          <w:numId w:val="36"/>
        </w:numPr>
      </w:pPr>
      <w:r w:rsidRPr="00C04893">
        <w:t>Complete and instantaneous failure or rupture of a</w:t>
      </w:r>
      <w:r>
        <w:t>n energy holder</w:t>
      </w:r>
      <w:r w:rsidRPr="00C04893">
        <w:t>. This can occur if a tank or battery pack is subjected to very large forces, for example in a violent collision or if it is exposed to</w:t>
      </w:r>
      <w:r w:rsidR="005934F6">
        <w:t xml:space="preserve"> </w:t>
      </w:r>
      <w:r>
        <w:t>extreme</w:t>
      </w:r>
      <w:r w:rsidRPr="00C04893">
        <w:t xml:space="preserve"> heat. It may also be caused by a serious structural failure or </w:t>
      </w:r>
      <w:r>
        <w:t xml:space="preserve">lack of </w:t>
      </w:r>
      <w:r w:rsidRPr="00C04893">
        <w:t>maintenance.</w:t>
      </w:r>
    </w:p>
    <w:p w14:paraId="72E5DE28" w14:textId="1EC302E1" w:rsidR="00C04893" w:rsidRPr="00C04893" w:rsidRDefault="00C04893" w:rsidP="009E6067">
      <w:pPr>
        <w:pStyle w:val="CETListbullets"/>
        <w:numPr>
          <w:ilvl w:val="0"/>
          <w:numId w:val="36"/>
        </w:numPr>
      </w:pPr>
      <w:r w:rsidRPr="00C04893">
        <w:t xml:space="preserve">Damage of such magnitude that the hazardous contents </w:t>
      </w:r>
      <w:r w:rsidR="00806AC1">
        <w:t>is expelled from</w:t>
      </w:r>
      <w:r w:rsidRPr="00C04893">
        <w:t xml:space="preserve"> the tank or battery pack in</w:t>
      </w:r>
      <w:r w:rsidR="00AE0DAB">
        <w:t>, say,</w:t>
      </w:r>
      <w:r w:rsidRPr="00C04893">
        <w:t>10 minutes. This represents a substantial impact with, for example, a heavy machine or the breaking off of a large pipe.</w:t>
      </w:r>
    </w:p>
    <w:p w14:paraId="74E7AA0B" w14:textId="5D8B97E0" w:rsidR="00677EAB" w:rsidRDefault="00C04893" w:rsidP="009E6067">
      <w:pPr>
        <w:pStyle w:val="CETListbullets"/>
        <w:numPr>
          <w:ilvl w:val="0"/>
          <w:numId w:val="36"/>
        </w:numPr>
      </w:pPr>
      <w:r w:rsidRPr="00C04893">
        <w:t xml:space="preserve">A </w:t>
      </w:r>
      <w:r w:rsidR="00AE0DAB">
        <w:t xml:space="preserve">small </w:t>
      </w:r>
      <w:r w:rsidRPr="00C04893">
        <w:t xml:space="preserve">hole in a tank. Consider </w:t>
      </w:r>
      <w:r w:rsidR="00A02F6C" w:rsidRPr="00C04893">
        <w:t>a small connection</w:t>
      </w:r>
      <w:r w:rsidRPr="00C04893">
        <w:t xml:space="preserve"> breaking off or a </w:t>
      </w:r>
      <w:r w:rsidR="00AE0DAB">
        <w:t>crack</w:t>
      </w:r>
      <w:r w:rsidRPr="00C04893">
        <w:t xml:space="preserve"> due to corrosion. In case of electrically powered trucks, a slow formation of gases</w:t>
      </w:r>
      <w:r w:rsidR="00F03FF8">
        <w:t xml:space="preserve"> caused by ageing</w:t>
      </w:r>
      <w:r w:rsidRPr="00C04893">
        <w:t xml:space="preserve"> and their slow release could be the cause.</w:t>
      </w:r>
    </w:p>
    <w:p w14:paraId="05AE8C77" w14:textId="03AAE79F" w:rsidR="00F327B5" w:rsidRDefault="00AE0DAB" w:rsidP="00AE0DAB">
      <w:pPr>
        <w:pStyle w:val="CETHeadingxx"/>
      </w:pPr>
      <w:r>
        <w:t>Damage criteria</w:t>
      </w:r>
    </w:p>
    <w:p w14:paraId="67F6A012" w14:textId="5D45B54A" w:rsidR="00AE0DAB" w:rsidRPr="00AE0DAB" w:rsidRDefault="00AE0DAB" w:rsidP="00AE0DAB">
      <w:pPr>
        <w:pStyle w:val="CETBodytext"/>
        <w:rPr>
          <w:lang w:val="en-GB"/>
        </w:rPr>
      </w:pPr>
      <w:r w:rsidRPr="00AE0DAB">
        <w:rPr>
          <w:lang w:val="en-GB"/>
        </w:rPr>
        <w:t xml:space="preserve">To determine the distance to which injuries and property damage could occur as a result of the </w:t>
      </w:r>
      <w:r w:rsidR="00DD6C14">
        <w:rPr>
          <w:lang w:val="en-GB"/>
        </w:rPr>
        <w:t>accidents</w:t>
      </w:r>
      <w:r w:rsidRPr="00AE0DAB">
        <w:rPr>
          <w:lang w:val="en-GB"/>
        </w:rPr>
        <w:t xml:space="preserve">, </w:t>
      </w:r>
      <w:r>
        <w:rPr>
          <w:lang w:val="en-GB"/>
        </w:rPr>
        <w:t xml:space="preserve">the following </w:t>
      </w:r>
      <w:r w:rsidRPr="00AE0DAB">
        <w:rPr>
          <w:lang w:val="en-GB"/>
        </w:rPr>
        <w:t>damage criteria</w:t>
      </w:r>
      <w:r w:rsidR="00DD6C14" w:rsidRPr="00DD6C14">
        <w:rPr>
          <w:lang w:val="en-GB"/>
        </w:rPr>
        <w:t xml:space="preserve"> </w:t>
      </w:r>
      <w:r w:rsidR="00DD6C14" w:rsidRPr="00AE0DAB">
        <w:rPr>
          <w:lang w:val="en-GB"/>
        </w:rPr>
        <w:t>were used</w:t>
      </w:r>
      <w:r>
        <w:rPr>
          <w:lang w:val="en-GB"/>
        </w:rPr>
        <w:t xml:space="preserve">, also </w:t>
      </w:r>
      <w:r w:rsidRPr="00AE0DAB">
        <w:rPr>
          <w:lang w:val="en-GB"/>
        </w:rPr>
        <w:t>derived from the field of external safety</w:t>
      </w:r>
      <w:r w:rsidR="00D36629">
        <w:rPr>
          <w:lang w:val="en-GB"/>
        </w:rPr>
        <w:t xml:space="preserve"> </w:t>
      </w:r>
      <w:r w:rsidR="00D36629" w:rsidRPr="007A25F7">
        <w:t>(PGS 3, 2005)</w:t>
      </w:r>
      <w:r w:rsidRPr="00AE0DAB">
        <w:rPr>
          <w:lang w:val="en-GB"/>
        </w:rPr>
        <w:t>:</w:t>
      </w:r>
    </w:p>
    <w:p w14:paraId="320379F7" w14:textId="300738C6" w:rsidR="00EC1917" w:rsidRPr="009E6067" w:rsidRDefault="00EC1917" w:rsidP="009E6067">
      <w:pPr>
        <w:pStyle w:val="CETListbullets"/>
        <w:numPr>
          <w:ilvl w:val="0"/>
          <w:numId w:val="39"/>
        </w:numPr>
      </w:pPr>
      <w:r w:rsidRPr="009E6067">
        <w:t>For heat radiation: the distance from the source to the location where the radiation level is reduced to:</w:t>
      </w:r>
    </w:p>
    <w:p w14:paraId="4A6ABB57" w14:textId="57A20EB9" w:rsidR="00EC1917" w:rsidRPr="009E6067" w:rsidRDefault="00EC1917" w:rsidP="009E6067">
      <w:pPr>
        <w:pStyle w:val="CETListbullets"/>
      </w:pPr>
      <w:r w:rsidRPr="009E6067">
        <w:t>35 kW/m</w:t>
      </w:r>
      <w:r w:rsidRPr="009E6067">
        <w:rPr>
          <w:vertAlign w:val="superscript"/>
        </w:rPr>
        <w:t>2</w:t>
      </w:r>
      <w:r w:rsidRPr="009E6067">
        <w:t>: up to this distance combustible products like wood or plastic will quickly catch fire;</w:t>
      </w:r>
    </w:p>
    <w:p w14:paraId="7BA1E4CC" w14:textId="25C93627" w:rsidR="00EC1917" w:rsidRPr="009E6067" w:rsidRDefault="00EC1917" w:rsidP="009E6067">
      <w:pPr>
        <w:pStyle w:val="CETListbullets"/>
      </w:pPr>
      <w:r w:rsidRPr="009E6067">
        <w:t>10 kW/m</w:t>
      </w:r>
      <w:r w:rsidRPr="009E6067">
        <w:rPr>
          <w:vertAlign w:val="superscript"/>
        </w:rPr>
        <w:t>2</w:t>
      </w:r>
      <w:r w:rsidRPr="009E6067">
        <w:t>:</w:t>
      </w:r>
      <w:r w:rsidR="007A25F7" w:rsidRPr="009E6067">
        <w:t xml:space="preserve"> </w:t>
      </w:r>
      <w:r w:rsidRPr="009E6067">
        <w:t>up to this distance persons may suffer lethal burns;</w:t>
      </w:r>
    </w:p>
    <w:p w14:paraId="26B249AC" w14:textId="5EF35204" w:rsidR="00EC1917" w:rsidRPr="009E6067" w:rsidRDefault="00EC1917" w:rsidP="009E6067">
      <w:pPr>
        <w:pStyle w:val="CETListbullets"/>
        <w:numPr>
          <w:ilvl w:val="0"/>
          <w:numId w:val="39"/>
        </w:numPr>
      </w:pPr>
      <w:r w:rsidRPr="009E6067">
        <w:t>For a BLEVE: the diameter of the fireball. This distance generally exceeds the effect distance of overpressure caused by a BLEVE. Within this fireball, flammable substances will ignite and persons may suffer lethal burns.</w:t>
      </w:r>
    </w:p>
    <w:p w14:paraId="20C10961" w14:textId="234BDD26" w:rsidR="00EC1917" w:rsidRPr="009E6067" w:rsidRDefault="00EC1917" w:rsidP="009E6067">
      <w:pPr>
        <w:pStyle w:val="CETListbullets"/>
        <w:numPr>
          <w:ilvl w:val="0"/>
          <w:numId w:val="39"/>
        </w:numPr>
      </w:pPr>
      <w:r w:rsidRPr="009E6067">
        <w:t>For a jet flame: the length of the flame. Within the flame flammable substances will ignite and persons will suffer lethal burns.</w:t>
      </w:r>
    </w:p>
    <w:p w14:paraId="38C681AB" w14:textId="73B0F53D" w:rsidR="007A25F7" w:rsidRPr="009E6067" w:rsidRDefault="00EC1917" w:rsidP="009E6067">
      <w:pPr>
        <w:pStyle w:val="CETListbullets"/>
        <w:numPr>
          <w:ilvl w:val="0"/>
          <w:numId w:val="39"/>
        </w:numPr>
      </w:pPr>
      <w:r w:rsidRPr="009E6067">
        <w:t>For a flammable cloud: the distance to the Lower Explosion Limit (LEL) and the distance to the 300 mbar overpressure contour upon ignition if 12.5% of the gas volume has accumulated in a confined space, measured from the centre of the cloud (RIVM, 2020).</w:t>
      </w:r>
    </w:p>
    <w:p w14:paraId="5B33A967" w14:textId="57AB0FD6" w:rsidR="00E25AC4" w:rsidRPr="009E6067" w:rsidRDefault="006A169B" w:rsidP="009E6067">
      <w:pPr>
        <w:pStyle w:val="CETListbullets"/>
        <w:numPr>
          <w:ilvl w:val="0"/>
          <w:numId w:val="39"/>
        </w:numPr>
      </w:pPr>
      <w:r w:rsidRPr="009E6067">
        <w:t>T</w:t>
      </w:r>
      <w:r w:rsidR="00E25AC4" w:rsidRPr="009E6067">
        <w:t xml:space="preserve">oxicity </w:t>
      </w:r>
      <w:r w:rsidRPr="009E6067">
        <w:t xml:space="preserve">of HF </w:t>
      </w:r>
      <w:r w:rsidR="00E25AC4" w:rsidRPr="009E6067">
        <w:t>(</w:t>
      </w:r>
      <w:r w:rsidRPr="009E6067">
        <w:t xml:space="preserve">for </w:t>
      </w:r>
      <w:r w:rsidR="009E6067">
        <w:t xml:space="preserve">Li-ion </w:t>
      </w:r>
      <w:r w:rsidR="00E25AC4" w:rsidRPr="009E6067">
        <w:t xml:space="preserve">battery electric vehicles or BEVs): </w:t>
      </w:r>
      <w:r w:rsidRPr="009E6067">
        <w:t>Concentration</w:t>
      </w:r>
      <w:r w:rsidR="00A6694C" w:rsidRPr="009E6067">
        <w:t xml:space="preserve"> </w:t>
      </w:r>
      <w:r w:rsidR="00E25AC4" w:rsidRPr="009E6067">
        <w:t xml:space="preserve">level </w:t>
      </w:r>
      <w:r w:rsidR="00A6694C" w:rsidRPr="009E6067">
        <w:t>considered</w:t>
      </w:r>
      <w:r w:rsidR="00E25AC4" w:rsidRPr="009E6067">
        <w:t xml:space="preserve"> life-threatening</w:t>
      </w:r>
      <w:r w:rsidRPr="009E6067">
        <w:t xml:space="preserve"> upon </w:t>
      </w:r>
      <w:r w:rsidR="00277E37" w:rsidRPr="009E6067">
        <w:t xml:space="preserve">x </w:t>
      </w:r>
      <w:r w:rsidRPr="009E6067">
        <w:t>min</w:t>
      </w:r>
      <w:r w:rsidR="009728FE" w:rsidRPr="009E6067">
        <w:t xml:space="preserve"> </w:t>
      </w:r>
      <w:r w:rsidRPr="009E6067">
        <w:t>exposure</w:t>
      </w:r>
      <w:r w:rsidR="00277E37" w:rsidRPr="009E6067">
        <w:t xml:space="preserve"> (LBW</w:t>
      </w:r>
      <w:r w:rsidR="00277E37" w:rsidRPr="009E6067">
        <w:rPr>
          <w:vertAlign w:val="subscript"/>
        </w:rPr>
        <w:t>x</w:t>
      </w:r>
      <w:r w:rsidR="00277E37" w:rsidRPr="009E6067">
        <w:t>; e.g.</w:t>
      </w:r>
      <w:r w:rsidRPr="009E6067">
        <w:t xml:space="preserve"> </w:t>
      </w:r>
      <w:r w:rsidR="00F03FF8" w:rsidRPr="009E6067">
        <w:t>LBW</w:t>
      </w:r>
      <w:r w:rsidRPr="009E6067">
        <w:t>30</w:t>
      </w:r>
      <w:r w:rsidR="00645697" w:rsidRPr="009E6067">
        <w:t>min</w:t>
      </w:r>
      <w:r w:rsidRPr="009E6067">
        <w:t xml:space="preserve"> = 51 mg/m</w:t>
      </w:r>
      <w:r w:rsidRPr="009E6067">
        <w:rPr>
          <w:vertAlign w:val="superscript"/>
        </w:rPr>
        <w:t>3</w:t>
      </w:r>
      <w:r w:rsidRPr="009E6067">
        <w:t xml:space="preserve"> (RIVM, 2023</w:t>
      </w:r>
      <w:r w:rsidR="00277E37" w:rsidRPr="009E6067">
        <w:t>)</w:t>
      </w:r>
      <w:r w:rsidR="00012FC9" w:rsidRPr="009E6067">
        <w:t>)</w:t>
      </w:r>
      <w:r w:rsidR="005D3EFB" w:rsidRPr="009E6067">
        <w:t xml:space="preserve"> and 1%</w:t>
      </w:r>
      <w:r w:rsidRPr="009E6067">
        <w:t xml:space="preserve"> mortality</w:t>
      </w:r>
      <w:r w:rsidR="005D3EFB" w:rsidRPr="009E6067">
        <w:t>.</w:t>
      </w:r>
    </w:p>
    <w:p w14:paraId="28E8D398" w14:textId="2153DBD4" w:rsidR="00E25AC4" w:rsidRDefault="00F03FF8" w:rsidP="00F03FF8">
      <w:pPr>
        <w:pStyle w:val="CETHeadingxx"/>
      </w:pPr>
      <w:r>
        <w:t>Outcome of calculations</w:t>
      </w:r>
    </w:p>
    <w:p w14:paraId="45A3F803" w14:textId="77777777" w:rsidR="00EC1917" w:rsidRDefault="00A6694C" w:rsidP="00EC1917">
      <w:pPr>
        <w:pStyle w:val="CETBodytext"/>
        <w:rPr>
          <w:lang w:val="en-GB"/>
        </w:rPr>
      </w:pPr>
      <w:r>
        <w:rPr>
          <w:lang w:val="en-GB"/>
        </w:rPr>
        <w:t xml:space="preserve">As an example the evaluation of the </w:t>
      </w:r>
      <w:r w:rsidR="00806AC1">
        <w:rPr>
          <w:lang w:val="en-GB"/>
        </w:rPr>
        <w:t xml:space="preserve">key </w:t>
      </w:r>
      <w:r>
        <w:rPr>
          <w:lang w:val="en-GB"/>
        </w:rPr>
        <w:t>incident scenarios for the BEV</w:t>
      </w:r>
      <w:r w:rsidR="009B6588">
        <w:rPr>
          <w:lang w:val="en-GB"/>
        </w:rPr>
        <w:t>s</w:t>
      </w:r>
      <w:r>
        <w:rPr>
          <w:lang w:val="en-GB"/>
        </w:rPr>
        <w:t xml:space="preserve"> </w:t>
      </w:r>
      <w:r w:rsidR="00B272F6">
        <w:rPr>
          <w:lang w:val="en-GB"/>
        </w:rPr>
        <w:t>are</w:t>
      </w:r>
      <w:r>
        <w:rPr>
          <w:lang w:val="en-GB"/>
        </w:rPr>
        <w:t xml:space="preserve"> summarised </w:t>
      </w:r>
      <w:r w:rsidR="009B6588">
        <w:rPr>
          <w:lang w:val="en-GB"/>
        </w:rPr>
        <w:t>F</w:t>
      </w:r>
      <w:r>
        <w:rPr>
          <w:lang w:val="en-GB"/>
        </w:rPr>
        <w:t>igure 2</w:t>
      </w:r>
      <w:r w:rsidR="0049731B">
        <w:rPr>
          <w:lang w:val="en-GB"/>
        </w:rPr>
        <w:t>.</w:t>
      </w:r>
      <w:r w:rsidR="004D4609" w:rsidRPr="004D4609">
        <w:rPr>
          <w:lang w:val="en-GB"/>
        </w:rPr>
        <w:t xml:space="preserve"> </w:t>
      </w:r>
      <w:r w:rsidR="00EC1917">
        <w:rPr>
          <w:lang w:val="en-GB"/>
        </w:rPr>
        <w:t xml:space="preserve">In yellow the effects and consequences for parking are shown, assumed to be a result of relatively slow processes taking place inside one of the battery packs e.g. as a result of ageing or (salt) water ingress. Damage to two (of the three present in the truck) battery packs caused by a fork lift during unloading of the vehicle is shown in orange. A heavy collision with a train, leading to a violent thermal runaway of the complete battery system is shown in red. </w:t>
      </w:r>
    </w:p>
    <w:p w14:paraId="3E6E6B13" w14:textId="6E89CF60" w:rsidR="00EC1917" w:rsidRDefault="00EC1917" w:rsidP="00EC1917">
      <w:pPr>
        <w:pStyle w:val="CETBodytext"/>
        <w:rPr>
          <w:lang w:val="en-GB"/>
        </w:rPr>
      </w:pPr>
      <w:r>
        <w:rPr>
          <w:lang w:val="en-GB"/>
        </w:rPr>
        <w:t xml:space="preserve">In Table 1 the WCAs resulting from the analyses of all scenarios are summarised. During the calculations Pasquil class D5 was used for atmospheric conditions. As a reference the effects of failure of a tank of a diesel truck was also calculated, assuming that such an incident would result in a pool fire, which is not very likely given the relatively high flammability temperature (around 55 °C) of diesel. The alternative energy sources clearly give rise to (new) safety concerns. </w:t>
      </w:r>
    </w:p>
    <w:p w14:paraId="2D0E8588" w14:textId="77777777" w:rsidR="00EC1917" w:rsidRPr="0072521F" w:rsidRDefault="00EC1917" w:rsidP="00EC1917">
      <w:pPr>
        <w:pStyle w:val="CETBodytext"/>
        <w:rPr>
          <w:lang w:val="en-GB"/>
        </w:rPr>
      </w:pPr>
      <w:r w:rsidRPr="0072521F">
        <w:rPr>
          <w:lang w:val="en-GB"/>
        </w:rPr>
        <w:t xml:space="preserve">CNG and hydrogen are stored under high pressure in cylindrical tanks. </w:t>
      </w:r>
      <w:r>
        <w:rPr>
          <w:lang w:val="en-GB"/>
        </w:rPr>
        <w:t>Because of</w:t>
      </w:r>
      <w:r w:rsidRPr="0072521F">
        <w:rPr>
          <w:lang w:val="en-GB"/>
        </w:rPr>
        <w:t xml:space="preserve"> strict requirements, such a tank will not easily </w:t>
      </w:r>
      <w:r>
        <w:rPr>
          <w:lang w:val="en-GB"/>
        </w:rPr>
        <w:t>fail</w:t>
      </w:r>
      <w:r w:rsidRPr="0072521F">
        <w:rPr>
          <w:lang w:val="en-GB"/>
        </w:rPr>
        <w:t xml:space="preserve"> in a collision. However, a hole can occur if a pipe breaks </w:t>
      </w:r>
      <w:r>
        <w:rPr>
          <w:lang w:val="en-GB"/>
        </w:rPr>
        <w:t>off</w:t>
      </w:r>
      <w:r w:rsidRPr="0072521F">
        <w:rPr>
          <w:lang w:val="en-GB"/>
        </w:rPr>
        <w:t xml:space="preserve">. The gas will then be blown out at high speed. </w:t>
      </w:r>
      <w:r>
        <w:rPr>
          <w:lang w:val="en-GB"/>
        </w:rPr>
        <w:t>Direct ignition, causing</w:t>
      </w:r>
      <w:r w:rsidRPr="0072521F">
        <w:rPr>
          <w:lang w:val="en-GB"/>
        </w:rPr>
        <w:t xml:space="preserve"> a </w:t>
      </w:r>
      <w:r>
        <w:rPr>
          <w:lang w:val="en-GB"/>
        </w:rPr>
        <w:t>jet fire</w:t>
      </w:r>
      <w:r w:rsidRPr="0072521F">
        <w:rPr>
          <w:lang w:val="en-GB"/>
        </w:rPr>
        <w:t xml:space="preserve"> </w:t>
      </w:r>
      <w:r>
        <w:rPr>
          <w:lang w:val="en-GB"/>
        </w:rPr>
        <w:t>of up to 30 m would account for the largest effect distance for the CNG cylinder</w:t>
      </w:r>
      <w:r w:rsidRPr="0072521F">
        <w:rPr>
          <w:lang w:val="en-GB"/>
        </w:rPr>
        <w:t xml:space="preserve">. </w:t>
      </w:r>
      <w:r>
        <w:rPr>
          <w:lang w:val="en-GB"/>
        </w:rPr>
        <w:t xml:space="preserve">A flashfire (after formation of a flammable cloud and subsequent ignition) would result in the largest effect distance for hydrogen: </w:t>
      </w:r>
      <w:r w:rsidRPr="0072521F">
        <w:rPr>
          <w:lang w:val="en-GB"/>
        </w:rPr>
        <w:t>50 m.</w:t>
      </w:r>
      <w:r>
        <w:rPr>
          <w:lang w:val="en-GB"/>
        </w:rPr>
        <w:t xml:space="preserve"> </w:t>
      </w:r>
      <w:r w:rsidRPr="0072521F">
        <w:rPr>
          <w:lang w:val="en-GB"/>
        </w:rPr>
        <w:t xml:space="preserve">The </w:t>
      </w:r>
      <w:r>
        <w:rPr>
          <w:lang w:val="en-GB"/>
        </w:rPr>
        <w:t>jet fire</w:t>
      </w:r>
      <w:r w:rsidRPr="0072521F">
        <w:rPr>
          <w:lang w:val="en-GB"/>
        </w:rPr>
        <w:t xml:space="preserve"> and </w:t>
      </w:r>
      <w:r>
        <w:rPr>
          <w:lang w:val="en-GB"/>
        </w:rPr>
        <w:t xml:space="preserve">flashfire </w:t>
      </w:r>
      <w:r w:rsidRPr="0072521F">
        <w:rPr>
          <w:lang w:val="en-GB"/>
        </w:rPr>
        <w:t>can cause burns</w:t>
      </w:r>
      <w:r>
        <w:rPr>
          <w:lang w:val="en-GB"/>
        </w:rPr>
        <w:t xml:space="preserve"> and also</w:t>
      </w:r>
      <w:r w:rsidRPr="0072521F">
        <w:rPr>
          <w:lang w:val="en-GB"/>
        </w:rPr>
        <w:t xml:space="preserve"> lead to fire spread</w:t>
      </w:r>
      <w:r>
        <w:rPr>
          <w:lang w:val="en-GB"/>
        </w:rPr>
        <w:t>ing</w:t>
      </w:r>
      <w:r w:rsidRPr="0072521F">
        <w:rPr>
          <w:lang w:val="en-GB"/>
        </w:rPr>
        <w:t xml:space="preserve"> at the site. If the gas has (partially) accumulate</w:t>
      </w:r>
      <w:r>
        <w:rPr>
          <w:lang w:val="en-GB"/>
        </w:rPr>
        <w:t>d</w:t>
      </w:r>
      <w:r w:rsidRPr="0072521F">
        <w:rPr>
          <w:lang w:val="en-GB"/>
        </w:rPr>
        <w:t xml:space="preserve"> in a confined space</w:t>
      </w:r>
      <w:r>
        <w:rPr>
          <w:lang w:val="en-GB"/>
        </w:rPr>
        <w:t>, followed by ignition</w:t>
      </w:r>
      <w:r w:rsidRPr="0072521F">
        <w:rPr>
          <w:lang w:val="en-GB"/>
        </w:rPr>
        <w:t xml:space="preserve">, </w:t>
      </w:r>
      <w:r>
        <w:rPr>
          <w:lang w:val="en-GB"/>
        </w:rPr>
        <w:t>a</w:t>
      </w:r>
      <w:r w:rsidRPr="0072521F">
        <w:rPr>
          <w:lang w:val="en-GB"/>
        </w:rPr>
        <w:t xml:space="preserve"> pressure wave may also cause explosion damage.</w:t>
      </w:r>
    </w:p>
    <w:p w14:paraId="1EB770C4" w14:textId="07557344" w:rsidR="00D0153A" w:rsidRDefault="00EC1917" w:rsidP="004D4609">
      <w:pPr>
        <w:pStyle w:val="CETBodytext"/>
        <w:rPr>
          <w:lang w:val="en-GB"/>
        </w:rPr>
      </w:pPr>
      <w:r w:rsidRPr="0072521F">
        <w:rPr>
          <w:lang w:val="en-GB"/>
        </w:rPr>
        <w:t xml:space="preserve">LNG is </w:t>
      </w:r>
      <w:r>
        <w:rPr>
          <w:lang w:val="en-GB"/>
        </w:rPr>
        <w:t>kept at around</w:t>
      </w:r>
      <w:r w:rsidRPr="0072521F">
        <w:rPr>
          <w:lang w:val="en-GB"/>
        </w:rPr>
        <w:t xml:space="preserve"> -162 °C. </w:t>
      </w:r>
      <w:r>
        <w:rPr>
          <w:lang w:val="en-GB"/>
        </w:rPr>
        <w:t xml:space="preserve">Although </w:t>
      </w:r>
      <w:r w:rsidRPr="0072521F">
        <w:rPr>
          <w:lang w:val="en-GB"/>
        </w:rPr>
        <w:t>LNG tanks are well insulated the temperature</w:t>
      </w:r>
      <w:r>
        <w:rPr>
          <w:lang w:val="en-GB"/>
        </w:rPr>
        <w:t>,</w:t>
      </w:r>
      <w:r w:rsidRPr="0072521F">
        <w:rPr>
          <w:lang w:val="en-GB"/>
        </w:rPr>
        <w:t xml:space="preserve"> </w:t>
      </w:r>
      <w:r>
        <w:rPr>
          <w:lang w:val="en-GB"/>
        </w:rPr>
        <w:t xml:space="preserve">and hence pressure, </w:t>
      </w:r>
      <w:r w:rsidRPr="0072521F">
        <w:rPr>
          <w:lang w:val="en-GB"/>
        </w:rPr>
        <w:t>will slowly rise</w:t>
      </w:r>
      <w:r>
        <w:rPr>
          <w:lang w:val="en-GB"/>
        </w:rPr>
        <w:t xml:space="preserve"> i</w:t>
      </w:r>
      <w:r w:rsidRPr="0072521F">
        <w:rPr>
          <w:lang w:val="en-GB"/>
        </w:rPr>
        <w:t xml:space="preserve">n the tank. A hole in the LNG tank can then lead to </w:t>
      </w:r>
      <w:r>
        <w:rPr>
          <w:lang w:val="en-GB"/>
        </w:rPr>
        <w:t>a jet fire</w:t>
      </w:r>
      <w:r w:rsidRPr="0072521F">
        <w:rPr>
          <w:lang w:val="en-GB"/>
        </w:rPr>
        <w:t xml:space="preserve"> of almost 100 m.</w:t>
      </w:r>
      <w:r>
        <w:rPr>
          <w:lang w:val="en-GB"/>
        </w:rPr>
        <w:t xml:space="preserve"> </w:t>
      </w:r>
      <w:r w:rsidRPr="0072521F">
        <w:rPr>
          <w:lang w:val="en-GB"/>
        </w:rPr>
        <w:t xml:space="preserve">If </w:t>
      </w:r>
      <w:r>
        <w:rPr>
          <w:lang w:val="en-GB"/>
        </w:rPr>
        <w:t>an LNG-</w:t>
      </w:r>
      <w:r w:rsidRPr="0072521F">
        <w:rPr>
          <w:lang w:val="en-GB"/>
        </w:rPr>
        <w:t>tank</w:t>
      </w:r>
      <w:r>
        <w:rPr>
          <w:lang w:val="en-GB"/>
        </w:rPr>
        <w:t xml:space="preserve"> is exposed to an external fire it may fail, resulting in a BLEVE and a</w:t>
      </w:r>
      <w:r w:rsidRPr="0072521F">
        <w:rPr>
          <w:lang w:val="en-GB"/>
        </w:rPr>
        <w:t xml:space="preserve"> fireball about 30 m in diameter.</w:t>
      </w:r>
    </w:p>
    <w:p w14:paraId="7BCA0575" w14:textId="5648B697" w:rsidR="007A25F7" w:rsidRDefault="007A25F7" w:rsidP="004D4609">
      <w:pPr>
        <w:pStyle w:val="CETBodytext"/>
        <w:rPr>
          <w:lang w:val="en-GB"/>
        </w:rPr>
      </w:pPr>
      <w:r w:rsidRPr="0072521F">
        <w:rPr>
          <w:lang w:val="en-GB"/>
        </w:rPr>
        <w:t xml:space="preserve">In </w:t>
      </w:r>
      <w:r>
        <w:rPr>
          <w:lang w:val="en-GB"/>
        </w:rPr>
        <w:t>BEVs</w:t>
      </w:r>
      <w:r w:rsidRPr="0072521F">
        <w:rPr>
          <w:lang w:val="en-GB"/>
        </w:rPr>
        <w:t xml:space="preserve"> </w:t>
      </w:r>
      <w:r>
        <w:rPr>
          <w:lang w:val="en-GB"/>
        </w:rPr>
        <w:t>the</w:t>
      </w:r>
      <w:r w:rsidRPr="0072521F">
        <w:rPr>
          <w:lang w:val="en-GB"/>
        </w:rPr>
        <w:t xml:space="preserve"> thermal runaway poses the greatest danger. This occurs </w:t>
      </w:r>
      <w:r>
        <w:rPr>
          <w:lang w:val="en-GB"/>
        </w:rPr>
        <w:t xml:space="preserve">if the temperature </w:t>
      </w:r>
      <w:r w:rsidRPr="0072521F">
        <w:rPr>
          <w:lang w:val="en-GB"/>
        </w:rPr>
        <w:t>in a battery cell</w:t>
      </w:r>
      <w:r>
        <w:rPr>
          <w:lang w:val="en-GB"/>
        </w:rPr>
        <w:t xml:space="preserve"> becomes too high, resulting in an, </w:t>
      </w:r>
      <w:r w:rsidRPr="0072521F">
        <w:rPr>
          <w:lang w:val="en-GB"/>
        </w:rPr>
        <w:t>often lengthy</w:t>
      </w:r>
      <w:r>
        <w:rPr>
          <w:lang w:val="en-GB"/>
        </w:rPr>
        <w:t>,</w:t>
      </w:r>
      <w:r w:rsidRPr="0072521F">
        <w:rPr>
          <w:lang w:val="en-GB"/>
        </w:rPr>
        <w:t xml:space="preserve"> </w:t>
      </w:r>
      <w:r>
        <w:rPr>
          <w:lang w:val="en-GB"/>
        </w:rPr>
        <w:t xml:space="preserve">chain </w:t>
      </w:r>
      <w:r w:rsidRPr="0072521F">
        <w:rPr>
          <w:lang w:val="en-GB"/>
        </w:rPr>
        <w:t xml:space="preserve">reaction of heat generation and gas formation that can spread </w:t>
      </w:r>
      <w:r>
        <w:rPr>
          <w:lang w:val="en-GB"/>
        </w:rPr>
        <w:t>through the battery</w:t>
      </w:r>
      <w:r w:rsidR="00602DF2">
        <w:rPr>
          <w:lang w:val="en-GB"/>
        </w:rPr>
        <w:t>(pack)</w:t>
      </w:r>
      <w:r w:rsidRPr="0072521F">
        <w:rPr>
          <w:lang w:val="en-GB"/>
        </w:rPr>
        <w:t xml:space="preserve">. </w:t>
      </w:r>
      <w:r>
        <w:rPr>
          <w:lang w:val="en-GB"/>
        </w:rPr>
        <w:t xml:space="preserve">Pressure will built up in the battery until </w:t>
      </w:r>
      <w:r w:rsidRPr="0072521F">
        <w:rPr>
          <w:lang w:val="en-GB"/>
        </w:rPr>
        <w:t>at some point</w:t>
      </w:r>
      <w:r>
        <w:rPr>
          <w:lang w:val="en-GB"/>
        </w:rPr>
        <w:t xml:space="preserve"> the battery fails and gases are released</w:t>
      </w:r>
      <w:r w:rsidRPr="0072521F">
        <w:rPr>
          <w:lang w:val="en-GB"/>
        </w:rPr>
        <w:t xml:space="preserve"> </w:t>
      </w:r>
      <w:r w:rsidR="00602DF2">
        <w:rPr>
          <w:lang w:val="en-GB"/>
        </w:rPr>
        <w:t>violentl</w:t>
      </w:r>
      <w:r w:rsidRPr="0072521F">
        <w:rPr>
          <w:lang w:val="en-GB"/>
        </w:rPr>
        <w:t xml:space="preserve">. The flammable gases will cause sparks and flares. </w:t>
      </w:r>
      <w:r>
        <w:rPr>
          <w:lang w:val="en-GB"/>
        </w:rPr>
        <w:t xml:space="preserve">Also here, (delayed) ignition of accumulation combustible gases may cause explosion damage. </w:t>
      </w:r>
      <w:r w:rsidRPr="0072521F">
        <w:rPr>
          <w:lang w:val="en-GB"/>
        </w:rPr>
        <w:t xml:space="preserve">Toxic gases may spread into the environment. </w:t>
      </w:r>
      <w:r w:rsidRPr="0072521F">
        <w:rPr>
          <w:lang w:val="en-GB"/>
        </w:rPr>
        <w:lastRenderedPageBreak/>
        <w:t xml:space="preserve">Complete failure of a truck battery pack can generate </w:t>
      </w:r>
      <w:r>
        <w:rPr>
          <w:lang w:val="en-GB"/>
        </w:rPr>
        <w:t>enough</w:t>
      </w:r>
      <w:r w:rsidRPr="0072521F">
        <w:rPr>
          <w:lang w:val="en-GB"/>
        </w:rPr>
        <w:t xml:space="preserve"> toxic gas </w:t>
      </w:r>
      <w:r>
        <w:rPr>
          <w:lang w:val="en-GB"/>
        </w:rPr>
        <w:t>to cause</w:t>
      </w:r>
      <w:r w:rsidRPr="0072521F">
        <w:rPr>
          <w:lang w:val="en-GB"/>
        </w:rPr>
        <w:t xml:space="preserve"> </w:t>
      </w:r>
      <w:r>
        <w:rPr>
          <w:lang w:val="en-GB"/>
        </w:rPr>
        <w:t xml:space="preserve">(life threatening) </w:t>
      </w:r>
      <w:r w:rsidRPr="0072521F">
        <w:rPr>
          <w:lang w:val="en-GB"/>
        </w:rPr>
        <w:t xml:space="preserve">health effects up to </w:t>
      </w:r>
      <w:r>
        <w:rPr>
          <w:lang w:val="en-GB"/>
        </w:rPr>
        <w:t>30</w:t>
      </w:r>
      <w:r w:rsidRPr="0072521F">
        <w:rPr>
          <w:lang w:val="en-GB"/>
        </w:rPr>
        <w:t xml:space="preserve"> meters</w:t>
      </w:r>
      <w:r>
        <w:rPr>
          <w:lang w:val="en-GB"/>
        </w:rPr>
        <w:t>.</w:t>
      </w:r>
    </w:p>
    <w:p w14:paraId="2B8D8B4B" w14:textId="77777777" w:rsidR="00D0153A" w:rsidRDefault="00D0153A" w:rsidP="000E606D">
      <w:pPr>
        <w:pStyle w:val="CETCaption"/>
        <w:keepNext/>
      </w:pPr>
      <w:r w:rsidRPr="00FF1F9F">
        <w:rPr>
          <w:noProof/>
        </w:rPr>
        <w:drawing>
          <wp:inline distT="0" distB="0" distL="0" distR="0" wp14:anchorId="68E82A9B" wp14:editId="2DB77BEA">
            <wp:extent cx="5579745" cy="3263900"/>
            <wp:effectExtent l="0" t="0" r="1905" b="0"/>
            <wp:docPr id="2120851415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51415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7AE2" w14:textId="373FAC5E" w:rsidR="00D0153A" w:rsidRDefault="00D0153A" w:rsidP="00D0153A">
      <w:pPr>
        <w:pStyle w:val="CETCaption"/>
      </w:pPr>
      <w:r w:rsidRPr="00BD077D">
        <w:rPr>
          <w:rStyle w:val="CETCaptionCarattere"/>
          <w:i/>
        </w:rPr>
        <w:t xml:space="preserve">Figure </w:t>
      </w:r>
      <w:r>
        <w:rPr>
          <w:rStyle w:val="CETCaptionCarattere"/>
          <w:i/>
        </w:rPr>
        <w:t>2</w:t>
      </w:r>
      <w:r w:rsidRPr="00BD077D">
        <w:rPr>
          <w:rStyle w:val="CETCaptionCarattere"/>
          <w:i/>
        </w:rPr>
        <w:t xml:space="preserve">: </w:t>
      </w:r>
      <w:r>
        <w:rPr>
          <w:rStyle w:val="CETCaptionCarattere"/>
          <w:i/>
        </w:rPr>
        <w:t xml:space="preserve">Example of the evaluation of the three incident scenarios for a Battery Electric Vehicle/Truck (BEV). Yellow: parking; orange: (un)loading; red: </w:t>
      </w:r>
      <w:r w:rsidR="009E6067">
        <w:rPr>
          <w:rStyle w:val="CETCaptionCarattere"/>
          <w:i/>
        </w:rPr>
        <w:t xml:space="preserve">heavy </w:t>
      </w:r>
      <w:r>
        <w:rPr>
          <w:rStyle w:val="CETCaptionCarattere"/>
          <w:i/>
        </w:rPr>
        <w:t>collision while driving on site.</w:t>
      </w:r>
    </w:p>
    <w:p w14:paraId="5749ACEB" w14:textId="65DC3A01" w:rsidR="000845CF" w:rsidRPr="00B57B36" w:rsidRDefault="000845CF" w:rsidP="000845CF">
      <w:pPr>
        <w:pStyle w:val="CETTabletitle"/>
      </w:pPr>
      <w:r w:rsidRPr="00B57B36">
        <w:t xml:space="preserve">Table 1: </w:t>
      </w:r>
      <w:r w:rsidR="003B05BF">
        <w:t xml:space="preserve">Worst credible accidents and </w:t>
      </w:r>
      <w:r w:rsidR="009E6067" w:rsidRPr="009E6067">
        <w:rPr>
          <w:color w:val="FF0000"/>
        </w:rPr>
        <w:t>(</w:t>
      </w:r>
      <w:r w:rsidR="00654F52" w:rsidRPr="009E6067">
        <w:rPr>
          <w:color w:val="FF0000"/>
        </w:rPr>
        <w:t>in red</w:t>
      </w:r>
      <w:r w:rsidR="009E6067">
        <w:rPr>
          <w:color w:val="FF0000"/>
        </w:rPr>
        <w:t>)</w:t>
      </w:r>
      <w:r w:rsidR="00654F52" w:rsidRPr="00654F52">
        <w:rPr>
          <w:color w:val="FF0000"/>
        </w:rPr>
        <w:t xml:space="preserve"> </w:t>
      </w:r>
      <w:r w:rsidR="003B05BF" w:rsidRPr="00654F52">
        <w:rPr>
          <w:color w:val="FF0000"/>
        </w:rPr>
        <w:t>effects</w:t>
      </w:r>
      <w:r w:rsidR="00654F52">
        <w:t xml:space="preserve"> </w:t>
      </w:r>
      <w:r w:rsidR="003B05BF">
        <w:t>per energy source for each activity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2693"/>
        <w:gridCol w:w="2693"/>
        <w:gridCol w:w="2410"/>
      </w:tblGrid>
      <w:tr w:rsidR="000845CF" w:rsidRPr="0049731B" w14:paraId="0EDDC366" w14:textId="77777777" w:rsidTr="0049731B">
        <w:tc>
          <w:tcPr>
            <w:tcW w:w="99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07B983A" w14:textId="2B8E6F27" w:rsidR="000845CF" w:rsidRPr="0049731B" w:rsidRDefault="000845CF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>Energy</w:t>
            </w:r>
          </w:p>
        </w:tc>
        <w:tc>
          <w:tcPr>
            <w:tcW w:w="269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08BAF47" w14:textId="14B3435B" w:rsidR="000845CF" w:rsidRPr="0049731B" w:rsidRDefault="008D492A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 xml:space="preserve">Activity: </w:t>
            </w:r>
            <w:r w:rsidR="000845CF" w:rsidRPr="0049731B">
              <w:rPr>
                <w:rFonts w:cs="Arial"/>
                <w:szCs w:val="18"/>
                <w:lang w:val="en-GB"/>
              </w:rPr>
              <w:t>Driving over site</w:t>
            </w:r>
          </w:p>
        </w:tc>
        <w:tc>
          <w:tcPr>
            <w:tcW w:w="269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9D01833" w14:textId="214F7F51" w:rsidR="000845CF" w:rsidRPr="0049731B" w:rsidRDefault="008D492A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 xml:space="preserve">Activity: </w:t>
            </w:r>
            <w:r w:rsidR="00654F52" w:rsidRPr="0049731B">
              <w:rPr>
                <w:rFonts w:cs="Arial"/>
                <w:szCs w:val="18"/>
                <w:lang w:val="en-GB"/>
              </w:rPr>
              <w:t>L</w:t>
            </w:r>
            <w:r w:rsidR="000845CF" w:rsidRPr="0049731B">
              <w:rPr>
                <w:rFonts w:cs="Arial"/>
                <w:szCs w:val="18"/>
                <w:lang w:val="en-GB"/>
              </w:rPr>
              <w:t>oading</w:t>
            </w:r>
            <w:r w:rsidR="00654F52" w:rsidRPr="0049731B">
              <w:rPr>
                <w:rFonts w:cs="Arial"/>
                <w:szCs w:val="18"/>
                <w:lang w:val="en-GB"/>
              </w:rPr>
              <w:t xml:space="preserve"> / unloading</w:t>
            </w:r>
          </w:p>
        </w:tc>
        <w:tc>
          <w:tcPr>
            <w:tcW w:w="24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F3D3B75" w14:textId="229CCADA" w:rsidR="000845CF" w:rsidRPr="0049731B" w:rsidRDefault="008D492A" w:rsidP="00654F52">
            <w:pPr>
              <w:pStyle w:val="CETBodytext"/>
              <w:keepNext/>
              <w:ind w:right="-1"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 xml:space="preserve">Activity: </w:t>
            </w:r>
            <w:r w:rsidR="000845CF" w:rsidRPr="0049731B">
              <w:rPr>
                <w:rFonts w:cs="Arial"/>
                <w:szCs w:val="18"/>
                <w:lang w:val="en-GB"/>
              </w:rPr>
              <w:t>Parking</w:t>
            </w:r>
          </w:p>
        </w:tc>
      </w:tr>
      <w:tr w:rsidR="000845CF" w:rsidRPr="0049731B" w14:paraId="32808A33" w14:textId="77777777" w:rsidTr="0049731B">
        <w:tc>
          <w:tcPr>
            <w:tcW w:w="993" w:type="dxa"/>
            <w:shd w:val="clear" w:color="auto" w:fill="FFFFFF"/>
          </w:tcPr>
          <w:p w14:paraId="6C9DC8F7" w14:textId="327599E6" w:rsidR="000845CF" w:rsidRPr="0049731B" w:rsidRDefault="000845CF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>Diesel (reference)</w:t>
            </w:r>
          </w:p>
        </w:tc>
        <w:tc>
          <w:tcPr>
            <w:tcW w:w="2693" w:type="dxa"/>
            <w:shd w:val="clear" w:color="auto" w:fill="FFFFFF"/>
          </w:tcPr>
          <w:p w14:paraId="1E0D806F" w14:textId="77777777" w:rsidR="000845CF" w:rsidRPr="0049731B" w:rsidRDefault="000845CF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Failure tank:</w:t>
            </w:r>
          </w:p>
          <w:p w14:paraId="7C338C4F" w14:textId="7CC0610D" w:rsidR="00A56256" w:rsidRPr="0049731B" w:rsidRDefault="000845CF" w:rsidP="0049731B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pool fire / lethality: 18 m</w:t>
            </w:r>
          </w:p>
        </w:tc>
        <w:tc>
          <w:tcPr>
            <w:tcW w:w="2693" w:type="dxa"/>
            <w:shd w:val="clear" w:color="auto" w:fill="FFFFFF"/>
          </w:tcPr>
          <w:p w14:paraId="609AB825" w14:textId="0C461BCA" w:rsidR="000845CF" w:rsidRPr="0049731B" w:rsidRDefault="00A56256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>Not calculated</w:t>
            </w:r>
          </w:p>
        </w:tc>
        <w:tc>
          <w:tcPr>
            <w:tcW w:w="2410" w:type="dxa"/>
            <w:shd w:val="clear" w:color="auto" w:fill="FFFFFF"/>
          </w:tcPr>
          <w:p w14:paraId="2A97509D" w14:textId="078705FF" w:rsidR="000845CF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>Not calculated</w:t>
            </w:r>
          </w:p>
        </w:tc>
      </w:tr>
      <w:tr w:rsidR="000845CF" w:rsidRPr="0049731B" w14:paraId="772A670C" w14:textId="77777777" w:rsidTr="0049731B">
        <w:tc>
          <w:tcPr>
            <w:tcW w:w="993" w:type="dxa"/>
            <w:shd w:val="clear" w:color="auto" w:fill="FFFFFF"/>
          </w:tcPr>
          <w:p w14:paraId="1689FDDB" w14:textId="760B02A4" w:rsidR="000845CF" w:rsidRPr="0049731B" w:rsidRDefault="000845CF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>LNG</w:t>
            </w:r>
          </w:p>
        </w:tc>
        <w:tc>
          <w:tcPr>
            <w:tcW w:w="2693" w:type="dxa"/>
            <w:shd w:val="clear" w:color="auto" w:fill="FFFFFF"/>
          </w:tcPr>
          <w:p w14:paraId="49571AD2" w14:textId="77777777" w:rsidR="00A56256" w:rsidRPr="0049731B" w:rsidRDefault="000845CF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Collision: crack in tank</w:t>
            </w:r>
          </w:p>
          <w:p w14:paraId="4937E65C" w14:textId="0BFECEFB" w:rsidR="000845CF" w:rsidRPr="0049731B" w:rsidRDefault="000845CF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 xml:space="preserve">or large hole: </w:t>
            </w:r>
          </w:p>
          <w:p w14:paraId="46DC8A0F" w14:textId="34FBB559" w:rsidR="000845CF" w:rsidRPr="0049731B" w:rsidRDefault="000845CF" w:rsidP="007F01D0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color w:val="FF0000"/>
                <w:szCs w:val="18"/>
              </w:rPr>
              <w:t>→ jet length: 96 m</w:t>
            </w:r>
          </w:p>
        </w:tc>
        <w:tc>
          <w:tcPr>
            <w:tcW w:w="2693" w:type="dxa"/>
            <w:shd w:val="clear" w:color="auto" w:fill="FFFFFF"/>
          </w:tcPr>
          <w:p w14:paraId="0E409ADF" w14:textId="61F46994" w:rsidR="00A56256" w:rsidRPr="0049731B" w:rsidRDefault="00A56256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Rupture of pipe, large hole:</w:t>
            </w:r>
            <w:r w:rsidR="005934F6" w:rsidRPr="0049731B">
              <w:rPr>
                <w:rFonts w:cs="Arial"/>
                <w:szCs w:val="18"/>
              </w:rPr>
              <w:t xml:space="preserve"> </w:t>
            </w:r>
          </w:p>
          <w:p w14:paraId="5F821954" w14:textId="77777777" w:rsidR="00A56256" w:rsidRPr="0049731B" w:rsidRDefault="00A56256" w:rsidP="00654F52">
            <w:pPr>
              <w:pStyle w:val="CETBodytext"/>
              <w:keepNext/>
              <w:rPr>
                <w:rFonts w:cs="Arial"/>
                <w:color w:val="FF0000"/>
                <w:szCs w:val="18"/>
                <w:lang w:val="nl-NL"/>
              </w:rPr>
            </w:pPr>
            <w:r w:rsidRPr="0049731B">
              <w:rPr>
                <w:rFonts w:cs="Arial"/>
                <w:color w:val="FF0000"/>
                <w:szCs w:val="18"/>
              </w:rPr>
              <w:t>→ jet length: 96 m</w:t>
            </w:r>
          </w:p>
          <w:p w14:paraId="15A93094" w14:textId="77777777" w:rsidR="000845CF" w:rsidRPr="0049731B" w:rsidRDefault="000845CF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32780439" w14:textId="77777777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External fire / vandalism: Warm BLEVE</w:t>
            </w:r>
          </w:p>
          <w:p w14:paraId="16B94A0D" w14:textId="7E241275" w:rsidR="000845CF" w:rsidRPr="0049731B" w:rsidRDefault="00A56256" w:rsidP="007F01D0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fire</w:t>
            </w:r>
            <w:r w:rsidR="0049731B">
              <w:rPr>
                <w:rFonts w:cs="Arial"/>
                <w:color w:val="FF0000"/>
                <w:szCs w:val="18"/>
              </w:rPr>
              <w:t xml:space="preserve"> </w:t>
            </w:r>
            <w:r w:rsidRPr="0049731B">
              <w:rPr>
                <w:rFonts w:cs="Arial"/>
                <w:color w:val="FF0000"/>
                <w:szCs w:val="18"/>
              </w:rPr>
              <w:t>ball</w:t>
            </w:r>
            <w:r w:rsidR="00A177B4" w:rsidRPr="0049731B">
              <w:rPr>
                <w:rFonts w:cs="Arial"/>
                <w:color w:val="FF0000"/>
                <w:szCs w:val="18"/>
              </w:rPr>
              <w:t xml:space="preserve"> </w:t>
            </w:r>
            <w:r w:rsidR="007F01D0">
              <w:rPr>
                <w:rFonts w:cs="Arial"/>
                <w:color w:val="FF0000"/>
                <w:szCs w:val="18"/>
              </w:rPr>
              <w:t>diameter</w:t>
            </w:r>
            <w:r w:rsidRPr="0049731B">
              <w:rPr>
                <w:rFonts w:cs="Arial"/>
                <w:color w:val="FF0000"/>
                <w:szCs w:val="18"/>
              </w:rPr>
              <w:t>: 31 m</w:t>
            </w:r>
          </w:p>
        </w:tc>
      </w:tr>
      <w:tr w:rsidR="000845CF" w:rsidRPr="0049731B" w14:paraId="48D2FDA4" w14:textId="77777777" w:rsidTr="0049731B">
        <w:tc>
          <w:tcPr>
            <w:tcW w:w="993" w:type="dxa"/>
            <w:shd w:val="clear" w:color="auto" w:fill="FFFFFF"/>
          </w:tcPr>
          <w:p w14:paraId="6D71FB05" w14:textId="73E6473E" w:rsidR="000845CF" w:rsidRPr="0049731B" w:rsidRDefault="00F82B95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>H</w:t>
            </w:r>
            <w:r w:rsidRPr="0049731B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49731B">
              <w:rPr>
                <w:rFonts w:cs="Arial"/>
                <w:szCs w:val="18"/>
                <w:lang w:val="en-GB"/>
              </w:rPr>
              <w:t xml:space="preserve"> </w:t>
            </w:r>
            <w:r w:rsidR="000845CF" w:rsidRPr="0049731B">
              <w:rPr>
                <w:rFonts w:cs="Arial"/>
                <w:szCs w:val="18"/>
                <w:lang w:val="en-GB"/>
              </w:rPr>
              <w:t>(</w:t>
            </w:r>
            <w:r>
              <w:rPr>
                <w:rFonts w:cs="Arial"/>
                <w:szCs w:val="18"/>
                <w:lang w:val="en-GB"/>
              </w:rPr>
              <w:t>FCEV</w:t>
            </w:r>
            <w:r w:rsidR="000845CF" w:rsidRPr="0049731B"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3C8BAB7A" w14:textId="2DACC780" w:rsidR="00A56256" w:rsidRPr="0049731B" w:rsidRDefault="00A56256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Collision: cylinder displaced /</w:t>
            </w:r>
          </w:p>
          <w:p w14:paraId="553E3AB7" w14:textId="77777777" w:rsidR="00A56256" w:rsidRPr="0049731B" w:rsidRDefault="00A56256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pipe rupture</w:t>
            </w:r>
          </w:p>
          <w:p w14:paraId="48B7D638" w14:textId="5A21ED48" w:rsidR="000845CF" w:rsidRPr="0049731B" w:rsidRDefault="00A56256" w:rsidP="0049731B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Flammable cloud: LEL: 50 m</w:t>
            </w:r>
          </w:p>
        </w:tc>
        <w:tc>
          <w:tcPr>
            <w:tcW w:w="2693" w:type="dxa"/>
            <w:shd w:val="clear" w:color="auto" w:fill="FFFFFF"/>
          </w:tcPr>
          <w:p w14:paraId="247ED9BD" w14:textId="77777777" w:rsidR="00A56256" w:rsidRPr="0049731B" w:rsidRDefault="00A56256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Pipe rupture</w:t>
            </w:r>
          </w:p>
          <w:p w14:paraId="3173DD4F" w14:textId="77777777" w:rsidR="00A56256" w:rsidRPr="0049731B" w:rsidRDefault="00A56256" w:rsidP="00654F52">
            <w:pPr>
              <w:pStyle w:val="CETBodytext"/>
              <w:keepNext/>
              <w:rPr>
                <w:rFonts w:cs="Arial"/>
                <w:color w:val="FF0000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Flammable cloud: LEL: 50 m</w:t>
            </w:r>
          </w:p>
          <w:p w14:paraId="4FA1EF4B" w14:textId="77777777" w:rsidR="000845CF" w:rsidRPr="0049731B" w:rsidRDefault="000845CF" w:rsidP="00654F52">
            <w:pPr>
              <w:pStyle w:val="CETBodytext"/>
              <w:keepNext/>
              <w:rPr>
                <w:rFonts w:cs="Arial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14:paraId="6BB69B65" w14:textId="5B7B462B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External fire / vandalism:</w:t>
            </w:r>
            <w:r w:rsidR="005934F6" w:rsidRPr="0049731B">
              <w:rPr>
                <w:rFonts w:cs="Arial"/>
                <w:szCs w:val="18"/>
              </w:rPr>
              <w:t xml:space="preserve"> </w:t>
            </w:r>
            <w:r w:rsidRPr="0049731B">
              <w:rPr>
                <w:rFonts w:cs="Arial"/>
                <w:szCs w:val="18"/>
              </w:rPr>
              <w:t>TPRD fails</w:t>
            </w:r>
          </w:p>
          <w:p w14:paraId="1265FEFE" w14:textId="6298CF5A" w:rsidR="000845CF" w:rsidRPr="0049731B" w:rsidRDefault="00A56256" w:rsidP="0049731B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fire bal</w:t>
            </w:r>
            <w:r w:rsidR="00A177B4" w:rsidRPr="0049731B">
              <w:rPr>
                <w:rFonts w:cs="Arial"/>
                <w:color w:val="FF0000"/>
                <w:szCs w:val="18"/>
              </w:rPr>
              <w:t>l</w:t>
            </w:r>
            <w:r w:rsidR="000924A7" w:rsidRPr="0049731B">
              <w:rPr>
                <w:rFonts w:cs="Arial"/>
                <w:color w:val="FF0000"/>
                <w:szCs w:val="18"/>
              </w:rPr>
              <w:t xml:space="preserve"> cros</w:t>
            </w:r>
            <w:r w:rsidR="00A177B4" w:rsidRPr="0049731B">
              <w:rPr>
                <w:rFonts w:cs="Arial"/>
                <w:color w:val="FF0000"/>
                <w:szCs w:val="18"/>
              </w:rPr>
              <w:t>s</w:t>
            </w:r>
            <w:r w:rsidR="000924A7" w:rsidRPr="0049731B">
              <w:rPr>
                <w:rFonts w:cs="Arial"/>
                <w:color w:val="FF0000"/>
                <w:szCs w:val="18"/>
              </w:rPr>
              <w:t xml:space="preserve"> section</w:t>
            </w:r>
            <w:r w:rsidRPr="0049731B">
              <w:rPr>
                <w:rFonts w:cs="Arial"/>
                <w:color w:val="FF0000"/>
                <w:szCs w:val="18"/>
              </w:rPr>
              <w:t>: 12 m</w:t>
            </w:r>
          </w:p>
        </w:tc>
      </w:tr>
      <w:tr w:rsidR="000845CF" w:rsidRPr="0049731B" w14:paraId="5CDEBA8D" w14:textId="77777777" w:rsidTr="0049731B">
        <w:tc>
          <w:tcPr>
            <w:tcW w:w="993" w:type="dxa"/>
            <w:shd w:val="clear" w:color="auto" w:fill="FFFFFF"/>
          </w:tcPr>
          <w:p w14:paraId="63C9A0E2" w14:textId="3D52A87B" w:rsidR="000845CF" w:rsidRPr="0049731B" w:rsidRDefault="000845CF" w:rsidP="00654F52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 w:rsidRPr="0049731B">
              <w:rPr>
                <w:rFonts w:cs="Arial"/>
                <w:szCs w:val="18"/>
                <w:lang w:val="en-GB"/>
              </w:rPr>
              <w:t>CNG</w:t>
            </w:r>
          </w:p>
        </w:tc>
        <w:tc>
          <w:tcPr>
            <w:tcW w:w="2693" w:type="dxa"/>
            <w:shd w:val="clear" w:color="auto" w:fill="FFFFFF"/>
          </w:tcPr>
          <w:p w14:paraId="452F7472" w14:textId="283D2859" w:rsidR="00A56256" w:rsidRPr="0049731B" w:rsidRDefault="00A56256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 xml:space="preserve">Collision: cylinder displaced / </w:t>
            </w:r>
          </w:p>
          <w:p w14:paraId="48931F64" w14:textId="77777777" w:rsidR="00A56256" w:rsidRPr="0049731B" w:rsidRDefault="00A56256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pipe rupture</w:t>
            </w:r>
          </w:p>
          <w:p w14:paraId="492DE966" w14:textId="09ED8B4E" w:rsidR="000845CF" w:rsidRPr="0049731B" w:rsidRDefault="00A56256" w:rsidP="0049731B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jet length: 27 m</w:t>
            </w:r>
          </w:p>
        </w:tc>
        <w:tc>
          <w:tcPr>
            <w:tcW w:w="2693" w:type="dxa"/>
            <w:shd w:val="clear" w:color="auto" w:fill="FFFFFF"/>
          </w:tcPr>
          <w:p w14:paraId="2781892D" w14:textId="77777777" w:rsidR="00A56256" w:rsidRPr="0049731B" w:rsidRDefault="00A56256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 xml:space="preserve">Collision : cylinder displaced / </w:t>
            </w:r>
          </w:p>
          <w:p w14:paraId="2F7854CC" w14:textId="77777777" w:rsidR="00A56256" w:rsidRPr="0049731B" w:rsidRDefault="00A56256" w:rsidP="00654F52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pipe rupture</w:t>
            </w:r>
          </w:p>
          <w:p w14:paraId="015FCC18" w14:textId="1B5794A0" w:rsidR="000845CF" w:rsidRPr="0049731B" w:rsidRDefault="00A56256" w:rsidP="0049731B">
            <w:pPr>
              <w:pStyle w:val="CETBodytext"/>
              <w:keepNext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jet length: 27 m</w:t>
            </w:r>
          </w:p>
        </w:tc>
        <w:tc>
          <w:tcPr>
            <w:tcW w:w="2410" w:type="dxa"/>
            <w:shd w:val="clear" w:color="auto" w:fill="FFFFFF"/>
          </w:tcPr>
          <w:p w14:paraId="4FEF7FD2" w14:textId="61839577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External fire / vandalism:</w:t>
            </w:r>
            <w:r w:rsidR="005934F6" w:rsidRPr="0049731B">
              <w:rPr>
                <w:rFonts w:cs="Arial"/>
                <w:szCs w:val="18"/>
              </w:rPr>
              <w:t xml:space="preserve"> </w:t>
            </w:r>
            <w:r w:rsidRPr="0049731B">
              <w:rPr>
                <w:rFonts w:cs="Arial"/>
                <w:szCs w:val="18"/>
              </w:rPr>
              <w:t>TPRD fails</w:t>
            </w:r>
          </w:p>
          <w:p w14:paraId="5325669F" w14:textId="7905E641" w:rsidR="000845CF" w:rsidRPr="0049731B" w:rsidRDefault="00A56256" w:rsidP="0049731B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 xml:space="preserve">→ </w:t>
            </w:r>
            <w:r w:rsidR="00A177B4" w:rsidRPr="0049731B">
              <w:rPr>
                <w:rFonts w:cs="Arial"/>
                <w:color w:val="FF0000"/>
                <w:szCs w:val="18"/>
              </w:rPr>
              <w:t>fire ball cross section</w:t>
            </w:r>
            <w:r w:rsidRPr="0049731B">
              <w:rPr>
                <w:rFonts w:cs="Arial"/>
                <w:color w:val="FF0000"/>
                <w:szCs w:val="18"/>
              </w:rPr>
              <w:t>: 18 m</w:t>
            </w:r>
          </w:p>
        </w:tc>
      </w:tr>
      <w:tr w:rsidR="000845CF" w:rsidRPr="0049731B" w14:paraId="6684A6B1" w14:textId="77777777" w:rsidTr="0049731B">
        <w:tc>
          <w:tcPr>
            <w:tcW w:w="993" w:type="dxa"/>
            <w:shd w:val="clear" w:color="auto" w:fill="FFFFFF"/>
          </w:tcPr>
          <w:p w14:paraId="08428253" w14:textId="3E98DC81" w:rsidR="000845CF" w:rsidRPr="0049731B" w:rsidRDefault="009728FE" w:rsidP="00654F52">
            <w:pPr>
              <w:pStyle w:val="CETBodytext"/>
              <w:keepNext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Li-ion </w:t>
            </w:r>
            <w:r w:rsidR="000845CF" w:rsidRPr="0049731B">
              <w:rPr>
                <w:rFonts w:cs="Arial"/>
                <w:szCs w:val="18"/>
                <w:lang w:val="en-GB"/>
              </w:rPr>
              <w:t>B</w:t>
            </w:r>
            <w:r>
              <w:rPr>
                <w:rFonts w:cs="Arial"/>
                <w:szCs w:val="18"/>
                <w:lang w:val="en-GB"/>
              </w:rPr>
              <w:t>attery</w:t>
            </w:r>
          </w:p>
        </w:tc>
        <w:tc>
          <w:tcPr>
            <w:tcW w:w="2693" w:type="dxa"/>
            <w:shd w:val="clear" w:color="auto" w:fill="FFFFFF"/>
          </w:tcPr>
          <w:p w14:paraId="6FBD8658" w14:textId="77777777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Collision with train:</w:t>
            </w:r>
          </w:p>
          <w:p w14:paraId="640119D2" w14:textId="77777777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thermal runaway of full</w:t>
            </w:r>
          </w:p>
          <w:p w14:paraId="6D60D783" w14:textId="74E3D8CD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battery system</w:t>
            </w:r>
          </w:p>
          <w:p w14:paraId="3738BB72" w14:textId="77777777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color w:val="FF0000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Flammable cloud: LEL: 18 m</w:t>
            </w:r>
          </w:p>
          <w:p w14:paraId="7A8E5BAD" w14:textId="3786583B" w:rsidR="000845CF" w:rsidRPr="0049731B" w:rsidRDefault="00A56256" w:rsidP="007F01D0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LBW</w:t>
            </w:r>
            <w:r w:rsidR="007F01D0" w:rsidRPr="007F01D0">
              <w:rPr>
                <w:rFonts w:cs="Arial"/>
                <w:color w:val="FF0000"/>
                <w:szCs w:val="18"/>
                <w:vertAlign w:val="subscript"/>
              </w:rPr>
              <w:t>1min</w:t>
            </w:r>
            <w:r w:rsidRPr="0049731B">
              <w:rPr>
                <w:rFonts w:cs="Arial"/>
                <w:color w:val="FF0000"/>
                <w:szCs w:val="18"/>
              </w:rPr>
              <w:t xml:space="preserve">: 30 m </w:t>
            </w:r>
          </w:p>
        </w:tc>
        <w:tc>
          <w:tcPr>
            <w:tcW w:w="2693" w:type="dxa"/>
            <w:shd w:val="clear" w:color="auto" w:fill="FFFFFF"/>
          </w:tcPr>
          <w:p w14:paraId="61729CEA" w14:textId="77777777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Damaged battery packs:</w:t>
            </w:r>
          </w:p>
          <w:p w14:paraId="30FFEAA5" w14:textId="0BE814CC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thermal runaway</w:t>
            </w:r>
          </w:p>
          <w:p w14:paraId="64D98DD6" w14:textId="77777777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color w:val="FF0000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battery fire</w:t>
            </w:r>
          </w:p>
          <w:p w14:paraId="2261C007" w14:textId="443B738C" w:rsidR="003B05BF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color w:val="FF0000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LBW</w:t>
            </w:r>
            <w:r w:rsidR="007F01D0" w:rsidRPr="007F01D0">
              <w:rPr>
                <w:rFonts w:cs="Arial"/>
                <w:color w:val="FF0000"/>
                <w:szCs w:val="18"/>
                <w:vertAlign w:val="subscript"/>
              </w:rPr>
              <w:t>1</w:t>
            </w:r>
            <w:r w:rsidR="007F01D0">
              <w:rPr>
                <w:rFonts w:cs="Arial"/>
                <w:color w:val="FF0000"/>
                <w:szCs w:val="18"/>
                <w:vertAlign w:val="subscript"/>
              </w:rPr>
              <w:t>0</w:t>
            </w:r>
            <w:r w:rsidR="007F01D0" w:rsidRPr="007F01D0">
              <w:rPr>
                <w:rFonts w:cs="Arial"/>
                <w:color w:val="FF0000"/>
                <w:szCs w:val="18"/>
                <w:vertAlign w:val="subscript"/>
              </w:rPr>
              <w:t>min</w:t>
            </w:r>
            <w:r w:rsidRPr="0049731B">
              <w:rPr>
                <w:rFonts w:cs="Arial"/>
                <w:color w:val="FF0000"/>
                <w:szCs w:val="18"/>
              </w:rPr>
              <w:t xml:space="preserve">: 11 m </w:t>
            </w:r>
          </w:p>
          <w:p w14:paraId="425FFE86" w14:textId="77777777" w:rsidR="000845CF" w:rsidRPr="0049731B" w:rsidRDefault="000845CF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14:paraId="05800BE6" w14:textId="1360A488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szCs w:val="18"/>
              </w:rPr>
              <w:t>Battery in bad condition: thermal runaway in part of system</w:t>
            </w:r>
          </w:p>
          <w:p w14:paraId="1C5532A6" w14:textId="77777777" w:rsidR="00A56256" w:rsidRPr="0049731B" w:rsidRDefault="00A56256" w:rsidP="00654F52">
            <w:pPr>
              <w:pStyle w:val="CETBodytext"/>
              <w:keepNext/>
              <w:ind w:right="-1"/>
              <w:rPr>
                <w:rFonts w:cs="Arial"/>
                <w:color w:val="FF0000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battery fire</w:t>
            </w:r>
          </w:p>
          <w:p w14:paraId="77B42C20" w14:textId="1F9512B7" w:rsidR="000845CF" w:rsidRPr="0049731B" w:rsidRDefault="00A56256" w:rsidP="007F01D0">
            <w:pPr>
              <w:pStyle w:val="CETBodytext"/>
              <w:keepNext/>
              <w:ind w:right="-1"/>
              <w:rPr>
                <w:rFonts w:cs="Arial"/>
                <w:szCs w:val="18"/>
              </w:rPr>
            </w:pPr>
            <w:r w:rsidRPr="0049731B">
              <w:rPr>
                <w:rFonts w:cs="Arial"/>
                <w:color w:val="FF0000"/>
                <w:szCs w:val="18"/>
              </w:rPr>
              <w:t>→ LBW</w:t>
            </w:r>
            <w:r w:rsidR="007F01D0" w:rsidRPr="007F01D0">
              <w:rPr>
                <w:rFonts w:cs="Arial"/>
                <w:color w:val="FF0000"/>
                <w:szCs w:val="18"/>
                <w:vertAlign w:val="subscript"/>
              </w:rPr>
              <w:t>30min</w:t>
            </w:r>
            <w:r w:rsidRPr="0049731B">
              <w:rPr>
                <w:rFonts w:cs="Arial"/>
                <w:color w:val="FF0000"/>
                <w:szCs w:val="18"/>
              </w:rPr>
              <w:t xml:space="preserve">: 7 m </w:t>
            </w:r>
          </w:p>
        </w:tc>
      </w:tr>
    </w:tbl>
    <w:p w14:paraId="52F3351E" w14:textId="5D7FD39B" w:rsidR="000845CF" w:rsidRDefault="00C451AE" w:rsidP="00C451AE">
      <w:pPr>
        <w:pStyle w:val="CETHeading1"/>
      </w:pPr>
      <w:r>
        <w:t>Safety measures</w:t>
      </w:r>
    </w:p>
    <w:p w14:paraId="0452B8FD" w14:textId="48D5F53C" w:rsidR="00D36629" w:rsidRDefault="000F1CCD" w:rsidP="00D36629">
      <w:pPr>
        <w:pStyle w:val="CETBodytext"/>
        <w:rPr>
          <w:lang w:val="en-GB"/>
        </w:rPr>
      </w:pPr>
      <w:r>
        <w:t>E</w:t>
      </w:r>
      <w:r>
        <w:rPr>
          <w:lang w:val="en-GB"/>
        </w:rPr>
        <w:t>valuating the above analyses</w:t>
      </w:r>
      <w:r w:rsidR="005C66BA">
        <w:rPr>
          <w:lang w:val="en-GB"/>
        </w:rPr>
        <w:t xml:space="preserve"> a number of </w:t>
      </w:r>
      <w:r w:rsidR="0095265D">
        <w:rPr>
          <w:lang w:val="en-GB"/>
        </w:rPr>
        <w:t>safety measures were proposed</w:t>
      </w:r>
      <w:r w:rsidR="0094261D">
        <w:rPr>
          <w:lang w:val="en-GB"/>
        </w:rPr>
        <w:t xml:space="preserve"> by the team</w:t>
      </w:r>
      <w:r w:rsidR="0095265D">
        <w:rPr>
          <w:lang w:val="en-GB"/>
        </w:rPr>
        <w:t>.</w:t>
      </w:r>
      <w:r w:rsidR="005C66BA">
        <w:rPr>
          <w:lang w:val="en-GB"/>
        </w:rPr>
        <w:t xml:space="preserve"> </w:t>
      </w:r>
      <w:r w:rsidR="00602DF2">
        <w:rPr>
          <w:lang w:val="en-GB"/>
        </w:rPr>
        <w:t>These</w:t>
      </w:r>
      <w:r w:rsidR="005C66BA">
        <w:rPr>
          <w:lang w:val="en-GB"/>
        </w:rPr>
        <w:t xml:space="preserve"> are summarised in Table 2. </w:t>
      </w:r>
      <w:r w:rsidR="00D36629">
        <w:t xml:space="preserve">Participating companies in this project </w:t>
      </w:r>
      <w:r w:rsidR="009E6067">
        <w:t xml:space="preserve">also </w:t>
      </w:r>
      <w:r w:rsidR="00D36629">
        <w:t>agreed that this</w:t>
      </w:r>
      <w:r w:rsidR="00D36629">
        <w:rPr>
          <w:lang w:val="en-GB"/>
        </w:rPr>
        <w:t xml:space="preserve"> would affect various aspects of the Safety Management System of a company. Think of:</w:t>
      </w:r>
    </w:p>
    <w:p w14:paraId="748F7F33" w14:textId="110489EB" w:rsidR="00D36629" w:rsidRPr="009E6067" w:rsidRDefault="00D36629" w:rsidP="009E6067">
      <w:pPr>
        <w:pStyle w:val="CETListbullets"/>
      </w:pPr>
      <w:r w:rsidRPr="009E6067">
        <w:t xml:space="preserve">Emergency Response: alarms, emergency shut-off devices (ESD), evacuation, fire fighting; </w:t>
      </w:r>
    </w:p>
    <w:p w14:paraId="400FB7B2" w14:textId="77777777" w:rsidR="00D36629" w:rsidRPr="009E6067" w:rsidRDefault="00D36629" w:rsidP="009E6067">
      <w:pPr>
        <w:pStyle w:val="CETListbullets"/>
      </w:pPr>
      <w:r w:rsidRPr="009E6067">
        <w:t>Adjustments to work permits, classified areas, traffic rules, driving instructions (e.g. forklifts);</w:t>
      </w:r>
    </w:p>
    <w:p w14:paraId="3606FE5B" w14:textId="045AD1E9" w:rsidR="00D36629" w:rsidRPr="009E6067" w:rsidRDefault="00D36629" w:rsidP="009E6067">
      <w:pPr>
        <w:pStyle w:val="CETListbullets"/>
      </w:pPr>
      <w:r w:rsidRPr="009E6067">
        <w:t>Requirements for vehicles on site (ADR, R110, max</w:t>
      </w:r>
      <w:r w:rsidR="009E6067">
        <w:t>imum</w:t>
      </w:r>
      <w:r w:rsidRPr="009E6067">
        <w:t xml:space="preserve"> tank pressure, battery condition: charging/not charging </w:t>
      </w:r>
      <w:r w:rsidR="009E6067">
        <w:t>Li-ion batteries</w:t>
      </w:r>
      <w:r w:rsidRPr="009E6067">
        <w:t xml:space="preserve">, </w:t>
      </w:r>
      <w:r w:rsidR="009E6067">
        <w:t xml:space="preserve">battery </w:t>
      </w:r>
      <w:r w:rsidRPr="009E6067">
        <w:t xml:space="preserve">damage); </w:t>
      </w:r>
    </w:p>
    <w:p w14:paraId="4558C8F8" w14:textId="792ABA9C" w:rsidR="00D36629" w:rsidRPr="009E6067" w:rsidRDefault="00D36629" w:rsidP="009E6067">
      <w:pPr>
        <w:pStyle w:val="CETListbullets"/>
      </w:pPr>
      <w:r w:rsidRPr="009E6067">
        <w:lastRenderedPageBreak/>
        <w:t>Possible conflicts with (now mandatory) activities under shelter</w:t>
      </w:r>
      <w:r w:rsidR="00AC6AA3">
        <w:t xml:space="preserve"> or </w:t>
      </w:r>
      <w:r w:rsidRPr="009E6067">
        <w:t>indoors;</w:t>
      </w:r>
    </w:p>
    <w:p w14:paraId="27585F74" w14:textId="440BDCB7" w:rsidR="00D36629" w:rsidRPr="009E6067" w:rsidRDefault="00D36629" w:rsidP="009E6067">
      <w:pPr>
        <w:pStyle w:val="CETListbullets"/>
      </w:pPr>
      <w:r w:rsidRPr="009E6067">
        <w:t>Parking location (indoor/outdoor, access), max</w:t>
      </w:r>
      <w:r w:rsidR="00AC6AA3">
        <w:t>imum</w:t>
      </w:r>
      <w:r w:rsidRPr="009E6067">
        <w:t xml:space="preserve"> parking time.</w:t>
      </w:r>
    </w:p>
    <w:p w14:paraId="7FB4E385" w14:textId="551B66B9" w:rsidR="00501F92" w:rsidRPr="00B57B36" w:rsidRDefault="00501F92" w:rsidP="00501F92">
      <w:pPr>
        <w:pStyle w:val="CETTabletitle"/>
      </w:pPr>
      <w:r w:rsidRPr="00B57B36">
        <w:t xml:space="preserve">Table </w:t>
      </w:r>
      <w:r>
        <w:t>2</w:t>
      </w:r>
      <w:r w:rsidRPr="00B57B36">
        <w:t xml:space="preserve">: </w:t>
      </w:r>
      <w:r w:rsidR="004721B8">
        <w:t>S</w:t>
      </w:r>
      <w:r w:rsidRPr="00501F92">
        <w:t>afety measures to prevent LOC or fire / explosion</w:t>
      </w:r>
      <w:r w:rsidR="005F397D">
        <w:t xml:space="preserve"> or to mitigate consequences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7796"/>
      </w:tblGrid>
      <w:tr w:rsidR="00501F92" w:rsidRPr="0049731B" w14:paraId="35BCA9C0" w14:textId="77777777" w:rsidTr="005F397D">
        <w:tc>
          <w:tcPr>
            <w:tcW w:w="99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9895F13" w14:textId="7899BAE7" w:rsidR="00501F92" w:rsidRPr="0049731B" w:rsidRDefault="00501F92" w:rsidP="00F5626F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item</w:t>
            </w:r>
            <w:r w:rsidRPr="0049731B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779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6113C30" w14:textId="38AA95E7" w:rsidR="00501F92" w:rsidRPr="0049731B" w:rsidRDefault="00501F92" w:rsidP="00F5626F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measure</w:t>
            </w:r>
          </w:p>
        </w:tc>
      </w:tr>
      <w:tr w:rsidR="00501F92" w:rsidRPr="0049731B" w14:paraId="53F4D313" w14:textId="77777777" w:rsidTr="005F397D">
        <w:tc>
          <w:tcPr>
            <w:tcW w:w="993" w:type="dxa"/>
            <w:shd w:val="clear" w:color="auto" w:fill="FFFFFF"/>
          </w:tcPr>
          <w:p w14:paraId="21C8FA8D" w14:textId="2A294AB3" w:rsidR="00501F92" w:rsidRPr="0049731B" w:rsidRDefault="00501F92" w:rsidP="00F5626F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Vehicle</w:t>
            </w:r>
            <w:r w:rsidR="00E82127">
              <w:rPr>
                <w:rFonts w:cs="Arial"/>
                <w:szCs w:val="18"/>
                <w:lang w:val="en-GB"/>
              </w:rPr>
              <w:t>/</w:t>
            </w:r>
            <w:r w:rsidR="00EC1917">
              <w:rPr>
                <w:rFonts w:cs="Arial"/>
                <w:szCs w:val="18"/>
                <w:lang w:val="en-GB"/>
              </w:rPr>
              <w:t xml:space="preserve"> </w:t>
            </w:r>
            <w:r w:rsidR="00E82127">
              <w:rPr>
                <w:rFonts w:cs="Arial"/>
                <w:szCs w:val="18"/>
                <w:lang w:val="en-GB"/>
              </w:rPr>
              <w:t>driver</w:t>
            </w:r>
          </w:p>
        </w:tc>
        <w:tc>
          <w:tcPr>
            <w:tcW w:w="7796" w:type="dxa"/>
            <w:shd w:val="clear" w:color="auto" w:fill="FFFFFF"/>
          </w:tcPr>
          <w:p w14:paraId="1B9E742F" w14:textId="010494C4" w:rsidR="00501F92" w:rsidRPr="00501F92" w:rsidRDefault="00E82127" w:rsidP="00501F92">
            <w:pPr>
              <w:pStyle w:val="CETBodytext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</w:t>
            </w:r>
            <w:r w:rsidRPr="00501F92">
              <w:rPr>
                <w:rFonts w:cs="Arial"/>
                <w:szCs w:val="18"/>
              </w:rPr>
              <w:t>esigned</w:t>
            </w:r>
            <w:r w:rsidR="00501F92" w:rsidRPr="00501F92">
              <w:rPr>
                <w:rFonts w:cs="Arial"/>
                <w:szCs w:val="18"/>
              </w:rPr>
              <w:t xml:space="preserve"> and built according to rules and labelled correctly (e.g. ISO17840-4)</w:t>
            </w:r>
          </w:p>
          <w:p w14:paraId="28DBE2A0" w14:textId="38BF4319" w:rsidR="00501F92" w:rsidRPr="00501F92" w:rsidRDefault="00501F92" w:rsidP="00501F92">
            <w:pPr>
              <w:pStyle w:val="CETBodytext"/>
              <w:keepNext/>
              <w:rPr>
                <w:rFonts w:cs="Arial"/>
                <w:szCs w:val="18"/>
              </w:rPr>
            </w:pPr>
            <w:r w:rsidRPr="00501F92">
              <w:rPr>
                <w:rFonts w:cs="Arial"/>
                <w:szCs w:val="18"/>
              </w:rPr>
              <w:t>Driver/operator should have knowledge of the hazards/risks;</w:t>
            </w:r>
          </w:p>
          <w:p w14:paraId="1691ECC5" w14:textId="6545CE37" w:rsidR="00501F92" w:rsidRPr="00501F92" w:rsidRDefault="00501F92" w:rsidP="00501F92">
            <w:pPr>
              <w:pStyle w:val="CETBodytext"/>
              <w:keepNext/>
              <w:rPr>
                <w:rFonts w:cs="Arial"/>
                <w:szCs w:val="18"/>
              </w:rPr>
            </w:pPr>
            <w:r w:rsidRPr="00501F92">
              <w:rPr>
                <w:rFonts w:cs="Arial"/>
                <w:szCs w:val="18"/>
              </w:rPr>
              <w:t xml:space="preserve">ADR </w:t>
            </w:r>
            <w:r w:rsidR="00251766">
              <w:rPr>
                <w:rFonts w:cs="Arial"/>
                <w:szCs w:val="18"/>
              </w:rPr>
              <w:t xml:space="preserve">should allow transport of the goods </w:t>
            </w:r>
            <w:r w:rsidRPr="00501F92">
              <w:rPr>
                <w:rFonts w:cs="Arial"/>
                <w:szCs w:val="18"/>
              </w:rPr>
              <w:t>(ADR, 2023).</w:t>
            </w:r>
          </w:p>
          <w:p w14:paraId="7734F078" w14:textId="27D7C4EA" w:rsidR="00501F92" w:rsidRPr="00501F92" w:rsidRDefault="00E82127" w:rsidP="00501F92">
            <w:pPr>
              <w:pStyle w:val="CETBodytext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No damage to </w:t>
            </w:r>
            <w:r w:rsidR="00501F92" w:rsidRPr="00501F92">
              <w:rPr>
                <w:rFonts w:cs="Arial"/>
                <w:szCs w:val="18"/>
              </w:rPr>
              <w:t>tanks/ batteries.</w:t>
            </w:r>
          </w:p>
          <w:p w14:paraId="44FA208F" w14:textId="3B28A1D8" w:rsidR="00501F92" w:rsidRPr="00501F92" w:rsidRDefault="00501F92" w:rsidP="00501F92">
            <w:pPr>
              <w:pStyle w:val="CETBodytext"/>
              <w:keepNext/>
              <w:rPr>
                <w:rFonts w:cs="Arial"/>
                <w:szCs w:val="18"/>
              </w:rPr>
            </w:pPr>
            <w:r w:rsidRPr="00501F92">
              <w:rPr>
                <w:rFonts w:cs="Arial"/>
                <w:szCs w:val="18"/>
              </w:rPr>
              <w:t xml:space="preserve">Battery Management System (BMS) works well and </w:t>
            </w:r>
            <w:r w:rsidR="00E36D92">
              <w:rPr>
                <w:rFonts w:cs="Arial"/>
                <w:szCs w:val="18"/>
              </w:rPr>
              <w:t>shows</w:t>
            </w:r>
            <w:r w:rsidRPr="00501F92">
              <w:rPr>
                <w:rFonts w:cs="Arial"/>
                <w:szCs w:val="18"/>
              </w:rPr>
              <w:t xml:space="preserve"> no alarms or warnings;</w:t>
            </w:r>
          </w:p>
          <w:p w14:paraId="6BDA3515" w14:textId="261B03B0" w:rsidR="00501F92" w:rsidRPr="0049731B" w:rsidRDefault="00E82127" w:rsidP="00501F92">
            <w:pPr>
              <w:pStyle w:val="CETBodytext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</w:t>
            </w:r>
            <w:r w:rsidR="00501F92" w:rsidRPr="00501F92">
              <w:rPr>
                <w:rFonts w:cs="Arial"/>
                <w:szCs w:val="18"/>
              </w:rPr>
              <w:t xml:space="preserve">og </w:t>
            </w:r>
            <w:r w:rsidR="00E36D92">
              <w:rPr>
                <w:rFonts w:cs="Arial"/>
                <w:szCs w:val="18"/>
              </w:rPr>
              <w:t xml:space="preserve">is kept </w:t>
            </w:r>
            <w:r w:rsidR="00501F92" w:rsidRPr="00501F92">
              <w:rPr>
                <w:rFonts w:cs="Arial"/>
                <w:szCs w:val="18"/>
              </w:rPr>
              <w:t>of age, (re)charging cycles, maintenance history, damages and repairs</w:t>
            </w:r>
            <w:r w:rsidR="00E36D92">
              <w:rPr>
                <w:rFonts w:cs="Arial"/>
                <w:szCs w:val="18"/>
              </w:rPr>
              <w:t>.</w:t>
            </w:r>
          </w:p>
        </w:tc>
      </w:tr>
      <w:tr w:rsidR="00501F92" w:rsidRPr="0049731B" w14:paraId="773F9BE6" w14:textId="77777777" w:rsidTr="005F397D">
        <w:tc>
          <w:tcPr>
            <w:tcW w:w="993" w:type="dxa"/>
            <w:shd w:val="clear" w:color="auto" w:fill="FFFFFF"/>
          </w:tcPr>
          <w:p w14:paraId="4CEFEC4D" w14:textId="158604F3" w:rsidR="00501F92" w:rsidRPr="002B2447" w:rsidRDefault="00501F92" w:rsidP="009E6067">
            <w:pPr>
              <w:pStyle w:val="CETBodytext"/>
            </w:pPr>
            <w:r w:rsidRPr="002B2447">
              <w:t>Driving</w:t>
            </w:r>
          </w:p>
          <w:p w14:paraId="72526A13" w14:textId="76343C08" w:rsidR="00501F92" w:rsidRPr="0049731B" w:rsidRDefault="00501F92" w:rsidP="00F5626F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</w:p>
        </w:tc>
        <w:tc>
          <w:tcPr>
            <w:tcW w:w="7796" w:type="dxa"/>
            <w:shd w:val="clear" w:color="auto" w:fill="FFFFFF"/>
          </w:tcPr>
          <w:p w14:paraId="167BB884" w14:textId="5F6676C1" w:rsidR="00501F92" w:rsidRPr="0049731B" w:rsidRDefault="002B2447" w:rsidP="00E82127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</w:rPr>
              <w:t>Safe road</w:t>
            </w:r>
            <w:r w:rsidR="00E36D9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s</w:t>
            </w:r>
            <w:r w:rsidR="00E36D92">
              <w:rPr>
                <w:rFonts w:cs="Arial"/>
                <w:szCs w:val="18"/>
              </w:rPr>
              <w:t>ystem</w:t>
            </w:r>
            <w:r>
              <w:rPr>
                <w:rFonts w:cs="Arial"/>
                <w:szCs w:val="18"/>
              </w:rPr>
              <w:t xml:space="preserve">: </w:t>
            </w:r>
            <w:r w:rsidR="00E82127">
              <w:rPr>
                <w:rFonts w:cs="Arial"/>
                <w:szCs w:val="18"/>
              </w:rPr>
              <w:t>clear signs</w:t>
            </w:r>
            <w:r w:rsidR="00E82127" w:rsidRPr="00E82127">
              <w:rPr>
                <w:rFonts w:cs="Arial"/>
                <w:szCs w:val="18"/>
              </w:rPr>
              <w:t>;</w:t>
            </w:r>
            <w:r w:rsidR="00E82127">
              <w:rPr>
                <w:rFonts w:cs="Arial"/>
                <w:szCs w:val="18"/>
              </w:rPr>
              <w:t xml:space="preserve"> max</w:t>
            </w:r>
            <w:r w:rsidR="009C79F8">
              <w:rPr>
                <w:rFonts w:cs="Arial"/>
                <w:szCs w:val="18"/>
              </w:rPr>
              <w:t>imum</w:t>
            </w:r>
            <w:r w:rsidR="00E82127">
              <w:rPr>
                <w:rFonts w:cs="Arial"/>
                <w:szCs w:val="18"/>
              </w:rPr>
              <w:t xml:space="preserve"> speed; </w:t>
            </w:r>
            <w:r w:rsidR="009C79F8">
              <w:rPr>
                <w:rFonts w:cs="Arial"/>
                <w:szCs w:val="18"/>
              </w:rPr>
              <w:t>minimal number of</w:t>
            </w:r>
            <w:r w:rsidR="00E82127" w:rsidRPr="00E82127">
              <w:rPr>
                <w:rFonts w:cs="Arial"/>
                <w:szCs w:val="18"/>
              </w:rPr>
              <w:t xml:space="preserve"> </w:t>
            </w:r>
            <w:r w:rsidR="00E82127">
              <w:rPr>
                <w:rFonts w:cs="Arial"/>
                <w:szCs w:val="18"/>
              </w:rPr>
              <w:t>i</w:t>
            </w:r>
            <w:r w:rsidR="00E82127" w:rsidRPr="00E82127">
              <w:rPr>
                <w:rFonts w:cs="Arial"/>
                <w:szCs w:val="18"/>
              </w:rPr>
              <w:t>ntersections</w:t>
            </w:r>
            <w:r w:rsidR="00E82127">
              <w:rPr>
                <w:rFonts w:cs="Arial"/>
                <w:szCs w:val="18"/>
              </w:rPr>
              <w:t xml:space="preserve">; guard rails; no obstructions; </w:t>
            </w:r>
            <w:r w:rsidR="00E82127" w:rsidRPr="00E82127">
              <w:rPr>
                <w:rFonts w:cs="Arial"/>
                <w:szCs w:val="18"/>
              </w:rPr>
              <w:t>traffic circulation</w:t>
            </w:r>
            <w:r w:rsidR="009C79F8">
              <w:rPr>
                <w:rFonts w:cs="Arial"/>
                <w:szCs w:val="18"/>
              </w:rPr>
              <w:t xml:space="preserve"> system</w:t>
            </w:r>
            <w:r w:rsidR="00E82127" w:rsidRPr="00E82127">
              <w:rPr>
                <w:rFonts w:cs="Arial"/>
                <w:szCs w:val="18"/>
              </w:rPr>
              <w:t>.</w:t>
            </w:r>
          </w:p>
        </w:tc>
      </w:tr>
      <w:tr w:rsidR="00501F92" w:rsidRPr="0049731B" w14:paraId="44137397" w14:textId="77777777" w:rsidTr="005F397D">
        <w:tc>
          <w:tcPr>
            <w:tcW w:w="993" w:type="dxa"/>
            <w:shd w:val="clear" w:color="auto" w:fill="FFFFFF"/>
          </w:tcPr>
          <w:p w14:paraId="5E4CBF6A" w14:textId="09DA7C34" w:rsidR="00501F92" w:rsidRPr="0049731B" w:rsidRDefault="00501F92" w:rsidP="00F5626F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(un)loading</w:t>
            </w:r>
          </w:p>
        </w:tc>
        <w:tc>
          <w:tcPr>
            <w:tcW w:w="7796" w:type="dxa"/>
            <w:shd w:val="clear" w:color="auto" w:fill="FFFFFF"/>
          </w:tcPr>
          <w:p w14:paraId="14E09733" w14:textId="31107BB5" w:rsidR="00E82127" w:rsidRPr="00E82127" w:rsidRDefault="00760CD1" w:rsidP="00E82127">
            <w:pPr>
              <w:pStyle w:val="CETBodytext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Extra protection </w:t>
            </w:r>
            <w:r w:rsidR="002B2447">
              <w:rPr>
                <w:rFonts w:cs="Arial"/>
                <w:szCs w:val="18"/>
                <w:lang w:val="en-GB"/>
              </w:rPr>
              <w:t xml:space="preserve">on </w:t>
            </w:r>
            <w:r>
              <w:rPr>
                <w:rFonts w:cs="Arial"/>
                <w:szCs w:val="18"/>
                <w:lang w:val="en-GB"/>
              </w:rPr>
              <w:t xml:space="preserve">tank /batteries (e.g. while using </w:t>
            </w:r>
            <w:r>
              <w:rPr>
                <w:rFonts w:cs="Arial"/>
                <w:szCs w:val="18"/>
              </w:rPr>
              <w:t>forklift)</w:t>
            </w:r>
            <w:r w:rsidR="00E82127" w:rsidRPr="00E82127">
              <w:rPr>
                <w:rFonts w:cs="Arial"/>
                <w:szCs w:val="18"/>
              </w:rPr>
              <w:t>.</w:t>
            </w:r>
          </w:p>
          <w:p w14:paraId="07154224" w14:textId="2754C06E" w:rsidR="00E82127" w:rsidRPr="00E82127" w:rsidRDefault="00760CD1" w:rsidP="00E82127">
            <w:pPr>
              <w:pStyle w:val="CETBodytext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 w:rsidR="00E82127" w:rsidRPr="00E82127">
              <w:rPr>
                <w:rFonts w:cs="Arial"/>
                <w:szCs w:val="18"/>
              </w:rPr>
              <w:t>o other activities near the loading/unloading location;</w:t>
            </w:r>
          </w:p>
          <w:p w14:paraId="3DEA6369" w14:textId="7DCC4A8E" w:rsidR="00501F92" w:rsidRPr="0049731B" w:rsidRDefault="00760CD1" w:rsidP="002B2447">
            <w:pPr>
              <w:pStyle w:val="CETBodytext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Prevent g</w:t>
            </w:r>
            <w:r w:rsidR="00E82127" w:rsidRPr="00E82127">
              <w:rPr>
                <w:rFonts w:cs="Arial"/>
                <w:szCs w:val="18"/>
              </w:rPr>
              <w:t>as</w:t>
            </w:r>
            <w:r>
              <w:rPr>
                <w:rFonts w:cs="Arial"/>
                <w:szCs w:val="18"/>
              </w:rPr>
              <w:t xml:space="preserve"> explosions</w:t>
            </w:r>
            <w:r w:rsidR="00E82127" w:rsidRPr="00E82127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 xml:space="preserve"> no</w:t>
            </w:r>
            <w:r w:rsidR="00E82127" w:rsidRPr="00E82127">
              <w:rPr>
                <w:rFonts w:cs="Arial"/>
                <w:szCs w:val="18"/>
              </w:rPr>
              <w:t xml:space="preserve"> ignition sources</w:t>
            </w:r>
            <w:r>
              <w:rPr>
                <w:rFonts w:cs="Arial"/>
                <w:szCs w:val="18"/>
              </w:rPr>
              <w:t xml:space="preserve">; </w:t>
            </w:r>
            <w:r w:rsidR="00E36D92">
              <w:rPr>
                <w:rFonts w:cs="Arial"/>
                <w:szCs w:val="18"/>
              </w:rPr>
              <w:t>no</w:t>
            </w:r>
            <w:r>
              <w:rPr>
                <w:rFonts w:cs="Arial"/>
                <w:szCs w:val="18"/>
              </w:rPr>
              <w:t xml:space="preserve"> gas</w:t>
            </w:r>
            <w:r w:rsidR="002B2447">
              <w:rPr>
                <w:rFonts w:cs="Arial"/>
                <w:szCs w:val="18"/>
              </w:rPr>
              <w:t xml:space="preserve"> / heat</w:t>
            </w:r>
            <w:r>
              <w:rPr>
                <w:rFonts w:cs="Arial"/>
                <w:szCs w:val="18"/>
              </w:rPr>
              <w:t xml:space="preserve"> accumulation</w:t>
            </w:r>
            <w:r w:rsidR="00D60902">
              <w:rPr>
                <w:rFonts w:cs="Arial"/>
                <w:szCs w:val="18"/>
              </w:rPr>
              <w:t>; use gas detectors</w:t>
            </w:r>
          </w:p>
        </w:tc>
      </w:tr>
      <w:tr w:rsidR="00501F92" w:rsidRPr="0049731B" w14:paraId="58939363" w14:textId="77777777" w:rsidTr="005F397D">
        <w:tc>
          <w:tcPr>
            <w:tcW w:w="993" w:type="dxa"/>
            <w:shd w:val="clear" w:color="auto" w:fill="FFFFFF"/>
          </w:tcPr>
          <w:p w14:paraId="3946504E" w14:textId="4B4D08DB" w:rsidR="00501F92" w:rsidRPr="0049731B" w:rsidRDefault="00501F92" w:rsidP="00F5626F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Parking</w:t>
            </w:r>
          </w:p>
        </w:tc>
        <w:tc>
          <w:tcPr>
            <w:tcW w:w="7796" w:type="dxa"/>
            <w:shd w:val="clear" w:color="auto" w:fill="FFFFFF"/>
          </w:tcPr>
          <w:p w14:paraId="0DFFD081" w14:textId="74AD7389" w:rsidR="002B2447" w:rsidRPr="002B2447" w:rsidRDefault="002B2447" w:rsidP="002B2447">
            <w:pPr>
              <w:pStyle w:val="CETBodytext"/>
              <w:keepNext/>
              <w:rPr>
                <w:rFonts w:cs="Arial"/>
                <w:szCs w:val="18"/>
              </w:rPr>
            </w:pPr>
            <w:r w:rsidRPr="002B2447">
              <w:rPr>
                <w:rFonts w:cs="Arial"/>
                <w:szCs w:val="18"/>
              </w:rPr>
              <w:t xml:space="preserve">Prevent </w:t>
            </w:r>
            <w:r>
              <w:rPr>
                <w:rFonts w:cs="Arial"/>
                <w:szCs w:val="18"/>
              </w:rPr>
              <w:t>opening TPRD (</w:t>
            </w:r>
            <w:r w:rsidRPr="002B2447">
              <w:rPr>
                <w:rFonts w:cs="Arial"/>
                <w:szCs w:val="18"/>
              </w:rPr>
              <w:t>limit maximum pressure and parking time);</w:t>
            </w:r>
          </w:p>
          <w:p w14:paraId="29EEA022" w14:textId="3D364741" w:rsidR="002B2447" w:rsidRPr="002B2447" w:rsidRDefault="002B2447" w:rsidP="002B2447">
            <w:pPr>
              <w:pStyle w:val="CETBodytext"/>
              <w:keepNext/>
              <w:rPr>
                <w:rFonts w:cs="Arial"/>
                <w:szCs w:val="18"/>
              </w:rPr>
            </w:pPr>
            <w:r w:rsidRPr="002B2447">
              <w:rPr>
                <w:rFonts w:cs="Arial"/>
                <w:szCs w:val="18"/>
              </w:rPr>
              <w:t xml:space="preserve">Park outdoors </w:t>
            </w:r>
            <w:r>
              <w:rPr>
                <w:rFonts w:cs="Arial"/>
                <w:szCs w:val="18"/>
              </w:rPr>
              <w:t xml:space="preserve">away </w:t>
            </w:r>
            <w:r w:rsidRPr="002B2447">
              <w:rPr>
                <w:rFonts w:cs="Arial"/>
                <w:szCs w:val="18"/>
              </w:rPr>
              <w:t>from ignition sources (e.g. flares</w:t>
            </w:r>
            <w:r>
              <w:rPr>
                <w:rFonts w:cs="Arial"/>
                <w:szCs w:val="18"/>
              </w:rPr>
              <w:t>)</w:t>
            </w:r>
            <w:r w:rsidRPr="002B2447">
              <w:rPr>
                <w:rFonts w:cs="Arial"/>
                <w:szCs w:val="18"/>
              </w:rPr>
              <w:t>;</w:t>
            </w:r>
          </w:p>
          <w:p w14:paraId="58B6AB9D" w14:textId="098FC264" w:rsidR="00501F92" w:rsidRPr="0049731B" w:rsidRDefault="002B2447" w:rsidP="002B2447">
            <w:pPr>
              <w:pStyle w:val="CETBodytext"/>
              <w:keepNext/>
              <w:rPr>
                <w:rFonts w:cs="Arial"/>
                <w:szCs w:val="18"/>
              </w:rPr>
            </w:pPr>
            <w:r w:rsidRPr="002B2447">
              <w:rPr>
                <w:rFonts w:cs="Arial"/>
                <w:szCs w:val="18"/>
              </w:rPr>
              <w:t>Prevent unwanted access.</w:t>
            </w:r>
          </w:p>
        </w:tc>
      </w:tr>
      <w:tr w:rsidR="004721B8" w:rsidRPr="0049731B" w14:paraId="4E416FFE" w14:textId="77777777" w:rsidTr="005F397D">
        <w:tc>
          <w:tcPr>
            <w:tcW w:w="993" w:type="dxa"/>
            <w:shd w:val="clear" w:color="auto" w:fill="FFFFFF"/>
          </w:tcPr>
          <w:p w14:paraId="11C66C6D" w14:textId="4583BB79" w:rsidR="004721B8" w:rsidRDefault="004721B8" w:rsidP="00F5626F">
            <w:pPr>
              <w:pStyle w:val="CETBodytext"/>
              <w:keepNext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General</w:t>
            </w:r>
          </w:p>
        </w:tc>
        <w:tc>
          <w:tcPr>
            <w:tcW w:w="7796" w:type="dxa"/>
            <w:shd w:val="clear" w:color="auto" w:fill="FFFFFF"/>
          </w:tcPr>
          <w:p w14:paraId="043A5E54" w14:textId="76850792" w:rsidR="004721B8" w:rsidRPr="002B2447" w:rsidRDefault="004721B8" w:rsidP="00251766">
            <w:pPr>
              <w:pStyle w:val="CETBodytext"/>
              <w:rPr>
                <w:rFonts w:cs="Arial"/>
                <w:szCs w:val="18"/>
              </w:rPr>
            </w:pPr>
            <w:r w:rsidRPr="00C44D41">
              <w:rPr>
                <w:lang w:val="en"/>
              </w:rPr>
              <w:t xml:space="preserve">Batteries: </w:t>
            </w:r>
            <w:r w:rsidR="009C79F8">
              <w:rPr>
                <w:lang w:val="en"/>
              </w:rPr>
              <w:t>b</w:t>
            </w:r>
            <w:r w:rsidRPr="00C44D41">
              <w:rPr>
                <w:lang w:val="en"/>
              </w:rPr>
              <w:t xml:space="preserve">e prepared for prolonged and intermittent periods of firefighting; much water is needed, possibly also to </w:t>
            </w:r>
            <w:r>
              <w:rPr>
                <w:lang w:val="en"/>
              </w:rPr>
              <w:t>c</w:t>
            </w:r>
            <w:r w:rsidRPr="00C44D41">
              <w:rPr>
                <w:lang w:val="en"/>
              </w:rPr>
              <w:t>ool nearby installations</w:t>
            </w:r>
            <w:r w:rsidR="00251766">
              <w:rPr>
                <w:lang w:val="en"/>
              </w:rPr>
              <w:t xml:space="preserve"> (or keep distance)</w:t>
            </w:r>
            <w:r w:rsidR="006F223C">
              <w:rPr>
                <w:lang w:val="en"/>
              </w:rPr>
              <w:t>.</w:t>
            </w:r>
          </w:p>
        </w:tc>
      </w:tr>
    </w:tbl>
    <w:p w14:paraId="6EA2BEDF" w14:textId="18A431C9" w:rsidR="00390A2E" w:rsidRDefault="00390A2E" w:rsidP="00390A2E">
      <w:pPr>
        <w:pStyle w:val="CETHeading1"/>
      </w:pPr>
      <w:r>
        <w:t>Conclusions</w:t>
      </w:r>
    </w:p>
    <w:p w14:paraId="0478655D" w14:textId="60A4199B" w:rsidR="005C231E" w:rsidRDefault="009D3F2F" w:rsidP="00953319">
      <w:pPr>
        <w:pStyle w:val="CETBodytext"/>
        <w:rPr>
          <w:lang w:val="en-GB"/>
        </w:rPr>
      </w:pPr>
      <w:r>
        <w:t xml:space="preserve">In this study the impact of </w:t>
      </w:r>
      <w:r w:rsidR="00A57E72">
        <w:t>incidents with</w:t>
      </w:r>
      <w:r>
        <w:t xml:space="preserve"> </w:t>
      </w:r>
      <w:r w:rsidR="00953319">
        <w:t xml:space="preserve">Alternatively </w:t>
      </w:r>
      <w:r w:rsidR="00654F52">
        <w:t>P</w:t>
      </w:r>
      <w:r w:rsidR="00953319">
        <w:t>owered V</w:t>
      </w:r>
      <w:r>
        <w:t xml:space="preserve">ehicles </w:t>
      </w:r>
      <w:r w:rsidR="00953319">
        <w:t>(APVs)</w:t>
      </w:r>
      <w:r w:rsidR="007B3EAC" w:rsidRPr="007B3EAC">
        <w:t xml:space="preserve"> </w:t>
      </w:r>
      <w:r w:rsidR="007B3EAC">
        <w:t>on (petro)chemical sites</w:t>
      </w:r>
      <w:r w:rsidR="007B3EAC" w:rsidRPr="007B3EAC">
        <w:rPr>
          <w:lang w:val="en-GB"/>
        </w:rPr>
        <w:t xml:space="preserve"> </w:t>
      </w:r>
      <w:r w:rsidR="007B3EAC" w:rsidRPr="00E20B23">
        <w:rPr>
          <w:lang w:val="en-GB"/>
        </w:rPr>
        <w:t>where hazardous substances are used</w:t>
      </w:r>
      <w:r w:rsidR="005934F6">
        <w:rPr>
          <w:lang w:val="en-GB"/>
        </w:rPr>
        <w:t xml:space="preserve"> </w:t>
      </w:r>
      <w:r w:rsidR="00953319">
        <w:t xml:space="preserve">was studied. </w:t>
      </w:r>
      <w:r w:rsidR="00953319" w:rsidRPr="00E20B23">
        <w:rPr>
          <w:lang w:val="en-GB"/>
        </w:rPr>
        <w:t xml:space="preserve">APVs are defined here as trucks that use natural gas (LNG or CNG) or hydrogen (via fuel cells) as fuel, or that are </w:t>
      </w:r>
      <w:r w:rsidR="006F223C">
        <w:rPr>
          <w:lang w:val="en-GB"/>
        </w:rPr>
        <w:t xml:space="preserve">Li-ion </w:t>
      </w:r>
      <w:r w:rsidR="00953319" w:rsidRPr="00E20B23">
        <w:rPr>
          <w:lang w:val="en-GB"/>
        </w:rPr>
        <w:t>battery</w:t>
      </w:r>
      <w:r w:rsidR="007B3EAC">
        <w:rPr>
          <w:lang w:val="en-GB"/>
        </w:rPr>
        <w:t>-</w:t>
      </w:r>
      <w:r w:rsidR="00953319" w:rsidRPr="00E20B23">
        <w:rPr>
          <w:lang w:val="en-GB"/>
        </w:rPr>
        <w:t>electric powered</w:t>
      </w:r>
      <w:r w:rsidR="00953319">
        <w:rPr>
          <w:lang w:val="en-GB"/>
        </w:rPr>
        <w:t xml:space="preserve">. </w:t>
      </w:r>
    </w:p>
    <w:p w14:paraId="15C036AB" w14:textId="33922976" w:rsidR="00ED3E23" w:rsidRDefault="00953319" w:rsidP="001E6EDB">
      <w:pPr>
        <w:pStyle w:val="CETBodytext"/>
        <w:rPr>
          <w:lang w:val="en-GB"/>
        </w:rPr>
      </w:pPr>
      <w:r>
        <w:rPr>
          <w:lang w:val="en-GB"/>
        </w:rPr>
        <w:t>First</w:t>
      </w:r>
      <w:r w:rsidR="009728FE">
        <w:rPr>
          <w:lang w:val="en-GB"/>
        </w:rPr>
        <w:t>,</w:t>
      </w:r>
      <w:r>
        <w:rPr>
          <w:lang w:val="en-GB"/>
        </w:rPr>
        <w:t xml:space="preserve"> applicable regulations and guidelines were compiled and studied. It was found that no</w:t>
      </w:r>
      <w:r w:rsidRPr="00E62B4D">
        <w:rPr>
          <w:lang w:val="en-GB"/>
        </w:rPr>
        <w:t xml:space="preserve"> regulations for the use of </w:t>
      </w:r>
      <w:r>
        <w:rPr>
          <w:lang w:val="en-GB"/>
        </w:rPr>
        <w:t>APV</w:t>
      </w:r>
      <w:r w:rsidR="00654F52">
        <w:rPr>
          <w:lang w:val="en-GB"/>
        </w:rPr>
        <w:t>s o</w:t>
      </w:r>
      <w:r>
        <w:rPr>
          <w:lang w:val="en-GB"/>
        </w:rPr>
        <w:t>n chemical sites</w:t>
      </w:r>
      <w:r w:rsidRPr="00E62B4D">
        <w:rPr>
          <w:lang w:val="en-GB"/>
        </w:rPr>
        <w:t xml:space="preserve"> </w:t>
      </w:r>
      <w:r w:rsidR="001E6EDB">
        <w:rPr>
          <w:lang w:val="en-GB"/>
        </w:rPr>
        <w:t>exist</w:t>
      </w:r>
      <w:r w:rsidR="00654F52">
        <w:rPr>
          <w:lang w:val="en-GB"/>
        </w:rPr>
        <w:t>s</w:t>
      </w:r>
      <w:r w:rsidR="001E6EDB">
        <w:rPr>
          <w:lang w:val="en-GB"/>
        </w:rPr>
        <w:t>, n</w:t>
      </w:r>
      <w:r w:rsidR="00654F52">
        <w:rPr>
          <w:lang w:val="en-GB"/>
        </w:rPr>
        <w:t>either</w:t>
      </w:r>
      <w:r w:rsidR="001E6EDB">
        <w:rPr>
          <w:lang w:val="en-GB"/>
        </w:rPr>
        <w:t xml:space="preserve"> in Europe </w:t>
      </w:r>
      <w:r w:rsidR="00F82B95">
        <w:rPr>
          <w:lang w:val="en-GB"/>
        </w:rPr>
        <w:t>n</w:t>
      </w:r>
      <w:r w:rsidR="001E6EDB">
        <w:rPr>
          <w:lang w:val="en-GB"/>
        </w:rPr>
        <w:t xml:space="preserve">or the USA. </w:t>
      </w:r>
      <w:r w:rsidR="00A57E72">
        <w:rPr>
          <w:lang w:val="en-GB"/>
        </w:rPr>
        <w:t>However, i</w:t>
      </w:r>
      <w:r w:rsidR="007B3EAC" w:rsidRPr="00E62B4D">
        <w:rPr>
          <w:lang w:val="en-GB"/>
        </w:rPr>
        <w:t>nitiatives</w:t>
      </w:r>
      <w:r w:rsidR="005C231E" w:rsidRPr="00E62B4D">
        <w:rPr>
          <w:lang w:val="en-GB"/>
        </w:rPr>
        <w:t xml:space="preserve"> </w:t>
      </w:r>
      <w:r w:rsidR="000A30C2" w:rsidRPr="00E62B4D">
        <w:rPr>
          <w:lang w:val="en-GB"/>
        </w:rPr>
        <w:t>are emerging within (international) organizations</w:t>
      </w:r>
      <w:r w:rsidR="000A30C2">
        <w:rPr>
          <w:lang w:val="en-GB"/>
        </w:rPr>
        <w:t xml:space="preserve"> </w:t>
      </w:r>
      <w:r w:rsidR="005C231E">
        <w:rPr>
          <w:lang w:val="en-GB"/>
        </w:rPr>
        <w:t>such as CEFIC and the UN (ADR)</w:t>
      </w:r>
      <w:r w:rsidR="0034692B">
        <w:rPr>
          <w:lang w:val="en-GB"/>
        </w:rPr>
        <w:t xml:space="preserve"> a</w:t>
      </w:r>
      <w:r w:rsidR="007B3EAC">
        <w:rPr>
          <w:lang w:val="en-GB"/>
        </w:rPr>
        <w:t>s well as</w:t>
      </w:r>
      <w:r w:rsidR="0034692B">
        <w:rPr>
          <w:lang w:val="en-GB"/>
        </w:rPr>
        <w:t xml:space="preserve"> </w:t>
      </w:r>
      <w:r w:rsidR="000A30C2">
        <w:rPr>
          <w:lang w:val="en-GB"/>
        </w:rPr>
        <w:t>w</w:t>
      </w:r>
      <w:r w:rsidR="000A30C2" w:rsidRPr="00E62B4D">
        <w:rPr>
          <w:lang w:val="en-GB"/>
        </w:rPr>
        <w:t xml:space="preserve">ithin companies, </w:t>
      </w:r>
      <w:r w:rsidR="0034692B">
        <w:rPr>
          <w:lang w:val="en-GB"/>
        </w:rPr>
        <w:t xml:space="preserve">where </w:t>
      </w:r>
      <w:r w:rsidR="00654F52">
        <w:rPr>
          <w:lang w:val="en-GB"/>
        </w:rPr>
        <w:t>so far</w:t>
      </w:r>
      <w:r w:rsidR="000A30C2">
        <w:rPr>
          <w:lang w:val="en-GB"/>
        </w:rPr>
        <w:t xml:space="preserve"> </w:t>
      </w:r>
      <w:r w:rsidR="0034692B" w:rsidRPr="00E62B4D">
        <w:rPr>
          <w:lang w:val="en-GB"/>
        </w:rPr>
        <w:t xml:space="preserve">guidelines </w:t>
      </w:r>
      <w:r w:rsidR="00654F52">
        <w:rPr>
          <w:lang w:val="en-GB"/>
        </w:rPr>
        <w:t>are</w:t>
      </w:r>
      <w:r w:rsidR="000A30C2" w:rsidRPr="00E62B4D">
        <w:rPr>
          <w:lang w:val="en-GB"/>
        </w:rPr>
        <w:t xml:space="preserve"> lacking.</w:t>
      </w:r>
      <w:r w:rsidR="00A57E72">
        <w:rPr>
          <w:lang w:val="en-GB"/>
        </w:rPr>
        <w:t xml:space="preserve"> </w:t>
      </w:r>
      <w:r w:rsidR="001E6EDB" w:rsidRPr="00E62B4D">
        <w:rPr>
          <w:lang w:val="en-GB"/>
        </w:rPr>
        <w:t xml:space="preserve">There are </w:t>
      </w:r>
      <w:r w:rsidR="00A57E72">
        <w:rPr>
          <w:lang w:val="en-GB"/>
        </w:rPr>
        <w:t>also</w:t>
      </w:r>
      <w:r w:rsidR="001E6EDB">
        <w:rPr>
          <w:lang w:val="en-GB"/>
        </w:rPr>
        <w:t xml:space="preserve"> </w:t>
      </w:r>
      <w:r w:rsidR="001E6EDB" w:rsidRPr="00E62B4D">
        <w:rPr>
          <w:lang w:val="en-GB"/>
        </w:rPr>
        <w:t xml:space="preserve">national </w:t>
      </w:r>
      <w:r w:rsidR="007D490A">
        <w:rPr>
          <w:lang w:val="en-GB"/>
        </w:rPr>
        <w:t>(</w:t>
      </w:r>
      <w:r w:rsidR="009C79F8">
        <w:rPr>
          <w:lang w:val="en-GB"/>
        </w:rPr>
        <w:t xml:space="preserve">Dutch </w:t>
      </w:r>
      <w:r w:rsidR="007D490A">
        <w:rPr>
          <w:lang w:val="en-GB"/>
        </w:rPr>
        <w:t xml:space="preserve">PGS guidelines) </w:t>
      </w:r>
      <w:r w:rsidR="001E6EDB" w:rsidRPr="00E62B4D">
        <w:rPr>
          <w:lang w:val="en-GB"/>
        </w:rPr>
        <w:t xml:space="preserve">and international </w:t>
      </w:r>
      <w:r w:rsidR="007D490A">
        <w:rPr>
          <w:lang w:val="en-GB"/>
        </w:rPr>
        <w:t xml:space="preserve">(UN/ECE, NFPA) </w:t>
      </w:r>
      <w:r w:rsidR="001E6EDB" w:rsidRPr="00E62B4D">
        <w:rPr>
          <w:lang w:val="en-GB"/>
        </w:rPr>
        <w:t xml:space="preserve">requirements </w:t>
      </w:r>
      <w:r w:rsidR="00605C84">
        <w:rPr>
          <w:lang w:val="en-GB"/>
        </w:rPr>
        <w:t xml:space="preserve">that cover relevant aspects of </w:t>
      </w:r>
      <w:r w:rsidR="005F397D">
        <w:rPr>
          <w:lang w:val="en-GB"/>
        </w:rPr>
        <w:t xml:space="preserve">APVs or </w:t>
      </w:r>
      <w:r w:rsidR="00605C84">
        <w:rPr>
          <w:lang w:val="en-GB"/>
        </w:rPr>
        <w:t>equipment and the environment in which they are used</w:t>
      </w:r>
      <w:r w:rsidR="00ED3E23" w:rsidRPr="00E62B4D">
        <w:rPr>
          <w:lang w:val="en-GB"/>
        </w:rPr>
        <w:t>.</w:t>
      </w:r>
    </w:p>
    <w:p w14:paraId="1E24DA0B" w14:textId="37834953" w:rsidR="007702E2" w:rsidRDefault="007B3EAC" w:rsidP="001E6EDB">
      <w:pPr>
        <w:pStyle w:val="CETBodytext"/>
        <w:rPr>
          <w:lang w:val="en-GB"/>
        </w:rPr>
      </w:pPr>
      <w:r>
        <w:rPr>
          <w:lang w:val="en-GB"/>
        </w:rPr>
        <w:t>Secondly</w:t>
      </w:r>
      <w:r w:rsidR="009728FE">
        <w:rPr>
          <w:lang w:val="en-GB"/>
        </w:rPr>
        <w:t>,</w:t>
      </w:r>
      <w:r w:rsidR="00877521">
        <w:rPr>
          <w:lang w:val="en-GB"/>
        </w:rPr>
        <w:t xml:space="preserve"> the </w:t>
      </w:r>
      <w:r>
        <w:rPr>
          <w:lang w:val="en-GB"/>
        </w:rPr>
        <w:t>safety risks</w:t>
      </w:r>
      <w:r w:rsidR="00877521">
        <w:rPr>
          <w:lang w:val="en-GB"/>
        </w:rPr>
        <w:t xml:space="preserve"> of the use of APVs on (petro)chemical sites was studied </w:t>
      </w:r>
      <w:r>
        <w:rPr>
          <w:lang w:val="en-GB"/>
        </w:rPr>
        <w:t xml:space="preserve">by evaluating </w:t>
      </w:r>
      <w:r w:rsidR="00CB529B">
        <w:rPr>
          <w:lang w:val="en-GB"/>
        </w:rPr>
        <w:t xml:space="preserve">12 </w:t>
      </w:r>
      <w:r>
        <w:rPr>
          <w:lang w:val="en-GB"/>
        </w:rPr>
        <w:t>dedicated (key) incident</w:t>
      </w:r>
      <w:r w:rsidR="00EF21FD">
        <w:rPr>
          <w:lang w:val="en-GB"/>
        </w:rPr>
        <w:t xml:space="preserve"> </w:t>
      </w:r>
      <w:r>
        <w:rPr>
          <w:lang w:val="en-GB"/>
        </w:rPr>
        <w:t>s</w:t>
      </w:r>
      <w:r w:rsidR="00EF21FD">
        <w:rPr>
          <w:lang w:val="en-GB"/>
        </w:rPr>
        <w:t>cenarios</w:t>
      </w:r>
      <w:r w:rsidR="00CB529B">
        <w:rPr>
          <w:lang w:val="en-GB"/>
        </w:rPr>
        <w:t xml:space="preserve"> constructed by </w:t>
      </w:r>
      <w:r w:rsidR="00EF3E2A">
        <w:rPr>
          <w:lang w:val="en-GB"/>
        </w:rPr>
        <w:t>assuming</w:t>
      </w:r>
      <w:r w:rsidR="00CB529B">
        <w:rPr>
          <w:lang w:val="en-GB"/>
        </w:rPr>
        <w:t xml:space="preserve"> </w:t>
      </w:r>
      <w:r w:rsidR="00EF3E2A">
        <w:rPr>
          <w:lang w:val="en-GB"/>
        </w:rPr>
        <w:t>each of the four</w:t>
      </w:r>
      <w:r w:rsidR="00CB529B">
        <w:rPr>
          <w:lang w:val="en-GB"/>
        </w:rPr>
        <w:t xml:space="preserve"> </w:t>
      </w:r>
      <w:r w:rsidR="00EF3E2A">
        <w:rPr>
          <w:lang w:val="en-GB"/>
        </w:rPr>
        <w:t xml:space="preserve">vehicle </w:t>
      </w:r>
      <w:r w:rsidR="00CB529B">
        <w:rPr>
          <w:lang w:val="en-GB"/>
        </w:rPr>
        <w:t>type</w:t>
      </w:r>
      <w:r w:rsidR="00EF3E2A">
        <w:rPr>
          <w:lang w:val="en-GB"/>
        </w:rPr>
        <w:t>s (i.e. CNG</w:t>
      </w:r>
      <w:r w:rsidR="00A30768">
        <w:rPr>
          <w:lang w:val="en-GB"/>
        </w:rPr>
        <w:t>-</w:t>
      </w:r>
      <w:r w:rsidR="00EF3E2A">
        <w:rPr>
          <w:lang w:val="en-GB"/>
        </w:rPr>
        <w:t>, LNG</w:t>
      </w:r>
      <w:r w:rsidR="00A30768">
        <w:rPr>
          <w:lang w:val="en-GB"/>
        </w:rPr>
        <w:t>-</w:t>
      </w:r>
      <w:r w:rsidR="00EF3E2A">
        <w:rPr>
          <w:lang w:val="en-GB"/>
        </w:rPr>
        <w:t>, H</w:t>
      </w:r>
      <w:r w:rsidR="00EF3E2A" w:rsidRPr="00A30768">
        <w:rPr>
          <w:vertAlign w:val="subscript"/>
          <w:lang w:val="en-GB"/>
        </w:rPr>
        <w:t>2</w:t>
      </w:r>
      <w:r w:rsidR="00A30768">
        <w:rPr>
          <w:lang w:val="en-GB"/>
        </w:rPr>
        <w:t>-</w:t>
      </w:r>
      <w:r w:rsidR="00EF3E2A">
        <w:rPr>
          <w:lang w:val="en-GB"/>
        </w:rPr>
        <w:t xml:space="preserve"> or battery-powered)</w:t>
      </w:r>
      <w:r w:rsidR="00CB529B">
        <w:rPr>
          <w:lang w:val="en-GB"/>
        </w:rPr>
        <w:t xml:space="preserve"> </w:t>
      </w:r>
      <w:r w:rsidR="00EF3E2A">
        <w:rPr>
          <w:lang w:val="en-GB"/>
        </w:rPr>
        <w:t xml:space="preserve">could be involved </w:t>
      </w:r>
      <w:r w:rsidR="005934F6">
        <w:rPr>
          <w:lang w:val="en-GB"/>
        </w:rPr>
        <w:t>in a</w:t>
      </w:r>
      <w:r w:rsidR="006F223C">
        <w:rPr>
          <w:lang w:val="en-GB"/>
        </w:rPr>
        <w:t xml:space="preserve"> (key)</w:t>
      </w:r>
      <w:r w:rsidR="005934F6">
        <w:rPr>
          <w:lang w:val="en-GB"/>
        </w:rPr>
        <w:t xml:space="preserve"> </w:t>
      </w:r>
      <w:r w:rsidR="00EF3E2A">
        <w:rPr>
          <w:lang w:val="en-GB"/>
        </w:rPr>
        <w:t>incident</w:t>
      </w:r>
      <w:r w:rsidR="009728FE">
        <w:rPr>
          <w:lang w:val="en-GB"/>
        </w:rPr>
        <w:t>,</w:t>
      </w:r>
      <w:r w:rsidR="00EF3E2A">
        <w:rPr>
          <w:lang w:val="en-GB"/>
        </w:rPr>
        <w:t xml:space="preserve"> during </w:t>
      </w:r>
      <w:r w:rsidR="00CB529B">
        <w:rPr>
          <w:lang w:val="en-GB"/>
        </w:rPr>
        <w:t xml:space="preserve">three </w:t>
      </w:r>
      <w:r w:rsidR="00877521">
        <w:rPr>
          <w:lang w:val="en-GB"/>
        </w:rPr>
        <w:t xml:space="preserve">activities on </w:t>
      </w:r>
      <w:r w:rsidR="00EF3E2A">
        <w:rPr>
          <w:lang w:val="en-GB"/>
        </w:rPr>
        <w:t>site</w:t>
      </w:r>
      <w:r w:rsidR="009C79F8">
        <w:rPr>
          <w:lang w:val="en-GB"/>
        </w:rPr>
        <w:t>:</w:t>
      </w:r>
      <w:r w:rsidR="00D1514E">
        <w:rPr>
          <w:lang w:val="en-GB"/>
        </w:rPr>
        <w:t xml:space="preserve"> </w:t>
      </w:r>
      <w:r w:rsidR="00877521">
        <w:rPr>
          <w:lang w:val="en-GB"/>
        </w:rPr>
        <w:t xml:space="preserve">driving, </w:t>
      </w:r>
      <w:r w:rsidR="006F223C">
        <w:rPr>
          <w:lang w:val="en-GB"/>
        </w:rPr>
        <w:t>(</w:t>
      </w:r>
      <w:r w:rsidR="00877521">
        <w:rPr>
          <w:lang w:val="en-GB"/>
        </w:rPr>
        <w:t>un</w:t>
      </w:r>
      <w:r w:rsidR="006F223C">
        <w:rPr>
          <w:lang w:val="en-GB"/>
        </w:rPr>
        <w:t>)</w:t>
      </w:r>
      <w:r w:rsidR="00877521">
        <w:rPr>
          <w:lang w:val="en-GB"/>
        </w:rPr>
        <w:t>loading</w:t>
      </w:r>
      <w:r w:rsidR="00A30768">
        <w:rPr>
          <w:lang w:val="en-GB"/>
        </w:rPr>
        <w:t xml:space="preserve">, </w:t>
      </w:r>
      <w:r w:rsidR="009C79F8">
        <w:rPr>
          <w:lang w:val="en-GB"/>
        </w:rPr>
        <w:t xml:space="preserve">or </w:t>
      </w:r>
      <w:r w:rsidR="00A30768">
        <w:rPr>
          <w:lang w:val="en-GB"/>
        </w:rPr>
        <w:t>parking</w:t>
      </w:r>
      <w:r w:rsidR="00877521">
        <w:rPr>
          <w:lang w:val="en-GB"/>
        </w:rPr>
        <w:t xml:space="preserve">. </w:t>
      </w:r>
      <w:r w:rsidR="009C79F8">
        <w:rPr>
          <w:lang w:val="en-GB"/>
        </w:rPr>
        <w:t>Based o</w:t>
      </w:r>
      <w:r w:rsidR="00A30768">
        <w:rPr>
          <w:lang w:val="en-GB"/>
        </w:rPr>
        <w:t xml:space="preserve">n </w:t>
      </w:r>
      <w:r w:rsidR="00EF3E2A">
        <w:rPr>
          <w:lang w:val="en-GB"/>
        </w:rPr>
        <w:t xml:space="preserve">type and extent of the (adverse) effects “Worst Credible Accidents” (WCAs) were selected </w:t>
      </w:r>
      <w:r w:rsidR="00D375AD">
        <w:rPr>
          <w:lang w:val="en-GB"/>
        </w:rPr>
        <w:t>for design of</w:t>
      </w:r>
      <w:r w:rsidR="007702E2">
        <w:rPr>
          <w:lang w:val="en-GB"/>
        </w:rPr>
        <w:t xml:space="preserve"> safety measures, thereby using realistic (industrial) settings</w:t>
      </w:r>
      <w:r w:rsidR="005934F6">
        <w:rPr>
          <w:lang w:val="en-GB"/>
        </w:rPr>
        <w:t>.</w:t>
      </w:r>
    </w:p>
    <w:p w14:paraId="21B6465C" w14:textId="3BE70CEA" w:rsidR="007702E2" w:rsidRDefault="00464128" w:rsidP="001E6EDB">
      <w:pPr>
        <w:pStyle w:val="CETBodytext"/>
        <w:rPr>
          <w:lang w:val="en-GB"/>
        </w:rPr>
      </w:pPr>
      <w:r>
        <w:rPr>
          <w:lang w:val="en-GB"/>
        </w:rPr>
        <w:t xml:space="preserve">The results showed that very different effects </w:t>
      </w:r>
      <w:r w:rsidR="00A177B4">
        <w:rPr>
          <w:lang w:val="en-GB"/>
        </w:rPr>
        <w:t xml:space="preserve">of incidents </w:t>
      </w:r>
      <w:r>
        <w:rPr>
          <w:lang w:val="en-GB"/>
        </w:rPr>
        <w:t>should be expected when ch</w:t>
      </w:r>
      <w:r w:rsidR="000924A7">
        <w:rPr>
          <w:lang w:val="en-GB"/>
        </w:rPr>
        <w:t xml:space="preserve">anging from diesel to alternative energy sources. </w:t>
      </w:r>
      <w:r w:rsidR="00F82B95">
        <w:rPr>
          <w:lang w:val="en-GB"/>
        </w:rPr>
        <w:t>A</w:t>
      </w:r>
      <w:r w:rsidR="000924A7">
        <w:rPr>
          <w:lang w:val="en-GB"/>
        </w:rPr>
        <w:t>n incident with diesel will result in a liquid pool (that won’t easily ignite)</w:t>
      </w:r>
      <w:r w:rsidR="00F82B95">
        <w:rPr>
          <w:lang w:val="en-GB"/>
        </w:rPr>
        <w:t>. A</w:t>
      </w:r>
      <w:r w:rsidR="000924A7">
        <w:rPr>
          <w:lang w:val="en-GB"/>
        </w:rPr>
        <w:t xml:space="preserve">ccidents with vehicles powered with gas </w:t>
      </w:r>
      <w:r w:rsidR="008230C7">
        <w:rPr>
          <w:lang w:val="en-GB"/>
        </w:rPr>
        <w:t xml:space="preserve">could </w:t>
      </w:r>
      <w:r w:rsidR="007702E2">
        <w:rPr>
          <w:lang w:val="en-GB"/>
        </w:rPr>
        <w:t>yield</w:t>
      </w:r>
      <w:r w:rsidR="005934F6">
        <w:rPr>
          <w:lang w:val="en-GB"/>
        </w:rPr>
        <w:t xml:space="preserve"> </w:t>
      </w:r>
      <w:r w:rsidR="000924A7">
        <w:rPr>
          <w:lang w:val="en-GB"/>
        </w:rPr>
        <w:t>jet</w:t>
      </w:r>
      <w:r w:rsidR="00AF1FD1">
        <w:rPr>
          <w:lang w:val="en-GB"/>
        </w:rPr>
        <w:t xml:space="preserve"> </w:t>
      </w:r>
      <w:r w:rsidR="000924A7">
        <w:rPr>
          <w:lang w:val="en-GB"/>
        </w:rPr>
        <w:t xml:space="preserve">fires </w:t>
      </w:r>
      <w:r w:rsidR="008230C7">
        <w:rPr>
          <w:lang w:val="en-GB"/>
        </w:rPr>
        <w:t>with lengths of up to 100 m (</w:t>
      </w:r>
      <w:r w:rsidR="007702E2">
        <w:rPr>
          <w:lang w:val="en-GB"/>
        </w:rPr>
        <w:t>for LNG</w:t>
      </w:r>
      <w:r w:rsidR="008230C7">
        <w:rPr>
          <w:lang w:val="en-GB"/>
        </w:rPr>
        <w:t xml:space="preserve">) and 30 m (for CNG) </w:t>
      </w:r>
      <w:r w:rsidR="00AF1FD1">
        <w:rPr>
          <w:lang w:val="en-GB"/>
        </w:rPr>
        <w:t>and flashfire</w:t>
      </w:r>
      <w:r w:rsidR="008230C7">
        <w:rPr>
          <w:lang w:val="en-GB"/>
        </w:rPr>
        <w:t>s</w:t>
      </w:r>
      <w:r w:rsidR="00AF1FD1">
        <w:rPr>
          <w:lang w:val="en-GB"/>
        </w:rPr>
        <w:t xml:space="preserve"> for hydrogen</w:t>
      </w:r>
      <w:r w:rsidR="008230C7">
        <w:rPr>
          <w:lang w:val="en-GB"/>
        </w:rPr>
        <w:t xml:space="preserve">, with a diameter of </w:t>
      </w:r>
      <w:r w:rsidR="000924A7">
        <w:rPr>
          <w:lang w:val="en-GB"/>
        </w:rPr>
        <w:t>50 m</w:t>
      </w:r>
      <w:r w:rsidR="00AF1FD1">
        <w:rPr>
          <w:lang w:val="en-GB"/>
        </w:rPr>
        <w:t xml:space="preserve">. A BLEVE of the LNG tank </w:t>
      </w:r>
      <w:r w:rsidR="00AF1FD1" w:rsidRPr="0072521F">
        <w:rPr>
          <w:lang w:val="en-GB"/>
        </w:rPr>
        <w:t>can produce a fireball about 30 m in diameter</w:t>
      </w:r>
      <w:r w:rsidR="00AF1FD1">
        <w:rPr>
          <w:lang w:val="en-GB"/>
        </w:rPr>
        <w:t xml:space="preserve">. </w:t>
      </w:r>
      <w:r w:rsidR="00AF1FD1" w:rsidRPr="0072521F">
        <w:rPr>
          <w:lang w:val="en-GB"/>
        </w:rPr>
        <w:t xml:space="preserve">Complete failure of a battery pack </w:t>
      </w:r>
      <w:r w:rsidR="00AF1FD1">
        <w:rPr>
          <w:lang w:val="en-GB"/>
        </w:rPr>
        <w:t xml:space="preserve">of a battery-electric </w:t>
      </w:r>
      <w:r w:rsidR="001076F4">
        <w:rPr>
          <w:lang w:val="en-GB"/>
        </w:rPr>
        <w:t>powered truck</w:t>
      </w:r>
      <w:r w:rsidR="00AF1FD1">
        <w:rPr>
          <w:lang w:val="en-GB"/>
        </w:rPr>
        <w:t xml:space="preserve"> </w:t>
      </w:r>
      <w:r w:rsidR="00AF1FD1" w:rsidRPr="0072521F">
        <w:rPr>
          <w:lang w:val="en-GB"/>
        </w:rPr>
        <w:t xml:space="preserve">can generate </w:t>
      </w:r>
      <w:r w:rsidR="008230C7">
        <w:rPr>
          <w:lang w:val="en-GB"/>
        </w:rPr>
        <w:t>enough</w:t>
      </w:r>
      <w:r w:rsidR="009728FE">
        <w:rPr>
          <w:lang w:val="en-GB"/>
        </w:rPr>
        <w:t xml:space="preserve"> </w:t>
      </w:r>
      <w:r w:rsidR="00AF1FD1" w:rsidRPr="0072521F">
        <w:rPr>
          <w:lang w:val="en-GB"/>
        </w:rPr>
        <w:t xml:space="preserve">toxic </w:t>
      </w:r>
      <w:r w:rsidR="005934F6">
        <w:rPr>
          <w:lang w:val="en-GB"/>
        </w:rPr>
        <w:t>HF</w:t>
      </w:r>
      <w:r w:rsidR="00AF1FD1" w:rsidRPr="0072521F">
        <w:rPr>
          <w:lang w:val="en-GB"/>
        </w:rPr>
        <w:t xml:space="preserve"> </w:t>
      </w:r>
      <w:r w:rsidR="008230C7">
        <w:rPr>
          <w:lang w:val="en-GB"/>
        </w:rPr>
        <w:t>to cause</w:t>
      </w:r>
      <w:r w:rsidR="00AF1FD1" w:rsidRPr="0072521F">
        <w:rPr>
          <w:lang w:val="en-GB"/>
        </w:rPr>
        <w:t xml:space="preserve"> </w:t>
      </w:r>
      <w:r w:rsidR="00AF1FD1">
        <w:rPr>
          <w:lang w:val="en-GB"/>
        </w:rPr>
        <w:t xml:space="preserve">life threatening </w:t>
      </w:r>
      <w:r w:rsidR="00AF1FD1" w:rsidRPr="0072521F">
        <w:rPr>
          <w:lang w:val="en-GB"/>
        </w:rPr>
        <w:t xml:space="preserve">health effects up to </w:t>
      </w:r>
      <w:r w:rsidR="00AF1FD1">
        <w:rPr>
          <w:lang w:val="en-GB"/>
        </w:rPr>
        <w:t>30</w:t>
      </w:r>
      <w:r w:rsidR="00AF1FD1" w:rsidRPr="0072521F">
        <w:rPr>
          <w:lang w:val="en-GB"/>
        </w:rPr>
        <w:t xml:space="preserve"> meters</w:t>
      </w:r>
      <w:r w:rsidR="005934F6">
        <w:rPr>
          <w:lang w:val="en-GB"/>
        </w:rPr>
        <w:t>.</w:t>
      </w:r>
    </w:p>
    <w:p w14:paraId="5D3E2BE1" w14:textId="1484147B" w:rsidR="001E6EDB" w:rsidRPr="00AF1FD1" w:rsidRDefault="00A177B4" w:rsidP="00953319">
      <w:pPr>
        <w:pStyle w:val="CETBodytext"/>
      </w:pPr>
      <w:r>
        <w:rPr>
          <w:lang w:val="en-GB"/>
        </w:rPr>
        <w:t>These new risks will require new safety measure</w:t>
      </w:r>
      <w:r w:rsidR="005934F6">
        <w:rPr>
          <w:lang w:val="en-GB"/>
        </w:rPr>
        <w:t>s</w:t>
      </w:r>
      <w:r>
        <w:rPr>
          <w:lang w:val="en-GB"/>
        </w:rPr>
        <w:t xml:space="preserve"> on the </w:t>
      </w:r>
      <w:r w:rsidR="00571C4D">
        <w:rPr>
          <w:lang w:val="en-GB"/>
        </w:rPr>
        <w:t xml:space="preserve">(petro)chemical </w:t>
      </w:r>
      <w:r>
        <w:rPr>
          <w:lang w:val="en-GB"/>
        </w:rPr>
        <w:t>sites</w:t>
      </w:r>
      <w:r w:rsidR="00025EAF">
        <w:rPr>
          <w:lang w:val="en-GB"/>
        </w:rPr>
        <w:t xml:space="preserve"> and ada</w:t>
      </w:r>
      <w:r w:rsidR="00571C4D">
        <w:rPr>
          <w:lang w:val="en-GB"/>
        </w:rPr>
        <w:t>p</w:t>
      </w:r>
      <w:r w:rsidR="00025EAF">
        <w:rPr>
          <w:lang w:val="en-GB"/>
        </w:rPr>
        <w:t>tations to the Safety Management System</w:t>
      </w:r>
      <w:r>
        <w:rPr>
          <w:lang w:val="en-GB"/>
        </w:rPr>
        <w:t xml:space="preserve">. </w:t>
      </w:r>
      <w:r w:rsidR="00AF1FD1" w:rsidRPr="00AF1FD1">
        <w:t xml:space="preserve">These measures </w:t>
      </w:r>
      <w:r w:rsidR="00AF1FD1">
        <w:t xml:space="preserve">will affect requirements for </w:t>
      </w:r>
      <w:r w:rsidR="005934F6">
        <w:t xml:space="preserve">admission for </w:t>
      </w:r>
      <w:r w:rsidR="00AF1FD1">
        <w:t>vehicles</w:t>
      </w:r>
      <w:r w:rsidR="005934F6">
        <w:t xml:space="preserve"> </w:t>
      </w:r>
      <w:r w:rsidR="00025EAF">
        <w:t xml:space="preserve">on site, </w:t>
      </w:r>
      <w:r w:rsidR="00571C4D">
        <w:t xml:space="preserve">for </w:t>
      </w:r>
      <w:r w:rsidR="00025EAF">
        <w:t>onsite road-infrastructure</w:t>
      </w:r>
      <w:r w:rsidR="00571C4D">
        <w:t xml:space="preserve"> and parking area</w:t>
      </w:r>
      <w:r w:rsidR="00025EAF">
        <w:t xml:space="preserve">, </w:t>
      </w:r>
      <w:r w:rsidR="00571C4D">
        <w:t xml:space="preserve">for </w:t>
      </w:r>
      <w:r w:rsidR="00025EAF">
        <w:t>working practices</w:t>
      </w:r>
      <w:r w:rsidR="009C79F8">
        <w:t>,</w:t>
      </w:r>
      <w:r w:rsidR="00025EAF">
        <w:t xml:space="preserve"> </w:t>
      </w:r>
      <w:r w:rsidR="005934F6">
        <w:t xml:space="preserve">working </w:t>
      </w:r>
      <w:r w:rsidR="00025EAF">
        <w:t>location</w:t>
      </w:r>
      <w:r w:rsidR="00571C4D">
        <w:t>s and for emergency services.</w:t>
      </w:r>
      <w:r w:rsidR="00025EAF">
        <w:t xml:space="preserve"> </w:t>
      </w:r>
      <w:r w:rsidR="00571C4D">
        <w:t xml:space="preserve">The measures will </w:t>
      </w:r>
      <w:r w:rsidR="008230C7">
        <w:t>impact</w:t>
      </w:r>
      <w:r w:rsidR="00571C4D">
        <w:t xml:space="preserve"> </w:t>
      </w:r>
      <w:r w:rsidR="00654F52">
        <w:t>procedures</w:t>
      </w:r>
      <w:r w:rsidR="00571C4D">
        <w:t xml:space="preserve"> and hardware. </w:t>
      </w:r>
    </w:p>
    <w:p w14:paraId="03E1722C" w14:textId="77777777" w:rsidR="00B91F16" w:rsidRPr="00B57B36" w:rsidRDefault="00B91F16" w:rsidP="00B91F16">
      <w:pPr>
        <w:pStyle w:val="CETAcknowledgementstitle"/>
      </w:pPr>
      <w:r w:rsidRPr="00B57B36">
        <w:t>Acknowledgments</w:t>
      </w:r>
    </w:p>
    <w:p w14:paraId="7AE5C232" w14:textId="4E611D1D" w:rsidR="00B91F16" w:rsidRPr="00B57B36" w:rsidRDefault="00B91F16" w:rsidP="00B91F16">
      <w:pPr>
        <w:pStyle w:val="CETBodytext"/>
        <w:rPr>
          <w:lang w:val="en-GB"/>
        </w:rPr>
      </w:pPr>
      <w:r>
        <w:rPr>
          <w:lang w:val="en-GB"/>
        </w:rPr>
        <w:t xml:space="preserve">We would like to thank the Dutch </w:t>
      </w:r>
      <w:r w:rsidR="005F1744">
        <w:rPr>
          <w:lang w:val="en-GB"/>
        </w:rPr>
        <w:t>Ministry</w:t>
      </w:r>
      <w:r>
        <w:rPr>
          <w:lang w:val="en-GB"/>
        </w:rPr>
        <w:t xml:space="preserve"> of Infrastructure and Water Management </w:t>
      </w:r>
      <w:r w:rsidR="00666AB2">
        <w:rPr>
          <w:lang w:val="en-GB"/>
        </w:rPr>
        <w:t xml:space="preserve">and </w:t>
      </w:r>
      <w:r w:rsidRPr="00B91F16">
        <w:rPr>
          <w:lang w:val="en-GB"/>
        </w:rPr>
        <w:t>The Royal Association of the Dutch Chemical Industry</w:t>
      </w:r>
      <w:r>
        <w:rPr>
          <w:lang w:val="en-GB"/>
        </w:rPr>
        <w:t xml:space="preserve"> (VNCI)</w:t>
      </w:r>
      <w:r w:rsidR="005934F6">
        <w:rPr>
          <w:lang w:val="en-GB"/>
        </w:rPr>
        <w:t xml:space="preserve"> </w:t>
      </w:r>
      <w:r>
        <w:rPr>
          <w:lang w:val="en-GB"/>
        </w:rPr>
        <w:t xml:space="preserve">for funding this </w:t>
      </w:r>
      <w:r w:rsidR="00666AB2">
        <w:rPr>
          <w:lang w:val="en-GB"/>
        </w:rPr>
        <w:t>research. We</w:t>
      </w:r>
      <w:r w:rsidR="005F1744">
        <w:rPr>
          <w:lang w:val="en-GB"/>
        </w:rPr>
        <w:t xml:space="preserve"> would also like to thank the VNCI</w:t>
      </w:r>
      <w:r w:rsidR="00EE1F3D">
        <w:rPr>
          <w:lang w:val="en-GB"/>
        </w:rPr>
        <w:t>,</w:t>
      </w:r>
      <w:r w:rsidR="005F1744">
        <w:rPr>
          <w:lang w:val="en-GB"/>
        </w:rPr>
        <w:t xml:space="preserve"> </w:t>
      </w:r>
      <w:r w:rsidR="00EE1F3D">
        <w:rPr>
          <w:lang w:val="en-GB"/>
        </w:rPr>
        <w:t xml:space="preserve">industry </w:t>
      </w:r>
      <w:r w:rsidR="005F1744">
        <w:rPr>
          <w:lang w:val="en-GB"/>
        </w:rPr>
        <w:t xml:space="preserve">members </w:t>
      </w:r>
      <w:r w:rsidR="00EE1F3D">
        <w:rPr>
          <w:lang w:val="en-GB"/>
        </w:rPr>
        <w:t xml:space="preserve">and representatives of Dutch Safety Regions </w:t>
      </w:r>
      <w:r w:rsidR="005F1744">
        <w:rPr>
          <w:lang w:val="en-GB"/>
        </w:rPr>
        <w:t xml:space="preserve">for </w:t>
      </w:r>
      <w:r w:rsidR="009C79F8">
        <w:rPr>
          <w:lang w:val="en-GB"/>
        </w:rPr>
        <w:t xml:space="preserve">participating in </w:t>
      </w:r>
      <w:r w:rsidR="005F1744">
        <w:rPr>
          <w:lang w:val="en-GB"/>
        </w:rPr>
        <w:t>the study.</w:t>
      </w:r>
    </w:p>
    <w:p w14:paraId="5B57EB8D" w14:textId="77777777" w:rsidR="00B91F16" w:rsidRPr="00B57B36" w:rsidRDefault="00B91F16" w:rsidP="00B91F16">
      <w:pPr>
        <w:pStyle w:val="CETReference"/>
      </w:pPr>
      <w:r w:rsidRPr="00B57B36">
        <w:t>References</w:t>
      </w:r>
    </w:p>
    <w:p w14:paraId="2CCD6806" w14:textId="20C39C12" w:rsidR="00F327B5" w:rsidRDefault="00D62C0E" w:rsidP="00D62C0E">
      <w:pPr>
        <w:pStyle w:val="CETReferencetext"/>
      </w:pPr>
      <w:bookmarkStart w:id="1" w:name="_Hlk190439681"/>
      <w:r>
        <w:t>ACEA, 2021</w:t>
      </w:r>
      <w:bookmarkEnd w:id="1"/>
      <w:r>
        <w:t>, Vehicles in use</w:t>
      </w:r>
      <w:r w:rsidR="00DD435A">
        <w:t xml:space="preserve"> –</w:t>
      </w:r>
      <w:r>
        <w:t xml:space="preserve"> Europe</w:t>
      </w:r>
      <w:r w:rsidR="00DD435A">
        <w:t xml:space="preserve"> - Januari 2021</w:t>
      </w:r>
      <w:r w:rsidR="00C52367">
        <w:t>,</w:t>
      </w:r>
      <w:r>
        <w:t xml:space="preserve"> European Automobile Manufacturers Association &lt;</w:t>
      </w:r>
      <w:r w:rsidR="0064537C" w:rsidRPr="0064537C">
        <w:t xml:space="preserve"> www.acea.auto/files/report-vehicles-in-use-europe-january-2021-1.pdf</w:t>
      </w:r>
      <w:r>
        <w:t xml:space="preserve">&gt; </w:t>
      </w:r>
      <w:r w:rsidR="00066D5B">
        <w:t>accessed 09.04.2025</w:t>
      </w:r>
      <w:r>
        <w:t>.</w:t>
      </w:r>
    </w:p>
    <w:p w14:paraId="33F07791" w14:textId="430078CE" w:rsidR="00641610" w:rsidRDefault="00641610" w:rsidP="00D62C0E">
      <w:pPr>
        <w:pStyle w:val="CETReferencetext"/>
      </w:pPr>
      <w:r>
        <w:lastRenderedPageBreak/>
        <w:t xml:space="preserve">ADR, 2023, </w:t>
      </w:r>
      <w:r w:rsidRPr="00641610">
        <w:t>ADR 2023 - Agreement concerning the International Carriage of Dangerous Goods by Road</w:t>
      </w:r>
      <w:r>
        <w:t xml:space="preserve">, </w:t>
      </w:r>
      <w:r w:rsidR="00C52367" w:rsidRPr="00C52367">
        <w:t>Accord Européen Relatif au transport international des marchandises Dangereuses par Route</w:t>
      </w:r>
      <w:r w:rsidR="00C52367">
        <w:t xml:space="preserve"> </w:t>
      </w:r>
      <w:r w:rsidR="00811D6E">
        <w:t>&lt;</w:t>
      </w:r>
      <w:r w:rsidRPr="00641610">
        <w:t>unece.org/transport/standards/transport/dangerous-goods/adr-2023-agreement-concerning-international-carriage</w:t>
      </w:r>
      <w:r>
        <w:t>&gt;</w:t>
      </w:r>
      <w:r w:rsidR="00A31890">
        <w:t xml:space="preserve"> </w:t>
      </w:r>
      <w:r w:rsidR="00066D5B">
        <w:t>accessed 09.04.2025</w:t>
      </w:r>
      <w:r>
        <w:t>.</w:t>
      </w:r>
    </w:p>
    <w:p w14:paraId="31AC3959" w14:textId="538924C8" w:rsidR="002C6AF2" w:rsidRDefault="002C6AF2" w:rsidP="002C6AF2">
      <w:pPr>
        <w:pStyle w:val="CETReferencetext"/>
      </w:pPr>
      <w:r>
        <w:t>EI, 2021, Investigation into the risk and impact associated with non-diesel fuel engine vehicles, by type, whilst entering or working within hazardous storage locations, First edition Issued</w:t>
      </w:r>
      <w:r w:rsidR="00C52367">
        <w:t>,</w:t>
      </w:r>
      <w:r>
        <w:t xml:space="preserve"> </w:t>
      </w:r>
      <w:r w:rsidR="00C52367">
        <w:t xml:space="preserve">Energy Institute </w:t>
      </w:r>
      <w:r w:rsidR="00DD435A">
        <w:t xml:space="preserve">London </w:t>
      </w:r>
      <w:r>
        <w:t xml:space="preserve">(accessible for members from </w:t>
      </w:r>
      <w:r w:rsidR="006C6286">
        <w:t>&lt;</w:t>
      </w:r>
      <w:r w:rsidRPr="002C6AF2">
        <w:t>www.energyinst.org/</w:t>
      </w:r>
      <w:r w:rsidR="006C6286">
        <w:t>&gt;</w:t>
      </w:r>
      <w:r>
        <w:t>)</w:t>
      </w:r>
      <w:r w:rsidR="001076F4">
        <w:t>.</w:t>
      </w:r>
    </w:p>
    <w:p w14:paraId="4E580F2D" w14:textId="70385215" w:rsidR="001D08D3" w:rsidRDefault="001D08D3" w:rsidP="001D08D3">
      <w:pPr>
        <w:pStyle w:val="CETReferencetext"/>
      </w:pPr>
      <w:r>
        <w:t>EU, 2010, Regulation No 100 of the Economic Commission for Europe of the United Nations (UN/ECE) — Uniform provisions concerning the approval of vehicles with regard to specific requirements for the electric power train &lt;</w:t>
      </w:r>
      <w:r w:rsidR="0064537C" w:rsidRPr="0064537C">
        <w:t>op.europa.eu/en/publication-detail/-/publication/fd8e6b47-d767-11e4-9de8-01aa75ed71a1</w:t>
      </w:r>
      <w:r w:rsidR="0064537C">
        <w:t xml:space="preserve">&gt; </w:t>
      </w:r>
      <w:r w:rsidR="00066D5B">
        <w:t>accessed 09.04.2025</w:t>
      </w:r>
      <w:r>
        <w:t>.</w:t>
      </w:r>
    </w:p>
    <w:p w14:paraId="59D70E59" w14:textId="3195CF5F" w:rsidR="00EF21FD" w:rsidRDefault="00EF21FD" w:rsidP="00EF21FD">
      <w:pPr>
        <w:pStyle w:val="CETReferencetext"/>
      </w:pPr>
      <w:r>
        <w:t>EU, 2012, DIRECTIVE 2012/18/EU OF THE EUROPEAN PARLIAMENT AND OF THE COUNCIL of 4 July 2012 on the control of major-accident hazards involving dangerous substances, amending and subsequently repealing Council Directive 96/82/EC, European Union &lt;</w:t>
      </w:r>
      <w:r w:rsidR="00066D5B" w:rsidRPr="00066D5B">
        <w:t>eur-lex.europa.eu/eli/dir/2012/18/oj/eng</w:t>
      </w:r>
      <w:r>
        <w:t xml:space="preserve">&gt; </w:t>
      </w:r>
      <w:r w:rsidR="00066D5B">
        <w:t>accessed 09.04.2025</w:t>
      </w:r>
      <w:r>
        <w:t>.</w:t>
      </w:r>
    </w:p>
    <w:p w14:paraId="62FB40FB" w14:textId="47AF410C" w:rsidR="001D08D3" w:rsidRDefault="001D08D3" w:rsidP="00A7138A">
      <w:pPr>
        <w:pStyle w:val="CETReferencetext"/>
      </w:pPr>
      <w:r>
        <w:t xml:space="preserve">EU, 2019, </w:t>
      </w:r>
      <w:r w:rsidRPr="001D08D3">
        <w:t>Regulation No 134 of the Economic Commission for Europe of the United Nations (UN/ECE) — Uniform provisions concerning the approval of motor vehicles and their components with regard to the safety-related performance of hydrogen-fuelled vehicles (HFCV) [2019/795]</w:t>
      </w:r>
      <w:r>
        <w:t xml:space="preserve"> &lt;</w:t>
      </w:r>
      <w:r w:rsidRPr="001D08D3">
        <w:t xml:space="preserve"> op.europa.eu/en/publication-detail/-/publication/8aad3d19-7870-11e9-9f05-01aa75ed71a1/language-en</w:t>
      </w:r>
      <w:r>
        <w:t xml:space="preserve">&gt; </w:t>
      </w:r>
      <w:r w:rsidR="00066D5B">
        <w:t>accessed 09.04.2025</w:t>
      </w:r>
      <w:r>
        <w:t>.</w:t>
      </w:r>
    </w:p>
    <w:p w14:paraId="29CD601E" w14:textId="7D44C252" w:rsidR="00FC3D11" w:rsidRDefault="00FC3D11" w:rsidP="00A7138A">
      <w:pPr>
        <w:pStyle w:val="CETReferencetext"/>
      </w:pPr>
      <w:r>
        <w:t>Gexcon, 2025, EFFECTS, &lt;</w:t>
      </w:r>
      <w:r w:rsidRPr="00FC3D11">
        <w:t>www.gexcon.com/software/effects/</w:t>
      </w:r>
      <w:r>
        <w:t>&gt; accessed 09.04.2025.</w:t>
      </w:r>
    </w:p>
    <w:p w14:paraId="389C2D88" w14:textId="4EEB0937" w:rsidR="002C6AF2" w:rsidRDefault="002C6AF2" w:rsidP="00A7138A">
      <w:pPr>
        <w:pStyle w:val="CETReferencetext"/>
      </w:pPr>
      <w:r>
        <w:t>NFPA</w:t>
      </w:r>
      <w:r w:rsidR="00DB7D98">
        <w:t xml:space="preserve"> 2</w:t>
      </w:r>
      <w:r>
        <w:t>, 202</w:t>
      </w:r>
      <w:r w:rsidR="00DB7D98">
        <w:t xml:space="preserve">3, </w:t>
      </w:r>
      <w:r w:rsidR="00DB7D98" w:rsidRPr="00DB7D98">
        <w:t xml:space="preserve">Hydrogen Technologies </w:t>
      </w:r>
      <w:r w:rsidR="00DB7D98">
        <w:t>Code</w:t>
      </w:r>
      <w:r w:rsidR="006C6286">
        <w:t xml:space="preserve">, </w:t>
      </w:r>
      <w:r w:rsidR="006C6286" w:rsidRPr="006C6286">
        <w:t>The National Fire Protection Association</w:t>
      </w:r>
      <w:r w:rsidR="00DB7D98">
        <w:t xml:space="preserve"> (accessible for members from </w:t>
      </w:r>
      <w:r w:rsidR="007F799D">
        <w:t>&lt;</w:t>
      </w:r>
      <w:r w:rsidR="00DB7D98" w:rsidRPr="00DB7D98">
        <w:t>www.nfpa.org/</w:t>
      </w:r>
      <w:r w:rsidR="00DB7D98">
        <w:t>)</w:t>
      </w:r>
      <w:r w:rsidR="007F799D">
        <w:t>&gt;</w:t>
      </w:r>
      <w:r w:rsidR="006E2F7D">
        <w:t xml:space="preserve"> </w:t>
      </w:r>
      <w:r w:rsidR="00066D5B">
        <w:t>accessed 09.04.2025</w:t>
      </w:r>
      <w:r w:rsidR="006E2F7D">
        <w:t>.</w:t>
      </w:r>
    </w:p>
    <w:p w14:paraId="5A663ABB" w14:textId="449F3F22" w:rsidR="00DB7D98" w:rsidRDefault="00DB7D98" w:rsidP="00DB7D98">
      <w:pPr>
        <w:pStyle w:val="CETReferencetext"/>
      </w:pPr>
      <w:r>
        <w:t xml:space="preserve">NFPA 52, 2023, </w:t>
      </w:r>
      <w:r w:rsidR="006E2F7D">
        <w:t>Vehicular Natural Gas Fuel Systems Code</w:t>
      </w:r>
      <w:r w:rsidR="006C6286">
        <w:t xml:space="preserve">, </w:t>
      </w:r>
      <w:r w:rsidR="006C6286" w:rsidRPr="006C6286">
        <w:t>The National Fire Protection Association</w:t>
      </w:r>
      <w:r>
        <w:t xml:space="preserve"> (accessible for members from </w:t>
      </w:r>
      <w:r w:rsidR="007F799D">
        <w:t>&lt;</w:t>
      </w:r>
      <w:r w:rsidRPr="00DB7D98">
        <w:t>www.nfpa.org/</w:t>
      </w:r>
      <w:r w:rsidR="007F799D">
        <w:t>&gt;</w:t>
      </w:r>
      <w:r>
        <w:t>)</w:t>
      </w:r>
      <w:r w:rsidR="006E2F7D">
        <w:t xml:space="preserve"> accessed</w:t>
      </w:r>
      <w:r w:rsidR="007F799D">
        <w:t>.</w:t>
      </w:r>
      <w:r w:rsidR="006E2F7D">
        <w:t xml:space="preserve"> 20.02.2025.</w:t>
      </w:r>
    </w:p>
    <w:p w14:paraId="0DB9F41F" w14:textId="49FA1B7B" w:rsidR="006C6286" w:rsidRDefault="006C6286" w:rsidP="006C6286">
      <w:pPr>
        <w:pStyle w:val="CETReferencetext"/>
      </w:pPr>
      <w:r>
        <w:t xml:space="preserve">NFPA 55, 2023, </w:t>
      </w:r>
      <w:r w:rsidRPr="006E2F7D">
        <w:t>Compressed Gases and Cryogenic Fluids Code</w:t>
      </w:r>
      <w:r>
        <w:t xml:space="preserve">, </w:t>
      </w:r>
      <w:r w:rsidRPr="006C6286">
        <w:t>The National Fire Protection Association</w:t>
      </w:r>
      <w:r w:rsidRPr="006E2F7D">
        <w:t xml:space="preserve"> </w:t>
      </w:r>
      <w:r>
        <w:t>(accessible for members from &lt;</w:t>
      </w:r>
      <w:r w:rsidRPr="00DB7D98">
        <w:t>www.nfpa.org</w:t>
      </w:r>
      <w:r>
        <w:t>&gt;</w:t>
      </w:r>
      <w:r w:rsidRPr="00DB7D98">
        <w:t>/</w:t>
      </w:r>
      <w:r>
        <w:t xml:space="preserve">) </w:t>
      </w:r>
      <w:r w:rsidR="00066D5B">
        <w:t>accessed 09.04.2025</w:t>
      </w:r>
      <w:r>
        <w:t>.</w:t>
      </w:r>
    </w:p>
    <w:p w14:paraId="08580AFA" w14:textId="7C734AB7" w:rsidR="006C6286" w:rsidRDefault="006C6286" w:rsidP="006C6286">
      <w:pPr>
        <w:pStyle w:val="CETReferencetext"/>
      </w:pPr>
      <w:r>
        <w:t>NIPV, 2022, Incidents with Alternatively Powered Vehicles, Annual Report 2021 (in Dutch),</w:t>
      </w:r>
      <w:r>
        <w:rPr>
          <w:lang w:val="en-US"/>
        </w:rPr>
        <w:t xml:space="preserve"> </w:t>
      </w:r>
      <w:r w:rsidRPr="006C6286">
        <w:rPr>
          <w:lang w:val="en-US"/>
        </w:rPr>
        <w:t>Netherlands Institute for Public Safety</w:t>
      </w:r>
      <w:r w:rsidR="00DD435A">
        <w:rPr>
          <w:lang w:val="en-US"/>
        </w:rPr>
        <w:t>, Arnhem, The Netherlands</w:t>
      </w:r>
      <w:r>
        <w:t xml:space="preserve"> &lt;</w:t>
      </w:r>
      <w:r w:rsidRPr="001C380F">
        <w:t>nipv.nl/wp-content/uploads/2022/04/20220412-Jaarrapportage-2021-incidenten-met-AAV.pdf</w:t>
      </w:r>
      <w:r>
        <w:t xml:space="preserve">&gt; </w:t>
      </w:r>
      <w:r w:rsidR="00066D5B">
        <w:t>accessed 09.04.2025</w:t>
      </w:r>
      <w:r>
        <w:t>.</w:t>
      </w:r>
    </w:p>
    <w:p w14:paraId="63ED3E3F" w14:textId="77777777" w:rsidR="006C6286" w:rsidRDefault="006C6286" w:rsidP="006C6286">
      <w:pPr>
        <w:pStyle w:val="CETReferencetext"/>
      </w:pPr>
      <w:r>
        <w:t>Pers. Comm., 2022, (information obtained from the participants in in the project).</w:t>
      </w:r>
    </w:p>
    <w:p w14:paraId="34AD716B" w14:textId="79AD93E2" w:rsidR="007F799D" w:rsidRDefault="007F799D" w:rsidP="007F799D">
      <w:pPr>
        <w:pStyle w:val="CETReferencetext"/>
      </w:pPr>
      <w:r>
        <w:t>PGS 3,</w:t>
      </w:r>
      <w:r w:rsidR="00A31890">
        <w:t xml:space="preserve"> 2005,</w:t>
      </w:r>
      <w:r>
        <w:t xml:space="preserve"> Guidelines for quantitative risk assessment, </w:t>
      </w:r>
      <w:r w:rsidR="00D1514E" w:rsidRPr="006C6286">
        <w:t>Publicatiereeks Gevaarlijke Stoffen</w:t>
      </w:r>
      <w:r w:rsidR="00D1514E">
        <w:t xml:space="preserve"> </w:t>
      </w:r>
      <w:r>
        <w:t>&lt;</w:t>
      </w:r>
      <w:r w:rsidRPr="007F799D">
        <w:t>publicatiereeksgevaarlijkestoffen.nl/documents/81474/1664357417-pgs3-1999-v0-1-quantitative-risk-assessment.pdf</w:t>
      </w:r>
      <w:r>
        <w:t xml:space="preserve">&gt; </w:t>
      </w:r>
      <w:r w:rsidR="00066D5B">
        <w:t>accessed 09.04.2025</w:t>
      </w:r>
      <w:r>
        <w:t>.</w:t>
      </w:r>
    </w:p>
    <w:p w14:paraId="2E1DD425" w14:textId="37EFC08F" w:rsidR="00DF58E0" w:rsidRDefault="00DF58E0" w:rsidP="00D62C0E">
      <w:pPr>
        <w:pStyle w:val="CETReferencetext"/>
      </w:pPr>
      <w:r>
        <w:t xml:space="preserve">PGS 25, 2023, </w:t>
      </w:r>
      <w:r w:rsidRPr="00DF58E0">
        <w:t>Natural gas delivery installations for motor vehicles</w:t>
      </w:r>
      <w:r>
        <w:t xml:space="preserve"> (in Dutch)</w:t>
      </w:r>
      <w:r w:rsidR="006C6286">
        <w:t xml:space="preserve">, </w:t>
      </w:r>
      <w:r w:rsidR="006C6286" w:rsidRPr="006C6286">
        <w:t>Publicatiereeks Gevaarlijke Stoffen</w:t>
      </w:r>
      <w:r>
        <w:t xml:space="preserve"> &lt;</w:t>
      </w:r>
      <w:r w:rsidRPr="00DF58E0">
        <w:t>publicatiereeksgevaarlijkestoffen.nl/publicaties/online/pgs-25/2022/1-0-maart-2023#top</w:t>
      </w:r>
      <w:r>
        <w:t xml:space="preserve">&gt; </w:t>
      </w:r>
      <w:r w:rsidR="00066D5B">
        <w:t>accessed 09.04.2025</w:t>
      </w:r>
      <w:r>
        <w:t>.</w:t>
      </w:r>
    </w:p>
    <w:p w14:paraId="65E95AAE" w14:textId="36F8FB25" w:rsidR="00DF58E0" w:rsidRDefault="00DF58E0" w:rsidP="00D62C0E">
      <w:pPr>
        <w:pStyle w:val="CETReferencetext"/>
      </w:pPr>
      <w:r>
        <w:t xml:space="preserve">PGS 33-1, 2022, </w:t>
      </w:r>
      <w:r w:rsidR="001076F4" w:rsidRPr="001076F4">
        <w:t>Liquefied natural gas (LNG) delivery installations for vehicles and equipment</w:t>
      </w:r>
      <w:r w:rsidR="001076F4">
        <w:t xml:space="preserve"> </w:t>
      </w:r>
      <w:r>
        <w:t>(in Dutch)</w:t>
      </w:r>
      <w:r w:rsidR="006C6286">
        <w:t xml:space="preserve">, </w:t>
      </w:r>
      <w:r w:rsidR="006C6286" w:rsidRPr="006C6286">
        <w:t>Publicatiereeks Gevaarlijke Stoffen</w:t>
      </w:r>
      <w:r>
        <w:t xml:space="preserve"> </w:t>
      </w:r>
      <w:r w:rsidR="00811D6E">
        <w:t>&lt;</w:t>
      </w:r>
      <w:r w:rsidRPr="00DF58E0">
        <w:t>publicatiereeksgevaarlijkestoffen.nl/publicaties/online/pgs-33-1/2021/1-1-mei-2022/#top</w:t>
      </w:r>
      <w:r>
        <w:t>&gt;</w:t>
      </w:r>
      <w:r w:rsidR="001076F4" w:rsidRPr="001076F4">
        <w:t xml:space="preserve"> </w:t>
      </w:r>
      <w:r w:rsidR="00066D5B">
        <w:t>accessed 09.04.2025</w:t>
      </w:r>
      <w:r w:rsidR="001076F4">
        <w:t>.</w:t>
      </w:r>
    </w:p>
    <w:p w14:paraId="330BB3B6" w14:textId="6A936B35" w:rsidR="00751AC0" w:rsidRDefault="00DF58E0" w:rsidP="00751AC0">
      <w:pPr>
        <w:pStyle w:val="CETReferencetext"/>
      </w:pPr>
      <w:r>
        <w:t>PGS 35, 2021, Hydrogen installations for delivering hydrogen to vehicles and tools</w:t>
      </w:r>
      <w:r w:rsidR="008E0B08">
        <w:t xml:space="preserve"> (in Dutch)</w:t>
      </w:r>
      <w:r w:rsidR="006C6286">
        <w:t>,</w:t>
      </w:r>
      <w:r w:rsidR="006C6286" w:rsidRPr="006C6286">
        <w:t xml:space="preserve"> Publicatiereeks Gevaarlijke Stoffen</w:t>
      </w:r>
      <w:r w:rsidR="008E0B08">
        <w:t xml:space="preserve"> &lt;</w:t>
      </w:r>
      <w:r w:rsidR="008E0B08" w:rsidRPr="008E0B08">
        <w:t>publicatiereeksgevaarlijkestoffen.nl/publicaties/online/pgs-35/2021/1-0-augustus-2021/#top</w:t>
      </w:r>
      <w:r w:rsidR="008E0B08">
        <w:t xml:space="preserve">&gt; </w:t>
      </w:r>
      <w:r w:rsidR="00066D5B">
        <w:t>accessed 09.04.2025</w:t>
      </w:r>
      <w:r w:rsidR="008E0B08">
        <w:t>.</w:t>
      </w:r>
    </w:p>
    <w:p w14:paraId="0F429E0F" w14:textId="130F387F" w:rsidR="00A31890" w:rsidRPr="0011537A" w:rsidRDefault="00A31890" w:rsidP="00A31890">
      <w:pPr>
        <w:pStyle w:val="CETReferencetext"/>
        <w:rPr>
          <w:lang w:val="en-US"/>
        </w:rPr>
      </w:pPr>
      <w:r>
        <w:rPr>
          <w:lang w:val="en-US"/>
        </w:rPr>
        <w:t>RIVM</w:t>
      </w:r>
      <w:r w:rsidRPr="0011537A">
        <w:rPr>
          <w:lang w:val="en-US"/>
        </w:rPr>
        <w:t>, 20</w:t>
      </w:r>
      <w:r>
        <w:rPr>
          <w:lang w:val="en-US"/>
        </w:rPr>
        <w:t>20</w:t>
      </w:r>
      <w:r w:rsidRPr="0011537A">
        <w:rPr>
          <w:lang w:val="en-US"/>
        </w:rPr>
        <w:t>,</w:t>
      </w:r>
      <w:r>
        <w:rPr>
          <w:lang w:val="en-US"/>
        </w:rPr>
        <w:t xml:space="preserve"> </w:t>
      </w:r>
      <w:r w:rsidRPr="0011537A">
        <w:rPr>
          <w:lang w:val="en-US"/>
        </w:rPr>
        <w:t>Manual Extern</w:t>
      </w:r>
      <w:r>
        <w:rPr>
          <w:lang w:val="en-US"/>
        </w:rPr>
        <w:t>al</w:t>
      </w:r>
      <w:r w:rsidRPr="0011537A">
        <w:rPr>
          <w:lang w:val="en-US"/>
        </w:rPr>
        <w:t xml:space="preserve"> Risk Calculations BEV</w:t>
      </w:r>
      <w:r>
        <w:rPr>
          <w:lang w:val="en-US"/>
        </w:rPr>
        <w:t>I</w:t>
      </w:r>
      <w:r w:rsidRPr="0011537A">
        <w:rPr>
          <w:lang w:val="en-US"/>
        </w:rPr>
        <w:t xml:space="preserve"> version 4.</w:t>
      </w:r>
      <w:r>
        <w:rPr>
          <w:lang w:val="en-US"/>
        </w:rPr>
        <w:t xml:space="preserve">2 (in Dutch), </w:t>
      </w:r>
      <w:r w:rsidRPr="00C52367">
        <w:rPr>
          <w:lang w:val="en-US"/>
        </w:rPr>
        <w:t>National Institute for Public Health and the Environment</w:t>
      </w:r>
      <w:r>
        <w:rPr>
          <w:lang w:val="en-US"/>
        </w:rPr>
        <w:t xml:space="preserve"> &lt;</w:t>
      </w:r>
      <w:r w:rsidR="00066D5B" w:rsidRPr="00066D5B">
        <w:rPr>
          <w:lang w:val="en-US"/>
        </w:rPr>
        <w:t>www.rivm.nl/sites/default/files/2020-04/Handleiding%20Risicoberekeningen%20Bevi%20versie%204.2.pdf</w:t>
      </w:r>
      <w:r>
        <w:rPr>
          <w:lang w:val="en-US"/>
        </w:rPr>
        <w:t>&gt; accessed</w:t>
      </w:r>
      <w:r w:rsidR="00066D5B" w:rsidRPr="00066D5B">
        <w:rPr>
          <w:lang w:val="en-US"/>
        </w:rPr>
        <w:t xml:space="preserve"> 09.04.2025</w:t>
      </w:r>
      <w:r>
        <w:rPr>
          <w:lang w:val="en-US"/>
        </w:rPr>
        <w:t>.</w:t>
      </w:r>
    </w:p>
    <w:p w14:paraId="611B93A0" w14:textId="6307CF29" w:rsidR="00012FC9" w:rsidRDefault="00012FC9" w:rsidP="00D62C0E">
      <w:pPr>
        <w:pStyle w:val="CETReferencetext"/>
      </w:pPr>
      <w:r>
        <w:t>RIVM, 2023, Intervention values</w:t>
      </w:r>
      <w:r w:rsidR="005934F6">
        <w:t xml:space="preserve"> </w:t>
      </w:r>
      <w:r>
        <w:t>2023 (in Dutch)</w:t>
      </w:r>
      <w:r w:rsidR="00A31890">
        <w:t>,</w:t>
      </w:r>
      <w:r w:rsidR="00A31890">
        <w:rPr>
          <w:lang w:val="en-US"/>
        </w:rPr>
        <w:t xml:space="preserve"> </w:t>
      </w:r>
      <w:r w:rsidR="00A31890" w:rsidRPr="00C52367">
        <w:rPr>
          <w:lang w:val="en-US"/>
        </w:rPr>
        <w:t>National Institute for Public Health and the Environment</w:t>
      </w:r>
      <w:r>
        <w:t xml:space="preserve"> &lt;</w:t>
      </w:r>
      <w:r w:rsidRPr="00012FC9">
        <w:t>rvs.rivm.nl/sites/default/files/2024-01/Interventiewaarden%20ed%202023-1%20alfabet.pdf</w:t>
      </w:r>
      <w:r>
        <w:t xml:space="preserve">&gt; </w:t>
      </w:r>
      <w:r w:rsidR="00066D5B">
        <w:t>accessed 09.04.2025</w:t>
      </w:r>
      <w:r w:rsidR="00A31890">
        <w:t>.</w:t>
      </w:r>
    </w:p>
    <w:p w14:paraId="4F1C82DF" w14:textId="3CCE1BE5" w:rsidR="00D62C0E" w:rsidRDefault="00F04FBF" w:rsidP="00D62C0E">
      <w:pPr>
        <w:pStyle w:val="CETReferencetext"/>
      </w:pPr>
      <w:r>
        <w:t>TLN, n.d.</w:t>
      </w:r>
      <w:r w:rsidR="003E0981">
        <w:t xml:space="preserve">, </w:t>
      </w:r>
      <w:r w:rsidRPr="00F04FBF">
        <w:rPr>
          <w:lang w:val="en"/>
        </w:rPr>
        <w:t>Grid capacity blocks road transport electrification</w:t>
      </w:r>
      <w:r>
        <w:rPr>
          <w:lang w:val="en"/>
        </w:rPr>
        <w:t xml:space="preserve"> </w:t>
      </w:r>
      <w:r w:rsidR="00D543D2">
        <w:t>(in Dutch)</w:t>
      </w:r>
      <w:r w:rsidR="00A31890">
        <w:t xml:space="preserve">, </w:t>
      </w:r>
      <w:r w:rsidR="00A31890" w:rsidRPr="00A31890">
        <w:t>Transport en Logistiek Nederland</w:t>
      </w:r>
      <w:r>
        <w:t xml:space="preserve"> </w:t>
      </w:r>
      <w:r w:rsidR="00811D6E">
        <w:t>&lt;</w:t>
      </w:r>
      <w:bookmarkStart w:id="2" w:name="_Hlk190939942"/>
      <w:r w:rsidR="0064537C" w:rsidRPr="0064537C">
        <w:t xml:space="preserve"> www.tln.nl/actueel/netcapaciteit-blokkeert-elektrificatie-wegtransport</w:t>
      </w:r>
      <w:r w:rsidR="0064537C">
        <w:t xml:space="preserve">&gt; </w:t>
      </w:r>
      <w:r w:rsidR="00066D5B">
        <w:t>accessed 09.04.2025</w:t>
      </w:r>
      <w:bookmarkEnd w:id="2"/>
      <w:r w:rsidR="003E0981">
        <w:t>.</w:t>
      </w:r>
    </w:p>
    <w:p w14:paraId="5C8B4A6B" w14:textId="7158DBD3" w:rsidR="00D9489F" w:rsidRDefault="00D9489F" w:rsidP="00D62C0E">
      <w:pPr>
        <w:pStyle w:val="CETReferencetext"/>
      </w:pPr>
      <w:r>
        <w:t xml:space="preserve">UN, 2000, </w:t>
      </w:r>
      <w:r w:rsidRPr="00D9489F">
        <w:t>16. 110 United Nations Regulation No. 110. Uniform provisions concerning the approval of: I. Specific components of motor vehicles using compressed natural gas (CNG) and/or liquefied natural gas (LNG) in their propulsion system; II. Vehicles with regard to the installation of specific components of an approved type for the use of compressed natural gas (CNG) and/or liquefied natural gas (LNG) in their propulsion system</w:t>
      </w:r>
      <w:r>
        <w:t>, United Nations &lt;</w:t>
      </w:r>
      <w:r w:rsidRPr="00D9489F">
        <w:t>treaties.un.org/pages/ViewDetails.aspx?src=TREATY&amp;mtdsg_no=XI-B-16-110&amp;chapter=11&amp;clang=_en</w:t>
      </w:r>
      <w:r>
        <w:t>&gt;</w:t>
      </w:r>
      <w:r w:rsidRPr="00D9489F">
        <w:t xml:space="preserve"> </w:t>
      </w:r>
      <w:r w:rsidR="00066D5B">
        <w:t>accessed 09.04.2025</w:t>
      </w:r>
      <w:r>
        <w:t>.</w:t>
      </w:r>
    </w:p>
    <w:p w14:paraId="28FC56AD" w14:textId="16166A12" w:rsidR="001D08D3" w:rsidRDefault="001D08D3" w:rsidP="001D08D3">
      <w:pPr>
        <w:pStyle w:val="CETReferencetext"/>
      </w:pPr>
      <w:r>
        <w:t>UN, 2018, Addendum 20: Global Technical Regulation No. 20</w:t>
      </w:r>
      <w:r w:rsidR="00085F1C">
        <w:t xml:space="preserve"> - </w:t>
      </w:r>
      <w:r>
        <w:t>Global Technical Regulation on the Electric Vehicle Safety (EVS)</w:t>
      </w:r>
      <w:r w:rsidR="00085F1C">
        <w:t xml:space="preserve"> &lt;</w:t>
      </w:r>
      <w:r w:rsidR="00085F1C" w:rsidRPr="00085F1C">
        <w:t>unece.org/fileadmin/DAM/trans/main/wp29/wp29wgs/wp29gen/wp29registry/ECE-TRANS-180a20e.pdf</w:t>
      </w:r>
      <w:r w:rsidR="00085F1C">
        <w:t xml:space="preserve">&gt; </w:t>
      </w:r>
      <w:r w:rsidR="00066D5B">
        <w:t>accessed 09.04.2025</w:t>
      </w:r>
      <w:r w:rsidR="00085F1C">
        <w:t>.</w:t>
      </w:r>
    </w:p>
    <w:sectPr w:rsidR="001D08D3" w:rsidSect="00DC73E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FB99" w14:textId="77777777" w:rsidR="00AF3AE4" w:rsidRDefault="00AF3AE4" w:rsidP="004F5E36">
      <w:r>
        <w:separator/>
      </w:r>
    </w:p>
  </w:endnote>
  <w:endnote w:type="continuationSeparator" w:id="0">
    <w:p w14:paraId="3B309F2A" w14:textId="77777777" w:rsidR="00AF3AE4" w:rsidRDefault="00AF3AE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0014" w14:textId="77777777" w:rsidR="00AF3AE4" w:rsidRDefault="00AF3AE4" w:rsidP="004F5E36">
      <w:r>
        <w:separator/>
      </w:r>
    </w:p>
  </w:footnote>
  <w:footnote w:type="continuationSeparator" w:id="0">
    <w:p w14:paraId="3F186D1B" w14:textId="77777777" w:rsidR="00AF3AE4" w:rsidRDefault="00AF3AE4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3848"/>
    <w:multiLevelType w:val="hybridMultilevel"/>
    <w:tmpl w:val="A016E682"/>
    <w:lvl w:ilvl="0" w:tplc="59DA519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41B29"/>
    <w:multiLevelType w:val="hybridMultilevel"/>
    <w:tmpl w:val="506A54E0"/>
    <w:lvl w:ilvl="0" w:tplc="0413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B62C9"/>
    <w:multiLevelType w:val="hybridMultilevel"/>
    <w:tmpl w:val="10F841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66B64"/>
    <w:multiLevelType w:val="hybridMultilevel"/>
    <w:tmpl w:val="059214A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1060E7"/>
    <w:multiLevelType w:val="hybridMultilevel"/>
    <w:tmpl w:val="4C560C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977F5"/>
    <w:multiLevelType w:val="hybridMultilevel"/>
    <w:tmpl w:val="5C3CE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envoudigetabel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9B0D92"/>
    <w:multiLevelType w:val="hybridMultilevel"/>
    <w:tmpl w:val="9650E286"/>
    <w:lvl w:ilvl="0" w:tplc="0413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97E092C"/>
    <w:multiLevelType w:val="hybridMultilevel"/>
    <w:tmpl w:val="D37A98BC"/>
    <w:lvl w:ilvl="0" w:tplc="8B3012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2FF74D81"/>
    <w:multiLevelType w:val="hybridMultilevel"/>
    <w:tmpl w:val="1C5092D4"/>
    <w:lvl w:ilvl="0" w:tplc="0413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30CC3BF3"/>
    <w:multiLevelType w:val="hybridMultilevel"/>
    <w:tmpl w:val="44C8424A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1973710"/>
    <w:multiLevelType w:val="hybridMultilevel"/>
    <w:tmpl w:val="4B5217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E0394"/>
    <w:multiLevelType w:val="hybridMultilevel"/>
    <w:tmpl w:val="17DA5E5E"/>
    <w:lvl w:ilvl="0" w:tplc="917E0F3E">
      <w:start w:val="1"/>
      <w:numFmt w:val="bullet"/>
      <w:pStyle w:val="CETListbullets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35FD5FA4"/>
    <w:multiLevelType w:val="hybridMultilevel"/>
    <w:tmpl w:val="3D507A18"/>
    <w:lvl w:ilvl="0" w:tplc="9AD435C6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374A4B9A"/>
    <w:multiLevelType w:val="hybridMultilevel"/>
    <w:tmpl w:val="B2480A3E"/>
    <w:lvl w:ilvl="0" w:tplc="0413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501F3"/>
    <w:multiLevelType w:val="hybridMultilevel"/>
    <w:tmpl w:val="F1BE8CDC"/>
    <w:lvl w:ilvl="0" w:tplc="0413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C1FF6"/>
    <w:multiLevelType w:val="hybridMultilevel"/>
    <w:tmpl w:val="95600516"/>
    <w:lvl w:ilvl="0" w:tplc="59DA519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16886"/>
    <w:multiLevelType w:val="hybridMultilevel"/>
    <w:tmpl w:val="60667FF6"/>
    <w:lvl w:ilvl="0" w:tplc="0413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4F715CA"/>
    <w:multiLevelType w:val="hybridMultilevel"/>
    <w:tmpl w:val="4D620A2A"/>
    <w:lvl w:ilvl="0" w:tplc="0413000F">
      <w:start w:val="1"/>
      <w:numFmt w:val="decimal"/>
      <w:lvlText w:val="%1."/>
      <w:lvlJc w:val="left"/>
      <w:pPr>
        <w:ind w:left="833" w:hanging="360"/>
      </w:p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44DC6"/>
    <w:multiLevelType w:val="hybridMultilevel"/>
    <w:tmpl w:val="C9D0B912"/>
    <w:lvl w:ilvl="0" w:tplc="0413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2765">
    <w:abstractNumId w:val="16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32"/>
  </w:num>
  <w:num w:numId="13" w16cid:durableId="695733619">
    <w:abstractNumId w:val="23"/>
  </w:num>
  <w:num w:numId="14" w16cid:durableId="145903400">
    <w:abstractNumId w:val="33"/>
  </w:num>
  <w:num w:numId="15" w16cid:durableId="19162326">
    <w:abstractNumId w:val="37"/>
  </w:num>
  <w:num w:numId="16" w16cid:durableId="1977102699">
    <w:abstractNumId w:val="36"/>
  </w:num>
  <w:num w:numId="17" w16cid:durableId="860774865">
    <w:abstractNumId w:val="22"/>
  </w:num>
  <w:num w:numId="18" w16cid:durableId="313221457">
    <w:abstractNumId w:val="23"/>
    <w:lvlOverride w:ilvl="0">
      <w:startOverride w:val="1"/>
    </w:lvlOverride>
  </w:num>
  <w:num w:numId="19" w16cid:durableId="534971577">
    <w:abstractNumId w:val="30"/>
  </w:num>
  <w:num w:numId="20" w16cid:durableId="1150947773">
    <w:abstractNumId w:val="29"/>
  </w:num>
  <w:num w:numId="21" w16cid:durableId="124660497">
    <w:abstractNumId w:val="27"/>
  </w:num>
  <w:num w:numId="22" w16cid:durableId="2099861471">
    <w:abstractNumId w:val="26"/>
  </w:num>
  <w:num w:numId="23" w16cid:durableId="84351335">
    <w:abstractNumId w:val="13"/>
  </w:num>
  <w:num w:numId="24" w16cid:durableId="1911304876">
    <w:abstractNumId w:val="21"/>
  </w:num>
  <w:num w:numId="25" w16cid:durableId="1676222176">
    <w:abstractNumId w:val="14"/>
  </w:num>
  <w:num w:numId="26" w16cid:durableId="848907536">
    <w:abstractNumId w:val="10"/>
  </w:num>
  <w:num w:numId="27" w16cid:durableId="1121460898">
    <w:abstractNumId w:val="34"/>
  </w:num>
  <w:num w:numId="28" w16cid:durableId="72626941">
    <w:abstractNumId w:val="18"/>
  </w:num>
  <w:num w:numId="29" w16cid:durableId="1270553168">
    <w:abstractNumId w:val="19"/>
  </w:num>
  <w:num w:numId="30" w16cid:durableId="128204102">
    <w:abstractNumId w:val="35"/>
  </w:num>
  <w:num w:numId="31" w16cid:durableId="1499223884">
    <w:abstractNumId w:val="31"/>
  </w:num>
  <w:num w:numId="32" w16cid:durableId="1654485988">
    <w:abstractNumId w:val="20"/>
  </w:num>
  <w:num w:numId="33" w16cid:durableId="108284701">
    <w:abstractNumId w:val="24"/>
  </w:num>
  <w:num w:numId="34" w16cid:durableId="705639509">
    <w:abstractNumId w:val="25"/>
  </w:num>
  <w:num w:numId="35" w16cid:durableId="299464809">
    <w:abstractNumId w:val="17"/>
  </w:num>
  <w:num w:numId="36" w16cid:durableId="85465702">
    <w:abstractNumId w:val="28"/>
  </w:num>
  <w:num w:numId="37" w16cid:durableId="388655064">
    <w:abstractNumId w:val="12"/>
  </w:num>
  <w:num w:numId="38" w16cid:durableId="824319582">
    <w:abstractNumId w:val="15"/>
  </w:num>
  <w:num w:numId="39" w16cid:durableId="707802672">
    <w:abstractNumId w:val="11"/>
  </w:num>
  <w:num w:numId="40" w16cid:durableId="15447114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3709"/>
    <w:rsid w:val="00003F7B"/>
    <w:rsid w:val="000052FB"/>
    <w:rsid w:val="00005A19"/>
    <w:rsid w:val="0000796F"/>
    <w:rsid w:val="000117CB"/>
    <w:rsid w:val="00012FC9"/>
    <w:rsid w:val="00023740"/>
    <w:rsid w:val="00025627"/>
    <w:rsid w:val="00025EAF"/>
    <w:rsid w:val="0003148D"/>
    <w:rsid w:val="00031C82"/>
    <w:rsid w:val="00031EEC"/>
    <w:rsid w:val="00051566"/>
    <w:rsid w:val="000562A9"/>
    <w:rsid w:val="000600B5"/>
    <w:rsid w:val="00062A9A"/>
    <w:rsid w:val="00062E51"/>
    <w:rsid w:val="00065058"/>
    <w:rsid w:val="00066D5B"/>
    <w:rsid w:val="000757E7"/>
    <w:rsid w:val="00077A0E"/>
    <w:rsid w:val="000845CF"/>
    <w:rsid w:val="00085317"/>
    <w:rsid w:val="00085ECA"/>
    <w:rsid w:val="00085F1C"/>
    <w:rsid w:val="00086C39"/>
    <w:rsid w:val="00086F8B"/>
    <w:rsid w:val="000924A7"/>
    <w:rsid w:val="000A03B2"/>
    <w:rsid w:val="000A30C2"/>
    <w:rsid w:val="000A6099"/>
    <w:rsid w:val="000C3307"/>
    <w:rsid w:val="000C3D0F"/>
    <w:rsid w:val="000C4867"/>
    <w:rsid w:val="000C69C4"/>
    <w:rsid w:val="000D0268"/>
    <w:rsid w:val="000D34BE"/>
    <w:rsid w:val="000E0B3C"/>
    <w:rsid w:val="000E102F"/>
    <w:rsid w:val="000E36F1"/>
    <w:rsid w:val="000E3A73"/>
    <w:rsid w:val="000E414A"/>
    <w:rsid w:val="000E606D"/>
    <w:rsid w:val="000E75FD"/>
    <w:rsid w:val="000F093C"/>
    <w:rsid w:val="000F1CCD"/>
    <w:rsid w:val="000F787B"/>
    <w:rsid w:val="001076F4"/>
    <w:rsid w:val="0011537A"/>
    <w:rsid w:val="0012091F"/>
    <w:rsid w:val="00123929"/>
    <w:rsid w:val="00126BC2"/>
    <w:rsid w:val="001308B6"/>
    <w:rsid w:val="0013121F"/>
    <w:rsid w:val="00131FE6"/>
    <w:rsid w:val="0013263F"/>
    <w:rsid w:val="001331DF"/>
    <w:rsid w:val="00134DE4"/>
    <w:rsid w:val="0014034D"/>
    <w:rsid w:val="00140FE3"/>
    <w:rsid w:val="00143E95"/>
    <w:rsid w:val="00144D16"/>
    <w:rsid w:val="00150E59"/>
    <w:rsid w:val="00152DE3"/>
    <w:rsid w:val="00164CF9"/>
    <w:rsid w:val="001667A6"/>
    <w:rsid w:val="0017070D"/>
    <w:rsid w:val="001770DE"/>
    <w:rsid w:val="0018171E"/>
    <w:rsid w:val="00184AD6"/>
    <w:rsid w:val="00191057"/>
    <w:rsid w:val="001926B2"/>
    <w:rsid w:val="001A4AF7"/>
    <w:rsid w:val="001A66FB"/>
    <w:rsid w:val="001A724E"/>
    <w:rsid w:val="001A7FAF"/>
    <w:rsid w:val="001B0349"/>
    <w:rsid w:val="001B05F0"/>
    <w:rsid w:val="001B1E93"/>
    <w:rsid w:val="001B65C1"/>
    <w:rsid w:val="001C260F"/>
    <w:rsid w:val="001C380F"/>
    <w:rsid w:val="001C5C3A"/>
    <w:rsid w:val="001C684B"/>
    <w:rsid w:val="001D08D3"/>
    <w:rsid w:val="001D0CFB"/>
    <w:rsid w:val="001D21AF"/>
    <w:rsid w:val="001D53FC"/>
    <w:rsid w:val="001E6EDB"/>
    <w:rsid w:val="001F42A5"/>
    <w:rsid w:val="001F7A40"/>
    <w:rsid w:val="001F7B9D"/>
    <w:rsid w:val="001F7D37"/>
    <w:rsid w:val="00201078"/>
    <w:rsid w:val="00201C93"/>
    <w:rsid w:val="00211AE6"/>
    <w:rsid w:val="002224B4"/>
    <w:rsid w:val="002447EF"/>
    <w:rsid w:val="0025076A"/>
    <w:rsid w:val="00251550"/>
    <w:rsid w:val="00251766"/>
    <w:rsid w:val="00254D50"/>
    <w:rsid w:val="00263B05"/>
    <w:rsid w:val="0027221A"/>
    <w:rsid w:val="00275B61"/>
    <w:rsid w:val="00277E37"/>
    <w:rsid w:val="00280FAF"/>
    <w:rsid w:val="00282656"/>
    <w:rsid w:val="002911A9"/>
    <w:rsid w:val="00296B83"/>
    <w:rsid w:val="002A2EC4"/>
    <w:rsid w:val="002B2447"/>
    <w:rsid w:val="002B4015"/>
    <w:rsid w:val="002B78CE"/>
    <w:rsid w:val="002C2FB6"/>
    <w:rsid w:val="002C6AF2"/>
    <w:rsid w:val="002D3553"/>
    <w:rsid w:val="002E5FA7"/>
    <w:rsid w:val="002F3309"/>
    <w:rsid w:val="002F6131"/>
    <w:rsid w:val="002F79CD"/>
    <w:rsid w:val="003008CE"/>
    <w:rsid w:val="003009B7"/>
    <w:rsid w:val="00300E56"/>
    <w:rsid w:val="0030152C"/>
    <w:rsid w:val="0030469C"/>
    <w:rsid w:val="0031094E"/>
    <w:rsid w:val="00316FD6"/>
    <w:rsid w:val="0032156A"/>
    <w:rsid w:val="00321CA6"/>
    <w:rsid w:val="00323763"/>
    <w:rsid w:val="00323C5F"/>
    <w:rsid w:val="00334C09"/>
    <w:rsid w:val="00341B03"/>
    <w:rsid w:val="003430F5"/>
    <w:rsid w:val="0034692B"/>
    <w:rsid w:val="003507CD"/>
    <w:rsid w:val="003723D4"/>
    <w:rsid w:val="00373AC0"/>
    <w:rsid w:val="00381905"/>
    <w:rsid w:val="00384CC8"/>
    <w:rsid w:val="003871FD"/>
    <w:rsid w:val="00390A2E"/>
    <w:rsid w:val="003A1E30"/>
    <w:rsid w:val="003A2829"/>
    <w:rsid w:val="003A7D1C"/>
    <w:rsid w:val="003B05BF"/>
    <w:rsid w:val="003B1AD1"/>
    <w:rsid w:val="003B304B"/>
    <w:rsid w:val="003B3146"/>
    <w:rsid w:val="003B49CD"/>
    <w:rsid w:val="003C038F"/>
    <w:rsid w:val="003D1E02"/>
    <w:rsid w:val="003E0981"/>
    <w:rsid w:val="003F015E"/>
    <w:rsid w:val="003F13F3"/>
    <w:rsid w:val="003F21E5"/>
    <w:rsid w:val="003F4B31"/>
    <w:rsid w:val="003F7A50"/>
    <w:rsid w:val="00400414"/>
    <w:rsid w:val="00405DE3"/>
    <w:rsid w:val="00412E01"/>
    <w:rsid w:val="0041446B"/>
    <w:rsid w:val="00420FDF"/>
    <w:rsid w:val="00427489"/>
    <w:rsid w:val="0044071E"/>
    <w:rsid w:val="0044329C"/>
    <w:rsid w:val="00444219"/>
    <w:rsid w:val="00453E24"/>
    <w:rsid w:val="0045526B"/>
    <w:rsid w:val="00457456"/>
    <w:rsid w:val="004577FE"/>
    <w:rsid w:val="00457B9C"/>
    <w:rsid w:val="0046164A"/>
    <w:rsid w:val="004628D2"/>
    <w:rsid w:val="00462DCD"/>
    <w:rsid w:val="00463D33"/>
    <w:rsid w:val="00464128"/>
    <w:rsid w:val="004648AD"/>
    <w:rsid w:val="00464C32"/>
    <w:rsid w:val="00465BAC"/>
    <w:rsid w:val="004703A9"/>
    <w:rsid w:val="004721B8"/>
    <w:rsid w:val="004760DE"/>
    <w:rsid w:val="004763D7"/>
    <w:rsid w:val="00480BA9"/>
    <w:rsid w:val="00486A0A"/>
    <w:rsid w:val="004902A5"/>
    <w:rsid w:val="0049731B"/>
    <w:rsid w:val="004A004E"/>
    <w:rsid w:val="004A24CF"/>
    <w:rsid w:val="004A2989"/>
    <w:rsid w:val="004C3D1D"/>
    <w:rsid w:val="004C3D84"/>
    <w:rsid w:val="004C7913"/>
    <w:rsid w:val="004D4609"/>
    <w:rsid w:val="004E4DD6"/>
    <w:rsid w:val="004F5E36"/>
    <w:rsid w:val="004F7B97"/>
    <w:rsid w:val="00501BEC"/>
    <w:rsid w:val="00501F92"/>
    <w:rsid w:val="00507B47"/>
    <w:rsid w:val="00507BEF"/>
    <w:rsid w:val="00507CC9"/>
    <w:rsid w:val="005104CE"/>
    <w:rsid w:val="005119A5"/>
    <w:rsid w:val="00512A02"/>
    <w:rsid w:val="00523D2D"/>
    <w:rsid w:val="005258EB"/>
    <w:rsid w:val="005278B7"/>
    <w:rsid w:val="00532016"/>
    <w:rsid w:val="005346C8"/>
    <w:rsid w:val="0053672D"/>
    <w:rsid w:val="005424FC"/>
    <w:rsid w:val="00543E7D"/>
    <w:rsid w:val="00547A68"/>
    <w:rsid w:val="005531C9"/>
    <w:rsid w:val="00554879"/>
    <w:rsid w:val="005573A9"/>
    <w:rsid w:val="00565E9D"/>
    <w:rsid w:val="00570C43"/>
    <w:rsid w:val="00571C4D"/>
    <w:rsid w:val="00592274"/>
    <w:rsid w:val="005934F6"/>
    <w:rsid w:val="005A052F"/>
    <w:rsid w:val="005A0BCC"/>
    <w:rsid w:val="005A3AA5"/>
    <w:rsid w:val="005B2110"/>
    <w:rsid w:val="005B350B"/>
    <w:rsid w:val="005B61E6"/>
    <w:rsid w:val="005C231E"/>
    <w:rsid w:val="005C66BA"/>
    <w:rsid w:val="005C691F"/>
    <w:rsid w:val="005C77E1"/>
    <w:rsid w:val="005D0C3E"/>
    <w:rsid w:val="005D3EFB"/>
    <w:rsid w:val="005D5346"/>
    <w:rsid w:val="005D668A"/>
    <w:rsid w:val="005D6A2F"/>
    <w:rsid w:val="005E0123"/>
    <w:rsid w:val="005E0592"/>
    <w:rsid w:val="005E1A82"/>
    <w:rsid w:val="005E5C92"/>
    <w:rsid w:val="005E72FA"/>
    <w:rsid w:val="005E794C"/>
    <w:rsid w:val="005F0A28"/>
    <w:rsid w:val="005F0E5E"/>
    <w:rsid w:val="005F1744"/>
    <w:rsid w:val="005F397D"/>
    <w:rsid w:val="00600535"/>
    <w:rsid w:val="00601812"/>
    <w:rsid w:val="00602DF2"/>
    <w:rsid w:val="00605C84"/>
    <w:rsid w:val="00610CD6"/>
    <w:rsid w:val="00620DEE"/>
    <w:rsid w:val="00621F92"/>
    <w:rsid w:val="0062280A"/>
    <w:rsid w:val="006231E1"/>
    <w:rsid w:val="00625639"/>
    <w:rsid w:val="00631B33"/>
    <w:rsid w:val="00633AE4"/>
    <w:rsid w:val="00637999"/>
    <w:rsid w:val="00641610"/>
    <w:rsid w:val="0064184D"/>
    <w:rsid w:val="006422CC"/>
    <w:rsid w:val="0064537C"/>
    <w:rsid w:val="00645697"/>
    <w:rsid w:val="00651D18"/>
    <w:rsid w:val="00654F52"/>
    <w:rsid w:val="00660E3E"/>
    <w:rsid w:val="00662E74"/>
    <w:rsid w:val="00666AB2"/>
    <w:rsid w:val="00677EAB"/>
    <w:rsid w:val="00680C23"/>
    <w:rsid w:val="00683E23"/>
    <w:rsid w:val="00684885"/>
    <w:rsid w:val="00693766"/>
    <w:rsid w:val="00694B08"/>
    <w:rsid w:val="006A169B"/>
    <w:rsid w:val="006A3281"/>
    <w:rsid w:val="006A6DE5"/>
    <w:rsid w:val="006A7A44"/>
    <w:rsid w:val="006B4888"/>
    <w:rsid w:val="006C0DE2"/>
    <w:rsid w:val="006C2E45"/>
    <w:rsid w:val="006C359C"/>
    <w:rsid w:val="006C3A19"/>
    <w:rsid w:val="006C5579"/>
    <w:rsid w:val="006C6286"/>
    <w:rsid w:val="006D681A"/>
    <w:rsid w:val="006D6E8B"/>
    <w:rsid w:val="006D7209"/>
    <w:rsid w:val="006D7357"/>
    <w:rsid w:val="006E2F7D"/>
    <w:rsid w:val="006E737D"/>
    <w:rsid w:val="006F223C"/>
    <w:rsid w:val="007006F6"/>
    <w:rsid w:val="00707DD1"/>
    <w:rsid w:val="00710725"/>
    <w:rsid w:val="0071100F"/>
    <w:rsid w:val="00713973"/>
    <w:rsid w:val="00717A75"/>
    <w:rsid w:val="00720410"/>
    <w:rsid w:val="00720A24"/>
    <w:rsid w:val="0072521F"/>
    <w:rsid w:val="00732386"/>
    <w:rsid w:val="0073514D"/>
    <w:rsid w:val="00742CF1"/>
    <w:rsid w:val="007447F3"/>
    <w:rsid w:val="00751AC0"/>
    <w:rsid w:val="0075499F"/>
    <w:rsid w:val="00760CD1"/>
    <w:rsid w:val="007661C8"/>
    <w:rsid w:val="007702E2"/>
    <w:rsid w:val="0077098D"/>
    <w:rsid w:val="00774475"/>
    <w:rsid w:val="00785BF9"/>
    <w:rsid w:val="007931FA"/>
    <w:rsid w:val="007A25F7"/>
    <w:rsid w:val="007A4861"/>
    <w:rsid w:val="007A61D2"/>
    <w:rsid w:val="007A7BBA"/>
    <w:rsid w:val="007B0C50"/>
    <w:rsid w:val="007B3EAC"/>
    <w:rsid w:val="007B48F9"/>
    <w:rsid w:val="007C1A43"/>
    <w:rsid w:val="007C1D39"/>
    <w:rsid w:val="007D0951"/>
    <w:rsid w:val="007D490A"/>
    <w:rsid w:val="007D610D"/>
    <w:rsid w:val="007F01D0"/>
    <w:rsid w:val="007F6D53"/>
    <w:rsid w:val="007F6D9B"/>
    <w:rsid w:val="007F799D"/>
    <w:rsid w:val="0080013E"/>
    <w:rsid w:val="00801759"/>
    <w:rsid w:val="00806AC1"/>
    <w:rsid w:val="00811D6E"/>
    <w:rsid w:val="00811DC4"/>
    <w:rsid w:val="00813288"/>
    <w:rsid w:val="008168FC"/>
    <w:rsid w:val="00817E2F"/>
    <w:rsid w:val="008210AA"/>
    <w:rsid w:val="008226E0"/>
    <w:rsid w:val="008230C7"/>
    <w:rsid w:val="00826C27"/>
    <w:rsid w:val="00830996"/>
    <w:rsid w:val="008345F1"/>
    <w:rsid w:val="0084397E"/>
    <w:rsid w:val="00845937"/>
    <w:rsid w:val="00865B07"/>
    <w:rsid w:val="008667EA"/>
    <w:rsid w:val="0087154D"/>
    <w:rsid w:val="0087637F"/>
    <w:rsid w:val="00877521"/>
    <w:rsid w:val="00892AD5"/>
    <w:rsid w:val="008A1512"/>
    <w:rsid w:val="008B16FD"/>
    <w:rsid w:val="008C1CA7"/>
    <w:rsid w:val="008D32B9"/>
    <w:rsid w:val="008D433B"/>
    <w:rsid w:val="008D492A"/>
    <w:rsid w:val="008D4A16"/>
    <w:rsid w:val="008E0B08"/>
    <w:rsid w:val="008E292C"/>
    <w:rsid w:val="008E3138"/>
    <w:rsid w:val="008E5401"/>
    <w:rsid w:val="008E566E"/>
    <w:rsid w:val="008F4B1E"/>
    <w:rsid w:val="0090161A"/>
    <w:rsid w:val="00901EB6"/>
    <w:rsid w:val="009041F8"/>
    <w:rsid w:val="00904C62"/>
    <w:rsid w:val="00922BA8"/>
    <w:rsid w:val="00923B8C"/>
    <w:rsid w:val="00924DAC"/>
    <w:rsid w:val="00927058"/>
    <w:rsid w:val="00933DDD"/>
    <w:rsid w:val="009417C9"/>
    <w:rsid w:val="0094261D"/>
    <w:rsid w:val="00942750"/>
    <w:rsid w:val="009450CE"/>
    <w:rsid w:val="009459BB"/>
    <w:rsid w:val="00946169"/>
    <w:rsid w:val="00947179"/>
    <w:rsid w:val="00950FC7"/>
    <w:rsid w:val="0095164B"/>
    <w:rsid w:val="0095265D"/>
    <w:rsid w:val="00953319"/>
    <w:rsid w:val="00954090"/>
    <w:rsid w:val="009573E7"/>
    <w:rsid w:val="00963E05"/>
    <w:rsid w:val="00964A45"/>
    <w:rsid w:val="00967843"/>
    <w:rsid w:val="00967D54"/>
    <w:rsid w:val="00971028"/>
    <w:rsid w:val="009728FE"/>
    <w:rsid w:val="00984635"/>
    <w:rsid w:val="0098701C"/>
    <w:rsid w:val="00993B84"/>
    <w:rsid w:val="00994C6A"/>
    <w:rsid w:val="00996483"/>
    <w:rsid w:val="00996F5A"/>
    <w:rsid w:val="0099738E"/>
    <w:rsid w:val="009A08A9"/>
    <w:rsid w:val="009A5CC1"/>
    <w:rsid w:val="009A617C"/>
    <w:rsid w:val="009B041A"/>
    <w:rsid w:val="009B6588"/>
    <w:rsid w:val="009C37C3"/>
    <w:rsid w:val="009C79F8"/>
    <w:rsid w:val="009C7C86"/>
    <w:rsid w:val="009D2FF7"/>
    <w:rsid w:val="009D3F2F"/>
    <w:rsid w:val="009E16CC"/>
    <w:rsid w:val="009E6067"/>
    <w:rsid w:val="009E7884"/>
    <w:rsid w:val="009E788A"/>
    <w:rsid w:val="009F0E08"/>
    <w:rsid w:val="009F17FB"/>
    <w:rsid w:val="00A02F6C"/>
    <w:rsid w:val="00A079AE"/>
    <w:rsid w:val="00A1473D"/>
    <w:rsid w:val="00A1763D"/>
    <w:rsid w:val="00A177B4"/>
    <w:rsid w:val="00A17CEC"/>
    <w:rsid w:val="00A25504"/>
    <w:rsid w:val="00A27EF0"/>
    <w:rsid w:val="00A30768"/>
    <w:rsid w:val="00A31571"/>
    <w:rsid w:val="00A31890"/>
    <w:rsid w:val="00A3506E"/>
    <w:rsid w:val="00A42361"/>
    <w:rsid w:val="00A50B20"/>
    <w:rsid w:val="00A51390"/>
    <w:rsid w:val="00A56256"/>
    <w:rsid w:val="00A57E72"/>
    <w:rsid w:val="00A60D13"/>
    <w:rsid w:val="00A61A9C"/>
    <w:rsid w:val="00A6694C"/>
    <w:rsid w:val="00A711ED"/>
    <w:rsid w:val="00A7138A"/>
    <w:rsid w:val="00A7223D"/>
    <w:rsid w:val="00A72745"/>
    <w:rsid w:val="00A76EFC"/>
    <w:rsid w:val="00A87D50"/>
    <w:rsid w:val="00A91010"/>
    <w:rsid w:val="00A97F29"/>
    <w:rsid w:val="00AA702E"/>
    <w:rsid w:val="00AA7D26"/>
    <w:rsid w:val="00AB0964"/>
    <w:rsid w:val="00AB3F7E"/>
    <w:rsid w:val="00AB5011"/>
    <w:rsid w:val="00AC6AA3"/>
    <w:rsid w:val="00AC7368"/>
    <w:rsid w:val="00AD16B9"/>
    <w:rsid w:val="00AE0DAB"/>
    <w:rsid w:val="00AE377D"/>
    <w:rsid w:val="00AF0EBA"/>
    <w:rsid w:val="00AF1FD1"/>
    <w:rsid w:val="00AF2463"/>
    <w:rsid w:val="00AF295D"/>
    <w:rsid w:val="00AF3AE4"/>
    <w:rsid w:val="00AF42E4"/>
    <w:rsid w:val="00B00438"/>
    <w:rsid w:val="00B02C8A"/>
    <w:rsid w:val="00B04618"/>
    <w:rsid w:val="00B05536"/>
    <w:rsid w:val="00B17FBD"/>
    <w:rsid w:val="00B272F6"/>
    <w:rsid w:val="00B315A6"/>
    <w:rsid w:val="00B31813"/>
    <w:rsid w:val="00B33365"/>
    <w:rsid w:val="00B33B33"/>
    <w:rsid w:val="00B34634"/>
    <w:rsid w:val="00B4415E"/>
    <w:rsid w:val="00B44991"/>
    <w:rsid w:val="00B54341"/>
    <w:rsid w:val="00B57B36"/>
    <w:rsid w:val="00B57E6F"/>
    <w:rsid w:val="00B7080E"/>
    <w:rsid w:val="00B7546E"/>
    <w:rsid w:val="00B8686D"/>
    <w:rsid w:val="00B91F16"/>
    <w:rsid w:val="00B93F69"/>
    <w:rsid w:val="00BB1DDC"/>
    <w:rsid w:val="00BC30C9"/>
    <w:rsid w:val="00BD077D"/>
    <w:rsid w:val="00BD1C76"/>
    <w:rsid w:val="00BD4D1E"/>
    <w:rsid w:val="00BE3E58"/>
    <w:rsid w:val="00BE6CAC"/>
    <w:rsid w:val="00BF13CE"/>
    <w:rsid w:val="00C01616"/>
    <w:rsid w:val="00C0162B"/>
    <w:rsid w:val="00C04893"/>
    <w:rsid w:val="00C068ED"/>
    <w:rsid w:val="00C22E0C"/>
    <w:rsid w:val="00C345B1"/>
    <w:rsid w:val="00C37E7C"/>
    <w:rsid w:val="00C40142"/>
    <w:rsid w:val="00C44D41"/>
    <w:rsid w:val="00C451AE"/>
    <w:rsid w:val="00C45D8C"/>
    <w:rsid w:val="00C52367"/>
    <w:rsid w:val="00C52C3C"/>
    <w:rsid w:val="00C57182"/>
    <w:rsid w:val="00C57863"/>
    <w:rsid w:val="00C60E3D"/>
    <w:rsid w:val="00C61C85"/>
    <w:rsid w:val="00C640AF"/>
    <w:rsid w:val="00C64B63"/>
    <w:rsid w:val="00C655FD"/>
    <w:rsid w:val="00C7171D"/>
    <w:rsid w:val="00C75407"/>
    <w:rsid w:val="00C841C6"/>
    <w:rsid w:val="00C870A8"/>
    <w:rsid w:val="00C91701"/>
    <w:rsid w:val="00C922A6"/>
    <w:rsid w:val="00C94434"/>
    <w:rsid w:val="00C9673A"/>
    <w:rsid w:val="00C97E8A"/>
    <w:rsid w:val="00CA0D75"/>
    <w:rsid w:val="00CA1C95"/>
    <w:rsid w:val="00CA5A9C"/>
    <w:rsid w:val="00CB29BE"/>
    <w:rsid w:val="00CB529B"/>
    <w:rsid w:val="00CC2423"/>
    <w:rsid w:val="00CC4C20"/>
    <w:rsid w:val="00CC788A"/>
    <w:rsid w:val="00CD3517"/>
    <w:rsid w:val="00CD39B5"/>
    <w:rsid w:val="00CD5FE2"/>
    <w:rsid w:val="00CE7C68"/>
    <w:rsid w:val="00D0153A"/>
    <w:rsid w:val="00D02B4C"/>
    <w:rsid w:val="00D040C4"/>
    <w:rsid w:val="00D1514E"/>
    <w:rsid w:val="00D1670E"/>
    <w:rsid w:val="00D20AD1"/>
    <w:rsid w:val="00D2582C"/>
    <w:rsid w:val="00D36629"/>
    <w:rsid w:val="00D36989"/>
    <w:rsid w:val="00D375AD"/>
    <w:rsid w:val="00D43AD1"/>
    <w:rsid w:val="00D465B3"/>
    <w:rsid w:val="00D46B7E"/>
    <w:rsid w:val="00D543D2"/>
    <w:rsid w:val="00D57C84"/>
    <w:rsid w:val="00D602D6"/>
    <w:rsid w:val="00D6057D"/>
    <w:rsid w:val="00D60902"/>
    <w:rsid w:val="00D62C0E"/>
    <w:rsid w:val="00D62D9D"/>
    <w:rsid w:val="00D71640"/>
    <w:rsid w:val="00D7492D"/>
    <w:rsid w:val="00D81EA2"/>
    <w:rsid w:val="00D836C5"/>
    <w:rsid w:val="00D84576"/>
    <w:rsid w:val="00D9489F"/>
    <w:rsid w:val="00DA1399"/>
    <w:rsid w:val="00DA24C6"/>
    <w:rsid w:val="00DA2991"/>
    <w:rsid w:val="00DA4D7B"/>
    <w:rsid w:val="00DB6F5F"/>
    <w:rsid w:val="00DB7D98"/>
    <w:rsid w:val="00DC2840"/>
    <w:rsid w:val="00DC73EE"/>
    <w:rsid w:val="00DD271C"/>
    <w:rsid w:val="00DD435A"/>
    <w:rsid w:val="00DD6C14"/>
    <w:rsid w:val="00DE10DE"/>
    <w:rsid w:val="00DE264A"/>
    <w:rsid w:val="00DF5072"/>
    <w:rsid w:val="00DF58E0"/>
    <w:rsid w:val="00E02D18"/>
    <w:rsid w:val="00E041E7"/>
    <w:rsid w:val="00E1494D"/>
    <w:rsid w:val="00E202FA"/>
    <w:rsid w:val="00E20B23"/>
    <w:rsid w:val="00E23CA1"/>
    <w:rsid w:val="00E25AC4"/>
    <w:rsid w:val="00E311C3"/>
    <w:rsid w:val="00E36D92"/>
    <w:rsid w:val="00E37D7F"/>
    <w:rsid w:val="00E409A8"/>
    <w:rsid w:val="00E42540"/>
    <w:rsid w:val="00E50C12"/>
    <w:rsid w:val="00E6118C"/>
    <w:rsid w:val="00E62B4D"/>
    <w:rsid w:val="00E65B91"/>
    <w:rsid w:val="00E7209D"/>
    <w:rsid w:val="00E72EAD"/>
    <w:rsid w:val="00E74586"/>
    <w:rsid w:val="00E750A2"/>
    <w:rsid w:val="00E77223"/>
    <w:rsid w:val="00E77FDA"/>
    <w:rsid w:val="00E808EE"/>
    <w:rsid w:val="00E816CE"/>
    <w:rsid w:val="00E82127"/>
    <w:rsid w:val="00E82E03"/>
    <w:rsid w:val="00E8528B"/>
    <w:rsid w:val="00E85B94"/>
    <w:rsid w:val="00E930FA"/>
    <w:rsid w:val="00E978D0"/>
    <w:rsid w:val="00EA4613"/>
    <w:rsid w:val="00EA50CB"/>
    <w:rsid w:val="00EA7F91"/>
    <w:rsid w:val="00EB1523"/>
    <w:rsid w:val="00EC0E49"/>
    <w:rsid w:val="00EC101F"/>
    <w:rsid w:val="00EC1917"/>
    <w:rsid w:val="00EC1D9F"/>
    <w:rsid w:val="00EC3A45"/>
    <w:rsid w:val="00ED10DC"/>
    <w:rsid w:val="00ED2578"/>
    <w:rsid w:val="00ED3E23"/>
    <w:rsid w:val="00EE0131"/>
    <w:rsid w:val="00EE17B0"/>
    <w:rsid w:val="00EE1F3D"/>
    <w:rsid w:val="00EE6440"/>
    <w:rsid w:val="00EF06D9"/>
    <w:rsid w:val="00EF21FD"/>
    <w:rsid w:val="00EF2D02"/>
    <w:rsid w:val="00EF3E2A"/>
    <w:rsid w:val="00EF4D6A"/>
    <w:rsid w:val="00EF7BFF"/>
    <w:rsid w:val="00F03FF8"/>
    <w:rsid w:val="00F04FBF"/>
    <w:rsid w:val="00F27EE4"/>
    <w:rsid w:val="00F3049E"/>
    <w:rsid w:val="00F30C64"/>
    <w:rsid w:val="00F327B5"/>
    <w:rsid w:val="00F32BA2"/>
    <w:rsid w:val="00F32CDB"/>
    <w:rsid w:val="00F37153"/>
    <w:rsid w:val="00F40798"/>
    <w:rsid w:val="00F41EE4"/>
    <w:rsid w:val="00F565FE"/>
    <w:rsid w:val="00F623D9"/>
    <w:rsid w:val="00F63A70"/>
    <w:rsid w:val="00F63D8C"/>
    <w:rsid w:val="00F7534E"/>
    <w:rsid w:val="00F77D21"/>
    <w:rsid w:val="00F82B95"/>
    <w:rsid w:val="00F84795"/>
    <w:rsid w:val="00F92829"/>
    <w:rsid w:val="00F93EDF"/>
    <w:rsid w:val="00F95F52"/>
    <w:rsid w:val="00FA1802"/>
    <w:rsid w:val="00FA21D0"/>
    <w:rsid w:val="00FA5F5F"/>
    <w:rsid w:val="00FB730C"/>
    <w:rsid w:val="00FC0406"/>
    <w:rsid w:val="00FC2695"/>
    <w:rsid w:val="00FC3D11"/>
    <w:rsid w:val="00FC3E03"/>
    <w:rsid w:val="00FC3FC1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1">
    <w:name w:val="heading 1"/>
    <w:basedOn w:val="CETHeading1"/>
    <w:next w:val="Standaard"/>
    <w:link w:val="Kop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Eenvoudigetabel1">
    <w:name w:val="Table Simple 1"/>
    <w:basedOn w:val="Standaardtabe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77FE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e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Plattetekst2">
    <w:name w:val="Body Text 2"/>
    <w:basedOn w:val="Standaard"/>
    <w:link w:val="Plattetekst2Char"/>
    <w:uiPriority w:val="99"/>
    <w:semiHidden/>
    <w:unhideWhenUsed/>
    <w:rsid w:val="000314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3148D"/>
  </w:style>
  <w:style w:type="paragraph" w:styleId="Plattetekst3">
    <w:name w:val="Body Text 3"/>
    <w:basedOn w:val="Standaard"/>
    <w:link w:val="Platteteks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3148D"/>
    <w:rPr>
      <w:sz w:val="16"/>
      <w:szCs w:val="1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314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3148D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3148D"/>
  </w:style>
  <w:style w:type="character" w:customStyle="1" w:styleId="DatumChar">
    <w:name w:val="Datum Char"/>
    <w:basedOn w:val="Standaardalinea-lettertype"/>
    <w:link w:val="Datum"/>
    <w:uiPriority w:val="99"/>
    <w:semiHidden/>
    <w:rsid w:val="0003148D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jst">
    <w:name w:val="List"/>
    <w:basedOn w:val="Standaard"/>
    <w:uiPriority w:val="99"/>
    <w:semiHidden/>
    <w:unhideWhenUsed/>
    <w:rsid w:val="0003148D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03148D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03148D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03148D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03148D"/>
    <w:pPr>
      <w:ind w:left="1415" w:hanging="283"/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3148D"/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03148D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3148D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03148D"/>
  </w:style>
  <w:style w:type="character" w:customStyle="1" w:styleId="AanhefChar">
    <w:name w:val="Aanhef Char"/>
    <w:basedOn w:val="Standaardalinea-lettertype"/>
    <w:link w:val="Aanhef"/>
    <w:uiPriority w:val="99"/>
    <w:semiHidden/>
    <w:rsid w:val="0003148D"/>
  </w:style>
  <w:style w:type="paragraph" w:styleId="Afsluiting">
    <w:name w:val="Closing"/>
    <w:basedOn w:val="Standaard"/>
    <w:link w:val="Afsluit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3148D"/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03148D"/>
  </w:style>
  <w:style w:type="paragraph" w:styleId="Bronvermelding">
    <w:name w:val="table of authorities"/>
    <w:basedOn w:val="Standaard"/>
    <w:next w:val="Standaard"/>
    <w:uiPriority w:val="99"/>
    <w:semiHidden/>
    <w:unhideWhenUsed/>
    <w:rsid w:val="0003148D"/>
    <w:pPr>
      <w:ind w:left="220" w:hanging="220"/>
    </w:pPr>
  </w:style>
  <w:style w:type="paragraph" w:styleId="Adresenvelop">
    <w:name w:val="envelope address"/>
    <w:basedOn w:val="Standaard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3148D"/>
    <w:rPr>
      <w:i/>
      <w:iCs/>
    </w:rPr>
  </w:style>
  <w:style w:type="paragraph" w:styleId="Afzender">
    <w:name w:val="envelope return"/>
    <w:basedOn w:val="Standaard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03148D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3148D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3148D"/>
    <w:rPr>
      <w:sz w:val="24"/>
      <w:szCs w:val="24"/>
    </w:rPr>
  </w:style>
  <w:style w:type="paragraph" w:styleId="Lijstnummering">
    <w:name w:val="List Number"/>
    <w:basedOn w:val="Standaard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03148D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3148D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3148D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3148D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3148D"/>
  </w:style>
  <w:style w:type="paragraph" w:styleId="Lijstopsomteken">
    <w:name w:val="List Bullet"/>
    <w:basedOn w:val="Standaard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3148D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3148D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03148D"/>
    <w:pPr>
      <w:ind w:left="720"/>
    </w:pPr>
  </w:style>
  <w:style w:type="paragraph" w:styleId="Tekstopmerking">
    <w:name w:val="annotation text"/>
    <w:basedOn w:val="Standaard"/>
    <w:link w:val="TekstopmerkingChar"/>
    <w:uiPriority w:val="99"/>
    <w:unhideWhenUsed/>
    <w:rsid w:val="0003148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148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14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148D"/>
    <w:rPr>
      <w:b/>
      <w:bCs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3148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3148D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3148D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3148D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3148D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3148D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3148D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3148D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3148D"/>
    <w:pPr>
      <w:spacing w:after="100"/>
      <w:ind w:left="1760"/>
    </w:pPr>
  </w:style>
  <w:style w:type="paragraph" w:styleId="Bloktekst">
    <w:name w:val="Block Text"/>
    <w:basedOn w:val="Standaard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kst">
    <w:name w:val="macro"/>
    <w:link w:val="Macroteks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148D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148D"/>
    <w:rPr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148D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148D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kop">
    <w:name w:val="index heading"/>
    <w:basedOn w:val="Standaard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ardalinea-lettertyp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raster">
    <w:name w:val="Table Grid"/>
    <w:basedOn w:val="Standaardtabe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Standaardalinea-lettertype"/>
    <w:rsid w:val="00904C62"/>
  </w:style>
  <w:style w:type="paragraph" w:customStyle="1" w:styleId="CETListbullets">
    <w:name w:val="CET List bullets"/>
    <w:qFormat/>
    <w:rsid w:val="009E6067"/>
    <w:pPr>
      <w:numPr>
        <w:numId w:val="13"/>
      </w:numPr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jstalinea">
    <w:name w:val="List Paragraph"/>
    <w:basedOn w:val="Standaard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Standaardalinea-lettertype"/>
    <w:rsid w:val="00005A19"/>
  </w:style>
  <w:style w:type="character" w:styleId="Onopgelostemelding">
    <w:name w:val="Unresolved Mention"/>
    <w:basedOn w:val="Standaardalinea-lettertype"/>
    <w:uiPriority w:val="99"/>
    <w:semiHidden/>
    <w:unhideWhenUsed/>
    <w:rsid w:val="00D62C0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50FC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6</Pages>
  <Words>3671</Words>
  <Characters>20196</Characters>
  <Application>Microsoft Office Word</Application>
  <DocSecurity>0</DocSecurity>
  <Lines>168</Lines>
  <Paragraphs>47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Johan Reinders [NIPV]</cp:lastModifiedBy>
  <cp:revision>33</cp:revision>
  <cp:lastPrinted>2015-05-12T18:31:00Z</cp:lastPrinted>
  <dcterms:created xsi:type="dcterms:W3CDTF">2025-02-20T08:06:00Z</dcterms:created>
  <dcterms:modified xsi:type="dcterms:W3CDTF">2025-04-09T12:16:00Z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