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BB48C" w14:textId="281C9918" w:rsidR="005C1A57" w:rsidRPr="005C1A57" w:rsidRDefault="00E65071" w:rsidP="00591C6C">
      <w:pPr>
        <w:pStyle w:val="BOATitle"/>
        <w:rPr>
          <w:rFonts w:eastAsia="MS PGothic"/>
        </w:rPr>
      </w:pPr>
      <w:r w:rsidRPr="00E65071">
        <w:rPr>
          <w:rFonts w:eastAsia="MS PGothic"/>
        </w:rPr>
        <w:t>A systematic literature review on the safety and risk assessment of alternative fuels in inland waterway transport</w:t>
      </w:r>
    </w:p>
    <w:p w14:paraId="29E2E91E" w14:textId="12FA6114" w:rsidR="005C1A57" w:rsidRPr="00E65071" w:rsidRDefault="000B30B9" w:rsidP="00591C6C">
      <w:pPr>
        <w:pStyle w:val="BOAAuthors"/>
        <w:rPr>
          <w:rFonts w:eastAsia="MS PGothic"/>
        </w:rPr>
      </w:pPr>
      <w:r w:rsidRPr="000B30B9">
        <w:rPr>
          <w:rFonts w:eastAsia="MS PGothic"/>
        </w:rPr>
        <w:t>Vladislav</w:t>
      </w:r>
      <w:r w:rsidR="00AE7E2C">
        <w:rPr>
          <w:rFonts w:eastAsia="MS PGothic"/>
        </w:rPr>
        <w:t xml:space="preserve"> Mara</w:t>
      </w:r>
      <w:r w:rsidR="00AE7E2C">
        <w:rPr>
          <w:rFonts w:eastAsia="MS PGothic"/>
          <w:lang w:val="sr-Latn-RS"/>
        </w:rPr>
        <w:t>š</w:t>
      </w:r>
      <w:r w:rsidR="005C1A57" w:rsidRPr="000B30B9">
        <w:rPr>
          <w:rFonts w:eastAsia="SimSun"/>
          <w:vertAlign w:val="superscript"/>
        </w:rPr>
        <w:t>1</w:t>
      </w:r>
      <w:r w:rsidR="00EF39D1" w:rsidRPr="000B30B9">
        <w:rPr>
          <w:rFonts w:eastAsia="SimSun"/>
          <w:vertAlign w:val="superscript"/>
          <w:lang w:val="sr-Cyrl-RS"/>
        </w:rPr>
        <w:t>*</w:t>
      </w:r>
      <w:r w:rsidR="005C1A57" w:rsidRPr="000B30B9">
        <w:rPr>
          <w:rFonts w:eastAsia="SimSun"/>
        </w:rPr>
        <w:t xml:space="preserve">, </w:t>
      </w:r>
      <w:r w:rsidR="00E65071" w:rsidRPr="000B30B9">
        <w:rPr>
          <w:rFonts w:eastAsia="SimSun"/>
        </w:rPr>
        <w:t>D</w:t>
      </w:r>
      <w:r w:rsidRPr="000B30B9">
        <w:rPr>
          <w:rFonts w:eastAsia="SimSun"/>
        </w:rPr>
        <w:t>anijela</w:t>
      </w:r>
      <w:r w:rsidR="00E65071" w:rsidRPr="000B30B9">
        <w:rPr>
          <w:rFonts w:eastAsia="SimSun"/>
        </w:rPr>
        <w:t xml:space="preserve"> Pjevčević </w:t>
      </w:r>
      <w:r w:rsidR="00E65071" w:rsidRPr="000B30B9">
        <w:rPr>
          <w:rFonts w:eastAsia="SimSun"/>
          <w:vertAlign w:val="superscript"/>
        </w:rPr>
        <w:t>1</w:t>
      </w:r>
      <w:r w:rsidR="00E65071" w:rsidRPr="000B30B9">
        <w:rPr>
          <w:rFonts w:eastAsia="MS PGothic"/>
        </w:rPr>
        <w:t>, A</w:t>
      </w:r>
      <w:r w:rsidRPr="000B30B9">
        <w:rPr>
          <w:rFonts w:eastAsia="MS PGothic"/>
        </w:rPr>
        <w:t>leksandar</w:t>
      </w:r>
      <w:r w:rsidR="00E65071" w:rsidRPr="000B30B9">
        <w:rPr>
          <w:rFonts w:eastAsia="MS PGothic"/>
        </w:rPr>
        <w:t xml:space="preserve"> Radonjić</w:t>
      </w:r>
      <w:r w:rsidR="00E65071" w:rsidRPr="000B30B9">
        <w:rPr>
          <w:rFonts w:eastAsia="MS PGothic"/>
          <w:vertAlign w:val="superscript"/>
        </w:rPr>
        <w:t>1</w:t>
      </w:r>
      <w:r w:rsidR="00E65071" w:rsidRPr="000B30B9">
        <w:rPr>
          <w:rFonts w:eastAsia="MS PGothic"/>
        </w:rPr>
        <w:t>, A</w:t>
      </w:r>
      <w:r w:rsidRPr="000B30B9">
        <w:rPr>
          <w:rFonts w:eastAsia="MS PGothic"/>
        </w:rPr>
        <w:t>nita</w:t>
      </w:r>
      <w:r w:rsidR="00E65071" w:rsidRPr="000B30B9">
        <w:rPr>
          <w:rFonts w:eastAsia="MS PGothic"/>
        </w:rPr>
        <w:t xml:space="preserve"> Abođi</w:t>
      </w:r>
      <w:r w:rsidR="00E65071" w:rsidRPr="000B30B9">
        <w:rPr>
          <w:rFonts w:eastAsia="MS PGothic"/>
          <w:vertAlign w:val="superscript"/>
        </w:rPr>
        <w:t>1</w:t>
      </w:r>
      <w:r w:rsidR="00E65071" w:rsidRPr="000B30B9">
        <w:rPr>
          <w:rFonts w:eastAsia="MS PGothic"/>
        </w:rPr>
        <w:t>, O</w:t>
      </w:r>
      <w:r w:rsidR="00A916AC" w:rsidRPr="000B30B9">
        <w:rPr>
          <w:rFonts w:eastAsia="MS PGothic"/>
        </w:rPr>
        <w:t>lga Aneziris</w:t>
      </w:r>
      <w:r w:rsidR="00A916AC" w:rsidRPr="000B30B9">
        <w:rPr>
          <w:rFonts w:eastAsia="MS PGothic"/>
          <w:vertAlign w:val="superscript"/>
        </w:rPr>
        <w:t>2</w:t>
      </w:r>
      <w:r w:rsidR="00A916AC" w:rsidRPr="000B30B9">
        <w:rPr>
          <w:rFonts w:eastAsia="MS PGothic"/>
        </w:rPr>
        <w:t>, Ernesto Salzano</w:t>
      </w:r>
      <w:r w:rsidR="00E65071" w:rsidRPr="000B30B9">
        <w:rPr>
          <w:rFonts w:eastAsia="MS PGothic"/>
          <w:vertAlign w:val="superscript"/>
        </w:rPr>
        <w:t>3</w:t>
      </w:r>
      <w:r w:rsidR="0085601C">
        <w:rPr>
          <w:rFonts w:eastAsia="MS PGothic"/>
        </w:rPr>
        <w:t>, Mark</w:t>
      </w:r>
      <w:r w:rsidR="00E65071" w:rsidRPr="000B30B9">
        <w:rPr>
          <w:rFonts w:eastAsia="MS PGothic"/>
        </w:rPr>
        <w:t>o Gerbec</w:t>
      </w:r>
      <w:r w:rsidR="00E65071" w:rsidRPr="000B30B9">
        <w:rPr>
          <w:rFonts w:eastAsia="MS PGothic"/>
          <w:vertAlign w:val="superscript"/>
        </w:rPr>
        <w:t>4</w:t>
      </w:r>
    </w:p>
    <w:p w14:paraId="20C87EEB" w14:textId="77777777" w:rsidR="00E65071" w:rsidRDefault="00E65071" w:rsidP="00A916AC">
      <w:pPr>
        <w:pStyle w:val="BOAAddress"/>
        <w:rPr>
          <w:rFonts w:eastAsia="MS PGothic"/>
          <w:i w:val="0"/>
        </w:rPr>
      </w:pPr>
      <w:r>
        <w:rPr>
          <w:rFonts w:eastAsia="MS PGothic"/>
          <w:i w:val="0"/>
        </w:rPr>
        <w:t>1</w:t>
      </w:r>
      <w:r w:rsidRPr="00A916AC">
        <w:rPr>
          <w:rFonts w:eastAsia="MS PGothic"/>
          <w:i w:val="0"/>
        </w:rPr>
        <w:t xml:space="preserve"> </w:t>
      </w:r>
      <w:r w:rsidRPr="00E65071">
        <w:rPr>
          <w:rFonts w:eastAsia="MS PGothic"/>
          <w:i w:val="0"/>
        </w:rPr>
        <w:t xml:space="preserve">Faculty of Transport and Traffic Engineering, University of Belgrade, Vojvode Stepe 305, 11000 Belgrade, Serbia </w:t>
      </w:r>
    </w:p>
    <w:p w14:paraId="3DF8B3F1" w14:textId="35E4ACDE" w:rsidR="00A916AC" w:rsidRDefault="00A916AC" w:rsidP="00A916AC">
      <w:pPr>
        <w:pStyle w:val="BOAAddress"/>
        <w:rPr>
          <w:rFonts w:eastAsia="MS PGothic"/>
          <w:i w:val="0"/>
        </w:rPr>
      </w:pPr>
      <w:r w:rsidRPr="00A916AC">
        <w:rPr>
          <w:rFonts w:eastAsia="MS PGothic"/>
          <w:i w:val="0"/>
        </w:rPr>
        <w:t>2 NCSR “DEMOKRITOS”, Agia Paraskevi Attikis, Greece</w:t>
      </w:r>
      <w:r>
        <w:rPr>
          <w:rFonts w:eastAsia="MS PGothic"/>
          <w:i w:val="0"/>
        </w:rPr>
        <w:t xml:space="preserve">; </w:t>
      </w:r>
    </w:p>
    <w:p w14:paraId="32216655" w14:textId="2FD10069" w:rsidR="00E65071" w:rsidRDefault="00E65071" w:rsidP="00A916AC">
      <w:pPr>
        <w:pStyle w:val="BOAAddress"/>
        <w:rPr>
          <w:rFonts w:eastAsia="MS PGothic"/>
          <w:i w:val="0"/>
        </w:rPr>
      </w:pPr>
      <w:r>
        <w:rPr>
          <w:rFonts w:eastAsia="MS PGothic"/>
          <w:i w:val="0"/>
        </w:rPr>
        <w:t xml:space="preserve">3 </w:t>
      </w:r>
      <w:r w:rsidRPr="00E65071">
        <w:rPr>
          <w:rFonts w:eastAsia="MS PGothic"/>
          <w:i w:val="0"/>
        </w:rPr>
        <w:t>Department of Civil, Chemical, Environmental and Materials Engineering, University of Bologna, Bologna 40131, Italy</w:t>
      </w:r>
      <w:r>
        <w:rPr>
          <w:rFonts w:eastAsia="MS PGothic"/>
          <w:i w:val="0"/>
        </w:rPr>
        <w:t xml:space="preserve">; </w:t>
      </w:r>
    </w:p>
    <w:p w14:paraId="6123DE0F" w14:textId="5A80FB8E" w:rsidR="00E65071" w:rsidRPr="00A916AC" w:rsidRDefault="00E65071" w:rsidP="00E65071">
      <w:pPr>
        <w:pStyle w:val="BOAAddress"/>
        <w:rPr>
          <w:rFonts w:eastAsia="MS PGothic"/>
          <w:i w:val="0"/>
        </w:rPr>
      </w:pPr>
      <w:r>
        <w:rPr>
          <w:rFonts w:eastAsia="MS PGothic"/>
          <w:i w:val="0"/>
        </w:rPr>
        <w:t>4</w:t>
      </w:r>
      <w:r w:rsidRPr="00A916AC">
        <w:rPr>
          <w:rFonts w:eastAsia="MS PGothic"/>
          <w:i w:val="0"/>
        </w:rPr>
        <w:t xml:space="preserve"> </w:t>
      </w:r>
      <w:r w:rsidRPr="00E65071">
        <w:rPr>
          <w:rFonts w:eastAsia="MS PGothic"/>
          <w:i w:val="0"/>
        </w:rPr>
        <w:t>Department for inorganic chemistry and technology, Jožef Stefan Institute, Jamova 39, 61000 Ljubljana, Slovenia</w:t>
      </w:r>
    </w:p>
    <w:p w14:paraId="7A1A61B9" w14:textId="77777777" w:rsidR="00E65071" w:rsidRPr="00591C6C" w:rsidRDefault="00E65071" w:rsidP="00A916AC">
      <w:pPr>
        <w:pStyle w:val="BOAAddress"/>
        <w:rPr>
          <w:rFonts w:eastAsia="MS PGothic"/>
          <w:i w:val="0"/>
        </w:rPr>
      </w:pPr>
    </w:p>
    <w:p w14:paraId="42CB37CF" w14:textId="65744B8C" w:rsidR="005C1A57" w:rsidRPr="00591C6C" w:rsidRDefault="005C1A57" w:rsidP="00591C6C">
      <w:pPr>
        <w:pStyle w:val="BOAemail"/>
        <w:rPr>
          <w:rFonts w:eastAsia="MS PGothic"/>
        </w:rPr>
      </w:pPr>
      <w:r w:rsidRPr="00591C6C">
        <w:rPr>
          <w:rFonts w:eastAsia="MS PGothic"/>
        </w:rPr>
        <w:t>*Corresponding author</w:t>
      </w:r>
      <w:r w:rsidRPr="00591C6C">
        <w:rPr>
          <w:rFonts w:eastAsia="MS PGothic"/>
          <w:lang w:eastAsia="ko-KR"/>
        </w:rPr>
        <w:t xml:space="preserve"> E-Mail: </w:t>
      </w:r>
      <w:r w:rsidRPr="00591C6C">
        <w:rPr>
          <w:rFonts w:eastAsia="MS PGothic"/>
        </w:rPr>
        <w:t xml:space="preserve"> </w:t>
      </w:r>
      <w:r w:rsidR="00EF39D1">
        <w:rPr>
          <w:rFonts w:eastAsia="MS PGothic"/>
          <w:lang w:val="sr-Latn-RS"/>
        </w:rPr>
        <w:t>v.maras</w:t>
      </w:r>
      <w:r w:rsidRPr="00591C6C">
        <w:rPr>
          <w:rFonts w:eastAsia="MS PGothic"/>
        </w:rPr>
        <w:t>@</w:t>
      </w:r>
      <w:r w:rsidR="00EF39D1">
        <w:rPr>
          <w:rFonts w:eastAsia="MS PGothic"/>
        </w:rPr>
        <w:t>sf.bg.ac.rs</w:t>
      </w:r>
    </w:p>
    <w:p w14:paraId="7D788354" w14:textId="49B3EA75" w:rsidR="005C1A57" w:rsidRPr="00621A1B" w:rsidRDefault="00895102" w:rsidP="00F879FE">
      <w:pPr>
        <w:pStyle w:val="BOAHeading"/>
      </w:pPr>
      <w:r>
        <w:t>1. Introduction</w:t>
      </w:r>
    </w:p>
    <w:p w14:paraId="40778E3B" w14:textId="59B9740D" w:rsidR="00E65071" w:rsidRPr="00AE7E2C" w:rsidRDefault="00E65071" w:rsidP="00E65071">
      <w:pPr>
        <w:rPr>
          <w:rFonts w:eastAsia="MS PGothic"/>
          <w:sz w:val="22"/>
          <w:szCs w:val="22"/>
        </w:rPr>
      </w:pPr>
      <w:r w:rsidRPr="00AE7E2C">
        <w:rPr>
          <w:rFonts w:eastAsia="MS PGothic"/>
          <w:sz w:val="22"/>
          <w:szCs w:val="22"/>
        </w:rPr>
        <w:t xml:space="preserve">А systematic literature review on the safety and risk assessment of alternative fuels, i.e. hydrogen, ammonia, and methanol in inland waterway transport is given in this paper. This review is based on three types of relevant sources: EU policies and regulations, publications, guidelines and methodologies of classification societies as well as outcomes of research </w:t>
      </w:r>
      <w:r w:rsidR="00AE7E2C" w:rsidRPr="00AE7E2C">
        <w:rPr>
          <w:rFonts w:eastAsia="MS PGothic"/>
          <w:sz w:val="22"/>
          <w:szCs w:val="22"/>
        </w:rPr>
        <w:t>projects. European Green Deal [</w:t>
      </w:r>
      <w:r w:rsidR="00AE7E2C" w:rsidRPr="00AE7E2C">
        <w:rPr>
          <w:sz w:val="22"/>
          <w:szCs w:val="22"/>
        </w:rPr>
        <w:t>EC, 2021a</w:t>
      </w:r>
      <w:r w:rsidRPr="00AE7E2C">
        <w:rPr>
          <w:rFonts w:eastAsia="MS PGothic"/>
          <w:sz w:val="22"/>
          <w:szCs w:val="22"/>
        </w:rPr>
        <w:t>], belonging to the European Union's ambitious decarbonisation policies, aims to achieve net zero greenhouse gas emissions by 2050 and a 55% reduction by 2030 (as formalize</w:t>
      </w:r>
      <w:r w:rsidR="00AE7E2C" w:rsidRPr="00AE7E2C">
        <w:rPr>
          <w:rFonts w:eastAsia="MS PGothic"/>
          <w:sz w:val="22"/>
          <w:szCs w:val="22"/>
        </w:rPr>
        <w:t>d in the European Climate Law [</w:t>
      </w:r>
      <w:r w:rsidR="00AE7E2C" w:rsidRPr="00AE7E2C">
        <w:rPr>
          <w:sz w:val="22"/>
          <w:szCs w:val="22"/>
        </w:rPr>
        <w:t>EC, 2020a</w:t>
      </w:r>
      <w:r w:rsidRPr="00AE7E2C">
        <w:rPr>
          <w:rFonts w:eastAsia="MS PGothic"/>
          <w:sz w:val="22"/>
          <w:szCs w:val="22"/>
        </w:rPr>
        <w:t>]). Further, the European Commission’s Fit-for-55 legislative package [</w:t>
      </w:r>
      <w:r w:rsidR="00AE7E2C" w:rsidRPr="00AE7E2C">
        <w:rPr>
          <w:sz w:val="22"/>
          <w:szCs w:val="22"/>
        </w:rPr>
        <w:t>EC, 2021b</w:t>
      </w:r>
      <w:r w:rsidRPr="00AE7E2C">
        <w:rPr>
          <w:rFonts w:eastAsia="MS PGothic"/>
          <w:sz w:val="22"/>
          <w:szCs w:val="22"/>
        </w:rPr>
        <w:t>] and the Sustainabl</w:t>
      </w:r>
      <w:r w:rsidR="00AE7E2C" w:rsidRPr="00AE7E2C">
        <w:rPr>
          <w:rFonts w:eastAsia="MS PGothic"/>
          <w:sz w:val="22"/>
          <w:szCs w:val="22"/>
        </w:rPr>
        <w:t>e and Smart Mobility Strategy [</w:t>
      </w:r>
      <w:r w:rsidR="00AE7E2C" w:rsidRPr="00AE7E2C">
        <w:rPr>
          <w:sz w:val="22"/>
          <w:szCs w:val="22"/>
        </w:rPr>
        <w:t>EC, 2020b</w:t>
      </w:r>
      <w:r w:rsidRPr="00AE7E2C">
        <w:rPr>
          <w:rFonts w:eastAsia="MS PGothic"/>
          <w:sz w:val="22"/>
          <w:szCs w:val="22"/>
        </w:rPr>
        <w:t>] underscore the commitment to reducing greenhouse gas emissions in the transport sector, including inland navigation, by promoting alternative, low-emission fuel</w:t>
      </w:r>
      <w:r w:rsidR="00AE7E2C" w:rsidRPr="00AE7E2C">
        <w:rPr>
          <w:rFonts w:eastAsia="MS PGothic"/>
          <w:sz w:val="22"/>
          <w:szCs w:val="22"/>
        </w:rPr>
        <w:t>s. The NAIADES III initiative [</w:t>
      </w:r>
      <w:r w:rsidR="00AE7E2C" w:rsidRPr="00AE7E2C">
        <w:rPr>
          <w:sz w:val="22"/>
          <w:szCs w:val="22"/>
        </w:rPr>
        <w:t>EC, 2021c</w:t>
      </w:r>
      <w:r w:rsidRPr="00AE7E2C">
        <w:rPr>
          <w:rFonts w:eastAsia="MS PGothic"/>
          <w:sz w:val="22"/>
          <w:szCs w:val="22"/>
        </w:rPr>
        <w:t xml:space="preserve">], central to the EU's strategy for inland navigation, emphasizes the need for zero-emission vessels, the development of an EU energy index to assess carbon intensity, and funding opportunities for vessels utilizing alternative fuels. Furthermore, recent EU regulations, such </w:t>
      </w:r>
      <w:r w:rsidR="00AE7E2C" w:rsidRPr="00AE7E2C">
        <w:rPr>
          <w:rFonts w:eastAsia="MS PGothic"/>
          <w:sz w:val="22"/>
          <w:szCs w:val="22"/>
        </w:rPr>
        <w:t>as Regulation (EU) 2023/1804</w:t>
      </w:r>
      <w:r w:rsidRPr="00AE7E2C">
        <w:rPr>
          <w:rFonts w:eastAsia="MS PGothic"/>
          <w:sz w:val="22"/>
          <w:szCs w:val="22"/>
        </w:rPr>
        <w:t>, mandate shore-side electricity infrastructure at core inland waterway ports by 2024 and comprehensive ports by 2029, while the Renewab</w:t>
      </w:r>
      <w:r w:rsidR="00AE7E2C" w:rsidRPr="00AE7E2C">
        <w:rPr>
          <w:rFonts w:eastAsia="MS PGothic"/>
          <w:sz w:val="22"/>
          <w:szCs w:val="22"/>
        </w:rPr>
        <w:t>le Energy Directive (RED III) [</w:t>
      </w:r>
      <w:r w:rsidR="00AE7E2C" w:rsidRPr="00AE7E2C">
        <w:rPr>
          <w:sz w:val="22"/>
          <w:szCs w:val="22"/>
        </w:rPr>
        <w:t>Directive (EU) 2023/2413</w:t>
      </w:r>
      <w:r w:rsidRPr="00AE7E2C">
        <w:rPr>
          <w:rFonts w:eastAsia="MS PGothic"/>
          <w:sz w:val="22"/>
          <w:szCs w:val="22"/>
        </w:rPr>
        <w:t>] sets renewable energy targets for transport, promoting a 29% share of renewables by 2030. Additionally, the EU's Alternative Fuels Infrastructure Facility (AFIF) provides financial support for infrastructure that enables alternative fuels like methanol, ammonia, and hydrogen, enhancing compliance with the Alternative Fuels Infrastructure</w:t>
      </w:r>
      <w:r w:rsidR="00AE7E2C" w:rsidRPr="00AE7E2C">
        <w:rPr>
          <w:rFonts w:eastAsia="MS PGothic"/>
          <w:sz w:val="22"/>
          <w:szCs w:val="22"/>
        </w:rPr>
        <w:t xml:space="preserve"> Regulation (AFIR) objectives [</w:t>
      </w:r>
      <w:r w:rsidR="00AE7E2C" w:rsidRPr="00AE7E2C">
        <w:rPr>
          <w:sz w:val="22"/>
          <w:szCs w:val="22"/>
        </w:rPr>
        <w:t>Directive (EU) 2023/2413</w:t>
      </w:r>
      <w:r w:rsidRPr="00AE7E2C">
        <w:rPr>
          <w:rFonts w:eastAsia="MS PGothic"/>
          <w:sz w:val="22"/>
          <w:szCs w:val="22"/>
        </w:rPr>
        <w:t>].</w:t>
      </w:r>
    </w:p>
    <w:p w14:paraId="45983717" w14:textId="5966DDA2" w:rsidR="00E65071" w:rsidRPr="00AE7E2C" w:rsidRDefault="00E65071" w:rsidP="00E65071">
      <w:pPr>
        <w:rPr>
          <w:rFonts w:eastAsia="MS PGothic"/>
          <w:sz w:val="22"/>
          <w:szCs w:val="22"/>
        </w:rPr>
      </w:pPr>
      <w:r w:rsidRPr="00AE7E2C">
        <w:rPr>
          <w:rFonts w:eastAsia="MS PGothic"/>
          <w:sz w:val="22"/>
          <w:szCs w:val="22"/>
        </w:rPr>
        <w:t>Methanol, ammonia, and hydrogen are considered technically promising for inland waterway vessels due to their potential for reducing emissions, though they present unique safety and technical challenges. This review includes an evaluation of safety guidelines and risk methodologies published by classification societies, alongside the European Commission's alternative fuel regulations. Further insights from the research projects, such as PLATINA3 [</w:t>
      </w:r>
      <w:r w:rsidR="00AE7E2C" w:rsidRPr="00AE7E2C">
        <w:rPr>
          <w:sz w:val="22"/>
          <w:szCs w:val="22"/>
        </w:rPr>
        <w:t>PLATINA3 project D2.1, 2021; D4.2, 2022; D1.5, 2023; D2.7, 2023</w:t>
      </w:r>
      <w:r w:rsidRPr="00AE7E2C">
        <w:rPr>
          <w:rFonts w:eastAsia="MS PGothic"/>
          <w:sz w:val="22"/>
          <w:szCs w:val="22"/>
        </w:rPr>
        <w:t xml:space="preserve">] and </w:t>
      </w:r>
      <w:r w:rsidRPr="00AE7E2C">
        <w:rPr>
          <w:rFonts w:eastAsia="MS PGothic"/>
          <w:sz w:val="22"/>
          <w:szCs w:val="22"/>
        </w:rPr>
        <w:lastRenderedPageBreak/>
        <w:t xml:space="preserve">SYNERGETICS </w:t>
      </w:r>
      <w:r w:rsidR="00AE7E2C" w:rsidRPr="00AE7E2C">
        <w:rPr>
          <w:rFonts w:eastAsia="MS PGothic"/>
          <w:sz w:val="22"/>
          <w:szCs w:val="22"/>
        </w:rPr>
        <w:t>[</w:t>
      </w:r>
      <w:r w:rsidR="00AE7E2C" w:rsidRPr="00AE7E2C">
        <w:rPr>
          <w:sz w:val="22"/>
          <w:szCs w:val="22"/>
        </w:rPr>
        <w:t>SYNERGETICS project D1.1, 2024; SYNERGETICS project 2024a and 2024b</w:t>
      </w:r>
      <w:r w:rsidRPr="00AE7E2C">
        <w:rPr>
          <w:rFonts w:eastAsia="MS PGothic"/>
          <w:sz w:val="22"/>
          <w:szCs w:val="22"/>
        </w:rPr>
        <w:t xml:space="preserve">], emphasize the need for robust safety standards and regulatory harmonization to enable the sustainable integration of these alternative fuels into the inland waterway sector. </w:t>
      </w:r>
    </w:p>
    <w:p w14:paraId="13532853" w14:textId="66D3D873" w:rsidR="005C1A57" w:rsidRPr="00AE7E2C" w:rsidRDefault="00E65071" w:rsidP="00E65071">
      <w:pPr>
        <w:rPr>
          <w:rFonts w:eastAsia="MS PGothic"/>
          <w:sz w:val="22"/>
          <w:szCs w:val="22"/>
        </w:rPr>
      </w:pPr>
      <w:r w:rsidRPr="00AE7E2C">
        <w:rPr>
          <w:rFonts w:eastAsia="MS PGothic"/>
          <w:sz w:val="22"/>
          <w:szCs w:val="22"/>
        </w:rPr>
        <w:t>This study aims to identify and highlight gaps in safety standards and regulatory harmonization and therefore to offer insights into the current EU regulatory landscape for safe and sustainable fuel transitions in inland waterway transport.</w:t>
      </w:r>
    </w:p>
    <w:p w14:paraId="6823A43E" w14:textId="77777777" w:rsidR="00E65071" w:rsidRPr="00F879FE" w:rsidRDefault="00E65071" w:rsidP="00E65071">
      <w:pPr>
        <w:rPr>
          <w:rFonts w:eastAsia="MS PGothic"/>
          <w:bCs/>
        </w:rPr>
      </w:pPr>
    </w:p>
    <w:p w14:paraId="714DF323" w14:textId="2FF864EF" w:rsidR="00E1280C" w:rsidRPr="00895102" w:rsidRDefault="00FC44C8" w:rsidP="00A916AC">
      <w:pPr>
        <w:pStyle w:val="BOAReference"/>
        <w:rPr>
          <w:sz w:val="22"/>
          <w:szCs w:val="22"/>
        </w:rPr>
      </w:pPr>
      <w:r w:rsidRPr="00895102">
        <w:rPr>
          <w:sz w:val="22"/>
          <w:szCs w:val="22"/>
        </w:rPr>
        <w:t>Acknowledgements</w:t>
      </w:r>
    </w:p>
    <w:p w14:paraId="4798EA5D" w14:textId="16366F36" w:rsidR="00B40418" w:rsidRDefault="00B40418" w:rsidP="008009AC">
      <w:pPr>
        <w:rPr>
          <w:rFonts w:eastAsia="MS PGothic"/>
          <w:szCs w:val="18"/>
        </w:rPr>
      </w:pPr>
      <w:r w:rsidRPr="00895102">
        <w:rPr>
          <w:rFonts w:eastAsia="MS PGothic"/>
          <w:szCs w:val="18"/>
        </w:rPr>
        <w:t xml:space="preserve">The authors wish to thank the financial contribution of </w:t>
      </w:r>
      <w:r w:rsidR="00B9434C" w:rsidRPr="00895102">
        <w:rPr>
          <w:rFonts w:eastAsia="MS PGothic"/>
          <w:szCs w:val="18"/>
        </w:rPr>
        <w:t xml:space="preserve">the </w:t>
      </w:r>
      <w:r w:rsidRPr="00895102">
        <w:rPr>
          <w:rFonts w:eastAsia="MS PGothic"/>
          <w:szCs w:val="18"/>
        </w:rPr>
        <w:t>EU through the Interreg IPA ADRION program 2021-2027, project: IPA-ADRION073- Sustainability of Alternative Fuels in the ADRION area – SUPERALFUEL”.</w:t>
      </w:r>
    </w:p>
    <w:p w14:paraId="415522E3" w14:textId="77777777" w:rsidR="00895102" w:rsidRPr="00895102" w:rsidRDefault="00895102" w:rsidP="008009AC">
      <w:pPr>
        <w:rPr>
          <w:rFonts w:eastAsia="MS PGothic"/>
          <w:szCs w:val="18"/>
        </w:rPr>
      </w:pPr>
    </w:p>
    <w:p w14:paraId="11D31778" w14:textId="56E26DBE" w:rsidR="005C1A57" w:rsidRPr="00895102" w:rsidRDefault="005C1A57" w:rsidP="00302C82">
      <w:pPr>
        <w:pStyle w:val="BOAReference"/>
        <w:rPr>
          <w:rFonts w:eastAsia="SimSun"/>
          <w:lang w:eastAsia="zh-CN"/>
        </w:rPr>
      </w:pPr>
      <w:r w:rsidRPr="00895102">
        <w:rPr>
          <w:rFonts w:eastAsia="MS PGothic"/>
        </w:rPr>
        <w:t xml:space="preserve">References </w:t>
      </w:r>
    </w:p>
    <w:p w14:paraId="4CC08F0F" w14:textId="5A83B7C8" w:rsidR="00E65071" w:rsidRPr="00895102" w:rsidRDefault="00E65071" w:rsidP="00AE7E2C">
      <w:pPr>
        <w:pStyle w:val="BOAReference-text"/>
        <w:numPr>
          <w:ilvl w:val="0"/>
          <w:numId w:val="0"/>
        </w:numPr>
      </w:pPr>
    </w:p>
    <w:p w14:paraId="123D0A45" w14:textId="02611630" w:rsidR="00E65071" w:rsidRPr="00895102" w:rsidRDefault="00895102" w:rsidP="00AE7E2C">
      <w:pPr>
        <w:pStyle w:val="BOAReference-text"/>
      </w:pPr>
      <w:r>
        <w:t>EC, 2020</w:t>
      </w:r>
      <w:r w:rsidR="00AE7E2C">
        <w:t>a</w:t>
      </w:r>
      <w:r>
        <w:t xml:space="preserve">. </w:t>
      </w:r>
      <w:r w:rsidRPr="00895102">
        <w:t>The European climate law,</w:t>
      </w:r>
      <w:r>
        <w:t xml:space="preserve"> </w:t>
      </w:r>
      <w:r w:rsidR="00E65071" w:rsidRPr="00895102">
        <w:t>European Commission, Directorate-General for Communication, Publications Office, 2020, https://data.europa.eu/doi/10.2775/790913.</w:t>
      </w:r>
    </w:p>
    <w:p w14:paraId="52A454D6" w14:textId="7196CC1E" w:rsidR="00AE7E2C" w:rsidRDefault="00AE7E2C" w:rsidP="00AE7E2C">
      <w:pPr>
        <w:pStyle w:val="BOAReference-text"/>
      </w:pPr>
      <w:r>
        <w:t xml:space="preserve">EC, 2020b. Sustainable and Smart Mobility Strategy – putting European transport on track for the future, European Commission, </w:t>
      </w:r>
      <w:proofErr w:type="gramStart"/>
      <w:r>
        <w:t>COM(</w:t>
      </w:r>
      <w:proofErr w:type="gramEnd"/>
      <w:r>
        <w:t>2020) 789, SWD(2020) 331 final, 9 December 2020.</w:t>
      </w:r>
    </w:p>
    <w:p w14:paraId="1FEB5284" w14:textId="0A2E4EB3" w:rsidR="00AE7E2C" w:rsidRDefault="00AE7E2C" w:rsidP="00AE7E2C">
      <w:pPr>
        <w:pStyle w:val="BOAReference-text"/>
      </w:pPr>
      <w:r>
        <w:t xml:space="preserve">EC, 2021a. </w:t>
      </w:r>
      <w:r w:rsidRPr="00895102">
        <w:t>European Green Deal: research &amp; innovation call, European Commission, Directorate-General for Research and Innovation, Publications Office of the European Union, 2021, https://data.europa.eu/doi/10.2777/33415.</w:t>
      </w:r>
    </w:p>
    <w:p w14:paraId="4ABFA80C" w14:textId="631C6039" w:rsidR="00E65071" w:rsidRDefault="00895102" w:rsidP="00AE7E2C">
      <w:pPr>
        <w:pStyle w:val="BOAReference-text"/>
      </w:pPr>
      <w:r>
        <w:t>EC, 2021</w:t>
      </w:r>
      <w:r w:rsidR="00AE7E2C">
        <w:t>b</w:t>
      </w:r>
      <w:r>
        <w:t xml:space="preserve">. </w:t>
      </w:r>
      <w:r w:rsidR="00E65071" w:rsidRPr="00895102">
        <w:t>‘Fit for 55’: delivering the</w:t>
      </w:r>
      <w:r w:rsidR="00E65071">
        <w:t xml:space="preserve"> EU’s 2030 Climate Target on the way to climate neutrality. Communication from the Commission to the European Parliament, the Council, the European Economic and Social Committee and the Committee of the Regions, </w:t>
      </w:r>
      <w:proofErr w:type="gramStart"/>
      <w:r w:rsidR="00E65071">
        <w:t>COM(</w:t>
      </w:r>
      <w:proofErr w:type="gramEnd"/>
      <w:r w:rsidR="00E65071">
        <w:t>2021) 550 final, Brussels</w:t>
      </w:r>
    </w:p>
    <w:p w14:paraId="22E9D393" w14:textId="088309C3" w:rsidR="00E65071" w:rsidRDefault="00895102" w:rsidP="00AE7E2C">
      <w:pPr>
        <w:pStyle w:val="BOAReference-text"/>
      </w:pPr>
      <w:r>
        <w:t>EC, 2021</w:t>
      </w:r>
      <w:r w:rsidR="00AE7E2C">
        <w:t>c</w:t>
      </w:r>
      <w:r>
        <w:t xml:space="preserve">. NAIADES III: Boosting future-proof European inland waterway transport, </w:t>
      </w:r>
      <w:r w:rsidR="00E65071">
        <w:t xml:space="preserve">European Commission, Directorate-General for Mobility and Transport, Publications Office of the European Union, 2021, </w:t>
      </w:r>
      <w:proofErr w:type="gramStart"/>
      <w:r w:rsidR="00E65071">
        <w:t>COM(</w:t>
      </w:r>
      <w:proofErr w:type="gramEnd"/>
      <w:r w:rsidR="00E65071">
        <w:t>2021)324 final.</w:t>
      </w:r>
    </w:p>
    <w:p w14:paraId="7F666625" w14:textId="71A8D24E" w:rsidR="00E65071" w:rsidRDefault="00E65071" w:rsidP="00AE7E2C">
      <w:pPr>
        <w:pStyle w:val="BOAReference-text"/>
      </w:pPr>
      <w:r>
        <w:t>Regulation (EU) 2023/1804 of the European Parliament and of the Council of 13 September 2023 on the deployment of alternative fuels infrastructure, and repealing Directive 2014/94/EU, Official Journal of the European Union, Vol. 66, L234, ISSN 1977-0677.</w:t>
      </w:r>
    </w:p>
    <w:p w14:paraId="16699F0B" w14:textId="47F3365A" w:rsidR="00E65071" w:rsidRDefault="00E65071" w:rsidP="00AE7E2C">
      <w:pPr>
        <w:pStyle w:val="BOAReference-text"/>
      </w:pPr>
      <w:r>
        <w:t>Directive (EU) 2023/2413 of the European Parliament and of the Council of 18 October 2023 amending Directive (EU) 2018/2001, Regulation (EU) 2018/1999 and Directive 98/70/EC as regards the promotion of energy from renewable sources, and repealing Council Directive (EU) 2015/652, Official Journal of the European Union, 2023/2413.</w:t>
      </w:r>
    </w:p>
    <w:p w14:paraId="6D071760" w14:textId="5B500442" w:rsidR="00E65071" w:rsidRDefault="00E65071" w:rsidP="00AE7E2C">
      <w:pPr>
        <w:pStyle w:val="BOAReference-text"/>
      </w:pPr>
      <w:r>
        <w:t>PLATINA3 project D2.1</w:t>
      </w:r>
      <w:r w:rsidR="007B3A01">
        <w:t>, 2021.</w:t>
      </w:r>
      <w:r>
        <w:t xml:space="preserve"> Report on the zero – emission strategy IWT update of STEERER work, </w:t>
      </w:r>
      <w:proofErr w:type="gramStart"/>
      <w:r>
        <w:t>https://platina3.eu/download/zero-emission-iwt-strategy/# .</w:t>
      </w:r>
      <w:proofErr w:type="gramEnd"/>
    </w:p>
    <w:p w14:paraId="4418A86C" w14:textId="121F4F5C" w:rsidR="00E65071" w:rsidRDefault="007B3A01" w:rsidP="00AE7E2C">
      <w:pPr>
        <w:pStyle w:val="BOAReference-text"/>
      </w:pPr>
      <w:r>
        <w:t>PLATINA3 project</w:t>
      </w:r>
      <w:r w:rsidR="00E65071">
        <w:t xml:space="preserve"> D4.2</w:t>
      </w:r>
      <w:r>
        <w:t>, 2022.</w:t>
      </w:r>
      <w:r w:rsidR="00E65071">
        <w:t xml:space="preserve"> Report on findings, perspectives and recommendations on clean energy a</w:t>
      </w:r>
      <w:r>
        <w:t xml:space="preserve">long waterways and ports, </w:t>
      </w:r>
      <w:proofErr w:type="gramStart"/>
      <w:r w:rsidR="00E65071">
        <w:t>https://platina3.eu/download/clean-energy-infrastructure/# .</w:t>
      </w:r>
      <w:proofErr w:type="gramEnd"/>
    </w:p>
    <w:p w14:paraId="7D1253F7" w14:textId="432C2D7B" w:rsidR="00AE7E2C" w:rsidRDefault="00AE7E2C" w:rsidP="00AE7E2C">
      <w:pPr>
        <w:pStyle w:val="BOAReference-text"/>
      </w:pPr>
      <w:r>
        <w:t xml:space="preserve">PLATINA3 project D1.5, 2023. Report on recommendations for policy measures which result into higher use of green IWT, </w:t>
      </w:r>
      <w:proofErr w:type="gramStart"/>
      <w:r>
        <w:t>https://platina3.eu/download/policy-measures-for-green-iwt/# .</w:t>
      </w:r>
      <w:proofErr w:type="gramEnd"/>
    </w:p>
    <w:p w14:paraId="490AC3EB" w14:textId="19CE4587" w:rsidR="00E65071" w:rsidRDefault="007B3A01" w:rsidP="00AE7E2C">
      <w:pPr>
        <w:pStyle w:val="BOAReference-text"/>
      </w:pPr>
      <w:r>
        <w:t>PLATINA3 project</w:t>
      </w:r>
      <w:r w:rsidR="00E65071">
        <w:t xml:space="preserve"> D2.7</w:t>
      </w:r>
      <w:r>
        <w:t>, 2023.</w:t>
      </w:r>
      <w:r w:rsidR="00E65071">
        <w:t xml:space="preserve"> Report on policy recommendations on regulatory pathway tow</w:t>
      </w:r>
      <w:r>
        <w:t xml:space="preserve">ards zero emission fleet, </w:t>
      </w:r>
      <w:proofErr w:type="gramStart"/>
      <w:r w:rsidR="00E65071">
        <w:t>https://platina3.eu/download/towards-zero-emission-fleet/# .</w:t>
      </w:r>
      <w:proofErr w:type="gramEnd"/>
    </w:p>
    <w:p w14:paraId="3D0ADB2D" w14:textId="41CD8849" w:rsidR="00E65071" w:rsidRDefault="007B3A01" w:rsidP="00AE7E2C">
      <w:pPr>
        <w:pStyle w:val="BOAReference-text"/>
      </w:pPr>
      <w:r>
        <w:t>SYNERGETICS project</w:t>
      </w:r>
      <w:r w:rsidR="00E65071">
        <w:t xml:space="preserve"> D1.1</w:t>
      </w:r>
      <w:r w:rsidR="00B7532E">
        <w:t>, 2024.</w:t>
      </w:r>
      <w:r w:rsidR="00E65071">
        <w:t xml:space="preserve"> Relevant identified techni</w:t>
      </w:r>
      <w:r w:rsidR="00B7532E">
        <w:t>cal solutions,</w:t>
      </w:r>
      <w:r w:rsidR="00E65071">
        <w:t xml:space="preserve"> </w:t>
      </w:r>
      <w:proofErr w:type="gramStart"/>
      <w:r w:rsidR="00E65071">
        <w:t>https://www.synergetics-project.eu/wp-content/uploads/2024/09/SYNERGETICS_D1.1_Relevant-identified-technical-solutions_FINAL.pdf .</w:t>
      </w:r>
      <w:proofErr w:type="gramEnd"/>
      <w:r w:rsidR="00E65071">
        <w:t xml:space="preserve">  </w:t>
      </w:r>
    </w:p>
    <w:p w14:paraId="64871341" w14:textId="4B62E2F3" w:rsidR="00E65071" w:rsidRDefault="00E65071" w:rsidP="00AE7E2C">
      <w:pPr>
        <w:pStyle w:val="BOAReference-text"/>
      </w:pPr>
      <w:r>
        <w:t>SYNERGETICS project</w:t>
      </w:r>
      <w:r w:rsidR="00B7532E">
        <w:t xml:space="preserve"> 2024a</w:t>
      </w:r>
      <w:r>
        <w:t xml:space="preserve">, Catalogue of Greening Technologies – Fact </w:t>
      </w:r>
      <w:r w:rsidR="00B7532E">
        <w:t>Sheet No. 1 – Methanol ICE</w:t>
      </w:r>
      <w:r>
        <w:t xml:space="preserve">, </w:t>
      </w:r>
      <w:proofErr w:type="gramStart"/>
      <w:r>
        <w:t>https://www.synergetics-project.eu/Fact_Sheet_1/ .</w:t>
      </w:r>
      <w:proofErr w:type="gramEnd"/>
    </w:p>
    <w:p w14:paraId="1A6E6E9E" w14:textId="523E357B" w:rsidR="00E65071" w:rsidRPr="00A916AC" w:rsidRDefault="00E65071" w:rsidP="00AE7E2C">
      <w:pPr>
        <w:pStyle w:val="BOAReference-text"/>
      </w:pPr>
      <w:r>
        <w:t>SYNERGETICS project</w:t>
      </w:r>
      <w:r w:rsidR="00B7532E">
        <w:t xml:space="preserve"> 2024b</w:t>
      </w:r>
      <w:r>
        <w:t>, Catalogue of Greening Technologies –</w:t>
      </w:r>
      <w:r w:rsidR="00B7532E">
        <w:t xml:space="preserve"> Fact Sheet No. 2 – H2 ICE</w:t>
      </w:r>
      <w:r>
        <w:t xml:space="preserve">, </w:t>
      </w:r>
      <w:proofErr w:type="gramStart"/>
      <w:r>
        <w:t>https://www.synergetics-project.eu/Fact_Sheet_2/ .</w:t>
      </w:r>
      <w:proofErr w:type="gramEnd"/>
    </w:p>
    <w:sectPr w:rsidR="00E65071" w:rsidRPr="00A916AC" w:rsidSect="00F879FE">
      <w:headerReference w:type="default" r:id="rId8"/>
      <w:headerReference w:type="first" r:id="rId9"/>
      <w:type w:val="continuous"/>
      <w:pgSz w:w="11906" w:h="16838" w:code="9"/>
      <w:pgMar w:top="1701" w:right="1418" w:bottom="1701" w:left="1701" w:header="1134" w:footer="57" w:gutter="0"/>
      <w:cols w:space="720"/>
      <w:titlePg/>
      <w:docGrid w:linePitch="360" w:charSpace="-2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387C2" w14:textId="77777777" w:rsidR="00F146FD" w:rsidRDefault="00F146FD" w:rsidP="004F5E36">
      <w:r>
        <w:separator/>
      </w:r>
    </w:p>
  </w:endnote>
  <w:endnote w:type="continuationSeparator" w:id="0">
    <w:p w14:paraId="78C71F06" w14:textId="77777777" w:rsidR="00F146FD" w:rsidRDefault="00F146F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538A5" w14:textId="77777777" w:rsidR="00F146FD" w:rsidRDefault="00F146FD" w:rsidP="004F5E36">
      <w:r>
        <w:separator/>
      </w:r>
    </w:p>
  </w:footnote>
  <w:footnote w:type="continuationSeparator" w:id="0">
    <w:p w14:paraId="668C845F" w14:textId="77777777" w:rsidR="00F146FD" w:rsidRDefault="00F146FD"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9B985" w14:textId="0231AB3D" w:rsidR="009047CF" w:rsidRPr="00E1280C" w:rsidRDefault="00426BD4" w:rsidP="00E1280C">
    <w:pPr>
      <w:pStyle w:val="Titolo1"/>
      <w:pBdr>
        <w:bottom w:val="single" w:sz="4" w:space="1" w:color="auto"/>
      </w:pBdr>
      <w:spacing w:after="480"/>
      <w:jc w:val="center"/>
      <w:rPr>
        <w:color w:val="808080" w:themeColor="background1" w:themeShade="80"/>
      </w:rPr>
    </w:pPr>
    <w:r w:rsidRPr="00E1280C">
      <w:rPr>
        <w:color w:val="808080" w:themeColor="background1" w:themeShade="80"/>
      </w:rPr>
      <w:t>LOSS PREVENTION 2025</w:t>
    </w:r>
    <w:r w:rsidR="009047CF" w:rsidRPr="00E1280C">
      <w:rPr>
        <w:color w:val="808080" w:themeColor="background1" w:themeShade="80"/>
      </w:rPr>
      <w:t xml:space="preserve">, </w:t>
    </w:r>
    <w:r w:rsidRPr="00E1280C">
      <w:rPr>
        <w:i/>
        <w:iCs/>
        <w:color w:val="808080" w:themeColor="background1" w:themeShade="80"/>
      </w:rPr>
      <w:t>Bologna</w:t>
    </w:r>
    <w:r w:rsidR="009047CF" w:rsidRPr="00E1280C">
      <w:rPr>
        <w:i/>
        <w:iCs/>
        <w:color w:val="808080" w:themeColor="background1" w:themeShade="80"/>
      </w:rPr>
      <w:t xml:space="preserve"> (Italy)</w:t>
    </w:r>
    <w:r w:rsidRPr="00E1280C">
      <w:rPr>
        <w:i/>
        <w:iCs/>
        <w:color w:val="808080" w:themeColor="background1" w:themeShade="80"/>
      </w:rPr>
      <w:t>, 8-11 June</w:t>
    </w:r>
    <w:r w:rsidR="009047CF" w:rsidRPr="00E1280C">
      <w:rPr>
        <w:i/>
        <w:iCs/>
        <w:color w:val="808080" w:themeColor="background1" w:themeShade="80"/>
      </w:rPr>
      <w:t xml:space="preserve"> 202</w:t>
    </w:r>
    <w:r w:rsidRPr="00E1280C">
      <w:rPr>
        <w:i/>
        <w:iCs/>
        <w:color w:val="808080" w:themeColor="background1" w:themeShade="8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22FA3" w14:textId="5F9F28D5" w:rsidR="00591C6C" w:rsidRDefault="00621A1B">
    <w:r>
      <w:rPr>
        <w:noProof/>
        <w:lang w:val="en-US"/>
      </w:rPr>
      <w:drawing>
        <wp:anchor distT="0" distB="0" distL="114300" distR="114300" simplePos="0" relativeHeight="251669504" behindDoc="0" locked="0" layoutInCell="1" allowOverlap="1" wp14:anchorId="556BEF13" wp14:editId="4C872F17">
          <wp:simplePos x="0" y="0"/>
          <wp:positionH relativeFrom="column">
            <wp:posOffset>1038225</wp:posOffset>
          </wp:positionH>
          <wp:positionV relativeFrom="paragraph">
            <wp:posOffset>-591820</wp:posOffset>
          </wp:positionV>
          <wp:extent cx="3535680" cy="1113790"/>
          <wp:effectExtent l="0" t="0" r="0" b="0"/>
          <wp:wrapSquare wrapText="bothSides"/>
          <wp:docPr id="694924740" name="Immagine 5" descr="Immagine che contiene verdu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24740" name="Immagine 5" descr="Immagine che contiene verdur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535680" cy="1113790"/>
                  </a:xfrm>
                  <a:prstGeom prst="rect">
                    <a:avLst/>
                  </a:prstGeom>
                </pic:spPr>
              </pic:pic>
            </a:graphicData>
          </a:graphic>
          <wp14:sizeRelH relativeFrom="margin">
            <wp14:pctWidth>0</wp14:pctWidth>
          </wp14:sizeRelH>
          <wp14:sizeRelV relativeFrom="margin">
            <wp14:pctHeight>0</wp14:pctHeight>
          </wp14:sizeRelV>
        </wp:anchor>
      </w:drawing>
    </w:r>
  </w:p>
  <w:p w14:paraId="1140215C" w14:textId="0934BFD8" w:rsidR="00591C6C" w:rsidRDefault="00591C6C"/>
  <w:p w14:paraId="6729447D" w14:textId="1087F0ED" w:rsidR="00591C6C" w:rsidRDefault="00591C6C"/>
  <w:p w14:paraId="4F4256FC" w14:textId="0AC917B5" w:rsidR="00591C6C" w:rsidRDefault="00591C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0AAE6026"/>
    <w:multiLevelType w:val="hybridMultilevel"/>
    <w:tmpl w:val="A072A6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B73F66"/>
    <w:multiLevelType w:val="hybridMultilevel"/>
    <w:tmpl w:val="EE0A7880"/>
    <w:lvl w:ilvl="0" w:tplc="E858267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38217E"/>
    <w:multiLevelType w:val="multilevel"/>
    <w:tmpl w:val="739EF9B4"/>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pStyle w:val="BOAheadingx1"/>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51E0394"/>
    <w:multiLevelType w:val="hybridMultilevel"/>
    <w:tmpl w:val="ED14CA0C"/>
    <w:lvl w:ilvl="0" w:tplc="B13489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8A24C9"/>
    <w:multiLevelType w:val="hybridMultilevel"/>
    <w:tmpl w:val="7E46D96A"/>
    <w:lvl w:ilvl="0" w:tplc="630AE0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7AB4E1CE"/>
    <w:lvl w:ilvl="0" w:tplc="33FE03FA">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ED527C7"/>
    <w:multiLevelType w:val="hybridMultilevel"/>
    <w:tmpl w:val="FEDAAC14"/>
    <w:lvl w:ilvl="0" w:tplc="F5C41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1B62680"/>
    <w:multiLevelType w:val="hybridMultilevel"/>
    <w:tmpl w:val="354C2328"/>
    <w:lvl w:ilvl="0" w:tplc="2E8406CE">
      <w:start w:val="1"/>
      <w:numFmt w:val="decimal"/>
      <w:pStyle w:val="BOAReferenc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7256403">
    <w:abstractNumId w:val="13"/>
  </w:num>
  <w:num w:numId="2" w16cid:durableId="1766730207">
    <w:abstractNumId w:val="8"/>
  </w:num>
  <w:num w:numId="3" w16cid:durableId="2003119424">
    <w:abstractNumId w:val="3"/>
  </w:num>
  <w:num w:numId="4" w16cid:durableId="1817644397">
    <w:abstractNumId w:val="2"/>
  </w:num>
  <w:num w:numId="5" w16cid:durableId="783186708">
    <w:abstractNumId w:val="1"/>
  </w:num>
  <w:num w:numId="6" w16cid:durableId="835077143">
    <w:abstractNumId w:val="0"/>
  </w:num>
  <w:num w:numId="7" w16cid:durableId="296448368">
    <w:abstractNumId w:val="9"/>
  </w:num>
  <w:num w:numId="8" w16cid:durableId="824858412">
    <w:abstractNumId w:val="7"/>
  </w:num>
  <w:num w:numId="9" w16cid:durableId="1276331331">
    <w:abstractNumId w:val="6"/>
  </w:num>
  <w:num w:numId="10" w16cid:durableId="468399153">
    <w:abstractNumId w:val="5"/>
  </w:num>
  <w:num w:numId="11" w16cid:durableId="2086761898">
    <w:abstractNumId w:val="4"/>
  </w:num>
  <w:num w:numId="12" w16cid:durableId="1615400505">
    <w:abstractNumId w:val="16"/>
  </w:num>
  <w:num w:numId="13" w16cid:durableId="1708947374">
    <w:abstractNumId w:val="14"/>
  </w:num>
  <w:num w:numId="14" w16cid:durableId="1394623437">
    <w:abstractNumId w:val="17"/>
  </w:num>
  <w:num w:numId="15" w16cid:durableId="1961454597">
    <w:abstractNumId w:val="19"/>
  </w:num>
  <w:num w:numId="16" w16cid:durableId="301037527">
    <w:abstractNumId w:val="22"/>
  </w:num>
  <w:num w:numId="17" w16cid:durableId="1204825711">
    <w:abstractNumId w:val="10"/>
  </w:num>
  <w:num w:numId="18" w16cid:durableId="1880702064">
    <w:abstractNumId w:val="20"/>
  </w:num>
  <w:num w:numId="19" w16cid:durableId="459689258">
    <w:abstractNumId w:val="15"/>
  </w:num>
  <w:num w:numId="20" w16cid:durableId="1894777360">
    <w:abstractNumId w:val="11"/>
  </w:num>
  <w:num w:numId="21" w16cid:durableId="1246107855">
    <w:abstractNumId w:val="12"/>
  </w:num>
  <w:num w:numId="22" w16cid:durableId="1022702715">
    <w:abstractNumId w:val="18"/>
  </w:num>
  <w:num w:numId="23" w16cid:durableId="12192479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U3NjYwMrEAkiaWFko6SsGpxcWZ+XkgBYZGtQCb01JhLQAAAA=="/>
  </w:docVars>
  <w:rsids>
    <w:rsidRoot w:val="000E414A"/>
    <w:rsid w:val="000027C0"/>
    <w:rsid w:val="000117CB"/>
    <w:rsid w:val="00016601"/>
    <w:rsid w:val="0003148D"/>
    <w:rsid w:val="00062A9A"/>
    <w:rsid w:val="000807A8"/>
    <w:rsid w:val="000A03B2"/>
    <w:rsid w:val="000A6294"/>
    <w:rsid w:val="000B30B9"/>
    <w:rsid w:val="000D34BE"/>
    <w:rsid w:val="000E36F1"/>
    <w:rsid w:val="000E3A73"/>
    <w:rsid w:val="000E414A"/>
    <w:rsid w:val="000E6760"/>
    <w:rsid w:val="0013121F"/>
    <w:rsid w:val="00134DE4"/>
    <w:rsid w:val="00142306"/>
    <w:rsid w:val="00150E59"/>
    <w:rsid w:val="001610E4"/>
    <w:rsid w:val="0017193C"/>
    <w:rsid w:val="00184AD6"/>
    <w:rsid w:val="001B3C30"/>
    <w:rsid w:val="001B65C1"/>
    <w:rsid w:val="001C684B"/>
    <w:rsid w:val="001D53FC"/>
    <w:rsid w:val="001F2EC7"/>
    <w:rsid w:val="00200C07"/>
    <w:rsid w:val="002065DB"/>
    <w:rsid w:val="002447EF"/>
    <w:rsid w:val="00251550"/>
    <w:rsid w:val="002626FE"/>
    <w:rsid w:val="0027221A"/>
    <w:rsid w:val="00275B61"/>
    <w:rsid w:val="002A2B1D"/>
    <w:rsid w:val="002A4E05"/>
    <w:rsid w:val="002C3569"/>
    <w:rsid w:val="002C633D"/>
    <w:rsid w:val="002D1F12"/>
    <w:rsid w:val="003009B7"/>
    <w:rsid w:val="00302C82"/>
    <w:rsid w:val="0030469C"/>
    <w:rsid w:val="00307024"/>
    <w:rsid w:val="00320108"/>
    <w:rsid w:val="003505A5"/>
    <w:rsid w:val="00363DA0"/>
    <w:rsid w:val="003723D4"/>
    <w:rsid w:val="0038420F"/>
    <w:rsid w:val="003A7D1C"/>
    <w:rsid w:val="003B61C3"/>
    <w:rsid w:val="003E3087"/>
    <w:rsid w:val="00407515"/>
    <w:rsid w:val="00423B17"/>
    <w:rsid w:val="0042639A"/>
    <w:rsid w:val="00426BD4"/>
    <w:rsid w:val="00435501"/>
    <w:rsid w:val="00440FB3"/>
    <w:rsid w:val="0046164A"/>
    <w:rsid w:val="00462DCD"/>
    <w:rsid w:val="0046419A"/>
    <w:rsid w:val="004951BF"/>
    <w:rsid w:val="004C2084"/>
    <w:rsid w:val="004D1162"/>
    <w:rsid w:val="004E0FFD"/>
    <w:rsid w:val="004E4DD6"/>
    <w:rsid w:val="004F5E36"/>
    <w:rsid w:val="005119A5"/>
    <w:rsid w:val="00516FAD"/>
    <w:rsid w:val="00526FAF"/>
    <w:rsid w:val="005278B7"/>
    <w:rsid w:val="005346C8"/>
    <w:rsid w:val="00535508"/>
    <w:rsid w:val="00537CCB"/>
    <w:rsid w:val="00544219"/>
    <w:rsid w:val="00581815"/>
    <w:rsid w:val="00591C6C"/>
    <w:rsid w:val="00594E9F"/>
    <w:rsid w:val="005B61E6"/>
    <w:rsid w:val="005C1A57"/>
    <w:rsid w:val="005C648D"/>
    <w:rsid w:val="005C77E1"/>
    <w:rsid w:val="005D6A2F"/>
    <w:rsid w:val="005E1A82"/>
    <w:rsid w:val="005F0A28"/>
    <w:rsid w:val="005F0E5E"/>
    <w:rsid w:val="00620DEE"/>
    <w:rsid w:val="00621A1B"/>
    <w:rsid w:val="00623D69"/>
    <w:rsid w:val="00625639"/>
    <w:rsid w:val="0064184D"/>
    <w:rsid w:val="00660E3E"/>
    <w:rsid w:val="00662E74"/>
    <w:rsid w:val="006732CA"/>
    <w:rsid w:val="006A58D2"/>
    <w:rsid w:val="006C5579"/>
    <w:rsid w:val="006C7B9A"/>
    <w:rsid w:val="00704BDF"/>
    <w:rsid w:val="00720C17"/>
    <w:rsid w:val="00736B13"/>
    <w:rsid w:val="007447F3"/>
    <w:rsid w:val="007661C8"/>
    <w:rsid w:val="007A4664"/>
    <w:rsid w:val="007B3A01"/>
    <w:rsid w:val="007D52CD"/>
    <w:rsid w:val="008009AC"/>
    <w:rsid w:val="00813288"/>
    <w:rsid w:val="008168FC"/>
    <w:rsid w:val="008479A2"/>
    <w:rsid w:val="0085601C"/>
    <w:rsid w:val="0087637F"/>
    <w:rsid w:val="00895102"/>
    <w:rsid w:val="008A1512"/>
    <w:rsid w:val="008A57CB"/>
    <w:rsid w:val="008B1B74"/>
    <w:rsid w:val="008C779C"/>
    <w:rsid w:val="008D0BEB"/>
    <w:rsid w:val="008E566E"/>
    <w:rsid w:val="008F1699"/>
    <w:rsid w:val="008F6A22"/>
    <w:rsid w:val="00901EB6"/>
    <w:rsid w:val="009047CF"/>
    <w:rsid w:val="009425B4"/>
    <w:rsid w:val="009450CE"/>
    <w:rsid w:val="0095164B"/>
    <w:rsid w:val="009618B9"/>
    <w:rsid w:val="00996483"/>
    <w:rsid w:val="009C1858"/>
    <w:rsid w:val="009C32E4"/>
    <w:rsid w:val="009D7A3B"/>
    <w:rsid w:val="009E788A"/>
    <w:rsid w:val="00A05A15"/>
    <w:rsid w:val="00A07E93"/>
    <w:rsid w:val="00A1763D"/>
    <w:rsid w:val="00A17CEC"/>
    <w:rsid w:val="00A27EF0"/>
    <w:rsid w:val="00A6255A"/>
    <w:rsid w:val="00A66B9C"/>
    <w:rsid w:val="00A6794C"/>
    <w:rsid w:val="00A76EFC"/>
    <w:rsid w:val="00A916AC"/>
    <w:rsid w:val="00A94238"/>
    <w:rsid w:val="00A9495A"/>
    <w:rsid w:val="00A9626B"/>
    <w:rsid w:val="00A97F29"/>
    <w:rsid w:val="00AB0964"/>
    <w:rsid w:val="00AB3E4B"/>
    <w:rsid w:val="00AB4B34"/>
    <w:rsid w:val="00AC5F71"/>
    <w:rsid w:val="00AE377D"/>
    <w:rsid w:val="00AE7E2C"/>
    <w:rsid w:val="00B31173"/>
    <w:rsid w:val="00B40418"/>
    <w:rsid w:val="00B430A4"/>
    <w:rsid w:val="00B61DBF"/>
    <w:rsid w:val="00B7532E"/>
    <w:rsid w:val="00B9434C"/>
    <w:rsid w:val="00BB6185"/>
    <w:rsid w:val="00BB6F9B"/>
    <w:rsid w:val="00BC30C9"/>
    <w:rsid w:val="00BE3E58"/>
    <w:rsid w:val="00C01616"/>
    <w:rsid w:val="00C0162B"/>
    <w:rsid w:val="00C345B1"/>
    <w:rsid w:val="00C40142"/>
    <w:rsid w:val="00C57182"/>
    <w:rsid w:val="00C655FD"/>
    <w:rsid w:val="00C700D2"/>
    <w:rsid w:val="00C80A28"/>
    <w:rsid w:val="00C82290"/>
    <w:rsid w:val="00C867B1"/>
    <w:rsid w:val="00C94434"/>
    <w:rsid w:val="00CA1C95"/>
    <w:rsid w:val="00CA54AA"/>
    <w:rsid w:val="00CA5A9C"/>
    <w:rsid w:val="00CD5FE2"/>
    <w:rsid w:val="00D02B4C"/>
    <w:rsid w:val="00D1119B"/>
    <w:rsid w:val="00D149CA"/>
    <w:rsid w:val="00D35B51"/>
    <w:rsid w:val="00D42F45"/>
    <w:rsid w:val="00D628A6"/>
    <w:rsid w:val="00D801F0"/>
    <w:rsid w:val="00D84576"/>
    <w:rsid w:val="00D948AD"/>
    <w:rsid w:val="00DE0019"/>
    <w:rsid w:val="00DE264A"/>
    <w:rsid w:val="00DF7F72"/>
    <w:rsid w:val="00E041E7"/>
    <w:rsid w:val="00E05BEA"/>
    <w:rsid w:val="00E10C15"/>
    <w:rsid w:val="00E1280C"/>
    <w:rsid w:val="00E23CA1"/>
    <w:rsid w:val="00E409A8"/>
    <w:rsid w:val="00E431A8"/>
    <w:rsid w:val="00E466CB"/>
    <w:rsid w:val="00E65071"/>
    <w:rsid w:val="00E7209D"/>
    <w:rsid w:val="00EA50E1"/>
    <w:rsid w:val="00EE0131"/>
    <w:rsid w:val="00EE1D21"/>
    <w:rsid w:val="00EF3557"/>
    <w:rsid w:val="00EF39D1"/>
    <w:rsid w:val="00F146FD"/>
    <w:rsid w:val="00F21D59"/>
    <w:rsid w:val="00F30C64"/>
    <w:rsid w:val="00F411F3"/>
    <w:rsid w:val="00F6252E"/>
    <w:rsid w:val="00F72C4F"/>
    <w:rsid w:val="00F879FE"/>
    <w:rsid w:val="00F96ACF"/>
    <w:rsid w:val="00FB730C"/>
    <w:rsid w:val="00FC2171"/>
    <w:rsid w:val="00FC2695"/>
    <w:rsid w:val="00FC3E03"/>
    <w:rsid w:val="00FC44C8"/>
    <w:rsid w:val="00FD5D61"/>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4A267"/>
  <w15:docId w15:val="{461AE4D9-8438-4D7F-AC67-FE82DE21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BOA table"/>
    <w:qFormat/>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BOAHeading"/>
    <w:next w:val="Normale"/>
    <w:link w:val="Titolo1Carattere"/>
    <w:uiPriority w:val="9"/>
    <w:qFormat/>
    <w:locked/>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AAuthors">
    <w:name w:val="BOA Authors"/>
    <w:basedOn w:val="BOAAddress"/>
    <w:link w:val="BOAAuthorsCarattere"/>
    <w:autoRedefine/>
    <w:qFormat/>
    <w:rsid w:val="00591C6C"/>
    <w:pPr>
      <w:spacing w:after="120"/>
    </w:pPr>
    <w:rPr>
      <w:i w:val="0"/>
      <w:sz w:val="24"/>
    </w:rPr>
  </w:style>
  <w:style w:type="paragraph" w:customStyle="1" w:styleId="BOATitle">
    <w:name w:val="BOA Title"/>
    <w:next w:val="BOAAddress"/>
    <w:link w:val="BOATitleCarattere"/>
    <w:autoRedefine/>
    <w:qFormat/>
    <w:rsid w:val="00F879FE"/>
    <w:pPr>
      <w:suppressAutoHyphens/>
      <w:spacing w:before="480" w:after="360" w:line="264" w:lineRule="auto"/>
      <w:jc w:val="center"/>
      <w:outlineLvl w:val="0"/>
    </w:pPr>
    <w:rPr>
      <w:rFonts w:ascii="Arial" w:eastAsia="Times New Roman" w:hAnsi="Arial" w:cs="Times New Roman"/>
      <w:sz w:val="32"/>
      <w:szCs w:val="20"/>
      <w:lang w:val="en-GB"/>
    </w:rPr>
  </w:style>
  <w:style w:type="character" w:customStyle="1" w:styleId="BOAAuthorsCarattere">
    <w:name w:val="BOA Authors Carattere"/>
    <w:link w:val="BOAAuthors"/>
    <w:rsid w:val="00591C6C"/>
    <w:rPr>
      <w:rFonts w:ascii="Arial" w:eastAsia="Times New Roman" w:hAnsi="Arial" w:cs="Times New Roman"/>
      <w:noProof/>
      <w:sz w:val="24"/>
      <w:szCs w:val="20"/>
      <w:lang w:val="en-GB"/>
    </w:rPr>
  </w:style>
  <w:style w:type="character" w:customStyle="1" w:styleId="BOATitleCarattere">
    <w:name w:val="BOA Title Carattere"/>
    <w:link w:val="BOATitle"/>
    <w:rsid w:val="00F879FE"/>
    <w:rPr>
      <w:rFonts w:ascii="Arial" w:eastAsia="Times New Roman" w:hAnsi="Arial" w:cs="Times New Roman"/>
      <w:sz w:val="32"/>
      <w:szCs w:val="20"/>
      <w:lang w:val="en-GB"/>
    </w:rPr>
  </w:style>
  <w:style w:type="paragraph" w:customStyle="1" w:styleId="BOAHeading">
    <w:name w:val="BOA Heading"/>
    <w:next w:val="BOAAbstractBody"/>
    <w:autoRedefine/>
    <w:qFormat/>
    <w:rsid w:val="00F879FE"/>
    <w:pPr>
      <w:keepNext/>
      <w:suppressAutoHyphens/>
      <w:spacing w:before="240" w:after="120" w:line="240" w:lineRule="auto"/>
    </w:pPr>
    <w:rPr>
      <w:rFonts w:ascii="Arial" w:eastAsia="MS PGothic" w:hAnsi="Arial" w:cs="Times New Roman"/>
      <w:b/>
      <w:szCs w:val="20"/>
      <w:lang w:val="en-US"/>
    </w:rPr>
  </w:style>
  <w:style w:type="paragraph" w:customStyle="1" w:styleId="BOAAddress">
    <w:name w:val="BOA Address"/>
    <w:link w:val="BOAAddressCarattere"/>
    <w:autoRedefine/>
    <w:qFormat/>
    <w:rsid w:val="00591C6C"/>
    <w:pPr>
      <w:keepNext/>
      <w:suppressAutoHyphens/>
      <w:spacing w:after="0"/>
      <w:contextualSpacing/>
      <w:jc w:val="center"/>
    </w:pPr>
    <w:rPr>
      <w:rFonts w:ascii="Arial" w:eastAsia="Times New Roman" w:hAnsi="Arial" w:cs="Times New Roman"/>
      <w:i/>
      <w:noProof/>
      <w:sz w:val="20"/>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BOAReference">
    <w:name w:val="BOA Reference"/>
    <w:rsid w:val="00302C82"/>
    <w:pPr>
      <w:spacing w:before="200" w:after="120" w:line="240" w:lineRule="auto"/>
    </w:pPr>
    <w:rPr>
      <w:rFonts w:ascii="Arial" w:eastAsia="Times New Roman" w:hAnsi="Arial" w:cs="Times New Roman"/>
      <w:b/>
      <w:sz w:val="20"/>
      <w:szCs w:val="20"/>
      <w:lang w:val="en-GB"/>
    </w:rPr>
  </w:style>
  <w:style w:type="paragraph" w:customStyle="1" w:styleId="BOAReference-text">
    <w:name w:val="BOA Reference-text"/>
    <w:autoRedefine/>
    <w:qFormat/>
    <w:rsid w:val="00AE7E2C"/>
    <w:pPr>
      <w:numPr>
        <w:numId w:val="23"/>
      </w:numPr>
      <w:spacing w:after="0" w:line="264" w:lineRule="auto"/>
      <w:jc w:val="both"/>
    </w:pPr>
    <w:rPr>
      <w:rFonts w:ascii="Arial" w:eastAsia="Times New Roman" w:hAnsi="Arial" w:cs="Times New Roman"/>
      <w:sz w:val="18"/>
      <w:szCs w:val="20"/>
      <w:lang w:val="en-GB"/>
    </w:rPr>
  </w:style>
  <w:style w:type="paragraph" w:customStyle="1" w:styleId="BOACaption">
    <w:name w:val="BOA Caption"/>
    <w:link w:val="BOACaptionCarattere"/>
    <w:autoRedefine/>
    <w:qFormat/>
    <w:rsid w:val="00F879FE"/>
    <w:pPr>
      <w:spacing w:before="240" w:after="240" w:line="264" w:lineRule="auto"/>
      <w:jc w:val="center"/>
    </w:pPr>
    <w:rPr>
      <w:rFonts w:ascii="Arial" w:eastAsia="MS PGothic" w:hAnsi="Arial" w:cs="Times New Roman"/>
      <w:bCs/>
      <w:i/>
      <w:sz w:val="20"/>
      <w:szCs w:val="20"/>
      <w:lang w:val="en-GB"/>
    </w:rPr>
  </w:style>
  <w:style w:type="character" w:customStyle="1" w:styleId="BOACaptionCarattere">
    <w:name w:val="BOA Caption Carattere"/>
    <w:link w:val="BOACaption"/>
    <w:rsid w:val="00F879FE"/>
    <w:rPr>
      <w:rFonts w:ascii="Arial" w:eastAsia="MS PGothic" w:hAnsi="Arial" w:cs="Times New Roman"/>
      <w:bCs/>
      <w:i/>
      <w:sz w:val="20"/>
      <w:szCs w:val="20"/>
      <w:lang w:val="en-GB"/>
    </w:rPr>
  </w:style>
  <w:style w:type="paragraph" w:customStyle="1" w:styleId="BOAheadingx1">
    <w:name w:val="BOA headingx 1"/>
    <w:next w:val="BOAAbstractBody"/>
    <w:link w:val="BOAheadingx1Carattere"/>
    <w:autoRedefine/>
    <w:qFormat/>
    <w:rsid w:val="00D948AD"/>
    <w:pPr>
      <w:keepNext/>
      <w:numPr>
        <w:ilvl w:val="2"/>
        <w:numId w:val="1"/>
      </w:numPr>
      <w:suppressAutoHyphens/>
      <w:spacing w:before="120" w:after="120" w:line="240" w:lineRule="auto"/>
    </w:pPr>
    <w:rPr>
      <w:rFonts w:ascii="Arial" w:eastAsia="Times New Roman" w:hAnsi="Arial" w:cs="Times New Roman"/>
      <w:b/>
      <w:sz w:val="20"/>
      <w:szCs w:val="20"/>
      <w:lang w:val="en-US"/>
    </w:rPr>
  </w:style>
  <w:style w:type="character" w:customStyle="1" w:styleId="BOAheadingx1Carattere">
    <w:name w:val="BOA headingx 1 Carattere"/>
    <w:link w:val="BOAheadingx1"/>
    <w:rsid w:val="00D948AD"/>
    <w:rPr>
      <w:rFonts w:ascii="Arial" w:eastAsia="Times New Roman" w:hAnsi="Arial" w:cs="Times New Roman"/>
      <w:b/>
      <w:sz w:val="20"/>
      <w:szCs w:val="20"/>
      <w:lang w:val="en-US"/>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character" w:customStyle="1" w:styleId="BOAAddressCarattere">
    <w:name w:val="BOA Address Carattere"/>
    <w:basedOn w:val="Carpredefinitoparagrafo"/>
    <w:link w:val="BOAAddress"/>
    <w:rsid w:val="00591C6C"/>
    <w:rPr>
      <w:rFonts w:ascii="Arial" w:eastAsia="Times New Roman" w:hAnsi="Arial" w:cs="Times New Roman"/>
      <w:i/>
      <w:noProof/>
      <w:sz w:val="20"/>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AAbstractBody">
    <w:name w:val="BOA Abstract Body"/>
    <w:basedOn w:val="Normale"/>
    <w:autoRedefine/>
    <w:qFormat/>
    <w:rsid w:val="008009AC"/>
    <w:pPr>
      <w:tabs>
        <w:tab w:val="clear" w:pos="7100"/>
      </w:tabs>
      <w:spacing w:line="240" w:lineRule="atLeast"/>
      <w:ind w:right="-1"/>
      <w:jc w:val="center"/>
    </w:pPr>
    <w:rPr>
      <w:sz w:val="22"/>
      <w:lang w:val="en-US"/>
    </w:rPr>
  </w:style>
  <w:style w:type="paragraph" w:customStyle="1" w:styleId="BOAemail">
    <w:name w:val="BOA email"/>
    <w:next w:val="BOAHeading"/>
    <w:autoRedefine/>
    <w:qFormat/>
    <w:rsid w:val="00E1280C"/>
    <w:pPr>
      <w:spacing w:before="120" w:after="0" w:line="360" w:lineRule="auto"/>
      <w:ind w:left="284" w:hanging="284"/>
      <w:jc w:val="center"/>
    </w:pPr>
    <w:rPr>
      <w:rFonts w:ascii="Arial" w:eastAsia="Times New Roman" w:hAnsi="Arial" w:cs="Times New Roman"/>
      <w: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45797-7AE4-418D-8DAD-E23F278C3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995</Words>
  <Characters>5677</Characters>
  <Application>Microsoft Office Word</Application>
  <DocSecurity>0</DocSecurity>
  <Lines>47</Lines>
  <Paragraphs>13</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Dipartimento CMIC - Politecnico di Milano</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2015-05-12T18:31:00Z</cp:lastPrinted>
  <dcterms:created xsi:type="dcterms:W3CDTF">2025-01-28T11:15:00Z</dcterms:created>
  <dcterms:modified xsi:type="dcterms:W3CDTF">2025-01-28T11:15:00Z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b0dfbf7c13eb8b7dc2767bbfe6143d9f4852677a7dbc46cde8ee8a7eab1b523b</vt:lpwstr>
  </property>
</Properties>
</file>