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134742">
        <w:trPr>
          <w:trHeight w:val="852"/>
          <w:jc w:val="center"/>
        </w:trPr>
        <w:tc>
          <w:tcPr>
            <w:tcW w:w="6940" w:type="dxa"/>
            <w:vMerge w:val="restart"/>
            <w:tcBorders>
              <w:right w:val="single" w:sz="4" w:space="0" w:color="auto"/>
            </w:tcBorders>
          </w:tcPr>
          <w:p w14:paraId="38C3D2BA" w14:textId="77777777" w:rsidR="000A03B2" w:rsidRPr="00B57B36" w:rsidRDefault="000A03B2" w:rsidP="005C5E4D">
            <w:pPr>
              <w:tabs>
                <w:tab w:val="left" w:pos="-108"/>
              </w:tabs>
              <w:ind w:left="-108"/>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13474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134742">
        <w:trPr>
          <w:trHeight w:val="68"/>
          <w:jc w:val="center"/>
        </w:trPr>
        <w:tc>
          <w:tcPr>
            <w:tcW w:w="8782"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430D0F56" w:rsidR="00E978D0" w:rsidRPr="005F0E0C" w:rsidRDefault="00134742" w:rsidP="00E978D0">
      <w:pPr>
        <w:pStyle w:val="CETTitle"/>
        <w:rPr>
          <w:lang w:val="it-IT"/>
        </w:rPr>
      </w:pPr>
      <w:r w:rsidRPr="00134742">
        <w:t xml:space="preserve">Quantitative Risk Assessment of FSRU and Connected Infrastructures in Harbour Area. </w:t>
      </w:r>
      <w:r w:rsidRPr="005F0E0C">
        <w:rPr>
          <w:lang w:val="it-IT"/>
        </w:rPr>
        <w:t>A Comprehensive Applicative Experience from Early Design to Plant Operation</w:t>
      </w:r>
    </w:p>
    <w:p w14:paraId="0488FED2" w14:textId="76A3521C" w:rsidR="00B57E6F" w:rsidRPr="005F0E0C" w:rsidRDefault="00134742" w:rsidP="00B57E6F">
      <w:pPr>
        <w:pStyle w:val="CETAuthors"/>
        <w:rPr>
          <w:lang w:val="it-IT"/>
        </w:rPr>
      </w:pPr>
      <w:r w:rsidRPr="005F0E0C">
        <w:rPr>
          <w:lang w:val="it-IT"/>
        </w:rPr>
        <w:t>Giovanni Romano</w:t>
      </w:r>
      <w:r w:rsidRPr="005F0E0C">
        <w:rPr>
          <w:vertAlign w:val="superscript"/>
          <w:lang w:val="it-IT"/>
        </w:rPr>
        <w:t>a</w:t>
      </w:r>
      <w:r w:rsidR="00083F3E">
        <w:rPr>
          <w:vertAlign w:val="superscript"/>
          <w:lang w:val="it-IT"/>
        </w:rPr>
        <w:t>,*</w:t>
      </w:r>
      <w:r w:rsidRPr="005F0E0C">
        <w:rPr>
          <w:lang w:val="it-IT"/>
        </w:rPr>
        <w:t>, Fabio Dattilo</w:t>
      </w:r>
      <w:r w:rsidRPr="005F0E0C">
        <w:rPr>
          <w:vertAlign w:val="superscript"/>
          <w:lang w:val="it-IT"/>
        </w:rPr>
        <w:t>b</w:t>
      </w:r>
      <w:r w:rsidRPr="005F0E0C">
        <w:rPr>
          <w:lang w:val="it-IT"/>
        </w:rPr>
        <w:t>, Giuseppe Maschio</w:t>
      </w:r>
      <w:r w:rsidR="00B92D50">
        <w:rPr>
          <w:vertAlign w:val="superscript"/>
          <w:lang w:val="it-IT"/>
        </w:rPr>
        <w:t>b</w:t>
      </w:r>
      <w:r w:rsidRPr="005F0E0C">
        <w:rPr>
          <w:lang w:val="it-IT"/>
        </w:rPr>
        <w:t>, Bruno Fabiano</w:t>
      </w:r>
      <w:r w:rsidR="00B92D50">
        <w:rPr>
          <w:vertAlign w:val="superscript"/>
          <w:lang w:val="it-IT"/>
        </w:rPr>
        <w:t>c</w:t>
      </w:r>
    </w:p>
    <w:p w14:paraId="6B2D21B3" w14:textId="469EFB66" w:rsidR="00B57E6F" w:rsidRPr="005F0E0C" w:rsidRDefault="00B57E6F" w:rsidP="00B57E6F">
      <w:pPr>
        <w:pStyle w:val="CETAddress"/>
        <w:rPr>
          <w:lang w:val="it-IT"/>
        </w:rPr>
      </w:pPr>
      <w:r w:rsidRPr="005F0E0C">
        <w:rPr>
          <w:vertAlign w:val="superscript"/>
          <w:lang w:val="it-IT"/>
        </w:rPr>
        <w:t>a</w:t>
      </w:r>
      <w:r w:rsidR="00134742" w:rsidRPr="005F0E0C">
        <w:rPr>
          <w:lang w:val="it-IT"/>
        </w:rPr>
        <w:t>Tecnologia Ricerca Rischi S.r.l., Via Saore 25, 24046, Osio Sotto (BG), Italy</w:t>
      </w:r>
    </w:p>
    <w:p w14:paraId="12752DBC" w14:textId="1DB6B4C3" w:rsidR="00134742" w:rsidRPr="00186FFA" w:rsidRDefault="00B57E6F" w:rsidP="00134742">
      <w:pPr>
        <w:pStyle w:val="CETAddress"/>
        <w:rPr>
          <w:lang w:val="it-IT"/>
        </w:rPr>
      </w:pPr>
      <w:r w:rsidRPr="00186FFA">
        <w:rPr>
          <w:vertAlign w:val="superscript"/>
          <w:lang w:val="it-IT"/>
        </w:rPr>
        <w:t>b</w:t>
      </w:r>
      <w:r w:rsidR="00134742" w:rsidRPr="00186FFA">
        <w:rPr>
          <w:lang w:val="it-IT"/>
        </w:rPr>
        <w:t xml:space="preserve"> Indu</w:t>
      </w:r>
      <w:r w:rsidR="00B92D50" w:rsidRPr="00186FFA">
        <w:rPr>
          <w:lang w:val="it-IT"/>
        </w:rPr>
        <w:t>s</w:t>
      </w:r>
      <w:r w:rsidR="00134742" w:rsidRPr="00186FFA">
        <w:rPr>
          <w:lang w:val="it-IT"/>
        </w:rPr>
        <w:t>trial Engineering Dep</w:t>
      </w:r>
      <w:r w:rsidR="005A2988" w:rsidRPr="00186FFA">
        <w:rPr>
          <w:lang w:val="it-IT"/>
        </w:rPr>
        <w:t>t.</w:t>
      </w:r>
      <w:r w:rsidR="00134742" w:rsidRPr="00186FFA">
        <w:rPr>
          <w:lang w:val="it-IT"/>
        </w:rPr>
        <w:t xml:space="preserve"> University of Padova, Via Marzolo 9, 35131 Padova, Italy</w:t>
      </w:r>
    </w:p>
    <w:p w14:paraId="0DDBF26C" w14:textId="64806B91" w:rsidR="00134742" w:rsidRPr="00B92D50" w:rsidRDefault="00B92D50" w:rsidP="00134742">
      <w:pPr>
        <w:pStyle w:val="CETAddress"/>
        <w:rPr>
          <w:lang w:val="it-IT"/>
        </w:rPr>
      </w:pPr>
      <w:r w:rsidRPr="00186FFA">
        <w:rPr>
          <w:vertAlign w:val="superscript"/>
          <w:lang w:val="it-IT"/>
        </w:rPr>
        <w:t>c</w:t>
      </w:r>
      <w:r w:rsidR="00134742" w:rsidRPr="00186FFA">
        <w:rPr>
          <w:lang w:val="it-IT"/>
        </w:rPr>
        <w:t xml:space="preserve"> DICCA – Civil, Chemical and Environmental Eng</w:t>
      </w:r>
      <w:r w:rsidRPr="00186FFA">
        <w:rPr>
          <w:lang w:val="it-IT"/>
        </w:rPr>
        <w:t>.</w:t>
      </w:r>
      <w:r w:rsidR="00134742" w:rsidRPr="00186FFA">
        <w:rPr>
          <w:lang w:val="it-IT"/>
        </w:rPr>
        <w:t xml:space="preserve"> </w:t>
      </w:r>
      <w:r w:rsidR="00134742" w:rsidRPr="00B92D50">
        <w:rPr>
          <w:lang w:val="it-IT"/>
        </w:rPr>
        <w:t>Dept. – Genova University, Via Opera Pia, 15 – 16145 Genova, Italy</w:t>
      </w:r>
    </w:p>
    <w:p w14:paraId="73F1267A" w14:textId="593E1C35" w:rsidR="00B57E6F" w:rsidRDefault="00134742" w:rsidP="00134742">
      <w:pPr>
        <w:pStyle w:val="CETemail"/>
      </w:pPr>
      <w:r w:rsidRPr="00C40408">
        <w:t>giovanni.romano@trr.it</w:t>
      </w:r>
    </w:p>
    <w:p w14:paraId="7E567AC6" w14:textId="53130EF6" w:rsidR="0059784D" w:rsidRDefault="0059784D" w:rsidP="0059784D">
      <w:pPr>
        <w:pStyle w:val="CETBodytext"/>
        <w:rPr>
          <w:lang w:val="en-GB"/>
        </w:rPr>
      </w:pPr>
      <w:r w:rsidRPr="00A42821">
        <w:rPr>
          <w:lang w:val="en-GB"/>
        </w:rPr>
        <w:t>Liquefied Natural Gas (LNG) is considered a prominent and strategic energy source to meet the growing demand within the current pathway towards EU decarbonization of the energy and transport sectors. This paper outlines the risk analysis approach developed within the preliminary and final design phase of a</w:t>
      </w:r>
      <w:r w:rsidR="00AB26CF">
        <w:rPr>
          <w:lang w:val="en-GB"/>
        </w:rPr>
        <w:t>n</w:t>
      </w:r>
      <w:r w:rsidRPr="00A42821">
        <w:rPr>
          <w:lang w:val="en-GB"/>
        </w:rPr>
        <w:t xml:space="preserve"> FSRU in an Italian harbor area, including technological solutions ad-hoc developed to prevent, minimize and manage environmental and accident risk. The process safety risks associated with side-by</w:t>
      </w:r>
      <w:r w:rsidR="00AB26CF">
        <w:rPr>
          <w:lang w:val="en-GB"/>
        </w:rPr>
        <w:t>-</w:t>
      </w:r>
      <w:r w:rsidRPr="00A42821">
        <w:rPr>
          <w:lang w:val="en-GB"/>
        </w:rPr>
        <w:t>side operations of LNG transfer from the carrier, the regassification process and the transfer to the national transfer infrastructure are thoroughly analyzed and faced by evaluating rele</w:t>
      </w:r>
      <w:r w:rsidR="008D0DC8">
        <w:rPr>
          <w:lang w:val="en-GB"/>
        </w:rPr>
        <w:t>vant</w:t>
      </w:r>
      <w:r w:rsidRPr="00A42821">
        <w:rPr>
          <w:lang w:val="en-GB"/>
        </w:rPr>
        <w:t xml:space="preserve"> scenarios and designing </w:t>
      </w:r>
      <w:r w:rsidR="006D0DE0">
        <w:rPr>
          <w:lang w:val="en-GB"/>
        </w:rPr>
        <w:t xml:space="preserve">the </w:t>
      </w:r>
      <w:r w:rsidRPr="00A42821">
        <w:rPr>
          <w:lang w:val="en-GB"/>
        </w:rPr>
        <w:t>connection infrastructures.</w:t>
      </w:r>
    </w:p>
    <w:p w14:paraId="34CE0549" w14:textId="77777777" w:rsidR="00031B83" w:rsidRPr="00B57B36" w:rsidRDefault="00031B83" w:rsidP="00031B83">
      <w:pPr>
        <w:pStyle w:val="CETHeading1"/>
        <w:numPr>
          <w:ilvl w:val="1"/>
          <w:numId w:val="1"/>
        </w:numPr>
        <w:tabs>
          <w:tab w:val="num" w:pos="360"/>
        </w:tabs>
        <w:rPr>
          <w:lang w:val="en-GB"/>
        </w:rPr>
      </w:pPr>
      <w:r w:rsidRPr="00B57B36">
        <w:rPr>
          <w:lang w:val="en-GB"/>
        </w:rPr>
        <w:t>Introduction</w:t>
      </w:r>
    </w:p>
    <w:p w14:paraId="5C1B523D" w14:textId="56CFE7E2" w:rsidR="0059784D" w:rsidRDefault="0059784D" w:rsidP="0059784D">
      <w:pPr>
        <w:pStyle w:val="CETBodytext"/>
        <w:rPr>
          <w:lang w:val="en-GB"/>
        </w:rPr>
      </w:pPr>
      <w:r w:rsidRPr="009F2556">
        <w:rPr>
          <w:lang w:val="en-GB"/>
        </w:rPr>
        <w:t xml:space="preserve">The use of LNG (Liquefied Natural Gas) in the national and international energy scenario has significantly increased due to critical issues related to the supply of natural gas from </w:t>
      </w:r>
      <w:r>
        <w:rPr>
          <w:lang w:val="en-GB"/>
        </w:rPr>
        <w:t>the Russian Federation</w:t>
      </w:r>
      <w:r w:rsidR="001A7435">
        <w:rPr>
          <w:lang w:val="en-GB"/>
        </w:rPr>
        <w:t>.</w:t>
      </w:r>
      <w:r w:rsidR="001A7435" w:rsidRPr="001A7435">
        <w:rPr>
          <w:lang w:val="en-GB"/>
        </w:rPr>
        <w:t xml:space="preserve"> </w:t>
      </w:r>
      <w:r w:rsidR="001A7435" w:rsidRPr="00A42821">
        <w:rPr>
          <w:lang w:val="en-GB"/>
        </w:rPr>
        <w:t>Notably, interest in LNG as a marine fuel increased with the IMO regulations coming into force at the start of 2020 aiming at reducing emissions, improving efficiency and triggering cost benefits.</w:t>
      </w:r>
      <w:r w:rsidR="001A7435">
        <w:rPr>
          <w:lang w:val="en-GB"/>
        </w:rPr>
        <w:t xml:space="preserve"> </w:t>
      </w:r>
      <w:r w:rsidR="001A7435" w:rsidRPr="00A42821">
        <w:rPr>
          <w:lang w:val="en-GB"/>
        </w:rPr>
        <w:t>FSRU (Floating Regassification Storage Unit) and LNGC (Liquified Natural Gas Carrier) refuelling units represent the technical solutions adopted by different countries with a short and mid</w:t>
      </w:r>
      <w:r w:rsidR="00AB26CF">
        <w:rPr>
          <w:lang w:val="en-GB"/>
        </w:rPr>
        <w:t>-</w:t>
      </w:r>
      <w:r w:rsidR="001A7435" w:rsidRPr="00A42821">
        <w:rPr>
          <w:lang w:val="en-GB"/>
        </w:rPr>
        <w:t xml:space="preserve">term time perspective. </w:t>
      </w:r>
      <w:r w:rsidRPr="00EC3D8C">
        <w:rPr>
          <w:lang w:val="en-GB"/>
        </w:rPr>
        <w:t xml:space="preserve">FSRU can be considered a ‘plug-and-play’ solution to importing LNG, with the flexibility of meeting demand as needed, also in hard-to-reach areas, before being possibly relocated elsewhere. </w:t>
      </w:r>
      <w:r w:rsidR="002153E7">
        <w:rPr>
          <w:lang w:val="en-GB"/>
        </w:rPr>
        <w:t xml:space="preserve"> </w:t>
      </w:r>
      <w:r w:rsidR="002153E7" w:rsidRPr="000F09B3">
        <w:rPr>
          <w:lang w:val="en-GB"/>
        </w:rPr>
        <w:t>Risk assessment methodology ha</w:t>
      </w:r>
      <w:r w:rsidR="00AB26CF">
        <w:rPr>
          <w:lang w:val="en-GB"/>
        </w:rPr>
        <w:t>s</w:t>
      </w:r>
      <w:r w:rsidR="002153E7" w:rsidRPr="000F09B3">
        <w:rPr>
          <w:lang w:val="en-GB"/>
        </w:rPr>
        <w:t xml:space="preserve"> been widely used in the LNG sector, the reader is addressed to the review paper by Animah and Shafiee (2020) covering RA methods </w:t>
      </w:r>
      <w:r w:rsidR="002F07F3" w:rsidRPr="000F09B3">
        <w:rPr>
          <w:lang w:val="en-GB"/>
        </w:rPr>
        <w:t xml:space="preserve">and data sources </w:t>
      </w:r>
      <w:r w:rsidR="002153E7" w:rsidRPr="000F09B3">
        <w:rPr>
          <w:lang w:val="en-GB"/>
        </w:rPr>
        <w:t xml:space="preserve">applied in fixed installations, i.e. plants, terminals and offshore units, and mobile ones, i.e., LNG carriers and fuelled ships. </w:t>
      </w:r>
      <w:r w:rsidR="000101D0" w:rsidRPr="000F09B3">
        <w:rPr>
          <w:lang w:val="en-GB"/>
        </w:rPr>
        <w:t xml:space="preserve">More recently, </w:t>
      </w:r>
      <w:r w:rsidR="002153E7" w:rsidRPr="000F09B3">
        <w:rPr>
          <w:lang w:val="en-GB"/>
        </w:rPr>
        <w:t>Vairo et al. (20</w:t>
      </w:r>
      <w:r w:rsidR="00F11EA1" w:rsidRPr="000F09B3">
        <w:rPr>
          <w:lang w:val="en-GB"/>
        </w:rPr>
        <w:t>21</w:t>
      </w:r>
      <w:r w:rsidR="002153E7" w:rsidRPr="000F09B3">
        <w:rPr>
          <w:lang w:val="en-GB"/>
        </w:rPr>
        <w:t xml:space="preserve">) </w:t>
      </w:r>
      <w:r w:rsidR="002F07F3" w:rsidRPr="000F09B3">
        <w:rPr>
          <w:lang w:val="en-GB"/>
        </w:rPr>
        <w:t>proposed the application of</w:t>
      </w:r>
      <w:r w:rsidR="002153E7" w:rsidRPr="000F09B3">
        <w:rPr>
          <w:lang w:val="en-GB"/>
        </w:rPr>
        <w:t xml:space="preserve"> resilience in assessing the safety of ship LNG bunkering.</w:t>
      </w:r>
      <w:r w:rsidR="00EC3EC4" w:rsidRPr="000F09B3">
        <w:rPr>
          <w:lang w:val="en-GB"/>
        </w:rPr>
        <w:t xml:space="preserve"> </w:t>
      </w:r>
      <w:r w:rsidRPr="000F09B3">
        <w:rPr>
          <w:lang w:val="en-GB"/>
        </w:rPr>
        <w:t xml:space="preserve">The FSRU terminal </w:t>
      </w:r>
      <w:r w:rsidRPr="009F2556">
        <w:rPr>
          <w:lang w:val="en-GB"/>
        </w:rPr>
        <w:t>in Piombino (LI) is managed by S</w:t>
      </w:r>
      <w:r>
        <w:rPr>
          <w:lang w:val="en-GB"/>
        </w:rPr>
        <w:t>NAM</w:t>
      </w:r>
      <w:r w:rsidRPr="009F2556">
        <w:rPr>
          <w:lang w:val="en-GB"/>
        </w:rPr>
        <w:t xml:space="preserve"> FSRU Italia (</w:t>
      </w:r>
      <w:r>
        <w:rPr>
          <w:lang w:val="en-GB"/>
        </w:rPr>
        <w:t xml:space="preserve">part of SNAM </w:t>
      </w:r>
      <w:r w:rsidRPr="009F2556">
        <w:rPr>
          <w:lang w:val="en-GB"/>
        </w:rPr>
        <w:t>group)</w:t>
      </w:r>
      <w:r w:rsidR="008D0DC8">
        <w:rPr>
          <w:lang w:val="en-GB"/>
        </w:rPr>
        <w:t xml:space="preserve"> and is characterized</w:t>
      </w:r>
      <w:r w:rsidR="006D0DE0">
        <w:rPr>
          <w:lang w:val="en-GB"/>
        </w:rPr>
        <w:t xml:space="preserve"> </w:t>
      </w:r>
      <w:r w:rsidR="008D0DC8">
        <w:rPr>
          <w:lang w:val="en-GB"/>
        </w:rPr>
        <w:t>by</w:t>
      </w:r>
      <w:r w:rsidR="006D0DE0" w:rsidRPr="009F2556">
        <w:t xml:space="preserve"> an annual regasification capacity of </w:t>
      </w:r>
      <w:r w:rsidR="006D0DE0">
        <w:t>nearly</w:t>
      </w:r>
      <w:r w:rsidR="006D0DE0" w:rsidRPr="009F2556">
        <w:t xml:space="preserve"> 5 billion </w:t>
      </w:r>
      <w:r w:rsidR="006D0DE0">
        <w:t xml:space="preserve">NG </w:t>
      </w:r>
      <w:r w:rsidR="006D0DE0" w:rsidRPr="009F2556">
        <w:t xml:space="preserve">standard cubic meters </w:t>
      </w:r>
      <w:r w:rsidR="006D0DE0">
        <w:t>corresponding</w:t>
      </w:r>
      <w:r w:rsidR="006D0DE0" w:rsidRPr="009F2556">
        <w:t xml:space="preserve"> to</w:t>
      </w:r>
      <w:r w:rsidR="006D0DE0">
        <w:t xml:space="preserve"> about</w:t>
      </w:r>
      <w:r w:rsidR="006D0DE0" w:rsidRPr="009F2556">
        <w:t xml:space="preserve"> one-sixth of the</w:t>
      </w:r>
      <w:r w:rsidR="006D0DE0">
        <w:t xml:space="preserve"> NG</w:t>
      </w:r>
      <w:r w:rsidR="006D0DE0" w:rsidRPr="009F2556">
        <w:t xml:space="preserve"> imported from Russia in </w:t>
      </w:r>
      <w:r w:rsidR="006D0DE0">
        <w:t>the last</w:t>
      </w:r>
      <w:r w:rsidR="006D0DE0" w:rsidRPr="009F2556">
        <w:t xml:space="preserve"> years. The FSRU has a nominal storage of 170 thousand cubic meters of Liquefied Natural Gas (LNG) and </w:t>
      </w:r>
      <w:r w:rsidR="006D0DE0">
        <w:t xml:space="preserve">it </w:t>
      </w:r>
      <w:r w:rsidR="006D0DE0" w:rsidRPr="009F2556">
        <w:t>is able to receive</w:t>
      </w:r>
      <w:r w:rsidR="006D0DE0">
        <w:t xml:space="preserve"> and </w:t>
      </w:r>
      <w:r w:rsidR="006D0DE0" w:rsidRPr="009F2556">
        <w:t>re</w:t>
      </w:r>
      <w:r w:rsidR="008D0DC8">
        <w:t>-</w:t>
      </w:r>
      <w:r w:rsidR="008D0DC8" w:rsidRPr="009F2556">
        <w:t>ga</w:t>
      </w:r>
      <w:r w:rsidR="008D0DC8">
        <w:t>s</w:t>
      </w:r>
      <w:r w:rsidR="008D0DC8" w:rsidRPr="009F2556">
        <w:t>ify</w:t>
      </w:r>
      <w:r w:rsidR="006D0DE0" w:rsidRPr="009F2556">
        <w:t xml:space="preserve"> LNG and</w:t>
      </w:r>
      <w:r w:rsidR="006D0DE0">
        <w:t xml:space="preserve"> </w:t>
      </w:r>
      <w:r w:rsidR="006D0DE0" w:rsidRPr="009F2556">
        <w:t xml:space="preserve">transfer it to a new pipeline that conveys it to the </w:t>
      </w:r>
      <w:r w:rsidR="006D0DE0">
        <w:t xml:space="preserve">junction </w:t>
      </w:r>
      <w:r w:rsidR="006D0DE0" w:rsidRPr="009F2556">
        <w:t xml:space="preserve">point </w:t>
      </w:r>
      <w:r w:rsidR="006D0DE0">
        <w:t>with</w:t>
      </w:r>
      <w:r w:rsidR="006D0DE0" w:rsidRPr="009F2556">
        <w:t xml:space="preserve"> </w:t>
      </w:r>
      <w:r w:rsidR="006D0DE0">
        <w:t xml:space="preserve">the Italian </w:t>
      </w:r>
      <w:r w:rsidR="006D0DE0" w:rsidRPr="009F2556">
        <w:t xml:space="preserve">Gas Pipeline Network, located about 9 km from the mooring point. </w:t>
      </w:r>
      <w:r>
        <w:rPr>
          <w:lang w:val="en-GB"/>
        </w:rPr>
        <w:t>The terminal</w:t>
      </w:r>
      <w:r w:rsidRPr="009F2556">
        <w:rPr>
          <w:lang w:val="en-GB"/>
        </w:rPr>
        <w:t xml:space="preserve"> includes the following infrastructures: </w:t>
      </w:r>
    </w:p>
    <w:p w14:paraId="5E3D504C" w14:textId="77777777" w:rsidR="0077277E" w:rsidRDefault="009F2556" w:rsidP="0077277E">
      <w:pPr>
        <w:pStyle w:val="CETBodytext"/>
        <w:numPr>
          <w:ilvl w:val="0"/>
          <w:numId w:val="33"/>
        </w:numPr>
        <w:ind w:left="284" w:hanging="284"/>
        <w:rPr>
          <w:lang w:val="en-GB"/>
        </w:rPr>
      </w:pPr>
      <w:r w:rsidRPr="009F2556">
        <w:rPr>
          <w:lang w:val="en-GB"/>
        </w:rPr>
        <w:t>the FSRU ship "Italis LNG" (previously called Golar Tundra) permanently moored through snuffing hooks</w:t>
      </w:r>
      <w:r w:rsidR="0077277E">
        <w:rPr>
          <w:lang w:val="en-GB"/>
        </w:rPr>
        <w:t>;</w:t>
      </w:r>
    </w:p>
    <w:p w14:paraId="731E3E61" w14:textId="5B94A931" w:rsidR="00A42821" w:rsidRDefault="0077277E" w:rsidP="0077277E">
      <w:pPr>
        <w:pStyle w:val="CETBodytext"/>
        <w:numPr>
          <w:ilvl w:val="0"/>
          <w:numId w:val="33"/>
        </w:numPr>
        <w:ind w:left="284" w:hanging="284"/>
        <w:rPr>
          <w:lang w:val="en-GB"/>
        </w:rPr>
      </w:pPr>
      <w:r>
        <w:rPr>
          <w:lang w:val="en-GB"/>
        </w:rPr>
        <w:t>t</w:t>
      </w:r>
      <w:r w:rsidR="009F2556" w:rsidRPr="009F2556">
        <w:rPr>
          <w:lang w:val="en-GB"/>
        </w:rPr>
        <w:t>he</w:t>
      </w:r>
      <w:r>
        <w:rPr>
          <w:lang w:val="en-GB"/>
        </w:rPr>
        <w:t xml:space="preserve"> following</w:t>
      </w:r>
      <w:r w:rsidR="009F2556" w:rsidRPr="009F2556">
        <w:rPr>
          <w:lang w:val="en-GB"/>
        </w:rPr>
        <w:t xml:space="preserve"> equipment installed at the East quay of the Port of Piombino (LI):</w:t>
      </w:r>
    </w:p>
    <w:p w14:paraId="0CE1DAC6" w14:textId="04381ED3" w:rsidR="009F2556" w:rsidRDefault="009F2556" w:rsidP="0077277E">
      <w:pPr>
        <w:pStyle w:val="CETnumberingbullets"/>
        <w:ind w:left="567" w:hanging="283"/>
        <w:jc w:val="both"/>
      </w:pPr>
      <w:r>
        <w:t xml:space="preserve">the </w:t>
      </w:r>
      <w:r w:rsidR="00FF54A9">
        <w:t>discharge</w:t>
      </w:r>
      <w:r>
        <w:t xml:space="preserve"> system of the vaporized gas from the FSRU</w:t>
      </w:r>
      <w:r w:rsidR="00FF54A9">
        <w:t>,</w:t>
      </w:r>
      <w:r>
        <w:t xml:space="preserve"> consisting of high-pressure flexible hoses (75 barg);</w:t>
      </w:r>
    </w:p>
    <w:p w14:paraId="4F92A69C" w14:textId="05189C62" w:rsidR="009F2556" w:rsidRDefault="009F2556" w:rsidP="0077277E">
      <w:pPr>
        <w:pStyle w:val="CETnumberingbullets"/>
        <w:ind w:left="567" w:hanging="283"/>
        <w:jc w:val="both"/>
      </w:pPr>
      <w:r>
        <w:t xml:space="preserve">the power supply and control systems of the </w:t>
      </w:r>
      <w:r w:rsidR="000A4A65">
        <w:t>t</w:t>
      </w:r>
      <w:r>
        <w:t>erminal;</w:t>
      </w:r>
    </w:p>
    <w:p w14:paraId="480E8FDB" w14:textId="77777777" w:rsidR="009F2556" w:rsidRDefault="009F2556" w:rsidP="0077277E">
      <w:pPr>
        <w:pStyle w:val="CETnumberingbullets"/>
        <w:ind w:left="567" w:hanging="283"/>
        <w:jc w:val="both"/>
      </w:pPr>
      <w:r>
        <w:t>fire-fighting systems;</w:t>
      </w:r>
    </w:p>
    <w:p w14:paraId="390BE2BA" w14:textId="7D6A9AB9" w:rsidR="001A7435" w:rsidRDefault="00FF54A9" w:rsidP="001A7435">
      <w:pPr>
        <w:pStyle w:val="CETnumberingbullets"/>
        <w:ind w:left="567" w:hanging="283"/>
      </w:pPr>
      <w:r>
        <w:t>pipelines between the gas discharge system from the FSRU and the Interception Point Line (PIL 1).</w:t>
      </w:r>
      <w:r w:rsidR="002E4FF8">
        <w:t xml:space="preserve"> </w:t>
      </w:r>
      <w:r>
        <w:t xml:space="preserve">The dielectric joint, immediately upstream of PIL 1, identifies the point of entry into the </w:t>
      </w:r>
      <w:r w:rsidR="008D0DC8">
        <w:t>on</w:t>
      </w:r>
      <w:r w:rsidR="002E4FF8">
        <w:t>-</w:t>
      </w:r>
      <w:r w:rsidR="008D0DC8">
        <w:t>shore NG tr</w:t>
      </w:r>
      <w:r>
        <w:t>ansmission network.</w:t>
      </w:r>
    </w:p>
    <w:p w14:paraId="0BE3A508" w14:textId="047EE51E" w:rsidR="00A42821" w:rsidRPr="002153E7" w:rsidRDefault="008C7959" w:rsidP="00031B83">
      <w:pPr>
        <w:pStyle w:val="CETnumberingbullets"/>
        <w:numPr>
          <w:ilvl w:val="0"/>
          <w:numId w:val="0"/>
        </w:numPr>
        <w:jc w:val="both"/>
        <w:rPr>
          <w:color w:val="FF0000"/>
        </w:rPr>
      </w:pPr>
      <w:r w:rsidRPr="009F2556">
        <w:lastRenderedPageBreak/>
        <w:t>The FSRU is currently re</w:t>
      </w:r>
      <w:r>
        <w:t>-</w:t>
      </w:r>
      <w:r w:rsidRPr="009F2556">
        <w:t xml:space="preserve">fuelled </w:t>
      </w:r>
      <w:r>
        <w:t>regularly</w:t>
      </w:r>
      <w:r w:rsidRPr="009F2556">
        <w:t xml:space="preserve"> (5/7 days) by LNG</w:t>
      </w:r>
      <w:r>
        <w:t>Cs</w:t>
      </w:r>
      <w:r w:rsidRPr="009F2556">
        <w:t xml:space="preserve"> of </w:t>
      </w:r>
      <w:r>
        <w:t>different</w:t>
      </w:r>
      <w:r w:rsidRPr="009F2556">
        <w:t xml:space="preserve"> sizes</w:t>
      </w:r>
      <w:r>
        <w:t>, but</w:t>
      </w:r>
      <w:r w:rsidRPr="009F2556">
        <w:t xml:space="preserve"> </w:t>
      </w:r>
      <w:r>
        <w:t xml:space="preserve">it is </w:t>
      </w:r>
      <w:r w:rsidRPr="009F2556">
        <w:t>also able to</w:t>
      </w:r>
      <w:r>
        <w:t xml:space="preserve"> </w:t>
      </w:r>
      <w:r w:rsidRPr="009F2556">
        <w:t>refuel small/medium-sized LNG</w:t>
      </w:r>
      <w:r>
        <w:t xml:space="preserve">Cs. </w:t>
      </w:r>
      <w:r w:rsidRPr="000F09B3">
        <w:t>The main objective of th</w:t>
      </w:r>
      <w:r w:rsidR="000F09B3" w:rsidRPr="000F09B3">
        <w:t>is</w:t>
      </w:r>
      <w:r w:rsidRPr="000F09B3">
        <w:t xml:space="preserve"> paper is to highlight the safety aspects </w:t>
      </w:r>
      <w:r w:rsidR="00530D44">
        <w:t>of</w:t>
      </w:r>
      <w:r w:rsidRPr="000F09B3">
        <w:t xml:space="preserve"> LNG regassification and transport in harbour areas, providing </w:t>
      </w:r>
      <w:r w:rsidRPr="009F2556">
        <w:t xml:space="preserve">a summary of the most significant steps of the </w:t>
      </w:r>
      <w:r w:rsidR="008D0DC8">
        <w:t>m</w:t>
      </w:r>
      <w:r w:rsidRPr="009F2556">
        <w:t xml:space="preserve">ethodology adopted </w:t>
      </w:r>
      <w:r w:rsidR="000F09B3">
        <w:t xml:space="preserve">alongside </w:t>
      </w:r>
      <w:r w:rsidRPr="009F2556">
        <w:t xml:space="preserve">the </w:t>
      </w:r>
      <w:r w:rsidR="000F09B3">
        <w:t>RA of the t</w:t>
      </w:r>
      <w:r>
        <w:t>erminal and the design of the quay infrastructures.</w:t>
      </w:r>
      <w:r w:rsidR="002153E7" w:rsidRPr="002153E7">
        <w:rPr>
          <w:color w:val="FF0000"/>
        </w:rPr>
        <w:t xml:space="preserve"> </w:t>
      </w:r>
    </w:p>
    <w:p w14:paraId="259990F7" w14:textId="77777777" w:rsidR="007C0106" w:rsidRPr="00031B83" w:rsidRDefault="007C0106" w:rsidP="007C0106">
      <w:pPr>
        <w:pStyle w:val="CETHeading1"/>
        <w:numPr>
          <w:ilvl w:val="1"/>
          <w:numId w:val="1"/>
        </w:numPr>
        <w:tabs>
          <w:tab w:val="num" w:pos="360"/>
        </w:tabs>
        <w:rPr>
          <w:lang w:val="en-GB"/>
        </w:rPr>
      </w:pPr>
      <w:r w:rsidRPr="00031B83">
        <w:rPr>
          <w:lang w:val="en-GB"/>
        </w:rPr>
        <w:t>MATERIALS AND METHODS</w:t>
      </w:r>
    </w:p>
    <w:p w14:paraId="0F5B26E7" w14:textId="3B25ECCF" w:rsidR="007C0106" w:rsidRDefault="007C0106" w:rsidP="008E4570">
      <w:pPr>
        <w:pStyle w:val="CETBodytext"/>
        <w:rPr>
          <w:lang w:val="en-GB"/>
        </w:rPr>
      </w:pPr>
      <w:r w:rsidRPr="009F2556">
        <w:t>In this paragraph</w:t>
      </w:r>
      <w:r>
        <w:t>,</w:t>
      </w:r>
      <w:r w:rsidRPr="009F2556">
        <w:t xml:space="preserve"> we intend to provide a summary of the most significant steps of the methodology adopted in the risk analysis</w:t>
      </w:r>
      <w:r>
        <w:t xml:space="preserve"> associated with </w:t>
      </w:r>
      <w:r w:rsidRPr="009F2556">
        <w:t xml:space="preserve">the </w:t>
      </w:r>
      <w:r>
        <w:t xml:space="preserve">Terminal. </w:t>
      </w:r>
      <w:r w:rsidRPr="008D0DC8">
        <w:rPr>
          <w:lang w:val="en-GB"/>
        </w:rPr>
        <w:t xml:space="preserve">It is worth mentioning that the present methodology is derived from sound and consolidated procedures available in the literature devoted to process safety, as well as prescribed by the current regulation for the safety of onshore LNG storage terminals </w:t>
      </w:r>
      <w:r w:rsidR="003D361C">
        <w:rPr>
          <w:lang w:val="en-GB"/>
        </w:rPr>
        <w:t>(</w:t>
      </w:r>
      <w:r w:rsidRPr="008D0DC8">
        <w:rPr>
          <w:lang w:val="en-GB"/>
        </w:rPr>
        <w:t>E</w:t>
      </w:r>
      <w:r>
        <w:rPr>
          <w:lang w:val="en-GB"/>
        </w:rPr>
        <w:t xml:space="preserve">C, </w:t>
      </w:r>
      <w:r w:rsidRPr="008D0DC8">
        <w:rPr>
          <w:lang w:val="en-GB"/>
        </w:rPr>
        <w:t>2012)</w:t>
      </w:r>
      <w:r w:rsidR="003D361C">
        <w:rPr>
          <w:lang w:val="en-GB"/>
        </w:rPr>
        <w:t xml:space="preserve"> </w:t>
      </w:r>
      <w:r w:rsidR="003D361C" w:rsidRPr="003D361C">
        <w:rPr>
          <w:lang w:val="en-GB"/>
        </w:rPr>
        <w:t>implement</w:t>
      </w:r>
      <w:r w:rsidR="003D361C">
        <w:rPr>
          <w:lang w:val="en-GB"/>
        </w:rPr>
        <w:t xml:space="preserve">ed </w:t>
      </w:r>
      <w:r w:rsidR="003D361C" w:rsidRPr="003D361C">
        <w:rPr>
          <w:lang w:val="en-GB"/>
        </w:rPr>
        <w:t xml:space="preserve">in Italy </w:t>
      </w:r>
      <w:r w:rsidR="003D361C">
        <w:rPr>
          <w:lang w:val="en-GB"/>
        </w:rPr>
        <w:t xml:space="preserve">by the Legislative Decree 105 </w:t>
      </w:r>
      <w:r w:rsidR="003D361C" w:rsidRPr="003D361C">
        <w:rPr>
          <w:lang w:val="en-GB"/>
        </w:rPr>
        <w:t>(Laurent et al., 2021)</w:t>
      </w:r>
      <w:r w:rsidR="006B5CA8">
        <w:rPr>
          <w:lang w:val="en-GB"/>
        </w:rPr>
        <w:t>.</w:t>
      </w:r>
      <w:r w:rsidR="003D361C" w:rsidRPr="003D361C">
        <w:rPr>
          <w:lang w:val="en-GB"/>
        </w:rPr>
        <w:t xml:space="preserve"> </w:t>
      </w:r>
      <w:r w:rsidR="008E4570">
        <w:rPr>
          <w:lang w:val="en-GB"/>
        </w:rPr>
        <w:t>A</w:t>
      </w:r>
      <w:r w:rsidR="008E4570" w:rsidRPr="008E4570">
        <w:rPr>
          <w:lang w:val="en-GB"/>
        </w:rPr>
        <w:t xml:space="preserve"> set of reference loss of containment events is identified </w:t>
      </w:r>
      <w:r w:rsidR="008E4570">
        <w:rPr>
          <w:lang w:val="en-GB"/>
        </w:rPr>
        <w:t xml:space="preserve">following consolidated QRA guidelines </w:t>
      </w:r>
      <w:r w:rsidR="008E4570" w:rsidRPr="008E4570">
        <w:rPr>
          <w:lang w:val="en-GB"/>
        </w:rPr>
        <w:t>(Uijt de Haag and Ale, 2005)</w:t>
      </w:r>
      <w:r w:rsidR="008E4570">
        <w:rPr>
          <w:lang w:val="en-GB"/>
        </w:rPr>
        <w:t xml:space="preserve"> and</w:t>
      </w:r>
      <w:r w:rsidR="00E33768">
        <w:rPr>
          <w:lang w:val="en-GB"/>
        </w:rPr>
        <w:t xml:space="preserve"> </w:t>
      </w:r>
      <w:r w:rsidR="008E4570" w:rsidRPr="008E4570">
        <w:rPr>
          <w:lang w:val="en-GB"/>
        </w:rPr>
        <w:t>the frequency and consequence</w:t>
      </w:r>
      <w:r w:rsidR="008E4570">
        <w:rPr>
          <w:lang w:val="en-GB"/>
        </w:rPr>
        <w:t>s</w:t>
      </w:r>
      <w:r w:rsidR="008E4570" w:rsidRPr="008E4570">
        <w:rPr>
          <w:lang w:val="en-GB"/>
        </w:rPr>
        <w:t xml:space="preserve"> of each </w:t>
      </w:r>
      <w:r w:rsidR="008E4570">
        <w:rPr>
          <w:lang w:val="en-GB"/>
        </w:rPr>
        <w:t xml:space="preserve">conceived </w:t>
      </w:r>
      <w:r w:rsidR="008E4570" w:rsidRPr="008E4570">
        <w:rPr>
          <w:lang w:val="en-GB"/>
        </w:rPr>
        <w:t>scenario are assessed</w:t>
      </w:r>
      <w:r w:rsidRPr="008D0DC8">
        <w:rPr>
          <w:lang w:val="en-GB"/>
        </w:rPr>
        <w:t xml:space="preserve"> </w:t>
      </w:r>
      <w:r w:rsidR="00E33768">
        <w:rPr>
          <w:lang w:val="en-GB"/>
        </w:rPr>
        <w:t xml:space="preserve">relying on widely applied </w:t>
      </w:r>
      <w:r w:rsidR="00E33768" w:rsidRPr="008E4570">
        <w:rPr>
          <w:lang w:val="en-GB"/>
        </w:rPr>
        <w:t>datasets</w:t>
      </w:r>
      <w:r w:rsidR="001875E5">
        <w:rPr>
          <w:lang w:val="en-GB"/>
        </w:rPr>
        <w:t>.</w:t>
      </w:r>
    </w:p>
    <w:p w14:paraId="36F03739" w14:textId="77777777" w:rsidR="007C0106" w:rsidRPr="00031B83" w:rsidRDefault="007C0106" w:rsidP="007C0106">
      <w:pPr>
        <w:pStyle w:val="CETheadingx"/>
        <w:spacing w:before="120"/>
        <w:jc w:val="left"/>
      </w:pPr>
      <w:r>
        <w:t>2.1 F</w:t>
      </w:r>
      <w:r w:rsidRPr="00031B83">
        <w:t>SRU Golar Tundra risk analysis and interference analysis with the adjacent quay</w:t>
      </w:r>
    </w:p>
    <w:p w14:paraId="38834E3D" w14:textId="42FD2BAD" w:rsidR="007C0106" w:rsidRDefault="007C0106" w:rsidP="007C0106">
      <w:pPr>
        <w:pStyle w:val="CETBodytext"/>
      </w:pPr>
      <w:r>
        <w:t xml:space="preserve">For the development of the risk analysis, 5 macro-areas were identified, namely: </w:t>
      </w:r>
      <w:r w:rsidR="008D46E5" w:rsidRPr="008D46E5">
        <w:rPr>
          <w:b/>
          <w:bCs/>
        </w:rPr>
        <w:t>I</w:t>
      </w:r>
      <w:r w:rsidR="008D46E5">
        <w:t xml:space="preserve">- </w:t>
      </w:r>
      <w:r>
        <w:t xml:space="preserve">FSRU Filling Phase; </w:t>
      </w:r>
      <w:r w:rsidR="008D46E5" w:rsidRPr="008D46E5">
        <w:rPr>
          <w:b/>
          <w:bCs/>
        </w:rPr>
        <w:t>II</w:t>
      </w:r>
      <w:r w:rsidR="008D46E5">
        <w:t xml:space="preserve">- </w:t>
      </w:r>
      <w:r>
        <w:t xml:space="preserve">FSRU in regasification; </w:t>
      </w:r>
      <w:r w:rsidR="008D46E5" w:rsidRPr="008D46E5">
        <w:rPr>
          <w:b/>
          <w:bCs/>
        </w:rPr>
        <w:t>III</w:t>
      </w:r>
      <w:r w:rsidR="008D46E5">
        <w:t xml:space="preserve">- </w:t>
      </w:r>
      <w:r>
        <w:t xml:space="preserve">Sending NG to </w:t>
      </w:r>
      <w:r w:rsidR="006B5CA8">
        <w:t xml:space="preserve">the </w:t>
      </w:r>
      <w:r>
        <w:t xml:space="preserve">pipeline; </w:t>
      </w:r>
      <w:r w:rsidR="008D46E5" w:rsidRPr="008D46E5">
        <w:rPr>
          <w:b/>
          <w:bCs/>
        </w:rPr>
        <w:t>IV</w:t>
      </w:r>
      <w:r w:rsidR="008D46E5">
        <w:t xml:space="preserve">- </w:t>
      </w:r>
      <w:r>
        <w:t xml:space="preserve">LNG shipment to LNG carrier; </w:t>
      </w:r>
      <w:r w:rsidR="008D46E5" w:rsidRPr="008D46E5">
        <w:rPr>
          <w:b/>
          <w:bCs/>
        </w:rPr>
        <w:t>V</w:t>
      </w:r>
      <w:r w:rsidR="008D46E5">
        <w:t xml:space="preserve"> - </w:t>
      </w:r>
      <w:r>
        <w:t xml:space="preserve">Liquid fuel transfer. For all the conceived logical areas, operational analysis studies (HazOp) and statistical-historical analyses, based on failure rates and LOC available in </w:t>
      </w:r>
      <w:r w:rsidR="006B5CA8">
        <w:t xml:space="preserve">the scientific international </w:t>
      </w:r>
      <w:r>
        <w:t xml:space="preserve">literature, (Uijt de Haag and Ale, 2005; </w:t>
      </w:r>
      <w:r w:rsidR="00674378">
        <w:t>S</w:t>
      </w:r>
      <w:r w:rsidR="00541A7F">
        <w:t>INTEF</w:t>
      </w:r>
      <w:r w:rsidR="001425B6">
        <w:t xml:space="preserve"> &amp; NTNU</w:t>
      </w:r>
      <w:r w:rsidR="00674378">
        <w:t xml:space="preserve">, </w:t>
      </w:r>
      <w:r>
        <w:t>2015</w:t>
      </w:r>
      <w:r w:rsidR="001425B6">
        <w:t>;</w:t>
      </w:r>
      <w:r>
        <w:t xml:space="preserve"> NFPA, 2019) were thoroughly carried out</w:t>
      </w:r>
      <w:r w:rsidR="00C16A09">
        <w:t xml:space="preserve"> under conservative hypothesis assumptions</w:t>
      </w:r>
      <w:r>
        <w:t>.</w:t>
      </w:r>
    </w:p>
    <w:p w14:paraId="205D4D68" w14:textId="77777777" w:rsidR="007C0106" w:rsidRPr="00A368F3" w:rsidRDefault="007C0106" w:rsidP="007C0106">
      <w:pPr>
        <w:pStyle w:val="CETheadingx"/>
        <w:spacing w:before="120"/>
        <w:jc w:val="left"/>
      </w:pPr>
      <w:r w:rsidRPr="00A368F3">
        <w:t>2.2 Collision risk analysis of LNG carriers and other ships in the port of Piombino</w:t>
      </w:r>
    </w:p>
    <w:p w14:paraId="366F610E" w14:textId="2591F184" w:rsidR="007C0106" w:rsidRPr="00A368F3" w:rsidRDefault="007C0106" w:rsidP="007C0106">
      <w:pPr>
        <w:pStyle w:val="CETBodytext"/>
        <w:rPr>
          <w:color w:val="000000" w:themeColor="text1"/>
        </w:rPr>
      </w:pPr>
      <w:r>
        <w:t xml:space="preserve">A critical phase of the work is related to the risks of collision between ships in transit within Piombino Port (LI), which is </w:t>
      </w:r>
      <w:r w:rsidRPr="00A368F3">
        <w:rPr>
          <w:color w:val="000000" w:themeColor="text1"/>
        </w:rPr>
        <w:t xml:space="preserve">characterized by high flows of incoming and outgoing commercial traffic (more than 90% of these flows concern ferries departing </w:t>
      </w:r>
      <w:r>
        <w:rPr>
          <w:color w:val="000000" w:themeColor="text1"/>
        </w:rPr>
        <w:t xml:space="preserve">from </w:t>
      </w:r>
      <w:r w:rsidRPr="00A368F3">
        <w:rPr>
          <w:color w:val="000000" w:themeColor="text1"/>
        </w:rPr>
        <w:t xml:space="preserve">and arriving </w:t>
      </w:r>
      <w:r>
        <w:rPr>
          <w:color w:val="000000" w:themeColor="text1"/>
        </w:rPr>
        <w:t>to Elba</w:t>
      </w:r>
      <w:r w:rsidRPr="00A368F3">
        <w:rPr>
          <w:color w:val="000000" w:themeColor="text1"/>
        </w:rPr>
        <w:t xml:space="preserve"> Isl</w:t>
      </w:r>
      <w:r>
        <w:rPr>
          <w:color w:val="000000" w:themeColor="text1"/>
        </w:rPr>
        <w:t xml:space="preserve">e </w:t>
      </w:r>
      <w:r w:rsidRPr="00A368F3">
        <w:rPr>
          <w:color w:val="000000" w:themeColor="text1"/>
        </w:rPr>
        <w:t xml:space="preserve">in the spring/summer period). The outcome of this step is the sound identification of accidental scenarios during </w:t>
      </w:r>
      <w:r w:rsidR="00936169">
        <w:rPr>
          <w:color w:val="000000" w:themeColor="text1"/>
        </w:rPr>
        <w:t xml:space="preserve">the </w:t>
      </w:r>
      <w:r w:rsidRPr="00A368F3">
        <w:rPr>
          <w:color w:val="000000" w:themeColor="text1"/>
        </w:rPr>
        <w:t xml:space="preserve">reference vessel </w:t>
      </w:r>
      <w:r w:rsidR="00163117">
        <w:rPr>
          <w:color w:val="000000" w:themeColor="text1"/>
        </w:rPr>
        <w:t xml:space="preserve">motion </w:t>
      </w:r>
      <w:r w:rsidRPr="00A368F3">
        <w:rPr>
          <w:color w:val="000000" w:themeColor="text1"/>
        </w:rPr>
        <w:t xml:space="preserve">(i.e., collision and </w:t>
      </w:r>
      <w:r w:rsidR="00936169" w:rsidRPr="00A368F3">
        <w:rPr>
          <w:color w:val="000000" w:themeColor="text1"/>
        </w:rPr>
        <w:t>man</w:t>
      </w:r>
      <w:r w:rsidR="00936169">
        <w:rPr>
          <w:color w:val="000000" w:themeColor="text1"/>
        </w:rPr>
        <w:t>euver</w:t>
      </w:r>
      <w:r w:rsidRPr="00A368F3">
        <w:rPr>
          <w:color w:val="000000" w:themeColor="text1"/>
        </w:rPr>
        <w:t xml:space="preserve"> upsets).</w:t>
      </w:r>
    </w:p>
    <w:p w14:paraId="69EB1A7E" w14:textId="77777777" w:rsidR="007C0106" w:rsidRPr="00A368F3" w:rsidRDefault="007C0106" w:rsidP="007C0106">
      <w:pPr>
        <w:pStyle w:val="CETheadingx"/>
        <w:spacing w:before="120"/>
        <w:jc w:val="left"/>
      </w:pPr>
      <w:r w:rsidRPr="00A368F3">
        <w:t>2.3 Finite element structural numerical analysis for the verification of impact between LNG and other ships</w:t>
      </w:r>
    </w:p>
    <w:p w14:paraId="7B644DC1" w14:textId="3444C0B0" w:rsidR="007C0106" w:rsidRDefault="007C0106" w:rsidP="007C0106">
      <w:pPr>
        <w:pStyle w:val="CETBodytext"/>
      </w:pPr>
      <w:r>
        <w:t>The structural crashworthiness of the LNG-</w:t>
      </w:r>
      <w:r w:rsidR="0084038C">
        <w:t>fueled</w:t>
      </w:r>
      <w:r>
        <w:t xml:space="preserve"> containership structures under specified ship-to-ship collision scenarios is analyzed using LS-DYNA nonlinear finite element method code (LS-DYNA, 2019a; 2019b), the next phase of the study consisted of a collision simulation with a finite element approach, taking into account the typical structural set-up of LNGCs internal tanks</w:t>
      </w:r>
      <w:r w:rsidR="00936169">
        <w:t>,</w:t>
      </w:r>
      <w:r>
        <w:t xml:space="preserve"> as well as the characteristic materials, masses and profiles of the vessel. Different impact scenarios have been identified.</w:t>
      </w:r>
    </w:p>
    <w:p w14:paraId="5207DA3A" w14:textId="77777777" w:rsidR="007C0106" w:rsidRPr="00A368F3" w:rsidRDefault="007C0106" w:rsidP="007C0106">
      <w:pPr>
        <w:pStyle w:val="CETheadingx"/>
        <w:spacing w:before="120"/>
        <w:jc w:val="left"/>
      </w:pPr>
      <w:r w:rsidRPr="00A368F3">
        <w:t xml:space="preserve">2.4 Computational fluid dynamics (CFD) analysis for dispersion, fire and explosion scenarios connected to flexible LNG unloading hoses from LNG Carrier to FSRU </w:t>
      </w:r>
    </w:p>
    <w:p w14:paraId="124BB951" w14:textId="65E51059" w:rsidR="007C0106" w:rsidRDefault="007C0106" w:rsidP="007C0106">
      <w:pPr>
        <w:pStyle w:val="CETBodytext"/>
        <w:spacing w:after="240"/>
      </w:pPr>
      <w:r>
        <w:t xml:space="preserve">The reference scenario analyzed in the study is the formation of an LNG pool on the sea surface; subsequently, the vapor cloud formed due to </w:t>
      </w:r>
      <w:r w:rsidR="00936169">
        <w:t xml:space="preserve">the </w:t>
      </w:r>
      <w:r>
        <w:t xml:space="preserve">evaporation of LNG right above the pool undergoes a rapid phase change that favors its dilution in air and, therefore, dispersion (Hightower et al., 2004). Regarding the numerical structural analysis, the aim of the study is mainly related to the structural investigation of the ship's hull (and LNGC internal tank) subjected to the thermal action of a fire scenario during the transfer operations between the FSRU and the LNGC. </w:t>
      </w:r>
      <w:r w:rsidRPr="00FB5053">
        <w:t xml:space="preserve">CFD analysis </w:t>
      </w:r>
      <w:r>
        <w:t xml:space="preserve">was developed by </w:t>
      </w:r>
      <w:r w:rsidRPr="00FB5053">
        <w:t>FLACS software (Gexcon</w:t>
      </w:r>
      <w:r>
        <w:t>, 2022</w:t>
      </w:r>
      <w:r w:rsidRPr="00FB5053">
        <w:t>)</w:t>
      </w:r>
      <w:r>
        <w:t xml:space="preserve">, given its wide application in the </w:t>
      </w:r>
      <w:r w:rsidR="00186FFA">
        <w:t xml:space="preserve">given </w:t>
      </w:r>
      <w:r>
        <w:t>context (HSE, 2009).</w:t>
      </w:r>
      <w:r w:rsidRPr="00FB5053">
        <w:t xml:space="preserve"> </w:t>
      </w:r>
      <w:r>
        <w:t>F</w:t>
      </w:r>
      <w:r w:rsidRPr="00FB5053">
        <w:t xml:space="preserve">inite element numerical analysis (FEM) for the structural verification </w:t>
      </w:r>
      <w:r>
        <w:t>was carried out by</w:t>
      </w:r>
      <w:r w:rsidR="004139DA">
        <w:t xml:space="preserve"> Ansys</w:t>
      </w:r>
      <w:r w:rsidRPr="00FB5053">
        <w:t xml:space="preserve"> LS-DYNA</w:t>
      </w:r>
      <w:r>
        <w:t xml:space="preserve"> (20</w:t>
      </w:r>
      <w:r w:rsidR="00557C55">
        <w:t>1</w:t>
      </w:r>
      <w:r>
        <w:t>9)</w:t>
      </w:r>
      <w:r w:rsidRPr="00FB5053">
        <w:t xml:space="preserve"> software</w:t>
      </w:r>
      <w:r>
        <w:t>. An accurate structural model of the ship was created by faithfully replicating the primary and secondary structures, materials and thicknesses between the hull and the internal LNG tank</w:t>
      </w:r>
      <w:r w:rsidR="00287CAE">
        <w:t>,</w:t>
      </w:r>
      <w:r>
        <w:t xml:space="preserve"> which was taken as a reference for modeling.</w:t>
      </w:r>
    </w:p>
    <w:p w14:paraId="7E110E85" w14:textId="77777777" w:rsidR="007C0106" w:rsidRPr="00B57B36" w:rsidRDefault="007C0106" w:rsidP="007C0106">
      <w:pPr>
        <w:pStyle w:val="CETHeading1"/>
        <w:numPr>
          <w:ilvl w:val="1"/>
          <w:numId w:val="1"/>
        </w:numPr>
        <w:tabs>
          <w:tab w:val="num" w:pos="360"/>
        </w:tabs>
        <w:rPr>
          <w:lang w:val="en-GB"/>
        </w:rPr>
      </w:pPr>
      <w:r w:rsidRPr="00AE11C3">
        <w:rPr>
          <w:lang w:val="en-GB"/>
        </w:rPr>
        <w:t>RESULTS AND DISCUSSION</w:t>
      </w:r>
    </w:p>
    <w:p w14:paraId="5367B94A" w14:textId="452F16DF" w:rsidR="00810D79" w:rsidRDefault="007C0106" w:rsidP="007C0106">
      <w:pPr>
        <w:pStyle w:val="CETBodytext"/>
      </w:pPr>
      <w:bookmarkStart w:id="1" w:name="_Ref182563269"/>
      <w:r w:rsidRPr="001A7435">
        <w:t>T</w:t>
      </w:r>
      <w:r>
        <w:t xml:space="preserve">able 1 </w:t>
      </w:r>
      <w:r w:rsidRPr="00AE11C3">
        <w:t xml:space="preserve">shows the frequencies calculated for all the </w:t>
      </w:r>
      <w:r>
        <w:t xml:space="preserve">incidental </w:t>
      </w:r>
      <w:r w:rsidRPr="00AE11C3">
        <w:t>hypotheses formulated</w:t>
      </w:r>
      <w:r>
        <w:t xml:space="preserve"> covering step </w:t>
      </w:r>
      <w:r w:rsidRPr="001875E5">
        <w:rPr>
          <w:b/>
          <w:bCs/>
        </w:rPr>
        <w:t>2.1</w:t>
      </w:r>
      <w:r>
        <w:t xml:space="preserve">- </w:t>
      </w:r>
      <w:r w:rsidRPr="009F3D29">
        <w:t>FSRU Golar Tundra risk analysis and interference analysis with the adjacent quay</w:t>
      </w:r>
      <w:r w:rsidRPr="00AE11C3">
        <w:t>.</w:t>
      </w:r>
      <w:r>
        <w:t xml:space="preserve"> </w:t>
      </w:r>
      <w:r w:rsidRPr="00AE11C3">
        <w:t xml:space="preserve">The incidental hypotheses </w:t>
      </w:r>
      <w:r>
        <w:t xml:space="preserve">highlighted in gray </w:t>
      </w:r>
      <w:r w:rsidRPr="00AE11C3">
        <w:t xml:space="preserve">were considered reasonably credible, </w:t>
      </w:r>
      <w:r>
        <w:t xml:space="preserve">being </w:t>
      </w:r>
      <w:r w:rsidRPr="00AE11C3">
        <w:t>characterized by a</w:t>
      </w:r>
      <w:r w:rsidR="002E4FF8">
        <w:t>n</w:t>
      </w:r>
      <w:r w:rsidRPr="00AE11C3">
        <w:t xml:space="preserve"> </w:t>
      </w:r>
      <w:r w:rsidR="002E4FF8" w:rsidRPr="00AE11C3">
        <w:t xml:space="preserve">occurrence </w:t>
      </w:r>
      <w:r w:rsidRPr="00AE11C3">
        <w:t>frequency greater than or equal to 1·10</w:t>
      </w:r>
      <w:r w:rsidRPr="00F044D3">
        <w:rPr>
          <w:vertAlign w:val="superscript"/>
        </w:rPr>
        <w:t>-6</w:t>
      </w:r>
      <w:r w:rsidRPr="00AE11C3">
        <w:t xml:space="preserve"> occasions per year</w:t>
      </w:r>
      <w:r>
        <w:t xml:space="preserve">. </w:t>
      </w:r>
      <w:r w:rsidRPr="001A7435">
        <w:t>Table</w:t>
      </w:r>
      <w:r w:rsidR="00CD648C">
        <w:t>s</w:t>
      </w:r>
      <w:r w:rsidRPr="001A7435">
        <w:t xml:space="preserve"> 2</w:t>
      </w:r>
      <w:r w:rsidR="00CD648C">
        <w:t>,</w:t>
      </w:r>
      <w:r w:rsidR="00C17BD1">
        <w:t xml:space="preserve"> 3 </w:t>
      </w:r>
      <w:r w:rsidR="00CD648C">
        <w:t xml:space="preserve">and 4 </w:t>
      </w:r>
      <w:r w:rsidRPr="00AE11C3">
        <w:t xml:space="preserve">summarize the results of the assessment of the </w:t>
      </w:r>
      <w:r>
        <w:t>incidental</w:t>
      </w:r>
      <w:r w:rsidRPr="00AE11C3">
        <w:t xml:space="preserve"> consequences</w:t>
      </w:r>
      <w:r w:rsidR="00C17BD1">
        <w:t xml:space="preserve">, respectively </w:t>
      </w:r>
      <w:r w:rsidRPr="00AE11C3">
        <w:t>re</w:t>
      </w:r>
      <w:r w:rsidR="008D46E5">
        <w:t>ferring</w:t>
      </w:r>
      <w:r w:rsidRPr="00AE11C3">
        <w:t xml:space="preserve"> to </w:t>
      </w:r>
      <w:r>
        <w:t xml:space="preserve">the </w:t>
      </w:r>
      <w:r w:rsidRPr="00AE11C3">
        <w:t xml:space="preserve">reasonably "credible" </w:t>
      </w:r>
      <w:r w:rsidR="00C17BD1" w:rsidRPr="00C17BD1">
        <w:rPr>
          <w:i/>
          <w:iCs/>
        </w:rPr>
        <w:t>fire</w:t>
      </w:r>
      <w:r w:rsidR="00CD648C">
        <w:rPr>
          <w:i/>
          <w:iCs/>
        </w:rPr>
        <w:t>,</w:t>
      </w:r>
      <w:r w:rsidR="00C17BD1" w:rsidRPr="00C17BD1">
        <w:rPr>
          <w:i/>
          <w:iCs/>
        </w:rPr>
        <w:t xml:space="preserve"> explosion</w:t>
      </w:r>
      <w:r w:rsidR="00CD648C">
        <w:rPr>
          <w:i/>
          <w:iCs/>
        </w:rPr>
        <w:t xml:space="preserve"> and NG leak</w:t>
      </w:r>
      <w:r w:rsidR="00C17BD1">
        <w:t xml:space="preserve"> </w:t>
      </w:r>
      <w:r w:rsidRPr="00AE11C3">
        <w:t>scenarios</w:t>
      </w:r>
      <w:r w:rsidR="008D46E5">
        <w:t xml:space="preserve"> previously calculated</w:t>
      </w:r>
      <w:r w:rsidRPr="00AE11C3">
        <w:t xml:space="preserve">. It should be noted that </w:t>
      </w:r>
      <w:r w:rsidR="002F05AE">
        <w:t xml:space="preserve">the </w:t>
      </w:r>
      <w:r w:rsidRPr="00AE11C3">
        <w:t>scenarios related to the transfer of liquid-liquid LNG (</w:t>
      </w:r>
      <w:r>
        <w:t>during</w:t>
      </w:r>
      <w:r w:rsidRPr="00AE11C3">
        <w:t xml:space="preserve"> the transfer phase from the LNG</w:t>
      </w:r>
      <w:r w:rsidR="008D46E5">
        <w:t xml:space="preserve"> </w:t>
      </w:r>
      <w:r>
        <w:t>C</w:t>
      </w:r>
      <w:r w:rsidR="008D46E5">
        <w:t>arrier</w:t>
      </w:r>
      <w:r>
        <w:t xml:space="preserve"> </w:t>
      </w:r>
      <w:r w:rsidRPr="00AE11C3">
        <w:t>to the Italis FSRU) and NG (</w:t>
      </w:r>
      <w:r>
        <w:t>during the discharge of</w:t>
      </w:r>
      <w:r w:rsidRPr="00AE11C3">
        <w:t xml:space="preserve"> natural gas to the pipeline at the quay) are </w:t>
      </w:r>
      <w:r>
        <w:t xml:space="preserve">both </w:t>
      </w:r>
      <w:r w:rsidRPr="00AE11C3">
        <w:t>relevant for the risk analysis</w:t>
      </w:r>
      <w:r w:rsidR="00163117">
        <w:t>.</w:t>
      </w:r>
      <w:r>
        <w:t xml:space="preserve"> </w:t>
      </w:r>
      <w:bookmarkEnd w:id="1"/>
      <w:r w:rsidR="00C17BD1">
        <w:t xml:space="preserve">The pipeline </w:t>
      </w:r>
      <w:r w:rsidR="00D044EC">
        <w:t xml:space="preserve">significant </w:t>
      </w:r>
      <w:r w:rsidR="00C17BD1">
        <w:t xml:space="preserve">leak was calculated </w:t>
      </w:r>
      <w:r w:rsidR="00C17BD1">
        <w:lastRenderedPageBreak/>
        <w:t xml:space="preserve">referring to hole </w:t>
      </w:r>
      <w:r w:rsidR="0010544D">
        <w:t xml:space="preserve">area </w:t>
      </w:r>
      <w:r w:rsidR="003F270F">
        <w:t xml:space="preserve">calculated </w:t>
      </w:r>
      <w:r w:rsidR="00D044EC">
        <w:t>based on</w:t>
      </w:r>
      <w:r w:rsidR="00C17BD1">
        <w:t xml:space="preserve"> 20%</w:t>
      </w:r>
      <w:r w:rsidR="00D044EC">
        <w:t>,</w:t>
      </w:r>
      <w:r w:rsidR="00C17BD1">
        <w:t xml:space="preserve"> or 100% of </w:t>
      </w:r>
      <w:r w:rsidR="001875E5">
        <w:t xml:space="preserve">the pipe </w:t>
      </w:r>
      <w:r w:rsidR="00C17BD1">
        <w:t xml:space="preserve">nominal diameter (ND), respectively for ND </w:t>
      </w:r>
      <w:r w:rsidR="001875E5">
        <w:t>great</w:t>
      </w:r>
      <w:r w:rsidR="00C17BD1">
        <w:t>er</w:t>
      </w:r>
      <w:r w:rsidR="003F270F">
        <w:t>,</w:t>
      </w:r>
      <w:r w:rsidR="00C17BD1">
        <w:t xml:space="preserve"> or l</w:t>
      </w:r>
      <w:r w:rsidR="001875E5">
        <w:t>ess</w:t>
      </w:r>
      <w:r w:rsidR="00C17BD1">
        <w:t xml:space="preserve"> tha</w:t>
      </w:r>
      <w:r w:rsidR="00701FB5">
        <w:t>n</w:t>
      </w:r>
      <w:r w:rsidR="00C17BD1">
        <w:t xml:space="preserve"> 200 mm.</w:t>
      </w:r>
      <w:r w:rsidR="003F270F">
        <w:t xml:space="preserve"> Additionally, it was considered the </w:t>
      </w:r>
      <w:r w:rsidR="00D044EC">
        <w:t>full-bore</w:t>
      </w:r>
      <w:r w:rsidR="003F270F">
        <w:t xml:space="preserve"> leak scenario.</w:t>
      </w:r>
    </w:p>
    <w:p w14:paraId="7B2E2750" w14:textId="77777777" w:rsidR="0010544D" w:rsidRDefault="0010544D" w:rsidP="007C0106">
      <w:pPr>
        <w:pStyle w:val="CETBodytext"/>
      </w:pPr>
    </w:p>
    <w:p w14:paraId="56105888" w14:textId="67CD6DF4" w:rsidR="008D46E5" w:rsidRDefault="008D46E5" w:rsidP="008D46E5">
      <w:pPr>
        <w:pStyle w:val="CETBodytext"/>
        <w:spacing w:after="120"/>
      </w:pPr>
      <w:r>
        <w:t>Table 1:</w:t>
      </w:r>
      <w:r w:rsidRPr="00B57B36">
        <w:t xml:space="preserve"> </w:t>
      </w:r>
      <w:r>
        <w:t>Calculated f</w:t>
      </w:r>
      <w:r w:rsidRPr="00B57B36">
        <w:t>requency of incidental hypotheses</w:t>
      </w:r>
      <w:r>
        <w:t>.</w:t>
      </w:r>
    </w:p>
    <w:tbl>
      <w:tblPr>
        <w:tblW w:w="5001" w:type="pct"/>
        <w:tblBorders>
          <w:top w:val="single" w:sz="12" w:space="0" w:color="008000"/>
          <w:bottom w:val="single" w:sz="12" w:space="0" w:color="008000"/>
        </w:tblBorders>
        <w:shd w:val="clear" w:color="auto" w:fill="FFFFFF"/>
        <w:tblLayout w:type="fixed"/>
        <w:tblCellMar>
          <w:left w:w="68" w:type="dxa"/>
          <w:right w:w="68" w:type="dxa"/>
        </w:tblCellMar>
        <w:tblLook w:val="00A0" w:firstRow="1" w:lastRow="0" w:firstColumn="1" w:lastColumn="0" w:noHBand="0" w:noVBand="0"/>
      </w:tblPr>
      <w:tblGrid>
        <w:gridCol w:w="4535"/>
        <w:gridCol w:w="2978"/>
        <w:gridCol w:w="1276"/>
      </w:tblGrid>
      <w:tr w:rsidR="008D46E5" w:rsidRPr="008D176E" w14:paraId="666CFA5B" w14:textId="77777777" w:rsidTr="00D3151E">
        <w:trPr>
          <w:cantSplit/>
          <w:tblHeader/>
        </w:trPr>
        <w:tc>
          <w:tcPr>
            <w:tcW w:w="4274" w:type="pct"/>
            <w:gridSpan w:val="2"/>
            <w:tcBorders>
              <w:top w:val="single" w:sz="12" w:space="0" w:color="008000"/>
              <w:bottom w:val="single" w:sz="12" w:space="0" w:color="008000"/>
            </w:tcBorders>
            <w:shd w:val="clear" w:color="auto" w:fill="FFFFFF"/>
            <w:vAlign w:val="center"/>
          </w:tcPr>
          <w:p w14:paraId="4C21417B" w14:textId="77777777" w:rsidR="008D46E5" w:rsidRPr="008D176E" w:rsidRDefault="008D46E5" w:rsidP="00D3151E">
            <w:pPr>
              <w:pStyle w:val="CETBodytext"/>
              <w:jc w:val="left"/>
              <w:rPr>
                <w:b/>
                <w:bCs/>
                <w:sz w:val="16"/>
                <w:szCs w:val="16"/>
                <w:lang w:val="en-GB"/>
              </w:rPr>
            </w:pPr>
            <w:r w:rsidRPr="00AE11C3">
              <w:rPr>
                <w:b/>
                <w:bCs/>
                <w:sz w:val="16"/>
                <w:szCs w:val="16"/>
              </w:rPr>
              <w:t>INITIATING CAUSES OF POTENTIAL ACCIDENT SCENARIOS</w:t>
            </w:r>
          </w:p>
        </w:tc>
        <w:tc>
          <w:tcPr>
            <w:tcW w:w="726" w:type="pct"/>
            <w:tcBorders>
              <w:top w:val="single" w:sz="12" w:space="0" w:color="008000"/>
              <w:bottom w:val="single" w:sz="12" w:space="0" w:color="008000"/>
            </w:tcBorders>
            <w:shd w:val="clear" w:color="auto" w:fill="FFFFFF"/>
            <w:vAlign w:val="center"/>
          </w:tcPr>
          <w:p w14:paraId="32D9F0FD" w14:textId="77777777" w:rsidR="008D46E5" w:rsidRPr="008D176E" w:rsidRDefault="008D46E5" w:rsidP="00D3151E">
            <w:pPr>
              <w:pStyle w:val="CETBodytext"/>
              <w:jc w:val="left"/>
              <w:rPr>
                <w:b/>
                <w:bCs/>
                <w:sz w:val="16"/>
                <w:szCs w:val="16"/>
                <w:lang w:val="en-GB"/>
              </w:rPr>
            </w:pPr>
            <w:r w:rsidRPr="008D176E">
              <w:rPr>
                <w:b/>
                <w:bCs/>
                <w:sz w:val="16"/>
                <w:szCs w:val="16"/>
              </w:rPr>
              <w:t>FREQUENCY</w:t>
            </w:r>
          </w:p>
          <w:p w14:paraId="6DFEE390" w14:textId="289569BB" w:rsidR="008D46E5" w:rsidRPr="008D176E" w:rsidRDefault="00613C80" w:rsidP="00D3151E">
            <w:pPr>
              <w:pStyle w:val="CETBodytext"/>
              <w:jc w:val="left"/>
              <w:rPr>
                <w:b/>
                <w:bCs/>
                <w:sz w:val="16"/>
                <w:szCs w:val="16"/>
                <w:lang w:val="en-GB"/>
              </w:rPr>
            </w:pPr>
            <w:r>
              <w:rPr>
                <w:b/>
                <w:bCs/>
                <w:sz w:val="16"/>
                <w:szCs w:val="16"/>
              </w:rPr>
              <w:t>[</w:t>
            </w:r>
            <w:r w:rsidR="008D46E5" w:rsidRPr="008D176E">
              <w:rPr>
                <w:b/>
                <w:bCs/>
                <w:sz w:val="16"/>
                <w:szCs w:val="16"/>
              </w:rPr>
              <w:t>OCC/YEAR</w:t>
            </w:r>
            <w:r>
              <w:rPr>
                <w:b/>
                <w:bCs/>
                <w:sz w:val="16"/>
                <w:szCs w:val="16"/>
              </w:rPr>
              <w:t>]</w:t>
            </w:r>
          </w:p>
        </w:tc>
      </w:tr>
      <w:tr w:rsidR="008D46E5" w:rsidRPr="008D176E" w14:paraId="4978124B" w14:textId="77777777" w:rsidTr="00D3151E">
        <w:trPr>
          <w:cantSplit/>
        </w:trPr>
        <w:tc>
          <w:tcPr>
            <w:tcW w:w="5000" w:type="pct"/>
            <w:gridSpan w:val="3"/>
            <w:tcBorders>
              <w:top w:val="single" w:sz="12" w:space="0" w:color="008000"/>
              <w:bottom w:val="single" w:sz="6" w:space="0" w:color="008000"/>
            </w:tcBorders>
            <w:shd w:val="clear" w:color="auto" w:fill="FFFFFF"/>
            <w:vAlign w:val="center"/>
          </w:tcPr>
          <w:p w14:paraId="7DCD5663" w14:textId="77777777" w:rsidR="008D46E5" w:rsidRPr="009F25A5" w:rsidRDefault="008D46E5" w:rsidP="00D3151E">
            <w:pPr>
              <w:pStyle w:val="CETBodytext"/>
              <w:tabs>
                <w:tab w:val="clear" w:pos="7100"/>
              </w:tabs>
              <w:jc w:val="left"/>
              <w:rPr>
                <w:sz w:val="16"/>
                <w:szCs w:val="16"/>
                <w:lang w:val="it-IT"/>
              </w:rPr>
            </w:pPr>
            <w:r w:rsidRPr="008D176E">
              <w:rPr>
                <w:sz w:val="16"/>
                <w:szCs w:val="16"/>
                <w:lang w:val="en-GB"/>
              </w:rPr>
              <w:t>I</w:t>
            </w:r>
            <w:r w:rsidRPr="008D176E">
              <w:rPr>
                <w:sz w:val="16"/>
                <w:szCs w:val="16"/>
                <w:lang w:val="en-GB"/>
              </w:rPr>
              <w:tab/>
            </w:r>
            <w:r w:rsidRPr="009F25A5">
              <w:rPr>
                <w:sz w:val="16"/>
                <w:szCs w:val="16"/>
                <w:lang w:val="en"/>
              </w:rPr>
              <w:t>FSRU FILLING</w:t>
            </w:r>
          </w:p>
        </w:tc>
      </w:tr>
      <w:tr w:rsidR="008D46E5" w:rsidRPr="008D176E" w14:paraId="6F3DAAFB" w14:textId="77777777" w:rsidTr="00D3151E">
        <w:trPr>
          <w:cantSplit/>
        </w:trPr>
        <w:tc>
          <w:tcPr>
            <w:tcW w:w="2580" w:type="pct"/>
            <w:vMerge w:val="restart"/>
            <w:tcBorders>
              <w:top w:val="single" w:sz="6" w:space="0" w:color="008000"/>
            </w:tcBorders>
            <w:shd w:val="clear" w:color="auto" w:fill="auto"/>
            <w:vAlign w:val="center"/>
          </w:tcPr>
          <w:p w14:paraId="1E62AAAE" w14:textId="77777777" w:rsidR="008D46E5" w:rsidRPr="008D176E" w:rsidRDefault="008D46E5" w:rsidP="00D3151E">
            <w:pPr>
              <w:pStyle w:val="CETBodytext"/>
              <w:ind w:right="-1"/>
              <w:jc w:val="left"/>
              <w:rPr>
                <w:rFonts w:cs="Arial"/>
                <w:sz w:val="15"/>
                <w:szCs w:val="15"/>
                <w:lang w:val="en-GB"/>
              </w:rPr>
            </w:pPr>
            <w:r w:rsidRPr="008D176E">
              <w:rPr>
                <w:rFonts w:cs="Arial"/>
                <w:sz w:val="15"/>
                <w:szCs w:val="15"/>
                <w:lang w:val="en-GB"/>
              </w:rPr>
              <w:t xml:space="preserve">1R - </w:t>
            </w:r>
            <w:r w:rsidRPr="004C0F2A">
              <w:rPr>
                <w:rFonts w:cs="Arial"/>
                <w:sz w:val="15"/>
                <w:szCs w:val="15"/>
                <w:lang w:val="en-GB"/>
              </w:rPr>
              <w:t xml:space="preserve">Flexible LNG unloading hoses from LNG </w:t>
            </w:r>
            <w:r>
              <w:rPr>
                <w:rFonts w:cs="Arial"/>
                <w:sz w:val="15"/>
                <w:szCs w:val="15"/>
                <w:lang w:val="en-GB"/>
              </w:rPr>
              <w:t>Carrier</w:t>
            </w:r>
            <w:r w:rsidRPr="004C0F2A">
              <w:rPr>
                <w:rFonts w:cs="Arial"/>
                <w:sz w:val="15"/>
                <w:szCs w:val="15"/>
                <w:lang w:val="en-GB"/>
              </w:rPr>
              <w:t xml:space="preserve"> to FSRU</w:t>
            </w:r>
          </w:p>
        </w:tc>
        <w:tc>
          <w:tcPr>
            <w:tcW w:w="1694" w:type="pct"/>
            <w:tcBorders>
              <w:top w:val="single" w:sz="6" w:space="0" w:color="008000"/>
              <w:bottom w:val="single" w:sz="6" w:space="0" w:color="008000"/>
            </w:tcBorders>
            <w:shd w:val="clear" w:color="auto" w:fill="auto"/>
            <w:vAlign w:val="center"/>
          </w:tcPr>
          <w:p w14:paraId="4A3A8A1C" w14:textId="77777777" w:rsidR="008D46E5" w:rsidRPr="004C0F2A" w:rsidRDefault="008D46E5" w:rsidP="00D3151E">
            <w:pPr>
              <w:pStyle w:val="CETBodytext"/>
              <w:ind w:right="-1"/>
              <w:rPr>
                <w:rFonts w:cs="Arial"/>
                <w:sz w:val="15"/>
                <w:szCs w:val="15"/>
                <w:lang w:val="it-IT"/>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bottom w:val="single" w:sz="6" w:space="0" w:color="008000"/>
            </w:tcBorders>
            <w:shd w:val="clear" w:color="000000" w:fill="D9D9D9"/>
            <w:vAlign w:val="center"/>
          </w:tcPr>
          <w:p w14:paraId="42D13727"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lang w:val="en-GB"/>
              </w:rPr>
              <w:t>1</w:t>
            </w:r>
            <w:r>
              <w:rPr>
                <w:rFonts w:cs="Arial"/>
                <w:sz w:val="16"/>
                <w:szCs w:val="16"/>
                <w:lang w:val="en-GB"/>
              </w:rPr>
              <w:t>.</w:t>
            </w:r>
            <w:r w:rsidRPr="008D176E">
              <w:rPr>
                <w:rFonts w:cs="Arial"/>
                <w:sz w:val="16"/>
                <w:szCs w:val="16"/>
                <w:lang w:val="en-GB"/>
              </w:rPr>
              <w:t>46 · 10</w:t>
            </w:r>
            <w:r w:rsidRPr="008D176E">
              <w:rPr>
                <w:rFonts w:cs="Arial"/>
                <w:sz w:val="16"/>
                <w:szCs w:val="16"/>
                <w:vertAlign w:val="superscript"/>
                <w:lang w:val="en-GB"/>
              </w:rPr>
              <w:t>-4</w:t>
            </w:r>
          </w:p>
        </w:tc>
      </w:tr>
      <w:tr w:rsidR="008D46E5" w:rsidRPr="008D176E" w14:paraId="4EDA0E42" w14:textId="77777777" w:rsidTr="00D3151E">
        <w:trPr>
          <w:cantSplit/>
        </w:trPr>
        <w:tc>
          <w:tcPr>
            <w:tcW w:w="2580" w:type="pct"/>
            <w:vMerge/>
            <w:vAlign w:val="center"/>
          </w:tcPr>
          <w:p w14:paraId="2BD55AE4" w14:textId="77777777" w:rsidR="008D46E5" w:rsidRPr="008D176E" w:rsidRDefault="008D46E5" w:rsidP="00D3151E">
            <w:pPr>
              <w:pStyle w:val="CETBodytext"/>
              <w:ind w:right="-1"/>
              <w:jc w:val="left"/>
              <w:rPr>
                <w:rFonts w:cs="Arial"/>
                <w:sz w:val="15"/>
                <w:szCs w:val="15"/>
                <w:lang w:val="en-GB"/>
              </w:rPr>
            </w:pPr>
          </w:p>
        </w:tc>
        <w:tc>
          <w:tcPr>
            <w:tcW w:w="1694" w:type="pct"/>
            <w:tcBorders>
              <w:top w:val="single" w:sz="6" w:space="0" w:color="008000"/>
              <w:bottom w:val="single" w:sz="6" w:space="0" w:color="008000"/>
            </w:tcBorders>
            <w:shd w:val="clear" w:color="auto" w:fill="auto"/>
            <w:vAlign w:val="center"/>
          </w:tcPr>
          <w:p w14:paraId="330CB279" w14:textId="77777777" w:rsidR="008D46E5" w:rsidRPr="005F0E0C" w:rsidRDefault="008D46E5" w:rsidP="00D3151E">
            <w:pPr>
              <w:pStyle w:val="CETBodytext"/>
              <w:ind w:right="-1"/>
              <w:rPr>
                <w:rFonts w:cs="Arial"/>
                <w:sz w:val="15"/>
                <w:szCs w:val="15"/>
                <w:lang w:val="en-GB"/>
              </w:rPr>
            </w:pPr>
            <w:r w:rsidRPr="004C0F2A">
              <w:rPr>
                <w:rFonts w:cs="Arial"/>
                <w:sz w:val="15"/>
                <w:szCs w:val="15"/>
                <w:lang w:val="en"/>
              </w:rPr>
              <w:t>Severe adverse weather conditions with removal and tearing of hoses</w:t>
            </w:r>
          </w:p>
        </w:tc>
        <w:tc>
          <w:tcPr>
            <w:tcW w:w="726" w:type="pct"/>
            <w:tcBorders>
              <w:top w:val="single" w:sz="6" w:space="0" w:color="008000"/>
              <w:bottom w:val="single" w:sz="6" w:space="0" w:color="008000"/>
            </w:tcBorders>
            <w:shd w:val="clear" w:color="auto" w:fill="auto"/>
            <w:vAlign w:val="center"/>
          </w:tcPr>
          <w:p w14:paraId="0927970A"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lang w:val="en-GB"/>
              </w:rPr>
              <w:t>1</w:t>
            </w:r>
            <w:r>
              <w:rPr>
                <w:rFonts w:cs="Arial"/>
                <w:sz w:val="16"/>
                <w:szCs w:val="16"/>
                <w:lang w:val="en-GB"/>
              </w:rPr>
              <w:t>.</w:t>
            </w:r>
            <w:r w:rsidRPr="008D176E">
              <w:rPr>
                <w:rFonts w:cs="Arial"/>
                <w:sz w:val="16"/>
                <w:szCs w:val="16"/>
                <w:lang w:val="en-GB"/>
              </w:rPr>
              <w:t>20 · 10</w:t>
            </w:r>
            <w:r w:rsidRPr="008D176E">
              <w:rPr>
                <w:rFonts w:cs="Arial"/>
                <w:sz w:val="16"/>
                <w:szCs w:val="16"/>
                <w:vertAlign w:val="superscript"/>
                <w:lang w:val="en-GB"/>
              </w:rPr>
              <w:t>-7</w:t>
            </w:r>
          </w:p>
        </w:tc>
      </w:tr>
      <w:tr w:rsidR="008D46E5" w:rsidRPr="008D176E" w14:paraId="3AC8C64C" w14:textId="77777777" w:rsidTr="00D3151E">
        <w:trPr>
          <w:cantSplit/>
        </w:trPr>
        <w:tc>
          <w:tcPr>
            <w:tcW w:w="2580" w:type="pct"/>
            <w:vMerge/>
            <w:tcBorders>
              <w:bottom w:val="single" w:sz="6" w:space="0" w:color="008000"/>
            </w:tcBorders>
            <w:vAlign w:val="center"/>
          </w:tcPr>
          <w:p w14:paraId="1E61D996" w14:textId="77777777" w:rsidR="008D46E5" w:rsidRPr="008D176E" w:rsidRDefault="008D46E5" w:rsidP="00D3151E">
            <w:pPr>
              <w:pStyle w:val="CETBodytext"/>
              <w:ind w:right="-1"/>
              <w:jc w:val="left"/>
              <w:rPr>
                <w:rFonts w:cs="Arial"/>
                <w:sz w:val="15"/>
                <w:szCs w:val="15"/>
                <w:lang w:val="en-GB"/>
              </w:rPr>
            </w:pPr>
          </w:p>
        </w:tc>
        <w:tc>
          <w:tcPr>
            <w:tcW w:w="1694" w:type="pct"/>
            <w:tcBorders>
              <w:top w:val="single" w:sz="6" w:space="0" w:color="008000"/>
              <w:bottom w:val="single" w:sz="6" w:space="0" w:color="008000"/>
            </w:tcBorders>
            <w:shd w:val="clear" w:color="auto" w:fill="auto"/>
            <w:vAlign w:val="center"/>
          </w:tcPr>
          <w:p w14:paraId="2AE520A4" w14:textId="77777777" w:rsidR="008D46E5" w:rsidRPr="005F0E0C" w:rsidRDefault="008D46E5" w:rsidP="00D3151E">
            <w:pPr>
              <w:pStyle w:val="CETBodytext"/>
              <w:ind w:right="-1"/>
              <w:rPr>
                <w:rFonts w:cs="Arial"/>
                <w:sz w:val="15"/>
                <w:szCs w:val="15"/>
                <w:lang w:val="en-GB"/>
              </w:rPr>
            </w:pPr>
            <w:r w:rsidRPr="004C0F2A">
              <w:rPr>
                <w:rFonts w:cs="Arial"/>
                <w:sz w:val="15"/>
                <w:szCs w:val="15"/>
                <w:lang w:val="en"/>
              </w:rPr>
              <w:t>Severe adverse weather conditions with removal and ERS intervention</w:t>
            </w:r>
          </w:p>
        </w:tc>
        <w:tc>
          <w:tcPr>
            <w:tcW w:w="726" w:type="pct"/>
            <w:tcBorders>
              <w:top w:val="single" w:sz="6" w:space="0" w:color="008000"/>
              <w:bottom w:val="single" w:sz="6" w:space="0" w:color="008000"/>
            </w:tcBorders>
            <w:shd w:val="clear" w:color="000000" w:fill="D9D9D9"/>
            <w:vAlign w:val="center"/>
          </w:tcPr>
          <w:p w14:paraId="3322028E"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lang w:val="en-GB"/>
              </w:rPr>
              <w:t>9</w:t>
            </w:r>
            <w:r>
              <w:rPr>
                <w:rFonts w:cs="Arial"/>
                <w:sz w:val="16"/>
                <w:szCs w:val="16"/>
                <w:lang w:val="en-GB"/>
              </w:rPr>
              <w:t>.</w:t>
            </w:r>
            <w:r w:rsidRPr="008D176E">
              <w:rPr>
                <w:rFonts w:cs="Arial"/>
                <w:sz w:val="16"/>
                <w:szCs w:val="16"/>
                <w:lang w:val="en-GB"/>
              </w:rPr>
              <w:t>13 · 10</w:t>
            </w:r>
            <w:r w:rsidRPr="008D176E">
              <w:rPr>
                <w:rFonts w:cs="Arial"/>
                <w:sz w:val="16"/>
                <w:szCs w:val="16"/>
                <w:vertAlign w:val="superscript"/>
                <w:lang w:val="en-GB"/>
              </w:rPr>
              <w:t>-6</w:t>
            </w:r>
          </w:p>
        </w:tc>
      </w:tr>
      <w:tr w:rsidR="008D46E5" w:rsidRPr="008D176E" w14:paraId="7D8B0FA0" w14:textId="77777777" w:rsidTr="00D3151E">
        <w:trPr>
          <w:cantSplit/>
        </w:trPr>
        <w:tc>
          <w:tcPr>
            <w:tcW w:w="2580" w:type="pct"/>
            <w:vMerge w:val="restart"/>
            <w:tcBorders>
              <w:top w:val="single" w:sz="6" w:space="0" w:color="008000"/>
            </w:tcBorders>
            <w:shd w:val="clear" w:color="auto" w:fill="auto"/>
            <w:vAlign w:val="center"/>
          </w:tcPr>
          <w:p w14:paraId="436C1ABD" w14:textId="77777777" w:rsidR="008D46E5" w:rsidRPr="005F0E0C" w:rsidRDefault="008D46E5" w:rsidP="00D3151E">
            <w:pPr>
              <w:pStyle w:val="CETBodytext"/>
              <w:ind w:right="-1"/>
              <w:jc w:val="left"/>
              <w:rPr>
                <w:rFonts w:cs="Arial"/>
                <w:sz w:val="15"/>
                <w:szCs w:val="15"/>
                <w:lang w:val="en-GB"/>
              </w:rPr>
            </w:pPr>
            <w:r w:rsidRPr="008D176E">
              <w:rPr>
                <w:rFonts w:cs="Arial"/>
                <w:sz w:val="15"/>
                <w:szCs w:val="15"/>
                <w:lang w:val="en-GB"/>
              </w:rPr>
              <w:t xml:space="preserve">2R - </w:t>
            </w:r>
            <w:r w:rsidRPr="004C0F2A">
              <w:rPr>
                <w:rFonts w:cs="Arial"/>
                <w:sz w:val="15"/>
                <w:szCs w:val="15"/>
                <w:lang w:val="en"/>
              </w:rPr>
              <w:t xml:space="preserve">BOG return HD compressor to LNG </w:t>
            </w:r>
            <w:r>
              <w:rPr>
                <w:rFonts w:cs="Arial"/>
                <w:sz w:val="15"/>
                <w:szCs w:val="15"/>
                <w:lang w:val="en"/>
              </w:rPr>
              <w:t>C</w:t>
            </w:r>
            <w:r w:rsidRPr="004C0F2A">
              <w:rPr>
                <w:rFonts w:cs="Arial"/>
                <w:sz w:val="15"/>
                <w:szCs w:val="15"/>
                <w:lang w:val="en"/>
              </w:rPr>
              <w:t>arrier</w:t>
            </w:r>
          </w:p>
        </w:tc>
        <w:tc>
          <w:tcPr>
            <w:tcW w:w="1694" w:type="pct"/>
            <w:tcBorders>
              <w:top w:val="single" w:sz="6" w:space="0" w:color="008000"/>
              <w:bottom w:val="single" w:sz="6" w:space="0" w:color="008000"/>
            </w:tcBorders>
            <w:shd w:val="clear" w:color="auto" w:fill="auto"/>
            <w:vAlign w:val="center"/>
          </w:tcPr>
          <w:p w14:paraId="254AA94A" w14:textId="201A9380" w:rsidR="008D46E5" w:rsidRPr="008D176E" w:rsidRDefault="008D46E5" w:rsidP="00D3151E">
            <w:pPr>
              <w:pStyle w:val="CETBodytext"/>
              <w:ind w:right="-1"/>
              <w:jc w:val="left"/>
              <w:rPr>
                <w:rFonts w:cs="Arial"/>
                <w:sz w:val="15"/>
                <w:szCs w:val="15"/>
                <w:lang w:val="en-GB"/>
              </w:rPr>
            </w:pPr>
            <w:r w:rsidRPr="008D176E">
              <w:rPr>
                <w:rFonts w:cs="Arial"/>
                <w:sz w:val="15"/>
                <w:szCs w:val="15"/>
                <w:lang w:val="en-GB"/>
              </w:rPr>
              <w:t>Hole</w:t>
            </w:r>
            <w:r w:rsidR="00163117">
              <w:rPr>
                <w:rFonts w:cs="Arial"/>
                <w:sz w:val="15"/>
                <w:szCs w:val="15"/>
                <w:lang w:val="en-GB"/>
              </w:rPr>
              <w:t xml:space="preserve"> (75 mm diameter)</w:t>
            </w:r>
          </w:p>
        </w:tc>
        <w:tc>
          <w:tcPr>
            <w:tcW w:w="726" w:type="pct"/>
            <w:tcBorders>
              <w:top w:val="single" w:sz="6" w:space="0" w:color="008000"/>
              <w:bottom w:val="single" w:sz="6" w:space="0" w:color="008000"/>
            </w:tcBorders>
            <w:shd w:val="clear" w:color="000000" w:fill="D9D9D9"/>
            <w:vAlign w:val="center"/>
          </w:tcPr>
          <w:p w14:paraId="3C4D538D"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lang w:val="en-GB"/>
              </w:rPr>
              <w:t>9</w:t>
            </w:r>
            <w:r>
              <w:rPr>
                <w:rFonts w:cs="Arial"/>
                <w:sz w:val="16"/>
                <w:szCs w:val="16"/>
                <w:lang w:val="en-GB"/>
              </w:rPr>
              <w:t>.</w:t>
            </w:r>
            <w:r w:rsidRPr="008D176E">
              <w:rPr>
                <w:rFonts w:cs="Arial"/>
                <w:sz w:val="16"/>
                <w:szCs w:val="16"/>
                <w:lang w:val="en-GB"/>
              </w:rPr>
              <w:t>86 · 10</w:t>
            </w:r>
            <w:r w:rsidRPr="008D176E">
              <w:rPr>
                <w:rFonts w:cs="Arial"/>
                <w:sz w:val="16"/>
                <w:szCs w:val="16"/>
                <w:vertAlign w:val="superscript"/>
                <w:lang w:val="en-GB"/>
              </w:rPr>
              <w:t>-5</w:t>
            </w:r>
          </w:p>
        </w:tc>
      </w:tr>
      <w:tr w:rsidR="008D46E5" w:rsidRPr="008D176E" w14:paraId="051098FE" w14:textId="77777777" w:rsidTr="00D3151E">
        <w:trPr>
          <w:cantSplit/>
        </w:trPr>
        <w:tc>
          <w:tcPr>
            <w:tcW w:w="2580" w:type="pct"/>
            <w:vMerge/>
            <w:tcBorders>
              <w:bottom w:val="single" w:sz="6" w:space="0" w:color="008000"/>
            </w:tcBorders>
            <w:vAlign w:val="center"/>
          </w:tcPr>
          <w:p w14:paraId="5AE3714C" w14:textId="77777777" w:rsidR="008D46E5" w:rsidRPr="008D176E" w:rsidRDefault="008D46E5" w:rsidP="00D3151E">
            <w:pPr>
              <w:pStyle w:val="CETBodytext"/>
              <w:ind w:right="-1"/>
              <w:jc w:val="left"/>
              <w:rPr>
                <w:rFonts w:cs="Arial"/>
                <w:sz w:val="15"/>
                <w:szCs w:val="15"/>
                <w:lang w:val="en-GB"/>
              </w:rPr>
            </w:pPr>
          </w:p>
        </w:tc>
        <w:tc>
          <w:tcPr>
            <w:tcW w:w="1694" w:type="pct"/>
            <w:tcBorders>
              <w:top w:val="single" w:sz="6" w:space="0" w:color="008000"/>
              <w:bottom w:val="single" w:sz="6" w:space="0" w:color="008000"/>
            </w:tcBorders>
            <w:shd w:val="clear" w:color="auto" w:fill="auto"/>
            <w:vAlign w:val="center"/>
          </w:tcPr>
          <w:p w14:paraId="627E5A55" w14:textId="37E205D8" w:rsidR="008D46E5" w:rsidRPr="008D176E" w:rsidRDefault="008D46E5" w:rsidP="00D3151E">
            <w:pPr>
              <w:pStyle w:val="CETBodytext"/>
              <w:ind w:right="-1"/>
              <w:jc w:val="left"/>
              <w:rPr>
                <w:rFonts w:cs="Arial"/>
                <w:sz w:val="15"/>
                <w:szCs w:val="15"/>
                <w:lang w:val="en-GB"/>
              </w:rPr>
            </w:pPr>
            <w:r w:rsidRPr="008D176E">
              <w:rPr>
                <w:rFonts w:cs="Arial"/>
                <w:sz w:val="15"/>
                <w:szCs w:val="15"/>
                <w:lang w:val="en-GB"/>
              </w:rPr>
              <w:t>Pinhole / crack</w:t>
            </w:r>
            <w:r w:rsidR="00163117">
              <w:rPr>
                <w:rFonts w:cs="Arial"/>
                <w:sz w:val="15"/>
                <w:szCs w:val="15"/>
                <w:lang w:val="en-GB"/>
              </w:rPr>
              <w:t xml:space="preserve"> (25 mm diameter)</w:t>
            </w:r>
          </w:p>
        </w:tc>
        <w:tc>
          <w:tcPr>
            <w:tcW w:w="726" w:type="pct"/>
            <w:tcBorders>
              <w:top w:val="single" w:sz="6" w:space="0" w:color="008000"/>
              <w:bottom w:val="single" w:sz="6" w:space="0" w:color="008000"/>
            </w:tcBorders>
            <w:shd w:val="clear" w:color="000000" w:fill="D9D9D9"/>
            <w:vAlign w:val="center"/>
          </w:tcPr>
          <w:p w14:paraId="245C5409"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lang w:val="en-GB"/>
              </w:rPr>
              <w:t>4</w:t>
            </w:r>
            <w:r>
              <w:rPr>
                <w:rFonts w:cs="Arial"/>
                <w:sz w:val="16"/>
                <w:szCs w:val="16"/>
                <w:lang w:val="en-GB"/>
              </w:rPr>
              <w:t>.</w:t>
            </w:r>
            <w:r w:rsidRPr="008D176E">
              <w:rPr>
                <w:rFonts w:cs="Arial"/>
                <w:sz w:val="16"/>
                <w:szCs w:val="16"/>
                <w:lang w:val="en-GB"/>
              </w:rPr>
              <w:t>38 · 10</w:t>
            </w:r>
            <w:r w:rsidRPr="008D176E">
              <w:rPr>
                <w:rFonts w:cs="Arial"/>
                <w:sz w:val="16"/>
                <w:szCs w:val="16"/>
                <w:vertAlign w:val="superscript"/>
                <w:lang w:val="en-GB"/>
              </w:rPr>
              <w:t>-3</w:t>
            </w:r>
          </w:p>
        </w:tc>
      </w:tr>
      <w:tr w:rsidR="008D46E5" w:rsidRPr="008D176E" w14:paraId="2593DE39" w14:textId="77777777" w:rsidTr="00D3151E">
        <w:trPr>
          <w:cantSplit/>
        </w:trPr>
        <w:tc>
          <w:tcPr>
            <w:tcW w:w="2580" w:type="pct"/>
            <w:tcBorders>
              <w:top w:val="single" w:sz="6" w:space="0" w:color="008000"/>
              <w:bottom w:val="single" w:sz="6" w:space="0" w:color="008000"/>
            </w:tcBorders>
            <w:shd w:val="clear" w:color="auto" w:fill="auto"/>
            <w:vAlign w:val="center"/>
          </w:tcPr>
          <w:p w14:paraId="68C9F2D5" w14:textId="77777777" w:rsidR="008D46E5" w:rsidRPr="005F0E0C" w:rsidRDefault="008D46E5" w:rsidP="00D3151E">
            <w:pPr>
              <w:pStyle w:val="CETBodytext"/>
              <w:ind w:right="-1"/>
              <w:jc w:val="left"/>
              <w:rPr>
                <w:rFonts w:cs="Arial"/>
                <w:sz w:val="15"/>
                <w:szCs w:val="15"/>
                <w:lang w:val="en-GB"/>
              </w:rPr>
            </w:pPr>
            <w:r>
              <w:rPr>
                <w:rFonts w:cs="Arial"/>
                <w:sz w:val="15"/>
                <w:szCs w:val="15"/>
                <w:lang w:val="en-GB"/>
              </w:rPr>
              <w:t xml:space="preserve">3R - </w:t>
            </w:r>
            <w:r w:rsidRPr="009F25A5">
              <w:rPr>
                <w:rFonts w:cs="Arial"/>
                <w:sz w:val="15"/>
                <w:szCs w:val="15"/>
                <w:lang w:val="en-GB"/>
              </w:rPr>
              <w:t>FSRU filling LNG manifold downstream of the hoses</w:t>
            </w:r>
          </w:p>
        </w:tc>
        <w:tc>
          <w:tcPr>
            <w:tcW w:w="1694" w:type="pct"/>
            <w:tcBorders>
              <w:top w:val="single" w:sz="6" w:space="0" w:color="008000"/>
              <w:bottom w:val="single" w:sz="6" w:space="0" w:color="008000"/>
            </w:tcBorders>
            <w:shd w:val="clear" w:color="auto" w:fill="auto"/>
            <w:vAlign w:val="center"/>
          </w:tcPr>
          <w:p w14:paraId="2675B5D0"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bottom w:val="single" w:sz="6" w:space="0" w:color="008000"/>
            </w:tcBorders>
            <w:shd w:val="clear" w:color="000000" w:fill="D9D9D9"/>
            <w:vAlign w:val="center"/>
          </w:tcPr>
          <w:p w14:paraId="0CCCBDA3"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lang w:val="en-GB"/>
              </w:rPr>
              <w:t>2</w:t>
            </w:r>
            <w:r>
              <w:rPr>
                <w:rFonts w:cs="Arial"/>
                <w:sz w:val="16"/>
                <w:szCs w:val="16"/>
                <w:lang w:val="en-GB"/>
              </w:rPr>
              <w:t>.</w:t>
            </w:r>
            <w:r w:rsidRPr="008D176E">
              <w:rPr>
                <w:rFonts w:cs="Arial"/>
                <w:sz w:val="16"/>
                <w:szCs w:val="16"/>
                <w:lang w:val="en-GB"/>
              </w:rPr>
              <w:t>30 · 10</w:t>
            </w:r>
            <w:r w:rsidRPr="008D176E">
              <w:rPr>
                <w:rFonts w:cs="Arial"/>
                <w:sz w:val="16"/>
                <w:szCs w:val="16"/>
                <w:vertAlign w:val="superscript"/>
                <w:lang w:val="en-GB"/>
              </w:rPr>
              <w:t>-5</w:t>
            </w:r>
          </w:p>
        </w:tc>
      </w:tr>
      <w:tr w:rsidR="008D46E5" w:rsidRPr="008D176E" w14:paraId="02E8B250" w14:textId="77777777" w:rsidTr="00D3151E">
        <w:trPr>
          <w:cantSplit/>
        </w:trPr>
        <w:tc>
          <w:tcPr>
            <w:tcW w:w="2580" w:type="pct"/>
            <w:tcBorders>
              <w:top w:val="single" w:sz="6" w:space="0" w:color="008000"/>
              <w:bottom w:val="single" w:sz="6" w:space="0" w:color="008000"/>
            </w:tcBorders>
            <w:shd w:val="clear" w:color="auto" w:fill="auto"/>
            <w:vAlign w:val="center"/>
          </w:tcPr>
          <w:p w14:paraId="34C0F98A" w14:textId="77777777" w:rsidR="008D46E5" w:rsidRPr="005F0E0C" w:rsidRDefault="008D46E5" w:rsidP="00D3151E">
            <w:pPr>
              <w:pStyle w:val="CETBodytext"/>
              <w:ind w:right="-1"/>
              <w:jc w:val="left"/>
              <w:rPr>
                <w:rFonts w:cs="Arial"/>
                <w:sz w:val="15"/>
                <w:szCs w:val="15"/>
                <w:lang w:val="en-GB"/>
              </w:rPr>
            </w:pPr>
            <w:r>
              <w:rPr>
                <w:rFonts w:cs="Arial"/>
                <w:sz w:val="15"/>
                <w:szCs w:val="15"/>
                <w:lang w:val="en-GB"/>
              </w:rPr>
              <w:t xml:space="preserve">4R - </w:t>
            </w:r>
            <w:r w:rsidRPr="009F25A5">
              <w:rPr>
                <w:rFonts w:cs="Arial"/>
                <w:sz w:val="15"/>
                <w:szCs w:val="15"/>
                <w:lang w:val="en"/>
              </w:rPr>
              <w:t>FSRU tank loading lines during filling from a</w:t>
            </w:r>
            <w:r>
              <w:rPr>
                <w:rFonts w:cs="Arial"/>
                <w:sz w:val="15"/>
                <w:szCs w:val="15"/>
                <w:lang w:val="en"/>
              </w:rPr>
              <w:t>n</w:t>
            </w:r>
            <w:r w:rsidRPr="009F25A5">
              <w:rPr>
                <w:rFonts w:cs="Arial"/>
                <w:sz w:val="15"/>
                <w:szCs w:val="15"/>
                <w:lang w:val="en"/>
              </w:rPr>
              <w:t xml:space="preserve"> </w:t>
            </w:r>
            <w:r>
              <w:rPr>
                <w:rFonts w:cs="Arial"/>
                <w:sz w:val="15"/>
                <w:szCs w:val="15"/>
                <w:lang w:val="en"/>
              </w:rPr>
              <w:t>LNG Carrier</w:t>
            </w:r>
          </w:p>
        </w:tc>
        <w:tc>
          <w:tcPr>
            <w:tcW w:w="1694" w:type="pct"/>
            <w:tcBorders>
              <w:top w:val="single" w:sz="6" w:space="0" w:color="008000"/>
              <w:bottom w:val="single" w:sz="6" w:space="0" w:color="008000"/>
            </w:tcBorders>
            <w:shd w:val="clear" w:color="auto" w:fill="auto"/>
            <w:vAlign w:val="center"/>
          </w:tcPr>
          <w:p w14:paraId="6A31EBE3"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bottom w:val="single" w:sz="6" w:space="0" w:color="008000"/>
            </w:tcBorders>
            <w:shd w:val="clear" w:color="000000" w:fill="D9D9D9"/>
            <w:vAlign w:val="center"/>
          </w:tcPr>
          <w:p w14:paraId="18334B9E"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lang w:val="en-GB"/>
              </w:rPr>
              <w:t>3</w:t>
            </w:r>
            <w:r>
              <w:rPr>
                <w:rFonts w:cs="Arial"/>
                <w:sz w:val="16"/>
                <w:szCs w:val="16"/>
                <w:lang w:val="en-GB"/>
              </w:rPr>
              <w:t>.</w:t>
            </w:r>
            <w:r w:rsidRPr="008D176E">
              <w:rPr>
                <w:rFonts w:cs="Arial"/>
                <w:sz w:val="16"/>
                <w:szCs w:val="16"/>
                <w:lang w:val="en-GB"/>
              </w:rPr>
              <w:t>20 · 10</w:t>
            </w:r>
            <w:r w:rsidRPr="008D176E">
              <w:rPr>
                <w:rFonts w:cs="Arial"/>
                <w:sz w:val="16"/>
                <w:szCs w:val="16"/>
                <w:vertAlign w:val="superscript"/>
                <w:lang w:val="en-GB"/>
              </w:rPr>
              <w:t>-6</w:t>
            </w:r>
          </w:p>
        </w:tc>
      </w:tr>
      <w:tr w:rsidR="008D46E5" w:rsidRPr="008D176E" w14:paraId="669361B7" w14:textId="77777777" w:rsidTr="00D3151E">
        <w:trPr>
          <w:cantSplit/>
        </w:trPr>
        <w:tc>
          <w:tcPr>
            <w:tcW w:w="2580" w:type="pct"/>
            <w:tcBorders>
              <w:top w:val="single" w:sz="6" w:space="0" w:color="008000"/>
              <w:bottom w:val="single" w:sz="6" w:space="0" w:color="008000"/>
            </w:tcBorders>
            <w:shd w:val="clear" w:color="auto" w:fill="auto"/>
            <w:vAlign w:val="center"/>
          </w:tcPr>
          <w:p w14:paraId="340D463C" w14:textId="77777777" w:rsidR="008D46E5" w:rsidRPr="005F0E0C" w:rsidRDefault="008D46E5" w:rsidP="00D3151E">
            <w:pPr>
              <w:pStyle w:val="CETBodytext"/>
              <w:ind w:right="-1"/>
              <w:jc w:val="left"/>
              <w:rPr>
                <w:rFonts w:cs="Arial"/>
                <w:sz w:val="15"/>
                <w:szCs w:val="15"/>
                <w:lang w:val="en-GB"/>
              </w:rPr>
            </w:pPr>
            <w:r>
              <w:rPr>
                <w:rFonts w:cs="Arial"/>
                <w:sz w:val="15"/>
                <w:szCs w:val="15"/>
                <w:lang w:val="en-GB"/>
              </w:rPr>
              <w:t xml:space="preserve">5R - </w:t>
            </w:r>
            <w:r w:rsidRPr="009F25A5">
              <w:rPr>
                <w:rFonts w:cs="Arial"/>
                <w:sz w:val="15"/>
                <w:szCs w:val="15"/>
                <w:lang w:val="en-GB"/>
              </w:rPr>
              <w:t xml:space="preserve">LNG Feed pump delivery lines and FSRU main LNG manifold during filling from a </w:t>
            </w:r>
            <w:r>
              <w:rPr>
                <w:rFonts w:cs="Arial"/>
                <w:sz w:val="15"/>
                <w:szCs w:val="15"/>
                <w:lang w:val="en-GB"/>
              </w:rPr>
              <w:t>LNG Carrier</w:t>
            </w:r>
          </w:p>
        </w:tc>
        <w:tc>
          <w:tcPr>
            <w:tcW w:w="1694" w:type="pct"/>
            <w:tcBorders>
              <w:top w:val="single" w:sz="6" w:space="0" w:color="008000"/>
              <w:bottom w:val="single" w:sz="6" w:space="0" w:color="008000"/>
            </w:tcBorders>
            <w:shd w:val="clear" w:color="auto" w:fill="auto"/>
            <w:vAlign w:val="center"/>
          </w:tcPr>
          <w:p w14:paraId="7C4C34DA"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bottom w:val="single" w:sz="6" w:space="0" w:color="008000"/>
            </w:tcBorders>
            <w:shd w:val="clear" w:color="000000" w:fill="D9D9D9"/>
            <w:vAlign w:val="center"/>
          </w:tcPr>
          <w:p w14:paraId="129483DD"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lang w:val="en-GB"/>
              </w:rPr>
              <w:t>2</w:t>
            </w:r>
            <w:r>
              <w:rPr>
                <w:rFonts w:cs="Arial"/>
                <w:sz w:val="16"/>
                <w:szCs w:val="16"/>
                <w:lang w:val="en-GB"/>
              </w:rPr>
              <w:t>.</w:t>
            </w:r>
            <w:r w:rsidRPr="008D176E">
              <w:rPr>
                <w:rFonts w:cs="Arial"/>
                <w:sz w:val="16"/>
                <w:szCs w:val="16"/>
                <w:lang w:val="en-GB"/>
              </w:rPr>
              <w:t>20 · 10</w:t>
            </w:r>
            <w:r w:rsidRPr="008D176E">
              <w:rPr>
                <w:rFonts w:cs="Arial"/>
                <w:sz w:val="16"/>
                <w:szCs w:val="16"/>
                <w:vertAlign w:val="superscript"/>
                <w:lang w:val="en-GB"/>
              </w:rPr>
              <w:t>-5</w:t>
            </w:r>
          </w:p>
        </w:tc>
      </w:tr>
      <w:tr w:rsidR="008D46E5" w:rsidRPr="008D176E" w14:paraId="00A43637" w14:textId="77777777" w:rsidTr="00D3151E">
        <w:trPr>
          <w:cantSplit/>
        </w:trPr>
        <w:tc>
          <w:tcPr>
            <w:tcW w:w="2580" w:type="pct"/>
            <w:tcBorders>
              <w:top w:val="single" w:sz="6" w:space="0" w:color="008000"/>
              <w:bottom w:val="single" w:sz="6" w:space="0" w:color="008000"/>
            </w:tcBorders>
            <w:shd w:val="clear" w:color="auto" w:fill="auto"/>
            <w:vAlign w:val="center"/>
          </w:tcPr>
          <w:p w14:paraId="3F189EAB" w14:textId="77777777" w:rsidR="008D46E5" w:rsidRPr="005F0E0C" w:rsidRDefault="008D46E5" w:rsidP="00D3151E">
            <w:pPr>
              <w:pStyle w:val="CETBodytext"/>
              <w:ind w:right="-1"/>
              <w:jc w:val="left"/>
              <w:rPr>
                <w:rFonts w:cs="Arial"/>
                <w:sz w:val="15"/>
                <w:szCs w:val="15"/>
                <w:lang w:val="en-GB"/>
              </w:rPr>
            </w:pPr>
            <w:r>
              <w:rPr>
                <w:rFonts w:cs="Arial"/>
                <w:sz w:val="15"/>
                <w:szCs w:val="15"/>
                <w:lang w:val="en-GB"/>
              </w:rPr>
              <w:t xml:space="preserve">6R - </w:t>
            </w:r>
            <w:r w:rsidRPr="009F25A5">
              <w:rPr>
                <w:rFonts w:cs="Arial"/>
                <w:sz w:val="15"/>
                <w:szCs w:val="15"/>
                <w:lang w:val="en"/>
              </w:rPr>
              <w:t>FSRU LNG recirculation lines during filling from a</w:t>
            </w:r>
            <w:r>
              <w:rPr>
                <w:rFonts w:cs="Arial"/>
                <w:sz w:val="15"/>
                <w:szCs w:val="15"/>
                <w:lang w:val="en"/>
              </w:rPr>
              <w:t>n</w:t>
            </w:r>
            <w:r w:rsidRPr="009F25A5">
              <w:rPr>
                <w:rFonts w:cs="Arial"/>
                <w:sz w:val="15"/>
                <w:szCs w:val="15"/>
                <w:lang w:val="en"/>
              </w:rPr>
              <w:t xml:space="preserve"> </w:t>
            </w:r>
            <w:r>
              <w:rPr>
                <w:rFonts w:cs="Arial"/>
                <w:sz w:val="15"/>
                <w:szCs w:val="15"/>
                <w:lang w:val="en"/>
              </w:rPr>
              <w:t>LNG Carrier</w:t>
            </w:r>
          </w:p>
        </w:tc>
        <w:tc>
          <w:tcPr>
            <w:tcW w:w="1694" w:type="pct"/>
            <w:tcBorders>
              <w:top w:val="single" w:sz="6" w:space="0" w:color="008000"/>
              <w:bottom w:val="single" w:sz="6" w:space="0" w:color="008000"/>
            </w:tcBorders>
            <w:shd w:val="clear" w:color="auto" w:fill="auto"/>
            <w:vAlign w:val="center"/>
          </w:tcPr>
          <w:p w14:paraId="2E8BE342"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bottom w:val="single" w:sz="6" w:space="0" w:color="008000"/>
            </w:tcBorders>
            <w:shd w:val="clear" w:color="000000" w:fill="D9D9D9"/>
            <w:vAlign w:val="center"/>
          </w:tcPr>
          <w:p w14:paraId="479A2C59"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lang w:val="en-GB"/>
              </w:rPr>
              <w:t>2</w:t>
            </w:r>
            <w:r>
              <w:rPr>
                <w:rFonts w:cs="Arial"/>
                <w:sz w:val="16"/>
                <w:szCs w:val="16"/>
                <w:lang w:val="en-GB"/>
              </w:rPr>
              <w:t>.</w:t>
            </w:r>
            <w:r w:rsidRPr="008D176E">
              <w:rPr>
                <w:rFonts w:cs="Arial"/>
                <w:sz w:val="16"/>
                <w:szCs w:val="16"/>
                <w:lang w:val="en-GB"/>
              </w:rPr>
              <w:t>02 · 10</w:t>
            </w:r>
            <w:r w:rsidRPr="008D176E">
              <w:rPr>
                <w:rFonts w:cs="Arial"/>
                <w:sz w:val="16"/>
                <w:szCs w:val="16"/>
                <w:vertAlign w:val="superscript"/>
                <w:lang w:val="en-GB"/>
              </w:rPr>
              <w:t>-4</w:t>
            </w:r>
          </w:p>
        </w:tc>
      </w:tr>
      <w:tr w:rsidR="008D46E5" w:rsidRPr="008D176E" w14:paraId="698A9A47" w14:textId="77777777" w:rsidTr="00D3151E">
        <w:trPr>
          <w:cantSplit/>
        </w:trPr>
        <w:tc>
          <w:tcPr>
            <w:tcW w:w="2580" w:type="pct"/>
            <w:tcBorders>
              <w:top w:val="single" w:sz="6" w:space="0" w:color="008000"/>
              <w:bottom w:val="single" w:sz="6" w:space="0" w:color="008000"/>
            </w:tcBorders>
            <w:shd w:val="clear" w:color="auto" w:fill="auto"/>
            <w:vAlign w:val="center"/>
          </w:tcPr>
          <w:p w14:paraId="36C09454" w14:textId="77777777" w:rsidR="008D46E5" w:rsidRPr="005F0E0C" w:rsidRDefault="008D46E5" w:rsidP="00D3151E">
            <w:pPr>
              <w:pStyle w:val="CETBodytext"/>
              <w:ind w:right="-1"/>
              <w:jc w:val="left"/>
              <w:rPr>
                <w:rFonts w:cs="Arial"/>
                <w:sz w:val="15"/>
                <w:szCs w:val="15"/>
                <w:lang w:val="en-GB"/>
              </w:rPr>
            </w:pPr>
            <w:r w:rsidRPr="008D176E">
              <w:rPr>
                <w:rFonts w:cs="Arial"/>
                <w:sz w:val="15"/>
                <w:szCs w:val="15"/>
                <w:lang w:val="en-GB"/>
              </w:rPr>
              <w:t xml:space="preserve">13R - </w:t>
            </w:r>
            <w:r w:rsidRPr="004C0F2A">
              <w:rPr>
                <w:rFonts w:cs="Arial"/>
                <w:sz w:val="15"/>
                <w:szCs w:val="15"/>
                <w:lang w:val="en"/>
              </w:rPr>
              <w:t>BOG return lines to LNG carrier</w:t>
            </w:r>
          </w:p>
        </w:tc>
        <w:tc>
          <w:tcPr>
            <w:tcW w:w="1694" w:type="pct"/>
            <w:tcBorders>
              <w:top w:val="single" w:sz="6" w:space="0" w:color="008000"/>
              <w:bottom w:val="single" w:sz="6" w:space="0" w:color="008000"/>
            </w:tcBorders>
            <w:shd w:val="clear" w:color="auto" w:fill="auto"/>
            <w:vAlign w:val="center"/>
          </w:tcPr>
          <w:p w14:paraId="150724C6"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bottom w:val="single" w:sz="6" w:space="0" w:color="008000"/>
            </w:tcBorders>
            <w:shd w:val="clear" w:color="000000" w:fill="D9D9D9"/>
            <w:vAlign w:val="center"/>
          </w:tcPr>
          <w:p w14:paraId="4E1A7F18"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lang w:val="en-GB"/>
              </w:rPr>
              <w:t>2</w:t>
            </w:r>
            <w:r>
              <w:rPr>
                <w:rFonts w:cs="Arial"/>
                <w:sz w:val="16"/>
                <w:szCs w:val="16"/>
                <w:lang w:val="en-GB"/>
              </w:rPr>
              <w:t>.</w:t>
            </w:r>
            <w:r w:rsidRPr="008D176E">
              <w:rPr>
                <w:rFonts w:cs="Arial"/>
                <w:sz w:val="16"/>
                <w:szCs w:val="16"/>
                <w:lang w:val="en-GB"/>
              </w:rPr>
              <w:t>13 · 10</w:t>
            </w:r>
            <w:r w:rsidRPr="008D176E">
              <w:rPr>
                <w:rFonts w:cs="Arial"/>
                <w:sz w:val="16"/>
                <w:szCs w:val="16"/>
                <w:vertAlign w:val="superscript"/>
                <w:lang w:val="en-GB"/>
              </w:rPr>
              <w:t>-5</w:t>
            </w:r>
          </w:p>
        </w:tc>
      </w:tr>
      <w:tr w:rsidR="008D46E5" w:rsidRPr="008D176E" w14:paraId="0F99F1B2" w14:textId="77777777" w:rsidTr="00D3151E">
        <w:trPr>
          <w:cantSplit/>
        </w:trPr>
        <w:tc>
          <w:tcPr>
            <w:tcW w:w="2580" w:type="pct"/>
            <w:tcBorders>
              <w:top w:val="single" w:sz="6" w:space="0" w:color="008000"/>
              <w:bottom w:val="single" w:sz="6" w:space="0" w:color="008000"/>
            </w:tcBorders>
            <w:shd w:val="clear" w:color="auto" w:fill="auto"/>
            <w:vAlign w:val="center"/>
          </w:tcPr>
          <w:p w14:paraId="054D787A" w14:textId="77777777" w:rsidR="008D46E5" w:rsidRPr="005F0E0C" w:rsidRDefault="008D46E5" w:rsidP="00D3151E">
            <w:pPr>
              <w:pStyle w:val="CETBodytext"/>
              <w:ind w:right="-1"/>
              <w:jc w:val="left"/>
              <w:rPr>
                <w:rFonts w:cs="Arial"/>
                <w:sz w:val="15"/>
                <w:szCs w:val="15"/>
                <w:lang w:val="en-GB"/>
              </w:rPr>
            </w:pPr>
            <w:r w:rsidRPr="008D176E">
              <w:rPr>
                <w:rFonts w:cs="Arial"/>
                <w:sz w:val="15"/>
                <w:szCs w:val="15"/>
                <w:lang w:val="en-GB"/>
              </w:rPr>
              <w:t xml:space="preserve">1H - </w:t>
            </w:r>
            <w:r w:rsidRPr="004C0F2A">
              <w:rPr>
                <w:rFonts w:cs="Arial"/>
                <w:sz w:val="15"/>
                <w:szCs w:val="15"/>
                <w:lang w:val="en"/>
              </w:rPr>
              <w:t>BOG return lines to LNG carrie</w:t>
            </w:r>
            <w:r>
              <w:rPr>
                <w:rFonts w:cs="Arial"/>
                <w:sz w:val="15"/>
                <w:szCs w:val="15"/>
                <w:lang w:val="en"/>
              </w:rPr>
              <w:t>r</w:t>
            </w:r>
          </w:p>
        </w:tc>
        <w:tc>
          <w:tcPr>
            <w:tcW w:w="1694" w:type="pct"/>
            <w:tcBorders>
              <w:top w:val="single" w:sz="6" w:space="0" w:color="008000"/>
              <w:bottom w:val="single" w:sz="6" w:space="0" w:color="008000"/>
            </w:tcBorders>
            <w:shd w:val="clear" w:color="auto" w:fill="auto"/>
            <w:vAlign w:val="center"/>
          </w:tcPr>
          <w:p w14:paraId="08139C44" w14:textId="77777777" w:rsidR="008D46E5" w:rsidRPr="008D176E" w:rsidRDefault="008D46E5" w:rsidP="00D3151E">
            <w:pPr>
              <w:pStyle w:val="CETBodytext"/>
              <w:ind w:right="-1"/>
              <w:jc w:val="left"/>
              <w:rPr>
                <w:rFonts w:cs="Arial"/>
                <w:sz w:val="15"/>
                <w:szCs w:val="15"/>
                <w:lang w:val="en-GB"/>
              </w:rPr>
            </w:pPr>
            <w:r w:rsidRPr="008D176E">
              <w:rPr>
                <w:rFonts w:cs="Arial"/>
                <w:sz w:val="15"/>
                <w:szCs w:val="15"/>
                <w:lang w:val="en-GB"/>
              </w:rPr>
              <w:t>-</w:t>
            </w:r>
          </w:p>
        </w:tc>
        <w:tc>
          <w:tcPr>
            <w:tcW w:w="726" w:type="pct"/>
            <w:tcBorders>
              <w:top w:val="single" w:sz="6" w:space="0" w:color="008000"/>
              <w:bottom w:val="single" w:sz="6" w:space="0" w:color="008000"/>
            </w:tcBorders>
            <w:shd w:val="clear" w:color="000000" w:fill="D9D9D9"/>
            <w:vAlign w:val="center"/>
          </w:tcPr>
          <w:p w14:paraId="735E9C2A"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lang w:val="en-GB"/>
              </w:rPr>
              <w:t>1</w:t>
            </w:r>
            <w:r>
              <w:rPr>
                <w:rFonts w:cs="Arial"/>
                <w:sz w:val="16"/>
                <w:szCs w:val="16"/>
                <w:lang w:val="en-GB"/>
              </w:rPr>
              <w:t>.</w:t>
            </w:r>
            <w:r w:rsidRPr="008D176E">
              <w:rPr>
                <w:rFonts w:cs="Arial"/>
                <w:sz w:val="16"/>
                <w:szCs w:val="16"/>
                <w:lang w:val="en-GB"/>
              </w:rPr>
              <w:t>80 · 10</w:t>
            </w:r>
            <w:r w:rsidRPr="008D176E">
              <w:rPr>
                <w:rFonts w:cs="Arial"/>
                <w:sz w:val="16"/>
                <w:szCs w:val="16"/>
                <w:vertAlign w:val="superscript"/>
                <w:lang w:val="en-GB"/>
              </w:rPr>
              <w:t>-3</w:t>
            </w:r>
          </w:p>
        </w:tc>
      </w:tr>
      <w:tr w:rsidR="008D46E5" w:rsidRPr="008D176E" w14:paraId="118FA908" w14:textId="77777777" w:rsidTr="00D3151E">
        <w:trPr>
          <w:cantSplit/>
        </w:trPr>
        <w:tc>
          <w:tcPr>
            <w:tcW w:w="2580" w:type="pct"/>
            <w:tcBorders>
              <w:top w:val="single" w:sz="6" w:space="0" w:color="008000"/>
              <w:bottom w:val="single" w:sz="12" w:space="0" w:color="008000"/>
            </w:tcBorders>
            <w:shd w:val="clear" w:color="auto" w:fill="auto"/>
            <w:vAlign w:val="center"/>
          </w:tcPr>
          <w:p w14:paraId="1FD9E5A6" w14:textId="77777777" w:rsidR="008D46E5" w:rsidRPr="005F0E0C" w:rsidRDefault="008D46E5" w:rsidP="00D3151E">
            <w:pPr>
              <w:pStyle w:val="CETBodytext"/>
              <w:ind w:right="-1"/>
              <w:jc w:val="left"/>
              <w:rPr>
                <w:rFonts w:cs="Arial"/>
                <w:sz w:val="15"/>
                <w:szCs w:val="15"/>
                <w:lang w:val="en-GB"/>
              </w:rPr>
            </w:pPr>
            <w:r w:rsidRPr="008D176E">
              <w:rPr>
                <w:rFonts w:cs="Arial"/>
                <w:sz w:val="15"/>
                <w:szCs w:val="15"/>
                <w:lang w:val="en-GB"/>
              </w:rPr>
              <w:t xml:space="preserve">5H - </w:t>
            </w:r>
            <w:r w:rsidRPr="004C0F2A">
              <w:rPr>
                <w:rFonts w:cs="Arial"/>
                <w:sz w:val="15"/>
                <w:szCs w:val="15"/>
                <w:lang w:val="en"/>
              </w:rPr>
              <w:t>Roll over LNG</w:t>
            </w:r>
            <w:r>
              <w:rPr>
                <w:rFonts w:cs="Arial"/>
                <w:sz w:val="15"/>
                <w:szCs w:val="15"/>
                <w:lang w:val="en"/>
              </w:rPr>
              <w:t xml:space="preserve"> internal</w:t>
            </w:r>
            <w:r w:rsidRPr="004C0F2A">
              <w:rPr>
                <w:rFonts w:cs="Arial"/>
                <w:sz w:val="15"/>
                <w:szCs w:val="15"/>
                <w:lang w:val="en"/>
              </w:rPr>
              <w:t xml:space="preserve"> tank</w:t>
            </w:r>
          </w:p>
        </w:tc>
        <w:tc>
          <w:tcPr>
            <w:tcW w:w="1694" w:type="pct"/>
            <w:tcBorders>
              <w:top w:val="single" w:sz="6" w:space="0" w:color="008000"/>
              <w:bottom w:val="single" w:sz="12" w:space="0" w:color="008000"/>
            </w:tcBorders>
            <w:shd w:val="clear" w:color="auto" w:fill="auto"/>
            <w:vAlign w:val="center"/>
          </w:tcPr>
          <w:p w14:paraId="054BDCB0" w14:textId="77777777" w:rsidR="008D46E5" w:rsidRPr="008D176E" w:rsidRDefault="008D46E5" w:rsidP="00D3151E">
            <w:pPr>
              <w:pStyle w:val="CETBodytext"/>
              <w:ind w:right="-1"/>
              <w:jc w:val="left"/>
              <w:rPr>
                <w:rFonts w:cs="Arial"/>
                <w:sz w:val="15"/>
                <w:szCs w:val="15"/>
                <w:lang w:val="en-GB"/>
              </w:rPr>
            </w:pPr>
            <w:r w:rsidRPr="008D176E">
              <w:rPr>
                <w:rFonts w:cs="Arial"/>
                <w:sz w:val="15"/>
                <w:szCs w:val="15"/>
                <w:lang w:val="en-GB"/>
              </w:rPr>
              <w:t>-</w:t>
            </w:r>
          </w:p>
        </w:tc>
        <w:tc>
          <w:tcPr>
            <w:tcW w:w="726" w:type="pct"/>
            <w:tcBorders>
              <w:top w:val="single" w:sz="6" w:space="0" w:color="008000"/>
              <w:bottom w:val="single" w:sz="12" w:space="0" w:color="008000"/>
            </w:tcBorders>
            <w:shd w:val="clear" w:color="000000" w:fill="D9D9D9"/>
            <w:vAlign w:val="center"/>
          </w:tcPr>
          <w:p w14:paraId="4A5DF513"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lang w:val="en-GB"/>
              </w:rPr>
              <w:t>8</w:t>
            </w:r>
            <w:r>
              <w:rPr>
                <w:rFonts w:cs="Arial"/>
                <w:sz w:val="16"/>
                <w:szCs w:val="16"/>
                <w:lang w:val="en-GB"/>
              </w:rPr>
              <w:t>.</w:t>
            </w:r>
            <w:r w:rsidRPr="008D176E">
              <w:rPr>
                <w:rFonts w:cs="Arial"/>
                <w:sz w:val="16"/>
                <w:szCs w:val="16"/>
                <w:lang w:val="en-GB"/>
              </w:rPr>
              <w:t>90 · 10</w:t>
            </w:r>
            <w:r w:rsidRPr="008D176E">
              <w:rPr>
                <w:rFonts w:cs="Arial"/>
                <w:sz w:val="16"/>
                <w:szCs w:val="16"/>
                <w:vertAlign w:val="superscript"/>
                <w:lang w:val="en-GB"/>
              </w:rPr>
              <w:t>-9</w:t>
            </w:r>
          </w:p>
        </w:tc>
      </w:tr>
      <w:tr w:rsidR="008D46E5" w:rsidRPr="008D176E" w14:paraId="6EC8CCB0" w14:textId="77777777" w:rsidTr="00D3151E">
        <w:trPr>
          <w:cantSplit/>
        </w:trPr>
        <w:tc>
          <w:tcPr>
            <w:tcW w:w="5000" w:type="pct"/>
            <w:gridSpan w:val="3"/>
            <w:tcBorders>
              <w:top w:val="single" w:sz="12" w:space="0" w:color="008000"/>
              <w:bottom w:val="single" w:sz="6" w:space="0" w:color="008000"/>
            </w:tcBorders>
            <w:shd w:val="clear" w:color="auto" w:fill="FFFFFF"/>
            <w:vAlign w:val="center"/>
          </w:tcPr>
          <w:p w14:paraId="4F544430" w14:textId="77777777" w:rsidR="008D46E5" w:rsidRPr="004C0F2A" w:rsidRDefault="008D46E5" w:rsidP="00D3151E">
            <w:pPr>
              <w:pStyle w:val="CETBodytext"/>
              <w:tabs>
                <w:tab w:val="clear" w:pos="7100"/>
              </w:tabs>
              <w:ind w:right="-1"/>
              <w:jc w:val="left"/>
              <w:rPr>
                <w:rFonts w:cs="Arial"/>
                <w:sz w:val="16"/>
                <w:szCs w:val="16"/>
                <w:lang w:val="it-IT"/>
              </w:rPr>
            </w:pPr>
            <w:r w:rsidRPr="008D176E">
              <w:rPr>
                <w:rFonts w:cs="Arial"/>
                <w:sz w:val="16"/>
                <w:szCs w:val="16"/>
                <w:lang w:val="en-GB"/>
              </w:rPr>
              <w:t>II</w:t>
            </w:r>
            <w:r w:rsidRPr="008D176E">
              <w:rPr>
                <w:rFonts w:cs="Arial"/>
                <w:sz w:val="16"/>
                <w:szCs w:val="16"/>
                <w:lang w:val="en-GB"/>
              </w:rPr>
              <w:tab/>
            </w:r>
            <w:r w:rsidRPr="004C0F2A">
              <w:rPr>
                <w:rFonts w:cs="Arial"/>
                <w:sz w:val="16"/>
                <w:szCs w:val="16"/>
                <w:lang w:val="en"/>
              </w:rPr>
              <w:t>FSRU IN REGASIFICATION</w:t>
            </w:r>
          </w:p>
        </w:tc>
      </w:tr>
      <w:tr w:rsidR="008D46E5" w:rsidRPr="008D176E" w14:paraId="1C4B099B" w14:textId="77777777" w:rsidTr="00D3151E">
        <w:trPr>
          <w:cantSplit/>
        </w:trPr>
        <w:tc>
          <w:tcPr>
            <w:tcW w:w="2580" w:type="pct"/>
            <w:tcBorders>
              <w:top w:val="single" w:sz="6" w:space="0" w:color="008000"/>
              <w:bottom w:val="single" w:sz="6" w:space="0" w:color="008000"/>
            </w:tcBorders>
            <w:shd w:val="clear" w:color="auto" w:fill="auto"/>
            <w:vAlign w:val="center"/>
          </w:tcPr>
          <w:p w14:paraId="28616151" w14:textId="77777777" w:rsidR="008D46E5" w:rsidRPr="005F0E0C" w:rsidRDefault="008D46E5" w:rsidP="00D3151E">
            <w:pPr>
              <w:pStyle w:val="CETBodytext"/>
              <w:ind w:right="-1"/>
              <w:jc w:val="left"/>
              <w:rPr>
                <w:rFonts w:cs="Arial"/>
                <w:sz w:val="15"/>
                <w:szCs w:val="15"/>
                <w:lang w:val="en-GB"/>
              </w:rPr>
            </w:pPr>
            <w:r w:rsidRPr="00AE11C3">
              <w:rPr>
                <w:rFonts w:cs="Arial"/>
                <w:sz w:val="15"/>
                <w:szCs w:val="15"/>
                <w:lang w:val="en-GB"/>
              </w:rPr>
              <w:t xml:space="preserve">7R - </w:t>
            </w:r>
            <w:r w:rsidRPr="004C0F2A">
              <w:rPr>
                <w:rFonts w:cs="Arial"/>
                <w:sz w:val="15"/>
                <w:szCs w:val="15"/>
                <w:lang w:val="en"/>
              </w:rPr>
              <w:t>LNG Feed pump delivery lines and FSRU main LNG manifold</w:t>
            </w:r>
          </w:p>
        </w:tc>
        <w:tc>
          <w:tcPr>
            <w:tcW w:w="1694" w:type="pct"/>
            <w:tcBorders>
              <w:top w:val="single" w:sz="6" w:space="0" w:color="008000"/>
              <w:bottom w:val="single" w:sz="6" w:space="0" w:color="008000"/>
            </w:tcBorders>
            <w:shd w:val="clear" w:color="auto" w:fill="auto"/>
            <w:vAlign w:val="center"/>
          </w:tcPr>
          <w:p w14:paraId="3ADF3120"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bottom w:val="single" w:sz="6" w:space="0" w:color="008000"/>
            </w:tcBorders>
            <w:shd w:val="clear" w:color="000000" w:fill="D9D9D9"/>
            <w:vAlign w:val="center"/>
          </w:tcPr>
          <w:p w14:paraId="1F6C6428" w14:textId="77777777" w:rsidR="008D46E5" w:rsidRPr="008D176E" w:rsidRDefault="008D46E5" w:rsidP="00D3151E">
            <w:pPr>
              <w:pStyle w:val="CETBodytext"/>
              <w:ind w:right="-1"/>
              <w:jc w:val="left"/>
              <w:rPr>
                <w:rFonts w:cs="Arial"/>
                <w:sz w:val="16"/>
                <w:szCs w:val="16"/>
                <w:lang w:val="en-GB"/>
              </w:rPr>
            </w:pPr>
            <w:r w:rsidRPr="00AE11C3">
              <w:rPr>
                <w:rFonts w:cs="Arial"/>
                <w:sz w:val="16"/>
                <w:szCs w:val="16"/>
                <w:lang w:val="en-GB"/>
              </w:rPr>
              <w:t>1</w:t>
            </w:r>
            <w:r>
              <w:rPr>
                <w:rFonts w:cs="Arial"/>
                <w:sz w:val="16"/>
                <w:szCs w:val="16"/>
                <w:lang w:val="en-GB"/>
              </w:rPr>
              <w:t>.</w:t>
            </w:r>
            <w:r w:rsidRPr="00AE11C3">
              <w:rPr>
                <w:rFonts w:cs="Arial"/>
                <w:sz w:val="16"/>
                <w:szCs w:val="16"/>
                <w:lang w:val="en-GB"/>
              </w:rPr>
              <w:t>21 · 10</w:t>
            </w:r>
            <w:r w:rsidRPr="00AE11C3">
              <w:rPr>
                <w:rFonts w:cs="Arial"/>
                <w:sz w:val="16"/>
                <w:szCs w:val="16"/>
                <w:vertAlign w:val="superscript"/>
                <w:lang w:val="en-GB"/>
              </w:rPr>
              <w:t>-4</w:t>
            </w:r>
          </w:p>
        </w:tc>
      </w:tr>
      <w:tr w:rsidR="008D46E5" w:rsidRPr="008D176E" w14:paraId="1867660C" w14:textId="77777777" w:rsidTr="00D3151E">
        <w:trPr>
          <w:cantSplit/>
        </w:trPr>
        <w:tc>
          <w:tcPr>
            <w:tcW w:w="2580" w:type="pct"/>
            <w:tcBorders>
              <w:top w:val="single" w:sz="6" w:space="0" w:color="008000"/>
              <w:bottom w:val="single" w:sz="6" w:space="0" w:color="008000"/>
            </w:tcBorders>
            <w:shd w:val="clear" w:color="auto" w:fill="auto"/>
            <w:vAlign w:val="center"/>
          </w:tcPr>
          <w:p w14:paraId="05BC4632" w14:textId="77777777" w:rsidR="008D46E5" w:rsidRPr="005F0E0C" w:rsidRDefault="008D46E5" w:rsidP="00D3151E">
            <w:pPr>
              <w:pStyle w:val="CETBodytext"/>
              <w:ind w:right="-1"/>
              <w:jc w:val="left"/>
              <w:rPr>
                <w:rFonts w:cs="Arial"/>
                <w:sz w:val="15"/>
                <w:szCs w:val="15"/>
                <w:lang w:val="en-GB"/>
              </w:rPr>
            </w:pPr>
            <w:r w:rsidRPr="00AE11C3">
              <w:rPr>
                <w:rFonts w:cs="Arial"/>
                <w:sz w:val="15"/>
                <w:szCs w:val="15"/>
                <w:lang w:val="en-GB"/>
              </w:rPr>
              <w:t xml:space="preserve">8R - </w:t>
            </w:r>
            <w:r w:rsidRPr="004C0F2A">
              <w:rPr>
                <w:rFonts w:cs="Arial"/>
                <w:sz w:val="15"/>
                <w:szCs w:val="15"/>
                <w:lang w:val="en"/>
              </w:rPr>
              <w:t>HP Booster high pressure pump delivery lines</w:t>
            </w:r>
          </w:p>
        </w:tc>
        <w:tc>
          <w:tcPr>
            <w:tcW w:w="1694" w:type="pct"/>
            <w:tcBorders>
              <w:top w:val="single" w:sz="6" w:space="0" w:color="008000"/>
              <w:bottom w:val="single" w:sz="6" w:space="0" w:color="008000"/>
            </w:tcBorders>
            <w:shd w:val="clear" w:color="auto" w:fill="auto"/>
            <w:vAlign w:val="center"/>
          </w:tcPr>
          <w:p w14:paraId="22DD9933"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bottom w:val="single" w:sz="6" w:space="0" w:color="008000"/>
            </w:tcBorders>
            <w:shd w:val="clear" w:color="000000" w:fill="D9D9D9"/>
            <w:vAlign w:val="center"/>
          </w:tcPr>
          <w:p w14:paraId="2A4AF360" w14:textId="77777777" w:rsidR="008D46E5" w:rsidRPr="008D176E" w:rsidRDefault="008D46E5" w:rsidP="00D3151E">
            <w:pPr>
              <w:pStyle w:val="CETBodytext"/>
              <w:ind w:right="-1"/>
              <w:jc w:val="left"/>
              <w:rPr>
                <w:rFonts w:cs="Arial"/>
                <w:sz w:val="16"/>
                <w:szCs w:val="16"/>
                <w:lang w:val="en-GB"/>
              </w:rPr>
            </w:pPr>
            <w:r w:rsidRPr="00AE11C3">
              <w:rPr>
                <w:rFonts w:cs="Arial"/>
                <w:sz w:val="16"/>
                <w:szCs w:val="16"/>
                <w:lang w:val="en-GB"/>
              </w:rPr>
              <w:t>2</w:t>
            </w:r>
            <w:r>
              <w:rPr>
                <w:rFonts w:cs="Arial"/>
                <w:sz w:val="16"/>
                <w:szCs w:val="16"/>
                <w:lang w:val="en-GB"/>
              </w:rPr>
              <w:t>.</w:t>
            </w:r>
            <w:r w:rsidRPr="00AE11C3">
              <w:rPr>
                <w:rFonts w:cs="Arial"/>
                <w:sz w:val="16"/>
                <w:szCs w:val="16"/>
                <w:lang w:val="en-GB"/>
              </w:rPr>
              <w:t>10 · 10</w:t>
            </w:r>
            <w:r w:rsidRPr="00AE11C3">
              <w:rPr>
                <w:rFonts w:cs="Arial"/>
                <w:sz w:val="16"/>
                <w:szCs w:val="16"/>
                <w:vertAlign w:val="superscript"/>
                <w:lang w:val="en-GB"/>
              </w:rPr>
              <w:t>-5</w:t>
            </w:r>
          </w:p>
        </w:tc>
      </w:tr>
      <w:tr w:rsidR="008D46E5" w:rsidRPr="008D176E" w14:paraId="6C6851FA" w14:textId="77777777" w:rsidTr="00D3151E">
        <w:trPr>
          <w:cantSplit/>
        </w:trPr>
        <w:tc>
          <w:tcPr>
            <w:tcW w:w="2580" w:type="pct"/>
            <w:vMerge w:val="restart"/>
            <w:tcBorders>
              <w:top w:val="single" w:sz="6" w:space="0" w:color="008000"/>
            </w:tcBorders>
            <w:shd w:val="clear" w:color="auto" w:fill="auto"/>
            <w:vAlign w:val="center"/>
          </w:tcPr>
          <w:p w14:paraId="51C2885D" w14:textId="77777777" w:rsidR="008D46E5" w:rsidRPr="005F0E0C" w:rsidRDefault="008D46E5" w:rsidP="00D3151E">
            <w:pPr>
              <w:pStyle w:val="CETBodytext"/>
              <w:ind w:right="-1"/>
              <w:jc w:val="left"/>
              <w:rPr>
                <w:rFonts w:cs="Arial"/>
                <w:sz w:val="15"/>
                <w:szCs w:val="15"/>
                <w:lang w:val="en-GB"/>
              </w:rPr>
            </w:pPr>
            <w:r w:rsidRPr="00AE11C3">
              <w:rPr>
                <w:rFonts w:cs="Arial"/>
                <w:sz w:val="15"/>
                <w:szCs w:val="15"/>
                <w:lang w:val="en-GB"/>
              </w:rPr>
              <w:t xml:space="preserve">9R - </w:t>
            </w:r>
            <w:r w:rsidRPr="004C0F2A">
              <w:rPr>
                <w:rFonts w:cs="Arial"/>
                <w:sz w:val="15"/>
                <w:szCs w:val="15"/>
                <w:lang w:val="en"/>
              </w:rPr>
              <w:t xml:space="preserve">BOG recovery LD compressor from FSRU LNG </w:t>
            </w:r>
            <w:r>
              <w:rPr>
                <w:rFonts w:cs="Arial"/>
                <w:sz w:val="15"/>
                <w:szCs w:val="15"/>
                <w:lang w:val="en"/>
              </w:rPr>
              <w:t xml:space="preserve">internal </w:t>
            </w:r>
            <w:r w:rsidRPr="004C0F2A">
              <w:rPr>
                <w:rFonts w:cs="Arial"/>
                <w:sz w:val="15"/>
                <w:szCs w:val="15"/>
                <w:lang w:val="en"/>
              </w:rPr>
              <w:t>tanks</w:t>
            </w:r>
          </w:p>
        </w:tc>
        <w:tc>
          <w:tcPr>
            <w:tcW w:w="1694" w:type="pct"/>
            <w:tcBorders>
              <w:top w:val="single" w:sz="6" w:space="0" w:color="008000"/>
              <w:bottom w:val="single" w:sz="6" w:space="0" w:color="008000"/>
            </w:tcBorders>
            <w:shd w:val="clear" w:color="auto" w:fill="auto"/>
            <w:vAlign w:val="center"/>
          </w:tcPr>
          <w:p w14:paraId="2EF645DB" w14:textId="64670699" w:rsidR="008D46E5" w:rsidRPr="008D176E" w:rsidRDefault="008D46E5" w:rsidP="00D3151E">
            <w:pPr>
              <w:pStyle w:val="CETBodytext"/>
              <w:ind w:right="-1"/>
              <w:jc w:val="left"/>
              <w:rPr>
                <w:rFonts w:cs="Arial"/>
                <w:sz w:val="15"/>
                <w:szCs w:val="15"/>
                <w:lang w:val="en-GB"/>
              </w:rPr>
            </w:pPr>
            <w:r w:rsidRPr="00AE11C3">
              <w:rPr>
                <w:rFonts w:cs="Arial"/>
                <w:sz w:val="15"/>
                <w:szCs w:val="15"/>
                <w:lang w:val="en-GB"/>
              </w:rPr>
              <w:t>Hole</w:t>
            </w:r>
            <w:r w:rsidR="00163117">
              <w:rPr>
                <w:rFonts w:cs="Arial"/>
                <w:sz w:val="15"/>
                <w:szCs w:val="15"/>
                <w:lang w:val="en-GB"/>
              </w:rPr>
              <w:t xml:space="preserve"> (75 mm diameter)</w:t>
            </w:r>
          </w:p>
        </w:tc>
        <w:tc>
          <w:tcPr>
            <w:tcW w:w="726" w:type="pct"/>
            <w:tcBorders>
              <w:top w:val="single" w:sz="6" w:space="0" w:color="008000"/>
              <w:bottom w:val="single" w:sz="6" w:space="0" w:color="008000"/>
            </w:tcBorders>
            <w:shd w:val="clear" w:color="000000" w:fill="D9D9D9"/>
            <w:vAlign w:val="center"/>
          </w:tcPr>
          <w:p w14:paraId="38E2B5E1" w14:textId="77777777" w:rsidR="008D46E5" w:rsidRPr="008D176E" w:rsidRDefault="008D46E5" w:rsidP="00D3151E">
            <w:pPr>
              <w:pStyle w:val="CETBodytext"/>
              <w:ind w:right="-1"/>
              <w:jc w:val="left"/>
              <w:rPr>
                <w:rFonts w:cs="Arial"/>
                <w:sz w:val="16"/>
                <w:szCs w:val="16"/>
                <w:lang w:val="en-GB"/>
              </w:rPr>
            </w:pPr>
            <w:r w:rsidRPr="00AE11C3">
              <w:rPr>
                <w:rFonts w:cs="Arial"/>
                <w:sz w:val="16"/>
                <w:szCs w:val="16"/>
                <w:lang w:val="en-GB"/>
              </w:rPr>
              <w:t>2,</w:t>
            </w:r>
            <w:r>
              <w:rPr>
                <w:rFonts w:cs="Arial"/>
                <w:sz w:val="16"/>
                <w:szCs w:val="16"/>
                <w:lang w:val="en-GB"/>
              </w:rPr>
              <w:t>.</w:t>
            </w:r>
            <w:r w:rsidRPr="00AE11C3">
              <w:rPr>
                <w:rFonts w:cs="Arial"/>
                <w:sz w:val="16"/>
                <w:szCs w:val="16"/>
                <w:lang w:val="en-GB"/>
              </w:rPr>
              <w:t>0 · 10</w:t>
            </w:r>
            <w:r w:rsidRPr="00AE11C3">
              <w:rPr>
                <w:rFonts w:cs="Arial"/>
                <w:sz w:val="16"/>
                <w:szCs w:val="16"/>
                <w:vertAlign w:val="superscript"/>
                <w:lang w:val="en-GB"/>
              </w:rPr>
              <w:t>-4</w:t>
            </w:r>
          </w:p>
        </w:tc>
      </w:tr>
      <w:tr w:rsidR="008D46E5" w:rsidRPr="008D176E" w14:paraId="3EC23E3A" w14:textId="77777777" w:rsidTr="00D3151E">
        <w:trPr>
          <w:cantSplit/>
        </w:trPr>
        <w:tc>
          <w:tcPr>
            <w:tcW w:w="2580" w:type="pct"/>
            <w:vMerge/>
            <w:tcBorders>
              <w:bottom w:val="single" w:sz="6" w:space="0" w:color="008000"/>
            </w:tcBorders>
            <w:vAlign w:val="center"/>
          </w:tcPr>
          <w:p w14:paraId="791DCA78" w14:textId="77777777" w:rsidR="008D46E5" w:rsidRPr="008D176E" w:rsidRDefault="008D46E5" w:rsidP="00D3151E">
            <w:pPr>
              <w:pStyle w:val="CETBodytext"/>
              <w:ind w:right="-1"/>
              <w:jc w:val="left"/>
              <w:rPr>
                <w:rFonts w:cs="Arial"/>
                <w:sz w:val="15"/>
                <w:szCs w:val="15"/>
                <w:lang w:val="en-GB"/>
              </w:rPr>
            </w:pPr>
          </w:p>
        </w:tc>
        <w:tc>
          <w:tcPr>
            <w:tcW w:w="1694" w:type="pct"/>
            <w:tcBorders>
              <w:top w:val="single" w:sz="6" w:space="0" w:color="008000"/>
              <w:bottom w:val="single" w:sz="6" w:space="0" w:color="008000"/>
            </w:tcBorders>
            <w:shd w:val="clear" w:color="auto" w:fill="auto"/>
            <w:vAlign w:val="center"/>
          </w:tcPr>
          <w:p w14:paraId="06ED581B" w14:textId="55356C71" w:rsidR="008D46E5" w:rsidRPr="008D176E" w:rsidRDefault="008D46E5" w:rsidP="00D3151E">
            <w:pPr>
              <w:pStyle w:val="CETBodytext"/>
              <w:ind w:right="-1"/>
              <w:jc w:val="left"/>
              <w:rPr>
                <w:rFonts w:cs="Arial"/>
                <w:sz w:val="15"/>
                <w:szCs w:val="15"/>
                <w:lang w:val="en-GB"/>
              </w:rPr>
            </w:pPr>
            <w:r w:rsidRPr="00AE11C3">
              <w:rPr>
                <w:rFonts w:cs="Arial"/>
                <w:sz w:val="15"/>
                <w:szCs w:val="15"/>
                <w:lang w:val="en-GB"/>
              </w:rPr>
              <w:t>Pinhole / crack</w:t>
            </w:r>
            <w:r w:rsidR="00163117">
              <w:rPr>
                <w:rFonts w:cs="Arial"/>
                <w:sz w:val="15"/>
                <w:szCs w:val="15"/>
                <w:lang w:val="en-GB"/>
              </w:rPr>
              <w:t xml:space="preserve"> (25 mm diameter)</w:t>
            </w:r>
          </w:p>
        </w:tc>
        <w:tc>
          <w:tcPr>
            <w:tcW w:w="726" w:type="pct"/>
            <w:tcBorders>
              <w:top w:val="single" w:sz="6" w:space="0" w:color="008000"/>
              <w:bottom w:val="single" w:sz="6" w:space="0" w:color="008000"/>
            </w:tcBorders>
            <w:shd w:val="clear" w:color="000000" w:fill="D9D9D9"/>
            <w:vAlign w:val="center"/>
          </w:tcPr>
          <w:p w14:paraId="5A59B6AF" w14:textId="77777777" w:rsidR="008D46E5" w:rsidRPr="008D176E" w:rsidRDefault="008D46E5" w:rsidP="00D3151E">
            <w:pPr>
              <w:pStyle w:val="CETBodytext"/>
              <w:ind w:right="-1"/>
              <w:jc w:val="left"/>
              <w:rPr>
                <w:rFonts w:cs="Arial"/>
                <w:sz w:val="16"/>
                <w:szCs w:val="16"/>
                <w:lang w:val="en-GB"/>
              </w:rPr>
            </w:pPr>
            <w:r w:rsidRPr="00AE11C3">
              <w:rPr>
                <w:rFonts w:cs="Arial"/>
                <w:sz w:val="16"/>
                <w:szCs w:val="16"/>
                <w:lang w:val="en-GB"/>
              </w:rPr>
              <w:t>1</w:t>
            </w:r>
            <w:r>
              <w:rPr>
                <w:rFonts w:cs="Arial"/>
                <w:sz w:val="16"/>
                <w:szCs w:val="16"/>
                <w:lang w:val="en-GB"/>
              </w:rPr>
              <w:t>.</w:t>
            </w:r>
            <w:r w:rsidRPr="00AE11C3">
              <w:rPr>
                <w:rFonts w:cs="Arial"/>
                <w:sz w:val="16"/>
                <w:szCs w:val="16"/>
                <w:lang w:val="en-GB"/>
              </w:rPr>
              <w:t>20 · 10</w:t>
            </w:r>
            <w:r w:rsidRPr="00AE11C3">
              <w:rPr>
                <w:rFonts w:cs="Arial"/>
                <w:sz w:val="16"/>
                <w:szCs w:val="16"/>
                <w:vertAlign w:val="superscript"/>
                <w:lang w:val="en-GB"/>
              </w:rPr>
              <w:t>-2</w:t>
            </w:r>
          </w:p>
        </w:tc>
      </w:tr>
      <w:tr w:rsidR="008D46E5" w:rsidRPr="008D176E" w14:paraId="3E702856" w14:textId="77777777" w:rsidTr="00D3151E">
        <w:trPr>
          <w:cantSplit/>
        </w:trPr>
        <w:tc>
          <w:tcPr>
            <w:tcW w:w="2580" w:type="pct"/>
            <w:tcBorders>
              <w:top w:val="single" w:sz="6" w:space="0" w:color="008000"/>
              <w:bottom w:val="single" w:sz="6" w:space="0" w:color="008000"/>
            </w:tcBorders>
            <w:shd w:val="clear" w:color="auto" w:fill="auto"/>
            <w:vAlign w:val="center"/>
          </w:tcPr>
          <w:p w14:paraId="3CDA0B11" w14:textId="77777777" w:rsidR="008D46E5" w:rsidRPr="008D176E" w:rsidRDefault="008D46E5" w:rsidP="00D3151E">
            <w:pPr>
              <w:pStyle w:val="CETBodytext"/>
              <w:ind w:right="-1"/>
              <w:jc w:val="left"/>
              <w:rPr>
                <w:rFonts w:cs="Arial"/>
                <w:sz w:val="15"/>
                <w:szCs w:val="15"/>
                <w:lang w:val="en-GB"/>
              </w:rPr>
            </w:pPr>
            <w:r w:rsidRPr="00AE11C3">
              <w:rPr>
                <w:rFonts w:cs="Arial"/>
                <w:sz w:val="15"/>
                <w:szCs w:val="15"/>
                <w:lang w:val="en-GB"/>
              </w:rPr>
              <w:t xml:space="preserve">14R - </w:t>
            </w:r>
            <w:r w:rsidRPr="004C0F2A">
              <w:rPr>
                <w:rFonts w:cs="Arial"/>
                <w:sz w:val="15"/>
                <w:szCs w:val="15"/>
                <w:lang w:val="en-GB"/>
              </w:rPr>
              <w:t>BOG lines from FSRU LNG</w:t>
            </w:r>
            <w:r>
              <w:rPr>
                <w:rFonts w:cs="Arial"/>
                <w:sz w:val="15"/>
                <w:szCs w:val="15"/>
                <w:lang w:val="en-GB"/>
              </w:rPr>
              <w:t xml:space="preserve"> internal</w:t>
            </w:r>
            <w:r w:rsidRPr="004C0F2A">
              <w:rPr>
                <w:rFonts w:cs="Arial"/>
                <w:sz w:val="15"/>
                <w:szCs w:val="15"/>
                <w:lang w:val="en-GB"/>
              </w:rPr>
              <w:t xml:space="preserve"> tanks</w:t>
            </w:r>
          </w:p>
        </w:tc>
        <w:tc>
          <w:tcPr>
            <w:tcW w:w="1694" w:type="pct"/>
            <w:tcBorders>
              <w:top w:val="single" w:sz="6" w:space="0" w:color="008000"/>
              <w:bottom w:val="single" w:sz="6" w:space="0" w:color="008000"/>
            </w:tcBorders>
            <w:shd w:val="clear" w:color="auto" w:fill="auto"/>
            <w:vAlign w:val="center"/>
          </w:tcPr>
          <w:p w14:paraId="13E75668"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bottom w:val="single" w:sz="6" w:space="0" w:color="008000"/>
            </w:tcBorders>
            <w:shd w:val="clear" w:color="000000" w:fill="D9D9D9"/>
            <w:vAlign w:val="center"/>
          </w:tcPr>
          <w:p w14:paraId="2CEA9558" w14:textId="77777777" w:rsidR="008D46E5" w:rsidRPr="008D176E" w:rsidRDefault="008D46E5" w:rsidP="00D3151E">
            <w:pPr>
              <w:pStyle w:val="CETBodytext"/>
              <w:ind w:right="-1"/>
              <w:jc w:val="left"/>
              <w:rPr>
                <w:rFonts w:cs="Arial"/>
                <w:sz w:val="16"/>
                <w:szCs w:val="16"/>
                <w:lang w:val="en-GB"/>
              </w:rPr>
            </w:pPr>
            <w:r w:rsidRPr="00AE11C3">
              <w:rPr>
                <w:rFonts w:cs="Arial"/>
                <w:sz w:val="16"/>
                <w:szCs w:val="16"/>
                <w:lang w:val="en-GB"/>
              </w:rPr>
              <w:t>1</w:t>
            </w:r>
            <w:r>
              <w:rPr>
                <w:rFonts w:cs="Arial"/>
                <w:sz w:val="16"/>
                <w:szCs w:val="16"/>
                <w:lang w:val="en-GB"/>
              </w:rPr>
              <w:t>.</w:t>
            </w:r>
            <w:r w:rsidRPr="00AE11C3">
              <w:rPr>
                <w:rFonts w:cs="Arial"/>
                <w:sz w:val="16"/>
                <w:szCs w:val="16"/>
                <w:lang w:val="en-GB"/>
              </w:rPr>
              <w:t>17 · 10</w:t>
            </w:r>
            <w:r w:rsidRPr="00AE11C3">
              <w:rPr>
                <w:rFonts w:cs="Arial"/>
                <w:sz w:val="16"/>
                <w:szCs w:val="16"/>
                <w:vertAlign w:val="superscript"/>
                <w:lang w:val="en-GB"/>
              </w:rPr>
              <w:t>-4</w:t>
            </w:r>
          </w:p>
        </w:tc>
      </w:tr>
      <w:tr w:rsidR="008D46E5" w:rsidRPr="008D176E" w14:paraId="09C4C798" w14:textId="77777777" w:rsidTr="00D3151E">
        <w:trPr>
          <w:cantSplit/>
        </w:trPr>
        <w:tc>
          <w:tcPr>
            <w:tcW w:w="2580" w:type="pct"/>
            <w:tcBorders>
              <w:top w:val="single" w:sz="6" w:space="0" w:color="008000"/>
              <w:bottom w:val="single" w:sz="6" w:space="0" w:color="008000"/>
            </w:tcBorders>
            <w:shd w:val="clear" w:color="auto" w:fill="auto"/>
            <w:vAlign w:val="center"/>
          </w:tcPr>
          <w:p w14:paraId="6FC83D23" w14:textId="77777777" w:rsidR="008D46E5" w:rsidRPr="005F0E0C" w:rsidRDefault="008D46E5" w:rsidP="00D3151E">
            <w:pPr>
              <w:pStyle w:val="CETBodytext"/>
              <w:ind w:right="-1"/>
              <w:jc w:val="left"/>
              <w:rPr>
                <w:rFonts w:cs="Arial"/>
                <w:sz w:val="15"/>
                <w:szCs w:val="15"/>
                <w:lang w:val="en-GB"/>
              </w:rPr>
            </w:pPr>
            <w:r w:rsidRPr="00AE11C3">
              <w:rPr>
                <w:rFonts w:cs="Arial"/>
                <w:sz w:val="15"/>
                <w:szCs w:val="15"/>
                <w:lang w:val="en-GB"/>
              </w:rPr>
              <w:t xml:space="preserve">2H - </w:t>
            </w:r>
            <w:r w:rsidRPr="004C0F2A">
              <w:rPr>
                <w:rFonts w:cs="Arial"/>
                <w:sz w:val="15"/>
                <w:szCs w:val="15"/>
                <w:lang w:val="en"/>
              </w:rPr>
              <w:t>Overpressure (and consequent failure) of the gas manifold, after gasification</w:t>
            </w:r>
          </w:p>
        </w:tc>
        <w:tc>
          <w:tcPr>
            <w:tcW w:w="1694" w:type="pct"/>
            <w:tcBorders>
              <w:top w:val="single" w:sz="6" w:space="0" w:color="008000"/>
              <w:bottom w:val="single" w:sz="6" w:space="0" w:color="008000"/>
            </w:tcBorders>
            <w:shd w:val="clear" w:color="auto" w:fill="auto"/>
            <w:vAlign w:val="center"/>
          </w:tcPr>
          <w:p w14:paraId="6FDE5602"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bottom w:val="single" w:sz="6" w:space="0" w:color="008000"/>
            </w:tcBorders>
            <w:shd w:val="clear" w:color="auto" w:fill="auto"/>
            <w:vAlign w:val="center"/>
          </w:tcPr>
          <w:p w14:paraId="3F9672F4" w14:textId="77777777" w:rsidR="008D46E5" w:rsidRPr="008D176E" w:rsidRDefault="008D46E5" w:rsidP="00D3151E">
            <w:pPr>
              <w:pStyle w:val="CETBodytext"/>
              <w:ind w:right="-1"/>
              <w:jc w:val="left"/>
              <w:rPr>
                <w:rFonts w:cs="Arial"/>
                <w:sz w:val="16"/>
                <w:szCs w:val="16"/>
                <w:lang w:val="en-GB"/>
              </w:rPr>
            </w:pPr>
            <w:r w:rsidRPr="00AE11C3">
              <w:rPr>
                <w:rFonts w:cs="Arial"/>
                <w:sz w:val="16"/>
                <w:szCs w:val="16"/>
                <w:lang w:val="en-GB"/>
              </w:rPr>
              <w:t>3</w:t>
            </w:r>
            <w:r>
              <w:rPr>
                <w:rFonts w:cs="Arial"/>
                <w:sz w:val="16"/>
                <w:szCs w:val="16"/>
                <w:lang w:val="en-GB"/>
              </w:rPr>
              <w:t>.</w:t>
            </w:r>
            <w:r w:rsidRPr="00AE11C3">
              <w:rPr>
                <w:rFonts w:cs="Arial"/>
                <w:sz w:val="16"/>
                <w:szCs w:val="16"/>
                <w:lang w:val="en-GB"/>
              </w:rPr>
              <w:t>00 · 10</w:t>
            </w:r>
            <w:r w:rsidRPr="00AE11C3">
              <w:rPr>
                <w:rFonts w:cs="Arial"/>
                <w:sz w:val="16"/>
                <w:szCs w:val="16"/>
                <w:vertAlign w:val="superscript"/>
                <w:lang w:val="en-GB"/>
              </w:rPr>
              <w:t>-14</w:t>
            </w:r>
          </w:p>
        </w:tc>
      </w:tr>
      <w:tr w:rsidR="008D46E5" w:rsidRPr="008D176E" w14:paraId="2C5290A6" w14:textId="77777777" w:rsidTr="00D3151E">
        <w:trPr>
          <w:cantSplit/>
        </w:trPr>
        <w:tc>
          <w:tcPr>
            <w:tcW w:w="2580" w:type="pct"/>
            <w:tcBorders>
              <w:top w:val="single" w:sz="6" w:space="0" w:color="008000"/>
              <w:bottom w:val="single" w:sz="6" w:space="0" w:color="008000"/>
            </w:tcBorders>
            <w:shd w:val="clear" w:color="auto" w:fill="auto"/>
            <w:vAlign w:val="center"/>
          </w:tcPr>
          <w:p w14:paraId="5D29DA99" w14:textId="77777777" w:rsidR="008D46E5" w:rsidRPr="005F0E0C" w:rsidRDefault="008D46E5" w:rsidP="00D3151E">
            <w:pPr>
              <w:pStyle w:val="CETBodytext"/>
              <w:ind w:right="-1"/>
              <w:jc w:val="left"/>
              <w:rPr>
                <w:rFonts w:cs="Arial"/>
                <w:sz w:val="15"/>
                <w:szCs w:val="15"/>
                <w:lang w:val="en-GB"/>
              </w:rPr>
            </w:pPr>
            <w:r w:rsidRPr="00AE11C3">
              <w:rPr>
                <w:rFonts w:cs="Arial"/>
                <w:sz w:val="15"/>
                <w:szCs w:val="15"/>
                <w:lang w:val="en-GB"/>
              </w:rPr>
              <w:t xml:space="preserve">6H - </w:t>
            </w:r>
            <w:r w:rsidRPr="004C0F2A">
              <w:rPr>
                <w:rFonts w:cs="Arial"/>
                <w:sz w:val="15"/>
                <w:szCs w:val="15"/>
                <w:lang w:val="en"/>
              </w:rPr>
              <w:t>Breakage of one of the pipes of the HA 1100 A sea water exchanger</w:t>
            </w:r>
          </w:p>
        </w:tc>
        <w:tc>
          <w:tcPr>
            <w:tcW w:w="1694" w:type="pct"/>
            <w:tcBorders>
              <w:top w:val="single" w:sz="6" w:space="0" w:color="008000"/>
              <w:bottom w:val="single" w:sz="6" w:space="0" w:color="008000"/>
            </w:tcBorders>
            <w:shd w:val="clear" w:color="auto" w:fill="auto"/>
            <w:vAlign w:val="center"/>
          </w:tcPr>
          <w:p w14:paraId="29B40B41" w14:textId="77777777" w:rsidR="008D46E5" w:rsidRPr="008D176E" w:rsidRDefault="008D46E5" w:rsidP="00D3151E">
            <w:pPr>
              <w:pStyle w:val="CETBodytext"/>
              <w:ind w:right="-1"/>
              <w:jc w:val="left"/>
              <w:rPr>
                <w:rFonts w:cs="Arial"/>
                <w:sz w:val="15"/>
                <w:szCs w:val="15"/>
                <w:lang w:val="en-GB"/>
              </w:rPr>
            </w:pPr>
            <w:r w:rsidRPr="00AE11C3">
              <w:rPr>
                <w:rFonts w:cs="Arial"/>
                <w:sz w:val="15"/>
                <w:szCs w:val="15"/>
                <w:lang w:val="en-GB"/>
              </w:rPr>
              <w:t>-</w:t>
            </w:r>
          </w:p>
        </w:tc>
        <w:tc>
          <w:tcPr>
            <w:tcW w:w="726" w:type="pct"/>
            <w:tcBorders>
              <w:top w:val="single" w:sz="6" w:space="0" w:color="008000"/>
              <w:bottom w:val="single" w:sz="6" w:space="0" w:color="008000"/>
            </w:tcBorders>
            <w:shd w:val="clear" w:color="000000" w:fill="D9D9D9"/>
            <w:vAlign w:val="center"/>
          </w:tcPr>
          <w:p w14:paraId="7B209720" w14:textId="77777777" w:rsidR="008D46E5" w:rsidRPr="008D176E" w:rsidRDefault="008D46E5" w:rsidP="00D3151E">
            <w:pPr>
              <w:pStyle w:val="CETBodytext"/>
              <w:ind w:right="-1"/>
              <w:jc w:val="left"/>
              <w:rPr>
                <w:rFonts w:cs="Arial"/>
                <w:sz w:val="16"/>
                <w:szCs w:val="16"/>
                <w:lang w:val="en-GB"/>
              </w:rPr>
            </w:pPr>
            <w:r w:rsidRPr="00AE11C3">
              <w:rPr>
                <w:rFonts w:cs="Arial"/>
                <w:sz w:val="16"/>
                <w:szCs w:val="16"/>
                <w:lang w:val="en-GB"/>
              </w:rPr>
              <w:t>1</w:t>
            </w:r>
            <w:r>
              <w:rPr>
                <w:rFonts w:cs="Arial"/>
                <w:sz w:val="16"/>
                <w:szCs w:val="16"/>
                <w:lang w:val="en-GB"/>
              </w:rPr>
              <w:t>.</w:t>
            </w:r>
            <w:r w:rsidRPr="00AE11C3">
              <w:rPr>
                <w:rFonts w:cs="Arial"/>
                <w:sz w:val="16"/>
                <w:szCs w:val="16"/>
                <w:lang w:val="en-GB"/>
              </w:rPr>
              <w:t>20 · 10</w:t>
            </w:r>
            <w:r w:rsidRPr="00AE11C3">
              <w:rPr>
                <w:rFonts w:cs="Arial"/>
                <w:sz w:val="16"/>
                <w:szCs w:val="16"/>
                <w:vertAlign w:val="superscript"/>
                <w:lang w:val="en-GB"/>
              </w:rPr>
              <w:t>-5</w:t>
            </w:r>
          </w:p>
        </w:tc>
      </w:tr>
      <w:tr w:rsidR="008D46E5" w:rsidRPr="008D176E" w14:paraId="0EC6D880" w14:textId="77777777" w:rsidTr="00D3151E">
        <w:trPr>
          <w:cantSplit/>
        </w:trPr>
        <w:tc>
          <w:tcPr>
            <w:tcW w:w="2580" w:type="pct"/>
            <w:tcBorders>
              <w:top w:val="single" w:sz="6" w:space="0" w:color="008000"/>
              <w:bottom w:val="single" w:sz="6" w:space="0" w:color="008000"/>
            </w:tcBorders>
            <w:shd w:val="clear" w:color="auto" w:fill="auto"/>
            <w:vAlign w:val="center"/>
          </w:tcPr>
          <w:p w14:paraId="76840B0A" w14:textId="77777777" w:rsidR="008D46E5" w:rsidRPr="005F0E0C" w:rsidRDefault="008D46E5" w:rsidP="00D3151E">
            <w:pPr>
              <w:pStyle w:val="CETBodytext"/>
              <w:ind w:right="-1"/>
              <w:jc w:val="left"/>
              <w:rPr>
                <w:rFonts w:cs="Arial"/>
                <w:sz w:val="15"/>
                <w:szCs w:val="15"/>
                <w:lang w:val="en-GB"/>
              </w:rPr>
            </w:pPr>
            <w:r w:rsidRPr="00AE11C3">
              <w:rPr>
                <w:rFonts w:cs="Arial"/>
                <w:sz w:val="15"/>
                <w:szCs w:val="15"/>
                <w:lang w:val="en-GB"/>
              </w:rPr>
              <w:t xml:space="preserve">7H - </w:t>
            </w:r>
            <w:r w:rsidRPr="004C0F2A">
              <w:rPr>
                <w:rFonts w:cs="Arial"/>
                <w:sz w:val="15"/>
                <w:szCs w:val="15"/>
                <w:lang w:val="en"/>
              </w:rPr>
              <w:t>Sending LNG to unsuitable FSRU lines</w:t>
            </w:r>
          </w:p>
        </w:tc>
        <w:tc>
          <w:tcPr>
            <w:tcW w:w="1694" w:type="pct"/>
            <w:tcBorders>
              <w:top w:val="single" w:sz="6" w:space="0" w:color="008000"/>
              <w:bottom w:val="single" w:sz="6" w:space="0" w:color="008000"/>
            </w:tcBorders>
            <w:shd w:val="clear" w:color="auto" w:fill="auto"/>
            <w:vAlign w:val="center"/>
          </w:tcPr>
          <w:p w14:paraId="42A87D90" w14:textId="77777777" w:rsidR="008D46E5" w:rsidRPr="008D176E" w:rsidRDefault="008D46E5" w:rsidP="00D3151E">
            <w:pPr>
              <w:pStyle w:val="CETBodytext"/>
              <w:ind w:right="-1"/>
              <w:jc w:val="left"/>
              <w:rPr>
                <w:rFonts w:cs="Arial"/>
                <w:sz w:val="15"/>
                <w:szCs w:val="15"/>
                <w:lang w:val="en-GB"/>
              </w:rPr>
            </w:pPr>
            <w:r w:rsidRPr="00AE11C3">
              <w:rPr>
                <w:rFonts w:cs="Arial"/>
                <w:sz w:val="15"/>
                <w:szCs w:val="15"/>
                <w:lang w:val="en-GB"/>
              </w:rPr>
              <w:t>-</w:t>
            </w:r>
          </w:p>
        </w:tc>
        <w:tc>
          <w:tcPr>
            <w:tcW w:w="726" w:type="pct"/>
            <w:tcBorders>
              <w:top w:val="single" w:sz="6" w:space="0" w:color="008000"/>
              <w:bottom w:val="single" w:sz="6" w:space="0" w:color="008000"/>
            </w:tcBorders>
            <w:shd w:val="clear" w:color="auto" w:fill="auto"/>
            <w:vAlign w:val="center"/>
          </w:tcPr>
          <w:p w14:paraId="54E5CBC3" w14:textId="77777777" w:rsidR="008D46E5" w:rsidRPr="008D176E" w:rsidRDefault="008D46E5" w:rsidP="00D3151E">
            <w:pPr>
              <w:pStyle w:val="CETBodytext"/>
              <w:ind w:right="-1"/>
              <w:jc w:val="left"/>
              <w:rPr>
                <w:rFonts w:cs="Arial"/>
                <w:sz w:val="16"/>
                <w:szCs w:val="16"/>
                <w:lang w:val="en-GB"/>
              </w:rPr>
            </w:pPr>
            <w:r w:rsidRPr="00AE11C3">
              <w:rPr>
                <w:rFonts w:cs="Arial"/>
                <w:sz w:val="16"/>
                <w:szCs w:val="16"/>
                <w:lang w:val="en-GB"/>
              </w:rPr>
              <w:t>3</w:t>
            </w:r>
            <w:r>
              <w:rPr>
                <w:rFonts w:cs="Arial"/>
                <w:sz w:val="16"/>
                <w:szCs w:val="16"/>
                <w:lang w:val="en-GB"/>
              </w:rPr>
              <w:t>.</w:t>
            </w:r>
            <w:r w:rsidRPr="00AE11C3">
              <w:rPr>
                <w:rFonts w:cs="Arial"/>
                <w:sz w:val="16"/>
                <w:szCs w:val="16"/>
                <w:lang w:val="en-GB"/>
              </w:rPr>
              <w:t>80 · 10</w:t>
            </w:r>
            <w:r w:rsidRPr="00AE11C3">
              <w:rPr>
                <w:rFonts w:cs="Arial"/>
                <w:sz w:val="16"/>
                <w:szCs w:val="16"/>
                <w:vertAlign w:val="superscript"/>
                <w:lang w:val="en-GB"/>
              </w:rPr>
              <w:t>-9</w:t>
            </w:r>
          </w:p>
        </w:tc>
      </w:tr>
      <w:tr w:rsidR="008D46E5" w:rsidRPr="008D176E" w14:paraId="66EF0E54" w14:textId="77777777" w:rsidTr="00D3151E">
        <w:trPr>
          <w:cantSplit/>
        </w:trPr>
        <w:tc>
          <w:tcPr>
            <w:tcW w:w="2580" w:type="pct"/>
            <w:tcBorders>
              <w:top w:val="single" w:sz="6" w:space="0" w:color="008000"/>
              <w:bottom w:val="single" w:sz="6" w:space="0" w:color="008000"/>
            </w:tcBorders>
            <w:shd w:val="clear" w:color="auto" w:fill="auto"/>
            <w:vAlign w:val="center"/>
          </w:tcPr>
          <w:p w14:paraId="7D6C661C" w14:textId="77777777" w:rsidR="008D46E5" w:rsidRPr="008D176E" w:rsidRDefault="008D46E5" w:rsidP="00D3151E">
            <w:pPr>
              <w:pStyle w:val="CETBodytext"/>
              <w:ind w:right="-1"/>
              <w:jc w:val="left"/>
              <w:rPr>
                <w:rFonts w:cs="Arial"/>
                <w:sz w:val="15"/>
                <w:szCs w:val="15"/>
                <w:lang w:val="en-GB"/>
              </w:rPr>
            </w:pPr>
            <w:r w:rsidRPr="00AE11C3">
              <w:rPr>
                <w:rFonts w:cs="Arial"/>
                <w:sz w:val="15"/>
                <w:szCs w:val="15"/>
                <w:lang w:val="en-GB"/>
              </w:rPr>
              <w:t xml:space="preserve">8H - </w:t>
            </w:r>
            <w:r w:rsidRPr="004C0F2A">
              <w:rPr>
                <w:rFonts w:cs="Arial"/>
                <w:sz w:val="15"/>
                <w:szCs w:val="15"/>
                <w:lang w:val="en-GB"/>
              </w:rPr>
              <w:t>HP Booster PA-1000 A/B high pressure cavitation pumps</w:t>
            </w:r>
          </w:p>
        </w:tc>
        <w:tc>
          <w:tcPr>
            <w:tcW w:w="1694" w:type="pct"/>
            <w:tcBorders>
              <w:top w:val="single" w:sz="6" w:space="0" w:color="008000"/>
              <w:bottom w:val="single" w:sz="6" w:space="0" w:color="008000"/>
            </w:tcBorders>
            <w:shd w:val="clear" w:color="auto" w:fill="auto"/>
            <w:vAlign w:val="center"/>
          </w:tcPr>
          <w:p w14:paraId="4296488B" w14:textId="77777777" w:rsidR="008D46E5" w:rsidRPr="008D176E" w:rsidRDefault="008D46E5" w:rsidP="00D3151E">
            <w:pPr>
              <w:pStyle w:val="CETBodytext"/>
              <w:ind w:right="-1"/>
              <w:jc w:val="left"/>
              <w:rPr>
                <w:rFonts w:cs="Arial"/>
                <w:sz w:val="15"/>
                <w:szCs w:val="15"/>
                <w:lang w:val="en-GB"/>
              </w:rPr>
            </w:pPr>
            <w:r w:rsidRPr="00AE11C3">
              <w:rPr>
                <w:rFonts w:cs="Arial"/>
                <w:sz w:val="15"/>
                <w:szCs w:val="15"/>
                <w:lang w:val="en-GB"/>
              </w:rPr>
              <w:t>-</w:t>
            </w:r>
          </w:p>
        </w:tc>
        <w:tc>
          <w:tcPr>
            <w:tcW w:w="726" w:type="pct"/>
            <w:tcBorders>
              <w:top w:val="single" w:sz="6" w:space="0" w:color="008000"/>
              <w:bottom w:val="single" w:sz="6" w:space="0" w:color="008000"/>
            </w:tcBorders>
            <w:shd w:val="clear" w:color="000000" w:fill="D9D9D9"/>
            <w:vAlign w:val="center"/>
          </w:tcPr>
          <w:p w14:paraId="1A69C674" w14:textId="77777777" w:rsidR="008D46E5" w:rsidRPr="008D176E" w:rsidRDefault="008D46E5" w:rsidP="00D3151E">
            <w:pPr>
              <w:pStyle w:val="CETBodytext"/>
              <w:ind w:right="-1"/>
              <w:jc w:val="left"/>
              <w:rPr>
                <w:rFonts w:cs="Arial"/>
                <w:sz w:val="16"/>
                <w:szCs w:val="16"/>
                <w:lang w:val="en-GB"/>
              </w:rPr>
            </w:pPr>
            <w:r w:rsidRPr="00AE11C3">
              <w:rPr>
                <w:rFonts w:cs="Arial"/>
                <w:sz w:val="16"/>
                <w:szCs w:val="16"/>
                <w:lang w:val="en-GB"/>
              </w:rPr>
              <w:t>2</w:t>
            </w:r>
            <w:r>
              <w:rPr>
                <w:rFonts w:cs="Arial"/>
                <w:sz w:val="16"/>
                <w:szCs w:val="16"/>
                <w:lang w:val="en-GB"/>
              </w:rPr>
              <w:t>.</w:t>
            </w:r>
            <w:r w:rsidRPr="00AE11C3">
              <w:rPr>
                <w:rFonts w:cs="Arial"/>
                <w:sz w:val="16"/>
                <w:szCs w:val="16"/>
                <w:lang w:val="en-GB"/>
              </w:rPr>
              <w:t>80 · 10</w:t>
            </w:r>
            <w:r w:rsidRPr="00AE11C3">
              <w:rPr>
                <w:rFonts w:cs="Arial"/>
                <w:sz w:val="16"/>
                <w:szCs w:val="16"/>
                <w:vertAlign w:val="superscript"/>
                <w:lang w:val="en-GB"/>
              </w:rPr>
              <w:t>-6</w:t>
            </w:r>
          </w:p>
        </w:tc>
      </w:tr>
      <w:tr w:rsidR="008D46E5" w:rsidRPr="008D176E" w14:paraId="1A832289" w14:textId="77777777" w:rsidTr="00D3151E">
        <w:trPr>
          <w:cantSplit/>
        </w:trPr>
        <w:tc>
          <w:tcPr>
            <w:tcW w:w="2580" w:type="pct"/>
            <w:tcBorders>
              <w:top w:val="single" w:sz="6" w:space="0" w:color="008000"/>
              <w:bottom w:val="single" w:sz="6" w:space="0" w:color="008000"/>
            </w:tcBorders>
            <w:shd w:val="clear" w:color="auto" w:fill="auto"/>
            <w:vAlign w:val="center"/>
          </w:tcPr>
          <w:p w14:paraId="7C05A393" w14:textId="77777777" w:rsidR="008D46E5" w:rsidRPr="004C0F2A" w:rsidRDefault="008D46E5" w:rsidP="00D3151E">
            <w:pPr>
              <w:pStyle w:val="CETBodytext"/>
              <w:ind w:right="-1"/>
              <w:jc w:val="left"/>
              <w:rPr>
                <w:rFonts w:cs="Arial"/>
                <w:sz w:val="15"/>
                <w:szCs w:val="15"/>
                <w:lang w:val="it-IT"/>
              </w:rPr>
            </w:pPr>
            <w:r w:rsidRPr="00AE11C3">
              <w:rPr>
                <w:rFonts w:cs="Arial"/>
                <w:sz w:val="15"/>
                <w:szCs w:val="15"/>
                <w:lang w:val="en-GB"/>
              </w:rPr>
              <w:t xml:space="preserve">9H - </w:t>
            </w:r>
            <w:r w:rsidRPr="004C0F2A">
              <w:rPr>
                <w:rFonts w:cs="Arial"/>
                <w:sz w:val="15"/>
                <w:szCs w:val="15"/>
                <w:lang w:val="en"/>
              </w:rPr>
              <w:t>VX-0050 recondenser overpressure</w:t>
            </w:r>
          </w:p>
        </w:tc>
        <w:tc>
          <w:tcPr>
            <w:tcW w:w="1694" w:type="pct"/>
            <w:tcBorders>
              <w:top w:val="single" w:sz="6" w:space="0" w:color="008000"/>
              <w:bottom w:val="single" w:sz="6" w:space="0" w:color="008000"/>
            </w:tcBorders>
            <w:shd w:val="clear" w:color="auto" w:fill="auto"/>
            <w:vAlign w:val="center"/>
          </w:tcPr>
          <w:p w14:paraId="7F61304A" w14:textId="77777777" w:rsidR="008D46E5" w:rsidRPr="008D176E" w:rsidRDefault="008D46E5" w:rsidP="00D3151E">
            <w:pPr>
              <w:pStyle w:val="CETBodytext"/>
              <w:ind w:right="-1"/>
              <w:jc w:val="left"/>
              <w:rPr>
                <w:rFonts w:cs="Arial"/>
                <w:sz w:val="15"/>
                <w:szCs w:val="15"/>
                <w:lang w:val="en-GB"/>
              </w:rPr>
            </w:pPr>
            <w:r w:rsidRPr="00AE11C3">
              <w:rPr>
                <w:rFonts w:cs="Arial"/>
                <w:sz w:val="15"/>
                <w:szCs w:val="15"/>
                <w:lang w:val="en-GB"/>
              </w:rPr>
              <w:t>-</w:t>
            </w:r>
          </w:p>
        </w:tc>
        <w:tc>
          <w:tcPr>
            <w:tcW w:w="726" w:type="pct"/>
            <w:tcBorders>
              <w:top w:val="single" w:sz="6" w:space="0" w:color="008000"/>
              <w:bottom w:val="single" w:sz="6" w:space="0" w:color="008000"/>
            </w:tcBorders>
            <w:shd w:val="clear" w:color="000000" w:fill="D9D9D9"/>
            <w:vAlign w:val="center"/>
          </w:tcPr>
          <w:p w14:paraId="4E868AAE" w14:textId="77777777" w:rsidR="008D46E5" w:rsidRPr="008D176E" w:rsidRDefault="008D46E5" w:rsidP="00D3151E">
            <w:pPr>
              <w:pStyle w:val="CETBodytext"/>
              <w:ind w:right="-1"/>
              <w:jc w:val="left"/>
              <w:rPr>
                <w:rFonts w:cs="Arial"/>
                <w:sz w:val="16"/>
                <w:szCs w:val="16"/>
                <w:lang w:val="en-GB"/>
              </w:rPr>
            </w:pPr>
            <w:r w:rsidRPr="00AE11C3">
              <w:rPr>
                <w:rFonts w:cs="Arial"/>
                <w:sz w:val="16"/>
                <w:szCs w:val="16"/>
                <w:lang w:val="en-GB"/>
              </w:rPr>
              <w:t>3</w:t>
            </w:r>
            <w:r>
              <w:rPr>
                <w:rFonts w:cs="Arial"/>
                <w:sz w:val="16"/>
                <w:szCs w:val="16"/>
                <w:lang w:val="en-GB"/>
              </w:rPr>
              <w:t>.</w:t>
            </w:r>
            <w:r w:rsidRPr="00AE11C3">
              <w:rPr>
                <w:rFonts w:cs="Arial"/>
                <w:sz w:val="16"/>
                <w:szCs w:val="16"/>
                <w:lang w:val="en-GB"/>
              </w:rPr>
              <w:t>40 · 10</w:t>
            </w:r>
            <w:r w:rsidRPr="00AE11C3">
              <w:rPr>
                <w:rFonts w:cs="Arial"/>
                <w:sz w:val="16"/>
                <w:szCs w:val="16"/>
                <w:vertAlign w:val="superscript"/>
                <w:lang w:val="en-GB"/>
              </w:rPr>
              <w:t>-5</w:t>
            </w:r>
          </w:p>
        </w:tc>
      </w:tr>
      <w:tr w:rsidR="008D46E5" w:rsidRPr="008D176E" w14:paraId="5BDC8F40" w14:textId="77777777" w:rsidTr="00D3151E">
        <w:trPr>
          <w:cantSplit/>
        </w:trPr>
        <w:tc>
          <w:tcPr>
            <w:tcW w:w="2580" w:type="pct"/>
            <w:tcBorders>
              <w:top w:val="single" w:sz="6" w:space="0" w:color="008000"/>
              <w:bottom w:val="single" w:sz="6" w:space="0" w:color="008000"/>
            </w:tcBorders>
            <w:shd w:val="clear" w:color="auto" w:fill="auto"/>
            <w:vAlign w:val="center"/>
          </w:tcPr>
          <w:p w14:paraId="33D095C5" w14:textId="77777777" w:rsidR="008D46E5" w:rsidRPr="005F0E0C" w:rsidRDefault="008D46E5" w:rsidP="00D3151E">
            <w:pPr>
              <w:pStyle w:val="CETBodytext"/>
              <w:ind w:right="-1"/>
              <w:jc w:val="left"/>
              <w:rPr>
                <w:rFonts w:cs="Arial"/>
                <w:sz w:val="15"/>
                <w:szCs w:val="15"/>
                <w:lang w:val="en-GB"/>
              </w:rPr>
            </w:pPr>
            <w:r w:rsidRPr="00AE11C3">
              <w:rPr>
                <w:rFonts w:cs="Arial"/>
                <w:sz w:val="15"/>
                <w:szCs w:val="15"/>
                <w:lang w:val="en-GB"/>
              </w:rPr>
              <w:t xml:space="preserve">10H - </w:t>
            </w:r>
            <w:r w:rsidRPr="004C0F2A">
              <w:rPr>
                <w:rFonts w:cs="Arial"/>
                <w:sz w:val="15"/>
                <w:szCs w:val="15"/>
                <w:lang w:val="en"/>
              </w:rPr>
              <w:t>Overpressure exchanger HA-1100 A and related line</w:t>
            </w:r>
          </w:p>
        </w:tc>
        <w:tc>
          <w:tcPr>
            <w:tcW w:w="1694" w:type="pct"/>
            <w:tcBorders>
              <w:top w:val="single" w:sz="6" w:space="0" w:color="008000"/>
              <w:bottom w:val="single" w:sz="6" w:space="0" w:color="008000"/>
            </w:tcBorders>
            <w:shd w:val="clear" w:color="auto" w:fill="auto"/>
            <w:vAlign w:val="center"/>
          </w:tcPr>
          <w:p w14:paraId="640E82A7" w14:textId="77777777" w:rsidR="008D46E5" w:rsidRPr="008D176E" w:rsidRDefault="008D46E5" w:rsidP="00D3151E">
            <w:pPr>
              <w:pStyle w:val="CETBodytext"/>
              <w:ind w:right="-1"/>
              <w:jc w:val="left"/>
              <w:rPr>
                <w:rFonts w:cs="Arial"/>
                <w:sz w:val="15"/>
                <w:szCs w:val="15"/>
                <w:lang w:val="en-GB"/>
              </w:rPr>
            </w:pPr>
            <w:r w:rsidRPr="00AE11C3">
              <w:rPr>
                <w:rFonts w:cs="Arial"/>
                <w:sz w:val="15"/>
                <w:szCs w:val="15"/>
                <w:lang w:val="en-GB"/>
              </w:rPr>
              <w:t>-</w:t>
            </w:r>
          </w:p>
        </w:tc>
        <w:tc>
          <w:tcPr>
            <w:tcW w:w="726" w:type="pct"/>
            <w:tcBorders>
              <w:top w:val="single" w:sz="6" w:space="0" w:color="008000"/>
              <w:bottom w:val="single" w:sz="6" w:space="0" w:color="008000"/>
            </w:tcBorders>
            <w:shd w:val="clear" w:color="auto" w:fill="auto"/>
            <w:vAlign w:val="center"/>
          </w:tcPr>
          <w:p w14:paraId="1BB72393" w14:textId="77777777" w:rsidR="008D46E5" w:rsidRPr="008D176E" w:rsidRDefault="008D46E5" w:rsidP="00D3151E">
            <w:pPr>
              <w:pStyle w:val="CETBodytext"/>
              <w:ind w:right="-1"/>
              <w:jc w:val="left"/>
              <w:rPr>
                <w:rFonts w:cs="Arial"/>
                <w:sz w:val="16"/>
                <w:szCs w:val="16"/>
                <w:lang w:val="en-GB"/>
              </w:rPr>
            </w:pPr>
            <w:r w:rsidRPr="00AE11C3">
              <w:rPr>
                <w:rFonts w:cs="Arial"/>
                <w:sz w:val="16"/>
                <w:szCs w:val="16"/>
                <w:lang w:val="en-GB"/>
              </w:rPr>
              <w:t>3</w:t>
            </w:r>
            <w:r>
              <w:rPr>
                <w:rFonts w:cs="Arial"/>
                <w:sz w:val="16"/>
                <w:szCs w:val="16"/>
                <w:lang w:val="en-GB"/>
              </w:rPr>
              <w:t>.</w:t>
            </w:r>
            <w:r w:rsidRPr="00AE11C3">
              <w:rPr>
                <w:rFonts w:cs="Arial"/>
                <w:sz w:val="16"/>
                <w:szCs w:val="16"/>
                <w:lang w:val="en-GB"/>
              </w:rPr>
              <w:t>80 · 10</w:t>
            </w:r>
            <w:r w:rsidRPr="00AE11C3">
              <w:rPr>
                <w:rFonts w:cs="Arial"/>
                <w:sz w:val="16"/>
                <w:szCs w:val="16"/>
                <w:vertAlign w:val="superscript"/>
                <w:lang w:val="en-GB"/>
              </w:rPr>
              <w:t>-10</w:t>
            </w:r>
          </w:p>
        </w:tc>
      </w:tr>
      <w:tr w:rsidR="008D46E5" w:rsidRPr="008D176E" w14:paraId="3C089709" w14:textId="77777777" w:rsidTr="00D3151E">
        <w:trPr>
          <w:cantSplit/>
        </w:trPr>
        <w:tc>
          <w:tcPr>
            <w:tcW w:w="2580" w:type="pct"/>
            <w:tcBorders>
              <w:top w:val="single" w:sz="6" w:space="0" w:color="008000"/>
              <w:bottom w:val="single" w:sz="6" w:space="0" w:color="008000"/>
            </w:tcBorders>
            <w:shd w:val="clear" w:color="auto" w:fill="auto"/>
            <w:vAlign w:val="center"/>
          </w:tcPr>
          <w:p w14:paraId="377063B7" w14:textId="77777777" w:rsidR="008D46E5" w:rsidRPr="005F0E0C" w:rsidRDefault="008D46E5" w:rsidP="00D3151E">
            <w:pPr>
              <w:pStyle w:val="CETBodytext"/>
              <w:ind w:right="-1"/>
              <w:jc w:val="left"/>
              <w:rPr>
                <w:rFonts w:cs="Arial"/>
                <w:sz w:val="15"/>
                <w:szCs w:val="15"/>
                <w:lang w:val="en-GB"/>
              </w:rPr>
            </w:pPr>
            <w:r w:rsidRPr="00AE11C3">
              <w:rPr>
                <w:rFonts w:cs="Arial"/>
                <w:sz w:val="15"/>
                <w:szCs w:val="15"/>
                <w:lang w:val="en-GB"/>
              </w:rPr>
              <w:t xml:space="preserve">11H - </w:t>
            </w:r>
            <w:r w:rsidRPr="0064069C">
              <w:rPr>
                <w:rFonts w:cs="Arial"/>
                <w:sz w:val="15"/>
                <w:szCs w:val="15"/>
                <w:lang w:val="en"/>
              </w:rPr>
              <w:t>NG loss due to LNG vaporization</w:t>
            </w:r>
          </w:p>
        </w:tc>
        <w:tc>
          <w:tcPr>
            <w:tcW w:w="1694" w:type="pct"/>
            <w:tcBorders>
              <w:top w:val="single" w:sz="6" w:space="0" w:color="008000"/>
              <w:bottom w:val="single" w:sz="6" w:space="0" w:color="008000"/>
            </w:tcBorders>
            <w:shd w:val="clear" w:color="auto" w:fill="auto"/>
            <w:vAlign w:val="center"/>
          </w:tcPr>
          <w:p w14:paraId="6DAE38AC" w14:textId="77777777" w:rsidR="008D46E5" w:rsidRPr="008D176E" w:rsidRDefault="008D46E5" w:rsidP="00D3151E">
            <w:pPr>
              <w:pStyle w:val="CETBodytext"/>
              <w:ind w:right="-1"/>
              <w:jc w:val="left"/>
              <w:rPr>
                <w:rFonts w:cs="Arial"/>
                <w:sz w:val="15"/>
                <w:szCs w:val="15"/>
                <w:lang w:val="en-GB"/>
              </w:rPr>
            </w:pPr>
            <w:r w:rsidRPr="00AE11C3">
              <w:rPr>
                <w:rFonts w:cs="Arial"/>
                <w:sz w:val="15"/>
                <w:szCs w:val="15"/>
                <w:lang w:val="en-GB"/>
              </w:rPr>
              <w:t>-</w:t>
            </w:r>
          </w:p>
        </w:tc>
        <w:tc>
          <w:tcPr>
            <w:tcW w:w="726" w:type="pct"/>
            <w:tcBorders>
              <w:top w:val="single" w:sz="6" w:space="0" w:color="008000"/>
              <w:bottom w:val="single" w:sz="6" w:space="0" w:color="008000"/>
            </w:tcBorders>
            <w:shd w:val="clear" w:color="auto" w:fill="auto"/>
            <w:vAlign w:val="center"/>
          </w:tcPr>
          <w:p w14:paraId="4FC10C7A" w14:textId="77777777" w:rsidR="008D46E5" w:rsidRPr="008D176E" w:rsidRDefault="008D46E5" w:rsidP="00D3151E">
            <w:pPr>
              <w:pStyle w:val="CETBodytext"/>
              <w:ind w:right="-1"/>
              <w:jc w:val="left"/>
              <w:rPr>
                <w:rFonts w:cs="Arial"/>
                <w:sz w:val="16"/>
                <w:szCs w:val="16"/>
                <w:lang w:val="en-GB"/>
              </w:rPr>
            </w:pPr>
            <w:r w:rsidRPr="00AE11C3">
              <w:rPr>
                <w:rFonts w:cs="Arial"/>
                <w:sz w:val="16"/>
                <w:szCs w:val="16"/>
                <w:lang w:val="en-GB"/>
              </w:rPr>
              <w:t>2</w:t>
            </w:r>
            <w:r>
              <w:rPr>
                <w:rFonts w:cs="Arial"/>
                <w:sz w:val="16"/>
                <w:szCs w:val="16"/>
                <w:lang w:val="en-GB"/>
              </w:rPr>
              <w:t>.</w:t>
            </w:r>
            <w:r w:rsidRPr="00AE11C3">
              <w:rPr>
                <w:rFonts w:cs="Arial"/>
                <w:sz w:val="16"/>
                <w:szCs w:val="16"/>
                <w:lang w:val="en-GB"/>
              </w:rPr>
              <w:t>60 · 10</w:t>
            </w:r>
            <w:r w:rsidRPr="00AE11C3">
              <w:rPr>
                <w:rFonts w:cs="Arial"/>
                <w:sz w:val="16"/>
                <w:szCs w:val="16"/>
                <w:vertAlign w:val="superscript"/>
                <w:lang w:val="en-GB"/>
              </w:rPr>
              <w:t>-10</w:t>
            </w:r>
          </w:p>
        </w:tc>
      </w:tr>
      <w:tr w:rsidR="008D46E5" w:rsidRPr="008D176E" w14:paraId="583D1BAD" w14:textId="77777777" w:rsidTr="00D3151E">
        <w:trPr>
          <w:cantSplit/>
        </w:trPr>
        <w:tc>
          <w:tcPr>
            <w:tcW w:w="2580" w:type="pct"/>
            <w:tcBorders>
              <w:top w:val="single" w:sz="6" w:space="0" w:color="008000"/>
              <w:bottom w:val="single" w:sz="12" w:space="0" w:color="008000"/>
            </w:tcBorders>
            <w:shd w:val="clear" w:color="auto" w:fill="auto"/>
            <w:vAlign w:val="center"/>
          </w:tcPr>
          <w:p w14:paraId="309711A2" w14:textId="77777777" w:rsidR="008D46E5" w:rsidRPr="0064069C" w:rsidRDefault="008D46E5" w:rsidP="00D3151E">
            <w:pPr>
              <w:pStyle w:val="CETBodytext"/>
              <w:ind w:right="-1"/>
              <w:jc w:val="left"/>
              <w:rPr>
                <w:rFonts w:cs="Arial"/>
                <w:sz w:val="15"/>
                <w:szCs w:val="15"/>
                <w:lang w:val="it-IT"/>
              </w:rPr>
            </w:pPr>
            <w:r w:rsidRPr="00AE11C3">
              <w:rPr>
                <w:rFonts w:cs="Arial"/>
                <w:sz w:val="15"/>
                <w:szCs w:val="15"/>
                <w:lang w:val="en-GB"/>
              </w:rPr>
              <w:t xml:space="preserve">12H - </w:t>
            </w:r>
            <w:r w:rsidRPr="0064069C">
              <w:rPr>
                <w:rFonts w:cs="Arial"/>
                <w:sz w:val="15"/>
                <w:szCs w:val="15"/>
                <w:lang w:val="en"/>
              </w:rPr>
              <w:t>Overpressure KO</w:t>
            </w:r>
            <w:r>
              <w:rPr>
                <w:rFonts w:cs="Arial"/>
                <w:sz w:val="15"/>
                <w:szCs w:val="15"/>
                <w:lang w:val="en"/>
              </w:rPr>
              <w:t>-D</w:t>
            </w:r>
            <w:r w:rsidRPr="0064069C">
              <w:rPr>
                <w:rFonts w:cs="Arial"/>
                <w:sz w:val="15"/>
                <w:szCs w:val="15"/>
                <w:lang w:val="en"/>
              </w:rPr>
              <w:t>rum VA-0070</w:t>
            </w:r>
          </w:p>
        </w:tc>
        <w:tc>
          <w:tcPr>
            <w:tcW w:w="1694" w:type="pct"/>
            <w:tcBorders>
              <w:top w:val="single" w:sz="6" w:space="0" w:color="008000"/>
              <w:bottom w:val="single" w:sz="12" w:space="0" w:color="008000"/>
            </w:tcBorders>
            <w:shd w:val="clear" w:color="auto" w:fill="auto"/>
            <w:vAlign w:val="center"/>
          </w:tcPr>
          <w:p w14:paraId="2E8C33C4" w14:textId="77777777" w:rsidR="008D46E5" w:rsidRPr="008D176E" w:rsidRDefault="008D46E5" w:rsidP="00D3151E">
            <w:pPr>
              <w:pStyle w:val="CETBodytext"/>
              <w:ind w:right="-1"/>
              <w:jc w:val="left"/>
              <w:rPr>
                <w:rFonts w:cs="Arial"/>
                <w:sz w:val="15"/>
                <w:szCs w:val="15"/>
                <w:lang w:val="en-GB"/>
              </w:rPr>
            </w:pPr>
            <w:r w:rsidRPr="00AE11C3">
              <w:rPr>
                <w:rFonts w:cs="Arial"/>
                <w:sz w:val="15"/>
                <w:szCs w:val="15"/>
                <w:lang w:val="en-GB"/>
              </w:rPr>
              <w:t>-</w:t>
            </w:r>
          </w:p>
        </w:tc>
        <w:tc>
          <w:tcPr>
            <w:tcW w:w="726" w:type="pct"/>
            <w:tcBorders>
              <w:top w:val="single" w:sz="6" w:space="0" w:color="008000"/>
              <w:bottom w:val="single" w:sz="12" w:space="0" w:color="008000"/>
            </w:tcBorders>
            <w:shd w:val="clear" w:color="auto" w:fill="auto"/>
            <w:vAlign w:val="center"/>
          </w:tcPr>
          <w:p w14:paraId="53AABDB8" w14:textId="77777777" w:rsidR="008D46E5" w:rsidRPr="008D176E" w:rsidRDefault="008D46E5" w:rsidP="00D3151E">
            <w:pPr>
              <w:pStyle w:val="CETBodytext"/>
              <w:ind w:right="-1"/>
              <w:jc w:val="left"/>
              <w:rPr>
                <w:rFonts w:cs="Arial"/>
                <w:sz w:val="16"/>
                <w:szCs w:val="16"/>
                <w:lang w:val="en-GB"/>
              </w:rPr>
            </w:pPr>
            <w:r w:rsidRPr="00AE11C3">
              <w:rPr>
                <w:rFonts w:cs="Arial"/>
                <w:sz w:val="16"/>
                <w:szCs w:val="16"/>
                <w:lang w:val="en-GB"/>
              </w:rPr>
              <w:t>3</w:t>
            </w:r>
            <w:r>
              <w:rPr>
                <w:rFonts w:cs="Arial"/>
                <w:sz w:val="16"/>
                <w:szCs w:val="16"/>
                <w:lang w:val="en-GB"/>
              </w:rPr>
              <w:t>.</w:t>
            </w:r>
            <w:r w:rsidRPr="00AE11C3">
              <w:rPr>
                <w:rFonts w:cs="Arial"/>
                <w:sz w:val="16"/>
                <w:szCs w:val="16"/>
                <w:lang w:val="en-GB"/>
              </w:rPr>
              <w:t>70 · 10</w:t>
            </w:r>
            <w:r w:rsidRPr="00AE11C3">
              <w:rPr>
                <w:rFonts w:cs="Arial"/>
                <w:sz w:val="16"/>
                <w:szCs w:val="16"/>
                <w:vertAlign w:val="superscript"/>
                <w:lang w:val="en-GB"/>
              </w:rPr>
              <w:t>-15</w:t>
            </w:r>
          </w:p>
        </w:tc>
      </w:tr>
      <w:tr w:rsidR="008D46E5" w:rsidRPr="008D176E" w14:paraId="455EDD87" w14:textId="77777777" w:rsidTr="00D3151E">
        <w:trPr>
          <w:cantSplit/>
        </w:trPr>
        <w:tc>
          <w:tcPr>
            <w:tcW w:w="5000" w:type="pct"/>
            <w:gridSpan w:val="3"/>
            <w:tcBorders>
              <w:top w:val="single" w:sz="12" w:space="0" w:color="008000"/>
              <w:bottom w:val="single" w:sz="6" w:space="0" w:color="008000"/>
            </w:tcBorders>
            <w:shd w:val="clear" w:color="auto" w:fill="auto"/>
            <w:vAlign w:val="center"/>
          </w:tcPr>
          <w:p w14:paraId="3B5BA1E7" w14:textId="27C9D233" w:rsidR="008D46E5" w:rsidRPr="0064069C" w:rsidRDefault="008D46E5" w:rsidP="00D3151E">
            <w:pPr>
              <w:pStyle w:val="CETBodytext"/>
              <w:tabs>
                <w:tab w:val="clear" w:pos="7100"/>
              </w:tabs>
              <w:jc w:val="left"/>
              <w:rPr>
                <w:rFonts w:cs="Arial"/>
                <w:sz w:val="16"/>
                <w:szCs w:val="16"/>
                <w:lang w:val="it-IT"/>
              </w:rPr>
            </w:pPr>
            <w:r w:rsidRPr="008D176E">
              <w:rPr>
                <w:rFonts w:cs="Arial"/>
                <w:sz w:val="16"/>
                <w:szCs w:val="16"/>
                <w:lang w:val="en-GB"/>
              </w:rPr>
              <w:t>III</w:t>
            </w:r>
            <w:r w:rsidRPr="008D176E">
              <w:rPr>
                <w:rFonts w:cs="Arial"/>
                <w:sz w:val="16"/>
                <w:szCs w:val="16"/>
                <w:lang w:val="en-GB"/>
              </w:rPr>
              <w:tab/>
            </w:r>
            <w:r w:rsidRPr="0064069C">
              <w:rPr>
                <w:rFonts w:cs="Arial"/>
                <w:sz w:val="16"/>
                <w:szCs w:val="16"/>
                <w:lang w:val="en"/>
              </w:rPr>
              <w:t>N</w:t>
            </w:r>
            <w:r w:rsidR="0032043F">
              <w:rPr>
                <w:rFonts w:cs="Arial"/>
                <w:sz w:val="16"/>
                <w:szCs w:val="16"/>
                <w:lang w:val="en"/>
              </w:rPr>
              <w:t>G</w:t>
            </w:r>
            <w:r w:rsidRPr="0064069C">
              <w:rPr>
                <w:rFonts w:cs="Arial"/>
                <w:sz w:val="16"/>
                <w:szCs w:val="16"/>
                <w:lang w:val="en"/>
              </w:rPr>
              <w:t xml:space="preserve"> TO PIPELINE</w:t>
            </w:r>
          </w:p>
        </w:tc>
      </w:tr>
      <w:tr w:rsidR="008D46E5" w:rsidRPr="008D176E" w14:paraId="19CF62B2" w14:textId="77777777" w:rsidTr="00D3151E">
        <w:trPr>
          <w:cantSplit/>
        </w:trPr>
        <w:tc>
          <w:tcPr>
            <w:tcW w:w="2580" w:type="pct"/>
            <w:vMerge w:val="restart"/>
            <w:tcBorders>
              <w:top w:val="single" w:sz="6" w:space="0" w:color="008000"/>
            </w:tcBorders>
            <w:shd w:val="clear" w:color="auto" w:fill="auto"/>
            <w:vAlign w:val="center"/>
          </w:tcPr>
          <w:p w14:paraId="6365703D" w14:textId="77777777" w:rsidR="008D46E5" w:rsidRPr="005F0E0C" w:rsidRDefault="008D46E5" w:rsidP="00D3151E">
            <w:pPr>
              <w:pStyle w:val="CETBodytext"/>
              <w:ind w:right="-1"/>
              <w:jc w:val="left"/>
              <w:rPr>
                <w:rFonts w:cs="Arial"/>
                <w:sz w:val="15"/>
                <w:szCs w:val="15"/>
                <w:lang w:val="en-GB"/>
              </w:rPr>
            </w:pPr>
            <w:r w:rsidRPr="008D176E">
              <w:rPr>
                <w:rFonts w:cs="Arial"/>
                <w:sz w:val="15"/>
                <w:szCs w:val="15"/>
              </w:rPr>
              <w:t xml:space="preserve">10R - </w:t>
            </w:r>
            <w:r w:rsidRPr="0064069C">
              <w:rPr>
                <w:rFonts w:cs="Arial"/>
                <w:sz w:val="15"/>
                <w:szCs w:val="15"/>
                <w:lang w:val="en"/>
              </w:rPr>
              <w:t>High pressure discharge flexible hoses from FSRU to onshore pipeline</w:t>
            </w:r>
          </w:p>
        </w:tc>
        <w:tc>
          <w:tcPr>
            <w:tcW w:w="1694" w:type="pct"/>
            <w:tcBorders>
              <w:top w:val="single" w:sz="6" w:space="0" w:color="008000"/>
              <w:bottom w:val="single" w:sz="6" w:space="0" w:color="008000"/>
            </w:tcBorders>
            <w:shd w:val="clear" w:color="auto" w:fill="auto"/>
            <w:vAlign w:val="center"/>
          </w:tcPr>
          <w:p w14:paraId="458FB917"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bottom w:val="single" w:sz="6" w:space="0" w:color="008000"/>
            </w:tcBorders>
            <w:shd w:val="clear" w:color="000000" w:fill="D9D9D9"/>
            <w:vAlign w:val="center"/>
          </w:tcPr>
          <w:p w14:paraId="35BC7488"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4</w:t>
            </w:r>
            <w:r>
              <w:rPr>
                <w:rFonts w:cs="Arial"/>
                <w:sz w:val="16"/>
                <w:szCs w:val="16"/>
              </w:rPr>
              <w:t>.</w:t>
            </w:r>
            <w:r w:rsidRPr="008D176E">
              <w:rPr>
                <w:rFonts w:cs="Arial"/>
                <w:sz w:val="16"/>
                <w:szCs w:val="16"/>
              </w:rPr>
              <w:t>00 · 10</w:t>
            </w:r>
            <w:r w:rsidRPr="008D176E">
              <w:rPr>
                <w:rFonts w:cs="Arial"/>
                <w:sz w:val="16"/>
                <w:szCs w:val="16"/>
                <w:vertAlign w:val="superscript"/>
              </w:rPr>
              <w:t>-4</w:t>
            </w:r>
          </w:p>
        </w:tc>
      </w:tr>
      <w:tr w:rsidR="008D46E5" w:rsidRPr="008D176E" w14:paraId="423A1D1B" w14:textId="77777777" w:rsidTr="00D3151E">
        <w:trPr>
          <w:cantSplit/>
        </w:trPr>
        <w:tc>
          <w:tcPr>
            <w:tcW w:w="2580" w:type="pct"/>
            <w:vMerge/>
            <w:vAlign w:val="center"/>
          </w:tcPr>
          <w:p w14:paraId="4409FF9C" w14:textId="77777777" w:rsidR="008D46E5" w:rsidRPr="008D176E" w:rsidRDefault="008D46E5" w:rsidP="00D3151E">
            <w:pPr>
              <w:pStyle w:val="CETBodytext"/>
              <w:ind w:right="-1"/>
              <w:jc w:val="left"/>
              <w:rPr>
                <w:rFonts w:cs="Arial"/>
                <w:sz w:val="15"/>
                <w:szCs w:val="15"/>
                <w:lang w:val="en-GB"/>
              </w:rPr>
            </w:pPr>
          </w:p>
        </w:tc>
        <w:tc>
          <w:tcPr>
            <w:tcW w:w="1694" w:type="pct"/>
            <w:tcBorders>
              <w:top w:val="single" w:sz="6" w:space="0" w:color="008000"/>
              <w:bottom w:val="single" w:sz="6" w:space="0" w:color="008000"/>
            </w:tcBorders>
            <w:shd w:val="clear" w:color="auto" w:fill="auto"/>
            <w:vAlign w:val="center"/>
          </w:tcPr>
          <w:p w14:paraId="4E9FDF4F"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Severe adverse weather conditions with removal and tearing of hoses</w:t>
            </w:r>
          </w:p>
        </w:tc>
        <w:tc>
          <w:tcPr>
            <w:tcW w:w="726" w:type="pct"/>
            <w:tcBorders>
              <w:top w:val="single" w:sz="6" w:space="0" w:color="008000"/>
              <w:bottom w:val="single" w:sz="6" w:space="0" w:color="008000"/>
            </w:tcBorders>
            <w:shd w:val="clear" w:color="auto" w:fill="auto"/>
            <w:vAlign w:val="center"/>
          </w:tcPr>
          <w:p w14:paraId="6646B928"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6</w:t>
            </w:r>
            <w:r>
              <w:rPr>
                <w:rFonts w:cs="Arial"/>
                <w:sz w:val="16"/>
                <w:szCs w:val="16"/>
              </w:rPr>
              <w:t>.</w:t>
            </w:r>
            <w:r w:rsidRPr="008D176E">
              <w:rPr>
                <w:rFonts w:cs="Arial"/>
                <w:sz w:val="16"/>
                <w:szCs w:val="16"/>
              </w:rPr>
              <w:t>60 · 10</w:t>
            </w:r>
            <w:r w:rsidRPr="008D176E">
              <w:rPr>
                <w:rFonts w:cs="Arial"/>
                <w:sz w:val="16"/>
                <w:szCs w:val="16"/>
                <w:vertAlign w:val="superscript"/>
              </w:rPr>
              <w:t>-7</w:t>
            </w:r>
          </w:p>
        </w:tc>
      </w:tr>
      <w:tr w:rsidR="008D46E5" w:rsidRPr="008D176E" w14:paraId="406B1DE5" w14:textId="77777777" w:rsidTr="00D3151E">
        <w:trPr>
          <w:cantSplit/>
        </w:trPr>
        <w:tc>
          <w:tcPr>
            <w:tcW w:w="2580" w:type="pct"/>
            <w:vMerge/>
            <w:tcBorders>
              <w:bottom w:val="single" w:sz="6" w:space="0" w:color="008000"/>
            </w:tcBorders>
            <w:vAlign w:val="center"/>
          </w:tcPr>
          <w:p w14:paraId="4A7B6C06" w14:textId="77777777" w:rsidR="008D46E5" w:rsidRPr="008D176E" w:rsidRDefault="008D46E5" w:rsidP="00D3151E">
            <w:pPr>
              <w:pStyle w:val="CETBodytext"/>
              <w:ind w:right="-1"/>
              <w:jc w:val="left"/>
              <w:rPr>
                <w:rFonts w:cs="Arial"/>
                <w:sz w:val="15"/>
                <w:szCs w:val="15"/>
                <w:lang w:val="en-GB"/>
              </w:rPr>
            </w:pPr>
          </w:p>
        </w:tc>
        <w:tc>
          <w:tcPr>
            <w:tcW w:w="1694" w:type="pct"/>
            <w:tcBorders>
              <w:top w:val="single" w:sz="6" w:space="0" w:color="008000"/>
              <w:bottom w:val="single" w:sz="6" w:space="0" w:color="008000"/>
            </w:tcBorders>
            <w:shd w:val="clear" w:color="auto" w:fill="auto"/>
            <w:vAlign w:val="center"/>
          </w:tcPr>
          <w:p w14:paraId="7BEC0C80"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Severe adverse weather conditions with removal and ERS intervention</w:t>
            </w:r>
          </w:p>
        </w:tc>
        <w:tc>
          <w:tcPr>
            <w:tcW w:w="726" w:type="pct"/>
            <w:tcBorders>
              <w:top w:val="single" w:sz="6" w:space="0" w:color="008000"/>
              <w:bottom w:val="single" w:sz="6" w:space="0" w:color="008000"/>
            </w:tcBorders>
            <w:shd w:val="clear" w:color="000000" w:fill="D9D9D9"/>
            <w:vAlign w:val="center"/>
          </w:tcPr>
          <w:p w14:paraId="29A8810A"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5</w:t>
            </w:r>
            <w:r>
              <w:rPr>
                <w:rFonts w:cs="Arial"/>
                <w:sz w:val="16"/>
                <w:szCs w:val="16"/>
              </w:rPr>
              <w:t>.</w:t>
            </w:r>
            <w:r w:rsidRPr="008D176E">
              <w:rPr>
                <w:rFonts w:cs="Arial"/>
                <w:sz w:val="16"/>
                <w:szCs w:val="16"/>
              </w:rPr>
              <w:t>00 · 10</w:t>
            </w:r>
            <w:r w:rsidRPr="008D176E">
              <w:rPr>
                <w:rFonts w:cs="Arial"/>
                <w:sz w:val="16"/>
                <w:szCs w:val="16"/>
                <w:vertAlign w:val="superscript"/>
              </w:rPr>
              <w:t>-5</w:t>
            </w:r>
          </w:p>
        </w:tc>
      </w:tr>
      <w:tr w:rsidR="008D46E5" w:rsidRPr="008D176E" w14:paraId="40528574" w14:textId="77777777" w:rsidTr="00D3151E">
        <w:trPr>
          <w:cantSplit/>
        </w:trPr>
        <w:tc>
          <w:tcPr>
            <w:tcW w:w="2580" w:type="pct"/>
            <w:tcBorders>
              <w:top w:val="single" w:sz="6" w:space="0" w:color="008000"/>
              <w:bottom w:val="single" w:sz="6" w:space="0" w:color="008000"/>
            </w:tcBorders>
            <w:shd w:val="clear" w:color="auto" w:fill="auto"/>
            <w:vAlign w:val="center"/>
          </w:tcPr>
          <w:p w14:paraId="6866BC0C" w14:textId="77777777" w:rsidR="008D46E5" w:rsidRPr="005F0E0C" w:rsidRDefault="008D46E5" w:rsidP="00D3151E">
            <w:pPr>
              <w:pStyle w:val="CETBodytext"/>
              <w:ind w:right="-1"/>
              <w:jc w:val="left"/>
              <w:rPr>
                <w:rFonts w:cs="Arial"/>
                <w:sz w:val="15"/>
                <w:szCs w:val="15"/>
                <w:lang w:val="en-GB"/>
              </w:rPr>
            </w:pPr>
            <w:r w:rsidRPr="008D176E">
              <w:rPr>
                <w:rFonts w:cs="Arial"/>
                <w:sz w:val="15"/>
                <w:szCs w:val="15"/>
              </w:rPr>
              <w:t xml:space="preserve">11R - </w:t>
            </w:r>
            <w:r w:rsidRPr="0064069C">
              <w:rPr>
                <w:rFonts w:cs="Arial"/>
                <w:sz w:val="15"/>
                <w:szCs w:val="15"/>
                <w:lang w:val="en"/>
              </w:rPr>
              <w:t xml:space="preserve">Onshore </w:t>
            </w:r>
            <w:r>
              <w:rPr>
                <w:rFonts w:cs="Arial"/>
                <w:sz w:val="15"/>
                <w:szCs w:val="15"/>
                <w:lang w:val="en"/>
              </w:rPr>
              <w:t>NG</w:t>
            </w:r>
            <w:r w:rsidRPr="0064069C">
              <w:rPr>
                <w:rFonts w:cs="Arial"/>
                <w:sz w:val="15"/>
                <w:szCs w:val="15"/>
                <w:lang w:val="en"/>
              </w:rPr>
              <w:t xml:space="preserve"> pipeline to PIL system</w:t>
            </w:r>
          </w:p>
        </w:tc>
        <w:tc>
          <w:tcPr>
            <w:tcW w:w="1694" w:type="pct"/>
            <w:tcBorders>
              <w:top w:val="single" w:sz="6" w:space="0" w:color="008000"/>
              <w:bottom w:val="single" w:sz="6" w:space="0" w:color="008000"/>
            </w:tcBorders>
            <w:shd w:val="clear" w:color="auto" w:fill="auto"/>
            <w:vAlign w:val="center"/>
          </w:tcPr>
          <w:p w14:paraId="4848FABD"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bottom w:val="single" w:sz="6" w:space="0" w:color="008000"/>
            </w:tcBorders>
            <w:shd w:val="clear" w:color="000000" w:fill="D9D9D9"/>
            <w:vAlign w:val="center"/>
          </w:tcPr>
          <w:p w14:paraId="32C81175"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2</w:t>
            </w:r>
            <w:r>
              <w:rPr>
                <w:rFonts w:cs="Arial"/>
                <w:sz w:val="16"/>
                <w:szCs w:val="16"/>
              </w:rPr>
              <w:t>.</w:t>
            </w:r>
            <w:r w:rsidRPr="008D176E">
              <w:rPr>
                <w:rFonts w:cs="Arial"/>
                <w:sz w:val="16"/>
                <w:szCs w:val="16"/>
              </w:rPr>
              <w:t>13 · 10</w:t>
            </w:r>
            <w:r w:rsidRPr="008D176E">
              <w:rPr>
                <w:rFonts w:cs="Arial"/>
                <w:sz w:val="16"/>
                <w:szCs w:val="16"/>
                <w:vertAlign w:val="superscript"/>
              </w:rPr>
              <w:t>-4</w:t>
            </w:r>
          </w:p>
        </w:tc>
      </w:tr>
      <w:tr w:rsidR="008D46E5" w:rsidRPr="008D176E" w14:paraId="4778B0D6" w14:textId="77777777" w:rsidTr="00D3151E">
        <w:trPr>
          <w:cantSplit/>
        </w:trPr>
        <w:tc>
          <w:tcPr>
            <w:tcW w:w="2580" w:type="pct"/>
            <w:tcBorders>
              <w:top w:val="single" w:sz="6" w:space="0" w:color="008000"/>
              <w:bottom w:val="single" w:sz="6" w:space="0" w:color="008000"/>
            </w:tcBorders>
            <w:shd w:val="clear" w:color="auto" w:fill="auto"/>
            <w:vAlign w:val="center"/>
          </w:tcPr>
          <w:p w14:paraId="38D685B6" w14:textId="77777777" w:rsidR="008D46E5" w:rsidRPr="008D176E" w:rsidRDefault="008D46E5" w:rsidP="00D3151E">
            <w:pPr>
              <w:pStyle w:val="CETBodytext"/>
              <w:ind w:right="-1"/>
              <w:jc w:val="left"/>
              <w:rPr>
                <w:rFonts w:cs="Arial"/>
                <w:sz w:val="15"/>
                <w:szCs w:val="15"/>
                <w:lang w:val="en-GB"/>
              </w:rPr>
            </w:pPr>
            <w:r w:rsidRPr="008D176E">
              <w:rPr>
                <w:rFonts w:cs="Arial"/>
                <w:sz w:val="15"/>
                <w:szCs w:val="15"/>
              </w:rPr>
              <w:t xml:space="preserve">3H - </w:t>
            </w:r>
            <w:r w:rsidRPr="0064069C">
              <w:rPr>
                <w:rFonts w:cs="Arial"/>
                <w:sz w:val="15"/>
                <w:szCs w:val="15"/>
                <w:lang w:val="en-GB"/>
              </w:rPr>
              <w:t xml:space="preserve">Breakage of gas manifold on </w:t>
            </w:r>
            <w:r>
              <w:rPr>
                <w:rFonts w:cs="Arial"/>
                <w:sz w:val="15"/>
                <w:szCs w:val="15"/>
                <w:lang w:val="en-GB"/>
              </w:rPr>
              <w:t>NG</w:t>
            </w:r>
            <w:r w:rsidRPr="0064069C">
              <w:rPr>
                <w:rFonts w:cs="Arial"/>
                <w:sz w:val="15"/>
                <w:szCs w:val="15"/>
                <w:lang w:val="en-GB"/>
              </w:rPr>
              <w:t xml:space="preserve"> pipeline, due to cryogenic embrittlement</w:t>
            </w:r>
          </w:p>
        </w:tc>
        <w:tc>
          <w:tcPr>
            <w:tcW w:w="1694" w:type="pct"/>
            <w:tcBorders>
              <w:top w:val="single" w:sz="6" w:space="0" w:color="008000"/>
              <w:bottom w:val="single" w:sz="6" w:space="0" w:color="008000"/>
            </w:tcBorders>
            <w:shd w:val="clear" w:color="auto" w:fill="auto"/>
            <w:vAlign w:val="center"/>
          </w:tcPr>
          <w:p w14:paraId="18D47767" w14:textId="77777777" w:rsidR="008D46E5" w:rsidRPr="008D176E" w:rsidRDefault="008D46E5" w:rsidP="00D3151E">
            <w:pPr>
              <w:pStyle w:val="CETBodytext"/>
              <w:ind w:right="-1"/>
              <w:jc w:val="left"/>
              <w:rPr>
                <w:rFonts w:cs="Arial"/>
                <w:sz w:val="15"/>
                <w:szCs w:val="15"/>
                <w:lang w:val="en-GB"/>
              </w:rPr>
            </w:pPr>
            <w:r w:rsidRPr="008D176E">
              <w:rPr>
                <w:rFonts w:cs="Arial"/>
                <w:sz w:val="15"/>
                <w:szCs w:val="15"/>
              </w:rPr>
              <w:t>-</w:t>
            </w:r>
          </w:p>
        </w:tc>
        <w:tc>
          <w:tcPr>
            <w:tcW w:w="726" w:type="pct"/>
            <w:tcBorders>
              <w:top w:val="single" w:sz="6" w:space="0" w:color="008000"/>
              <w:bottom w:val="single" w:sz="6" w:space="0" w:color="008000"/>
            </w:tcBorders>
            <w:shd w:val="clear" w:color="auto" w:fill="auto"/>
            <w:vAlign w:val="center"/>
          </w:tcPr>
          <w:p w14:paraId="29F56D8E"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1</w:t>
            </w:r>
            <w:r>
              <w:rPr>
                <w:rFonts w:cs="Arial"/>
                <w:sz w:val="16"/>
                <w:szCs w:val="16"/>
              </w:rPr>
              <w:t>.</w:t>
            </w:r>
            <w:r w:rsidRPr="008D176E">
              <w:rPr>
                <w:rFonts w:cs="Arial"/>
                <w:sz w:val="16"/>
                <w:szCs w:val="16"/>
              </w:rPr>
              <w:t>60 · 10</w:t>
            </w:r>
            <w:r w:rsidRPr="008D176E">
              <w:rPr>
                <w:rFonts w:cs="Arial"/>
                <w:sz w:val="16"/>
                <w:szCs w:val="16"/>
                <w:vertAlign w:val="superscript"/>
              </w:rPr>
              <w:t>-10</w:t>
            </w:r>
          </w:p>
        </w:tc>
      </w:tr>
      <w:tr w:rsidR="008D46E5" w:rsidRPr="008D176E" w14:paraId="789D8D52" w14:textId="77777777" w:rsidTr="00D3151E">
        <w:trPr>
          <w:cantSplit/>
        </w:trPr>
        <w:tc>
          <w:tcPr>
            <w:tcW w:w="2580" w:type="pct"/>
            <w:tcBorders>
              <w:top w:val="single" w:sz="6" w:space="0" w:color="008000"/>
              <w:bottom w:val="single" w:sz="12" w:space="0" w:color="008000"/>
            </w:tcBorders>
            <w:shd w:val="clear" w:color="auto" w:fill="auto"/>
            <w:vAlign w:val="center"/>
          </w:tcPr>
          <w:p w14:paraId="7C24C9D2" w14:textId="77777777" w:rsidR="008D46E5" w:rsidRPr="005F0E0C" w:rsidRDefault="008D46E5" w:rsidP="00D3151E">
            <w:pPr>
              <w:pStyle w:val="CETBodytext"/>
              <w:ind w:right="-1"/>
              <w:jc w:val="left"/>
              <w:rPr>
                <w:rFonts w:cs="Arial"/>
                <w:sz w:val="15"/>
                <w:szCs w:val="15"/>
                <w:lang w:val="en-GB"/>
              </w:rPr>
            </w:pPr>
            <w:r w:rsidRPr="008D176E">
              <w:rPr>
                <w:rFonts w:cs="Arial"/>
                <w:sz w:val="15"/>
                <w:szCs w:val="15"/>
              </w:rPr>
              <w:t xml:space="preserve">4H - </w:t>
            </w:r>
            <w:r w:rsidRPr="0064069C">
              <w:rPr>
                <w:rFonts w:cs="Arial"/>
                <w:sz w:val="15"/>
                <w:szCs w:val="15"/>
                <w:lang w:val="en"/>
              </w:rPr>
              <w:t xml:space="preserve">Breakage of connection hose between FSRU vessel and </w:t>
            </w:r>
            <w:r>
              <w:rPr>
                <w:rFonts w:cs="Arial"/>
                <w:sz w:val="15"/>
                <w:szCs w:val="15"/>
                <w:lang w:val="en"/>
              </w:rPr>
              <w:t>NG</w:t>
            </w:r>
            <w:r w:rsidRPr="0064069C">
              <w:rPr>
                <w:rFonts w:cs="Arial"/>
                <w:sz w:val="15"/>
                <w:szCs w:val="15"/>
                <w:lang w:val="en"/>
              </w:rPr>
              <w:t xml:space="preserve"> pipeline due to mechanical failure due to overpressure</w:t>
            </w:r>
          </w:p>
        </w:tc>
        <w:tc>
          <w:tcPr>
            <w:tcW w:w="1694" w:type="pct"/>
            <w:tcBorders>
              <w:top w:val="single" w:sz="6" w:space="0" w:color="008000"/>
              <w:bottom w:val="single" w:sz="12" w:space="0" w:color="008000"/>
            </w:tcBorders>
            <w:shd w:val="clear" w:color="auto" w:fill="auto"/>
            <w:vAlign w:val="center"/>
          </w:tcPr>
          <w:p w14:paraId="2A5F7374" w14:textId="77777777" w:rsidR="008D46E5" w:rsidRPr="008D176E" w:rsidRDefault="008D46E5" w:rsidP="00D3151E">
            <w:pPr>
              <w:pStyle w:val="CETBodytext"/>
              <w:ind w:right="-1"/>
              <w:jc w:val="left"/>
              <w:rPr>
                <w:rFonts w:cs="Arial"/>
                <w:sz w:val="15"/>
                <w:szCs w:val="15"/>
                <w:lang w:val="en-GB"/>
              </w:rPr>
            </w:pPr>
            <w:r w:rsidRPr="008D176E">
              <w:rPr>
                <w:rFonts w:cs="Arial"/>
                <w:sz w:val="15"/>
                <w:szCs w:val="15"/>
              </w:rPr>
              <w:t>-</w:t>
            </w:r>
          </w:p>
        </w:tc>
        <w:tc>
          <w:tcPr>
            <w:tcW w:w="726" w:type="pct"/>
            <w:tcBorders>
              <w:top w:val="single" w:sz="6" w:space="0" w:color="008000"/>
              <w:bottom w:val="single" w:sz="12" w:space="0" w:color="008000"/>
            </w:tcBorders>
            <w:shd w:val="clear" w:color="auto" w:fill="auto"/>
            <w:vAlign w:val="center"/>
          </w:tcPr>
          <w:p w14:paraId="2ADCEDDA"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3</w:t>
            </w:r>
            <w:r>
              <w:rPr>
                <w:rFonts w:cs="Arial"/>
                <w:sz w:val="16"/>
                <w:szCs w:val="16"/>
              </w:rPr>
              <w:t>.</w:t>
            </w:r>
            <w:r w:rsidRPr="008D176E">
              <w:rPr>
                <w:rFonts w:cs="Arial"/>
                <w:sz w:val="16"/>
                <w:szCs w:val="16"/>
              </w:rPr>
              <w:t>40 · 10</w:t>
            </w:r>
            <w:r w:rsidRPr="008D176E">
              <w:rPr>
                <w:rFonts w:cs="Arial"/>
                <w:sz w:val="16"/>
                <w:szCs w:val="16"/>
                <w:vertAlign w:val="superscript"/>
              </w:rPr>
              <w:t>-17</w:t>
            </w:r>
          </w:p>
        </w:tc>
      </w:tr>
      <w:tr w:rsidR="008D46E5" w:rsidRPr="008D176E" w14:paraId="6DA30965" w14:textId="77777777" w:rsidTr="00D3151E">
        <w:trPr>
          <w:cantSplit/>
        </w:trPr>
        <w:tc>
          <w:tcPr>
            <w:tcW w:w="5000" w:type="pct"/>
            <w:gridSpan w:val="3"/>
            <w:tcBorders>
              <w:top w:val="single" w:sz="12" w:space="0" w:color="008000"/>
              <w:bottom w:val="single" w:sz="6" w:space="0" w:color="008000"/>
            </w:tcBorders>
            <w:shd w:val="clear" w:color="auto" w:fill="auto"/>
            <w:vAlign w:val="center"/>
          </w:tcPr>
          <w:p w14:paraId="4F438DC8" w14:textId="77777777" w:rsidR="008D46E5" w:rsidRPr="005F0E0C" w:rsidRDefault="008D46E5" w:rsidP="00D3151E">
            <w:pPr>
              <w:pStyle w:val="CETBodytext"/>
              <w:tabs>
                <w:tab w:val="clear" w:pos="7100"/>
              </w:tabs>
              <w:jc w:val="left"/>
              <w:rPr>
                <w:rFonts w:cs="Arial"/>
                <w:sz w:val="16"/>
                <w:szCs w:val="16"/>
                <w:lang w:val="en-GB"/>
              </w:rPr>
            </w:pPr>
            <w:r w:rsidRPr="008D176E">
              <w:rPr>
                <w:rFonts w:cs="Arial"/>
                <w:sz w:val="16"/>
                <w:szCs w:val="16"/>
                <w:lang w:val="en-GB"/>
              </w:rPr>
              <w:t>IV</w:t>
            </w:r>
            <w:r w:rsidRPr="008D176E">
              <w:rPr>
                <w:rFonts w:cs="Arial"/>
                <w:sz w:val="16"/>
                <w:szCs w:val="16"/>
                <w:lang w:val="en-GB"/>
              </w:rPr>
              <w:tab/>
            </w:r>
            <w:r w:rsidRPr="0064069C">
              <w:rPr>
                <w:rFonts w:cs="Arial"/>
                <w:sz w:val="16"/>
                <w:szCs w:val="16"/>
                <w:lang w:val="en"/>
              </w:rPr>
              <w:t>LNG TO LNG</w:t>
            </w:r>
            <w:r>
              <w:rPr>
                <w:rFonts w:cs="Arial"/>
                <w:sz w:val="16"/>
                <w:szCs w:val="16"/>
                <w:lang w:val="en"/>
              </w:rPr>
              <w:t xml:space="preserve"> Carrier</w:t>
            </w:r>
          </w:p>
        </w:tc>
      </w:tr>
      <w:tr w:rsidR="008D46E5" w:rsidRPr="008D176E" w14:paraId="76660FD4" w14:textId="77777777" w:rsidTr="00D3151E">
        <w:trPr>
          <w:cantSplit/>
        </w:trPr>
        <w:tc>
          <w:tcPr>
            <w:tcW w:w="2580" w:type="pct"/>
            <w:vMerge w:val="restart"/>
            <w:tcBorders>
              <w:top w:val="single" w:sz="6" w:space="0" w:color="008000"/>
            </w:tcBorders>
            <w:shd w:val="clear" w:color="auto" w:fill="auto"/>
            <w:vAlign w:val="center"/>
          </w:tcPr>
          <w:p w14:paraId="22AC5C6F" w14:textId="77777777" w:rsidR="008D46E5" w:rsidRPr="005F0E0C" w:rsidRDefault="008D46E5" w:rsidP="00D3151E">
            <w:pPr>
              <w:pStyle w:val="CETBodytext"/>
              <w:ind w:right="-1"/>
              <w:jc w:val="left"/>
              <w:rPr>
                <w:rFonts w:cs="Arial"/>
                <w:sz w:val="15"/>
                <w:szCs w:val="15"/>
                <w:lang w:val="en-GB"/>
              </w:rPr>
            </w:pPr>
            <w:r w:rsidRPr="008D176E">
              <w:rPr>
                <w:rFonts w:cs="Arial"/>
                <w:sz w:val="15"/>
                <w:szCs w:val="15"/>
              </w:rPr>
              <w:t xml:space="preserve">12R - </w:t>
            </w:r>
            <w:r w:rsidRPr="0064069C">
              <w:rPr>
                <w:rFonts w:cs="Arial"/>
                <w:sz w:val="15"/>
                <w:szCs w:val="15"/>
                <w:lang w:val="en"/>
              </w:rPr>
              <w:t xml:space="preserve">Flexible LNG loading hoses on LNG </w:t>
            </w:r>
            <w:r>
              <w:rPr>
                <w:rFonts w:cs="Arial"/>
                <w:sz w:val="15"/>
                <w:szCs w:val="15"/>
                <w:lang w:val="en"/>
              </w:rPr>
              <w:t>Carrier</w:t>
            </w:r>
            <w:r w:rsidRPr="0064069C">
              <w:rPr>
                <w:rFonts w:cs="Arial"/>
                <w:sz w:val="15"/>
                <w:szCs w:val="15"/>
                <w:lang w:val="en"/>
              </w:rPr>
              <w:t xml:space="preserve"> from FSRU</w:t>
            </w:r>
          </w:p>
        </w:tc>
        <w:tc>
          <w:tcPr>
            <w:tcW w:w="1694" w:type="pct"/>
            <w:tcBorders>
              <w:top w:val="single" w:sz="6" w:space="0" w:color="008000"/>
            </w:tcBorders>
            <w:shd w:val="clear" w:color="auto" w:fill="auto"/>
            <w:vAlign w:val="center"/>
          </w:tcPr>
          <w:p w14:paraId="4962C1CD"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tcBorders>
            <w:shd w:val="clear" w:color="000000" w:fill="D9D9D9"/>
            <w:vAlign w:val="center"/>
          </w:tcPr>
          <w:p w14:paraId="6CB1A724"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7</w:t>
            </w:r>
            <w:r>
              <w:rPr>
                <w:rFonts w:cs="Arial"/>
                <w:sz w:val="16"/>
                <w:szCs w:val="16"/>
              </w:rPr>
              <w:t>.</w:t>
            </w:r>
            <w:r w:rsidRPr="008D176E">
              <w:rPr>
                <w:rFonts w:cs="Arial"/>
                <w:sz w:val="16"/>
                <w:szCs w:val="16"/>
              </w:rPr>
              <w:t>12 · 10</w:t>
            </w:r>
            <w:r w:rsidRPr="008D176E">
              <w:rPr>
                <w:rFonts w:cs="Arial"/>
                <w:sz w:val="16"/>
                <w:szCs w:val="16"/>
                <w:vertAlign w:val="superscript"/>
              </w:rPr>
              <w:t>-5</w:t>
            </w:r>
          </w:p>
        </w:tc>
      </w:tr>
      <w:tr w:rsidR="008D46E5" w:rsidRPr="008D176E" w14:paraId="11023F5D" w14:textId="77777777" w:rsidTr="00D3151E">
        <w:trPr>
          <w:cantSplit/>
        </w:trPr>
        <w:tc>
          <w:tcPr>
            <w:tcW w:w="2580" w:type="pct"/>
            <w:vMerge/>
            <w:vAlign w:val="center"/>
          </w:tcPr>
          <w:p w14:paraId="447A2CAE" w14:textId="77777777" w:rsidR="008D46E5" w:rsidRPr="008D176E" w:rsidRDefault="008D46E5" w:rsidP="00D3151E">
            <w:pPr>
              <w:pStyle w:val="CETBodytext"/>
              <w:ind w:right="-1"/>
              <w:jc w:val="left"/>
              <w:rPr>
                <w:rFonts w:cs="Arial"/>
                <w:sz w:val="15"/>
                <w:szCs w:val="15"/>
                <w:lang w:val="en-GB"/>
              </w:rPr>
            </w:pPr>
          </w:p>
        </w:tc>
        <w:tc>
          <w:tcPr>
            <w:tcW w:w="1694" w:type="pct"/>
            <w:tcBorders>
              <w:top w:val="single" w:sz="6" w:space="0" w:color="008000"/>
              <w:bottom w:val="single" w:sz="6" w:space="0" w:color="008000"/>
            </w:tcBorders>
            <w:shd w:val="clear" w:color="auto" w:fill="auto"/>
            <w:vAlign w:val="center"/>
          </w:tcPr>
          <w:p w14:paraId="1E10E202"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Severe adverse weather conditions with removal and tearing of hoses</w:t>
            </w:r>
          </w:p>
        </w:tc>
        <w:tc>
          <w:tcPr>
            <w:tcW w:w="726" w:type="pct"/>
            <w:tcBorders>
              <w:top w:val="single" w:sz="6" w:space="0" w:color="008000"/>
              <w:bottom w:val="single" w:sz="6" w:space="0" w:color="008000"/>
            </w:tcBorders>
            <w:shd w:val="clear" w:color="auto" w:fill="auto"/>
            <w:vAlign w:val="center"/>
          </w:tcPr>
          <w:p w14:paraId="08BB358E"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5</w:t>
            </w:r>
            <w:r>
              <w:rPr>
                <w:rFonts w:cs="Arial"/>
                <w:sz w:val="16"/>
                <w:szCs w:val="16"/>
              </w:rPr>
              <w:t>.</w:t>
            </w:r>
            <w:r w:rsidRPr="008D176E">
              <w:rPr>
                <w:rFonts w:cs="Arial"/>
                <w:sz w:val="16"/>
                <w:szCs w:val="16"/>
              </w:rPr>
              <w:t>80 · 10</w:t>
            </w:r>
            <w:r w:rsidRPr="008D176E">
              <w:rPr>
                <w:rFonts w:cs="Arial"/>
                <w:sz w:val="16"/>
                <w:szCs w:val="16"/>
                <w:vertAlign w:val="superscript"/>
              </w:rPr>
              <w:t>-8</w:t>
            </w:r>
          </w:p>
        </w:tc>
      </w:tr>
      <w:tr w:rsidR="008D46E5" w:rsidRPr="008D176E" w14:paraId="16F6CC00" w14:textId="77777777" w:rsidTr="00D3151E">
        <w:trPr>
          <w:cantSplit/>
        </w:trPr>
        <w:tc>
          <w:tcPr>
            <w:tcW w:w="2580" w:type="pct"/>
            <w:vMerge/>
            <w:tcBorders>
              <w:bottom w:val="single" w:sz="12" w:space="0" w:color="008000"/>
            </w:tcBorders>
            <w:vAlign w:val="center"/>
          </w:tcPr>
          <w:p w14:paraId="1E457DCC" w14:textId="77777777" w:rsidR="008D46E5" w:rsidRPr="008D176E" w:rsidRDefault="008D46E5" w:rsidP="00D3151E">
            <w:pPr>
              <w:pStyle w:val="CETBodytext"/>
              <w:ind w:right="-1"/>
              <w:jc w:val="left"/>
              <w:rPr>
                <w:rFonts w:cs="Arial"/>
                <w:sz w:val="15"/>
                <w:szCs w:val="15"/>
                <w:lang w:val="en-GB"/>
              </w:rPr>
            </w:pPr>
          </w:p>
        </w:tc>
        <w:tc>
          <w:tcPr>
            <w:tcW w:w="1694" w:type="pct"/>
            <w:tcBorders>
              <w:top w:val="single" w:sz="6" w:space="0" w:color="008000"/>
              <w:bottom w:val="single" w:sz="12" w:space="0" w:color="008000"/>
            </w:tcBorders>
            <w:shd w:val="clear" w:color="auto" w:fill="auto"/>
            <w:vAlign w:val="center"/>
          </w:tcPr>
          <w:p w14:paraId="6AF7B8A0"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Severe adverse weather conditions with removal and ERS intervention</w:t>
            </w:r>
          </w:p>
        </w:tc>
        <w:tc>
          <w:tcPr>
            <w:tcW w:w="726" w:type="pct"/>
            <w:tcBorders>
              <w:top w:val="single" w:sz="6" w:space="0" w:color="008000"/>
              <w:bottom w:val="single" w:sz="12" w:space="0" w:color="008000"/>
            </w:tcBorders>
            <w:shd w:val="clear" w:color="000000" w:fill="D9D9D9"/>
            <w:vAlign w:val="center"/>
          </w:tcPr>
          <w:p w14:paraId="3C72B0D6"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4</w:t>
            </w:r>
            <w:r>
              <w:rPr>
                <w:rFonts w:cs="Arial"/>
                <w:sz w:val="16"/>
                <w:szCs w:val="16"/>
              </w:rPr>
              <w:t>.</w:t>
            </w:r>
            <w:r w:rsidRPr="008D176E">
              <w:rPr>
                <w:rFonts w:cs="Arial"/>
                <w:sz w:val="16"/>
                <w:szCs w:val="16"/>
              </w:rPr>
              <w:t>45 · 10</w:t>
            </w:r>
            <w:r w:rsidRPr="008D176E">
              <w:rPr>
                <w:rFonts w:cs="Arial"/>
                <w:sz w:val="16"/>
                <w:szCs w:val="16"/>
                <w:vertAlign w:val="superscript"/>
              </w:rPr>
              <w:t>-6</w:t>
            </w:r>
          </w:p>
        </w:tc>
      </w:tr>
      <w:tr w:rsidR="008D46E5" w:rsidRPr="008D176E" w14:paraId="41B8EC9B" w14:textId="77777777" w:rsidTr="00D3151E">
        <w:trPr>
          <w:cantSplit/>
        </w:trPr>
        <w:tc>
          <w:tcPr>
            <w:tcW w:w="5000" w:type="pct"/>
            <w:gridSpan w:val="3"/>
            <w:tcBorders>
              <w:top w:val="single" w:sz="12" w:space="0" w:color="008000"/>
              <w:bottom w:val="single" w:sz="6" w:space="0" w:color="008000"/>
            </w:tcBorders>
            <w:shd w:val="clear" w:color="auto" w:fill="auto"/>
            <w:vAlign w:val="center"/>
          </w:tcPr>
          <w:p w14:paraId="14FCCFB4" w14:textId="77777777" w:rsidR="008D46E5" w:rsidRPr="0064069C" w:rsidRDefault="008D46E5" w:rsidP="00D3151E">
            <w:pPr>
              <w:pStyle w:val="CETBodytext"/>
              <w:tabs>
                <w:tab w:val="clear" w:pos="7100"/>
              </w:tabs>
              <w:jc w:val="left"/>
              <w:rPr>
                <w:rFonts w:cs="Arial"/>
                <w:sz w:val="16"/>
                <w:szCs w:val="16"/>
                <w:lang w:val="it-IT"/>
              </w:rPr>
            </w:pPr>
            <w:r w:rsidRPr="008D176E">
              <w:rPr>
                <w:rFonts w:cs="Arial"/>
                <w:sz w:val="16"/>
                <w:szCs w:val="16"/>
                <w:lang w:val="en-GB"/>
              </w:rPr>
              <w:t>V</w:t>
            </w:r>
            <w:r w:rsidRPr="008D176E">
              <w:rPr>
                <w:rFonts w:cs="Arial"/>
                <w:sz w:val="16"/>
                <w:szCs w:val="16"/>
                <w:lang w:val="en-GB"/>
              </w:rPr>
              <w:tab/>
            </w:r>
            <w:r w:rsidRPr="0064069C">
              <w:rPr>
                <w:rFonts w:cs="Arial"/>
                <w:sz w:val="16"/>
                <w:szCs w:val="16"/>
                <w:lang w:val="en"/>
              </w:rPr>
              <w:t>LIQUID FUEL TRANSFER</w:t>
            </w:r>
          </w:p>
        </w:tc>
      </w:tr>
      <w:tr w:rsidR="008D46E5" w:rsidRPr="008D176E" w14:paraId="4BE7498A" w14:textId="77777777" w:rsidTr="00D3151E">
        <w:trPr>
          <w:cantSplit/>
        </w:trPr>
        <w:tc>
          <w:tcPr>
            <w:tcW w:w="2580" w:type="pct"/>
            <w:tcBorders>
              <w:top w:val="single" w:sz="6" w:space="0" w:color="008000"/>
            </w:tcBorders>
            <w:shd w:val="clear" w:color="auto" w:fill="auto"/>
            <w:vAlign w:val="center"/>
          </w:tcPr>
          <w:p w14:paraId="6E59C355" w14:textId="77777777" w:rsidR="008D46E5" w:rsidRPr="00B92D50" w:rsidRDefault="008D46E5" w:rsidP="00D3151E">
            <w:pPr>
              <w:pStyle w:val="CETBodytext"/>
              <w:ind w:right="-1"/>
              <w:jc w:val="left"/>
              <w:rPr>
                <w:rFonts w:cs="Arial"/>
                <w:sz w:val="15"/>
                <w:szCs w:val="15"/>
                <w:lang w:val="en-GB"/>
              </w:rPr>
            </w:pPr>
            <w:r w:rsidRPr="008D176E">
              <w:rPr>
                <w:rFonts w:cs="Arial"/>
                <w:sz w:val="15"/>
                <w:szCs w:val="15"/>
              </w:rPr>
              <w:t xml:space="preserve">15R - </w:t>
            </w:r>
            <w:r w:rsidRPr="0064069C">
              <w:rPr>
                <w:rFonts w:cs="Arial"/>
                <w:sz w:val="15"/>
                <w:szCs w:val="15"/>
                <w:lang w:val="en"/>
              </w:rPr>
              <w:t>Diesel filling hoses</w:t>
            </w:r>
          </w:p>
        </w:tc>
        <w:tc>
          <w:tcPr>
            <w:tcW w:w="1694" w:type="pct"/>
            <w:tcBorders>
              <w:top w:val="single" w:sz="6" w:space="0" w:color="008000"/>
            </w:tcBorders>
            <w:shd w:val="clear" w:color="auto" w:fill="auto"/>
            <w:vAlign w:val="center"/>
          </w:tcPr>
          <w:p w14:paraId="04A78998" w14:textId="77777777" w:rsidR="008D46E5" w:rsidRPr="008D176E" w:rsidRDefault="008D46E5" w:rsidP="00D3151E">
            <w:pPr>
              <w:pStyle w:val="CETBodytext"/>
              <w:ind w:right="-1"/>
              <w:jc w:val="left"/>
              <w:rPr>
                <w:rFonts w:cs="Arial"/>
                <w:sz w:val="15"/>
                <w:szCs w:val="15"/>
                <w:lang w:val="en-GB"/>
              </w:rPr>
            </w:pPr>
            <w:r w:rsidRPr="004C0F2A">
              <w:rPr>
                <w:rFonts w:cs="Arial"/>
                <w:sz w:val="15"/>
                <w:szCs w:val="15"/>
                <w:lang w:val="en"/>
              </w:rPr>
              <w:t>Significant l</w:t>
            </w:r>
            <w:r>
              <w:rPr>
                <w:rFonts w:cs="Arial"/>
                <w:sz w:val="15"/>
                <w:szCs w:val="15"/>
                <w:lang w:val="en"/>
              </w:rPr>
              <w:t>eak</w:t>
            </w:r>
          </w:p>
        </w:tc>
        <w:tc>
          <w:tcPr>
            <w:tcW w:w="726" w:type="pct"/>
            <w:tcBorders>
              <w:top w:val="single" w:sz="6" w:space="0" w:color="008000"/>
            </w:tcBorders>
            <w:shd w:val="clear" w:color="000000" w:fill="D9D9D9"/>
            <w:vAlign w:val="center"/>
          </w:tcPr>
          <w:p w14:paraId="2A564D7C"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2</w:t>
            </w:r>
            <w:r>
              <w:rPr>
                <w:rFonts w:cs="Arial"/>
                <w:sz w:val="16"/>
                <w:szCs w:val="16"/>
              </w:rPr>
              <w:t>.</w:t>
            </w:r>
            <w:r w:rsidRPr="008D176E">
              <w:rPr>
                <w:rFonts w:cs="Arial"/>
                <w:sz w:val="16"/>
                <w:szCs w:val="16"/>
              </w:rPr>
              <w:t>20 · 10</w:t>
            </w:r>
            <w:r w:rsidRPr="008D176E">
              <w:rPr>
                <w:rFonts w:cs="Arial"/>
                <w:sz w:val="16"/>
                <w:szCs w:val="16"/>
                <w:vertAlign w:val="superscript"/>
              </w:rPr>
              <w:t>-3</w:t>
            </w:r>
          </w:p>
        </w:tc>
      </w:tr>
    </w:tbl>
    <w:p w14:paraId="4DF77F60" w14:textId="77777777" w:rsidR="00CD648C" w:rsidRDefault="00CD648C" w:rsidP="00CD648C">
      <w:pPr>
        <w:pStyle w:val="CETBodytext"/>
        <w:rPr>
          <w:iCs/>
        </w:rPr>
      </w:pPr>
    </w:p>
    <w:p w14:paraId="50A187F4" w14:textId="4E35024D" w:rsidR="00DA5161" w:rsidRDefault="00CD648C" w:rsidP="00CD648C">
      <w:pPr>
        <w:pStyle w:val="CETBodytext"/>
      </w:pPr>
      <w:r>
        <w:rPr>
          <w:iCs/>
        </w:rPr>
        <w:t>Table 5 summarizes</w:t>
      </w:r>
      <w:r w:rsidRPr="00177888">
        <w:rPr>
          <w:iCs/>
        </w:rPr>
        <w:t xml:space="preserve"> the results of the probabilistic calculation step 2.2 - collision risk, performed starting from an accurate census of port traffic and the characteristics of the vessels in transit to the port of Piombino. </w:t>
      </w:r>
      <w:r w:rsidRPr="00BD69C5">
        <w:t xml:space="preserve">The </w:t>
      </w:r>
      <w:r w:rsidRPr="00BD69C5">
        <w:lastRenderedPageBreak/>
        <w:t xml:space="preserve">frequency of the collision event with potential penetration was reasonably credible, </w:t>
      </w:r>
      <w:r>
        <w:t xml:space="preserve">being </w:t>
      </w:r>
      <w:r w:rsidRPr="00BD69C5">
        <w:t>characterized by a</w:t>
      </w:r>
      <w:r>
        <w:t>n occurrence</w:t>
      </w:r>
      <w:r w:rsidRPr="00BD69C5">
        <w:t xml:space="preserve"> frequency equal to 1.6</w:t>
      </w:r>
      <w:r>
        <w:t xml:space="preserve"> </w:t>
      </w:r>
      <w:r w:rsidRPr="00BD69C5">
        <w:t>·10</w:t>
      </w:r>
      <w:r w:rsidRPr="004D67F5">
        <w:rPr>
          <w:vertAlign w:val="superscript"/>
        </w:rPr>
        <w:t>-5</w:t>
      </w:r>
      <w:r w:rsidRPr="00BD69C5">
        <w:t xml:space="preserve"> occ/year for the entire port area of Piombino in the future situation </w:t>
      </w:r>
      <w:r>
        <w:t xml:space="preserve">including </w:t>
      </w:r>
      <w:r w:rsidRPr="00BD69C5">
        <w:t>LNG</w:t>
      </w:r>
      <w:r>
        <w:t>C</w:t>
      </w:r>
      <w:r w:rsidRPr="00BD69C5">
        <w:t xml:space="preserve"> transits</w:t>
      </w:r>
      <w:r>
        <w:t xml:space="preserve">. </w:t>
      </w:r>
      <w:r w:rsidR="00DA5161">
        <w:t>The</w:t>
      </w:r>
      <w:r w:rsidR="00DA5161" w:rsidRPr="002F7D67">
        <w:t xml:space="preserve"> quantification of the risk increase </w:t>
      </w:r>
      <w:r w:rsidR="00DA5161">
        <w:t>allowed</w:t>
      </w:r>
      <w:r w:rsidR="00DA5161" w:rsidRPr="002F7D67">
        <w:t xml:space="preserve"> identify</w:t>
      </w:r>
      <w:r w:rsidR="00DA5161">
        <w:t>ing</w:t>
      </w:r>
      <w:r w:rsidR="00DA5161" w:rsidRPr="002F7D67">
        <w:t xml:space="preserve"> criticalities and reduc</w:t>
      </w:r>
      <w:r w:rsidR="002E4FF8">
        <w:t>ing</w:t>
      </w:r>
      <w:r w:rsidR="00DA5161" w:rsidRPr="002F7D67">
        <w:t xml:space="preserve"> the risk contributions of simultaneous </w:t>
      </w:r>
      <w:r w:rsidR="00DA5161">
        <w:t>transits</w:t>
      </w:r>
      <w:r w:rsidR="00163117">
        <w:t>,</w:t>
      </w:r>
      <w:r w:rsidR="00DA5161">
        <w:t xml:space="preserve"> by the accurate design and implementation of prevention/mitigation barriers/actions. </w:t>
      </w:r>
    </w:p>
    <w:p w14:paraId="5E53F141" w14:textId="5584AD3D" w:rsidR="00B75DBE" w:rsidRPr="00B57B36" w:rsidRDefault="00B75DBE" w:rsidP="00B75DBE">
      <w:pPr>
        <w:pStyle w:val="CETTabletitle"/>
      </w:pPr>
      <w:bookmarkStart w:id="2" w:name="_Ref182563282"/>
      <w:r>
        <w:t xml:space="preserve">Table </w:t>
      </w:r>
      <w:bookmarkEnd w:id="2"/>
      <w:r w:rsidR="007E47A2">
        <w:t>2</w:t>
      </w:r>
      <w:r w:rsidRPr="00B57B36">
        <w:t xml:space="preserve">: </w:t>
      </w:r>
      <w:r w:rsidR="004D67F5" w:rsidRPr="00B75DBE">
        <w:t>Summary of the major consequences of credible fire scenarios</w:t>
      </w:r>
      <w:r w:rsidR="00C529C5">
        <w:t>.</w:t>
      </w:r>
    </w:p>
    <w:tbl>
      <w:tblPr>
        <w:tblW w:w="5039" w:type="pct"/>
        <w:tblBorders>
          <w:top w:val="single" w:sz="12" w:space="0" w:color="008000"/>
          <w:bottom w:val="single" w:sz="12" w:space="0" w:color="008000"/>
        </w:tblBorders>
        <w:tblLayout w:type="fixed"/>
        <w:tblCellMar>
          <w:left w:w="68" w:type="dxa"/>
          <w:right w:w="68" w:type="dxa"/>
        </w:tblCellMar>
        <w:tblLook w:val="00A0" w:firstRow="1" w:lastRow="0" w:firstColumn="1" w:lastColumn="0" w:noHBand="0" w:noVBand="0"/>
      </w:tblPr>
      <w:tblGrid>
        <w:gridCol w:w="635"/>
        <w:gridCol w:w="4256"/>
        <w:gridCol w:w="1417"/>
        <w:gridCol w:w="636"/>
        <w:gridCol w:w="638"/>
        <w:gridCol w:w="636"/>
        <w:gridCol w:w="638"/>
      </w:tblGrid>
      <w:tr w:rsidR="00181D9E" w:rsidRPr="008D176E" w14:paraId="3AF0827A" w14:textId="77777777" w:rsidTr="00ED17D8">
        <w:trPr>
          <w:tblHeader/>
        </w:trPr>
        <w:tc>
          <w:tcPr>
            <w:tcW w:w="359" w:type="pct"/>
            <w:vMerge w:val="restart"/>
            <w:tcBorders>
              <w:top w:val="single" w:sz="12" w:space="0" w:color="008000"/>
              <w:bottom w:val="single" w:sz="6" w:space="0" w:color="008000"/>
            </w:tcBorders>
            <w:shd w:val="clear" w:color="auto" w:fill="auto"/>
            <w:vAlign w:val="center"/>
          </w:tcPr>
          <w:p w14:paraId="0EC52E51" w14:textId="77777777" w:rsidR="008D46E5" w:rsidRDefault="004D67F5" w:rsidP="0064069C">
            <w:pPr>
              <w:pStyle w:val="CETBodytext"/>
              <w:jc w:val="center"/>
              <w:rPr>
                <w:rFonts w:cs="Arial"/>
                <w:b/>
                <w:sz w:val="16"/>
                <w:szCs w:val="16"/>
              </w:rPr>
            </w:pPr>
            <w:r w:rsidRPr="008D176E">
              <w:rPr>
                <w:rFonts w:cs="Arial"/>
                <w:b/>
                <w:sz w:val="16"/>
                <w:szCs w:val="16"/>
              </w:rPr>
              <w:t>Macro</w:t>
            </w:r>
          </w:p>
          <w:p w14:paraId="66FC143B" w14:textId="31FE95CA" w:rsidR="00181D9E" w:rsidRPr="008D176E" w:rsidRDefault="004D67F5" w:rsidP="0064069C">
            <w:pPr>
              <w:pStyle w:val="CETBodytext"/>
              <w:jc w:val="center"/>
              <w:rPr>
                <w:rFonts w:cs="Arial"/>
                <w:sz w:val="16"/>
                <w:szCs w:val="16"/>
                <w:lang w:val="en-GB"/>
              </w:rPr>
            </w:pPr>
            <w:r w:rsidRPr="008D176E">
              <w:rPr>
                <w:rFonts w:cs="Arial"/>
                <w:b/>
                <w:sz w:val="16"/>
                <w:szCs w:val="16"/>
              </w:rPr>
              <w:t>area</w:t>
            </w:r>
          </w:p>
        </w:tc>
        <w:tc>
          <w:tcPr>
            <w:tcW w:w="2403" w:type="pct"/>
            <w:vMerge w:val="restart"/>
            <w:tcBorders>
              <w:top w:val="single" w:sz="12" w:space="0" w:color="008000"/>
              <w:bottom w:val="single" w:sz="6" w:space="0" w:color="008000"/>
            </w:tcBorders>
            <w:shd w:val="clear" w:color="auto" w:fill="auto"/>
            <w:vAlign w:val="center"/>
          </w:tcPr>
          <w:p w14:paraId="795DBA82" w14:textId="3B80E81F" w:rsidR="00181D9E" w:rsidRPr="0064069C" w:rsidRDefault="0064069C" w:rsidP="0064069C">
            <w:pPr>
              <w:pStyle w:val="CETBodytext"/>
              <w:jc w:val="center"/>
              <w:rPr>
                <w:rFonts w:cs="Arial"/>
                <w:b/>
                <w:sz w:val="16"/>
                <w:szCs w:val="16"/>
                <w:lang w:val="it-IT"/>
              </w:rPr>
            </w:pPr>
            <w:r w:rsidRPr="0064069C">
              <w:rPr>
                <w:rFonts w:cs="Arial"/>
                <w:b/>
                <w:sz w:val="16"/>
                <w:szCs w:val="16"/>
                <w:lang w:val="en"/>
              </w:rPr>
              <w:t>Incidental hypothesis</w:t>
            </w:r>
          </w:p>
        </w:tc>
        <w:tc>
          <w:tcPr>
            <w:tcW w:w="800" w:type="pct"/>
            <w:vMerge w:val="restart"/>
            <w:tcBorders>
              <w:top w:val="single" w:sz="12" w:space="0" w:color="008000"/>
              <w:bottom w:val="single" w:sz="6" w:space="0" w:color="008000"/>
            </w:tcBorders>
            <w:shd w:val="clear" w:color="auto" w:fill="auto"/>
            <w:vAlign w:val="center"/>
          </w:tcPr>
          <w:p w14:paraId="6FA1089A" w14:textId="3EDAC9B7" w:rsidR="00181D9E" w:rsidRPr="008D176E" w:rsidRDefault="004D67F5" w:rsidP="0064069C">
            <w:pPr>
              <w:pStyle w:val="CETBodytext"/>
              <w:jc w:val="center"/>
              <w:rPr>
                <w:rFonts w:cs="Arial"/>
                <w:sz w:val="16"/>
                <w:szCs w:val="16"/>
                <w:lang w:val="en-GB"/>
              </w:rPr>
            </w:pPr>
            <w:r w:rsidRPr="008D176E">
              <w:rPr>
                <w:rFonts w:cs="Arial"/>
                <w:b/>
                <w:sz w:val="16"/>
                <w:szCs w:val="16"/>
              </w:rPr>
              <w:t>Consequent scenario</w:t>
            </w:r>
          </w:p>
        </w:tc>
        <w:tc>
          <w:tcPr>
            <w:tcW w:w="1439" w:type="pct"/>
            <w:gridSpan w:val="4"/>
            <w:tcBorders>
              <w:top w:val="single" w:sz="12" w:space="0" w:color="008000"/>
              <w:bottom w:val="single" w:sz="6" w:space="0" w:color="008000"/>
            </w:tcBorders>
            <w:shd w:val="clear" w:color="auto" w:fill="auto"/>
            <w:vAlign w:val="center"/>
          </w:tcPr>
          <w:p w14:paraId="65AD0D9F" w14:textId="0AF25A45" w:rsidR="00181D9E" w:rsidRPr="008D176E" w:rsidRDefault="004D67F5" w:rsidP="0064069C">
            <w:pPr>
              <w:pStyle w:val="CETBodytext"/>
              <w:jc w:val="center"/>
              <w:rPr>
                <w:rFonts w:cs="Arial"/>
                <w:sz w:val="16"/>
                <w:szCs w:val="16"/>
                <w:lang w:val="en-GB"/>
              </w:rPr>
            </w:pPr>
            <w:r w:rsidRPr="008D176E">
              <w:rPr>
                <w:rFonts w:cs="Arial"/>
                <w:b/>
                <w:sz w:val="16"/>
                <w:szCs w:val="16"/>
              </w:rPr>
              <w:t>Fire</w:t>
            </w:r>
          </w:p>
        </w:tc>
      </w:tr>
      <w:tr w:rsidR="00181D9E" w:rsidRPr="008D176E" w14:paraId="204449D0" w14:textId="77777777" w:rsidTr="00ED17D8">
        <w:trPr>
          <w:tblHeader/>
        </w:trPr>
        <w:tc>
          <w:tcPr>
            <w:tcW w:w="359" w:type="pct"/>
            <w:vMerge/>
            <w:tcBorders>
              <w:top w:val="single" w:sz="6" w:space="0" w:color="008000"/>
              <w:bottom w:val="single" w:sz="6" w:space="0" w:color="008000"/>
            </w:tcBorders>
            <w:shd w:val="clear" w:color="auto" w:fill="auto"/>
            <w:vAlign w:val="center"/>
          </w:tcPr>
          <w:p w14:paraId="08726057" w14:textId="77777777" w:rsidR="00181D9E" w:rsidRPr="008D176E" w:rsidRDefault="00181D9E" w:rsidP="0064069C">
            <w:pPr>
              <w:pStyle w:val="CETBodytext"/>
              <w:jc w:val="center"/>
              <w:rPr>
                <w:rFonts w:cs="Arial"/>
                <w:sz w:val="16"/>
                <w:szCs w:val="16"/>
                <w:lang w:val="en-GB"/>
              </w:rPr>
            </w:pPr>
          </w:p>
        </w:tc>
        <w:tc>
          <w:tcPr>
            <w:tcW w:w="2403" w:type="pct"/>
            <w:vMerge/>
            <w:tcBorders>
              <w:top w:val="single" w:sz="6" w:space="0" w:color="008000"/>
              <w:bottom w:val="single" w:sz="6" w:space="0" w:color="008000"/>
            </w:tcBorders>
            <w:shd w:val="clear" w:color="auto" w:fill="auto"/>
            <w:vAlign w:val="center"/>
          </w:tcPr>
          <w:p w14:paraId="26E6A4F3" w14:textId="77777777" w:rsidR="00181D9E" w:rsidRPr="008D176E" w:rsidRDefault="00181D9E" w:rsidP="0064069C">
            <w:pPr>
              <w:pStyle w:val="CETBodytext"/>
              <w:jc w:val="center"/>
              <w:rPr>
                <w:rFonts w:cs="Arial"/>
                <w:sz w:val="16"/>
                <w:szCs w:val="16"/>
                <w:lang w:val="en-GB"/>
              </w:rPr>
            </w:pPr>
          </w:p>
        </w:tc>
        <w:tc>
          <w:tcPr>
            <w:tcW w:w="800" w:type="pct"/>
            <w:vMerge/>
            <w:tcBorders>
              <w:top w:val="single" w:sz="6" w:space="0" w:color="008000"/>
              <w:bottom w:val="single" w:sz="6" w:space="0" w:color="008000"/>
            </w:tcBorders>
            <w:shd w:val="clear" w:color="auto" w:fill="auto"/>
            <w:vAlign w:val="center"/>
          </w:tcPr>
          <w:p w14:paraId="7952D2B8" w14:textId="77777777" w:rsidR="00181D9E" w:rsidRPr="008D176E" w:rsidRDefault="00181D9E" w:rsidP="0064069C">
            <w:pPr>
              <w:pStyle w:val="CETBodytext"/>
              <w:jc w:val="center"/>
              <w:rPr>
                <w:rFonts w:cs="Arial"/>
                <w:sz w:val="16"/>
                <w:szCs w:val="16"/>
                <w:lang w:val="en-GB"/>
              </w:rPr>
            </w:pPr>
          </w:p>
        </w:tc>
        <w:tc>
          <w:tcPr>
            <w:tcW w:w="1439" w:type="pct"/>
            <w:gridSpan w:val="4"/>
            <w:tcBorders>
              <w:top w:val="single" w:sz="6" w:space="0" w:color="008000"/>
              <w:bottom w:val="single" w:sz="6" w:space="0" w:color="008000"/>
            </w:tcBorders>
            <w:shd w:val="clear" w:color="auto" w:fill="auto"/>
            <w:vAlign w:val="center"/>
          </w:tcPr>
          <w:p w14:paraId="2FC048E4" w14:textId="4ABA83EC" w:rsidR="0064069C" w:rsidRPr="0064069C" w:rsidRDefault="0064069C" w:rsidP="0064069C">
            <w:pPr>
              <w:pStyle w:val="CETBodytext"/>
              <w:jc w:val="center"/>
              <w:rPr>
                <w:rFonts w:cs="Arial"/>
                <w:sz w:val="16"/>
                <w:szCs w:val="16"/>
                <w:lang w:val="en"/>
              </w:rPr>
            </w:pPr>
            <w:r w:rsidRPr="0064069C">
              <w:rPr>
                <w:rFonts w:cs="Arial"/>
                <w:sz w:val="16"/>
                <w:szCs w:val="16"/>
                <w:lang w:val="en"/>
              </w:rPr>
              <w:t xml:space="preserve">Distance </w:t>
            </w:r>
            <w:r w:rsidR="00613C80">
              <w:rPr>
                <w:rFonts w:cs="Arial"/>
                <w:sz w:val="16"/>
                <w:szCs w:val="16"/>
                <w:lang w:val="en"/>
              </w:rPr>
              <w:t>[</w:t>
            </w:r>
            <w:r w:rsidRPr="0064069C">
              <w:rPr>
                <w:rFonts w:cs="Arial"/>
                <w:sz w:val="16"/>
                <w:szCs w:val="16"/>
                <w:lang w:val="en"/>
              </w:rPr>
              <w:t>m</w:t>
            </w:r>
            <w:r w:rsidR="00613C80">
              <w:rPr>
                <w:rFonts w:cs="Arial"/>
                <w:sz w:val="16"/>
                <w:szCs w:val="16"/>
                <w:lang w:val="en"/>
              </w:rPr>
              <w:t>]</w:t>
            </w:r>
            <w:r w:rsidRPr="0064069C">
              <w:rPr>
                <w:rFonts w:cs="Arial"/>
                <w:sz w:val="16"/>
                <w:szCs w:val="16"/>
                <w:lang w:val="en"/>
              </w:rPr>
              <w:t xml:space="preserve"> of radiation thresholds </w:t>
            </w:r>
            <w:r w:rsidR="00613C80">
              <w:rPr>
                <w:rFonts w:cs="Arial"/>
                <w:sz w:val="16"/>
                <w:szCs w:val="16"/>
                <w:lang w:val="en"/>
              </w:rPr>
              <w:t>[</w:t>
            </w:r>
            <w:r w:rsidRPr="0064069C">
              <w:rPr>
                <w:rFonts w:cs="Arial"/>
                <w:sz w:val="16"/>
                <w:szCs w:val="16"/>
                <w:lang w:val="en"/>
              </w:rPr>
              <w:t>kW/m²</w:t>
            </w:r>
            <w:r w:rsidR="00613C80">
              <w:rPr>
                <w:rFonts w:cs="Arial"/>
                <w:sz w:val="16"/>
                <w:szCs w:val="16"/>
                <w:lang w:val="en"/>
              </w:rPr>
              <w:t>]</w:t>
            </w:r>
          </w:p>
          <w:p w14:paraId="63FDF246" w14:textId="65B5E0A0" w:rsidR="00181D9E" w:rsidRPr="005F0E0C" w:rsidRDefault="0064069C" w:rsidP="0064069C">
            <w:pPr>
              <w:pStyle w:val="CETBodytext"/>
              <w:jc w:val="center"/>
              <w:rPr>
                <w:rFonts w:cs="Arial"/>
                <w:sz w:val="16"/>
                <w:szCs w:val="16"/>
                <w:lang w:val="en-GB"/>
              </w:rPr>
            </w:pPr>
            <w:r w:rsidRPr="0064069C">
              <w:rPr>
                <w:rFonts w:cs="Arial"/>
                <w:sz w:val="16"/>
                <w:szCs w:val="16"/>
                <w:lang w:val="en"/>
              </w:rPr>
              <w:t>from the center of the pool</w:t>
            </w:r>
          </w:p>
        </w:tc>
      </w:tr>
      <w:tr w:rsidR="00770669" w:rsidRPr="008D176E" w14:paraId="1DA0C700" w14:textId="77777777" w:rsidTr="00ED17D8">
        <w:trPr>
          <w:tblHeader/>
        </w:trPr>
        <w:tc>
          <w:tcPr>
            <w:tcW w:w="359" w:type="pct"/>
            <w:vMerge/>
            <w:tcBorders>
              <w:top w:val="single" w:sz="6" w:space="0" w:color="008000"/>
              <w:bottom w:val="single" w:sz="12" w:space="0" w:color="008000"/>
            </w:tcBorders>
            <w:shd w:val="clear" w:color="auto" w:fill="auto"/>
            <w:vAlign w:val="center"/>
          </w:tcPr>
          <w:p w14:paraId="293FB926" w14:textId="77777777" w:rsidR="00181D9E" w:rsidRPr="008D176E" w:rsidRDefault="00181D9E" w:rsidP="00BC4404">
            <w:pPr>
              <w:pStyle w:val="CETBodytext"/>
              <w:jc w:val="left"/>
              <w:rPr>
                <w:rFonts w:cs="Arial"/>
                <w:sz w:val="16"/>
                <w:szCs w:val="16"/>
                <w:lang w:val="en-GB"/>
              </w:rPr>
            </w:pPr>
          </w:p>
        </w:tc>
        <w:tc>
          <w:tcPr>
            <w:tcW w:w="2403" w:type="pct"/>
            <w:vMerge/>
            <w:tcBorders>
              <w:top w:val="single" w:sz="6" w:space="0" w:color="008000"/>
              <w:bottom w:val="single" w:sz="12" w:space="0" w:color="008000"/>
            </w:tcBorders>
            <w:shd w:val="clear" w:color="auto" w:fill="auto"/>
            <w:vAlign w:val="center"/>
          </w:tcPr>
          <w:p w14:paraId="0CAEB076" w14:textId="77777777" w:rsidR="00181D9E" w:rsidRPr="008D176E" w:rsidRDefault="00181D9E" w:rsidP="00BC4404">
            <w:pPr>
              <w:pStyle w:val="CETBodytext"/>
              <w:jc w:val="left"/>
              <w:rPr>
                <w:rFonts w:cs="Arial"/>
                <w:sz w:val="16"/>
                <w:szCs w:val="16"/>
                <w:lang w:val="en-GB"/>
              </w:rPr>
            </w:pPr>
          </w:p>
        </w:tc>
        <w:tc>
          <w:tcPr>
            <w:tcW w:w="800" w:type="pct"/>
            <w:vMerge/>
            <w:tcBorders>
              <w:top w:val="single" w:sz="6" w:space="0" w:color="008000"/>
              <w:bottom w:val="single" w:sz="12" w:space="0" w:color="008000"/>
            </w:tcBorders>
            <w:shd w:val="clear" w:color="auto" w:fill="auto"/>
            <w:vAlign w:val="center"/>
          </w:tcPr>
          <w:p w14:paraId="24B4678D" w14:textId="77777777" w:rsidR="00181D9E" w:rsidRPr="008D176E" w:rsidRDefault="00181D9E" w:rsidP="00BC4404">
            <w:pPr>
              <w:pStyle w:val="CETBodytext"/>
              <w:jc w:val="left"/>
              <w:rPr>
                <w:rFonts w:cs="Arial"/>
                <w:sz w:val="16"/>
                <w:szCs w:val="16"/>
                <w:lang w:val="en-GB"/>
              </w:rPr>
            </w:pPr>
          </w:p>
        </w:tc>
        <w:tc>
          <w:tcPr>
            <w:tcW w:w="359" w:type="pct"/>
            <w:tcBorders>
              <w:top w:val="single" w:sz="6" w:space="0" w:color="008000"/>
              <w:bottom w:val="single" w:sz="12" w:space="0" w:color="008000"/>
            </w:tcBorders>
            <w:shd w:val="clear" w:color="auto" w:fill="auto"/>
            <w:vAlign w:val="center"/>
          </w:tcPr>
          <w:p w14:paraId="37F5470B" w14:textId="623AABD8" w:rsidR="00181D9E" w:rsidRPr="008D176E" w:rsidRDefault="00181D9E" w:rsidP="0064069C">
            <w:pPr>
              <w:pStyle w:val="CETBodytext"/>
              <w:jc w:val="center"/>
              <w:rPr>
                <w:rFonts w:cs="Arial"/>
                <w:sz w:val="16"/>
                <w:szCs w:val="16"/>
                <w:lang w:val="en-GB"/>
              </w:rPr>
            </w:pPr>
            <w:r w:rsidRPr="008D176E">
              <w:rPr>
                <w:rFonts w:cs="Arial"/>
                <w:b/>
                <w:sz w:val="16"/>
                <w:szCs w:val="16"/>
              </w:rPr>
              <w:t>12</w:t>
            </w:r>
            <w:r w:rsidR="008C7959">
              <w:rPr>
                <w:rFonts w:cs="Arial"/>
                <w:b/>
                <w:sz w:val="16"/>
                <w:szCs w:val="16"/>
              </w:rPr>
              <w:t>.</w:t>
            </w:r>
            <w:r w:rsidRPr="008D176E">
              <w:rPr>
                <w:rFonts w:cs="Arial"/>
                <w:b/>
                <w:sz w:val="16"/>
                <w:szCs w:val="16"/>
              </w:rPr>
              <w:t>5</w:t>
            </w:r>
          </w:p>
        </w:tc>
        <w:tc>
          <w:tcPr>
            <w:tcW w:w="360" w:type="pct"/>
            <w:tcBorders>
              <w:top w:val="single" w:sz="6" w:space="0" w:color="008000"/>
              <w:bottom w:val="single" w:sz="12" w:space="0" w:color="008000"/>
            </w:tcBorders>
            <w:shd w:val="clear" w:color="auto" w:fill="auto"/>
            <w:vAlign w:val="center"/>
          </w:tcPr>
          <w:p w14:paraId="57B33B06" w14:textId="533F944B" w:rsidR="00181D9E" w:rsidRPr="008D176E" w:rsidRDefault="00181D9E" w:rsidP="0064069C">
            <w:pPr>
              <w:pStyle w:val="CETBodytext"/>
              <w:jc w:val="center"/>
              <w:rPr>
                <w:rFonts w:cs="Arial"/>
                <w:sz w:val="16"/>
                <w:szCs w:val="16"/>
                <w:lang w:val="en-GB"/>
              </w:rPr>
            </w:pPr>
            <w:r w:rsidRPr="008D176E">
              <w:rPr>
                <w:rFonts w:cs="Arial"/>
                <w:b/>
                <w:sz w:val="16"/>
                <w:szCs w:val="16"/>
              </w:rPr>
              <w:t>7</w:t>
            </w:r>
          </w:p>
        </w:tc>
        <w:tc>
          <w:tcPr>
            <w:tcW w:w="359" w:type="pct"/>
            <w:tcBorders>
              <w:top w:val="single" w:sz="6" w:space="0" w:color="008000"/>
              <w:bottom w:val="single" w:sz="12" w:space="0" w:color="008000"/>
            </w:tcBorders>
            <w:shd w:val="clear" w:color="auto" w:fill="auto"/>
            <w:vAlign w:val="center"/>
          </w:tcPr>
          <w:p w14:paraId="11EC40B4" w14:textId="4928E5A6" w:rsidR="00181D9E" w:rsidRPr="008D176E" w:rsidRDefault="00181D9E" w:rsidP="0064069C">
            <w:pPr>
              <w:pStyle w:val="CETBodytext"/>
              <w:jc w:val="center"/>
              <w:rPr>
                <w:rFonts w:cs="Arial"/>
                <w:sz w:val="16"/>
                <w:szCs w:val="16"/>
                <w:lang w:val="en-GB"/>
              </w:rPr>
            </w:pPr>
            <w:r w:rsidRPr="008D176E">
              <w:rPr>
                <w:rFonts w:cs="Arial"/>
                <w:b/>
                <w:sz w:val="16"/>
                <w:szCs w:val="16"/>
              </w:rPr>
              <w:t>5</w:t>
            </w:r>
          </w:p>
        </w:tc>
        <w:tc>
          <w:tcPr>
            <w:tcW w:w="360" w:type="pct"/>
            <w:tcBorders>
              <w:top w:val="single" w:sz="6" w:space="0" w:color="008000"/>
              <w:bottom w:val="single" w:sz="12" w:space="0" w:color="008000"/>
            </w:tcBorders>
            <w:shd w:val="clear" w:color="auto" w:fill="auto"/>
            <w:vAlign w:val="center"/>
          </w:tcPr>
          <w:p w14:paraId="2F7B05F8" w14:textId="40FEFA6E" w:rsidR="00181D9E" w:rsidRPr="008D176E" w:rsidRDefault="00181D9E" w:rsidP="0064069C">
            <w:pPr>
              <w:pStyle w:val="CETBodytext"/>
              <w:jc w:val="center"/>
              <w:rPr>
                <w:rFonts w:cs="Arial"/>
                <w:sz w:val="16"/>
                <w:szCs w:val="16"/>
                <w:lang w:val="en-GB"/>
              </w:rPr>
            </w:pPr>
            <w:r w:rsidRPr="008D176E">
              <w:rPr>
                <w:rFonts w:cs="Arial"/>
                <w:b/>
                <w:sz w:val="16"/>
                <w:szCs w:val="16"/>
              </w:rPr>
              <w:t>3</w:t>
            </w:r>
          </w:p>
        </w:tc>
      </w:tr>
      <w:tr w:rsidR="00181D9E" w:rsidRPr="008D176E" w14:paraId="7E7748BB" w14:textId="77777777" w:rsidTr="00ED17D8">
        <w:tc>
          <w:tcPr>
            <w:tcW w:w="359" w:type="pct"/>
            <w:tcBorders>
              <w:top w:val="single" w:sz="12" w:space="0" w:color="008000"/>
              <w:bottom w:val="single" w:sz="6" w:space="0" w:color="008000"/>
            </w:tcBorders>
            <w:shd w:val="clear" w:color="auto" w:fill="auto"/>
            <w:vAlign w:val="center"/>
          </w:tcPr>
          <w:p w14:paraId="33C7C6DD" w14:textId="46296CB4" w:rsidR="00181D9E" w:rsidRPr="008D176E" w:rsidRDefault="00181D9E" w:rsidP="00BC4404">
            <w:pPr>
              <w:pStyle w:val="CETBodytext"/>
              <w:ind w:right="-1"/>
              <w:jc w:val="left"/>
              <w:rPr>
                <w:rFonts w:cs="Arial"/>
                <w:sz w:val="16"/>
                <w:szCs w:val="16"/>
                <w:lang w:val="en-GB"/>
              </w:rPr>
            </w:pPr>
            <w:r w:rsidRPr="008D176E">
              <w:rPr>
                <w:rFonts w:cs="Arial"/>
                <w:sz w:val="16"/>
                <w:szCs w:val="16"/>
              </w:rPr>
              <w:t>I</w:t>
            </w:r>
          </w:p>
        </w:tc>
        <w:tc>
          <w:tcPr>
            <w:tcW w:w="2403" w:type="pct"/>
            <w:tcBorders>
              <w:top w:val="single" w:sz="12" w:space="0" w:color="008000"/>
              <w:bottom w:val="single" w:sz="6" w:space="0" w:color="008000"/>
            </w:tcBorders>
            <w:shd w:val="clear" w:color="auto" w:fill="auto"/>
            <w:vAlign w:val="center"/>
          </w:tcPr>
          <w:p w14:paraId="7862A6E1" w14:textId="08044609" w:rsidR="0064069C" w:rsidRPr="005F0E0C" w:rsidRDefault="00181D9E" w:rsidP="0064069C">
            <w:pPr>
              <w:tabs>
                <w:tab w:val="left" w:pos="35"/>
              </w:tabs>
              <w:jc w:val="left"/>
              <w:rPr>
                <w:rFonts w:cs="Arial"/>
                <w:sz w:val="16"/>
                <w:szCs w:val="16"/>
              </w:rPr>
            </w:pPr>
            <w:r w:rsidRPr="008D176E">
              <w:rPr>
                <w:rFonts w:cs="Arial"/>
                <w:sz w:val="16"/>
                <w:szCs w:val="16"/>
              </w:rPr>
              <w:t>1R c</w:t>
            </w:r>
            <w:r w:rsidR="006567D5">
              <w:rPr>
                <w:rFonts w:cs="Arial"/>
                <w:sz w:val="16"/>
                <w:szCs w:val="16"/>
              </w:rPr>
              <w:t xml:space="preserve"> - </w:t>
            </w:r>
            <w:r w:rsidR="0064069C" w:rsidRPr="0064069C">
              <w:rPr>
                <w:rFonts w:cs="Arial"/>
                <w:sz w:val="16"/>
                <w:szCs w:val="16"/>
                <w:lang w:val="en"/>
              </w:rPr>
              <w:t xml:space="preserve">Flexible LNG unloading hoses serving the unloading arm from LNG </w:t>
            </w:r>
            <w:r w:rsidR="009F25A5">
              <w:rPr>
                <w:rFonts w:cs="Arial"/>
                <w:sz w:val="16"/>
                <w:szCs w:val="16"/>
                <w:lang w:val="en"/>
              </w:rPr>
              <w:t>Carrier</w:t>
            </w:r>
            <w:r w:rsidR="0064069C" w:rsidRPr="0064069C">
              <w:rPr>
                <w:rFonts w:cs="Arial"/>
                <w:sz w:val="16"/>
                <w:szCs w:val="16"/>
                <w:lang w:val="en"/>
              </w:rPr>
              <w:t xml:space="preserve"> to FSRU</w:t>
            </w:r>
          </w:p>
          <w:p w14:paraId="1224CAC7" w14:textId="609F0068" w:rsidR="00181D9E" w:rsidRPr="008D176E" w:rsidRDefault="0064069C" w:rsidP="00BC4404">
            <w:pPr>
              <w:pStyle w:val="CETBodytext"/>
              <w:ind w:right="-1"/>
              <w:jc w:val="left"/>
              <w:rPr>
                <w:rFonts w:cs="Arial"/>
                <w:sz w:val="16"/>
                <w:szCs w:val="16"/>
                <w:lang w:val="en-GB"/>
              </w:rPr>
            </w:pPr>
            <w:r w:rsidRPr="0064069C">
              <w:rPr>
                <w:rFonts w:cs="Arial"/>
                <w:i/>
                <w:iCs/>
                <w:sz w:val="16"/>
                <w:szCs w:val="16"/>
              </w:rPr>
              <w:t>Severe adverse weather conditions with critical separation between FSRU and LNG tanker during LNG unloading with ERS intervention - LNG release</w:t>
            </w:r>
          </w:p>
        </w:tc>
        <w:tc>
          <w:tcPr>
            <w:tcW w:w="800" w:type="pct"/>
            <w:tcBorders>
              <w:top w:val="single" w:sz="12" w:space="0" w:color="008000"/>
              <w:bottom w:val="single" w:sz="6" w:space="0" w:color="008000"/>
            </w:tcBorders>
            <w:shd w:val="clear" w:color="auto" w:fill="auto"/>
            <w:vAlign w:val="center"/>
          </w:tcPr>
          <w:p w14:paraId="087055F9" w14:textId="77777777" w:rsidR="00181D9E" w:rsidRPr="008D176E" w:rsidRDefault="00181D9E" w:rsidP="00BC4404">
            <w:pPr>
              <w:jc w:val="left"/>
              <w:rPr>
                <w:rFonts w:cs="Arial"/>
                <w:sz w:val="16"/>
                <w:szCs w:val="16"/>
                <w:lang w:val="en-US"/>
              </w:rPr>
            </w:pPr>
            <w:r w:rsidRPr="008D176E">
              <w:rPr>
                <w:rFonts w:cs="Arial"/>
                <w:sz w:val="16"/>
                <w:szCs w:val="16"/>
              </w:rPr>
              <w:t>Pool</w:t>
            </w:r>
            <w:r w:rsidRPr="008D176E">
              <w:rPr>
                <w:rFonts w:cs="Arial"/>
                <w:sz w:val="16"/>
                <w:szCs w:val="16"/>
                <w:lang w:val="en-US"/>
              </w:rPr>
              <w:t xml:space="preserve"> Fire</w:t>
            </w:r>
          </w:p>
          <w:p w14:paraId="2883FA81" w14:textId="525BA234" w:rsidR="00181D9E" w:rsidRPr="008D176E" w:rsidRDefault="0064069C" w:rsidP="00BC4404">
            <w:pPr>
              <w:pStyle w:val="CETBodytext"/>
              <w:ind w:right="-1"/>
              <w:jc w:val="left"/>
              <w:rPr>
                <w:rFonts w:cs="Arial"/>
                <w:sz w:val="16"/>
                <w:szCs w:val="16"/>
                <w:lang w:val="en-GB"/>
              </w:rPr>
            </w:pPr>
            <w:r>
              <w:rPr>
                <w:rFonts w:cs="Arial"/>
                <w:sz w:val="16"/>
                <w:szCs w:val="16"/>
              </w:rPr>
              <w:t>Wind</w:t>
            </w:r>
            <w:r w:rsidR="00181D9E" w:rsidRPr="008D176E">
              <w:rPr>
                <w:rFonts w:cs="Arial"/>
                <w:sz w:val="16"/>
                <w:szCs w:val="16"/>
              </w:rPr>
              <w:t xml:space="preserve"> 5 m/s Cat D</w:t>
            </w:r>
          </w:p>
        </w:tc>
        <w:tc>
          <w:tcPr>
            <w:tcW w:w="359" w:type="pct"/>
            <w:tcBorders>
              <w:top w:val="single" w:sz="12" w:space="0" w:color="008000"/>
              <w:bottom w:val="single" w:sz="6" w:space="0" w:color="008000"/>
            </w:tcBorders>
            <w:shd w:val="clear" w:color="auto" w:fill="auto"/>
            <w:vAlign w:val="center"/>
          </w:tcPr>
          <w:p w14:paraId="6A2DE1E8" w14:textId="521097D9" w:rsidR="00181D9E" w:rsidRPr="008D176E" w:rsidRDefault="00181D9E" w:rsidP="0064069C">
            <w:pPr>
              <w:pStyle w:val="CETBodytext"/>
              <w:ind w:right="-1"/>
              <w:jc w:val="center"/>
              <w:rPr>
                <w:rFonts w:cs="Arial"/>
                <w:sz w:val="16"/>
                <w:szCs w:val="16"/>
                <w:lang w:val="en-GB"/>
              </w:rPr>
            </w:pPr>
            <w:r w:rsidRPr="008D176E">
              <w:rPr>
                <w:rFonts w:cs="Arial"/>
                <w:sz w:val="16"/>
                <w:szCs w:val="16"/>
              </w:rPr>
              <w:t>128</w:t>
            </w:r>
          </w:p>
        </w:tc>
        <w:tc>
          <w:tcPr>
            <w:tcW w:w="360" w:type="pct"/>
            <w:tcBorders>
              <w:top w:val="single" w:sz="12" w:space="0" w:color="008000"/>
              <w:bottom w:val="single" w:sz="6" w:space="0" w:color="008000"/>
            </w:tcBorders>
            <w:shd w:val="clear" w:color="auto" w:fill="auto"/>
            <w:vAlign w:val="center"/>
          </w:tcPr>
          <w:p w14:paraId="7D406036" w14:textId="619E4D13" w:rsidR="00181D9E" w:rsidRPr="008D176E" w:rsidRDefault="00181D9E" w:rsidP="0064069C">
            <w:pPr>
              <w:pStyle w:val="CETBodytext"/>
              <w:ind w:right="-1"/>
              <w:jc w:val="center"/>
              <w:rPr>
                <w:rFonts w:cs="Arial"/>
                <w:sz w:val="16"/>
                <w:szCs w:val="16"/>
                <w:lang w:val="en-GB"/>
              </w:rPr>
            </w:pPr>
            <w:r w:rsidRPr="008D176E">
              <w:rPr>
                <w:rFonts w:cs="Arial"/>
                <w:sz w:val="16"/>
                <w:szCs w:val="16"/>
              </w:rPr>
              <w:t>160</w:t>
            </w:r>
          </w:p>
        </w:tc>
        <w:tc>
          <w:tcPr>
            <w:tcW w:w="359" w:type="pct"/>
            <w:tcBorders>
              <w:top w:val="single" w:sz="12" w:space="0" w:color="008000"/>
              <w:bottom w:val="single" w:sz="6" w:space="0" w:color="008000"/>
            </w:tcBorders>
            <w:shd w:val="clear" w:color="auto" w:fill="auto"/>
            <w:vAlign w:val="center"/>
          </w:tcPr>
          <w:p w14:paraId="29B7FD24" w14:textId="10FFCBAA" w:rsidR="00181D9E" w:rsidRPr="008D176E" w:rsidRDefault="00181D9E" w:rsidP="0064069C">
            <w:pPr>
              <w:pStyle w:val="CETBodytext"/>
              <w:ind w:right="-1"/>
              <w:jc w:val="center"/>
              <w:rPr>
                <w:rFonts w:cs="Arial"/>
                <w:sz w:val="16"/>
                <w:szCs w:val="16"/>
                <w:lang w:val="en-GB"/>
              </w:rPr>
            </w:pPr>
            <w:r w:rsidRPr="008D176E">
              <w:rPr>
                <w:rFonts w:cs="Arial"/>
                <w:sz w:val="16"/>
                <w:szCs w:val="16"/>
              </w:rPr>
              <w:t>183</w:t>
            </w:r>
          </w:p>
        </w:tc>
        <w:tc>
          <w:tcPr>
            <w:tcW w:w="360" w:type="pct"/>
            <w:tcBorders>
              <w:top w:val="single" w:sz="12" w:space="0" w:color="008000"/>
              <w:bottom w:val="single" w:sz="6" w:space="0" w:color="008000"/>
            </w:tcBorders>
            <w:shd w:val="clear" w:color="auto" w:fill="auto"/>
            <w:vAlign w:val="center"/>
          </w:tcPr>
          <w:p w14:paraId="12771BEF" w14:textId="4034F29A" w:rsidR="00181D9E" w:rsidRPr="008D176E" w:rsidRDefault="00181D9E" w:rsidP="0064069C">
            <w:pPr>
              <w:pStyle w:val="CETBodytext"/>
              <w:ind w:right="-1"/>
              <w:jc w:val="center"/>
              <w:rPr>
                <w:rFonts w:cs="Arial"/>
                <w:sz w:val="16"/>
                <w:szCs w:val="16"/>
                <w:lang w:val="en-GB"/>
              </w:rPr>
            </w:pPr>
            <w:r w:rsidRPr="008D176E">
              <w:rPr>
                <w:rFonts w:cs="Arial"/>
                <w:sz w:val="16"/>
                <w:szCs w:val="16"/>
              </w:rPr>
              <w:t>223</w:t>
            </w:r>
          </w:p>
        </w:tc>
      </w:tr>
      <w:tr w:rsidR="00181D9E" w:rsidRPr="008D176E" w14:paraId="70026966" w14:textId="77777777" w:rsidTr="00ED17D8">
        <w:tc>
          <w:tcPr>
            <w:tcW w:w="359" w:type="pct"/>
            <w:tcBorders>
              <w:top w:val="single" w:sz="6" w:space="0" w:color="008000"/>
              <w:bottom w:val="single" w:sz="6" w:space="0" w:color="008000"/>
            </w:tcBorders>
            <w:shd w:val="clear" w:color="auto" w:fill="auto"/>
            <w:vAlign w:val="center"/>
          </w:tcPr>
          <w:p w14:paraId="7DCBA0C0" w14:textId="3E3BFCCC" w:rsidR="00181D9E" w:rsidRPr="008D176E" w:rsidRDefault="00181D9E" w:rsidP="00BC4404">
            <w:pPr>
              <w:pStyle w:val="CETBodytext"/>
              <w:ind w:right="-1"/>
              <w:jc w:val="left"/>
              <w:rPr>
                <w:rFonts w:cs="Arial"/>
                <w:sz w:val="16"/>
                <w:szCs w:val="16"/>
                <w:lang w:val="en-GB"/>
              </w:rPr>
            </w:pPr>
            <w:r w:rsidRPr="008D176E">
              <w:rPr>
                <w:rFonts w:cs="Arial"/>
                <w:sz w:val="16"/>
                <w:szCs w:val="16"/>
              </w:rPr>
              <w:t>II</w:t>
            </w:r>
          </w:p>
        </w:tc>
        <w:tc>
          <w:tcPr>
            <w:tcW w:w="2403" w:type="pct"/>
            <w:tcBorders>
              <w:top w:val="single" w:sz="6" w:space="0" w:color="008000"/>
              <w:bottom w:val="single" w:sz="6" w:space="0" w:color="008000"/>
            </w:tcBorders>
            <w:shd w:val="clear" w:color="auto" w:fill="auto"/>
            <w:vAlign w:val="center"/>
          </w:tcPr>
          <w:p w14:paraId="404EE302" w14:textId="0420D9D2" w:rsidR="0064069C" w:rsidRPr="005F0E0C" w:rsidRDefault="00181D9E" w:rsidP="0064069C">
            <w:pPr>
              <w:tabs>
                <w:tab w:val="left" w:pos="35"/>
              </w:tabs>
              <w:jc w:val="left"/>
              <w:rPr>
                <w:rFonts w:cs="Arial"/>
                <w:sz w:val="16"/>
                <w:szCs w:val="16"/>
              </w:rPr>
            </w:pPr>
            <w:r w:rsidRPr="008D176E">
              <w:rPr>
                <w:rFonts w:cs="Arial"/>
                <w:sz w:val="16"/>
                <w:szCs w:val="16"/>
              </w:rPr>
              <w:t>7R</w:t>
            </w:r>
            <w:r w:rsidR="006567D5">
              <w:rPr>
                <w:rFonts w:cs="Arial"/>
                <w:sz w:val="16"/>
                <w:szCs w:val="16"/>
              </w:rPr>
              <w:t xml:space="preserve"> - </w:t>
            </w:r>
            <w:r w:rsidR="0064069C" w:rsidRPr="0064069C">
              <w:rPr>
                <w:rFonts w:cs="Arial"/>
                <w:sz w:val="16"/>
                <w:szCs w:val="16"/>
                <w:lang w:val="en"/>
              </w:rPr>
              <w:t>LNG Feed pump delivery lines and FSRU main LNG manifold</w:t>
            </w:r>
          </w:p>
          <w:p w14:paraId="07E2D998" w14:textId="619D6749" w:rsidR="00181D9E" w:rsidRPr="008D176E" w:rsidRDefault="0064069C" w:rsidP="00BC4404">
            <w:pPr>
              <w:pStyle w:val="CETBodytext"/>
              <w:ind w:right="-1"/>
              <w:jc w:val="left"/>
              <w:rPr>
                <w:rFonts w:cs="Arial"/>
                <w:sz w:val="16"/>
                <w:szCs w:val="16"/>
                <w:lang w:val="en-GB"/>
              </w:rPr>
            </w:pPr>
            <w:r w:rsidRPr="0064069C">
              <w:rPr>
                <w:rFonts w:cs="Arial"/>
                <w:i/>
                <w:iCs/>
                <w:sz w:val="16"/>
                <w:szCs w:val="16"/>
              </w:rPr>
              <w:t>Significant Leak - LNG Release</w:t>
            </w:r>
          </w:p>
        </w:tc>
        <w:tc>
          <w:tcPr>
            <w:tcW w:w="800" w:type="pct"/>
            <w:tcBorders>
              <w:top w:val="single" w:sz="6" w:space="0" w:color="008000"/>
              <w:bottom w:val="single" w:sz="6" w:space="0" w:color="008000"/>
            </w:tcBorders>
            <w:shd w:val="clear" w:color="auto" w:fill="auto"/>
            <w:vAlign w:val="center"/>
          </w:tcPr>
          <w:p w14:paraId="619963D1" w14:textId="77777777" w:rsidR="00181D9E" w:rsidRPr="008D176E" w:rsidRDefault="00181D9E" w:rsidP="00BC4404">
            <w:pPr>
              <w:jc w:val="left"/>
              <w:rPr>
                <w:rFonts w:cs="Arial"/>
                <w:sz w:val="16"/>
                <w:szCs w:val="16"/>
              </w:rPr>
            </w:pPr>
            <w:r w:rsidRPr="008D176E">
              <w:rPr>
                <w:rFonts w:cs="Arial"/>
                <w:sz w:val="16"/>
                <w:szCs w:val="16"/>
              </w:rPr>
              <w:t>Jet Fire</w:t>
            </w:r>
          </w:p>
          <w:p w14:paraId="24C248CE" w14:textId="1A2079BF" w:rsidR="00181D9E" w:rsidRPr="008D176E" w:rsidRDefault="0064069C" w:rsidP="00BC4404">
            <w:pPr>
              <w:pStyle w:val="CETBodytext"/>
              <w:ind w:right="-1"/>
              <w:jc w:val="left"/>
              <w:rPr>
                <w:rFonts w:cs="Arial"/>
                <w:sz w:val="16"/>
                <w:szCs w:val="16"/>
                <w:lang w:val="en-GB"/>
              </w:rPr>
            </w:pPr>
            <w:r>
              <w:rPr>
                <w:rFonts w:cs="Arial"/>
                <w:sz w:val="16"/>
                <w:szCs w:val="16"/>
                <w:lang w:val="en-GB"/>
              </w:rPr>
              <w:t>Wind</w:t>
            </w:r>
            <w:r w:rsidR="00181D9E" w:rsidRPr="008D176E">
              <w:rPr>
                <w:rFonts w:cs="Arial"/>
                <w:sz w:val="16"/>
                <w:szCs w:val="16"/>
                <w:lang w:val="en-GB"/>
              </w:rPr>
              <w:t xml:space="preserve"> 2 m/s Cat F</w:t>
            </w:r>
          </w:p>
        </w:tc>
        <w:tc>
          <w:tcPr>
            <w:tcW w:w="359" w:type="pct"/>
            <w:tcBorders>
              <w:top w:val="single" w:sz="6" w:space="0" w:color="008000"/>
              <w:bottom w:val="single" w:sz="6" w:space="0" w:color="008000"/>
            </w:tcBorders>
            <w:shd w:val="clear" w:color="auto" w:fill="auto"/>
            <w:vAlign w:val="center"/>
          </w:tcPr>
          <w:p w14:paraId="4C6FBD3C" w14:textId="4A4BE07A" w:rsidR="00181D9E" w:rsidRPr="008D176E" w:rsidRDefault="00181D9E" w:rsidP="0064069C">
            <w:pPr>
              <w:pStyle w:val="CETBodytext"/>
              <w:ind w:right="-1"/>
              <w:jc w:val="center"/>
              <w:rPr>
                <w:rFonts w:cs="Arial"/>
                <w:sz w:val="16"/>
                <w:szCs w:val="16"/>
                <w:lang w:val="en-GB"/>
              </w:rPr>
            </w:pPr>
            <w:r w:rsidRPr="008D176E">
              <w:rPr>
                <w:rFonts w:cs="Arial"/>
                <w:sz w:val="16"/>
                <w:szCs w:val="16"/>
              </w:rPr>
              <w:t>148</w:t>
            </w:r>
          </w:p>
        </w:tc>
        <w:tc>
          <w:tcPr>
            <w:tcW w:w="360" w:type="pct"/>
            <w:tcBorders>
              <w:top w:val="single" w:sz="6" w:space="0" w:color="008000"/>
              <w:bottom w:val="single" w:sz="6" w:space="0" w:color="008000"/>
            </w:tcBorders>
            <w:shd w:val="clear" w:color="auto" w:fill="auto"/>
            <w:vAlign w:val="center"/>
          </w:tcPr>
          <w:p w14:paraId="75BB7BB0" w14:textId="5BEF7CB0" w:rsidR="00181D9E" w:rsidRPr="008D176E" w:rsidRDefault="00181D9E" w:rsidP="0064069C">
            <w:pPr>
              <w:pStyle w:val="CETBodytext"/>
              <w:ind w:right="-1"/>
              <w:jc w:val="center"/>
              <w:rPr>
                <w:rFonts w:cs="Arial"/>
                <w:sz w:val="16"/>
                <w:szCs w:val="16"/>
                <w:lang w:val="en-GB"/>
              </w:rPr>
            </w:pPr>
            <w:r w:rsidRPr="008D176E">
              <w:rPr>
                <w:rFonts w:cs="Arial"/>
                <w:sz w:val="16"/>
                <w:szCs w:val="16"/>
              </w:rPr>
              <w:t>168</w:t>
            </w:r>
          </w:p>
        </w:tc>
        <w:tc>
          <w:tcPr>
            <w:tcW w:w="359" w:type="pct"/>
            <w:tcBorders>
              <w:top w:val="single" w:sz="6" w:space="0" w:color="008000"/>
              <w:bottom w:val="single" w:sz="6" w:space="0" w:color="008000"/>
            </w:tcBorders>
            <w:shd w:val="clear" w:color="auto" w:fill="auto"/>
            <w:vAlign w:val="center"/>
          </w:tcPr>
          <w:p w14:paraId="3485076C" w14:textId="0D8F5A03" w:rsidR="00181D9E" w:rsidRPr="008D176E" w:rsidRDefault="00181D9E" w:rsidP="0064069C">
            <w:pPr>
              <w:pStyle w:val="CETBodytext"/>
              <w:ind w:right="-1"/>
              <w:jc w:val="center"/>
              <w:rPr>
                <w:rFonts w:cs="Arial"/>
                <w:sz w:val="16"/>
                <w:szCs w:val="16"/>
                <w:lang w:val="en-GB"/>
              </w:rPr>
            </w:pPr>
            <w:r w:rsidRPr="008D176E">
              <w:rPr>
                <w:rFonts w:cs="Arial"/>
                <w:sz w:val="16"/>
                <w:szCs w:val="16"/>
              </w:rPr>
              <w:t>180</w:t>
            </w:r>
          </w:p>
        </w:tc>
        <w:tc>
          <w:tcPr>
            <w:tcW w:w="360" w:type="pct"/>
            <w:tcBorders>
              <w:top w:val="single" w:sz="6" w:space="0" w:color="008000"/>
              <w:bottom w:val="single" w:sz="6" w:space="0" w:color="008000"/>
            </w:tcBorders>
            <w:shd w:val="clear" w:color="auto" w:fill="auto"/>
            <w:vAlign w:val="center"/>
          </w:tcPr>
          <w:p w14:paraId="6E7A9711" w14:textId="4F7CD20C" w:rsidR="00181D9E" w:rsidRPr="008D176E" w:rsidRDefault="00181D9E" w:rsidP="0064069C">
            <w:pPr>
              <w:pStyle w:val="CETBodytext"/>
              <w:ind w:right="-1"/>
              <w:jc w:val="center"/>
              <w:rPr>
                <w:rFonts w:cs="Arial"/>
                <w:sz w:val="16"/>
                <w:szCs w:val="16"/>
                <w:lang w:val="en-GB"/>
              </w:rPr>
            </w:pPr>
            <w:r w:rsidRPr="008D176E">
              <w:rPr>
                <w:rFonts w:cs="Arial"/>
                <w:sz w:val="16"/>
                <w:szCs w:val="16"/>
              </w:rPr>
              <w:t>204</w:t>
            </w:r>
          </w:p>
        </w:tc>
      </w:tr>
      <w:tr w:rsidR="00181D9E" w:rsidRPr="008D176E" w14:paraId="60050490" w14:textId="77777777" w:rsidTr="00ED17D8">
        <w:tc>
          <w:tcPr>
            <w:tcW w:w="359" w:type="pct"/>
            <w:tcBorders>
              <w:top w:val="single" w:sz="6" w:space="0" w:color="008000"/>
              <w:bottom w:val="single" w:sz="6" w:space="0" w:color="008000"/>
            </w:tcBorders>
            <w:shd w:val="clear" w:color="auto" w:fill="auto"/>
            <w:vAlign w:val="center"/>
          </w:tcPr>
          <w:p w14:paraId="3983D6D7" w14:textId="1E5DFBEC" w:rsidR="00181D9E" w:rsidRPr="008D176E" w:rsidRDefault="00181D9E" w:rsidP="00BC4404">
            <w:pPr>
              <w:pStyle w:val="CETBodytext"/>
              <w:ind w:right="-1"/>
              <w:jc w:val="left"/>
              <w:rPr>
                <w:rFonts w:cs="Arial"/>
                <w:sz w:val="16"/>
                <w:szCs w:val="16"/>
                <w:lang w:val="en-GB"/>
              </w:rPr>
            </w:pPr>
            <w:r w:rsidRPr="008D176E">
              <w:rPr>
                <w:rFonts w:cs="Arial"/>
                <w:sz w:val="16"/>
                <w:szCs w:val="16"/>
              </w:rPr>
              <w:t>III</w:t>
            </w:r>
          </w:p>
        </w:tc>
        <w:tc>
          <w:tcPr>
            <w:tcW w:w="2403" w:type="pct"/>
            <w:tcBorders>
              <w:top w:val="single" w:sz="6" w:space="0" w:color="008000"/>
              <w:bottom w:val="single" w:sz="6" w:space="0" w:color="008000"/>
            </w:tcBorders>
            <w:shd w:val="clear" w:color="auto" w:fill="auto"/>
            <w:vAlign w:val="center"/>
          </w:tcPr>
          <w:p w14:paraId="75BBDBAF" w14:textId="3D5F18FB" w:rsidR="0064069C" w:rsidRPr="005F0E0C" w:rsidRDefault="00181D9E" w:rsidP="0064069C">
            <w:pPr>
              <w:tabs>
                <w:tab w:val="left" w:pos="35"/>
              </w:tabs>
              <w:jc w:val="left"/>
              <w:rPr>
                <w:rFonts w:cs="Arial"/>
                <w:sz w:val="16"/>
                <w:szCs w:val="16"/>
              </w:rPr>
            </w:pPr>
            <w:r w:rsidRPr="008D176E">
              <w:rPr>
                <w:rFonts w:cs="Arial"/>
                <w:sz w:val="16"/>
                <w:szCs w:val="16"/>
              </w:rPr>
              <w:t>10R c</w:t>
            </w:r>
            <w:r w:rsidR="006567D5">
              <w:rPr>
                <w:rFonts w:cs="Arial"/>
                <w:sz w:val="16"/>
                <w:szCs w:val="16"/>
              </w:rPr>
              <w:t xml:space="preserve"> - </w:t>
            </w:r>
            <w:r w:rsidR="0064069C" w:rsidRPr="0064069C">
              <w:rPr>
                <w:rFonts w:cs="Arial"/>
                <w:sz w:val="16"/>
                <w:szCs w:val="16"/>
                <w:lang w:val="en"/>
              </w:rPr>
              <w:t>High pressure discharge flexible hoses from FSRU to onshore pipeline</w:t>
            </w:r>
          </w:p>
          <w:p w14:paraId="11D5DA4A" w14:textId="6639A168" w:rsidR="00181D9E" w:rsidRPr="005F0E0C" w:rsidRDefault="0064069C" w:rsidP="0064069C">
            <w:pPr>
              <w:pStyle w:val="CETBodytext"/>
              <w:ind w:right="-1"/>
              <w:rPr>
                <w:rFonts w:cs="Arial"/>
                <w:i/>
                <w:iCs/>
                <w:sz w:val="16"/>
                <w:szCs w:val="16"/>
                <w:lang w:val="en-GB"/>
              </w:rPr>
            </w:pPr>
            <w:r>
              <w:rPr>
                <w:rFonts w:cs="Arial"/>
                <w:i/>
                <w:iCs/>
                <w:sz w:val="16"/>
                <w:szCs w:val="16"/>
                <w:lang w:val="en"/>
              </w:rPr>
              <w:t>Full Bore</w:t>
            </w:r>
            <w:r w:rsidRPr="0064069C">
              <w:rPr>
                <w:rFonts w:cs="Arial"/>
                <w:i/>
                <w:iCs/>
                <w:sz w:val="16"/>
                <w:szCs w:val="16"/>
                <w:lang w:val="en"/>
              </w:rPr>
              <w:t xml:space="preserve"> - Release of N</w:t>
            </w:r>
            <w:r w:rsidR="0032043F">
              <w:rPr>
                <w:rFonts w:cs="Arial"/>
                <w:i/>
                <w:iCs/>
                <w:sz w:val="16"/>
                <w:szCs w:val="16"/>
                <w:lang w:val="en"/>
              </w:rPr>
              <w:t>G</w:t>
            </w:r>
          </w:p>
        </w:tc>
        <w:tc>
          <w:tcPr>
            <w:tcW w:w="800" w:type="pct"/>
            <w:tcBorders>
              <w:top w:val="single" w:sz="6" w:space="0" w:color="008000"/>
              <w:bottom w:val="single" w:sz="6" w:space="0" w:color="008000"/>
            </w:tcBorders>
            <w:shd w:val="clear" w:color="auto" w:fill="auto"/>
            <w:vAlign w:val="center"/>
          </w:tcPr>
          <w:p w14:paraId="456B2762" w14:textId="77777777" w:rsidR="00181D9E" w:rsidRPr="008D176E" w:rsidRDefault="00181D9E" w:rsidP="00BC4404">
            <w:pPr>
              <w:jc w:val="left"/>
              <w:rPr>
                <w:rFonts w:cs="Arial"/>
                <w:sz w:val="16"/>
                <w:szCs w:val="16"/>
              </w:rPr>
            </w:pPr>
            <w:r w:rsidRPr="008D176E">
              <w:rPr>
                <w:rFonts w:cs="Arial"/>
                <w:sz w:val="16"/>
                <w:szCs w:val="16"/>
              </w:rPr>
              <w:t>Jet Fire</w:t>
            </w:r>
          </w:p>
          <w:p w14:paraId="5423F6BD" w14:textId="5895E48D" w:rsidR="00181D9E" w:rsidRPr="008D176E" w:rsidRDefault="0064069C" w:rsidP="00BC4404">
            <w:pPr>
              <w:pStyle w:val="CETBodytext"/>
              <w:ind w:right="-1"/>
              <w:jc w:val="left"/>
              <w:rPr>
                <w:rFonts w:cs="Arial"/>
                <w:sz w:val="16"/>
                <w:szCs w:val="16"/>
                <w:lang w:val="en-GB"/>
              </w:rPr>
            </w:pPr>
            <w:r>
              <w:rPr>
                <w:rFonts w:cs="Arial"/>
                <w:sz w:val="16"/>
                <w:szCs w:val="16"/>
                <w:lang w:val="en-GB"/>
              </w:rPr>
              <w:t>Wind</w:t>
            </w:r>
            <w:r w:rsidR="00181D9E" w:rsidRPr="008D176E">
              <w:rPr>
                <w:rFonts w:cs="Arial"/>
                <w:sz w:val="16"/>
                <w:szCs w:val="16"/>
                <w:lang w:val="en-GB"/>
              </w:rPr>
              <w:t xml:space="preserve"> 2 m/s Cat F</w:t>
            </w:r>
          </w:p>
        </w:tc>
        <w:tc>
          <w:tcPr>
            <w:tcW w:w="359" w:type="pct"/>
            <w:tcBorders>
              <w:top w:val="single" w:sz="6" w:space="0" w:color="008000"/>
              <w:bottom w:val="single" w:sz="6" w:space="0" w:color="008000"/>
            </w:tcBorders>
            <w:shd w:val="clear" w:color="auto" w:fill="auto"/>
            <w:vAlign w:val="center"/>
          </w:tcPr>
          <w:p w14:paraId="02BD90CC" w14:textId="0292EF9A" w:rsidR="00181D9E" w:rsidRPr="008D176E" w:rsidRDefault="00181D9E" w:rsidP="0064069C">
            <w:pPr>
              <w:pStyle w:val="CETBodytext"/>
              <w:ind w:right="-1"/>
              <w:jc w:val="center"/>
              <w:rPr>
                <w:rFonts w:cs="Arial"/>
                <w:sz w:val="16"/>
                <w:szCs w:val="16"/>
                <w:lang w:val="en-GB"/>
              </w:rPr>
            </w:pPr>
            <w:r w:rsidRPr="008D176E">
              <w:rPr>
                <w:rFonts w:cs="Arial"/>
                <w:sz w:val="16"/>
                <w:szCs w:val="16"/>
              </w:rPr>
              <w:t>119</w:t>
            </w:r>
          </w:p>
        </w:tc>
        <w:tc>
          <w:tcPr>
            <w:tcW w:w="360" w:type="pct"/>
            <w:tcBorders>
              <w:top w:val="single" w:sz="6" w:space="0" w:color="008000"/>
              <w:bottom w:val="single" w:sz="6" w:space="0" w:color="008000"/>
            </w:tcBorders>
            <w:shd w:val="clear" w:color="auto" w:fill="auto"/>
            <w:vAlign w:val="center"/>
          </w:tcPr>
          <w:p w14:paraId="3D68974F" w14:textId="59FEA73C" w:rsidR="00181D9E" w:rsidRPr="008D176E" w:rsidRDefault="00181D9E" w:rsidP="0064069C">
            <w:pPr>
              <w:pStyle w:val="CETBodytext"/>
              <w:ind w:right="-1"/>
              <w:jc w:val="center"/>
              <w:rPr>
                <w:rFonts w:cs="Arial"/>
                <w:sz w:val="16"/>
                <w:szCs w:val="16"/>
                <w:lang w:val="en-GB"/>
              </w:rPr>
            </w:pPr>
            <w:r w:rsidRPr="008D176E">
              <w:rPr>
                <w:rFonts w:cs="Arial"/>
                <w:sz w:val="16"/>
                <w:szCs w:val="16"/>
              </w:rPr>
              <w:t>142</w:t>
            </w:r>
          </w:p>
        </w:tc>
        <w:tc>
          <w:tcPr>
            <w:tcW w:w="359" w:type="pct"/>
            <w:tcBorders>
              <w:top w:val="single" w:sz="6" w:space="0" w:color="008000"/>
              <w:bottom w:val="single" w:sz="6" w:space="0" w:color="008000"/>
            </w:tcBorders>
            <w:shd w:val="clear" w:color="auto" w:fill="auto"/>
            <w:vAlign w:val="center"/>
          </w:tcPr>
          <w:p w14:paraId="70818A30" w14:textId="19627CCC" w:rsidR="00181D9E" w:rsidRPr="008D176E" w:rsidRDefault="00181D9E" w:rsidP="0064069C">
            <w:pPr>
              <w:pStyle w:val="CETBodytext"/>
              <w:ind w:right="-1"/>
              <w:jc w:val="center"/>
              <w:rPr>
                <w:rFonts w:cs="Arial"/>
                <w:sz w:val="16"/>
                <w:szCs w:val="16"/>
                <w:lang w:val="en-GB"/>
              </w:rPr>
            </w:pPr>
            <w:r w:rsidRPr="008D176E">
              <w:rPr>
                <w:rFonts w:cs="Arial"/>
                <w:sz w:val="16"/>
                <w:szCs w:val="16"/>
              </w:rPr>
              <w:t>157</w:t>
            </w:r>
          </w:p>
        </w:tc>
        <w:tc>
          <w:tcPr>
            <w:tcW w:w="360" w:type="pct"/>
            <w:tcBorders>
              <w:top w:val="single" w:sz="6" w:space="0" w:color="008000"/>
              <w:bottom w:val="single" w:sz="6" w:space="0" w:color="008000"/>
            </w:tcBorders>
            <w:shd w:val="clear" w:color="auto" w:fill="auto"/>
            <w:vAlign w:val="center"/>
          </w:tcPr>
          <w:p w14:paraId="349F5823" w14:textId="725A59F9" w:rsidR="00181D9E" w:rsidRPr="008D176E" w:rsidRDefault="00181D9E" w:rsidP="0064069C">
            <w:pPr>
              <w:pStyle w:val="CETBodytext"/>
              <w:ind w:right="-1"/>
              <w:jc w:val="center"/>
              <w:rPr>
                <w:rFonts w:cs="Arial"/>
                <w:sz w:val="16"/>
                <w:szCs w:val="16"/>
                <w:lang w:val="en-GB"/>
              </w:rPr>
            </w:pPr>
            <w:r w:rsidRPr="008D176E">
              <w:rPr>
                <w:rFonts w:cs="Arial"/>
                <w:sz w:val="16"/>
                <w:szCs w:val="16"/>
              </w:rPr>
              <w:t>185</w:t>
            </w:r>
          </w:p>
        </w:tc>
      </w:tr>
      <w:tr w:rsidR="00B07E98" w:rsidRPr="008D176E" w14:paraId="0C0C6868" w14:textId="77777777" w:rsidTr="00ED17D8">
        <w:tc>
          <w:tcPr>
            <w:tcW w:w="359" w:type="pct"/>
            <w:tcBorders>
              <w:top w:val="single" w:sz="6" w:space="0" w:color="008000"/>
            </w:tcBorders>
            <w:shd w:val="clear" w:color="auto" w:fill="auto"/>
            <w:vAlign w:val="center"/>
          </w:tcPr>
          <w:p w14:paraId="50805E13" w14:textId="16965019" w:rsidR="00B07E98" w:rsidRPr="008D176E" w:rsidRDefault="00B07E98" w:rsidP="00BC4404">
            <w:pPr>
              <w:pStyle w:val="CETBodytext"/>
              <w:ind w:right="-1"/>
              <w:jc w:val="left"/>
              <w:rPr>
                <w:rFonts w:cs="Arial"/>
                <w:sz w:val="16"/>
                <w:szCs w:val="16"/>
                <w:lang w:val="en-GB"/>
              </w:rPr>
            </w:pPr>
            <w:r w:rsidRPr="008D176E">
              <w:rPr>
                <w:rFonts w:cs="Arial"/>
                <w:sz w:val="16"/>
                <w:szCs w:val="16"/>
              </w:rPr>
              <w:t>IV</w:t>
            </w:r>
          </w:p>
        </w:tc>
        <w:tc>
          <w:tcPr>
            <w:tcW w:w="2403" w:type="pct"/>
            <w:tcBorders>
              <w:top w:val="single" w:sz="6" w:space="0" w:color="008000"/>
            </w:tcBorders>
            <w:shd w:val="clear" w:color="auto" w:fill="auto"/>
            <w:vAlign w:val="center"/>
          </w:tcPr>
          <w:p w14:paraId="63CACF89" w14:textId="78A8B699" w:rsidR="0064069C" w:rsidRPr="005F0E0C" w:rsidRDefault="00B07E98" w:rsidP="0064069C">
            <w:pPr>
              <w:tabs>
                <w:tab w:val="left" w:pos="35"/>
              </w:tabs>
              <w:jc w:val="left"/>
              <w:rPr>
                <w:rFonts w:cs="Arial"/>
                <w:sz w:val="16"/>
                <w:szCs w:val="16"/>
              </w:rPr>
            </w:pPr>
            <w:r w:rsidRPr="008D176E">
              <w:rPr>
                <w:rFonts w:cs="Arial"/>
                <w:sz w:val="16"/>
                <w:szCs w:val="16"/>
              </w:rPr>
              <w:t>12R c</w:t>
            </w:r>
            <w:r w:rsidR="006567D5">
              <w:rPr>
                <w:rFonts w:cs="Arial"/>
                <w:sz w:val="16"/>
                <w:szCs w:val="16"/>
              </w:rPr>
              <w:t xml:space="preserve"> - </w:t>
            </w:r>
            <w:r w:rsidR="0064069C" w:rsidRPr="0064069C">
              <w:rPr>
                <w:rFonts w:cs="Arial"/>
                <w:sz w:val="16"/>
                <w:szCs w:val="16"/>
                <w:lang w:val="en"/>
              </w:rPr>
              <w:t xml:space="preserve">Flexible LNG loading hoses on LNG </w:t>
            </w:r>
            <w:r w:rsidR="009F25A5">
              <w:rPr>
                <w:rFonts w:cs="Arial"/>
                <w:sz w:val="16"/>
                <w:szCs w:val="16"/>
                <w:lang w:val="en"/>
              </w:rPr>
              <w:t xml:space="preserve">Carrier </w:t>
            </w:r>
            <w:r w:rsidR="0064069C" w:rsidRPr="0064069C">
              <w:rPr>
                <w:rFonts w:cs="Arial"/>
                <w:sz w:val="16"/>
                <w:szCs w:val="16"/>
                <w:lang w:val="en"/>
              </w:rPr>
              <w:t>from FSRU</w:t>
            </w:r>
          </w:p>
          <w:p w14:paraId="67A5EDF2" w14:textId="7688B5E0" w:rsidR="00B07E98" w:rsidRPr="008D176E" w:rsidRDefault="0064069C" w:rsidP="0064069C">
            <w:pPr>
              <w:pStyle w:val="CETBodytext"/>
              <w:ind w:right="-1"/>
              <w:jc w:val="left"/>
              <w:rPr>
                <w:rFonts w:cs="Arial"/>
                <w:sz w:val="16"/>
                <w:szCs w:val="16"/>
                <w:lang w:val="en-GB"/>
              </w:rPr>
            </w:pPr>
            <w:r w:rsidRPr="0064069C">
              <w:rPr>
                <w:rFonts w:cs="Arial"/>
                <w:i/>
                <w:iCs/>
                <w:sz w:val="16"/>
                <w:szCs w:val="16"/>
              </w:rPr>
              <w:t>Severe adverse weather conditions with critical separation between FSRU and LNG tanker during LNG unloading with ERS intervention - LNG release</w:t>
            </w:r>
          </w:p>
        </w:tc>
        <w:tc>
          <w:tcPr>
            <w:tcW w:w="800" w:type="pct"/>
            <w:tcBorders>
              <w:top w:val="single" w:sz="6" w:space="0" w:color="008000"/>
            </w:tcBorders>
            <w:shd w:val="clear" w:color="auto" w:fill="auto"/>
            <w:vAlign w:val="center"/>
          </w:tcPr>
          <w:p w14:paraId="40E27EE7" w14:textId="77777777" w:rsidR="00B07E98" w:rsidRPr="008D176E" w:rsidRDefault="00B07E98" w:rsidP="00BC4404">
            <w:pPr>
              <w:jc w:val="left"/>
              <w:rPr>
                <w:rFonts w:cs="Arial"/>
                <w:sz w:val="16"/>
                <w:szCs w:val="16"/>
              </w:rPr>
            </w:pPr>
            <w:r w:rsidRPr="008D176E">
              <w:rPr>
                <w:rFonts w:cs="Arial"/>
                <w:sz w:val="16"/>
                <w:szCs w:val="16"/>
              </w:rPr>
              <w:t>Pool Fire</w:t>
            </w:r>
          </w:p>
          <w:p w14:paraId="63A63E18" w14:textId="5444EA38" w:rsidR="00B07E98" w:rsidRPr="008D176E" w:rsidRDefault="0064069C" w:rsidP="00BC4404">
            <w:pPr>
              <w:pStyle w:val="CETBodytext"/>
              <w:ind w:right="-1"/>
              <w:jc w:val="left"/>
              <w:rPr>
                <w:rFonts w:cs="Arial"/>
                <w:sz w:val="16"/>
                <w:szCs w:val="16"/>
                <w:lang w:val="en-GB"/>
              </w:rPr>
            </w:pPr>
            <w:r>
              <w:rPr>
                <w:rFonts w:cs="Arial"/>
                <w:sz w:val="16"/>
                <w:szCs w:val="16"/>
                <w:lang w:val="en-GB"/>
              </w:rPr>
              <w:t>Wind</w:t>
            </w:r>
            <w:r w:rsidR="00B07E98" w:rsidRPr="008D176E">
              <w:rPr>
                <w:rFonts w:cs="Arial"/>
                <w:sz w:val="16"/>
                <w:szCs w:val="16"/>
                <w:lang w:val="en-GB"/>
              </w:rPr>
              <w:t xml:space="preserve"> 5 m/s Cat D</w:t>
            </w:r>
          </w:p>
        </w:tc>
        <w:tc>
          <w:tcPr>
            <w:tcW w:w="359" w:type="pct"/>
            <w:tcBorders>
              <w:top w:val="single" w:sz="6" w:space="0" w:color="008000"/>
            </w:tcBorders>
            <w:shd w:val="clear" w:color="auto" w:fill="auto"/>
            <w:vAlign w:val="center"/>
          </w:tcPr>
          <w:p w14:paraId="7BA90F1C" w14:textId="0F3AAAAF" w:rsidR="00B07E98" w:rsidRPr="008D176E" w:rsidRDefault="00B07E98" w:rsidP="0064069C">
            <w:pPr>
              <w:pStyle w:val="CETBodytext"/>
              <w:ind w:right="-1"/>
              <w:jc w:val="center"/>
              <w:rPr>
                <w:rFonts w:cs="Arial"/>
                <w:sz w:val="16"/>
                <w:szCs w:val="16"/>
                <w:lang w:val="en-GB"/>
              </w:rPr>
            </w:pPr>
            <w:r w:rsidRPr="008D176E">
              <w:rPr>
                <w:rFonts w:cs="Arial"/>
                <w:sz w:val="16"/>
                <w:szCs w:val="16"/>
              </w:rPr>
              <w:t>76</w:t>
            </w:r>
          </w:p>
        </w:tc>
        <w:tc>
          <w:tcPr>
            <w:tcW w:w="360" w:type="pct"/>
            <w:tcBorders>
              <w:top w:val="single" w:sz="6" w:space="0" w:color="008000"/>
            </w:tcBorders>
            <w:shd w:val="clear" w:color="auto" w:fill="auto"/>
            <w:vAlign w:val="center"/>
          </w:tcPr>
          <w:p w14:paraId="1FB590B2" w14:textId="58B2AD8D" w:rsidR="00B07E98" w:rsidRPr="008D176E" w:rsidRDefault="00B07E98" w:rsidP="0064069C">
            <w:pPr>
              <w:pStyle w:val="CETBodytext"/>
              <w:ind w:right="-1"/>
              <w:jc w:val="center"/>
              <w:rPr>
                <w:rFonts w:cs="Arial"/>
                <w:sz w:val="16"/>
                <w:szCs w:val="16"/>
                <w:lang w:val="en-GB"/>
              </w:rPr>
            </w:pPr>
            <w:r w:rsidRPr="008D176E">
              <w:rPr>
                <w:rFonts w:cs="Arial"/>
                <w:sz w:val="16"/>
                <w:szCs w:val="16"/>
              </w:rPr>
              <w:t>94</w:t>
            </w:r>
          </w:p>
        </w:tc>
        <w:tc>
          <w:tcPr>
            <w:tcW w:w="359" w:type="pct"/>
            <w:tcBorders>
              <w:top w:val="single" w:sz="6" w:space="0" w:color="008000"/>
            </w:tcBorders>
            <w:shd w:val="clear" w:color="auto" w:fill="auto"/>
            <w:vAlign w:val="center"/>
          </w:tcPr>
          <w:p w14:paraId="137CC952" w14:textId="59B8D9FB" w:rsidR="00B07E98" w:rsidRPr="008D176E" w:rsidRDefault="00B07E98" w:rsidP="0064069C">
            <w:pPr>
              <w:pStyle w:val="CETBodytext"/>
              <w:ind w:right="-1"/>
              <w:jc w:val="center"/>
              <w:rPr>
                <w:rFonts w:cs="Arial"/>
                <w:sz w:val="16"/>
                <w:szCs w:val="16"/>
                <w:lang w:val="en-GB"/>
              </w:rPr>
            </w:pPr>
            <w:r w:rsidRPr="008D176E">
              <w:rPr>
                <w:rFonts w:cs="Arial"/>
                <w:sz w:val="16"/>
                <w:szCs w:val="16"/>
              </w:rPr>
              <w:t>107</w:t>
            </w:r>
          </w:p>
        </w:tc>
        <w:tc>
          <w:tcPr>
            <w:tcW w:w="360" w:type="pct"/>
            <w:tcBorders>
              <w:top w:val="single" w:sz="6" w:space="0" w:color="008000"/>
            </w:tcBorders>
            <w:shd w:val="clear" w:color="auto" w:fill="auto"/>
            <w:vAlign w:val="center"/>
          </w:tcPr>
          <w:p w14:paraId="3543FB4C" w14:textId="238F5145" w:rsidR="00B07E98" w:rsidRPr="008D176E" w:rsidRDefault="00B07E98" w:rsidP="0064069C">
            <w:pPr>
              <w:pStyle w:val="CETBodytext"/>
              <w:ind w:right="-1"/>
              <w:jc w:val="center"/>
              <w:rPr>
                <w:rFonts w:cs="Arial"/>
                <w:sz w:val="16"/>
                <w:szCs w:val="16"/>
                <w:lang w:val="en-GB"/>
              </w:rPr>
            </w:pPr>
            <w:r w:rsidRPr="008D176E">
              <w:rPr>
                <w:rFonts w:cs="Arial"/>
                <w:sz w:val="16"/>
                <w:szCs w:val="16"/>
              </w:rPr>
              <w:t>130</w:t>
            </w:r>
          </w:p>
        </w:tc>
      </w:tr>
    </w:tbl>
    <w:p w14:paraId="1C6BAC52" w14:textId="18C70FAE" w:rsidR="00736BB5" w:rsidRPr="00B57B36" w:rsidRDefault="007E0308" w:rsidP="00736BB5">
      <w:pPr>
        <w:pStyle w:val="CETTabletitle"/>
      </w:pPr>
      <w:bookmarkStart w:id="3" w:name="_Hlk182563007"/>
      <w:r>
        <w:t xml:space="preserve">Table 3: </w:t>
      </w:r>
      <w:r w:rsidR="004D67F5" w:rsidRPr="00736BB5">
        <w:t>Summary of the major consequences of credible explosion scenarios</w:t>
      </w:r>
      <w:r w:rsidR="00074DEE">
        <w:t>.</w:t>
      </w:r>
    </w:p>
    <w:tbl>
      <w:tblPr>
        <w:tblW w:w="5039" w:type="pct"/>
        <w:tblBorders>
          <w:top w:val="single" w:sz="12" w:space="0" w:color="008000"/>
          <w:bottom w:val="single" w:sz="12" w:space="0" w:color="008000"/>
        </w:tblBorders>
        <w:tblLayout w:type="fixed"/>
        <w:tblCellMar>
          <w:left w:w="68" w:type="dxa"/>
          <w:right w:w="68" w:type="dxa"/>
        </w:tblCellMar>
        <w:tblLook w:val="00A0" w:firstRow="1" w:lastRow="0" w:firstColumn="1" w:lastColumn="0" w:noHBand="0" w:noVBand="0"/>
      </w:tblPr>
      <w:tblGrid>
        <w:gridCol w:w="708"/>
        <w:gridCol w:w="3688"/>
        <w:gridCol w:w="1909"/>
        <w:gridCol w:w="636"/>
        <w:gridCol w:w="638"/>
        <w:gridCol w:w="636"/>
        <w:gridCol w:w="641"/>
      </w:tblGrid>
      <w:tr w:rsidR="0064069C" w:rsidRPr="008D176E" w14:paraId="25B03EC5" w14:textId="77777777" w:rsidTr="0084038C">
        <w:trPr>
          <w:tblHeader/>
        </w:trPr>
        <w:tc>
          <w:tcPr>
            <w:tcW w:w="400" w:type="pct"/>
            <w:vMerge w:val="restart"/>
            <w:tcBorders>
              <w:top w:val="single" w:sz="12" w:space="0" w:color="008000"/>
              <w:bottom w:val="single" w:sz="6" w:space="0" w:color="008000"/>
            </w:tcBorders>
            <w:shd w:val="clear" w:color="auto" w:fill="auto"/>
            <w:vAlign w:val="center"/>
          </w:tcPr>
          <w:p w14:paraId="69BE918A" w14:textId="70172E2F" w:rsidR="0064069C" w:rsidRPr="008D176E" w:rsidRDefault="0064069C" w:rsidP="0064069C">
            <w:pPr>
              <w:pStyle w:val="CETBodytext"/>
              <w:jc w:val="left"/>
              <w:rPr>
                <w:rFonts w:cs="Arial"/>
                <w:sz w:val="16"/>
                <w:szCs w:val="16"/>
                <w:lang w:val="en-GB"/>
              </w:rPr>
            </w:pPr>
            <w:r w:rsidRPr="008D176E">
              <w:rPr>
                <w:rFonts w:cs="Arial"/>
                <w:b/>
                <w:sz w:val="16"/>
                <w:szCs w:val="16"/>
              </w:rPr>
              <w:t>Macro</w:t>
            </w:r>
            <w:r w:rsidR="00E162C8">
              <w:rPr>
                <w:rFonts w:cs="Arial"/>
                <w:b/>
                <w:sz w:val="16"/>
                <w:szCs w:val="16"/>
              </w:rPr>
              <w:t xml:space="preserve"> </w:t>
            </w:r>
            <w:r w:rsidRPr="008D176E">
              <w:rPr>
                <w:rFonts w:cs="Arial"/>
                <w:b/>
                <w:sz w:val="16"/>
                <w:szCs w:val="16"/>
              </w:rPr>
              <w:t>area</w:t>
            </w:r>
          </w:p>
        </w:tc>
        <w:tc>
          <w:tcPr>
            <w:tcW w:w="2082" w:type="pct"/>
            <w:vMerge w:val="restart"/>
            <w:tcBorders>
              <w:top w:val="single" w:sz="12" w:space="0" w:color="008000"/>
              <w:bottom w:val="single" w:sz="6" w:space="0" w:color="008000"/>
            </w:tcBorders>
            <w:shd w:val="clear" w:color="auto" w:fill="auto"/>
            <w:vAlign w:val="center"/>
          </w:tcPr>
          <w:p w14:paraId="4EE24D79" w14:textId="6F7A04A6" w:rsidR="0064069C" w:rsidRPr="008D176E" w:rsidRDefault="0064069C" w:rsidP="0064069C">
            <w:pPr>
              <w:pStyle w:val="CETBodytext"/>
              <w:jc w:val="left"/>
              <w:rPr>
                <w:rFonts w:cs="Arial"/>
                <w:sz w:val="16"/>
                <w:szCs w:val="16"/>
                <w:lang w:val="en-GB"/>
              </w:rPr>
            </w:pPr>
            <w:r w:rsidRPr="0064069C">
              <w:rPr>
                <w:rFonts w:cs="Arial"/>
                <w:b/>
                <w:sz w:val="16"/>
                <w:szCs w:val="16"/>
                <w:lang w:val="en"/>
              </w:rPr>
              <w:t>Incidental hypothesis</w:t>
            </w:r>
          </w:p>
        </w:tc>
        <w:tc>
          <w:tcPr>
            <w:tcW w:w="1078" w:type="pct"/>
            <w:vMerge w:val="restart"/>
            <w:tcBorders>
              <w:top w:val="single" w:sz="12" w:space="0" w:color="008000"/>
              <w:bottom w:val="single" w:sz="6" w:space="0" w:color="008000"/>
            </w:tcBorders>
            <w:shd w:val="clear" w:color="auto" w:fill="auto"/>
            <w:vAlign w:val="center"/>
          </w:tcPr>
          <w:p w14:paraId="5AC2FBD7" w14:textId="2E3758BC" w:rsidR="0064069C" w:rsidRPr="008D176E" w:rsidRDefault="0064069C" w:rsidP="0064069C">
            <w:pPr>
              <w:pStyle w:val="CETBodytext"/>
              <w:jc w:val="left"/>
              <w:rPr>
                <w:rFonts w:cs="Arial"/>
                <w:sz w:val="16"/>
                <w:szCs w:val="16"/>
                <w:lang w:val="en-GB"/>
              </w:rPr>
            </w:pPr>
            <w:r w:rsidRPr="008D176E">
              <w:rPr>
                <w:rFonts w:cs="Arial"/>
                <w:b/>
                <w:sz w:val="16"/>
                <w:szCs w:val="16"/>
              </w:rPr>
              <w:t>Consequent scenario</w:t>
            </w:r>
          </w:p>
        </w:tc>
        <w:tc>
          <w:tcPr>
            <w:tcW w:w="1440" w:type="pct"/>
            <w:gridSpan w:val="4"/>
            <w:tcBorders>
              <w:top w:val="single" w:sz="12" w:space="0" w:color="008000"/>
              <w:bottom w:val="single" w:sz="6" w:space="0" w:color="008000"/>
            </w:tcBorders>
            <w:shd w:val="clear" w:color="auto" w:fill="auto"/>
            <w:vAlign w:val="center"/>
          </w:tcPr>
          <w:p w14:paraId="05443BA1" w14:textId="1C53EF61" w:rsidR="0064069C" w:rsidRPr="008D176E" w:rsidRDefault="0064069C" w:rsidP="0064069C">
            <w:pPr>
              <w:pStyle w:val="CETBodytext"/>
              <w:jc w:val="center"/>
              <w:rPr>
                <w:rFonts w:cs="Arial"/>
                <w:sz w:val="16"/>
                <w:szCs w:val="16"/>
                <w:lang w:val="en-GB"/>
              </w:rPr>
            </w:pPr>
            <w:r w:rsidRPr="008D176E">
              <w:rPr>
                <w:rFonts w:cs="Arial"/>
                <w:b/>
                <w:sz w:val="16"/>
                <w:szCs w:val="16"/>
              </w:rPr>
              <w:t>Explosion</w:t>
            </w:r>
          </w:p>
        </w:tc>
      </w:tr>
      <w:tr w:rsidR="00BC4404" w:rsidRPr="008D176E" w14:paraId="458789EB" w14:textId="77777777" w:rsidTr="0084038C">
        <w:trPr>
          <w:tblHeader/>
        </w:trPr>
        <w:tc>
          <w:tcPr>
            <w:tcW w:w="400" w:type="pct"/>
            <w:vMerge/>
            <w:tcBorders>
              <w:top w:val="single" w:sz="6" w:space="0" w:color="008000"/>
              <w:bottom w:val="single" w:sz="6" w:space="0" w:color="008000"/>
            </w:tcBorders>
            <w:shd w:val="clear" w:color="auto" w:fill="auto"/>
            <w:vAlign w:val="center"/>
          </w:tcPr>
          <w:p w14:paraId="7564D6A4" w14:textId="77777777" w:rsidR="00736BB5" w:rsidRPr="008D176E" w:rsidRDefault="00736BB5" w:rsidP="00BC4404">
            <w:pPr>
              <w:pStyle w:val="CETBodytext"/>
              <w:jc w:val="left"/>
              <w:rPr>
                <w:rFonts w:cs="Arial"/>
                <w:sz w:val="16"/>
                <w:szCs w:val="16"/>
                <w:lang w:val="en-GB"/>
              </w:rPr>
            </w:pPr>
          </w:p>
        </w:tc>
        <w:tc>
          <w:tcPr>
            <w:tcW w:w="2082" w:type="pct"/>
            <w:vMerge/>
            <w:tcBorders>
              <w:top w:val="single" w:sz="6" w:space="0" w:color="008000"/>
              <w:bottom w:val="single" w:sz="6" w:space="0" w:color="008000"/>
            </w:tcBorders>
            <w:shd w:val="clear" w:color="auto" w:fill="auto"/>
            <w:vAlign w:val="center"/>
          </w:tcPr>
          <w:p w14:paraId="388B51EE" w14:textId="77777777" w:rsidR="00736BB5" w:rsidRPr="008D176E" w:rsidRDefault="00736BB5" w:rsidP="00BC4404">
            <w:pPr>
              <w:pStyle w:val="CETBodytext"/>
              <w:jc w:val="left"/>
              <w:rPr>
                <w:rFonts w:cs="Arial"/>
                <w:sz w:val="16"/>
                <w:szCs w:val="16"/>
                <w:lang w:val="en-GB"/>
              </w:rPr>
            </w:pPr>
          </w:p>
        </w:tc>
        <w:tc>
          <w:tcPr>
            <w:tcW w:w="1078" w:type="pct"/>
            <w:vMerge/>
            <w:tcBorders>
              <w:top w:val="single" w:sz="6" w:space="0" w:color="008000"/>
              <w:bottom w:val="single" w:sz="6" w:space="0" w:color="008000"/>
            </w:tcBorders>
            <w:shd w:val="clear" w:color="auto" w:fill="auto"/>
            <w:vAlign w:val="center"/>
          </w:tcPr>
          <w:p w14:paraId="53D2F725" w14:textId="77777777" w:rsidR="00736BB5" w:rsidRPr="008D176E" w:rsidRDefault="00736BB5" w:rsidP="00BC4404">
            <w:pPr>
              <w:pStyle w:val="CETBodytext"/>
              <w:jc w:val="left"/>
              <w:rPr>
                <w:rFonts w:cs="Arial"/>
                <w:sz w:val="16"/>
                <w:szCs w:val="16"/>
                <w:lang w:val="en-GB"/>
              </w:rPr>
            </w:pPr>
          </w:p>
        </w:tc>
        <w:tc>
          <w:tcPr>
            <w:tcW w:w="1440" w:type="pct"/>
            <w:gridSpan w:val="4"/>
            <w:tcBorders>
              <w:top w:val="single" w:sz="6" w:space="0" w:color="008000"/>
              <w:bottom w:val="single" w:sz="6" w:space="0" w:color="008000"/>
            </w:tcBorders>
            <w:shd w:val="clear" w:color="auto" w:fill="auto"/>
            <w:vAlign w:val="center"/>
          </w:tcPr>
          <w:p w14:paraId="05811ECE" w14:textId="4AF77165" w:rsidR="00736BB5" w:rsidRPr="005F0E0C" w:rsidRDefault="0064069C" w:rsidP="0064069C">
            <w:pPr>
              <w:pStyle w:val="CETBodytext"/>
              <w:jc w:val="center"/>
              <w:rPr>
                <w:rFonts w:cs="Arial"/>
                <w:sz w:val="16"/>
                <w:szCs w:val="16"/>
                <w:lang w:val="en-GB"/>
              </w:rPr>
            </w:pPr>
            <w:r w:rsidRPr="0064069C">
              <w:rPr>
                <w:rFonts w:cs="Arial"/>
                <w:sz w:val="16"/>
                <w:szCs w:val="16"/>
                <w:lang w:val="en"/>
              </w:rPr>
              <w:t xml:space="preserve">Distance </w:t>
            </w:r>
            <w:r w:rsidR="00613C80">
              <w:rPr>
                <w:rFonts w:cs="Arial"/>
                <w:sz w:val="16"/>
                <w:szCs w:val="16"/>
                <w:lang w:val="en"/>
              </w:rPr>
              <w:t>[</w:t>
            </w:r>
            <w:r w:rsidRPr="0064069C">
              <w:rPr>
                <w:rFonts w:cs="Arial"/>
                <w:sz w:val="16"/>
                <w:szCs w:val="16"/>
                <w:lang w:val="en"/>
              </w:rPr>
              <w:t>m</w:t>
            </w:r>
            <w:r w:rsidR="00613C80">
              <w:rPr>
                <w:rFonts w:cs="Arial"/>
                <w:sz w:val="16"/>
                <w:szCs w:val="16"/>
                <w:lang w:val="en"/>
              </w:rPr>
              <w:t>]</w:t>
            </w:r>
            <w:r w:rsidRPr="0064069C">
              <w:rPr>
                <w:rFonts w:cs="Arial"/>
                <w:sz w:val="16"/>
                <w:szCs w:val="16"/>
                <w:lang w:val="en"/>
              </w:rPr>
              <w:t xml:space="preserve"> of overpressure thresholds </w:t>
            </w:r>
            <w:r w:rsidR="00613C80">
              <w:rPr>
                <w:rFonts w:cs="Arial"/>
                <w:sz w:val="16"/>
                <w:szCs w:val="16"/>
                <w:lang w:val="en"/>
              </w:rPr>
              <w:t>[</w:t>
            </w:r>
            <w:r w:rsidRPr="0064069C">
              <w:rPr>
                <w:rFonts w:cs="Arial"/>
                <w:sz w:val="16"/>
                <w:szCs w:val="16"/>
                <w:lang w:val="en"/>
              </w:rPr>
              <w:t>bar</w:t>
            </w:r>
            <w:r w:rsidR="00613C80">
              <w:rPr>
                <w:rFonts w:cs="Arial"/>
                <w:sz w:val="16"/>
                <w:szCs w:val="16"/>
                <w:lang w:val="en"/>
              </w:rPr>
              <w:t>]</w:t>
            </w:r>
          </w:p>
        </w:tc>
      </w:tr>
      <w:tr w:rsidR="00736BB5" w:rsidRPr="008D176E" w14:paraId="60C508CC" w14:textId="77777777" w:rsidTr="0084038C">
        <w:trPr>
          <w:tblHeader/>
        </w:trPr>
        <w:tc>
          <w:tcPr>
            <w:tcW w:w="400" w:type="pct"/>
            <w:vMerge/>
            <w:tcBorders>
              <w:top w:val="single" w:sz="6" w:space="0" w:color="008000"/>
              <w:bottom w:val="single" w:sz="12" w:space="0" w:color="008000"/>
            </w:tcBorders>
            <w:shd w:val="clear" w:color="auto" w:fill="auto"/>
            <w:vAlign w:val="center"/>
          </w:tcPr>
          <w:p w14:paraId="7BC2E857" w14:textId="77777777" w:rsidR="00736BB5" w:rsidRPr="008D176E" w:rsidRDefault="00736BB5" w:rsidP="00BC4404">
            <w:pPr>
              <w:pStyle w:val="CETBodytext"/>
              <w:jc w:val="left"/>
              <w:rPr>
                <w:rFonts w:cs="Arial"/>
                <w:sz w:val="16"/>
                <w:szCs w:val="16"/>
                <w:lang w:val="en-GB"/>
              </w:rPr>
            </w:pPr>
          </w:p>
        </w:tc>
        <w:tc>
          <w:tcPr>
            <w:tcW w:w="2082" w:type="pct"/>
            <w:vMerge/>
            <w:tcBorders>
              <w:top w:val="single" w:sz="6" w:space="0" w:color="008000"/>
              <w:bottom w:val="single" w:sz="12" w:space="0" w:color="008000"/>
            </w:tcBorders>
            <w:shd w:val="clear" w:color="auto" w:fill="auto"/>
            <w:vAlign w:val="center"/>
          </w:tcPr>
          <w:p w14:paraId="7F5847FD" w14:textId="77777777" w:rsidR="00736BB5" w:rsidRPr="008D176E" w:rsidRDefault="00736BB5" w:rsidP="00BC4404">
            <w:pPr>
              <w:pStyle w:val="CETBodytext"/>
              <w:jc w:val="left"/>
              <w:rPr>
                <w:rFonts w:cs="Arial"/>
                <w:sz w:val="16"/>
                <w:szCs w:val="16"/>
                <w:lang w:val="en-GB"/>
              </w:rPr>
            </w:pPr>
          </w:p>
        </w:tc>
        <w:tc>
          <w:tcPr>
            <w:tcW w:w="1078" w:type="pct"/>
            <w:vMerge/>
            <w:tcBorders>
              <w:top w:val="single" w:sz="6" w:space="0" w:color="008000"/>
              <w:bottom w:val="single" w:sz="12" w:space="0" w:color="008000"/>
            </w:tcBorders>
            <w:shd w:val="clear" w:color="auto" w:fill="auto"/>
            <w:vAlign w:val="center"/>
          </w:tcPr>
          <w:p w14:paraId="78CEB4CF" w14:textId="77777777" w:rsidR="00736BB5" w:rsidRPr="008D176E" w:rsidRDefault="00736BB5" w:rsidP="00BC4404">
            <w:pPr>
              <w:pStyle w:val="CETBodytext"/>
              <w:jc w:val="left"/>
              <w:rPr>
                <w:rFonts w:cs="Arial"/>
                <w:sz w:val="16"/>
                <w:szCs w:val="16"/>
                <w:lang w:val="en-GB"/>
              </w:rPr>
            </w:pPr>
          </w:p>
        </w:tc>
        <w:tc>
          <w:tcPr>
            <w:tcW w:w="359" w:type="pct"/>
            <w:tcBorders>
              <w:top w:val="single" w:sz="6" w:space="0" w:color="008000"/>
              <w:bottom w:val="single" w:sz="12" w:space="0" w:color="008000"/>
            </w:tcBorders>
            <w:shd w:val="clear" w:color="auto" w:fill="auto"/>
            <w:vAlign w:val="center"/>
          </w:tcPr>
          <w:p w14:paraId="2CFB6BCD" w14:textId="3A680090" w:rsidR="00736BB5" w:rsidRPr="008D176E" w:rsidRDefault="00BD69C5" w:rsidP="0064069C">
            <w:pPr>
              <w:pStyle w:val="CETBodytext"/>
              <w:jc w:val="center"/>
              <w:rPr>
                <w:rFonts w:cs="Arial"/>
                <w:sz w:val="16"/>
                <w:szCs w:val="16"/>
                <w:lang w:val="en-GB"/>
              </w:rPr>
            </w:pPr>
            <w:r w:rsidRPr="008D176E">
              <w:rPr>
                <w:rFonts w:cs="Arial"/>
                <w:b/>
                <w:sz w:val="16"/>
                <w:szCs w:val="16"/>
              </w:rPr>
              <w:t>0</w:t>
            </w:r>
            <w:r w:rsidR="00C97557">
              <w:rPr>
                <w:rFonts w:cs="Arial"/>
                <w:b/>
                <w:sz w:val="16"/>
                <w:szCs w:val="16"/>
              </w:rPr>
              <w:t>.</w:t>
            </w:r>
            <w:r w:rsidRPr="008D176E">
              <w:rPr>
                <w:rFonts w:cs="Arial"/>
                <w:b/>
                <w:sz w:val="16"/>
                <w:szCs w:val="16"/>
              </w:rPr>
              <w:t>3</w:t>
            </w:r>
          </w:p>
        </w:tc>
        <w:tc>
          <w:tcPr>
            <w:tcW w:w="360" w:type="pct"/>
            <w:tcBorders>
              <w:top w:val="single" w:sz="6" w:space="0" w:color="008000"/>
              <w:bottom w:val="single" w:sz="12" w:space="0" w:color="008000"/>
            </w:tcBorders>
            <w:shd w:val="clear" w:color="auto" w:fill="auto"/>
            <w:vAlign w:val="center"/>
          </w:tcPr>
          <w:p w14:paraId="44636207" w14:textId="36710143" w:rsidR="00736BB5" w:rsidRPr="008D176E" w:rsidRDefault="00BD69C5" w:rsidP="0064069C">
            <w:pPr>
              <w:pStyle w:val="CETBodytext"/>
              <w:jc w:val="center"/>
              <w:rPr>
                <w:rFonts w:cs="Arial"/>
                <w:sz w:val="16"/>
                <w:szCs w:val="16"/>
                <w:lang w:val="en-GB"/>
              </w:rPr>
            </w:pPr>
            <w:r w:rsidRPr="008D176E">
              <w:rPr>
                <w:rFonts w:cs="Arial"/>
                <w:b/>
                <w:sz w:val="16"/>
                <w:szCs w:val="16"/>
              </w:rPr>
              <w:t>0</w:t>
            </w:r>
            <w:r w:rsidR="00C97557">
              <w:rPr>
                <w:rFonts w:cs="Arial"/>
                <w:b/>
                <w:sz w:val="16"/>
                <w:szCs w:val="16"/>
              </w:rPr>
              <w:t>.</w:t>
            </w:r>
            <w:r w:rsidRPr="008D176E">
              <w:rPr>
                <w:rFonts w:cs="Arial"/>
                <w:b/>
                <w:sz w:val="16"/>
                <w:szCs w:val="16"/>
              </w:rPr>
              <w:t>14</w:t>
            </w:r>
          </w:p>
        </w:tc>
        <w:tc>
          <w:tcPr>
            <w:tcW w:w="359" w:type="pct"/>
            <w:tcBorders>
              <w:top w:val="single" w:sz="6" w:space="0" w:color="008000"/>
              <w:bottom w:val="single" w:sz="12" w:space="0" w:color="008000"/>
            </w:tcBorders>
            <w:shd w:val="clear" w:color="auto" w:fill="auto"/>
            <w:vAlign w:val="center"/>
          </w:tcPr>
          <w:p w14:paraId="33B4761E" w14:textId="44AD6822" w:rsidR="00736BB5" w:rsidRPr="008D176E" w:rsidRDefault="00BD69C5" w:rsidP="0064069C">
            <w:pPr>
              <w:pStyle w:val="CETBodytext"/>
              <w:jc w:val="center"/>
              <w:rPr>
                <w:rFonts w:cs="Arial"/>
                <w:sz w:val="16"/>
                <w:szCs w:val="16"/>
                <w:lang w:val="en-GB"/>
              </w:rPr>
            </w:pPr>
            <w:r w:rsidRPr="008D176E">
              <w:rPr>
                <w:rFonts w:cs="Arial"/>
                <w:b/>
                <w:sz w:val="16"/>
                <w:szCs w:val="16"/>
              </w:rPr>
              <w:t>0</w:t>
            </w:r>
            <w:r w:rsidR="00C97557">
              <w:rPr>
                <w:rFonts w:cs="Arial"/>
                <w:b/>
                <w:sz w:val="16"/>
                <w:szCs w:val="16"/>
              </w:rPr>
              <w:t>.</w:t>
            </w:r>
            <w:r w:rsidRPr="008D176E">
              <w:rPr>
                <w:rFonts w:cs="Arial"/>
                <w:b/>
                <w:sz w:val="16"/>
                <w:szCs w:val="16"/>
              </w:rPr>
              <w:t>07</w:t>
            </w:r>
          </w:p>
        </w:tc>
        <w:tc>
          <w:tcPr>
            <w:tcW w:w="362" w:type="pct"/>
            <w:tcBorders>
              <w:top w:val="single" w:sz="6" w:space="0" w:color="008000"/>
              <w:bottom w:val="single" w:sz="12" w:space="0" w:color="008000"/>
            </w:tcBorders>
            <w:shd w:val="clear" w:color="auto" w:fill="auto"/>
            <w:vAlign w:val="center"/>
          </w:tcPr>
          <w:p w14:paraId="2D2432FE" w14:textId="2265B324" w:rsidR="00736BB5" w:rsidRPr="008D176E" w:rsidRDefault="00BD69C5" w:rsidP="0064069C">
            <w:pPr>
              <w:pStyle w:val="CETBodytext"/>
              <w:jc w:val="center"/>
              <w:rPr>
                <w:rFonts w:cs="Arial"/>
                <w:sz w:val="16"/>
                <w:szCs w:val="16"/>
                <w:lang w:val="en-GB"/>
              </w:rPr>
            </w:pPr>
            <w:r w:rsidRPr="008D176E">
              <w:rPr>
                <w:rFonts w:cs="Arial"/>
                <w:b/>
                <w:sz w:val="16"/>
                <w:szCs w:val="16"/>
              </w:rPr>
              <w:t>0</w:t>
            </w:r>
            <w:r w:rsidR="00C97557">
              <w:rPr>
                <w:rFonts w:cs="Arial"/>
                <w:b/>
                <w:sz w:val="16"/>
                <w:szCs w:val="16"/>
              </w:rPr>
              <w:t>.</w:t>
            </w:r>
            <w:r w:rsidRPr="008D176E">
              <w:rPr>
                <w:rFonts w:cs="Arial"/>
                <w:b/>
                <w:sz w:val="16"/>
                <w:szCs w:val="16"/>
              </w:rPr>
              <w:t>03</w:t>
            </w:r>
          </w:p>
        </w:tc>
      </w:tr>
      <w:tr w:rsidR="00BD69C5" w:rsidRPr="008D176E" w14:paraId="00BF24EC" w14:textId="77777777" w:rsidTr="0084038C">
        <w:tc>
          <w:tcPr>
            <w:tcW w:w="400" w:type="pct"/>
            <w:tcBorders>
              <w:top w:val="single" w:sz="12" w:space="0" w:color="008000"/>
              <w:bottom w:val="single" w:sz="6" w:space="0" w:color="008000"/>
            </w:tcBorders>
            <w:vAlign w:val="center"/>
          </w:tcPr>
          <w:p w14:paraId="01EF61BD" w14:textId="3923CDD7" w:rsidR="00BD69C5" w:rsidRPr="008D176E" w:rsidRDefault="00BD69C5" w:rsidP="00BC4404">
            <w:pPr>
              <w:pStyle w:val="CETBodytext"/>
              <w:ind w:right="-1"/>
              <w:jc w:val="left"/>
              <w:rPr>
                <w:rFonts w:cs="Arial"/>
                <w:sz w:val="16"/>
                <w:szCs w:val="16"/>
                <w:lang w:val="en-GB"/>
              </w:rPr>
            </w:pPr>
            <w:r w:rsidRPr="008D176E">
              <w:rPr>
                <w:rFonts w:cs="Arial"/>
                <w:sz w:val="16"/>
                <w:szCs w:val="16"/>
              </w:rPr>
              <w:t>I</w:t>
            </w:r>
          </w:p>
        </w:tc>
        <w:tc>
          <w:tcPr>
            <w:tcW w:w="2082" w:type="pct"/>
            <w:tcBorders>
              <w:top w:val="single" w:sz="12" w:space="0" w:color="008000"/>
              <w:bottom w:val="single" w:sz="6" w:space="0" w:color="008000"/>
            </w:tcBorders>
            <w:vAlign w:val="center"/>
          </w:tcPr>
          <w:p w14:paraId="03E669B9" w14:textId="6A61AEF3" w:rsidR="00DD3E93" w:rsidRPr="005F0E0C" w:rsidRDefault="00BD69C5" w:rsidP="00DD3E93">
            <w:pPr>
              <w:tabs>
                <w:tab w:val="left" w:pos="35"/>
              </w:tabs>
              <w:jc w:val="left"/>
              <w:rPr>
                <w:rFonts w:cs="Arial"/>
                <w:sz w:val="16"/>
                <w:szCs w:val="16"/>
              </w:rPr>
            </w:pPr>
            <w:r w:rsidRPr="008D176E">
              <w:rPr>
                <w:rFonts w:cs="Arial"/>
                <w:sz w:val="16"/>
                <w:szCs w:val="16"/>
              </w:rPr>
              <w:t>6R</w:t>
            </w:r>
            <w:r w:rsidR="006567D5">
              <w:rPr>
                <w:rFonts w:cs="Arial"/>
                <w:sz w:val="16"/>
                <w:szCs w:val="16"/>
              </w:rPr>
              <w:t xml:space="preserve"> -</w:t>
            </w:r>
            <w:r w:rsidR="00F11EA1">
              <w:rPr>
                <w:rFonts w:cs="Arial"/>
                <w:sz w:val="16"/>
                <w:szCs w:val="16"/>
              </w:rPr>
              <w:t xml:space="preserve"> </w:t>
            </w:r>
            <w:r w:rsidR="00DD3E93" w:rsidRPr="00DD3E93">
              <w:rPr>
                <w:rFonts w:cs="Arial"/>
                <w:sz w:val="16"/>
                <w:szCs w:val="16"/>
                <w:lang w:val="en"/>
              </w:rPr>
              <w:t xml:space="preserve">FSRU LNG recirculation line during filling from a </w:t>
            </w:r>
            <w:r w:rsidR="009F25A5">
              <w:rPr>
                <w:rFonts w:cs="Arial"/>
                <w:sz w:val="16"/>
                <w:szCs w:val="16"/>
                <w:lang w:val="en"/>
              </w:rPr>
              <w:t>LNG Carrier</w:t>
            </w:r>
          </w:p>
          <w:p w14:paraId="4D9273A8" w14:textId="7B566936" w:rsidR="00BD69C5" w:rsidRPr="00DD3E93" w:rsidRDefault="00DD3E93" w:rsidP="00DD3E93">
            <w:pPr>
              <w:pStyle w:val="CETBodytext"/>
              <w:ind w:right="-1"/>
              <w:rPr>
                <w:rFonts w:cs="Arial"/>
                <w:i/>
                <w:iCs/>
                <w:sz w:val="16"/>
                <w:szCs w:val="16"/>
                <w:lang w:val="it-IT"/>
              </w:rPr>
            </w:pPr>
            <w:r w:rsidRPr="00DD3E93">
              <w:rPr>
                <w:rFonts w:cs="Arial"/>
                <w:i/>
                <w:iCs/>
                <w:sz w:val="16"/>
                <w:szCs w:val="16"/>
                <w:lang w:val="en"/>
              </w:rPr>
              <w:t>Significant L</w:t>
            </w:r>
            <w:r>
              <w:rPr>
                <w:rFonts w:cs="Arial"/>
                <w:i/>
                <w:iCs/>
                <w:sz w:val="16"/>
                <w:szCs w:val="16"/>
                <w:lang w:val="en"/>
              </w:rPr>
              <w:t>eak</w:t>
            </w:r>
            <w:r w:rsidRPr="00DD3E93">
              <w:rPr>
                <w:rFonts w:cs="Arial"/>
                <w:i/>
                <w:iCs/>
                <w:sz w:val="16"/>
                <w:szCs w:val="16"/>
                <w:lang w:val="en"/>
              </w:rPr>
              <w:t xml:space="preserve"> - Release</w:t>
            </w:r>
          </w:p>
        </w:tc>
        <w:tc>
          <w:tcPr>
            <w:tcW w:w="1078" w:type="pct"/>
            <w:tcBorders>
              <w:top w:val="single" w:sz="12" w:space="0" w:color="008000"/>
              <w:bottom w:val="single" w:sz="6" w:space="0" w:color="008000"/>
            </w:tcBorders>
            <w:vAlign w:val="center"/>
          </w:tcPr>
          <w:p w14:paraId="73AE342F" w14:textId="22F624D1" w:rsidR="00BD69C5" w:rsidRPr="00624CE7" w:rsidRDefault="00BD69C5" w:rsidP="00F11EA1">
            <w:pPr>
              <w:pStyle w:val="1Elencopuntato"/>
              <w:numPr>
                <w:ilvl w:val="0"/>
                <w:numId w:val="0"/>
              </w:numPr>
              <w:jc w:val="left"/>
              <w:rPr>
                <w:rFonts w:ascii="Arial" w:hAnsi="Arial" w:cs="Arial"/>
                <w:sz w:val="16"/>
                <w:szCs w:val="16"/>
                <w:lang w:val="en-GB"/>
              </w:rPr>
            </w:pPr>
            <w:r w:rsidRPr="00624CE7">
              <w:rPr>
                <w:rFonts w:ascii="Arial" w:hAnsi="Arial" w:cs="Arial"/>
                <w:sz w:val="16"/>
                <w:szCs w:val="16"/>
                <w:lang w:val="en-GB"/>
              </w:rPr>
              <w:t>UVCE</w:t>
            </w:r>
            <w:r w:rsidR="00F11EA1" w:rsidRPr="00624CE7">
              <w:rPr>
                <w:rFonts w:ascii="Arial" w:hAnsi="Arial" w:cs="Arial"/>
                <w:sz w:val="16"/>
                <w:szCs w:val="16"/>
                <w:lang w:val="en-GB"/>
              </w:rPr>
              <w:t xml:space="preserve"> </w:t>
            </w:r>
            <w:r w:rsidR="0064069C" w:rsidRPr="00624CE7">
              <w:rPr>
                <w:rFonts w:ascii="Arial" w:hAnsi="Arial" w:cs="Arial"/>
                <w:sz w:val="16"/>
                <w:szCs w:val="16"/>
                <w:lang w:val="en-GB"/>
              </w:rPr>
              <w:t>Wind</w:t>
            </w:r>
            <w:r w:rsidRPr="00624CE7">
              <w:rPr>
                <w:rFonts w:ascii="Arial" w:hAnsi="Arial" w:cs="Arial"/>
                <w:sz w:val="16"/>
                <w:szCs w:val="16"/>
                <w:lang w:val="en-GB"/>
              </w:rPr>
              <w:t xml:space="preserve"> 2 m/s Cat. F</w:t>
            </w:r>
          </w:p>
        </w:tc>
        <w:tc>
          <w:tcPr>
            <w:tcW w:w="359" w:type="pct"/>
            <w:tcBorders>
              <w:top w:val="single" w:sz="12" w:space="0" w:color="008000"/>
              <w:bottom w:val="single" w:sz="6" w:space="0" w:color="008000"/>
            </w:tcBorders>
            <w:vAlign w:val="center"/>
          </w:tcPr>
          <w:p w14:paraId="7D14F5A4" w14:textId="1D603E89" w:rsidR="00BD69C5" w:rsidRPr="008D176E" w:rsidRDefault="00BD69C5" w:rsidP="0064069C">
            <w:pPr>
              <w:pStyle w:val="CETBodytext"/>
              <w:ind w:right="-1"/>
              <w:jc w:val="center"/>
              <w:rPr>
                <w:rFonts w:cs="Arial"/>
                <w:sz w:val="16"/>
                <w:szCs w:val="16"/>
                <w:lang w:val="en-GB"/>
              </w:rPr>
            </w:pPr>
            <w:r w:rsidRPr="008D176E">
              <w:rPr>
                <w:rFonts w:cs="Arial"/>
                <w:sz w:val="16"/>
                <w:szCs w:val="16"/>
              </w:rPr>
              <w:t>-</w:t>
            </w:r>
          </w:p>
        </w:tc>
        <w:tc>
          <w:tcPr>
            <w:tcW w:w="360" w:type="pct"/>
            <w:tcBorders>
              <w:top w:val="single" w:sz="12" w:space="0" w:color="008000"/>
              <w:bottom w:val="single" w:sz="6" w:space="0" w:color="008000"/>
            </w:tcBorders>
            <w:vAlign w:val="center"/>
          </w:tcPr>
          <w:p w14:paraId="28209D79" w14:textId="4771E657" w:rsidR="00BD69C5" w:rsidRPr="008D176E" w:rsidRDefault="00BD69C5" w:rsidP="0064069C">
            <w:pPr>
              <w:pStyle w:val="CETBodytext"/>
              <w:ind w:right="-1"/>
              <w:jc w:val="center"/>
              <w:rPr>
                <w:rFonts w:cs="Arial"/>
                <w:sz w:val="16"/>
                <w:szCs w:val="16"/>
                <w:lang w:val="en-GB"/>
              </w:rPr>
            </w:pPr>
            <w:r w:rsidRPr="008D176E">
              <w:rPr>
                <w:rFonts w:cs="Arial"/>
                <w:sz w:val="16"/>
                <w:szCs w:val="16"/>
              </w:rPr>
              <w:t>-</w:t>
            </w:r>
          </w:p>
        </w:tc>
        <w:tc>
          <w:tcPr>
            <w:tcW w:w="359" w:type="pct"/>
            <w:tcBorders>
              <w:top w:val="single" w:sz="12" w:space="0" w:color="008000"/>
              <w:bottom w:val="single" w:sz="6" w:space="0" w:color="008000"/>
            </w:tcBorders>
            <w:vAlign w:val="center"/>
          </w:tcPr>
          <w:p w14:paraId="0645FF68" w14:textId="14AF515F" w:rsidR="00BD69C5" w:rsidRPr="008D176E" w:rsidRDefault="00BD69C5" w:rsidP="0064069C">
            <w:pPr>
              <w:pStyle w:val="CETBodytext"/>
              <w:ind w:right="-1"/>
              <w:jc w:val="center"/>
              <w:rPr>
                <w:rFonts w:cs="Arial"/>
                <w:sz w:val="16"/>
                <w:szCs w:val="16"/>
                <w:lang w:val="en-GB"/>
              </w:rPr>
            </w:pPr>
            <w:r w:rsidRPr="008D176E">
              <w:rPr>
                <w:rFonts w:cs="Arial"/>
                <w:sz w:val="16"/>
                <w:szCs w:val="16"/>
              </w:rPr>
              <w:t>297</w:t>
            </w:r>
          </w:p>
        </w:tc>
        <w:tc>
          <w:tcPr>
            <w:tcW w:w="362" w:type="pct"/>
            <w:tcBorders>
              <w:top w:val="single" w:sz="12" w:space="0" w:color="008000"/>
              <w:bottom w:val="single" w:sz="6" w:space="0" w:color="008000"/>
            </w:tcBorders>
            <w:vAlign w:val="center"/>
          </w:tcPr>
          <w:p w14:paraId="4663E118" w14:textId="1321F6F5" w:rsidR="00BD69C5" w:rsidRPr="008D176E" w:rsidRDefault="00BD69C5" w:rsidP="0064069C">
            <w:pPr>
              <w:pStyle w:val="CETBodytext"/>
              <w:ind w:right="-1"/>
              <w:jc w:val="center"/>
              <w:rPr>
                <w:rFonts w:cs="Arial"/>
                <w:sz w:val="16"/>
                <w:szCs w:val="16"/>
                <w:lang w:val="en-GB"/>
              </w:rPr>
            </w:pPr>
            <w:r w:rsidRPr="008D176E">
              <w:rPr>
                <w:rFonts w:cs="Arial"/>
                <w:sz w:val="16"/>
                <w:szCs w:val="16"/>
              </w:rPr>
              <w:t>346</w:t>
            </w:r>
          </w:p>
        </w:tc>
      </w:tr>
      <w:tr w:rsidR="00BD69C5" w:rsidRPr="008D176E" w14:paraId="624AD620" w14:textId="77777777" w:rsidTr="0084038C">
        <w:tc>
          <w:tcPr>
            <w:tcW w:w="400" w:type="pct"/>
            <w:tcBorders>
              <w:top w:val="single" w:sz="6" w:space="0" w:color="008000"/>
              <w:bottom w:val="single" w:sz="6" w:space="0" w:color="008000"/>
            </w:tcBorders>
            <w:vAlign w:val="center"/>
          </w:tcPr>
          <w:p w14:paraId="3FF824FC" w14:textId="778680C7" w:rsidR="00BD69C5" w:rsidRPr="008D176E" w:rsidRDefault="00BD69C5" w:rsidP="00BC4404">
            <w:pPr>
              <w:pStyle w:val="CETBodytext"/>
              <w:ind w:right="-1"/>
              <w:jc w:val="left"/>
              <w:rPr>
                <w:rFonts w:cs="Arial"/>
                <w:sz w:val="16"/>
                <w:szCs w:val="16"/>
                <w:lang w:val="en-GB"/>
              </w:rPr>
            </w:pPr>
            <w:r w:rsidRPr="008D176E">
              <w:rPr>
                <w:rFonts w:cs="Arial"/>
                <w:sz w:val="16"/>
                <w:szCs w:val="16"/>
              </w:rPr>
              <w:t>II</w:t>
            </w:r>
          </w:p>
        </w:tc>
        <w:tc>
          <w:tcPr>
            <w:tcW w:w="2082" w:type="pct"/>
            <w:tcBorders>
              <w:top w:val="single" w:sz="6" w:space="0" w:color="008000"/>
              <w:bottom w:val="single" w:sz="6" w:space="0" w:color="008000"/>
            </w:tcBorders>
            <w:vAlign w:val="center"/>
          </w:tcPr>
          <w:p w14:paraId="0A1EC55F" w14:textId="6E2F6CD6" w:rsidR="00DD3E93" w:rsidRDefault="00BD69C5" w:rsidP="00DD3E93">
            <w:pPr>
              <w:tabs>
                <w:tab w:val="left" w:pos="35"/>
              </w:tabs>
              <w:jc w:val="left"/>
              <w:rPr>
                <w:rFonts w:cs="Arial"/>
                <w:sz w:val="16"/>
                <w:szCs w:val="16"/>
              </w:rPr>
            </w:pPr>
            <w:r w:rsidRPr="008D176E">
              <w:rPr>
                <w:rFonts w:cs="Arial"/>
                <w:sz w:val="16"/>
                <w:szCs w:val="16"/>
              </w:rPr>
              <w:t>7R</w:t>
            </w:r>
            <w:r w:rsidR="006567D5">
              <w:rPr>
                <w:rFonts w:cs="Arial"/>
                <w:sz w:val="16"/>
                <w:szCs w:val="16"/>
              </w:rPr>
              <w:t xml:space="preserve"> -</w:t>
            </w:r>
            <w:r w:rsidR="00F11EA1">
              <w:rPr>
                <w:rFonts w:cs="Arial"/>
                <w:sz w:val="16"/>
                <w:szCs w:val="16"/>
              </w:rPr>
              <w:t xml:space="preserve"> </w:t>
            </w:r>
            <w:r w:rsidR="00DD3E93" w:rsidRPr="00DD3E93">
              <w:rPr>
                <w:rFonts w:cs="Arial"/>
                <w:sz w:val="16"/>
                <w:szCs w:val="16"/>
              </w:rPr>
              <w:t>LNG Feed pump delivery lines and FSRU main LNG manifold</w:t>
            </w:r>
          </w:p>
          <w:p w14:paraId="1E6D0143" w14:textId="7E38A49C" w:rsidR="00BD69C5" w:rsidRPr="00DD3E93" w:rsidRDefault="00DD3E93" w:rsidP="00DD3E93">
            <w:pPr>
              <w:tabs>
                <w:tab w:val="left" w:pos="35"/>
              </w:tabs>
              <w:jc w:val="left"/>
              <w:rPr>
                <w:rFonts w:cs="Arial"/>
                <w:i/>
                <w:iCs/>
                <w:sz w:val="16"/>
                <w:szCs w:val="16"/>
                <w:lang w:val="it-IT"/>
              </w:rPr>
            </w:pPr>
            <w:r w:rsidRPr="00DD3E93">
              <w:rPr>
                <w:rFonts w:cs="Arial"/>
                <w:i/>
                <w:iCs/>
                <w:sz w:val="16"/>
                <w:szCs w:val="16"/>
                <w:lang w:val="en"/>
              </w:rPr>
              <w:t>Significant Leak - LNG Release</w:t>
            </w:r>
          </w:p>
        </w:tc>
        <w:tc>
          <w:tcPr>
            <w:tcW w:w="1078" w:type="pct"/>
            <w:tcBorders>
              <w:top w:val="single" w:sz="6" w:space="0" w:color="008000"/>
              <w:bottom w:val="single" w:sz="6" w:space="0" w:color="008000"/>
            </w:tcBorders>
            <w:vAlign w:val="center"/>
          </w:tcPr>
          <w:p w14:paraId="7187364C" w14:textId="38D06F00" w:rsidR="00BD69C5" w:rsidRPr="008D176E" w:rsidRDefault="00BD69C5" w:rsidP="00F11EA1">
            <w:pPr>
              <w:pStyle w:val="1Elencopuntato"/>
              <w:numPr>
                <w:ilvl w:val="0"/>
                <w:numId w:val="0"/>
              </w:numPr>
              <w:jc w:val="left"/>
              <w:rPr>
                <w:rFonts w:cs="Arial"/>
                <w:sz w:val="16"/>
                <w:szCs w:val="16"/>
                <w:lang w:val="en-GB"/>
              </w:rPr>
            </w:pPr>
            <w:r w:rsidRPr="008D176E">
              <w:rPr>
                <w:rFonts w:ascii="Arial" w:hAnsi="Arial" w:cs="Arial"/>
                <w:sz w:val="16"/>
                <w:szCs w:val="16"/>
                <w:lang w:val="en-GB"/>
              </w:rPr>
              <w:t>UVCE</w:t>
            </w:r>
            <w:r w:rsidR="00F11EA1">
              <w:rPr>
                <w:rFonts w:ascii="Arial" w:hAnsi="Arial" w:cs="Arial"/>
                <w:sz w:val="16"/>
                <w:szCs w:val="16"/>
                <w:lang w:val="en-GB"/>
              </w:rPr>
              <w:t xml:space="preserve"> </w:t>
            </w:r>
            <w:r w:rsidR="0064069C" w:rsidRPr="00624CE7">
              <w:rPr>
                <w:rFonts w:ascii="Arial" w:hAnsi="Arial" w:cs="Arial"/>
                <w:sz w:val="16"/>
                <w:szCs w:val="16"/>
                <w:lang w:val="en-GB"/>
              </w:rPr>
              <w:t xml:space="preserve">Wind </w:t>
            </w:r>
            <w:r w:rsidRPr="00624CE7">
              <w:rPr>
                <w:rFonts w:ascii="Arial" w:hAnsi="Arial" w:cs="Arial"/>
                <w:sz w:val="16"/>
                <w:szCs w:val="16"/>
                <w:lang w:val="en-GB"/>
              </w:rPr>
              <w:t>2 m/s Cat. F</w:t>
            </w:r>
          </w:p>
        </w:tc>
        <w:tc>
          <w:tcPr>
            <w:tcW w:w="359" w:type="pct"/>
            <w:tcBorders>
              <w:top w:val="single" w:sz="6" w:space="0" w:color="008000"/>
              <w:bottom w:val="single" w:sz="6" w:space="0" w:color="008000"/>
            </w:tcBorders>
            <w:vAlign w:val="center"/>
          </w:tcPr>
          <w:p w14:paraId="6B3B0182" w14:textId="1FFEC40B" w:rsidR="00BD69C5" w:rsidRPr="008D176E" w:rsidRDefault="00BD69C5" w:rsidP="0064069C">
            <w:pPr>
              <w:pStyle w:val="CETBodytext"/>
              <w:ind w:right="-1"/>
              <w:jc w:val="center"/>
              <w:rPr>
                <w:rFonts w:cs="Arial"/>
                <w:sz w:val="16"/>
                <w:szCs w:val="16"/>
                <w:lang w:val="en-GB"/>
              </w:rPr>
            </w:pPr>
            <w:r w:rsidRPr="008D176E">
              <w:rPr>
                <w:rFonts w:cs="Arial"/>
                <w:sz w:val="16"/>
                <w:szCs w:val="16"/>
              </w:rPr>
              <w:t>-</w:t>
            </w:r>
          </w:p>
        </w:tc>
        <w:tc>
          <w:tcPr>
            <w:tcW w:w="360" w:type="pct"/>
            <w:tcBorders>
              <w:top w:val="single" w:sz="6" w:space="0" w:color="008000"/>
              <w:bottom w:val="single" w:sz="6" w:space="0" w:color="008000"/>
            </w:tcBorders>
            <w:vAlign w:val="center"/>
          </w:tcPr>
          <w:p w14:paraId="51B5DAD3" w14:textId="034FA0BC" w:rsidR="00BD69C5" w:rsidRPr="008D176E" w:rsidRDefault="00BD69C5" w:rsidP="0064069C">
            <w:pPr>
              <w:pStyle w:val="CETBodytext"/>
              <w:ind w:right="-1"/>
              <w:jc w:val="center"/>
              <w:rPr>
                <w:rFonts w:cs="Arial"/>
                <w:sz w:val="16"/>
                <w:szCs w:val="16"/>
                <w:lang w:val="en-GB"/>
              </w:rPr>
            </w:pPr>
            <w:r w:rsidRPr="008D176E">
              <w:rPr>
                <w:rFonts w:cs="Arial"/>
                <w:sz w:val="16"/>
                <w:szCs w:val="16"/>
              </w:rPr>
              <w:t>-</w:t>
            </w:r>
          </w:p>
        </w:tc>
        <w:tc>
          <w:tcPr>
            <w:tcW w:w="359" w:type="pct"/>
            <w:tcBorders>
              <w:top w:val="single" w:sz="6" w:space="0" w:color="008000"/>
              <w:bottom w:val="single" w:sz="6" w:space="0" w:color="008000"/>
            </w:tcBorders>
            <w:vAlign w:val="center"/>
          </w:tcPr>
          <w:p w14:paraId="4898C192" w14:textId="4D5D599F" w:rsidR="00BD69C5" w:rsidRPr="008D176E" w:rsidRDefault="00BD69C5" w:rsidP="0064069C">
            <w:pPr>
              <w:pStyle w:val="CETBodytext"/>
              <w:ind w:right="-1"/>
              <w:jc w:val="center"/>
              <w:rPr>
                <w:rFonts w:cs="Arial"/>
                <w:sz w:val="16"/>
                <w:szCs w:val="16"/>
                <w:lang w:val="en-GB"/>
              </w:rPr>
            </w:pPr>
            <w:r w:rsidRPr="008D176E">
              <w:rPr>
                <w:rFonts w:cs="Arial"/>
                <w:sz w:val="16"/>
                <w:szCs w:val="16"/>
              </w:rPr>
              <w:t>365</w:t>
            </w:r>
          </w:p>
        </w:tc>
        <w:tc>
          <w:tcPr>
            <w:tcW w:w="362" w:type="pct"/>
            <w:tcBorders>
              <w:top w:val="single" w:sz="6" w:space="0" w:color="008000"/>
              <w:bottom w:val="single" w:sz="6" w:space="0" w:color="008000"/>
            </w:tcBorders>
            <w:vAlign w:val="center"/>
          </w:tcPr>
          <w:p w14:paraId="2746CD9D" w14:textId="77EB4DB6" w:rsidR="00BD69C5" w:rsidRPr="008D176E" w:rsidRDefault="00BD69C5" w:rsidP="0064069C">
            <w:pPr>
              <w:pStyle w:val="CETBodytext"/>
              <w:ind w:right="-1"/>
              <w:jc w:val="center"/>
              <w:rPr>
                <w:rFonts w:cs="Arial"/>
                <w:sz w:val="16"/>
                <w:szCs w:val="16"/>
                <w:lang w:val="en-GB"/>
              </w:rPr>
            </w:pPr>
            <w:r w:rsidRPr="008D176E">
              <w:rPr>
                <w:rFonts w:cs="Arial"/>
                <w:sz w:val="16"/>
                <w:szCs w:val="16"/>
              </w:rPr>
              <w:t>425</w:t>
            </w:r>
          </w:p>
        </w:tc>
      </w:tr>
      <w:tr w:rsidR="00BD69C5" w:rsidRPr="008D176E" w14:paraId="47B074A9" w14:textId="77777777" w:rsidTr="0084038C">
        <w:tc>
          <w:tcPr>
            <w:tcW w:w="400" w:type="pct"/>
            <w:tcBorders>
              <w:top w:val="single" w:sz="6" w:space="0" w:color="008000"/>
              <w:bottom w:val="single" w:sz="12" w:space="0" w:color="008000"/>
            </w:tcBorders>
            <w:vAlign w:val="center"/>
          </w:tcPr>
          <w:p w14:paraId="6C057E83" w14:textId="43F97282" w:rsidR="00BD69C5" w:rsidRPr="008D176E" w:rsidRDefault="00BD69C5" w:rsidP="00BC4404">
            <w:pPr>
              <w:pStyle w:val="CETBodytext"/>
              <w:ind w:right="-1"/>
              <w:jc w:val="left"/>
              <w:rPr>
                <w:rFonts w:cs="Arial"/>
                <w:sz w:val="16"/>
                <w:szCs w:val="16"/>
                <w:lang w:val="en-GB"/>
              </w:rPr>
            </w:pPr>
            <w:r w:rsidRPr="008D176E">
              <w:rPr>
                <w:rFonts w:cs="Arial"/>
                <w:sz w:val="16"/>
                <w:szCs w:val="16"/>
              </w:rPr>
              <w:t>III</w:t>
            </w:r>
          </w:p>
        </w:tc>
        <w:tc>
          <w:tcPr>
            <w:tcW w:w="2082" w:type="pct"/>
            <w:tcBorders>
              <w:top w:val="single" w:sz="6" w:space="0" w:color="008000"/>
              <w:bottom w:val="single" w:sz="12" w:space="0" w:color="008000"/>
            </w:tcBorders>
            <w:vAlign w:val="center"/>
          </w:tcPr>
          <w:p w14:paraId="5DB21DFE" w14:textId="1E7EF9DD" w:rsidR="00BD69C5" w:rsidRPr="006567D5" w:rsidRDefault="00BD69C5" w:rsidP="00E76DFF">
            <w:pPr>
              <w:tabs>
                <w:tab w:val="left" w:pos="35"/>
              </w:tabs>
              <w:jc w:val="left"/>
              <w:rPr>
                <w:rFonts w:cs="Arial"/>
                <w:i/>
                <w:iCs/>
                <w:sz w:val="16"/>
                <w:szCs w:val="16"/>
                <w:lang w:val="en-US"/>
              </w:rPr>
            </w:pPr>
            <w:r w:rsidRPr="008D176E">
              <w:rPr>
                <w:rFonts w:cs="Arial"/>
                <w:sz w:val="16"/>
                <w:szCs w:val="16"/>
              </w:rPr>
              <w:t>10R</w:t>
            </w:r>
            <w:r w:rsidR="006567D5">
              <w:rPr>
                <w:rFonts w:cs="Arial"/>
                <w:sz w:val="16"/>
                <w:szCs w:val="16"/>
              </w:rPr>
              <w:t xml:space="preserve"> </w:t>
            </w:r>
            <w:r w:rsidRPr="008D176E">
              <w:rPr>
                <w:rFonts w:cs="Arial"/>
                <w:sz w:val="16"/>
                <w:szCs w:val="16"/>
              </w:rPr>
              <w:t>a</w:t>
            </w:r>
            <w:r w:rsidR="006567D5">
              <w:rPr>
                <w:rFonts w:cs="Arial"/>
                <w:sz w:val="16"/>
                <w:szCs w:val="16"/>
              </w:rPr>
              <w:t xml:space="preserve"> -</w:t>
            </w:r>
            <w:r w:rsidR="00E76DFF">
              <w:rPr>
                <w:rFonts w:cs="Arial"/>
                <w:sz w:val="16"/>
                <w:szCs w:val="16"/>
              </w:rPr>
              <w:t xml:space="preserve"> </w:t>
            </w:r>
            <w:r w:rsidR="00DD3E93" w:rsidRPr="00DD3E93">
              <w:rPr>
                <w:rFonts w:cs="Arial"/>
                <w:sz w:val="16"/>
                <w:szCs w:val="16"/>
                <w:lang w:val="en"/>
              </w:rPr>
              <w:t>HP Booster high pressure flexible hoses for discharge from FSRU to onshore pipeline</w:t>
            </w:r>
            <w:r w:rsidR="00E76DFF">
              <w:rPr>
                <w:rFonts w:cs="Arial"/>
                <w:sz w:val="16"/>
                <w:szCs w:val="16"/>
                <w:lang w:val="en"/>
              </w:rPr>
              <w:t xml:space="preserve">. </w:t>
            </w:r>
            <w:r w:rsidR="00DD3E93" w:rsidRPr="00DD3E93">
              <w:rPr>
                <w:rFonts w:cs="Arial"/>
                <w:i/>
                <w:iCs/>
                <w:sz w:val="16"/>
                <w:szCs w:val="16"/>
                <w:lang w:val="en"/>
              </w:rPr>
              <w:t>Significant L</w:t>
            </w:r>
            <w:r w:rsidR="00DD3E93">
              <w:rPr>
                <w:rFonts w:cs="Arial"/>
                <w:i/>
                <w:iCs/>
                <w:sz w:val="16"/>
                <w:szCs w:val="16"/>
                <w:lang w:val="en"/>
              </w:rPr>
              <w:t>eak</w:t>
            </w:r>
            <w:r w:rsidR="00DD3E93" w:rsidRPr="00DD3E93">
              <w:rPr>
                <w:rFonts w:cs="Arial"/>
                <w:i/>
                <w:iCs/>
                <w:sz w:val="16"/>
                <w:szCs w:val="16"/>
                <w:lang w:val="en"/>
              </w:rPr>
              <w:t xml:space="preserve"> - N</w:t>
            </w:r>
            <w:r w:rsidR="0032043F">
              <w:rPr>
                <w:rFonts w:cs="Arial"/>
                <w:i/>
                <w:iCs/>
                <w:sz w:val="16"/>
                <w:szCs w:val="16"/>
                <w:lang w:val="en"/>
              </w:rPr>
              <w:t>G</w:t>
            </w:r>
            <w:r w:rsidR="00DD3E93" w:rsidRPr="00DD3E93">
              <w:rPr>
                <w:rFonts w:cs="Arial"/>
                <w:i/>
                <w:iCs/>
                <w:sz w:val="16"/>
                <w:szCs w:val="16"/>
                <w:lang w:val="en"/>
              </w:rPr>
              <w:t xml:space="preserve"> Release</w:t>
            </w:r>
          </w:p>
        </w:tc>
        <w:tc>
          <w:tcPr>
            <w:tcW w:w="1078" w:type="pct"/>
            <w:tcBorders>
              <w:top w:val="single" w:sz="6" w:space="0" w:color="008000"/>
              <w:bottom w:val="single" w:sz="12" w:space="0" w:color="008000"/>
            </w:tcBorders>
            <w:vAlign w:val="center"/>
          </w:tcPr>
          <w:p w14:paraId="40C7179A" w14:textId="3BB568DE" w:rsidR="00BD69C5" w:rsidRPr="008D176E" w:rsidRDefault="00BD69C5" w:rsidP="00F11EA1">
            <w:pPr>
              <w:pStyle w:val="1Elencopuntato"/>
              <w:numPr>
                <w:ilvl w:val="0"/>
                <w:numId w:val="0"/>
              </w:numPr>
              <w:jc w:val="left"/>
              <w:rPr>
                <w:rFonts w:cs="Arial"/>
                <w:sz w:val="16"/>
                <w:szCs w:val="16"/>
                <w:lang w:val="en-GB"/>
              </w:rPr>
            </w:pPr>
            <w:r w:rsidRPr="008D176E">
              <w:rPr>
                <w:rFonts w:ascii="Arial" w:hAnsi="Arial" w:cs="Arial"/>
                <w:sz w:val="16"/>
                <w:szCs w:val="16"/>
                <w:lang w:val="en-GB"/>
              </w:rPr>
              <w:t>UVCE</w:t>
            </w:r>
            <w:r w:rsidR="00F11EA1">
              <w:rPr>
                <w:rFonts w:ascii="Arial" w:hAnsi="Arial" w:cs="Arial"/>
                <w:sz w:val="16"/>
                <w:szCs w:val="16"/>
                <w:lang w:val="en-GB"/>
              </w:rPr>
              <w:t xml:space="preserve"> </w:t>
            </w:r>
            <w:r w:rsidR="0064069C" w:rsidRPr="00624CE7">
              <w:rPr>
                <w:rFonts w:ascii="Arial" w:hAnsi="Arial" w:cs="Arial"/>
                <w:sz w:val="16"/>
                <w:szCs w:val="16"/>
                <w:lang w:val="en-GB"/>
              </w:rPr>
              <w:t>Wind</w:t>
            </w:r>
            <w:r w:rsidRPr="00624CE7">
              <w:rPr>
                <w:rFonts w:ascii="Arial" w:hAnsi="Arial" w:cs="Arial"/>
                <w:sz w:val="16"/>
                <w:szCs w:val="16"/>
                <w:lang w:val="en-GB"/>
              </w:rPr>
              <w:t xml:space="preserve"> 2 m/s Cat. F</w:t>
            </w:r>
          </w:p>
        </w:tc>
        <w:tc>
          <w:tcPr>
            <w:tcW w:w="359" w:type="pct"/>
            <w:tcBorders>
              <w:top w:val="single" w:sz="6" w:space="0" w:color="008000"/>
              <w:bottom w:val="single" w:sz="12" w:space="0" w:color="008000"/>
            </w:tcBorders>
            <w:vAlign w:val="center"/>
          </w:tcPr>
          <w:p w14:paraId="30E13DFF" w14:textId="7E6A3597" w:rsidR="00BD69C5" w:rsidRPr="008D176E" w:rsidRDefault="00BD69C5" w:rsidP="0064069C">
            <w:pPr>
              <w:pStyle w:val="CETBodytext"/>
              <w:ind w:right="-1"/>
              <w:jc w:val="center"/>
              <w:rPr>
                <w:rFonts w:cs="Arial"/>
                <w:sz w:val="16"/>
                <w:szCs w:val="16"/>
                <w:lang w:val="en-GB"/>
              </w:rPr>
            </w:pPr>
            <w:r w:rsidRPr="008D176E">
              <w:rPr>
                <w:rFonts w:cs="Arial"/>
                <w:sz w:val="16"/>
                <w:szCs w:val="16"/>
              </w:rPr>
              <w:t>-</w:t>
            </w:r>
          </w:p>
        </w:tc>
        <w:tc>
          <w:tcPr>
            <w:tcW w:w="360" w:type="pct"/>
            <w:tcBorders>
              <w:top w:val="single" w:sz="6" w:space="0" w:color="008000"/>
              <w:bottom w:val="single" w:sz="12" w:space="0" w:color="008000"/>
            </w:tcBorders>
            <w:vAlign w:val="center"/>
          </w:tcPr>
          <w:p w14:paraId="4C142B50" w14:textId="744EC382" w:rsidR="00BD69C5" w:rsidRPr="008D176E" w:rsidRDefault="00BD69C5" w:rsidP="0064069C">
            <w:pPr>
              <w:pStyle w:val="CETBodytext"/>
              <w:ind w:right="-1"/>
              <w:jc w:val="center"/>
              <w:rPr>
                <w:rFonts w:cs="Arial"/>
                <w:sz w:val="16"/>
                <w:szCs w:val="16"/>
                <w:lang w:val="en-GB"/>
              </w:rPr>
            </w:pPr>
            <w:r w:rsidRPr="008D176E">
              <w:rPr>
                <w:rFonts w:cs="Arial"/>
                <w:sz w:val="16"/>
                <w:szCs w:val="16"/>
              </w:rPr>
              <w:t>-</w:t>
            </w:r>
          </w:p>
        </w:tc>
        <w:tc>
          <w:tcPr>
            <w:tcW w:w="359" w:type="pct"/>
            <w:tcBorders>
              <w:top w:val="single" w:sz="6" w:space="0" w:color="008000"/>
              <w:bottom w:val="single" w:sz="12" w:space="0" w:color="008000"/>
            </w:tcBorders>
            <w:vAlign w:val="center"/>
          </w:tcPr>
          <w:p w14:paraId="3CCE876F" w14:textId="3953E1D0" w:rsidR="00BD69C5" w:rsidRPr="008D176E" w:rsidRDefault="00BD69C5" w:rsidP="0064069C">
            <w:pPr>
              <w:pStyle w:val="CETBodytext"/>
              <w:ind w:right="-1"/>
              <w:jc w:val="center"/>
              <w:rPr>
                <w:rFonts w:cs="Arial"/>
                <w:sz w:val="16"/>
                <w:szCs w:val="16"/>
                <w:lang w:val="en-GB"/>
              </w:rPr>
            </w:pPr>
            <w:r w:rsidRPr="008D176E">
              <w:rPr>
                <w:rFonts w:cs="Arial"/>
                <w:sz w:val="16"/>
                <w:szCs w:val="16"/>
              </w:rPr>
              <w:t>90</w:t>
            </w:r>
          </w:p>
        </w:tc>
        <w:tc>
          <w:tcPr>
            <w:tcW w:w="362" w:type="pct"/>
            <w:tcBorders>
              <w:top w:val="single" w:sz="6" w:space="0" w:color="008000"/>
              <w:bottom w:val="single" w:sz="12" w:space="0" w:color="008000"/>
            </w:tcBorders>
            <w:vAlign w:val="center"/>
          </w:tcPr>
          <w:p w14:paraId="5A2E9254" w14:textId="5354C9A1" w:rsidR="00BD69C5" w:rsidRPr="008D176E" w:rsidRDefault="00BD69C5" w:rsidP="0064069C">
            <w:pPr>
              <w:pStyle w:val="CETBodytext"/>
              <w:ind w:right="-1"/>
              <w:jc w:val="center"/>
              <w:rPr>
                <w:rFonts w:cs="Arial"/>
                <w:sz w:val="16"/>
                <w:szCs w:val="16"/>
                <w:lang w:val="en-GB"/>
              </w:rPr>
            </w:pPr>
            <w:r w:rsidRPr="008D176E">
              <w:rPr>
                <w:rFonts w:cs="Arial"/>
                <w:sz w:val="16"/>
                <w:szCs w:val="16"/>
              </w:rPr>
              <w:t>104</w:t>
            </w:r>
          </w:p>
        </w:tc>
      </w:tr>
      <w:bookmarkEnd w:id="3"/>
    </w:tbl>
    <w:p w14:paraId="72E7BA8B" w14:textId="77777777" w:rsidR="0028783E" w:rsidRDefault="0028783E" w:rsidP="00600535">
      <w:pPr>
        <w:pStyle w:val="CETBodytext"/>
        <w:rPr>
          <w:lang w:val="en-GB"/>
        </w:rPr>
      </w:pPr>
    </w:p>
    <w:p w14:paraId="7CCEA8EE" w14:textId="619A4D0F" w:rsidR="008D46E5" w:rsidRPr="00713631" w:rsidRDefault="008D46E5" w:rsidP="00DA5161">
      <w:pPr>
        <w:pStyle w:val="CETBodytext"/>
        <w:spacing w:before="120" w:after="80"/>
        <w:rPr>
          <w:i/>
          <w:iCs/>
        </w:rPr>
      </w:pPr>
      <w:bookmarkStart w:id="4" w:name="_Ref182563288"/>
      <w:r w:rsidRPr="00713631">
        <w:rPr>
          <w:i/>
          <w:iCs/>
        </w:rPr>
        <w:t xml:space="preserve">Table </w:t>
      </w:r>
      <w:r w:rsidR="007E47A2" w:rsidRPr="00713631">
        <w:rPr>
          <w:i/>
          <w:iCs/>
        </w:rPr>
        <w:t>4</w:t>
      </w:r>
      <w:r w:rsidRPr="00713631">
        <w:rPr>
          <w:i/>
          <w:iCs/>
        </w:rPr>
        <w:t>: Summary of the major consequences of credible flammable gas (NG) leakage scenarios.</w:t>
      </w:r>
    </w:p>
    <w:tbl>
      <w:tblPr>
        <w:tblW w:w="5000" w:type="pct"/>
        <w:tblBorders>
          <w:top w:val="single" w:sz="12" w:space="0" w:color="008000"/>
          <w:bottom w:val="single" w:sz="12" w:space="0" w:color="008000"/>
        </w:tblBorders>
        <w:tblLayout w:type="fixed"/>
        <w:tblCellMar>
          <w:left w:w="68" w:type="dxa"/>
          <w:right w:w="68" w:type="dxa"/>
        </w:tblCellMar>
        <w:tblLook w:val="00A0" w:firstRow="1" w:lastRow="0" w:firstColumn="1" w:lastColumn="0" w:noHBand="0" w:noVBand="0"/>
      </w:tblPr>
      <w:tblGrid>
        <w:gridCol w:w="709"/>
        <w:gridCol w:w="3969"/>
        <w:gridCol w:w="1559"/>
        <w:gridCol w:w="1274"/>
        <w:gridCol w:w="1276"/>
      </w:tblGrid>
      <w:tr w:rsidR="008D46E5" w:rsidRPr="008D176E" w14:paraId="78B857E9" w14:textId="77777777" w:rsidTr="003F270F">
        <w:trPr>
          <w:tblHeader/>
        </w:trPr>
        <w:tc>
          <w:tcPr>
            <w:tcW w:w="403" w:type="pct"/>
            <w:vMerge w:val="restart"/>
            <w:tcBorders>
              <w:top w:val="single" w:sz="12" w:space="0" w:color="008000"/>
              <w:bottom w:val="single" w:sz="6" w:space="0" w:color="008000"/>
            </w:tcBorders>
            <w:shd w:val="clear" w:color="auto" w:fill="auto"/>
            <w:vAlign w:val="center"/>
          </w:tcPr>
          <w:p w14:paraId="5CC4C134" w14:textId="77777777" w:rsidR="00A35ADE" w:rsidRDefault="008D46E5" w:rsidP="00D3151E">
            <w:pPr>
              <w:pStyle w:val="CETBodytext"/>
              <w:jc w:val="center"/>
              <w:rPr>
                <w:rFonts w:cs="Arial"/>
                <w:b/>
                <w:sz w:val="16"/>
                <w:szCs w:val="16"/>
              </w:rPr>
            </w:pPr>
            <w:r w:rsidRPr="008D176E">
              <w:rPr>
                <w:rFonts w:cs="Arial"/>
                <w:b/>
                <w:sz w:val="16"/>
                <w:szCs w:val="16"/>
              </w:rPr>
              <w:t>Macro</w:t>
            </w:r>
          </w:p>
          <w:p w14:paraId="1F33A58E" w14:textId="585F5821" w:rsidR="008D46E5" w:rsidRPr="008D176E" w:rsidRDefault="008D46E5" w:rsidP="00D3151E">
            <w:pPr>
              <w:pStyle w:val="CETBodytext"/>
              <w:jc w:val="center"/>
              <w:rPr>
                <w:rFonts w:cs="Arial"/>
                <w:sz w:val="16"/>
                <w:szCs w:val="16"/>
                <w:lang w:val="en-GB"/>
              </w:rPr>
            </w:pPr>
            <w:r w:rsidRPr="008D176E">
              <w:rPr>
                <w:rFonts w:cs="Arial"/>
                <w:b/>
                <w:sz w:val="16"/>
                <w:szCs w:val="16"/>
              </w:rPr>
              <w:t>area</w:t>
            </w:r>
          </w:p>
        </w:tc>
        <w:tc>
          <w:tcPr>
            <w:tcW w:w="2258" w:type="pct"/>
            <w:vMerge w:val="restart"/>
            <w:tcBorders>
              <w:top w:val="single" w:sz="12" w:space="0" w:color="008000"/>
              <w:bottom w:val="single" w:sz="6" w:space="0" w:color="008000"/>
            </w:tcBorders>
            <w:shd w:val="clear" w:color="auto" w:fill="auto"/>
            <w:vAlign w:val="center"/>
          </w:tcPr>
          <w:p w14:paraId="1B62EC10" w14:textId="77777777" w:rsidR="008D46E5" w:rsidRPr="008D176E" w:rsidRDefault="008D46E5" w:rsidP="00D3151E">
            <w:pPr>
              <w:pStyle w:val="CETBodytext"/>
              <w:jc w:val="center"/>
              <w:rPr>
                <w:rFonts w:cs="Arial"/>
                <w:sz w:val="16"/>
                <w:szCs w:val="16"/>
                <w:lang w:val="en-GB"/>
              </w:rPr>
            </w:pPr>
            <w:r w:rsidRPr="0064069C">
              <w:rPr>
                <w:rFonts w:cs="Arial"/>
                <w:b/>
                <w:sz w:val="16"/>
                <w:szCs w:val="16"/>
                <w:lang w:val="en"/>
              </w:rPr>
              <w:t>Incidental hypothesis</w:t>
            </w:r>
          </w:p>
        </w:tc>
        <w:tc>
          <w:tcPr>
            <w:tcW w:w="887" w:type="pct"/>
            <w:vMerge w:val="restart"/>
            <w:tcBorders>
              <w:top w:val="single" w:sz="12" w:space="0" w:color="008000"/>
              <w:bottom w:val="single" w:sz="6" w:space="0" w:color="008000"/>
            </w:tcBorders>
            <w:shd w:val="clear" w:color="auto" w:fill="auto"/>
            <w:vAlign w:val="center"/>
          </w:tcPr>
          <w:p w14:paraId="3D06F37C" w14:textId="77777777" w:rsidR="008D46E5" w:rsidRPr="008D176E" w:rsidRDefault="008D46E5" w:rsidP="00D3151E">
            <w:pPr>
              <w:pStyle w:val="CETBodytext"/>
              <w:jc w:val="center"/>
              <w:rPr>
                <w:rFonts w:cs="Arial"/>
                <w:sz w:val="16"/>
                <w:szCs w:val="16"/>
                <w:lang w:val="en-GB"/>
              </w:rPr>
            </w:pPr>
            <w:r w:rsidRPr="008D176E">
              <w:rPr>
                <w:rFonts w:cs="Arial"/>
                <w:b/>
                <w:sz w:val="16"/>
                <w:szCs w:val="16"/>
              </w:rPr>
              <w:t>Consequent scenario</w:t>
            </w:r>
          </w:p>
        </w:tc>
        <w:tc>
          <w:tcPr>
            <w:tcW w:w="1451" w:type="pct"/>
            <w:gridSpan w:val="2"/>
            <w:tcBorders>
              <w:top w:val="single" w:sz="12" w:space="0" w:color="008000"/>
              <w:bottom w:val="single" w:sz="6" w:space="0" w:color="008000"/>
            </w:tcBorders>
            <w:shd w:val="clear" w:color="auto" w:fill="auto"/>
            <w:vAlign w:val="center"/>
          </w:tcPr>
          <w:p w14:paraId="4EB7B570" w14:textId="77777777" w:rsidR="008D46E5" w:rsidRPr="008D176E" w:rsidRDefault="008D46E5" w:rsidP="00D3151E">
            <w:pPr>
              <w:pStyle w:val="CETBodytext"/>
              <w:jc w:val="center"/>
              <w:rPr>
                <w:rFonts w:cs="Arial"/>
                <w:sz w:val="16"/>
                <w:szCs w:val="16"/>
                <w:lang w:val="en-GB"/>
              </w:rPr>
            </w:pPr>
            <w:r w:rsidRPr="008D176E">
              <w:rPr>
                <w:rFonts w:cs="Arial"/>
                <w:b/>
                <w:sz w:val="16"/>
                <w:szCs w:val="16"/>
              </w:rPr>
              <w:t>Dispersion</w:t>
            </w:r>
          </w:p>
        </w:tc>
      </w:tr>
      <w:tr w:rsidR="008D46E5" w:rsidRPr="008D176E" w14:paraId="10E5EFDC" w14:textId="77777777" w:rsidTr="003F270F">
        <w:trPr>
          <w:tblHeader/>
        </w:trPr>
        <w:tc>
          <w:tcPr>
            <w:tcW w:w="403" w:type="pct"/>
            <w:vMerge/>
            <w:tcBorders>
              <w:top w:val="single" w:sz="6" w:space="0" w:color="008000"/>
              <w:bottom w:val="single" w:sz="6" w:space="0" w:color="008000"/>
            </w:tcBorders>
            <w:shd w:val="clear" w:color="auto" w:fill="auto"/>
            <w:vAlign w:val="center"/>
          </w:tcPr>
          <w:p w14:paraId="531177C2" w14:textId="77777777" w:rsidR="008D46E5" w:rsidRPr="008D176E" w:rsidRDefault="008D46E5" w:rsidP="00D3151E">
            <w:pPr>
              <w:pStyle w:val="CETBodytext"/>
              <w:jc w:val="left"/>
              <w:rPr>
                <w:rFonts w:cs="Arial"/>
                <w:sz w:val="16"/>
                <w:szCs w:val="16"/>
                <w:lang w:val="en-GB"/>
              </w:rPr>
            </w:pPr>
          </w:p>
        </w:tc>
        <w:tc>
          <w:tcPr>
            <w:tcW w:w="2258" w:type="pct"/>
            <w:vMerge/>
            <w:tcBorders>
              <w:top w:val="single" w:sz="6" w:space="0" w:color="008000"/>
              <w:bottom w:val="single" w:sz="6" w:space="0" w:color="008000"/>
            </w:tcBorders>
            <w:shd w:val="clear" w:color="auto" w:fill="auto"/>
            <w:vAlign w:val="center"/>
          </w:tcPr>
          <w:p w14:paraId="602C3FE4" w14:textId="77777777" w:rsidR="008D46E5" w:rsidRPr="008D176E" w:rsidRDefault="008D46E5" w:rsidP="00D3151E">
            <w:pPr>
              <w:pStyle w:val="CETBodytext"/>
              <w:jc w:val="left"/>
              <w:rPr>
                <w:rFonts w:cs="Arial"/>
                <w:sz w:val="16"/>
                <w:szCs w:val="16"/>
                <w:lang w:val="en-GB"/>
              </w:rPr>
            </w:pPr>
          </w:p>
        </w:tc>
        <w:tc>
          <w:tcPr>
            <w:tcW w:w="887" w:type="pct"/>
            <w:vMerge/>
            <w:tcBorders>
              <w:top w:val="single" w:sz="6" w:space="0" w:color="008000"/>
              <w:bottom w:val="single" w:sz="6" w:space="0" w:color="008000"/>
            </w:tcBorders>
            <w:shd w:val="clear" w:color="auto" w:fill="auto"/>
            <w:vAlign w:val="center"/>
          </w:tcPr>
          <w:p w14:paraId="1C9BF5AE" w14:textId="77777777" w:rsidR="008D46E5" w:rsidRPr="008D176E" w:rsidRDefault="008D46E5" w:rsidP="00D3151E">
            <w:pPr>
              <w:pStyle w:val="CETBodytext"/>
              <w:jc w:val="left"/>
              <w:rPr>
                <w:rFonts w:cs="Arial"/>
                <w:sz w:val="16"/>
                <w:szCs w:val="16"/>
                <w:lang w:val="en-GB"/>
              </w:rPr>
            </w:pPr>
          </w:p>
        </w:tc>
        <w:tc>
          <w:tcPr>
            <w:tcW w:w="1451" w:type="pct"/>
            <w:gridSpan w:val="2"/>
            <w:tcBorders>
              <w:top w:val="single" w:sz="6" w:space="0" w:color="008000"/>
              <w:bottom w:val="single" w:sz="6" w:space="0" w:color="008000"/>
            </w:tcBorders>
            <w:shd w:val="clear" w:color="auto" w:fill="auto"/>
            <w:vAlign w:val="center"/>
          </w:tcPr>
          <w:p w14:paraId="262CE49C" w14:textId="2C460C83" w:rsidR="008D46E5" w:rsidRPr="005F0E0C" w:rsidRDefault="008D46E5" w:rsidP="00D3151E">
            <w:pPr>
              <w:pStyle w:val="CETBodytext"/>
              <w:rPr>
                <w:rFonts w:cs="Arial"/>
                <w:sz w:val="16"/>
                <w:szCs w:val="16"/>
                <w:lang w:val="en-GB"/>
              </w:rPr>
            </w:pPr>
            <w:r w:rsidRPr="00DD3E93">
              <w:rPr>
                <w:rFonts w:cs="Arial"/>
                <w:sz w:val="16"/>
                <w:szCs w:val="16"/>
                <w:lang w:val="en"/>
              </w:rPr>
              <w:t xml:space="preserve">Distance </w:t>
            </w:r>
            <w:r w:rsidR="00613C80">
              <w:rPr>
                <w:rFonts w:cs="Arial"/>
                <w:sz w:val="16"/>
                <w:szCs w:val="16"/>
                <w:lang w:val="en"/>
              </w:rPr>
              <w:t>[</w:t>
            </w:r>
            <w:r w:rsidRPr="00DD3E93">
              <w:rPr>
                <w:rFonts w:cs="Arial"/>
                <w:sz w:val="16"/>
                <w:szCs w:val="16"/>
                <w:lang w:val="en"/>
              </w:rPr>
              <w:t>m</w:t>
            </w:r>
            <w:r w:rsidR="00613C80">
              <w:rPr>
                <w:rFonts w:cs="Arial"/>
                <w:sz w:val="16"/>
                <w:szCs w:val="16"/>
                <w:lang w:val="en"/>
              </w:rPr>
              <w:t>]</w:t>
            </w:r>
            <w:r w:rsidRPr="00DD3E93">
              <w:rPr>
                <w:rFonts w:cs="Arial"/>
                <w:sz w:val="16"/>
                <w:szCs w:val="16"/>
                <w:lang w:val="en"/>
              </w:rPr>
              <w:t xml:space="preserve"> at which the reference thresholds are reached</w:t>
            </w:r>
          </w:p>
          <w:p w14:paraId="234B0AB1" w14:textId="77777777" w:rsidR="008D46E5" w:rsidRPr="008D176E" w:rsidRDefault="008D46E5" w:rsidP="00D3151E">
            <w:pPr>
              <w:pStyle w:val="CETBodytext"/>
              <w:jc w:val="left"/>
              <w:rPr>
                <w:rFonts w:cs="Arial"/>
                <w:sz w:val="16"/>
                <w:szCs w:val="16"/>
                <w:lang w:val="en-GB"/>
              </w:rPr>
            </w:pPr>
          </w:p>
        </w:tc>
      </w:tr>
      <w:tr w:rsidR="008D46E5" w:rsidRPr="008D176E" w14:paraId="30F35813" w14:textId="77777777" w:rsidTr="003F270F">
        <w:trPr>
          <w:tblHeader/>
        </w:trPr>
        <w:tc>
          <w:tcPr>
            <w:tcW w:w="403" w:type="pct"/>
            <w:vMerge/>
            <w:tcBorders>
              <w:top w:val="single" w:sz="6" w:space="0" w:color="008000"/>
              <w:bottom w:val="single" w:sz="12" w:space="0" w:color="008000"/>
            </w:tcBorders>
            <w:shd w:val="clear" w:color="auto" w:fill="auto"/>
            <w:vAlign w:val="center"/>
          </w:tcPr>
          <w:p w14:paraId="602F904E" w14:textId="77777777" w:rsidR="008D46E5" w:rsidRPr="008D176E" w:rsidRDefault="008D46E5" w:rsidP="00D3151E">
            <w:pPr>
              <w:pStyle w:val="CETBodytext"/>
              <w:jc w:val="left"/>
              <w:rPr>
                <w:rFonts w:cs="Arial"/>
                <w:sz w:val="16"/>
                <w:szCs w:val="16"/>
                <w:lang w:val="en-GB"/>
              </w:rPr>
            </w:pPr>
          </w:p>
        </w:tc>
        <w:tc>
          <w:tcPr>
            <w:tcW w:w="2258" w:type="pct"/>
            <w:vMerge/>
            <w:tcBorders>
              <w:top w:val="single" w:sz="6" w:space="0" w:color="008000"/>
              <w:bottom w:val="single" w:sz="12" w:space="0" w:color="008000"/>
            </w:tcBorders>
            <w:shd w:val="clear" w:color="auto" w:fill="auto"/>
            <w:vAlign w:val="center"/>
          </w:tcPr>
          <w:p w14:paraId="1BBFE1D2" w14:textId="77777777" w:rsidR="008D46E5" w:rsidRPr="008D176E" w:rsidRDefault="008D46E5" w:rsidP="00D3151E">
            <w:pPr>
              <w:pStyle w:val="CETBodytext"/>
              <w:jc w:val="left"/>
              <w:rPr>
                <w:rFonts w:cs="Arial"/>
                <w:sz w:val="16"/>
                <w:szCs w:val="16"/>
                <w:lang w:val="en-GB"/>
              </w:rPr>
            </w:pPr>
          </w:p>
        </w:tc>
        <w:tc>
          <w:tcPr>
            <w:tcW w:w="887" w:type="pct"/>
            <w:vMerge/>
            <w:tcBorders>
              <w:top w:val="single" w:sz="6" w:space="0" w:color="008000"/>
              <w:bottom w:val="single" w:sz="12" w:space="0" w:color="008000"/>
            </w:tcBorders>
            <w:shd w:val="clear" w:color="auto" w:fill="auto"/>
            <w:vAlign w:val="center"/>
          </w:tcPr>
          <w:p w14:paraId="2B46F4D4" w14:textId="77777777" w:rsidR="008D46E5" w:rsidRPr="008D176E" w:rsidRDefault="008D46E5" w:rsidP="00D3151E">
            <w:pPr>
              <w:pStyle w:val="CETBodytext"/>
              <w:jc w:val="left"/>
              <w:rPr>
                <w:rFonts w:cs="Arial"/>
                <w:sz w:val="16"/>
                <w:szCs w:val="16"/>
                <w:lang w:val="en-GB"/>
              </w:rPr>
            </w:pPr>
          </w:p>
        </w:tc>
        <w:tc>
          <w:tcPr>
            <w:tcW w:w="725" w:type="pct"/>
            <w:tcBorders>
              <w:top w:val="single" w:sz="6" w:space="0" w:color="008000"/>
              <w:bottom w:val="single" w:sz="12" w:space="0" w:color="008000"/>
            </w:tcBorders>
            <w:shd w:val="clear" w:color="auto" w:fill="auto"/>
            <w:vAlign w:val="center"/>
          </w:tcPr>
          <w:p w14:paraId="5C2B440D" w14:textId="77777777" w:rsidR="008D46E5" w:rsidRPr="008D176E" w:rsidRDefault="008D46E5" w:rsidP="00D3151E">
            <w:pPr>
              <w:pStyle w:val="CETBodytext"/>
              <w:jc w:val="center"/>
              <w:rPr>
                <w:rFonts w:cs="Arial"/>
                <w:sz w:val="16"/>
                <w:szCs w:val="16"/>
                <w:lang w:val="en-GB"/>
              </w:rPr>
            </w:pPr>
            <w:r w:rsidRPr="008D176E">
              <w:rPr>
                <w:rFonts w:cs="Arial"/>
                <w:b/>
                <w:sz w:val="16"/>
                <w:szCs w:val="16"/>
              </w:rPr>
              <w:t>LFL</w:t>
            </w:r>
          </w:p>
        </w:tc>
        <w:tc>
          <w:tcPr>
            <w:tcW w:w="726" w:type="pct"/>
            <w:tcBorders>
              <w:top w:val="single" w:sz="6" w:space="0" w:color="008000"/>
              <w:bottom w:val="single" w:sz="12" w:space="0" w:color="008000"/>
            </w:tcBorders>
            <w:shd w:val="clear" w:color="auto" w:fill="auto"/>
            <w:vAlign w:val="center"/>
          </w:tcPr>
          <w:p w14:paraId="02DE9B2A" w14:textId="77777777" w:rsidR="008D46E5" w:rsidRPr="008D176E" w:rsidRDefault="008D46E5" w:rsidP="00D3151E">
            <w:pPr>
              <w:pStyle w:val="CETBodytext"/>
              <w:jc w:val="center"/>
              <w:rPr>
                <w:rFonts w:cs="Arial"/>
                <w:sz w:val="16"/>
                <w:szCs w:val="16"/>
                <w:lang w:val="en-GB"/>
              </w:rPr>
            </w:pPr>
            <w:r w:rsidRPr="008D176E">
              <w:rPr>
                <w:rFonts w:cs="Arial"/>
                <w:b/>
                <w:sz w:val="16"/>
                <w:szCs w:val="16"/>
              </w:rPr>
              <w:t>½ LFL</w:t>
            </w:r>
          </w:p>
        </w:tc>
      </w:tr>
      <w:tr w:rsidR="008D46E5" w:rsidRPr="008D176E" w14:paraId="351C1515" w14:textId="77777777" w:rsidTr="003F270F">
        <w:tc>
          <w:tcPr>
            <w:tcW w:w="403" w:type="pct"/>
            <w:tcBorders>
              <w:top w:val="single" w:sz="12" w:space="0" w:color="008000"/>
              <w:bottom w:val="single" w:sz="6" w:space="0" w:color="008000"/>
            </w:tcBorders>
            <w:vAlign w:val="center"/>
          </w:tcPr>
          <w:p w14:paraId="0286A521"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I</w:t>
            </w:r>
          </w:p>
        </w:tc>
        <w:tc>
          <w:tcPr>
            <w:tcW w:w="2258" w:type="pct"/>
            <w:tcBorders>
              <w:top w:val="single" w:sz="12" w:space="0" w:color="008000"/>
              <w:bottom w:val="single" w:sz="6" w:space="0" w:color="008000"/>
            </w:tcBorders>
            <w:vAlign w:val="center"/>
          </w:tcPr>
          <w:p w14:paraId="0C32548E" w14:textId="4FC07D85" w:rsidR="008D46E5" w:rsidRPr="00DA5161" w:rsidRDefault="008D46E5" w:rsidP="00DA5161">
            <w:pPr>
              <w:tabs>
                <w:tab w:val="left" w:pos="35"/>
              </w:tabs>
              <w:jc w:val="left"/>
              <w:rPr>
                <w:rFonts w:cs="Arial"/>
                <w:i/>
                <w:iCs/>
                <w:sz w:val="16"/>
                <w:szCs w:val="16"/>
                <w:lang w:val="en-US"/>
              </w:rPr>
            </w:pPr>
            <w:r w:rsidRPr="008D176E">
              <w:rPr>
                <w:rFonts w:cs="Arial"/>
                <w:sz w:val="16"/>
                <w:szCs w:val="16"/>
              </w:rPr>
              <w:t xml:space="preserve">3R </w:t>
            </w:r>
            <w:r>
              <w:rPr>
                <w:rFonts w:cs="Arial"/>
                <w:sz w:val="16"/>
                <w:szCs w:val="16"/>
              </w:rPr>
              <w:t xml:space="preserve">- </w:t>
            </w:r>
            <w:r w:rsidRPr="00DD3E93">
              <w:rPr>
                <w:rFonts w:cs="Arial"/>
                <w:sz w:val="16"/>
                <w:szCs w:val="16"/>
                <w:lang w:val="en"/>
              </w:rPr>
              <w:t>FSRU filling LNG manifold downstream the hoses</w:t>
            </w:r>
            <w:r w:rsidR="00DA5161">
              <w:rPr>
                <w:rFonts w:cs="Arial"/>
                <w:sz w:val="16"/>
                <w:szCs w:val="16"/>
                <w:lang w:val="en"/>
              </w:rPr>
              <w:t xml:space="preserve">. - </w:t>
            </w:r>
            <w:r w:rsidRPr="00DD3E93">
              <w:rPr>
                <w:rFonts w:cs="Arial"/>
                <w:i/>
                <w:iCs/>
                <w:sz w:val="16"/>
                <w:szCs w:val="16"/>
                <w:lang w:val="en"/>
              </w:rPr>
              <w:t>Significant Leak - LNG Release</w:t>
            </w:r>
          </w:p>
        </w:tc>
        <w:tc>
          <w:tcPr>
            <w:tcW w:w="887" w:type="pct"/>
            <w:tcBorders>
              <w:top w:val="single" w:sz="12" w:space="0" w:color="008000"/>
              <w:bottom w:val="single" w:sz="6" w:space="0" w:color="008000"/>
            </w:tcBorders>
            <w:vAlign w:val="center"/>
          </w:tcPr>
          <w:p w14:paraId="01E2958A" w14:textId="77777777" w:rsidR="008D46E5" w:rsidRPr="008D176E" w:rsidRDefault="008D46E5" w:rsidP="00D3151E">
            <w:pPr>
              <w:pStyle w:val="1Elencopuntato"/>
              <w:numPr>
                <w:ilvl w:val="0"/>
                <w:numId w:val="0"/>
              </w:numPr>
              <w:jc w:val="left"/>
              <w:rPr>
                <w:rFonts w:ascii="Arial" w:hAnsi="Arial" w:cs="Arial"/>
                <w:sz w:val="16"/>
                <w:szCs w:val="16"/>
                <w:lang w:val="en-GB"/>
              </w:rPr>
            </w:pPr>
            <w:r w:rsidRPr="008D176E">
              <w:rPr>
                <w:rFonts w:ascii="Arial" w:hAnsi="Arial" w:cs="Arial"/>
                <w:sz w:val="16"/>
                <w:szCs w:val="16"/>
                <w:lang w:val="en-GB"/>
              </w:rPr>
              <w:t xml:space="preserve">Flash fire </w:t>
            </w:r>
          </w:p>
          <w:p w14:paraId="6C8F85B2" w14:textId="77777777" w:rsidR="008D46E5" w:rsidRPr="008D176E" w:rsidRDefault="008D46E5" w:rsidP="00D3151E">
            <w:pPr>
              <w:pStyle w:val="CETBodytext"/>
              <w:ind w:right="-1"/>
              <w:jc w:val="left"/>
              <w:rPr>
                <w:rFonts w:cs="Arial"/>
                <w:sz w:val="16"/>
                <w:szCs w:val="16"/>
                <w:lang w:val="en-GB"/>
              </w:rPr>
            </w:pPr>
            <w:r>
              <w:rPr>
                <w:rFonts w:cs="Arial"/>
                <w:sz w:val="16"/>
                <w:szCs w:val="16"/>
                <w:lang w:val="en-GB"/>
              </w:rPr>
              <w:t>Wind</w:t>
            </w:r>
            <w:r w:rsidRPr="008D176E">
              <w:rPr>
                <w:rFonts w:cs="Arial"/>
                <w:sz w:val="16"/>
                <w:szCs w:val="16"/>
                <w:lang w:val="en-GB"/>
              </w:rPr>
              <w:t xml:space="preserve"> 2 m/s Cat. F</w:t>
            </w:r>
          </w:p>
        </w:tc>
        <w:tc>
          <w:tcPr>
            <w:tcW w:w="725" w:type="pct"/>
            <w:tcBorders>
              <w:top w:val="single" w:sz="12" w:space="0" w:color="008000"/>
              <w:bottom w:val="single" w:sz="6" w:space="0" w:color="008000"/>
            </w:tcBorders>
            <w:vAlign w:val="center"/>
          </w:tcPr>
          <w:p w14:paraId="5908FF03" w14:textId="77777777" w:rsidR="008D46E5" w:rsidRPr="008D176E" w:rsidRDefault="008D46E5" w:rsidP="00D3151E">
            <w:pPr>
              <w:pStyle w:val="CETBodytext"/>
              <w:ind w:right="-1"/>
              <w:jc w:val="center"/>
              <w:rPr>
                <w:rFonts w:cs="Arial"/>
                <w:sz w:val="16"/>
                <w:szCs w:val="16"/>
                <w:lang w:val="en-GB"/>
              </w:rPr>
            </w:pPr>
            <w:r w:rsidRPr="008D176E">
              <w:rPr>
                <w:rFonts w:cs="Arial"/>
                <w:sz w:val="16"/>
                <w:szCs w:val="16"/>
              </w:rPr>
              <w:t>182</w:t>
            </w:r>
          </w:p>
        </w:tc>
        <w:tc>
          <w:tcPr>
            <w:tcW w:w="726" w:type="pct"/>
            <w:tcBorders>
              <w:top w:val="single" w:sz="12" w:space="0" w:color="008000"/>
              <w:bottom w:val="single" w:sz="6" w:space="0" w:color="008000"/>
            </w:tcBorders>
            <w:vAlign w:val="center"/>
          </w:tcPr>
          <w:p w14:paraId="492BEC7B" w14:textId="77777777" w:rsidR="008D46E5" w:rsidRPr="008D176E" w:rsidRDefault="008D46E5" w:rsidP="00D3151E">
            <w:pPr>
              <w:pStyle w:val="CETBodytext"/>
              <w:ind w:right="-1"/>
              <w:jc w:val="center"/>
              <w:rPr>
                <w:rFonts w:cs="Arial"/>
                <w:sz w:val="16"/>
                <w:szCs w:val="16"/>
                <w:lang w:val="en-GB"/>
              </w:rPr>
            </w:pPr>
            <w:r w:rsidRPr="008D176E">
              <w:rPr>
                <w:rFonts w:cs="Arial"/>
                <w:sz w:val="16"/>
                <w:szCs w:val="16"/>
              </w:rPr>
              <w:t>398</w:t>
            </w:r>
          </w:p>
        </w:tc>
      </w:tr>
      <w:tr w:rsidR="008D46E5" w:rsidRPr="008D176E" w14:paraId="4D430E05" w14:textId="77777777" w:rsidTr="003F270F">
        <w:tc>
          <w:tcPr>
            <w:tcW w:w="403" w:type="pct"/>
            <w:tcBorders>
              <w:top w:val="single" w:sz="6" w:space="0" w:color="008000"/>
              <w:bottom w:val="single" w:sz="6" w:space="0" w:color="008000"/>
            </w:tcBorders>
            <w:vAlign w:val="center"/>
          </w:tcPr>
          <w:p w14:paraId="11619DC6"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II</w:t>
            </w:r>
          </w:p>
        </w:tc>
        <w:tc>
          <w:tcPr>
            <w:tcW w:w="2258" w:type="pct"/>
            <w:tcBorders>
              <w:top w:val="single" w:sz="6" w:space="0" w:color="008000"/>
              <w:bottom w:val="single" w:sz="6" w:space="0" w:color="008000"/>
            </w:tcBorders>
            <w:vAlign w:val="center"/>
          </w:tcPr>
          <w:p w14:paraId="1E953F08" w14:textId="13A3B54D" w:rsidR="008D46E5" w:rsidRPr="00DA5161" w:rsidRDefault="008D46E5" w:rsidP="00DA5161">
            <w:pPr>
              <w:tabs>
                <w:tab w:val="left" w:pos="35"/>
              </w:tabs>
              <w:jc w:val="left"/>
              <w:rPr>
                <w:rFonts w:cs="Arial"/>
                <w:i/>
                <w:iCs/>
                <w:sz w:val="16"/>
                <w:szCs w:val="16"/>
                <w:lang w:val="en-US"/>
              </w:rPr>
            </w:pPr>
            <w:r w:rsidRPr="008D176E">
              <w:rPr>
                <w:rFonts w:cs="Arial"/>
                <w:sz w:val="16"/>
                <w:szCs w:val="16"/>
              </w:rPr>
              <w:t>7R</w:t>
            </w:r>
            <w:r>
              <w:rPr>
                <w:rFonts w:cs="Arial"/>
                <w:sz w:val="16"/>
                <w:szCs w:val="16"/>
              </w:rPr>
              <w:t xml:space="preserve"> - </w:t>
            </w:r>
            <w:r w:rsidRPr="00DD3E93">
              <w:rPr>
                <w:rFonts w:cs="Arial"/>
                <w:sz w:val="16"/>
                <w:szCs w:val="16"/>
              </w:rPr>
              <w:t>LNG Feed pump delivery lines and FSRU main LNG manifold</w:t>
            </w:r>
            <w:r w:rsidR="00DA5161">
              <w:rPr>
                <w:rFonts w:cs="Arial"/>
                <w:sz w:val="16"/>
                <w:szCs w:val="16"/>
              </w:rPr>
              <w:t xml:space="preserve">. - </w:t>
            </w:r>
            <w:r w:rsidRPr="00DD3E93">
              <w:rPr>
                <w:rFonts w:cs="Arial"/>
                <w:i/>
                <w:iCs/>
                <w:sz w:val="16"/>
                <w:szCs w:val="16"/>
                <w:lang w:val="en"/>
              </w:rPr>
              <w:t>Significant Leak - LNG Release</w:t>
            </w:r>
          </w:p>
        </w:tc>
        <w:tc>
          <w:tcPr>
            <w:tcW w:w="887" w:type="pct"/>
            <w:tcBorders>
              <w:top w:val="single" w:sz="6" w:space="0" w:color="008000"/>
              <w:bottom w:val="single" w:sz="6" w:space="0" w:color="008000"/>
            </w:tcBorders>
            <w:vAlign w:val="center"/>
          </w:tcPr>
          <w:p w14:paraId="5E9FD6A5" w14:textId="77777777" w:rsidR="008D46E5" w:rsidRPr="008D176E" w:rsidRDefault="008D46E5" w:rsidP="00D3151E">
            <w:pPr>
              <w:pStyle w:val="1Elencopuntato"/>
              <w:numPr>
                <w:ilvl w:val="0"/>
                <w:numId w:val="0"/>
              </w:numPr>
              <w:jc w:val="left"/>
              <w:rPr>
                <w:rFonts w:ascii="Arial" w:hAnsi="Arial" w:cs="Arial"/>
                <w:sz w:val="16"/>
                <w:szCs w:val="16"/>
                <w:lang w:val="en-GB"/>
              </w:rPr>
            </w:pPr>
            <w:r w:rsidRPr="008D176E">
              <w:rPr>
                <w:rFonts w:ascii="Arial" w:hAnsi="Arial" w:cs="Arial"/>
                <w:sz w:val="16"/>
                <w:szCs w:val="16"/>
                <w:lang w:val="en-GB"/>
              </w:rPr>
              <w:t xml:space="preserve">Flash fire </w:t>
            </w:r>
          </w:p>
          <w:p w14:paraId="34FA4F62" w14:textId="77777777" w:rsidR="008D46E5" w:rsidRPr="008D176E" w:rsidRDefault="008D46E5" w:rsidP="00D3151E">
            <w:pPr>
              <w:pStyle w:val="CETBodytext"/>
              <w:ind w:right="-1"/>
              <w:jc w:val="left"/>
              <w:rPr>
                <w:rFonts w:cs="Arial"/>
                <w:sz w:val="16"/>
                <w:szCs w:val="16"/>
                <w:lang w:val="en-GB"/>
              </w:rPr>
            </w:pPr>
            <w:r>
              <w:rPr>
                <w:rFonts w:cs="Arial"/>
                <w:sz w:val="16"/>
                <w:szCs w:val="16"/>
                <w:lang w:val="en-GB"/>
              </w:rPr>
              <w:t>Wind</w:t>
            </w:r>
            <w:r w:rsidRPr="008D176E">
              <w:rPr>
                <w:rFonts w:cs="Arial"/>
                <w:sz w:val="16"/>
                <w:szCs w:val="16"/>
                <w:lang w:val="en-GB"/>
              </w:rPr>
              <w:t xml:space="preserve"> 2 m/s Cat. F</w:t>
            </w:r>
          </w:p>
        </w:tc>
        <w:tc>
          <w:tcPr>
            <w:tcW w:w="725" w:type="pct"/>
            <w:tcBorders>
              <w:top w:val="single" w:sz="6" w:space="0" w:color="008000"/>
              <w:bottom w:val="single" w:sz="6" w:space="0" w:color="008000"/>
            </w:tcBorders>
            <w:vAlign w:val="center"/>
          </w:tcPr>
          <w:p w14:paraId="01C43B78" w14:textId="77777777" w:rsidR="008D46E5" w:rsidRPr="008D176E" w:rsidRDefault="008D46E5" w:rsidP="00D3151E">
            <w:pPr>
              <w:pStyle w:val="CETBodytext"/>
              <w:ind w:right="-1"/>
              <w:jc w:val="center"/>
              <w:rPr>
                <w:rFonts w:cs="Arial"/>
                <w:sz w:val="16"/>
                <w:szCs w:val="16"/>
                <w:lang w:val="en-GB"/>
              </w:rPr>
            </w:pPr>
            <w:r w:rsidRPr="008D176E">
              <w:rPr>
                <w:rFonts w:cs="Arial"/>
                <w:sz w:val="16"/>
                <w:szCs w:val="16"/>
              </w:rPr>
              <w:t>188</w:t>
            </w:r>
          </w:p>
        </w:tc>
        <w:tc>
          <w:tcPr>
            <w:tcW w:w="726" w:type="pct"/>
            <w:tcBorders>
              <w:top w:val="single" w:sz="6" w:space="0" w:color="008000"/>
              <w:bottom w:val="single" w:sz="6" w:space="0" w:color="008000"/>
            </w:tcBorders>
            <w:vAlign w:val="center"/>
          </w:tcPr>
          <w:p w14:paraId="602A2E67" w14:textId="77777777" w:rsidR="008D46E5" w:rsidRPr="008D176E" w:rsidRDefault="008D46E5" w:rsidP="00D3151E">
            <w:pPr>
              <w:pStyle w:val="CETBodytext"/>
              <w:ind w:right="-1"/>
              <w:jc w:val="center"/>
              <w:rPr>
                <w:rFonts w:cs="Arial"/>
                <w:sz w:val="16"/>
                <w:szCs w:val="16"/>
                <w:lang w:val="en-GB"/>
              </w:rPr>
            </w:pPr>
            <w:r w:rsidRPr="008D176E">
              <w:rPr>
                <w:rFonts w:cs="Arial"/>
                <w:sz w:val="16"/>
                <w:szCs w:val="16"/>
              </w:rPr>
              <w:t>323</w:t>
            </w:r>
          </w:p>
        </w:tc>
      </w:tr>
      <w:tr w:rsidR="008D46E5" w:rsidRPr="008D176E" w14:paraId="7D5B0397" w14:textId="77777777" w:rsidTr="003F270F">
        <w:tc>
          <w:tcPr>
            <w:tcW w:w="403" w:type="pct"/>
            <w:tcBorders>
              <w:top w:val="single" w:sz="6" w:space="0" w:color="008000"/>
              <w:bottom w:val="single" w:sz="6" w:space="0" w:color="008000"/>
            </w:tcBorders>
            <w:vAlign w:val="center"/>
          </w:tcPr>
          <w:p w14:paraId="207DB62D"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III</w:t>
            </w:r>
          </w:p>
        </w:tc>
        <w:tc>
          <w:tcPr>
            <w:tcW w:w="2258" w:type="pct"/>
            <w:tcBorders>
              <w:top w:val="single" w:sz="6" w:space="0" w:color="008000"/>
              <w:bottom w:val="single" w:sz="6" w:space="0" w:color="008000"/>
            </w:tcBorders>
            <w:vAlign w:val="center"/>
          </w:tcPr>
          <w:p w14:paraId="73787C44" w14:textId="41496B0B" w:rsidR="008D46E5" w:rsidRPr="008D176E" w:rsidRDefault="008D46E5" w:rsidP="00DA5161">
            <w:pPr>
              <w:tabs>
                <w:tab w:val="left" w:pos="35"/>
              </w:tabs>
              <w:jc w:val="left"/>
              <w:rPr>
                <w:rFonts w:cs="Arial"/>
                <w:sz w:val="16"/>
                <w:szCs w:val="16"/>
              </w:rPr>
            </w:pPr>
            <w:r w:rsidRPr="008D176E">
              <w:rPr>
                <w:rFonts w:cs="Arial"/>
                <w:sz w:val="16"/>
                <w:szCs w:val="16"/>
              </w:rPr>
              <w:t>10R c</w:t>
            </w:r>
            <w:r>
              <w:rPr>
                <w:rFonts w:cs="Arial"/>
                <w:sz w:val="16"/>
                <w:szCs w:val="16"/>
              </w:rPr>
              <w:t xml:space="preserve"> - </w:t>
            </w:r>
            <w:r w:rsidRPr="00DD3E93">
              <w:rPr>
                <w:rFonts w:cs="Arial"/>
                <w:sz w:val="16"/>
                <w:szCs w:val="16"/>
              </w:rPr>
              <w:t>High pressure discharge flexible hoses from FSRU to onshore pipeline</w:t>
            </w:r>
            <w:r w:rsidR="00DA5161">
              <w:rPr>
                <w:rFonts w:cs="Arial"/>
                <w:sz w:val="16"/>
                <w:szCs w:val="16"/>
              </w:rPr>
              <w:t xml:space="preserve">. - </w:t>
            </w:r>
            <w:r>
              <w:rPr>
                <w:rFonts w:cs="Arial"/>
                <w:i/>
                <w:iCs/>
                <w:sz w:val="16"/>
                <w:szCs w:val="16"/>
                <w:lang w:val="en"/>
              </w:rPr>
              <w:t>Full Bore</w:t>
            </w:r>
            <w:r w:rsidRPr="0064069C">
              <w:rPr>
                <w:rFonts w:cs="Arial"/>
                <w:i/>
                <w:iCs/>
                <w:sz w:val="16"/>
                <w:szCs w:val="16"/>
                <w:lang w:val="en"/>
              </w:rPr>
              <w:t xml:space="preserve"> </w:t>
            </w:r>
            <w:r w:rsidR="00074DEE">
              <w:rPr>
                <w:rFonts w:cs="Arial"/>
                <w:i/>
                <w:iCs/>
                <w:sz w:val="16"/>
                <w:szCs w:val="16"/>
                <w:lang w:val="en"/>
              </w:rPr>
              <w:t>–</w:t>
            </w:r>
            <w:r w:rsidRPr="0064069C">
              <w:rPr>
                <w:rFonts w:cs="Arial"/>
                <w:i/>
                <w:iCs/>
                <w:sz w:val="16"/>
                <w:szCs w:val="16"/>
                <w:lang w:val="en"/>
              </w:rPr>
              <w:t xml:space="preserve"> </w:t>
            </w:r>
            <w:r w:rsidR="00074DEE">
              <w:rPr>
                <w:rFonts w:cs="Arial"/>
                <w:i/>
                <w:iCs/>
                <w:sz w:val="16"/>
                <w:szCs w:val="16"/>
                <w:lang w:val="en"/>
              </w:rPr>
              <w:t xml:space="preserve">NG </w:t>
            </w:r>
            <w:r w:rsidRPr="0064069C">
              <w:rPr>
                <w:rFonts w:cs="Arial"/>
                <w:i/>
                <w:iCs/>
                <w:sz w:val="16"/>
                <w:szCs w:val="16"/>
                <w:lang w:val="en"/>
              </w:rPr>
              <w:t xml:space="preserve">Release </w:t>
            </w:r>
          </w:p>
        </w:tc>
        <w:tc>
          <w:tcPr>
            <w:tcW w:w="887" w:type="pct"/>
            <w:tcBorders>
              <w:top w:val="single" w:sz="6" w:space="0" w:color="008000"/>
              <w:bottom w:val="single" w:sz="6" w:space="0" w:color="008000"/>
            </w:tcBorders>
            <w:vAlign w:val="center"/>
          </w:tcPr>
          <w:p w14:paraId="70442B85" w14:textId="77777777" w:rsidR="008D46E5" w:rsidRPr="008D176E" w:rsidRDefault="008D46E5" w:rsidP="00D3151E">
            <w:pPr>
              <w:pStyle w:val="1Elencopuntato"/>
              <w:numPr>
                <w:ilvl w:val="0"/>
                <w:numId w:val="0"/>
              </w:numPr>
              <w:jc w:val="left"/>
              <w:rPr>
                <w:rFonts w:ascii="Arial" w:hAnsi="Arial" w:cs="Arial"/>
                <w:sz w:val="16"/>
                <w:szCs w:val="16"/>
                <w:lang w:val="en-GB"/>
              </w:rPr>
            </w:pPr>
            <w:r w:rsidRPr="008D176E">
              <w:rPr>
                <w:rFonts w:ascii="Arial" w:hAnsi="Arial" w:cs="Arial"/>
                <w:sz w:val="16"/>
                <w:szCs w:val="16"/>
                <w:lang w:val="en-GB"/>
              </w:rPr>
              <w:t xml:space="preserve">Flash fire </w:t>
            </w:r>
          </w:p>
          <w:p w14:paraId="02468009" w14:textId="6D924C6C" w:rsidR="008D46E5" w:rsidRPr="008D176E" w:rsidRDefault="008D46E5" w:rsidP="00D3151E">
            <w:pPr>
              <w:pStyle w:val="CETBodytext"/>
              <w:ind w:right="-1"/>
              <w:jc w:val="left"/>
              <w:rPr>
                <w:rFonts w:cs="Arial"/>
                <w:sz w:val="16"/>
                <w:szCs w:val="16"/>
                <w:lang w:val="en-GB"/>
              </w:rPr>
            </w:pPr>
            <w:r>
              <w:rPr>
                <w:rFonts w:cs="Arial"/>
                <w:sz w:val="16"/>
                <w:szCs w:val="16"/>
                <w:lang w:val="en-GB"/>
              </w:rPr>
              <w:t>Wind</w:t>
            </w:r>
            <w:r w:rsidRPr="008D176E">
              <w:rPr>
                <w:rFonts w:cs="Arial"/>
                <w:sz w:val="16"/>
                <w:szCs w:val="16"/>
                <w:lang w:val="en-GB"/>
              </w:rPr>
              <w:t xml:space="preserve"> 5 m/s Cat.</w:t>
            </w:r>
            <w:r w:rsidR="003F270F">
              <w:rPr>
                <w:rFonts w:cs="Arial"/>
                <w:sz w:val="16"/>
                <w:szCs w:val="16"/>
                <w:lang w:val="en-GB"/>
              </w:rPr>
              <w:t xml:space="preserve"> </w:t>
            </w:r>
            <w:r w:rsidR="00074DEE">
              <w:rPr>
                <w:rFonts w:cs="Arial"/>
                <w:sz w:val="16"/>
                <w:szCs w:val="16"/>
                <w:lang w:val="en-GB"/>
              </w:rPr>
              <w:t>D</w:t>
            </w:r>
          </w:p>
        </w:tc>
        <w:tc>
          <w:tcPr>
            <w:tcW w:w="725" w:type="pct"/>
            <w:tcBorders>
              <w:top w:val="single" w:sz="6" w:space="0" w:color="008000"/>
              <w:bottom w:val="single" w:sz="6" w:space="0" w:color="008000"/>
            </w:tcBorders>
            <w:vAlign w:val="center"/>
          </w:tcPr>
          <w:p w14:paraId="65AA9057" w14:textId="77777777" w:rsidR="008D46E5" w:rsidRPr="008D176E" w:rsidRDefault="008D46E5" w:rsidP="00D3151E">
            <w:pPr>
              <w:pStyle w:val="CETBodytext"/>
              <w:ind w:right="-1"/>
              <w:jc w:val="center"/>
              <w:rPr>
                <w:rFonts w:cs="Arial"/>
                <w:sz w:val="16"/>
                <w:szCs w:val="16"/>
                <w:lang w:val="en-GB"/>
              </w:rPr>
            </w:pPr>
            <w:r w:rsidRPr="008D176E">
              <w:rPr>
                <w:rFonts w:cs="Arial"/>
                <w:sz w:val="16"/>
                <w:szCs w:val="16"/>
              </w:rPr>
              <w:t>122</w:t>
            </w:r>
          </w:p>
        </w:tc>
        <w:tc>
          <w:tcPr>
            <w:tcW w:w="726" w:type="pct"/>
            <w:tcBorders>
              <w:top w:val="single" w:sz="6" w:space="0" w:color="008000"/>
              <w:bottom w:val="single" w:sz="6" w:space="0" w:color="008000"/>
            </w:tcBorders>
            <w:vAlign w:val="center"/>
          </w:tcPr>
          <w:p w14:paraId="5B7046DA" w14:textId="77777777" w:rsidR="008D46E5" w:rsidRPr="008D176E" w:rsidRDefault="008D46E5" w:rsidP="00D3151E">
            <w:pPr>
              <w:pStyle w:val="CETBodytext"/>
              <w:ind w:right="-1"/>
              <w:jc w:val="center"/>
              <w:rPr>
                <w:rFonts w:cs="Arial"/>
                <w:sz w:val="16"/>
                <w:szCs w:val="16"/>
                <w:lang w:val="en-GB"/>
              </w:rPr>
            </w:pPr>
            <w:r w:rsidRPr="008D176E">
              <w:rPr>
                <w:rFonts w:cs="Arial"/>
                <w:sz w:val="16"/>
                <w:szCs w:val="16"/>
              </w:rPr>
              <w:t>174</w:t>
            </w:r>
          </w:p>
        </w:tc>
      </w:tr>
      <w:tr w:rsidR="008D46E5" w:rsidRPr="008D176E" w14:paraId="0B4810A8" w14:textId="77777777" w:rsidTr="003F270F">
        <w:tc>
          <w:tcPr>
            <w:tcW w:w="403" w:type="pct"/>
            <w:tcBorders>
              <w:top w:val="single" w:sz="6" w:space="0" w:color="008000"/>
              <w:bottom w:val="single" w:sz="12" w:space="0" w:color="008000"/>
            </w:tcBorders>
            <w:vAlign w:val="center"/>
          </w:tcPr>
          <w:p w14:paraId="27A5B55D" w14:textId="77777777" w:rsidR="008D46E5" w:rsidRPr="008D176E" w:rsidRDefault="008D46E5" w:rsidP="00D3151E">
            <w:pPr>
              <w:pStyle w:val="CETBodytext"/>
              <w:ind w:right="-1"/>
              <w:jc w:val="left"/>
              <w:rPr>
                <w:rFonts w:cs="Arial"/>
                <w:sz w:val="16"/>
                <w:szCs w:val="16"/>
                <w:lang w:val="en-GB"/>
              </w:rPr>
            </w:pPr>
            <w:r w:rsidRPr="008D176E">
              <w:rPr>
                <w:rFonts w:cs="Arial"/>
                <w:sz w:val="16"/>
                <w:szCs w:val="16"/>
              </w:rPr>
              <w:t>IV</w:t>
            </w:r>
          </w:p>
        </w:tc>
        <w:tc>
          <w:tcPr>
            <w:tcW w:w="2258" w:type="pct"/>
            <w:tcBorders>
              <w:top w:val="single" w:sz="6" w:space="0" w:color="008000"/>
              <w:bottom w:val="single" w:sz="12" w:space="0" w:color="008000"/>
            </w:tcBorders>
            <w:vAlign w:val="center"/>
          </w:tcPr>
          <w:p w14:paraId="6C221F75" w14:textId="3B6124A1" w:rsidR="008D46E5" w:rsidRPr="005F0E0C" w:rsidRDefault="008D46E5" w:rsidP="00074DEE">
            <w:pPr>
              <w:tabs>
                <w:tab w:val="left" w:pos="35"/>
              </w:tabs>
              <w:jc w:val="left"/>
              <w:rPr>
                <w:rFonts w:cs="Arial"/>
                <w:i/>
                <w:iCs/>
                <w:sz w:val="16"/>
                <w:szCs w:val="16"/>
              </w:rPr>
            </w:pPr>
            <w:r w:rsidRPr="008D176E">
              <w:rPr>
                <w:rFonts w:cs="Arial"/>
                <w:sz w:val="16"/>
                <w:szCs w:val="16"/>
              </w:rPr>
              <w:t>12R a</w:t>
            </w:r>
            <w:r>
              <w:rPr>
                <w:rFonts w:cs="Arial"/>
                <w:sz w:val="16"/>
                <w:szCs w:val="16"/>
              </w:rPr>
              <w:t xml:space="preserve"> - </w:t>
            </w:r>
            <w:r w:rsidRPr="00DD3E93">
              <w:rPr>
                <w:rFonts w:cs="Arial"/>
                <w:sz w:val="16"/>
                <w:szCs w:val="16"/>
              </w:rPr>
              <w:t xml:space="preserve">Flexible LNG loading hoses on LNG </w:t>
            </w:r>
            <w:r>
              <w:rPr>
                <w:rFonts w:cs="Arial"/>
                <w:sz w:val="16"/>
                <w:szCs w:val="16"/>
              </w:rPr>
              <w:t>carrier</w:t>
            </w:r>
            <w:r w:rsidRPr="00DD3E93">
              <w:rPr>
                <w:rFonts w:cs="Arial"/>
                <w:sz w:val="16"/>
                <w:szCs w:val="16"/>
              </w:rPr>
              <w:t xml:space="preserve"> from FSRU</w:t>
            </w:r>
            <w:r w:rsidR="00074DEE">
              <w:rPr>
                <w:rFonts w:cs="Arial"/>
                <w:sz w:val="16"/>
                <w:szCs w:val="16"/>
              </w:rPr>
              <w:t xml:space="preserve">. </w:t>
            </w:r>
            <w:r w:rsidRPr="00DD3E93">
              <w:rPr>
                <w:rFonts w:cs="Arial"/>
                <w:i/>
                <w:iCs/>
                <w:sz w:val="16"/>
                <w:szCs w:val="16"/>
                <w:lang w:val="en"/>
              </w:rPr>
              <w:t>Significant Leak (CFD Modeling Results) - LNG Release</w:t>
            </w:r>
          </w:p>
        </w:tc>
        <w:tc>
          <w:tcPr>
            <w:tcW w:w="887" w:type="pct"/>
            <w:tcBorders>
              <w:top w:val="single" w:sz="6" w:space="0" w:color="008000"/>
              <w:bottom w:val="single" w:sz="12" w:space="0" w:color="008000"/>
            </w:tcBorders>
            <w:vAlign w:val="center"/>
          </w:tcPr>
          <w:p w14:paraId="741DAE7B" w14:textId="77777777" w:rsidR="008D46E5" w:rsidRPr="008D176E" w:rsidRDefault="008D46E5" w:rsidP="00D3151E">
            <w:pPr>
              <w:pStyle w:val="1Elencopuntato"/>
              <w:numPr>
                <w:ilvl w:val="0"/>
                <w:numId w:val="0"/>
              </w:numPr>
              <w:jc w:val="left"/>
              <w:rPr>
                <w:rFonts w:ascii="Arial" w:hAnsi="Arial" w:cs="Arial"/>
                <w:sz w:val="16"/>
                <w:szCs w:val="16"/>
                <w:lang w:val="en-GB"/>
              </w:rPr>
            </w:pPr>
            <w:r w:rsidRPr="008D176E">
              <w:rPr>
                <w:rFonts w:ascii="Arial" w:hAnsi="Arial" w:cs="Arial"/>
                <w:sz w:val="16"/>
                <w:szCs w:val="16"/>
                <w:lang w:val="en-GB"/>
              </w:rPr>
              <w:t xml:space="preserve">Flash fire </w:t>
            </w:r>
          </w:p>
          <w:p w14:paraId="31BBA2F0" w14:textId="77777777" w:rsidR="008D46E5" w:rsidRPr="008D176E" w:rsidRDefault="008D46E5" w:rsidP="00D3151E">
            <w:pPr>
              <w:pStyle w:val="CETBodytext"/>
              <w:ind w:right="-1"/>
              <w:jc w:val="left"/>
              <w:rPr>
                <w:rFonts w:cs="Arial"/>
                <w:sz w:val="16"/>
                <w:szCs w:val="16"/>
                <w:lang w:val="en-GB"/>
              </w:rPr>
            </w:pPr>
            <w:r>
              <w:rPr>
                <w:rFonts w:cs="Arial"/>
                <w:sz w:val="16"/>
                <w:szCs w:val="16"/>
                <w:lang w:val="en-GB"/>
              </w:rPr>
              <w:t>Wind</w:t>
            </w:r>
            <w:r w:rsidRPr="008D176E">
              <w:rPr>
                <w:rFonts w:cs="Arial"/>
                <w:sz w:val="16"/>
                <w:szCs w:val="16"/>
                <w:lang w:val="en-GB"/>
              </w:rPr>
              <w:t xml:space="preserve"> 2 m/s Cat. F</w:t>
            </w:r>
          </w:p>
        </w:tc>
        <w:tc>
          <w:tcPr>
            <w:tcW w:w="725" w:type="pct"/>
            <w:tcBorders>
              <w:top w:val="single" w:sz="6" w:space="0" w:color="008000"/>
              <w:bottom w:val="single" w:sz="12" w:space="0" w:color="008000"/>
            </w:tcBorders>
            <w:vAlign w:val="center"/>
          </w:tcPr>
          <w:p w14:paraId="0666AD94" w14:textId="77777777" w:rsidR="008D46E5" w:rsidRPr="008D176E" w:rsidRDefault="008D46E5" w:rsidP="00D3151E">
            <w:pPr>
              <w:pStyle w:val="CETBodytext"/>
              <w:ind w:right="-1"/>
              <w:jc w:val="center"/>
              <w:rPr>
                <w:rFonts w:cs="Arial"/>
                <w:sz w:val="16"/>
                <w:szCs w:val="16"/>
                <w:lang w:val="en-GB"/>
              </w:rPr>
            </w:pPr>
            <w:r w:rsidRPr="008D176E">
              <w:rPr>
                <w:rFonts w:cs="Arial"/>
                <w:sz w:val="16"/>
                <w:szCs w:val="16"/>
              </w:rPr>
              <w:t>152</w:t>
            </w:r>
          </w:p>
        </w:tc>
        <w:tc>
          <w:tcPr>
            <w:tcW w:w="726" w:type="pct"/>
            <w:tcBorders>
              <w:top w:val="single" w:sz="6" w:space="0" w:color="008000"/>
              <w:bottom w:val="single" w:sz="12" w:space="0" w:color="008000"/>
            </w:tcBorders>
            <w:vAlign w:val="center"/>
          </w:tcPr>
          <w:p w14:paraId="2C1DB8D2" w14:textId="77777777" w:rsidR="008D46E5" w:rsidRPr="008D176E" w:rsidRDefault="008D46E5" w:rsidP="00D3151E">
            <w:pPr>
              <w:pStyle w:val="CETBodytext"/>
              <w:ind w:right="-1"/>
              <w:jc w:val="center"/>
              <w:rPr>
                <w:rFonts w:cs="Arial"/>
                <w:sz w:val="16"/>
                <w:szCs w:val="16"/>
                <w:lang w:val="en-GB"/>
              </w:rPr>
            </w:pPr>
            <w:r w:rsidRPr="008D176E">
              <w:rPr>
                <w:rFonts w:cs="Arial"/>
                <w:sz w:val="16"/>
                <w:szCs w:val="16"/>
              </w:rPr>
              <w:t>157</w:t>
            </w:r>
          </w:p>
        </w:tc>
      </w:tr>
    </w:tbl>
    <w:bookmarkEnd w:id="4"/>
    <w:p w14:paraId="1DAC305E" w14:textId="1984C8E1" w:rsidR="008D46E5" w:rsidRPr="001B0568" w:rsidRDefault="008D46E5" w:rsidP="00074DEE">
      <w:pPr>
        <w:pStyle w:val="CETBodytext"/>
      </w:pPr>
      <w:r w:rsidRPr="00177888">
        <w:rPr>
          <w:iCs/>
        </w:rPr>
        <w:lastRenderedPageBreak/>
        <w:t xml:space="preserve">The model </w:t>
      </w:r>
      <w:r w:rsidR="005B5BEE">
        <w:rPr>
          <w:iCs/>
        </w:rPr>
        <w:t>estimating</w:t>
      </w:r>
      <w:r w:rsidRPr="00177888">
        <w:rPr>
          <w:iCs/>
        </w:rPr>
        <w:t xml:space="preserve"> the probability of collision with penetration is to be considered as a preliminary indicator of a given situation and does not represent with absolute certainty the penetration with consequent leakage. </w:t>
      </w:r>
    </w:p>
    <w:p w14:paraId="4100BD67" w14:textId="58912351" w:rsidR="00B07E98" w:rsidRPr="00B57B36" w:rsidRDefault="007E0308" w:rsidP="00074DEE">
      <w:pPr>
        <w:pStyle w:val="CETTabletitle"/>
      </w:pPr>
      <w:r>
        <w:t xml:space="preserve">Table 5: </w:t>
      </w:r>
      <w:r w:rsidR="00BB1D15">
        <w:t xml:space="preserve">Results </w:t>
      </w:r>
      <w:r w:rsidR="004D67F5" w:rsidRPr="00B07E98">
        <w:t xml:space="preserve">of </w:t>
      </w:r>
      <w:r w:rsidR="00BB1D15">
        <w:t xml:space="preserve">calculated </w:t>
      </w:r>
      <w:r w:rsidR="004D67F5" w:rsidRPr="00B07E98">
        <w:t xml:space="preserve">accident collision frequency </w:t>
      </w:r>
      <w:r w:rsidR="00BB1D15">
        <w:t>in the given port</w:t>
      </w:r>
      <w:r w:rsidR="00103C15">
        <w:t>.</w:t>
      </w:r>
    </w:p>
    <w:tbl>
      <w:tblPr>
        <w:tblW w:w="5000" w:type="pct"/>
        <w:tblBorders>
          <w:top w:val="single" w:sz="12" w:space="0" w:color="008000"/>
          <w:bottom w:val="single" w:sz="12" w:space="0" w:color="008000"/>
        </w:tblBorders>
        <w:tblLayout w:type="fixed"/>
        <w:tblCellMar>
          <w:left w:w="68" w:type="dxa"/>
          <w:right w:w="68" w:type="dxa"/>
        </w:tblCellMar>
        <w:tblLook w:val="00A0" w:firstRow="1" w:lastRow="0" w:firstColumn="1" w:lastColumn="0" w:noHBand="0" w:noVBand="0"/>
      </w:tblPr>
      <w:tblGrid>
        <w:gridCol w:w="3261"/>
        <w:gridCol w:w="849"/>
        <w:gridCol w:w="1703"/>
        <w:gridCol w:w="993"/>
        <w:gridCol w:w="1981"/>
      </w:tblGrid>
      <w:tr w:rsidR="00B07E98" w:rsidRPr="008D176E" w14:paraId="527AE9D0" w14:textId="77777777" w:rsidTr="00177888">
        <w:tc>
          <w:tcPr>
            <w:tcW w:w="1856" w:type="pct"/>
            <w:vMerge w:val="restart"/>
            <w:shd w:val="clear" w:color="auto" w:fill="FFFFFF" w:themeFill="background1"/>
            <w:vAlign w:val="center"/>
          </w:tcPr>
          <w:p w14:paraId="48934050" w14:textId="55058833" w:rsidR="00B07E98" w:rsidRPr="0010544D" w:rsidRDefault="00BB1D15" w:rsidP="00BC4404">
            <w:pPr>
              <w:pStyle w:val="CETBodytext"/>
              <w:ind w:right="-1"/>
              <w:jc w:val="left"/>
              <w:rPr>
                <w:rFonts w:cs="Arial"/>
                <w:szCs w:val="18"/>
                <w:lang w:val="en-GB"/>
              </w:rPr>
            </w:pPr>
            <w:r w:rsidRPr="0010544D">
              <w:rPr>
                <w:rFonts w:cs="Arial"/>
                <w:szCs w:val="18"/>
              </w:rPr>
              <w:t xml:space="preserve">Reference scenario </w:t>
            </w:r>
          </w:p>
        </w:tc>
        <w:tc>
          <w:tcPr>
            <w:tcW w:w="1452" w:type="pct"/>
            <w:gridSpan w:val="2"/>
            <w:shd w:val="clear" w:color="auto" w:fill="FFFFFF" w:themeFill="background1"/>
            <w:vAlign w:val="center"/>
          </w:tcPr>
          <w:p w14:paraId="367D3995" w14:textId="7963D7BC" w:rsidR="002B5BE5" w:rsidRPr="0084038C" w:rsidRDefault="00613C80" w:rsidP="00BC4404">
            <w:pPr>
              <w:pStyle w:val="CETBodytext"/>
              <w:ind w:right="-1"/>
              <w:jc w:val="left"/>
              <w:rPr>
                <w:rFonts w:cs="Arial"/>
                <w:sz w:val="16"/>
                <w:szCs w:val="16"/>
                <w:lang w:val="en-GB"/>
              </w:rPr>
            </w:pPr>
            <w:r w:rsidRPr="0084038C">
              <w:rPr>
                <w:rFonts w:cs="Arial"/>
                <w:b/>
                <w:bCs/>
                <w:sz w:val="16"/>
                <w:szCs w:val="16"/>
                <w:lang w:val="en-GB"/>
              </w:rPr>
              <w:t xml:space="preserve">        </w:t>
            </w:r>
            <w:r w:rsidR="00DD3E93" w:rsidRPr="0084038C">
              <w:rPr>
                <w:rFonts w:cs="Arial"/>
                <w:b/>
                <w:bCs/>
                <w:sz w:val="16"/>
                <w:szCs w:val="16"/>
                <w:lang w:val="en-GB"/>
              </w:rPr>
              <w:t>CURRENT SITUATION</w:t>
            </w:r>
            <w:r w:rsidR="00DD3E93" w:rsidRPr="0084038C">
              <w:rPr>
                <w:rFonts w:cs="Arial"/>
                <w:sz w:val="16"/>
                <w:szCs w:val="16"/>
                <w:lang w:val="en-GB"/>
              </w:rPr>
              <w:t xml:space="preserve"> </w:t>
            </w:r>
          </w:p>
          <w:p w14:paraId="38A810F5" w14:textId="1A407961" w:rsidR="00B07E98" w:rsidRPr="0084038C" w:rsidRDefault="00DD3E93" w:rsidP="00BC4404">
            <w:pPr>
              <w:pStyle w:val="CETBodytext"/>
              <w:ind w:right="-1"/>
              <w:jc w:val="left"/>
              <w:rPr>
                <w:rFonts w:cs="Arial"/>
                <w:sz w:val="16"/>
                <w:szCs w:val="16"/>
                <w:lang w:val="en-GB"/>
              </w:rPr>
            </w:pPr>
            <w:r w:rsidRPr="0084038C">
              <w:rPr>
                <w:rFonts w:cs="Arial"/>
                <w:sz w:val="16"/>
                <w:szCs w:val="16"/>
                <w:lang w:val="en-GB"/>
              </w:rPr>
              <w:t>(traffic reference port year 2021)</w:t>
            </w:r>
          </w:p>
        </w:tc>
        <w:tc>
          <w:tcPr>
            <w:tcW w:w="1692" w:type="pct"/>
            <w:gridSpan w:val="2"/>
            <w:shd w:val="clear" w:color="auto" w:fill="FFFFFF" w:themeFill="background1"/>
            <w:vAlign w:val="center"/>
          </w:tcPr>
          <w:p w14:paraId="7DDEBB4D" w14:textId="67DF467D" w:rsidR="00DD3E93" w:rsidRPr="005F0E0C" w:rsidRDefault="00613C80" w:rsidP="00DD3E93">
            <w:pPr>
              <w:jc w:val="left"/>
              <w:rPr>
                <w:rFonts w:cs="Arial"/>
                <w:b/>
                <w:bCs/>
                <w:sz w:val="16"/>
                <w:szCs w:val="16"/>
              </w:rPr>
            </w:pPr>
            <w:r>
              <w:rPr>
                <w:rFonts w:cs="Arial"/>
                <w:b/>
                <w:bCs/>
                <w:sz w:val="16"/>
                <w:szCs w:val="16"/>
                <w:lang w:val="en"/>
              </w:rPr>
              <w:t xml:space="preserve">              </w:t>
            </w:r>
            <w:r w:rsidR="00DD3E93" w:rsidRPr="00DD3E93">
              <w:rPr>
                <w:rFonts w:cs="Arial"/>
                <w:b/>
                <w:bCs/>
                <w:sz w:val="16"/>
                <w:szCs w:val="16"/>
                <w:lang w:val="en"/>
              </w:rPr>
              <w:t>FUTURE SITUATION</w:t>
            </w:r>
          </w:p>
          <w:p w14:paraId="3B915BC8" w14:textId="3FD04E10" w:rsidR="00B07E98" w:rsidRPr="005F0E0C" w:rsidRDefault="00B07E98" w:rsidP="00BC4404">
            <w:pPr>
              <w:pStyle w:val="CETBodytext"/>
              <w:ind w:right="-1"/>
              <w:jc w:val="left"/>
              <w:rPr>
                <w:rFonts w:cs="Arial"/>
                <w:sz w:val="16"/>
                <w:szCs w:val="16"/>
                <w:lang w:val="en-GB"/>
              </w:rPr>
            </w:pPr>
            <w:r w:rsidRPr="008D176E">
              <w:rPr>
                <w:rFonts w:cs="Arial"/>
                <w:sz w:val="16"/>
                <w:szCs w:val="16"/>
              </w:rPr>
              <w:t>(</w:t>
            </w:r>
            <w:r w:rsidR="00DD3E93" w:rsidRPr="00DD3E93">
              <w:rPr>
                <w:rFonts w:cs="Arial"/>
                <w:sz w:val="16"/>
                <w:szCs w:val="16"/>
                <w:lang w:val="en"/>
              </w:rPr>
              <w:t>current situation + LNG ship</w:t>
            </w:r>
            <w:r w:rsidR="002B5BE5">
              <w:rPr>
                <w:rFonts w:cs="Arial"/>
                <w:sz w:val="16"/>
                <w:szCs w:val="16"/>
                <w:lang w:val="en"/>
              </w:rPr>
              <w:t xml:space="preserve"> </w:t>
            </w:r>
            <w:r w:rsidR="00DD3E93" w:rsidRPr="00DD3E93">
              <w:rPr>
                <w:rFonts w:cs="Arial"/>
                <w:sz w:val="16"/>
                <w:szCs w:val="16"/>
                <w:lang w:val="en"/>
              </w:rPr>
              <w:t>transits</w:t>
            </w:r>
            <w:r w:rsidRPr="008D176E">
              <w:rPr>
                <w:rFonts w:cs="Arial"/>
                <w:sz w:val="16"/>
                <w:szCs w:val="16"/>
              </w:rPr>
              <w:t>)</w:t>
            </w:r>
          </w:p>
        </w:tc>
      </w:tr>
      <w:tr w:rsidR="00B07E98" w:rsidRPr="008D176E" w14:paraId="780AA5BB" w14:textId="77777777" w:rsidTr="002B5BE5">
        <w:tc>
          <w:tcPr>
            <w:tcW w:w="1856" w:type="pct"/>
            <w:vMerge/>
            <w:tcBorders>
              <w:bottom w:val="single" w:sz="6" w:space="0" w:color="008000"/>
            </w:tcBorders>
            <w:vAlign w:val="center"/>
          </w:tcPr>
          <w:p w14:paraId="4CB35B81" w14:textId="77777777" w:rsidR="00B07E98" w:rsidRPr="0084038C" w:rsidRDefault="00B07E98" w:rsidP="00BC4404">
            <w:pPr>
              <w:pStyle w:val="CETBodytext"/>
              <w:ind w:right="-1"/>
              <w:jc w:val="left"/>
              <w:rPr>
                <w:rFonts w:cs="Arial"/>
                <w:b/>
                <w:bCs/>
                <w:sz w:val="16"/>
                <w:szCs w:val="16"/>
              </w:rPr>
            </w:pPr>
          </w:p>
        </w:tc>
        <w:tc>
          <w:tcPr>
            <w:tcW w:w="3144" w:type="pct"/>
            <w:gridSpan w:val="4"/>
            <w:tcBorders>
              <w:top w:val="single" w:sz="6" w:space="0" w:color="008000"/>
              <w:bottom w:val="single" w:sz="6" w:space="0" w:color="008000"/>
            </w:tcBorders>
            <w:vAlign w:val="center"/>
          </w:tcPr>
          <w:p w14:paraId="230AFFF9" w14:textId="6D72189E" w:rsidR="00B07E98" w:rsidRPr="0084038C" w:rsidRDefault="00613C80" w:rsidP="00DD3E93">
            <w:pPr>
              <w:pStyle w:val="CETBodytext"/>
              <w:ind w:right="-1"/>
              <w:jc w:val="center"/>
              <w:rPr>
                <w:rFonts w:cs="Arial"/>
                <w:b/>
                <w:bCs/>
                <w:sz w:val="16"/>
                <w:szCs w:val="16"/>
              </w:rPr>
            </w:pPr>
            <w:r w:rsidRPr="0084038C">
              <w:rPr>
                <w:rFonts w:cs="Arial"/>
                <w:b/>
                <w:bCs/>
                <w:sz w:val="16"/>
                <w:szCs w:val="16"/>
              </w:rPr>
              <w:t>[</w:t>
            </w:r>
            <w:r w:rsidR="00B07E98" w:rsidRPr="0084038C">
              <w:rPr>
                <w:rFonts w:cs="Arial"/>
                <w:b/>
                <w:bCs/>
                <w:sz w:val="16"/>
                <w:szCs w:val="16"/>
              </w:rPr>
              <w:t>occ/</w:t>
            </w:r>
            <w:r w:rsidR="00DD3E93" w:rsidRPr="0084038C">
              <w:rPr>
                <w:rFonts w:cs="Arial"/>
                <w:b/>
                <w:bCs/>
                <w:sz w:val="16"/>
                <w:szCs w:val="16"/>
              </w:rPr>
              <w:t>year</w:t>
            </w:r>
            <w:r w:rsidRPr="0084038C">
              <w:rPr>
                <w:rFonts w:cs="Arial"/>
                <w:b/>
                <w:bCs/>
                <w:sz w:val="16"/>
                <w:szCs w:val="16"/>
              </w:rPr>
              <w:t>]</w:t>
            </w:r>
          </w:p>
        </w:tc>
      </w:tr>
      <w:tr w:rsidR="00B07E98" w:rsidRPr="008D176E" w14:paraId="0D048076" w14:textId="77777777" w:rsidTr="002B5BE5">
        <w:tc>
          <w:tcPr>
            <w:tcW w:w="2339" w:type="pct"/>
            <w:gridSpan w:val="2"/>
            <w:shd w:val="clear" w:color="auto" w:fill="auto"/>
            <w:vAlign w:val="center"/>
          </w:tcPr>
          <w:p w14:paraId="5068A874" w14:textId="29907186" w:rsidR="00B07E98" w:rsidRPr="0010544D" w:rsidRDefault="004D67F5" w:rsidP="00BC4404">
            <w:pPr>
              <w:pStyle w:val="CETBodytext"/>
              <w:ind w:right="-1"/>
              <w:jc w:val="left"/>
              <w:rPr>
                <w:rFonts w:cs="Arial"/>
                <w:szCs w:val="18"/>
                <w:lang w:val="en-GB"/>
              </w:rPr>
            </w:pPr>
            <w:r w:rsidRPr="0010544D">
              <w:rPr>
                <w:rFonts w:cs="Arial"/>
                <w:szCs w:val="18"/>
              </w:rPr>
              <w:t>Ship collision with penetration (all ships)</w:t>
            </w:r>
          </w:p>
        </w:tc>
        <w:tc>
          <w:tcPr>
            <w:tcW w:w="1534" w:type="pct"/>
            <w:gridSpan w:val="2"/>
            <w:shd w:val="clear" w:color="auto" w:fill="auto"/>
            <w:vAlign w:val="center"/>
          </w:tcPr>
          <w:p w14:paraId="1E7DE258" w14:textId="09787C7E" w:rsidR="00B07E98" w:rsidRPr="008D176E" w:rsidRDefault="00B07E98" w:rsidP="00BC4404">
            <w:pPr>
              <w:pStyle w:val="CETBodytext"/>
              <w:ind w:right="-1"/>
              <w:jc w:val="left"/>
              <w:rPr>
                <w:rFonts w:cs="Arial"/>
                <w:sz w:val="16"/>
                <w:szCs w:val="16"/>
                <w:lang w:val="en-GB"/>
              </w:rPr>
            </w:pPr>
            <w:r w:rsidRPr="008D176E">
              <w:rPr>
                <w:rFonts w:cs="Arial"/>
                <w:sz w:val="16"/>
                <w:szCs w:val="16"/>
              </w:rPr>
              <w:t>6</w:t>
            </w:r>
            <w:r w:rsidR="00C97557">
              <w:rPr>
                <w:rFonts w:cs="Arial"/>
                <w:sz w:val="16"/>
                <w:szCs w:val="16"/>
              </w:rPr>
              <w:t>.</w:t>
            </w:r>
            <w:r w:rsidRPr="008D176E">
              <w:rPr>
                <w:rFonts w:cs="Arial"/>
                <w:sz w:val="16"/>
                <w:szCs w:val="16"/>
              </w:rPr>
              <w:t>9 · 10</w:t>
            </w:r>
            <w:r w:rsidRPr="008D176E">
              <w:rPr>
                <w:rFonts w:cs="Arial"/>
                <w:sz w:val="16"/>
                <w:szCs w:val="16"/>
                <w:vertAlign w:val="superscript"/>
              </w:rPr>
              <w:t>-6</w:t>
            </w:r>
          </w:p>
        </w:tc>
        <w:tc>
          <w:tcPr>
            <w:tcW w:w="1127" w:type="pct"/>
            <w:vAlign w:val="center"/>
          </w:tcPr>
          <w:p w14:paraId="520460DB" w14:textId="0E3FF580" w:rsidR="00B07E98" w:rsidRPr="008D176E" w:rsidRDefault="00B07E98" w:rsidP="00BC4404">
            <w:pPr>
              <w:pStyle w:val="CETBodytext"/>
              <w:ind w:right="-1"/>
              <w:jc w:val="left"/>
              <w:rPr>
                <w:rFonts w:cs="Arial"/>
                <w:sz w:val="16"/>
                <w:szCs w:val="16"/>
                <w:lang w:val="en-GB"/>
              </w:rPr>
            </w:pPr>
            <w:r w:rsidRPr="008D176E">
              <w:rPr>
                <w:rFonts w:cs="Arial"/>
                <w:sz w:val="16"/>
                <w:szCs w:val="16"/>
              </w:rPr>
              <w:t>1</w:t>
            </w:r>
            <w:r w:rsidR="00C97557">
              <w:rPr>
                <w:rFonts w:cs="Arial"/>
                <w:sz w:val="16"/>
                <w:szCs w:val="16"/>
              </w:rPr>
              <w:t>.</w:t>
            </w:r>
            <w:r w:rsidRPr="008D176E">
              <w:rPr>
                <w:rFonts w:cs="Arial"/>
                <w:sz w:val="16"/>
                <w:szCs w:val="16"/>
              </w:rPr>
              <w:t>6 · 10</w:t>
            </w:r>
            <w:r w:rsidRPr="008D176E">
              <w:rPr>
                <w:rFonts w:cs="Arial"/>
                <w:sz w:val="16"/>
                <w:szCs w:val="16"/>
                <w:vertAlign w:val="superscript"/>
              </w:rPr>
              <w:t>-5</w:t>
            </w:r>
          </w:p>
        </w:tc>
      </w:tr>
    </w:tbl>
    <w:p w14:paraId="3B163EE7" w14:textId="77777777" w:rsidR="00BD69C5" w:rsidRDefault="00BD69C5" w:rsidP="00600535">
      <w:pPr>
        <w:pStyle w:val="CETBodytext"/>
        <w:rPr>
          <w:lang w:val="en-GB"/>
        </w:rPr>
      </w:pPr>
    </w:p>
    <w:p w14:paraId="6BCF19A6" w14:textId="7667FB5D" w:rsidR="00CD648C" w:rsidRPr="001B0568" w:rsidRDefault="00CD648C" w:rsidP="00CD648C">
      <w:pPr>
        <w:pStyle w:val="CETBodytext"/>
      </w:pPr>
      <w:r w:rsidRPr="00177888">
        <w:rPr>
          <w:iCs/>
        </w:rPr>
        <w:t>Based on the quantitative assessment, the management of collision risk has been regulated by ordinances of the Maritime Authorities of Piombino Port. On these grounds, given the strategic importance of the terminal and its infrastructure, it was decided to investigate the collision risk near the port</w:t>
      </w:r>
      <w:r w:rsidRPr="007857E8">
        <w:rPr>
          <w:iCs/>
        </w:rPr>
        <w:t xml:space="preserve"> </w:t>
      </w:r>
      <w:r w:rsidRPr="00177888">
        <w:rPr>
          <w:iCs/>
        </w:rPr>
        <w:t xml:space="preserve">further, assuming extreme conditions of speed and tonnage of ships on a collision course. The </w:t>
      </w:r>
      <w:r w:rsidR="003F270F" w:rsidRPr="00177888">
        <w:rPr>
          <w:iCs/>
        </w:rPr>
        <w:t>scenarios considered</w:t>
      </w:r>
      <w:r w:rsidRPr="00177888">
        <w:rPr>
          <w:iCs/>
        </w:rPr>
        <w:t xml:space="preserve"> for FEM </w:t>
      </w:r>
      <w:r>
        <w:rPr>
          <w:iCs/>
        </w:rPr>
        <w:t>were</w:t>
      </w:r>
      <w:r w:rsidRPr="00177888">
        <w:rPr>
          <w:iCs/>
        </w:rPr>
        <w:t>: 90° collision between LNGC and large cargo ship (198,000 t</w:t>
      </w:r>
      <w:r w:rsidR="001875E5">
        <w:rPr>
          <w:iCs/>
        </w:rPr>
        <w:t>; v= 5 knots</w:t>
      </w:r>
      <w:r w:rsidRPr="00177888">
        <w:rPr>
          <w:iCs/>
        </w:rPr>
        <w:t>); 90° collision between LNGC and medium-sized freighter (38,000 t</w:t>
      </w:r>
      <w:r w:rsidR="001875E5">
        <w:rPr>
          <w:iCs/>
        </w:rPr>
        <w:t>; v= 5knots</w:t>
      </w:r>
      <w:r w:rsidRPr="00177888">
        <w:rPr>
          <w:iCs/>
        </w:rPr>
        <w:t>); 90° collision between LNGC and passenger ferry (5,500 t</w:t>
      </w:r>
      <w:r w:rsidR="001875E5">
        <w:rPr>
          <w:iCs/>
        </w:rPr>
        <w:t>; v=10 knots</w:t>
      </w:r>
      <w:r w:rsidRPr="00177888">
        <w:rPr>
          <w:iCs/>
        </w:rPr>
        <w:t>).</w:t>
      </w:r>
      <w:r w:rsidR="001875E5">
        <w:rPr>
          <w:iCs/>
        </w:rPr>
        <w:t xml:space="preserve"> </w:t>
      </w:r>
    </w:p>
    <w:p w14:paraId="6C075179" w14:textId="2B4DB258" w:rsidR="004D67F5" w:rsidRDefault="0028783E" w:rsidP="0028783E">
      <w:pPr>
        <w:pStyle w:val="CETReferencetext"/>
        <w:ind w:left="0" w:firstLine="0"/>
      </w:pPr>
      <w:r>
        <w:t xml:space="preserve">Referring to </w:t>
      </w:r>
      <w:r w:rsidR="009E002F">
        <w:t xml:space="preserve">the </w:t>
      </w:r>
      <w:r>
        <w:t xml:space="preserve">step </w:t>
      </w:r>
      <w:r w:rsidRPr="00CD648C">
        <w:rPr>
          <w:b/>
          <w:bCs/>
        </w:rPr>
        <w:t>2.4</w:t>
      </w:r>
      <w:r>
        <w:t>, t</w:t>
      </w:r>
      <w:r w:rsidR="004D67F5" w:rsidRPr="00FB5053">
        <w:t xml:space="preserve">he temporal evolution of the potential scenarios, </w:t>
      </w:r>
      <w:r w:rsidR="002B5BE5">
        <w:t xml:space="preserve">was performed by CFD analysis </w:t>
      </w:r>
      <w:r w:rsidR="004D67F5" w:rsidRPr="00FB5053">
        <w:t xml:space="preserve">considering </w:t>
      </w:r>
      <w:r w:rsidR="002B5BE5">
        <w:t>F/2 and D/5 meteorological conditions corresponding to the Pasquill stability classes “stable” and “neutral”</w:t>
      </w:r>
      <w:r w:rsidR="0010544D">
        <w:t xml:space="preserve"> </w:t>
      </w:r>
      <w:r w:rsidR="002B5BE5">
        <w:t>and setting the</w:t>
      </w:r>
      <w:r>
        <w:t xml:space="preserve"> </w:t>
      </w:r>
      <w:r w:rsidR="002B5BE5">
        <w:t>wind speed to 2 m/s and 5 m/s respectively</w:t>
      </w:r>
      <w:r>
        <w:t>,</w:t>
      </w:r>
      <w:r w:rsidR="002B5BE5">
        <w:t xml:space="preserve"> allow</w:t>
      </w:r>
      <w:r>
        <w:t>ing</w:t>
      </w:r>
      <w:r w:rsidR="002B5BE5">
        <w:t xml:space="preserve"> for a conservative evaluation of the severity of consequences</w:t>
      </w:r>
      <w:r w:rsidR="000F09B3">
        <w:t xml:space="preserve"> (CCPS, 2010)</w:t>
      </w:r>
      <w:r>
        <w:t>. The</w:t>
      </w:r>
      <w:r w:rsidR="004D67F5" w:rsidRPr="00FB5053">
        <w:t xml:space="preserve"> most conservative case</w:t>
      </w:r>
      <w:r w:rsidR="000F09B3">
        <w:t xml:space="preserve">s from simulations </w:t>
      </w:r>
      <w:r w:rsidR="0010544D">
        <w:t>are as follows.</w:t>
      </w:r>
      <w:r w:rsidR="004D67F5" w:rsidRPr="00FB5053">
        <w:t xml:space="preserve"> </w:t>
      </w:r>
    </w:p>
    <w:p w14:paraId="6FCD8292" w14:textId="5BE9F438" w:rsidR="004D67F5" w:rsidRDefault="004332A8" w:rsidP="0084038C">
      <w:pPr>
        <w:pStyle w:val="CETnumberingbullets"/>
        <w:numPr>
          <w:ilvl w:val="0"/>
          <w:numId w:val="0"/>
        </w:numPr>
        <w:jc w:val="both"/>
      </w:pPr>
      <w:r>
        <w:t>For d</w:t>
      </w:r>
      <w:r w:rsidR="004D67F5">
        <w:t>ispersion</w:t>
      </w:r>
      <w:r>
        <w:t>, taking into account the</w:t>
      </w:r>
      <w:r w:rsidR="004D67F5">
        <w:t xml:space="preserve"> persistence of the cloud in flammable conditions until complete dis</w:t>
      </w:r>
      <w:r w:rsidR="001124E4">
        <w:t>persion</w:t>
      </w:r>
      <w:r w:rsidR="004D67F5">
        <w:t xml:space="preserve"> in the absence of ignition</w:t>
      </w:r>
      <w:r>
        <w:t xml:space="preserve">, </w:t>
      </w:r>
      <w:r w:rsidR="004D67F5">
        <w:t>9 min 20 s.</w:t>
      </w:r>
    </w:p>
    <w:p w14:paraId="3A16FF5E" w14:textId="3A50D09F" w:rsidR="004D67F5" w:rsidRDefault="004332A8" w:rsidP="0084038C">
      <w:pPr>
        <w:pStyle w:val="CETnumberingbullets"/>
        <w:numPr>
          <w:ilvl w:val="0"/>
          <w:numId w:val="0"/>
        </w:numPr>
        <w:jc w:val="both"/>
      </w:pPr>
      <w:r>
        <w:t>For f</w:t>
      </w:r>
      <w:r w:rsidR="004D67F5">
        <w:t>ire with immediate ignition</w:t>
      </w:r>
      <w:r>
        <w:t>,</w:t>
      </w:r>
      <w:r w:rsidR="004D67F5">
        <w:t xml:space="preserve"> </w:t>
      </w:r>
      <w:r>
        <w:t xml:space="preserve">taking into account the </w:t>
      </w:r>
      <w:r w:rsidR="004D67F5">
        <w:t xml:space="preserve">persistence of the cloud </w:t>
      </w:r>
      <w:r w:rsidR="001124E4">
        <w:t>with</w:t>
      </w:r>
      <w:r w:rsidR="004D67F5">
        <w:t xml:space="preserve">in </w:t>
      </w:r>
      <w:r w:rsidR="001124E4">
        <w:t xml:space="preserve">the </w:t>
      </w:r>
      <w:r w:rsidR="004D67F5">
        <w:t xml:space="preserve">flammable conditions </w:t>
      </w:r>
      <w:r w:rsidR="006567D5">
        <w:t>and the</w:t>
      </w:r>
      <w:r w:rsidR="004D67F5">
        <w:t xml:space="preserve"> consequent flame</w:t>
      </w:r>
      <w:r>
        <w:t>,</w:t>
      </w:r>
      <w:r w:rsidR="004D67F5">
        <w:t xml:space="preserve"> </w:t>
      </w:r>
      <w:r w:rsidR="00711BD6">
        <w:t xml:space="preserve">duration </w:t>
      </w:r>
      <w:r w:rsidR="004D67F5">
        <w:t>less than 4 minutes.</w:t>
      </w:r>
    </w:p>
    <w:p w14:paraId="55BED03D" w14:textId="3E07BF8C" w:rsidR="007E0308" w:rsidRDefault="007E0308" w:rsidP="0084038C">
      <w:pPr>
        <w:pStyle w:val="CETBodytext"/>
      </w:pPr>
      <w:r w:rsidRPr="006567D5">
        <w:rPr>
          <w:lang w:val="en-GB"/>
        </w:rPr>
        <w:t>For fire with delayed ignition</w:t>
      </w:r>
      <w:r w:rsidR="004D6AA2" w:rsidRPr="004D6AA2">
        <w:t xml:space="preserve"> </w:t>
      </w:r>
      <w:r w:rsidR="004D6AA2">
        <w:t xml:space="preserve">an overall duration </w:t>
      </w:r>
      <w:r w:rsidR="004D6AA2" w:rsidRPr="004D6AA2">
        <w:rPr>
          <w:lang w:val="en-GB"/>
        </w:rPr>
        <w:t>around 6 min</w:t>
      </w:r>
      <w:r w:rsidRPr="006567D5">
        <w:rPr>
          <w:lang w:val="en-GB"/>
        </w:rPr>
        <w:t xml:space="preserve">, </w:t>
      </w:r>
      <w:r w:rsidR="00711BD6">
        <w:rPr>
          <w:lang w:val="en-GB"/>
        </w:rPr>
        <w:t>accounting for</w:t>
      </w:r>
      <w:r w:rsidRPr="006567D5">
        <w:rPr>
          <w:lang w:val="en-GB"/>
        </w:rPr>
        <w:t xml:space="preserve"> the persistence of the cloud </w:t>
      </w:r>
      <w:r w:rsidR="001124E4">
        <w:rPr>
          <w:lang w:val="en-GB"/>
        </w:rPr>
        <w:t>with</w:t>
      </w:r>
      <w:r w:rsidRPr="006567D5">
        <w:rPr>
          <w:lang w:val="en-GB"/>
        </w:rPr>
        <w:t xml:space="preserve">in </w:t>
      </w:r>
      <w:r w:rsidR="001124E4">
        <w:rPr>
          <w:lang w:val="en-GB"/>
        </w:rPr>
        <w:t xml:space="preserve">the </w:t>
      </w:r>
      <w:r w:rsidRPr="006567D5">
        <w:rPr>
          <w:lang w:val="en-GB"/>
        </w:rPr>
        <w:t>flammable conditions (4 min</w:t>
      </w:r>
      <w:r>
        <w:t xml:space="preserve"> 20 s) and fire duration </w:t>
      </w:r>
      <w:r w:rsidR="00711BD6">
        <w:t>(</w:t>
      </w:r>
      <w:r>
        <w:t>about 1 min 30 s)</w:t>
      </w:r>
      <w:r w:rsidR="004D6AA2">
        <w:t>.</w:t>
      </w:r>
    </w:p>
    <w:p w14:paraId="799B6D7E" w14:textId="74757E30" w:rsidR="004D6AA2" w:rsidRDefault="004D6AA2" w:rsidP="0084038C">
      <w:pPr>
        <w:pStyle w:val="CETBodytext"/>
      </w:pPr>
      <w:r>
        <w:t xml:space="preserve">For explosion, the flame advance speed is not higher than 180-200 m/s, fully consistent with a deflagration scenario, with a duration of </w:t>
      </w:r>
      <w:r w:rsidR="00913932">
        <w:t>a few</w:t>
      </w:r>
      <w:r>
        <w:t xml:space="preserve"> seconds.</w:t>
      </w:r>
    </w:p>
    <w:p w14:paraId="1548646E" w14:textId="77777777" w:rsidR="007E0308" w:rsidRDefault="007E0308" w:rsidP="007E0308">
      <w:pPr>
        <w:pStyle w:val="CETBodytext"/>
        <w:ind w:left="142"/>
      </w:pPr>
    </w:p>
    <w:tbl>
      <w:tblPr>
        <w:tblW w:w="0" w:type="auto"/>
        <w:tblBorders>
          <w:top w:val="single" w:sz="12" w:space="0" w:color="008000"/>
          <w:left w:val="single" w:sz="12" w:space="0" w:color="008000"/>
          <w:bottom w:val="single" w:sz="12" w:space="0" w:color="008000"/>
          <w:right w:val="single" w:sz="12" w:space="0" w:color="008000"/>
          <w:insideH w:val="single" w:sz="6" w:space="0" w:color="008000"/>
          <w:insideV w:val="single" w:sz="6" w:space="0" w:color="008000"/>
        </w:tblBorders>
        <w:tblCellMar>
          <w:left w:w="0" w:type="dxa"/>
          <w:right w:w="0" w:type="dxa"/>
        </w:tblCellMar>
        <w:tblLook w:val="04A0" w:firstRow="1" w:lastRow="0" w:firstColumn="1" w:lastColumn="0" w:noHBand="0" w:noVBand="1"/>
      </w:tblPr>
      <w:tblGrid>
        <w:gridCol w:w="3697"/>
        <w:gridCol w:w="3482"/>
      </w:tblGrid>
      <w:tr w:rsidR="00FB5053" w:rsidRPr="00FB5053" w14:paraId="459BC5F6" w14:textId="77777777" w:rsidTr="00913932">
        <w:trPr>
          <w:trHeight w:val="277"/>
        </w:trPr>
        <w:tc>
          <w:tcPr>
            <w:tcW w:w="3697" w:type="dxa"/>
            <w:vAlign w:val="center"/>
            <w:hideMark/>
          </w:tcPr>
          <w:p w14:paraId="767181AD" w14:textId="2C8FAD18" w:rsidR="00FB5053" w:rsidRPr="00FB5053" w:rsidRDefault="00FB5053" w:rsidP="00FB5053">
            <w:pPr>
              <w:pStyle w:val="CETBodytext"/>
              <w:jc w:val="center"/>
              <w:rPr>
                <w:b/>
                <w:bCs/>
                <w:lang w:val="it-IT"/>
              </w:rPr>
            </w:pPr>
            <w:bookmarkStart w:id="5" w:name="_Hlk192064725"/>
            <w:r w:rsidRPr="00FB5053">
              <w:rPr>
                <w:b/>
                <w:bCs/>
                <w:lang w:val="it-IT"/>
              </w:rPr>
              <w:t>Dispersion</w:t>
            </w:r>
          </w:p>
        </w:tc>
        <w:tc>
          <w:tcPr>
            <w:tcW w:w="3482" w:type="dxa"/>
            <w:vAlign w:val="center"/>
            <w:hideMark/>
          </w:tcPr>
          <w:p w14:paraId="7B88AE83" w14:textId="418E1C95" w:rsidR="00FB5053" w:rsidRPr="00FB5053" w:rsidRDefault="004332A8" w:rsidP="00FB5053">
            <w:pPr>
              <w:pStyle w:val="CETBodytext"/>
              <w:jc w:val="center"/>
              <w:rPr>
                <w:b/>
                <w:bCs/>
                <w:lang w:val="it-IT"/>
              </w:rPr>
            </w:pPr>
            <w:r>
              <w:rPr>
                <w:b/>
                <w:bCs/>
                <w:lang w:val="it-IT"/>
              </w:rPr>
              <w:t>Pool Fire</w:t>
            </w:r>
          </w:p>
        </w:tc>
      </w:tr>
      <w:tr w:rsidR="00FB5053" w:rsidRPr="00FB5053" w14:paraId="3073E433" w14:textId="77777777" w:rsidTr="00913932">
        <w:trPr>
          <w:trHeight w:val="1746"/>
        </w:trPr>
        <w:tc>
          <w:tcPr>
            <w:tcW w:w="3697" w:type="dxa"/>
            <w:vAlign w:val="center"/>
            <w:hideMark/>
          </w:tcPr>
          <w:p w14:paraId="04063747" w14:textId="77777777" w:rsidR="00FB5053" w:rsidRPr="00FB5053" w:rsidRDefault="00FB5053" w:rsidP="00FB5053">
            <w:pPr>
              <w:pStyle w:val="CETBodytext"/>
              <w:jc w:val="center"/>
              <w:rPr>
                <w:lang w:val="it-IT"/>
              </w:rPr>
            </w:pPr>
            <w:r w:rsidRPr="00FB5053">
              <w:rPr>
                <w:noProof/>
                <w:lang w:val="it-IT"/>
              </w:rPr>
              <w:drawing>
                <wp:inline distT="0" distB="0" distL="0" distR="0" wp14:anchorId="42204B6B" wp14:editId="1B9DC602">
                  <wp:extent cx="2288912" cy="1210842"/>
                  <wp:effectExtent l="0" t="0" r="0" b="8890"/>
                  <wp:docPr id="3587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l="3487" t="28777" r="32144" b="2657"/>
                          <a:stretch>
                            <a:fillRect/>
                          </a:stretch>
                        </pic:blipFill>
                        <pic:spPr bwMode="auto">
                          <a:xfrm>
                            <a:off x="0" y="0"/>
                            <a:ext cx="2343058" cy="1239486"/>
                          </a:xfrm>
                          <a:prstGeom prst="rect">
                            <a:avLst/>
                          </a:prstGeom>
                          <a:noFill/>
                          <a:ln>
                            <a:noFill/>
                          </a:ln>
                        </pic:spPr>
                      </pic:pic>
                    </a:graphicData>
                  </a:graphic>
                </wp:inline>
              </w:drawing>
            </w:r>
          </w:p>
        </w:tc>
        <w:tc>
          <w:tcPr>
            <w:tcW w:w="3482" w:type="dxa"/>
            <w:vAlign w:val="center"/>
            <w:hideMark/>
          </w:tcPr>
          <w:p w14:paraId="7D834826" w14:textId="77777777" w:rsidR="00FB5053" w:rsidRPr="00FB5053" w:rsidRDefault="00FB5053" w:rsidP="00FB5053">
            <w:pPr>
              <w:pStyle w:val="CETBodytext"/>
              <w:jc w:val="center"/>
              <w:rPr>
                <w:lang w:val="it-IT"/>
              </w:rPr>
            </w:pPr>
            <w:r w:rsidRPr="00FB5053">
              <w:rPr>
                <w:noProof/>
                <w:lang w:val="it-IT"/>
              </w:rPr>
              <w:drawing>
                <wp:inline distT="0" distB="0" distL="0" distR="0" wp14:anchorId="736551E2" wp14:editId="2C867F31">
                  <wp:extent cx="2154956" cy="1198561"/>
                  <wp:effectExtent l="0" t="0" r="0" b="1905"/>
                  <wp:docPr id="3587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a:extLst>
                              <a:ext uri="{28A0092B-C50C-407E-A947-70E740481C1C}">
                                <a14:useLocalDpi xmlns:a14="http://schemas.microsoft.com/office/drawing/2010/main" val="0"/>
                              </a:ext>
                            </a:extLst>
                          </a:blip>
                          <a:srcRect l="3056" r="3056"/>
                          <a:stretch>
                            <a:fillRect/>
                          </a:stretch>
                        </pic:blipFill>
                        <pic:spPr bwMode="auto">
                          <a:xfrm>
                            <a:off x="0" y="0"/>
                            <a:ext cx="2181348" cy="1213240"/>
                          </a:xfrm>
                          <a:prstGeom prst="rect">
                            <a:avLst/>
                          </a:prstGeom>
                          <a:noFill/>
                          <a:ln>
                            <a:noFill/>
                          </a:ln>
                        </pic:spPr>
                      </pic:pic>
                    </a:graphicData>
                  </a:graphic>
                </wp:inline>
              </w:drawing>
            </w:r>
          </w:p>
        </w:tc>
      </w:tr>
      <w:tr w:rsidR="00FB5053" w:rsidRPr="00FB5053" w14:paraId="4139131B" w14:textId="77777777" w:rsidTr="00913932">
        <w:trPr>
          <w:trHeight w:val="1307"/>
        </w:trPr>
        <w:tc>
          <w:tcPr>
            <w:tcW w:w="3697" w:type="dxa"/>
            <w:vAlign w:val="center"/>
            <w:hideMark/>
          </w:tcPr>
          <w:p w14:paraId="69063EE2" w14:textId="77777777" w:rsidR="00FB5053" w:rsidRPr="00FB5053" w:rsidRDefault="00FB5053" w:rsidP="00FB5053">
            <w:pPr>
              <w:pStyle w:val="CETBodytext"/>
              <w:jc w:val="center"/>
              <w:rPr>
                <w:lang w:val="it-IT"/>
              </w:rPr>
            </w:pPr>
            <w:r w:rsidRPr="00FB5053">
              <w:rPr>
                <w:noProof/>
                <w:lang w:val="it-IT"/>
              </w:rPr>
              <w:drawing>
                <wp:inline distT="0" distB="0" distL="0" distR="0" wp14:anchorId="4758767A" wp14:editId="17BF020A">
                  <wp:extent cx="2259791" cy="1134745"/>
                  <wp:effectExtent l="0" t="0" r="7620" b="8255"/>
                  <wp:docPr id="3588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2">
                            <a:extLst>
                              <a:ext uri="{28A0092B-C50C-407E-A947-70E740481C1C}">
                                <a14:useLocalDpi xmlns:a14="http://schemas.microsoft.com/office/drawing/2010/main" val="0"/>
                              </a:ext>
                            </a:extLst>
                          </a:blip>
                          <a:srcRect l="3056" r="3056"/>
                          <a:stretch>
                            <a:fillRect/>
                          </a:stretch>
                        </pic:blipFill>
                        <pic:spPr bwMode="auto">
                          <a:xfrm>
                            <a:off x="0" y="0"/>
                            <a:ext cx="2288315" cy="1149068"/>
                          </a:xfrm>
                          <a:prstGeom prst="rect">
                            <a:avLst/>
                          </a:prstGeom>
                          <a:noFill/>
                          <a:ln>
                            <a:noFill/>
                          </a:ln>
                        </pic:spPr>
                      </pic:pic>
                    </a:graphicData>
                  </a:graphic>
                </wp:inline>
              </w:drawing>
            </w:r>
          </w:p>
        </w:tc>
        <w:tc>
          <w:tcPr>
            <w:tcW w:w="3482" w:type="dxa"/>
            <w:vAlign w:val="center"/>
            <w:hideMark/>
          </w:tcPr>
          <w:p w14:paraId="2FA75372" w14:textId="77777777" w:rsidR="00FB5053" w:rsidRPr="00FB5053" w:rsidRDefault="00FB5053" w:rsidP="00FB5053">
            <w:pPr>
              <w:pStyle w:val="CETBodytext"/>
              <w:jc w:val="center"/>
              <w:rPr>
                <w:lang w:val="it-IT"/>
              </w:rPr>
            </w:pPr>
            <w:r w:rsidRPr="00FB5053">
              <w:rPr>
                <w:noProof/>
                <w:lang w:val="it-IT"/>
              </w:rPr>
              <w:drawing>
                <wp:inline distT="0" distB="0" distL="0" distR="0" wp14:anchorId="7414BEA3" wp14:editId="4B84FDE6">
                  <wp:extent cx="2154955" cy="1134745"/>
                  <wp:effectExtent l="0" t="0" r="0" b="8255"/>
                  <wp:docPr id="3588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l="3056" r="3056"/>
                          <a:stretch>
                            <a:fillRect/>
                          </a:stretch>
                        </pic:blipFill>
                        <pic:spPr bwMode="auto">
                          <a:xfrm>
                            <a:off x="0" y="0"/>
                            <a:ext cx="2181616" cy="1148784"/>
                          </a:xfrm>
                          <a:prstGeom prst="rect">
                            <a:avLst/>
                          </a:prstGeom>
                          <a:noFill/>
                          <a:ln>
                            <a:noFill/>
                          </a:ln>
                        </pic:spPr>
                      </pic:pic>
                    </a:graphicData>
                  </a:graphic>
                </wp:inline>
              </w:drawing>
            </w:r>
          </w:p>
        </w:tc>
      </w:tr>
      <w:tr w:rsidR="00FB5053" w:rsidRPr="00FB5053" w14:paraId="0EBB4A5B" w14:textId="77777777" w:rsidTr="00913932">
        <w:trPr>
          <w:trHeight w:val="141"/>
        </w:trPr>
        <w:tc>
          <w:tcPr>
            <w:tcW w:w="3697" w:type="dxa"/>
            <w:vAlign w:val="center"/>
            <w:hideMark/>
          </w:tcPr>
          <w:p w14:paraId="459ED2B7" w14:textId="24A22E4C" w:rsidR="00FB5053" w:rsidRPr="00FB5053" w:rsidRDefault="004332A8" w:rsidP="00FB5053">
            <w:pPr>
              <w:pStyle w:val="CETBodytext"/>
              <w:jc w:val="center"/>
              <w:rPr>
                <w:b/>
                <w:bCs/>
                <w:lang w:val="it-IT"/>
              </w:rPr>
            </w:pPr>
            <w:r>
              <w:rPr>
                <w:b/>
                <w:bCs/>
                <w:lang w:val="it-IT"/>
              </w:rPr>
              <w:t>Flash Fire</w:t>
            </w:r>
          </w:p>
        </w:tc>
        <w:tc>
          <w:tcPr>
            <w:tcW w:w="3482" w:type="dxa"/>
            <w:vAlign w:val="center"/>
            <w:hideMark/>
          </w:tcPr>
          <w:p w14:paraId="7906A37F" w14:textId="2DAA6C1A" w:rsidR="00FB5053" w:rsidRPr="00FB5053" w:rsidRDefault="004332A8" w:rsidP="00FB5053">
            <w:pPr>
              <w:pStyle w:val="CETBodytext"/>
              <w:jc w:val="center"/>
              <w:rPr>
                <w:b/>
                <w:bCs/>
                <w:lang w:val="it-IT"/>
              </w:rPr>
            </w:pPr>
            <w:r>
              <w:rPr>
                <w:b/>
                <w:bCs/>
                <w:lang w:val="it-IT"/>
              </w:rPr>
              <w:t>Explosion</w:t>
            </w:r>
          </w:p>
        </w:tc>
      </w:tr>
    </w:tbl>
    <w:bookmarkEnd w:id="5"/>
    <w:p w14:paraId="7161895E" w14:textId="69E65492" w:rsidR="00FB5053" w:rsidRPr="00BD077D" w:rsidRDefault="00FB5053" w:rsidP="00570105">
      <w:pPr>
        <w:pStyle w:val="CETCaption"/>
      </w:pPr>
      <w:r w:rsidRPr="00BD077D">
        <w:rPr>
          <w:rStyle w:val="CETCaptionCarattere"/>
          <w:i/>
        </w:rPr>
        <w:t xml:space="preserve">Figure 1: </w:t>
      </w:r>
      <w:r w:rsidR="004D67F5" w:rsidRPr="00FB5053">
        <w:rPr>
          <w:rStyle w:val="CETCaptionCarattere"/>
        </w:rPr>
        <w:t xml:space="preserve">CFD </w:t>
      </w:r>
      <w:r w:rsidR="004A1BBE">
        <w:rPr>
          <w:rStyle w:val="CETCaptionCarattere"/>
        </w:rPr>
        <w:t>m</w:t>
      </w:r>
      <w:r w:rsidR="004D67F5" w:rsidRPr="00FB5053">
        <w:rPr>
          <w:rStyle w:val="CETCaptionCarattere"/>
        </w:rPr>
        <w:t xml:space="preserve">odeling </w:t>
      </w:r>
      <w:r w:rsidR="004A1BBE">
        <w:rPr>
          <w:rStyle w:val="CETCaptionCarattere"/>
        </w:rPr>
        <w:t>i</w:t>
      </w:r>
      <w:r w:rsidR="004D67F5" w:rsidRPr="00FB5053">
        <w:rPr>
          <w:rStyle w:val="CETCaptionCarattere"/>
        </w:rPr>
        <w:t>mages</w:t>
      </w:r>
      <w:r w:rsidR="004A1BBE">
        <w:rPr>
          <w:rStyle w:val="CETCaptionCarattere"/>
        </w:rPr>
        <w:t xml:space="preserve"> covering different evolving accident scenarios.</w:t>
      </w:r>
    </w:p>
    <w:p w14:paraId="090F608B" w14:textId="24B7E13A" w:rsidR="004D67F5" w:rsidRDefault="004D67F5" w:rsidP="006567D5">
      <w:pPr>
        <w:pStyle w:val="CETBodytext"/>
        <w:rPr>
          <w:lang w:val="en-GB"/>
        </w:rPr>
      </w:pPr>
      <w:r w:rsidRPr="00FB5053">
        <w:t xml:space="preserve">In all the simulations carried out, the duration of the fire phenomenon is always below the threshold value of 10 minutes, defined by </w:t>
      </w:r>
      <w:r w:rsidR="00217B3A">
        <w:t xml:space="preserve">the </w:t>
      </w:r>
      <w:r w:rsidRPr="00FB5053">
        <w:t>Legislative Decree 105/2015</w:t>
      </w:r>
      <w:r w:rsidR="00463DE5">
        <w:t xml:space="preserve">, </w:t>
      </w:r>
      <w:r w:rsidRPr="00FB5053">
        <w:t xml:space="preserve">as the minimum value to trigger domino effects on structures and equipment. These preliminary assessments are also confirmed by the in-depth structural numerical analysis, </w:t>
      </w:r>
      <w:r w:rsidR="00BF2114">
        <w:t>which</w:t>
      </w:r>
      <w:r w:rsidRPr="00FB5053">
        <w:t xml:space="preserve"> </w:t>
      </w:r>
      <w:r w:rsidR="00177888">
        <w:t xml:space="preserve">was </w:t>
      </w:r>
      <w:r w:rsidR="0084038C">
        <w:t>carried out</w:t>
      </w:r>
      <w:r w:rsidR="00177888">
        <w:t xml:space="preserve"> </w:t>
      </w:r>
      <w:r w:rsidR="00CA31A3">
        <w:t>considering</w:t>
      </w:r>
      <w:r w:rsidRPr="00FB5053">
        <w:t xml:space="preserve"> two types of loads:</w:t>
      </w:r>
    </w:p>
    <w:p w14:paraId="2DF75AA3" w14:textId="63E8BE2E" w:rsidR="004D67F5" w:rsidRDefault="004D67F5" w:rsidP="004332A8">
      <w:pPr>
        <w:pStyle w:val="CETnumberingbullets"/>
        <w:ind w:left="284" w:hanging="284"/>
        <w:jc w:val="both"/>
      </w:pPr>
      <w:r>
        <w:t xml:space="preserve">Permanent (mechanical) loads, due to gravity and pressures acting on the structure (internal pressure of the </w:t>
      </w:r>
      <w:r w:rsidR="004332A8">
        <w:t>LNG/NG</w:t>
      </w:r>
      <w:r>
        <w:t xml:space="preserve"> and external pressure on the hull of the water); these forces are self-balancing with </w:t>
      </w:r>
      <w:r w:rsidR="003D361C">
        <w:t>each other but</w:t>
      </w:r>
      <w:r>
        <w:t xml:space="preserve"> impose a "static" and permanent tensional state on the </w:t>
      </w:r>
      <w:r w:rsidR="003D361C">
        <w:t>structure.</w:t>
      </w:r>
    </w:p>
    <w:p w14:paraId="055CE427" w14:textId="3984F94F" w:rsidR="004D67F5" w:rsidRPr="00B57B36" w:rsidRDefault="004D67F5" w:rsidP="000F09B3">
      <w:pPr>
        <w:pStyle w:val="CETnumberingbullets"/>
        <w:ind w:left="284" w:hanging="284"/>
        <w:jc w:val="both"/>
      </w:pPr>
      <w:r>
        <w:t>Fire load (thermal)</w:t>
      </w:r>
      <w:r w:rsidR="004332A8">
        <w:t>,</w:t>
      </w:r>
      <w:r>
        <w:t xml:space="preserve"> </w:t>
      </w:r>
      <w:r w:rsidR="004332A8">
        <w:t>which</w:t>
      </w:r>
      <w:r>
        <w:t xml:space="preserve"> imposes a temperature change on the outer surface of the outer shell of the </w:t>
      </w:r>
      <w:r w:rsidR="00CA1ED7">
        <w:t>LNGC.</w:t>
      </w:r>
    </w:p>
    <w:p w14:paraId="4E84CAE0" w14:textId="6FDD4566" w:rsidR="00BD69C5" w:rsidRDefault="004D67F5" w:rsidP="00600535">
      <w:pPr>
        <w:pStyle w:val="CETBodytext"/>
        <w:rPr>
          <w:lang w:val="en-GB"/>
        </w:rPr>
      </w:pPr>
      <w:r w:rsidRPr="006567D5">
        <w:lastRenderedPageBreak/>
        <w:t>From the simulations conducted</w:t>
      </w:r>
      <w:r w:rsidR="00913932">
        <w:t>,</w:t>
      </w:r>
      <w:r w:rsidRPr="006567D5">
        <w:t xml:space="preserve"> it </w:t>
      </w:r>
      <w:r w:rsidR="00074DEE">
        <w:t xml:space="preserve">follows </w:t>
      </w:r>
      <w:r w:rsidRPr="006567D5">
        <w:t xml:space="preserve">that the external mantle of the FSRU does not reach a state of stress </w:t>
      </w:r>
      <w:r w:rsidR="00324D1B" w:rsidRPr="006567D5">
        <w:t>liable</w:t>
      </w:r>
      <w:r w:rsidRPr="006567D5">
        <w:t xml:space="preserve"> to lead to the collapse of the structure itself. </w:t>
      </w:r>
      <w:r w:rsidR="007857E8">
        <w:t>T</w:t>
      </w:r>
      <w:r w:rsidRPr="006567D5">
        <w:t xml:space="preserve">he values obtained </w:t>
      </w:r>
      <w:r w:rsidR="00463DE5">
        <w:t xml:space="preserve">from </w:t>
      </w:r>
      <w:r w:rsidRPr="006567D5">
        <w:t xml:space="preserve">the </w:t>
      </w:r>
      <w:r w:rsidR="007857E8">
        <w:t xml:space="preserve">assessment of fire </w:t>
      </w:r>
      <w:r w:rsidRPr="006567D5">
        <w:t xml:space="preserve">thermal </w:t>
      </w:r>
      <w:r w:rsidR="00913932" w:rsidRPr="006567D5">
        <w:t>load (</w:t>
      </w:r>
      <w:r w:rsidRPr="006567D5">
        <w:t>equal to 3% of the plastic deformation)</w:t>
      </w:r>
      <w:r w:rsidR="00CA1ED7" w:rsidRPr="006567D5">
        <w:t>,</w:t>
      </w:r>
      <w:r w:rsidRPr="006567D5">
        <w:t xml:space="preserve"> are </w:t>
      </w:r>
      <w:r w:rsidR="007857E8">
        <w:t>by far</w:t>
      </w:r>
      <w:r w:rsidRPr="006567D5">
        <w:t xml:space="preserve"> lower than the breaking limit value (25% of the plastic deformation). </w:t>
      </w:r>
      <w:r w:rsidR="00557C55">
        <w:t>Results evidence that t</w:t>
      </w:r>
      <w:r w:rsidRPr="006567D5">
        <w:t>he inner shell of the FSRU (</w:t>
      </w:r>
      <w:r w:rsidR="00CA1ED7" w:rsidRPr="006567D5">
        <w:t xml:space="preserve">internal </w:t>
      </w:r>
      <w:r w:rsidRPr="006567D5">
        <w:t>tank) does not undergo plastic deformation</w:t>
      </w:r>
      <w:r w:rsidR="00103C15">
        <w:t>, thus</w:t>
      </w:r>
      <w:r w:rsidRPr="006567D5">
        <w:t xml:space="preserve"> not reach</w:t>
      </w:r>
      <w:r w:rsidR="00103C15">
        <w:t>ing</w:t>
      </w:r>
      <w:r w:rsidRPr="006567D5">
        <w:t xml:space="preserve"> a critical stress state (being much less stressed than the outer mantle)</w:t>
      </w:r>
      <w:r w:rsidR="00FB5053" w:rsidRPr="006567D5">
        <w:rPr>
          <w:lang w:val="en-GB"/>
        </w:rPr>
        <w:t>.</w:t>
      </w:r>
      <w:r w:rsidR="00177888">
        <w:rPr>
          <w:lang w:val="en-GB"/>
        </w:rPr>
        <w:t xml:space="preserve"> </w:t>
      </w:r>
    </w:p>
    <w:p w14:paraId="706AE54D" w14:textId="3874E305" w:rsidR="00D43819" w:rsidRPr="00B57B36" w:rsidRDefault="004D7D12" w:rsidP="001B0568">
      <w:pPr>
        <w:pStyle w:val="CETheadingx"/>
      </w:pPr>
      <w:r>
        <w:t xml:space="preserve">3.1 </w:t>
      </w:r>
      <w:r w:rsidR="00D43819" w:rsidRPr="00D43819">
        <w:t>Preventative and mitigative design strategies</w:t>
      </w:r>
    </w:p>
    <w:p w14:paraId="11A9E6D4" w14:textId="6662F281" w:rsidR="007C0106" w:rsidRDefault="007C0106" w:rsidP="008B4174">
      <w:pPr>
        <w:pStyle w:val="CETBodytext"/>
        <w:rPr>
          <w:lang w:val="en-GB"/>
        </w:rPr>
      </w:pPr>
      <w:r>
        <w:t>During</w:t>
      </w:r>
      <w:r w:rsidRPr="00D43819">
        <w:t xml:space="preserve"> the design phase, </w:t>
      </w:r>
      <w:r>
        <w:t xml:space="preserve">detailed </w:t>
      </w:r>
      <w:r w:rsidRPr="00D43819">
        <w:t xml:space="preserve">studies were fully developed to direct the technical </w:t>
      </w:r>
      <w:r>
        <w:t>design</w:t>
      </w:r>
      <w:r w:rsidRPr="00D43819">
        <w:t xml:space="preserve"> pertaining to process safety and fire engineering </w:t>
      </w:r>
      <w:r>
        <w:t>for the</w:t>
      </w:r>
      <w:r w:rsidRPr="00D43819">
        <w:t xml:space="preserve"> quay</w:t>
      </w:r>
      <w:r>
        <w:t xml:space="preserve"> infrastructure</w:t>
      </w:r>
      <w:r w:rsidRPr="00D43819">
        <w:t xml:space="preserve">, </w:t>
      </w:r>
      <w:r>
        <w:t>being</w:t>
      </w:r>
      <w:r w:rsidRPr="00D43819">
        <w:t xml:space="preserve"> the potential criticalities towards the quay</w:t>
      </w:r>
      <w:r>
        <w:t xml:space="preserve"> already thoroughly analyzed in the </w:t>
      </w:r>
      <w:r w:rsidRPr="00D43819">
        <w:t xml:space="preserve">risk analysis developed in the Preliminary Safety Report. The intervention criteria are designed to prevent the cause or reduce/eliminate the effects of the undesirable event. The design rationally </w:t>
      </w:r>
      <w:r w:rsidR="007857E8" w:rsidRPr="00D43819">
        <w:t>considered</w:t>
      </w:r>
      <w:r w:rsidRPr="00D43819">
        <w:t xml:space="preserve"> the </w:t>
      </w:r>
      <w:r>
        <w:t xml:space="preserve">RA </w:t>
      </w:r>
      <w:r w:rsidRPr="00D43819">
        <w:t>inputs</w:t>
      </w:r>
      <w:r w:rsidR="008B4174" w:rsidRPr="008B4174">
        <w:t xml:space="preserve"> </w:t>
      </w:r>
      <w:r w:rsidR="008B4174">
        <w:t>incorporating performance assessment of barriers and</w:t>
      </w:r>
      <w:r>
        <w:t xml:space="preserve"> properly</w:t>
      </w:r>
      <w:r w:rsidRPr="00D43819">
        <w:t xml:space="preserve"> reconnecting to the </w:t>
      </w:r>
      <w:r>
        <w:t xml:space="preserve">identified risk </w:t>
      </w:r>
      <w:r w:rsidRPr="00D43819">
        <w:t>sources in the plant and the process</w:t>
      </w:r>
      <w:r w:rsidR="00570105">
        <w:t xml:space="preserve"> and identifying safety distances and exclusion zones</w:t>
      </w:r>
      <w:r w:rsidRPr="00D43819">
        <w:t>. A</w:t>
      </w:r>
      <w:r>
        <w:t xml:space="preserve"> non-exhaustive </w:t>
      </w:r>
      <w:r w:rsidR="00186FFA">
        <w:t>illustration</w:t>
      </w:r>
      <w:r>
        <w:t xml:space="preserve"> of the designed and implemented protective and mitigating barriers</w:t>
      </w:r>
      <w:r w:rsidRPr="00D43819">
        <w:t xml:space="preserve"> </w:t>
      </w:r>
      <w:r>
        <w:t xml:space="preserve">is </w:t>
      </w:r>
      <w:r w:rsidR="00913932">
        <w:t xml:space="preserve">as follows. </w:t>
      </w:r>
    </w:p>
    <w:p w14:paraId="3E08FDCD" w14:textId="23049788" w:rsidR="007C0106" w:rsidRDefault="007C0106" w:rsidP="007C0106">
      <w:pPr>
        <w:pStyle w:val="CETnumberingbullets"/>
        <w:ind w:left="284" w:hanging="284"/>
      </w:pPr>
      <w:r>
        <w:t>Automatic quick</w:t>
      </w:r>
      <w:r w:rsidR="007857E8">
        <w:t>-</w:t>
      </w:r>
      <w:r>
        <w:t>release system of the hoses for adverse marine weather conditions.</w:t>
      </w:r>
    </w:p>
    <w:p w14:paraId="79FD7072" w14:textId="77777777" w:rsidR="007C0106" w:rsidRDefault="007C0106" w:rsidP="007C0106">
      <w:pPr>
        <w:pStyle w:val="CETnumberingbullets"/>
        <w:ind w:left="284" w:hanging="284"/>
      </w:pPr>
      <w:r>
        <w:t>Fire pump room on the quay with adjoining dedicated water reserve.</w:t>
      </w:r>
    </w:p>
    <w:p w14:paraId="0ACFB07D" w14:textId="77777777" w:rsidR="007C0106" w:rsidRDefault="007C0106" w:rsidP="007C0106">
      <w:pPr>
        <w:pStyle w:val="CETnumberingbullets"/>
        <w:ind w:left="284" w:hanging="284"/>
      </w:pPr>
      <w:r>
        <w:t>Fire protection of all structures on the quay (electrical room, control room, fire enclosure).</w:t>
      </w:r>
    </w:p>
    <w:p w14:paraId="5CB2749D" w14:textId="77777777" w:rsidR="007C0106" w:rsidRDefault="007C0106" w:rsidP="007C0106">
      <w:pPr>
        <w:pStyle w:val="CETnumberingbullets"/>
        <w:ind w:left="284" w:hanging="284"/>
      </w:pPr>
      <w:r>
        <w:t>Fire protection of the metal support structure of the hoses.</w:t>
      </w:r>
    </w:p>
    <w:p w14:paraId="453096A2" w14:textId="77777777" w:rsidR="007C0106" w:rsidRDefault="007C0106" w:rsidP="007C0106">
      <w:pPr>
        <w:pStyle w:val="CETnumberingbullets"/>
        <w:ind w:left="284" w:hanging="284"/>
      </w:pPr>
      <w:r>
        <w:t>The presence of (automatic) block valves on the quay connected to an emergency vent.</w:t>
      </w:r>
    </w:p>
    <w:p w14:paraId="740F9865" w14:textId="77777777" w:rsidR="007C0106" w:rsidRDefault="007C0106" w:rsidP="007C0106">
      <w:pPr>
        <w:pStyle w:val="CETnumberingbullets"/>
        <w:ind w:left="284" w:hanging="284"/>
      </w:pPr>
      <w:r>
        <w:t>Fire protection of the actuators of automatic valves on the quay.</w:t>
      </w:r>
    </w:p>
    <w:p w14:paraId="155648D7" w14:textId="77777777" w:rsidR="007C0106" w:rsidRDefault="007C0106" w:rsidP="007C0106">
      <w:pPr>
        <w:pStyle w:val="CETnumberingbullets"/>
        <w:ind w:left="284" w:hanging="284"/>
      </w:pPr>
      <w:r>
        <w:t>The presence of a water barrier on the East quay (ca.150 linear meters long) with a supply of 10,000 l/min.</w:t>
      </w:r>
    </w:p>
    <w:p w14:paraId="2A35142F" w14:textId="77777777" w:rsidR="007C0106" w:rsidRDefault="007C0106" w:rsidP="007C0106">
      <w:pPr>
        <w:pStyle w:val="CETnumberingbullets"/>
        <w:ind w:left="284" w:hanging="284"/>
      </w:pPr>
      <w:r>
        <w:t>The presence on the quay of 8 remote-controlled automatic water monitors.</w:t>
      </w:r>
    </w:p>
    <w:p w14:paraId="51540BC4" w14:textId="5A76FC5C" w:rsidR="007C0106" w:rsidRDefault="007C0106" w:rsidP="007C0106">
      <w:pPr>
        <w:pStyle w:val="CETnumberingbullets"/>
        <w:ind w:left="284" w:hanging="284"/>
      </w:pPr>
      <w:r>
        <w:t>The protection of the gas pipeline with a tunnel for the quay section</w:t>
      </w:r>
      <w:r w:rsidR="00913932">
        <w:t>,</w:t>
      </w:r>
      <w:r>
        <w:t xml:space="preserve"> with fire resistance characteristics.</w:t>
      </w:r>
    </w:p>
    <w:p w14:paraId="20543CFD" w14:textId="130417BA" w:rsidR="007C0106" w:rsidRPr="00F21C63" w:rsidRDefault="007C0106" w:rsidP="00C83107">
      <w:pPr>
        <w:pStyle w:val="CETnumberingbullets"/>
        <w:numPr>
          <w:ilvl w:val="0"/>
          <w:numId w:val="0"/>
        </w:numPr>
        <w:jc w:val="both"/>
      </w:pPr>
      <w:r w:rsidRPr="00D43819">
        <w:t xml:space="preserve">The </w:t>
      </w:r>
      <w:r>
        <w:t>competent Authorities, before giving the authorization to operate the Terminal,</w:t>
      </w:r>
      <w:r w:rsidRPr="00D43819">
        <w:t xml:space="preserve"> prescribed </w:t>
      </w:r>
      <w:r>
        <w:t>an additional</w:t>
      </w:r>
      <w:r w:rsidRPr="00D43819">
        <w:t xml:space="preserve"> water barrier on the North quay (</w:t>
      </w:r>
      <w:r>
        <w:t>ca. 100 linear meters long</w:t>
      </w:r>
      <w:r w:rsidRPr="00D43819">
        <w:t>) with a</w:t>
      </w:r>
      <w:r>
        <w:t xml:space="preserve"> further water</w:t>
      </w:r>
      <w:r w:rsidRPr="00D43819">
        <w:t xml:space="preserve"> availability of about 10,000 l/min</w:t>
      </w:r>
      <w:r w:rsidRPr="00F21C63">
        <w:t>.</w:t>
      </w:r>
      <w:r>
        <w:t xml:space="preserve"> Additionally, the external emergency planning </w:t>
      </w:r>
      <w:r w:rsidR="008D40BE">
        <w:t xml:space="preserve">was designed to </w:t>
      </w:r>
      <w:r>
        <w:t xml:space="preserve">fully cover the </w:t>
      </w:r>
      <w:r w:rsidR="008D40BE">
        <w:t>c</w:t>
      </w:r>
      <w:r>
        <w:t xml:space="preserve">ontents of an external plan, </w:t>
      </w:r>
      <w:r w:rsidR="008967AD">
        <w:t xml:space="preserve">e.g., </w:t>
      </w:r>
      <w:r>
        <w:t xml:space="preserve">organisation required in connection with </w:t>
      </w:r>
      <w:r w:rsidR="007857E8">
        <w:t>relevant</w:t>
      </w:r>
      <w:r>
        <w:t xml:space="preserve"> </w:t>
      </w:r>
      <w:r w:rsidR="008D40BE">
        <w:t>adverse scenarios, or losses</w:t>
      </w:r>
      <w:r>
        <w:t>, information to the public, as well as all the stages of preparation and application of emergency exercises.</w:t>
      </w:r>
    </w:p>
    <w:p w14:paraId="68D26B83" w14:textId="31793882" w:rsidR="00600535" w:rsidRDefault="00C9023C" w:rsidP="004D7D12">
      <w:pPr>
        <w:pStyle w:val="CETHeading1"/>
        <w:numPr>
          <w:ilvl w:val="1"/>
          <w:numId w:val="1"/>
        </w:numPr>
        <w:tabs>
          <w:tab w:val="num" w:pos="360"/>
        </w:tabs>
        <w:rPr>
          <w:lang w:val="en-GB"/>
        </w:rPr>
      </w:pPr>
      <w:r w:rsidRPr="00C9023C">
        <w:rPr>
          <w:lang w:val="en-GB"/>
        </w:rPr>
        <w:t>CONCLUSIONS</w:t>
      </w:r>
    </w:p>
    <w:p w14:paraId="7ADA14F5" w14:textId="1562DA7C" w:rsidR="008B4174" w:rsidRDefault="004139DA" w:rsidP="008B4174">
      <w:pPr>
        <w:pStyle w:val="CETBodytext"/>
      </w:pPr>
      <w:r w:rsidRPr="00A42821">
        <w:rPr>
          <w:lang w:val="en-GB"/>
        </w:rPr>
        <w:t xml:space="preserve">The systematic QRA </w:t>
      </w:r>
      <w:r w:rsidR="00287CAE">
        <w:rPr>
          <w:lang w:val="en-GB"/>
        </w:rPr>
        <w:t>of the given case study</w:t>
      </w:r>
      <w:r w:rsidRPr="00A42821">
        <w:rPr>
          <w:lang w:val="en-GB"/>
        </w:rPr>
        <w:t xml:space="preserve"> can </w:t>
      </w:r>
      <w:r w:rsidR="00287CAE">
        <w:rPr>
          <w:lang w:val="en-GB"/>
        </w:rPr>
        <w:t>contribute standardiz</w:t>
      </w:r>
      <w:r w:rsidR="00D8629B">
        <w:rPr>
          <w:lang w:val="en-GB"/>
        </w:rPr>
        <w:t>ing</w:t>
      </w:r>
      <w:r w:rsidR="00287CAE">
        <w:rPr>
          <w:lang w:val="en-GB"/>
        </w:rPr>
        <w:t xml:space="preserve"> the approach tailored to port areas </w:t>
      </w:r>
      <w:r w:rsidR="004A1BBE">
        <w:rPr>
          <w:lang w:val="en-GB"/>
        </w:rPr>
        <w:t>suitable to</w:t>
      </w:r>
      <w:r w:rsidR="00287CAE">
        <w:rPr>
          <w:lang w:val="en-GB"/>
        </w:rPr>
        <w:t xml:space="preserve"> </w:t>
      </w:r>
      <w:r w:rsidRPr="00A42821">
        <w:rPr>
          <w:lang w:val="en-GB"/>
        </w:rPr>
        <w:t xml:space="preserve">be applied </w:t>
      </w:r>
      <w:r w:rsidR="004A1BBE">
        <w:rPr>
          <w:lang w:val="en-GB"/>
        </w:rPr>
        <w:t>in</w:t>
      </w:r>
      <w:r w:rsidRPr="00A42821">
        <w:rPr>
          <w:lang w:val="en-GB"/>
        </w:rPr>
        <w:t xml:space="preserve"> quantifying and </w:t>
      </w:r>
      <w:r w:rsidR="008B4174">
        <w:rPr>
          <w:lang w:val="en-GB"/>
        </w:rPr>
        <w:t>controlling the</w:t>
      </w:r>
      <w:r w:rsidRPr="00A42821">
        <w:rPr>
          <w:lang w:val="en-GB"/>
        </w:rPr>
        <w:t xml:space="preserve"> risks </w:t>
      </w:r>
      <w:r w:rsidR="008B4174">
        <w:rPr>
          <w:lang w:val="en-GB"/>
        </w:rPr>
        <w:t xml:space="preserve">by effective barriers, </w:t>
      </w:r>
      <w:r w:rsidRPr="00A42821">
        <w:rPr>
          <w:lang w:val="en-GB"/>
        </w:rPr>
        <w:t xml:space="preserve">when designing </w:t>
      </w:r>
      <w:r>
        <w:rPr>
          <w:lang w:val="en-GB"/>
        </w:rPr>
        <w:t xml:space="preserve">and managing </w:t>
      </w:r>
      <w:r w:rsidRPr="00A42821">
        <w:rPr>
          <w:lang w:val="en-GB"/>
        </w:rPr>
        <w:t>LNG facilities in different environmental contexts</w:t>
      </w:r>
      <w:r w:rsidR="00287CAE">
        <w:rPr>
          <w:lang w:val="en-GB"/>
        </w:rPr>
        <w:t xml:space="preserve">. </w:t>
      </w:r>
      <w:r>
        <w:rPr>
          <w:lang w:val="en-GB"/>
        </w:rPr>
        <w:t xml:space="preserve">As a final remark, it should be noted that </w:t>
      </w:r>
      <w:r w:rsidR="00DA5161">
        <w:rPr>
          <w:lang w:val="en-GB"/>
        </w:rPr>
        <w:t>upon</w:t>
      </w:r>
      <w:r w:rsidR="00C40408">
        <w:t xml:space="preserve"> final design of the terminal and infrastructures and </w:t>
      </w:r>
      <w:r w:rsidR="00613C80">
        <w:t xml:space="preserve">final Safety Report </w:t>
      </w:r>
      <w:r w:rsidR="00913932">
        <w:t xml:space="preserve">approved </w:t>
      </w:r>
      <w:r w:rsidR="004A1BBE">
        <w:t>by all the competent Authorities</w:t>
      </w:r>
      <w:r w:rsidR="00C40408">
        <w:t>, t</w:t>
      </w:r>
      <w:r w:rsidR="004D67F5" w:rsidRPr="00C9023C">
        <w:t>he risk management methods</w:t>
      </w:r>
      <w:r w:rsidR="00C40408">
        <w:t xml:space="preserve"> </w:t>
      </w:r>
      <w:r>
        <w:t>were</w:t>
      </w:r>
      <w:r w:rsidR="004D67F5" w:rsidRPr="00C9023C">
        <w:t xml:space="preserve"> transferred to the operational phase, </w:t>
      </w:r>
      <w:r w:rsidR="00913932">
        <w:t>by</w:t>
      </w:r>
      <w:r w:rsidR="004D67F5" w:rsidRPr="00C9023C">
        <w:t xml:space="preserve"> the identification of the safety </w:t>
      </w:r>
      <w:r w:rsidR="00691AE2">
        <w:t xml:space="preserve">and security </w:t>
      </w:r>
      <w:r w:rsidR="004D67F5" w:rsidRPr="00C9023C">
        <w:t xml:space="preserve">barriers and the definition of the performance requirements that must be maintained (tests, inspections) </w:t>
      </w:r>
      <w:r w:rsidR="00BF2114">
        <w:t>during</w:t>
      </w:r>
      <w:r w:rsidR="004D67F5" w:rsidRPr="00C9023C">
        <w:t xml:space="preserve"> the </w:t>
      </w:r>
      <w:r w:rsidR="000A4A65">
        <w:t>terminal</w:t>
      </w:r>
      <w:r w:rsidR="004A1BBE">
        <w:t xml:space="preserve"> operation</w:t>
      </w:r>
      <w:r w:rsidR="00C9023C">
        <w:t>.</w:t>
      </w:r>
      <w:r w:rsidR="002E45E5" w:rsidRPr="002E45E5">
        <w:t xml:space="preserve"> </w:t>
      </w:r>
    </w:p>
    <w:p w14:paraId="4F1327F8" w14:textId="77777777" w:rsidR="00600535" w:rsidRDefault="00600535" w:rsidP="00600535">
      <w:pPr>
        <w:pStyle w:val="CETReference"/>
      </w:pPr>
      <w:r w:rsidRPr="00B57B36">
        <w:t>References</w:t>
      </w:r>
    </w:p>
    <w:p w14:paraId="69CEB829" w14:textId="77777777" w:rsidR="005C5E4D" w:rsidRDefault="005C5E4D" w:rsidP="007C0106">
      <w:pPr>
        <w:pStyle w:val="CETReferencetext"/>
      </w:pPr>
      <w:r>
        <w:t xml:space="preserve">Animah I., Shafiee M., 2020, Application of risk analysis in the liquefied natural gas (LNG) sector: An overview. Journal of Loss Prevention in the Process Industries 63, 103980. </w:t>
      </w:r>
    </w:p>
    <w:p w14:paraId="3A7BF468" w14:textId="77777777" w:rsidR="005C5E4D" w:rsidRDefault="005C5E4D" w:rsidP="007C0106">
      <w:pPr>
        <w:pStyle w:val="CETReferencetext"/>
      </w:pPr>
      <w:r>
        <w:t>EC, 2012, Directive 2012/18/EU of the European Parliament and of the Council of 4 July 2012 on the control of major-accident hazards involving dangerous substances. Off. J. Eur. Union L 197, 1–37.</w:t>
      </w:r>
    </w:p>
    <w:p w14:paraId="405C08C2" w14:textId="77777777" w:rsidR="005C5E4D" w:rsidRPr="00F020E7" w:rsidRDefault="005C5E4D" w:rsidP="007C0106">
      <w:pPr>
        <w:pStyle w:val="CETReferencetext"/>
      </w:pPr>
      <w:r w:rsidRPr="00F020E7">
        <w:t>GEXCON</w:t>
      </w:r>
      <w:r>
        <w:t xml:space="preserve">, </w:t>
      </w:r>
      <w:r w:rsidRPr="00F020E7">
        <w:t>2022, FLACS-CFD v22.1r2 User’s Manual.</w:t>
      </w:r>
    </w:p>
    <w:p w14:paraId="25C8BF30" w14:textId="77777777" w:rsidR="005C5E4D" w:rsidRDefault="005C5E4D" w:rsidP="007C0106">
      <w:pPr>
        <w:pStyle w:val="CETReferencetext"/>
      </w:pPr>
      <w:r w:rsidRPr="00AD1299">
        <w:t>Hightower M</w:t>
      </w:r>
      <w:r>
        <w:t>.</w:t>
      </w:r>
      <w:r w:rsidRPr="00AD1299">
        <w:t xml:space="preserve"> M.</w:t>
      </w:r>
      <w:r>
        <w:t xml:space="preserve">, </w:t>
      </w:r>
      <w:r w:rsidRPr="00AD1299">
        <w:t xml:space="preserve">Morrow </w:t>
      </w:r>
      <w:r>
        <w:t xml:space="preserve">C. </w:t>
      </w:r>
      <w:r w:rsidRPr="00AD1299">
        <w:t>W.</w:t>
      </w:r>
      <w:r>
        <w:t>,</w:t>
      </w:r>
      <w:r w:rsidRPr="00AD1299">
        <w:t xml:space="preserve"> Covan </w:t>
      </w:r>
      <w:r>
        <w:t>J.</w:t>
      </w:r>
      <w:r w:rsidRPr="00AD1299">
        <w:t xml:space="preserve"> M.</w:t>
      </w:r>
      <w:r>
        <w:t>,</w:t>
      </w:r>
      <w:r w:rsidRPr="00AD1299">
        <w:t xml:space="preserve"> Gritzo L</w:t>
      </w:r>
      <w:r>
        <w:t>.</w:t>
      </w:r>
      <w:r w:rsidRPr="00AD1299">
        <w:t xml:space="preserve"> A.</w:t>
      </w:r>
      <w:r>
        <w:t>,</w:t>
      </w:r>
      <w:r w:rsidRPr="00AD1299">
        <w:t xml:space="preserve"> Luketa A</w:t>
      </w:r>
      <w:r>
        <w:t>.</w:t>
      </w:r>
      <w:r w:rsidRPr="00AD1299">
        <w:t xml:space="preserve"> L.</w:t>
      </w:r>
      <w:r>
        <w:t>,</w:t>
      </w:r>
      <w:r w:rsidRPr="00AD1299">
        <w:t xml:space="preserve"> Tieszen S</w:t>
      </w:r>
      <w:r>
        <w:t>.</w:t>
      </w:r>
      <w:r w:rsidRPr="00AD1299">
        <w:t xml:space="preserve"> R.</w:t>
      </w:r>
      <w:r>
        <w:t>,</w:t>
      </w:r>
      <w:r w:rsidRPr="00AD1299">
        <w:t xml:space="preserve"> Wellman G</w:t>
      </w:r>
      <w:r>
        <w:t>.</w:t>
      </w:r>
      <w:r w:rsidRPr="00AD1299">
        <w:t xml:space="preserve"> W.</w:t>
      </w:r>
      <w:r>
        <w:t>,</w:t>
      </w:r>
      <w:r w:rsidRPr="00AD1299">
        <w:t xml:space="preserve"> Kaneshige M</w:t>
      </w:r>
      <w:r>
        <w:t xml:space="preserve">. </w:t>
      </w:r>
      <w:r w:rsidRPr="00AD1299">
        <w:t>J.</w:t>
      </w:r>
      <w:r>
        <w:t>,</w:t>
      </w:r>
      <w:r w:rsidRPr="00AD1299">
        <w:t xml:space="preserve"> Melof B</w:t>
      </w:r>
      <w:r>
        <w:t>.</w:t>
      </w:r>
      <w:r w:rsidRPr="00AD1299">
        <w:t xml:space="preserve"> M.</w:t>
      </w:r>
      <w:r>
        <w:t xml:space="preserve">, </w:t>
      </w:r>
      <w:r w:rsidRPr="00F020E7">
        <w:t>2004</w:t>
      </w:r>
      <w:r>
        <w:t>,</w:t>
      </w:r>
      <w:r w:rsidRPr="00F020E7">
        <w:t xml:space="preserve"> Guidance on Risk Analysis and Safety Implications of a Large Liquefied Natural Gas (LNG) Spill Over Water, Sandia National Laboratories, Albuquerque, New Mexico.</w:t>
      </w:r>
    </w:p>
    <w:p w14:paraId="215B5D92" w14:textId="77777777" w:rsidR="005C5E4D" w:rsidRDefault="005C5E4D" w:rsidP="007C0106">
      <w:pPr>
        <w:pStyle w:val="CETReferencetext"/>
      </w:pPr>
      <w:r w:rsidRPr="00F020E7">
        <w:t>Hissong D.W.,</w:t>
      </w:r>
      <w:r>
        <w:t xml:space="preserve"> </w:t>
      </w:r>
      <w:r w:rsidRPr="00F020E7">
        <w:t>2007</w:t>
      </w:r>
      <w:r>
        <w:t>,</w:t>
      </w:r>
      <w:r w:rsidRPr="00F020E7">
        <w:t xml:space="preserve"> Keys to modeling LNG spills on water, </w:t>
      </w:r>
      <w:r w:rsidRPr="009A642F">
        <w:t>Journal of Hazardous Materials 140</w:t>
      </w:r>
      <w:r>
        <w:t xml:space="preserve">, </w:t>
      </w:r>
      <w:r w:rsidRPr="009A642F">
        <w:t>465</w:t>
      </w:r>
      <w:r>
        <w:t>-</w:t>
      </w:r>
      <w:r w:rsidRPr="009A642F">
        <w:t>477</w:t>
      </w:r>
      <w:r w:rsidRPr="00F020E7">
        <w:t>.</w:t>
      </w:r>
    </w:p>
    <w:p w14:paraId="4921684E" w14:textId="77777777" w:rsidR="005C5E4D" w:rsidRPr="00F020E7" w:rsidRDefault="005C5E4D" w:rsidP="007C0106">
      <w:pPr>
        <w:pStyle w:val="CETReferencetext"/>
      </w:pPr>
      <w:r>
        <w:t xml:space="preserve">HSE, 2009, </w:t>
      </w:r>
      <w:r w:rsidRPr="009A642F">
        <w:t>Health Safety Laboratory: RR779 Research Report - Review of FLACS Version 9.0, Dispersion Modelling Capabilities. Norwich, U</w:t>
      </w:r>
      <w:r>
        <w:t>.</w:t>
      </w:r>
      <w:r w:rsidRPr="009A642F">
        <w:t>K</w:t>
      </w:r>
      <w:r w:rsidRPr="00F020E7">
        <w:t>.</w:t>
      </w:r>
    </w:p>
    <w:p w14:paraId="21AB5001" w14:textId="77777777" w:rsidR="005C5E4D" w:rsidRDefault="005C5E4D" w:rsidP="007C0106">
      <w:pPr>
        <w:pStyle w:val="CETReferencetext"/>
      </w:pPr>
      <w:r>
        <w:t>Laurent A., Pey A., Gurtel P., Fabiano B., 2021, A critical perspective on the implementation of the EU Council Seveso Directives in France, Germany, Italy and Spain, Process Saf. Environ. Prot., 148, 47-74.</w:t>
      </w:r>
    </w:p>
    <w:p w14:paraId="4428FDC5" w14:textId="77777777" w:rsidR="005C5E4D" w:rsidRDefault="005C5E4D" w:rsidP="007C0106">
      <w:pPr>
        <w:pStyle w:val="CETReferencetext"/>
        <w:rPr>
          <w:lang w:val="en-US"/>
        </w:rPr>
      </w:pPr>
      <w:r>
        <w:t xml:space="preserve">LS-DYNA, 2019, User’s Manual R11 - Theory Manual R12. </w:t>
      </w:r>
      <w:r w:rsidRPr="007C0106">
        <w:rPr>
          <w:lang w:val="en-US"/>
        </w:rPr>
        <w:t>ANSYS, Inc., Canonsburg, PA, USA.</w:t>
      </w:r>
    </w:p>
    <w:p w14:paraId="739C4C60" w14:textId="77777777" w:rsidR="005C5E4D" w:rsidRPr="007C0106" w:rsidRDefault="005C5E4D" w:rsidP="007C0106">
      <w:pPr>
        <w:pStyle w:val="CETReferencetext"/>
        <w:rPr>
          <w:lang w:val="en-US"/>
        </w:rPr>
      </w:pPr>
      <w:r w:rsidRPr="0013400E">
        <w:rPr>
          <w:lang w:val="en-US"/>
        </w:rPr>
        <w:t>S</w:t>
      </w:r>
      <w:r>
        <w:rPr>
          <w:lang w:val="en-US"/>
        </w:rPr>
        <w:t>INTEF &amp; NTNU, 2015,</w:t>
      </w:r>
      <w:r w:rsidRPr="0013400E">
        <w:rPr>
          <w:lang w:val="en-US"/>
        </w:rPr>
        <w:t xml:space="preserve"> Offshore </w:t>
      </w:r>
      <w:r>
        <w:rPr>
          <w:lang w:val="en-US"/>
        </w:rPr>
        <w:t xml:space="preserve">and Onshore </w:t>
      </w:r>
      <w:r w:rsidRPr="0013400E">
        <w:rPr>
          <w:lang w:val="en-US"/>
        </w:rPr>
        <w:t xml:space="preserve">Reliability Data (OREDA), </w:t>
      </w:r>
      <w:r>
        <w:rPr>
          <w:lang w:val="en-US"/>
        </w:rPr>
        <w:t>6</w:t>
      </w:r>
      <w:r w:rsidRPr="0013400E">
        <w:rPr>
          <w:lang w:val="en-US"/>
        </w:rPr>
        <w:t>th Edition,</w:t>
      </w:r>
      <w:r>
        <w:rPr>
          <w:lang w:val="en-US"/>
        </w:rPr>
        <w:t xml:space="preserve"> Norway</w:t>
      </w:r>
      <w:r w:rsidRPr="0013400E">
        <w:rPr>
          <w:lang w:val="en-US"/>
        </w:rPr>
        <w:t>.</w:t>
      </w:r>
      <w:r w:rsidRPr="007C0106">
        <w:rPr>
          <w:lang w:val="en-US"/>
        </w:rPr>
        <w:t xml:space="preserve">  </w:t>
      </w:r>
    </w:p>
    <w:p w14:paraId="4E2AE899" w14:textId="77777777" w:rsidR="005C5E4D" w:rsidRDefault="005C5E4D" w:rsidP="007C0106">
      <w:pPr>
        <w:pStyle w:val="CETReferencetext"/>
      </w:pPr>
      <w:r w:rsidRPr="00541A7F">
        <w:rPr>
          <w:lang w:val="fr-CM"/>
        </w:rPr>
        <w:t xml:space="preserve">Uijt de Haag P.A.M., Ale B.J.M., 2005. </w:t>
      </w:r>
      <w:r>
        <w:t>Guidelines for Quantitative Risk Assessment (Purple Book).</w:t>
      </w:r>
    </w:p>
    <w:p w14:paraId="5F2A1ACF" w14:textId="77777777" w:rsidR="005C5E4D" w:rsidRPr="003F270F" w:rsidRDefault="005C5E4D" w:rsidP="003F270F">
      <w:pPr>
        <w:pStyle w:val="CETReferencetext"/>
      </w:pPr>
      <w:r w:rsidRPr="00F11EA1">
        <w:t>Vairo T., Gualeni P., Reverberi A.P., Fabiano B., 2021, Resilience Dynamic Assessment Based on Precursor Events: Application to Ship LNG Bunkering Operations, Sustainability, 13, 6836.</w:t>
      </w:r>
      <w:r>
        <w:t xml:space="preserve"> </w:t>
      </w:r>
    </w:p>
    <w:sectPr w:rsidR="005C5E4D" w:rsidRPr="003F270F"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05C66" w14:textId="77777777" w:rsidR="00BB50C5" w:rsidRDefault="00BB50C5" w:rsidP="004F5E36">
      <w:r>
        <w:separator/>
      </w:r>
    </w:p>
  </w:endnote>
  <w:endnote w:type="continuationSeparator" w:id="0">
    <w:p w14:paraId="68BFCFCB" w14:textId="77777777" w:rsidR="00BB50C5" w:rsidRDefault="00BB50C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53C53" w14:textId="77777777" w:rsidR="00BB50C5" w:rsidRDefault="00BB50C5" w:rsidP="004F5E36">
      <w:r>
        <w:separator/>
      </w:r>
    </w:p>
  </w:footnote>
  <w:footnote w:type="continuationSeparator" w:id="0">
    <w:p w14:paraId="645E7ADF" w14:textId="77777777" w:rsidR="00BB50C5" w:rsidRDefault="00BB50C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F672203"/>
    <w:multiLevelType w:val="hybridMultilevel"/>
    <w:tmpl w:val="2EF03D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212CCB"/>
    <w:multiLevelType w:val="hybridMultilevel"/>
    <w:tmpl w:val="4D38ABB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D21CF2BE"/>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9328E"/>
    <w:multiLevelType w:val="hybridMultilevel"/>
    <w:tmpl w:val="09A68546"/>
    <w:lvl w:ilvl="0" w:tplc="1D78ED30">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34A1667"/>
    <w:multiLevelType w:val="multilevel"/>
    <w:tmpl w:val="D9F051E6"/>
    <w:lvl w:ilvl="0">
      <w:start w:val="1"/>
      <w:numFmt w:val="bullet"/>
      <w:pStyle w:val="1Elencopuntato"/>
      <w:lvlText w:val=""/>
      <w:lvlJc w:val="left"/>
      <w:pPr>
        <w:ind w:left="734" w:hanging="396"/>
      </w:pPr>
      <w:rPr>
        <w:rFonts w:ascii="Symbol" w:hAnsi="Symbol" w:hint="default"/>
        <w:b w:val="0"/>
        <w:i w:val="0"/>
        <w:strike w:val="0"/>
        <w:color w:val="auto"/>
        <w:w w:val="100"/>
        <w:sz w:val="18"/>
      </w:rPr>
    </w:lvl>
    <w:lvl w:ilvl="1">
      <w:start w:val="1"/>
      <w:numFmt w:val="bullet"/>
      <w:lvlText w:val=""/>
      <w:lvlJc w:val="left"/>
      <w:pPr>
        <w:ind w:left="1133" w:hanging="399"/>
      </w:pPr>
      <w:rPr>
        <w:rFonts w:ascii="Symbol" w:hAnsi="Symbol" w:hint="default"/>
        <w:b w:val="0"/>
        <w:i w:val="0"/>
        <w:caps w:val="0"/>
        <w:strike w:val="0"/>
        <w:dstrike w:val="0"/>
        <w:vanish w:val="0"/>
        <w:color w:val="auto"/>
        <w:w w:val="100"/>
        <w:sz w:val="18"/>
        <w:u w:val="none"/>
        <w:vertAlign w:val="baseline"/>
      </w:rPr>
    </w:lvl>
    <w:lvl w:ilvl="2">
      <w:numFmt w:val="bullet"/>
      <w:lvlText w:val="•"/>
      <w:lvlJc w:val="left"/>
      <w:pPr>
        <w:ind w:left="2151" w:hanging="399"/>
      </w:pPr>
    </w:lvl>
    <w:lvl w:ilvl="3">
      <w:numFmt w:val="bullet"/>
      <w:lvlText w:val="•"/>
      <w:lvlJc w:val="left"/>
      <w:pPr>
        <w:ind w:left="3163" w:hanging="399"/>
      </w:pPr>
    </w:lvl>
    <w:lvl w:ilvl="4">
      <w:numFmt w:val="bullet"/>
      <w:lvlText w:val="•"/>
      <w:lvlJc w:val="left"/>
      <w:pPr>
        <w:ind w:left="4175" w:hanging="399"/>
      </w:pPr>
    </w:lvl>
    <w:lvl w:ilvl="5">
      <w:numFmt w:val="bullet"/>
      <w:lvlText w:val="•"/>
      <w:lvlJc w:val="left"/>
      <w:pPr>
        <w:ind w:left="5187" w:hanging="399"/>
      </w:pPr>
    </w:lvl>
    <w:lvl w:ilvl="6">
      <w:numFmt w:val="bullet"/>
      <w:lvlText w:val="•"/>
      <w:lvlJc w:val="left"/>
      <w:pPr>
        <w:ind w:left="6199" w:hanging="399"/>
      </w:pPr>
    </w:lvl>
    <w:lvl w:ilvl="7">
      <w:numFmt w:val="bullet"/>
      <w:lvlText w:val="•"/>
      <w:lvlJc w:val="left"/>
      <w:pPr>
        <w:ind w:left="7210" w:hanging="399"/>
      </w:pPr>
    </w:lvl>
    <w:lvl w:ilvl="8">
      <w:numFmt w:val="bullet"/>
      <w:lvlText w:val="•"/>
      <w:lvlJc w:val="left"/>
      <w:pPr>
        <w:ind w:left="8222" w:hanging="399"/>
      </w:p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67565E2"/>
    <w:multiLevelType w:val="hybridMultilevel"/>
    <w:tmpl w:val="94261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C70A5"/>
    <w:multiLevelType w:val="hybridMultilevel"/>
    <w:tmpl w:val="694A9F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1E36E7"/>
    <w:multiLevelType w:val="hybridMultilevel"/>
    <w:tmpl w:val="7F0A2634"/>
    <w:lvl w:ilvl="0" w:tplc="28AA6DE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7A0260"/>
    <w:multiLevelType w:val="hybridMultilevel"/>
    <w:tmpl w:val="6B90E290"/>
    <w:lvl w:ilvl="0" w:tplc="3D94D726">
      <w:start w:val="3"/>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316882765">
    <w:abstractNumId w:val="13"/>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2"/>
  </w:num>
  <w:num w:numId="13" w16cid:durableId="695733619">
    <w:abstractNumId w:val="15"/>
  </w:num>
  <w:num w:numId="14" w16cid:durableId="145903400">
    <w:abstractNumId w:val="23"/>
  </w:num>
  <w:num w:numId="15" w16cid:durableId="19162326">
    <w:abstractNumId w:val="27"/>
  </w:num>
  <w:num w:numId="16" w16cid:durableId="1977102699">
    <w:abstractNumId w:val="24"/>
  </w:num>
  <w:num w:numId="17" w16cid:durableId="860774865">
    <w:abstractNumId w:val="14"/>
  </w:num>
  <w:num w:numId="18" w16cid:durableId="313221457">
    <w:abstractNumId w:val="15"/>
    <w:lvlOverride w:ilvl="0">
      <w:startOverride w:val="1"/>
    </w:lvlOverride>
  </w:num>
  <w:num w:numId="19" w16cid:durableId="534971577">
    <w:abstractNumId w:val="20"/>
  </w:num>
  <w:num w:numId="20" w16cid:durableId="1150947773">
    <w:abstractNumId w:val="19"/>
  </w:num>
  <w:num w:numId="21" w16cid:durableId="124660497">
    <w:abstractNumId w:val="18"/>
  </w:num>
  <w:num w:numId="22" w16cid:durableId="2099861471">
    <w:abstractNumId w:val="16"/>
  </w:num>
  <w:num w:numId="23" w16cid:durableId="84351335">
    <w:abstractNumId w:val="11"/>
  </w:num>
  <w:num w:numId="24" w16cid:durableId="1447238243">
    <w:abstractNumId w:val="10"/>
  </w:num>
  <w:num w:numId="25" w16cid:durableId="1947611860">
    <w:abstractNumId w:val="12"/>
  </w:num>
  <w:num w:numId="26" w16cid:durableId="19011128">
    <w:abstractNumId w:val="15"/>
  </w:num>
  <w:num w:numId="27" w16cid:durableId="1950895329">
    <w:abstractNumId w:val="17"/>
  </w:num>
  <w:num w:numId="28" w16cid:durableId="1996032208">
    <w:abstractNumId w:val="21"/>
  </w:num>
  <w:num w:numId="29" w16cid:durableId="1205674276">
    <w:abstractNumId w:val="28"/>
  </w:num>
  <w:num w:numId="30" w16cid:durableId="919752933">
    <w:abstractNumId w:val="29"/>
  </w:num>
  <w:num w:numId="31" w16cid:durableId="996222880">
    <w:abstractNumId w:val="15"/>
  </w:num>
  <w:num w:numId="32" w16cid:durableId="1176575901">
    <w:abstractNumId w:val="15"/>
  </w:num>
  <w:num w:numId="33" w16cid:durableId="563757542">
    <w:abstractNumId w:val="25"/>
  </w:num>
  <w:num w:numId="34" w16cid:durableId="1995791654">
    <w:abstractNumId w:val="26"/>
  </w:num>
  <w:num w:numId="35" w16cid:durableId="76174564">
    <w:abstractNumId w:val="21"/>
  </w:num>
  <w:num w:numId="36" w16cid:durableId="11894881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7766"/>
    <w:rsid w:val="000101D0"/>
    <w:rsid w:val="000106D1"/>
    <w:rsid w:val="000117CB"/>
    <w:rsid w:val="000162B7"/>
    <w:rsid w:val="0003148D"/>
    <w:rsid w:val="00031B83"/>
    <w:rsid w:val="00031EEC"/>
    <w:rsid w:val="00034F32"/>
    <w:rsid w:val="00037DD7"/>
    <w:rsid w:val="00051566"/>
    <w:rsid w:val="000562A9"/>
    <w:rsid w:val="00062A9A"/>
    <w:rsid w:val="00062E51"/>
    <w:rsid w:val="00065058"/>
    <w:rsid w:val="00070F0E"/>
    <w:rsid w:val="00071E73"/>
    <w:rsid w:val="00074DEE"/>
    <w:rsid w:val="00081F7D"/>
    <w:rsid w:val="00083F3E"/>
    <w:rsid w:val="00086C39"/>
    <w:rsid w:val="000932D9"/>
    <w:rsid w:val="00097222"/>
    <w:rsid w:val="000A03B2"/>
    <w:rsid w:val="000A4A65"/>
    <w:rsid w:val="000B7410"/>
    <w:rsid w:val="000D0268"/>
    <w:rsid w:val="000D34BE"/>
    <w:rsid w:val="000E0B3C"/>
    <w:rsid w:val="000E102F"/>
    <w:rsid w:val="000E36F1"/>
    <w:rsid w:val="000E3A73"/>
    <w:rsid w:val="000E414A"/>
    <w:rsid w:val="000E75FD"/>
    <w:rsid w:val="000F093C"/>
    <w:rsid w:val="000F09B3"/>
    <w:rsid w:val="000F787B"/>
    <w:rsid w:val="00103C15"/>
    <w:rsid w:val="0010544D"/>
    <w:rsid w:val="001124E4"/>
    <w:rsid w:val="0011646E"/>
    <w:rsid w:val="0012091F"/>
    <w:rsid w:val="00121228"/>
    <w:rsid w:val="00126BC2"/>
    <w:rsid w:val="001308B6"/>
    <w:rsid w:val="0013121F"/>
    <w:rsid w:val="00131FE6"/>
    <w:rsid w:val="0013263F"/>
    <w:rsid w:val="001331DF"/>
    <w:rsid w:val="0013400E"/>
    <w:rsid w:val="00134742"/>
    <w:rsid w:val="00134DE4"/>
    <w:rsid w:val="0014034D"/>
    <w:rsid w:val="00140FE3"/>
    <w:rsid w:val="001425B6"/>
    <w:rsid w:val="00144D16"/>
    <w:rsid w:val="00150E59"/>
    <w:rsid w:val="001510CA"/>
    <w:rsid w:val="00152DE3"/>
    <w:rsid w:val="00163117"/>
    <w:rsid w:val="00164CF9"/>
    <w:rsid w:val="001667A6"/>
    <w:rsid w:val="00175D0C"/>
    <w:rsid w:val="00177888"/>
    <w:rsid w:val="0018171E"/>
    <w:rsid w:val="00181D9E"/>
    <w:rsid w:val="00184AD6"/>
    <w:rsid w:val="00186FFA"/>
    <w:rsid w:val="001875E5"/>
    <w:rsid w:val="001A4AF7"/>
    <w:rsid w:val="001A7435"/>
    <w:rsid w:val="001A7C61"/>
    <w:rsid w:val="001B0349"/>
    <w:rsid w:val="001B0568"/>
    <w:rsid w:val="001B1E93"/>
    <w:rsid w:val="001B65C1"/>
    <w:rsid w:val="001C260F"/>
    <w:rsid w:val="001C5C3A"/>
    <w:rsid w:val="001C684B"/>
    <w:rsid w:val="001D0CFB"/>
    <w:rsid w:val="001D21AF"/>
    <w:rsid w:val="001D3F15"/>
    <w:rsid w:val="001D53FC"/>
    <w:rsid w:val="001F42A5"/>
    <w:rsid w:val="001F7B9D"/>
    <w:rsid w:val="00201C93"/>
    <w:rsid w:val="00202A25"/>
    <w:rsid w:val="00205D93"/>
    <w:rsid w:val="002153E7"/>
    <w:rsid w:val="00217B3A"/>
    <w:rsid w:val="002224B4"/>
    <w:rsid w:val="002274C4"/>
    <w:rsid w:val="00234BFC"/>
    <w:rsid w:val="002447EF"/>
    <w:rsid w:val="00251550"/>
    <w:rsid w:val="00263B05"/>
    <w:rsid w:val="0027221A"/>
    <w:rsid w:val="00275B61"/>
    <w:rsid w:val="00280FAF"/>
    <w:rsid w:val="00282656"/>
    <w:rsid w:val="0028783E"/>
    <w:rsid w:val="00287CAE"/>
    <w:rsid w:val="00296B83"/>
    <w:rsid w:val="002B023D"/>
    <w:rsid w:val="002B4015"/>
    <w:rsid w:val="002B5BE5"/>
    <w:rsid w:val="002B78CE"/>
    <w:rsid w:val="002C06C6"/>
    <w:rsid w:val="002C2FB6"/>
    <w:rsid w:val="002E45E5"/>
    <w:rsid w:val="002E4FF8"/>
    <w:rsid w:val="002E5FA7"/>
    <w:rsid w:val="002F05AE"/>
    <w:rsid w:val="002F07F3"/>
    <w:rsid w:val="002F3309"/>
    <w:rsid w:val="002F7D67"/>
    <w:rsid w:val="003008CE"/>
    <w:rsid w:val="003009B7"/>
    <w:rsid w:val="00300E56"/>
    <w:rsid w:val="0030152C"/>
    <w:rsid w:val="0030469C"/>
    <w:rsid w:val="003176BD"/>
    <w:rsid w:val="003179EF"/>
    <w:rsid w:val="0032043F"/>
    <w:rsid w:val="0032156A"/>
    <w:rsid w:val="00321CA6"/>
    <w:rsid w:val="00323763"/>
    <w:rsid w:val="00323C5F"/>
    <w:rsid w:val="00324D1B"/>
    <w:rsid w:val="00334C09"/>
    <w:rsid w:val="003520C2"/>
    <w:rsid w:val="003723D4"/>
    <w:rsid w:val="00374CAE"/>
    <w:rsid w:val="00380151"/>
    <w:rsid w:val="00381905"/>
    <w:rsid w:val="00384CC8"/>
    <w:rsid w:val="003871FD"/>
    <w:rsid w:val="003A1E30"/>
    <w:rsid w:val="003A24E6"/>
    <w:rsid w:val="003A2829"/>
    <w:rsid w:val="003A7D1C"/>
    <w:rsid w:val="003B304B"/>
    <w:rsid w:val="003B3146"/>
    <w:rsid w:val="003B49CD"/>
    <w:rsid w:val="003D0CDE"/>
    <w:rsid w:val="003D1E02"/>
    <w:rsid w:val="003D361C"/>
    <w:rsid w:val="003F015E"/>
    <w:rsid w:val="003F270F"/>
    <w:rsid w:val="003F3853"/>
    <w:rsid w:val="00400414"/>
    <w:rsid w:val="004025BF"/>
    <w:rsid w:val="004139DA"/>
    <w:rsid w:val="0041446B"/>
    <w:rsid w:val="004165CF"/>
    <w:rsid w:val="00431570"/>
    <w:rsid w:val="004332A8"/>
    <w:rsid w:val="004404A9"/>
    <w:rsid w:val="0044071E"/>
    <w:rsid w:val="0044329C"/>
    <w:rsid w:val="00446455"/>
    <w:rsid w:val="00453E24"/>
    <w:rsid w:val="00457456"/>
    <w:rsid w:val="004577FE"/>
    <w:rsid w:val="00457A95"/>
    <w:rsid w:val="00457B9C"/>
    <w:rsid w:val="0046164A"/>
    <w:rsid w:val="004628D2"/>
    <w:rsid w:val="00462DCD"/>
    <w:rsid w:val="00463DE5"/>
    <w:rsid w:val="004648AD"/>
    <w:rsid w:val="004703A9"/>
    <w:rsid w:val="004760DE"/>
    <w:rsid w:val="004763D7"/>
    <w:rsid w:val="00487181"/>
    <w:rsid w:val="004A004E"/>
    <w:rsid w:val="004A1BBE"/>
    <w:rsid w:val="004A24CF"/>
    <w:rsid w:val="004C0F2A"/>
    <w:rsid w:val="004C3D1D"/>
    <w:rsid w:val="004C3D84"/>
    <w:rsid w:val="004C7913"/>
    <w:rsid w:val="004D3139"/>
    <w:rsid w:val="004D67F5"/>
    <w:rsid w:val="004D6AA2"/>
    <w:rsid w:val="004D7D12"/>
    <w:rsid w:val="004E038A"/>
    <w:rsid w:val="004E3AA0"/>
    <w:rsid w:val="004E3AA1"/>
    <w:rsid w:val="004E4DD6"/>
    <w:rsid w:val="004F5E36"/>
    <w:rsid w:val="004F68FD"/>
    <w:rsid w:val="00507B47"/>
    <w:rsid w:val="00507BEF"/>
    <w:rsid w:val="00507CC9"/>
    <w:rsid w:val="00510E82"/>
    <w:rsid w:val="005119A5"/>
    <w:rsid w:val="005278B7"/>
    <w:rsid w:val="00530D44"/>
    <w:rsid w:val="00532016"/>
    <w:rsid w:val="005346C8"/>
    <w:rsid w:val="00541926"/>
    <w:rsid w:val="00541A7F"/>
    <w:rsid w:val="005424FC"/>
    <w:rsid w:val="0054310C"/>
    <w:rsid w:val="0054336D"/>
    <w:rsid w:val="00543E7D"/>
    <w:rsid w:val="00547A68"/>
    <w:rsid w:val="005531C9"/>
    <w:rsid w:val="00554879"/>
    <w:rsid w:val="00557C55"/>
    <w:rsid w:val="00570105"/>
    <w:rsid w:val="00570C43"/>
    <w:rsid w:val="00580B79"/>
    <w:rsid w:val="00592274"/>
    <w:rsid w:val="0059784D"/>
    <w:rsid w:val="005A0BCC"/>
    <w:rsid w:val="005A2988"/>
    <w:rsid w:val="005A4EF7"/>
    <w:rsid w:val="005A5ED3"/>
    <w:rsid w:val="005B2110"/>
    <w:rsid w:val="005B350B"/>
    <w:rsid w:val="005B597F"/>
    <w:rsid w:val="005B5BEE"/>
    <w:rsid w:val="005B61E6"/>
    <w:rsid w:val="005C5E4D"/>
    <w:rsid w:val="005C77E1"/>
    <w:rsid w:val="005D6105"/>
    <w:rsid w:val="005D668A"/>
    <w:rsid w:val="005D6A2F"/>
    <w:rsid w:val="005E0592"/>
    <w:rsid w:val="005E1A82"/>
    <w:rsid w:val="005E794C"/>
    <w:rsid w:val="005F0A28"/>
    <w:rsid w:val="005F0E0C"/>
    <w:rsid w:val="005F0E5E"/>
    <w:rsid w:val="005F2507"/>
    <w:rsid w:val="00600535"/>
    <w:rsid w:val="00610CD6"/>
    <w:rsid w:val="00613C80"/>
    <w:rsid w:val="00620DEE"/>
    <w:rsid w:val="00621F92"/>
    <w:rsid w:val="0062280A"/>
    <w:rsid w:val="006231E1"/>
    <w:rsid w:val="00624CE7"/>
    <w:rsid w:val="00625639"/>
    <w:rsid w:val="006316A9"/>
    <w:rsid w:val="00631B33"/>
    <w:rsid w:val="0064069C"/>
    <w:rsid w:val="0064184D"/>
    <w:rsid w:val="006422CC"/>
    <w:rsid w:val="00644205"/>
    <w:rsid w:val="00651D18"/>
    <w:rsid w:val="006567D5"/>
    <w:rsid w:val="00660E3E"/>
    <w:rsid w:val="00662E74"/>
    <w:rsid w:val="00674378"/>
    <w:rsid w:val="006771E6"/>
    <w:rsid w:val="00680C23"/>
    <w:rsid w:val="00683E23"/>
    <w:rsid w:val="00687B2D"/>
    <w:rsid w:val="00690097"/>
    <w:rsid w:val="0069064E"/>
    <w:rsid w:val="00691AE2"/>
    <w:rsid w:val="00693766"/>
    <w:rsid w:val="006957AF"/>
    <w:rsid w:val="006A3281"/>
    <w:rsid w:val="006A6DE5"/>
    <w:rsid w:val="006B4888"/>
    <w:rsid w:val="006B5CA8"/>
    <w:rsid w:val="006C2E45"/>
    <w:rsid w:val="006C359C"/>
    <w:rsid w:val="006C5579"/>
    <w:rsid w:val="006D0DE0"/>
    <w:rsid w:val="006D6E8B"/>
    <w:rsid w:val="006D7209"/>
    <w:rsid w:val="006D7DAD"/>
    <w:rsid w:val="006E1C00"/>
    <w:rsid w:val="006E737D"/>
    <w:rsid w:val="00701FB5"/>
    <w:rsid w:val="00702579"/>
    <w:rsid w:val="00702B29"/>
    <w:rsid w:val="00707DD1"/>
    <w:rsid w:val="00711BD6"/>
    <w:rsid w:val="00713631"/>
    <w:rsid w:val="00713973"/>
    <w:rsid w:val="00720A24"/>
    <w:rsid w:val="00732386"/>
    <w:rsid w:val="0073514D"/>
    <w:rsid w:val="007361D3"/>
    <w:rsid w:val="00736BB5"/>
    <w:rsid w:val="00742CF1"/>
    <w:rsid w:val="007447F3"/>
    <w:rsid w:val="0075499F"/>
    <w:rsid w:val="00756A4E"/>
    <w:rsid w:val="007657E2"/>
    <w:rsid w:val="007661C8"/>
    <w:rsid w:val="00770669"/>
    <w:rsid w:val="0077098D"/>
    <w:rsid w:val="0077277E"/>
    <w:rsid w:val="007857E8"/>
    <w:rsid w:val="00785BF9"/>
    <w:rsid w:val="007931FA"/>
    <w:rsid w:val="007A3E77"/>
    <w:rsid w:val="007A4861"/>
    <w:rsid w:val="007A7BBA"/>
    <w:rsid w:val="007B02F3"/>
    <w:rsid w:val="007B0C50"/>
    <w:rsid w:val="007B38E6"/>
    <w:rsid w:val="007B48F9"/>
    <w:rsid w:val="007B5F73"/>
    <w:rsid w:val="007C0106"/>
    <w:rsid w:val="007C09CC"/>
    <w:rsid w:val="007C1A43"/>
    <w:rsid w:val="007D0951"/>
    <w:rsid w:val="007D3F1E"/>
    <w:rsid w:val="007D610D"/>
    <w:rsid w:val="007E0308"/>
    <w:rsid w:val="007E47A2"/>
    <w:rsid w:val="0080013E"/>
    <w:rsid w:val="00801759"/>
    <w:rsid w:val="00810D79"/>
    <w:rsid w:val="00813288"/>
    <w:rsid w:val="008141FB"/>
    <w:rsid w:val="008168FC"/>
    <w:rsid w:val="00830996"/>
    <w:rsid w:val="008345F1"/>
    <w:rsid w:val="0084038C"/>
    <w:rsid w:val="008644BD"/>
    <w:rsid w:val="00865B07"/>
    <w:rsid w:val="008667EA"/>
    <w:rsid w:val="0087637F"/>
    <w:rsid w:val="00892AD5"/>
    <w:rsid w:val="008967AD"/>
    <w:rsid w:val="0089780A"/>
    <w:rsid w:val="008A1512"/>
    <w:rsid w:val="008A5CE4"/>
    <w:rsid w:val="008B4174"/>
    <w:rsid w:val="008C7959"/>
    <w:rsid w:val="008D0DC8"/>
    <w:rsid w:val="008D176E"/>
    <w:rsid w:val="008D32B9"/>
    <w:rsid w:val="008D3BA4"/>
    <w:rsid w:val="008D40BE"/>
    <w:rsid w:val="008D433B"/>
    <w:rsid w:val="008D46E5"/>
    <w:rsid w:val="008D4A16"/>
    <w:rsid w:val="008E1C89"/>
    <w:rsid w:val="008E4570"/>
    <w:rsid w:val="008E5401"/>
    <w:rsid w:val="008E566E"/>
    <w:rsid w:val="008F368E"/>
    <w:rsid w:val="0090161A"/>
    <w:rsid w:val="00901EB6"/>
    <w:rsid w:val="009041F8"/>
    <w:rsid w:val="00904C62"/>
    <w:rsid w:val="00910D20"/>
    <w:rsid w:val="00913932"/>
    <w:rsid w:val="0091631A"/>
    <w:rsid w:val="00922BA8"/>
    <w:rsid w:val="00924DAC"/>
    <w:rsid w:val="00927058"/>
    <w:rsid w:val="0093129A"/>
    <w:rsid w:val="009348DC"/>
    <w:rsid w:val="00936169"/>
    <w:rsid w:val="00942750"/>
    <w:rsid w:val="00942CFA"/>
    <w:rsid w:val="009445DC"/>
    <w:rsid w:val="009450CE"/>
    <w:rsid w:val="009459BB"/>
    <w:rsid w:val="00946AAB"/>
    <w:rsid w:val="00947179"/>
    <w:rsid w:val="0095164B"/>
    <w:rsid w:val="00951AAE"/>
    <w:rsid w:val="00954090"/>
    <w:rsid w:val="009573E7"/>
    <w:rsid w:val="00963E05"/>
    <w:rsid w:val="00964A45"/>
    <w:rsid w:val="00964ADA"/>
    <w:rsid w:val="00967843"/>
    <w:rsid w:val="00967D54"/>
    <w:rsid w:val="00970F82"/>
    <w:rsid w:val="00971028"/>
    <w:rsid w:val="009823DF"/>
    <w:rsid w:val="009870DE"/>
    <w:rsid w:val="00993B84"/>
    <w:rsid w:val="00994C6A"/>
    <w:rsid w:val="00996483"/>
    <w:rsid w:val="00996F5A"/>
    <w:rsid w:val="009A2045"/>
    <w:rsid w:val="009A642F"/>
    <w:rsid w:val="009B041A"/>
    <w:rsid w:val="009C0463"/>
    <w:rsid w:val="009C302B"/>
    <w:rsid w:val="009C37C3"/>
    <w:rsid w:val="009C3B25"/>
    <w:rsid w:val="009C431A"/>
    <w:rsid w:val="009C7BAB"/>
    <w:rsid w:val="009C7C86"/>
    <w:rsid w:val="009D2FF7"/>
    <w:rsid w:val="009D3A1D"/>
    <w:rsid w:val="009E002F"/>
    <w:rsid w:val="009E6EC9"/>
    <w:rsid w:val="009E7884"/>
    <w:rsid w:val="009E788A"/>
    <w:rsid w:val="009F0E08"/>
    <w:rsid w:val="009F2556"/>
    <w:rsid w:val="009F25A5"/>
    <w:rsid w:val="009F3D29"/>
    <w:rsid w:val="00A079AE"/>
    <w:rsid w:val="00A16AEC"/>
    <w:rsid w:val="00A17300"/>
    <w:rsid w:val="00A1763D"/>
    <w:rsid w:val="00A17CEC"/>
    <w:rsid w:val="00A17F77"/>
    <w:rsid w:val="00A20AA6"/>
    <w:rsid w:val="00A23033"/>
    <w:rsid w:val="00A27EF0"/>
    <w:rsid w:val="00A35ADE"/>
    <w:rsid w:val="00A368F3"/>
    <w:rsid w:val="00A42361"/>
    <w:rsid w:val="00A42821"/>
    <w:rsid w:val="00A50B20"/>
    <w:rsid w:val="00A51390"/>
    <w:rsid w:val="00A570F5"/>
    <w:rsid w:val="00A60D13"/>
    <w:rsid w:val="00A64D0C"/>
    <w:rsid w:val="00A714D1"/>
    <w:rsid w:val="00A7223D"/>
    <w:rsid w:val="00A72745"/>
    <w:rsid w:val="00A76EFC"/>
    <w:rsid w:val="00A86467"/>
    <w:rsid w:val="00A87D50"/>
    <w:rsid w:val="00A91010"/>
    <w:rsid w:val="00A97F29"/>
    <w:rsid w:val="00AA702E"/>
    <w:rsid w:val="00AA7D26"/>
    <w:rsid w:val="00AB0964"/>
    <w:rsid w:val="00AB26CF"/>
    <w:rsid w:val="00AB3F7E"/>
    <w:rsid w:val="00AB5011"/>
    <w:rsid w:val="00AB7350"/>
    <w:rsid w:val="00AC6964"/>
    <w:rsid w:val="00AC7368"/>
    <w:rsid w:val="00AD16B9"/>
    <w:rsid w:val="00AD79DB"/>
    <w:rsid w:val="00AE11C3"/>
    <w:rsid w:val="00AE377D"/>
    <w:rsid w:val="00AF0EBA"/>
    <w:rsid w:val="00AF2463"/>
    <w:rsid w:val="00B02C8A"/>
    <w:rsid w:val="00B0473B"/>
    <w:rsid w:val="00B07E98"/>
    <w:rsid w:val="00B17FBD"/>
    <w:rsid w:val="00B315A6"/>
    <w:rsid w:val="00B31813"/>
    <w:rsid w:val="00B33365"/>
    <w:rsid w:val="00B42D17"/>
    <w:rsid w:val="00B57B36"/>
    <w:rsid w:val="00B57E6F"/>
    <w:rsid w:val="00B75DBE"/>
    <w:rsid w:val="00B77C40"/>
    <w:rsid w:val="00B8686D"/>
    <w:rsid w:val="00B92D50"/>
    <w:rsid w:val="00B93F69"/>
    <w:rsid w:val="00BA0199"/>
    <w:rsid w:val="00BA6EFF"/>
    <w:rsid w:val="00BB14EE"/>
    <w:rsid w:val="00BB1D15"/>
    <w:rsid w:val="00BB1DDC"/>
    <w:rsid w:val="00BB50C5"/>
    <w:rsid w:val="00BC30C9"/>
    <w:rsid w:val="00BC4404"/>
    <w:rsid w:val="00BC6E2E"/>
    <w:rsid w:val="00BD077D"/>
    <w:rsid w:val="00BD69C5"/>
    <w:rsid w:val="00BE3E58"/>
    <w:rsid w:val="00BF13CE"/>
    <w:rsid w:val="00BF2114"/>
    <w:rsid w:val="00C01616"/>
    <w:rsid w:val="00C0162B"/>
    <w:rsid w:val="00C0276F"/>
    <w:rsid w:val="00C068ED"/>
    <w:rsid w:val="00C16A09"/>
    <w:rsid w:val="00C17BD1"/>
    <w:rsid w:val="00C22E0C"/>
    <w:rsid w:val="00C253F2"/>
    <w:rsid w:val="00C345B1"/>
    <w:rsid w:val="00C40142"/>
    <w:rsid w:val="00C40408"/>
    <w:rsid w:val="00C52183"/>
    <w:rsid w:val="00C529C5"/>
    <w:rsid w:val="00C52C3C"/>
    <w:rsid w:val="00C57182"/>
    <w:rsid w:val="00C57863"/>
    <w:rsid w:val="00C640AF"/>
    <w:rsid w:val="00C64B63"/>
    <w:rsid w:val="00C655FD"/>
    <w:rsid w:val="00C75407"/>
    <w:rsid w:val="00C8248E"/>
    <w:rsid w:val="00C841C6"/>
    <w:rsid w:val="00C870A8"/>
    <w:rsid w:val="00C9023C"/>
    <w:rsid w:val="00C93A67"/>
    <w:rsid w:val="00C94434"/>
    <w:rsid w:val="00C97557"/>
    <w:rsid w:val="00CA0D75"/>
    <w:rsid w:val="00CA1C95"/>
    <w:rsid w:val="00CA1ED7"/>
    <w:rsid w:val="00CA31A3"/>
    <w:rsid w:val="00CA5A9C"/>
    <w:rsid w:val="00CA5B8A"/>
    <w:rsid w:val="00CB00F9"/>
    <w:rsid w:val="00CC4C20"/>
    <w:rsid w:val="00CC5A80"/>
    <w:rsid w:val="00CD3517"/>
    <w:rsid w:val="00CD5FE2"/>
    <w:rsid w:val="00CD648C"/>
    <w:rsid w:val="00CE07E5"/>
    <w:rsid w:val="00CE7C68"/>
    <w:rsid w:val="00D02B4C"/>
    <w:rsid w:val="00D040C4"/>
    <w:rsid w:val="00D044EC"/>
    <w:rsid w:val="00D20AD1"/>
    <w:rsid w:val="00D2582C"/>
    <w:rsid w:val="00D27B3A"/>
    <w:rsid w:val="00D43819"/>
    <w:rsid w:val="00D43B74"/>
    <w:rsid w:val="00D460D1"/>
    <w:rsid w:val="00D46B7E"/>
    <w:rsid w:val="00D57786"/>
    <w:rsid w:val="00D57C84"/>
    <w:rsid w:val="00D6057D"/>
    <w:rsid w:val="00D71640"/>
    <w:rsid w:val="00D72E74"/>
    <w:rsid w:val="00D836C5"/>
    <w:rsid w:val="00D84576"/>
    <w:rsid w:val="00D8629B"/>
    <w:rsid w:val="00D92F1F"/>
    <w:rsid w:val="00D93FC2"/>
    <w:rsid w:val="00DA1399"/>
    <w:rsid w:val="00DA21C2"/>
    <w:rsid w:val="00DA24C6"/>
    <w:rsid w:val="00DA4D7B"/>
    <w:rsid w:val="00DA5161"/>
    <w:rsid w:val="00DC2840"/>
    <w:rsid w:val="00DC73EE"/>
    <w:rsid w:val="00DD271C"/>
    <w:rsid w:val="00DD28CB"/>
    <w:rsid w:val="00DD3E93"/>
    <w:rsid w:val="00DE264A"/>
    <w:rsid w:val="00DF315E"/>
    <w:rsid w:val="00DF5072"/>
    <w:rsid w:val="00E02D18"/>
    <w:rsid w:val="00E041E7"/>
    <w:rsid w:val="00E162C8"/>
    <w:rsid w:val="00E23CA1"/>
    <w:rsid w:val="00E33768"/>
    <w:rsid w:val="00E360C5"/>
    <w:rsid w:val="00E409A8"/>
    <w:rsid w:val="00E43330"/>
    <w:rsid w:val="00E50C12"/>
    <w:rsid w:val="00E65B91"/>
    <w:rsid w:val="00E703B1"/>
    <w:rsid w:val="00E7209D"/>
    <w:rsid w:val="00E72EAD"/>
    <w:rsid w:val="00E76DFF"/>
    <w:rsid w:val="00E77223"/>
    <w:rsid w:val="00E777DA"/>
    <w:rsid w:val="00E843F8"/>
    <w:rsid w:val="00E8528B"/>
    <w:rsid w:val="00E85B94"/>
    <w:rsid w:val="00E92C96"/>
    <w:rsid w:val="00E9452A"/>
    <w:rsid w:val="00E94A7F"/>
    <w:rsid w:val="00E978D0"/>
    <w:rsid w:val="00EA4613"/>
    <w:rsid w:val="00EA7F91"/>
    <w:rsid w:val="00EB1523"/>
    <w:rsid w:val="00EC0E49"/>
    <w:rsid w:val="00EC0EB0"/>
    <w:rsid w:val="00EC101F"/>
    <w:rsid w:val="00EC1D9F"/>
    <w:rsid w:val="00EC3EC4"/>
    <w:rsid w:val="00ED17D8"/>
    <w:rsid w:val="00ED7678"/>
    <w:rsid w:val="00ED7DA5"/>
    <w:rsid w:val="00EE0131"/>
    <w:rsid w:val="00EE17B0"/>
    <w:rsid w:val="00EE1F91"/>
    <w:rsid w:val="00EF06D9"/>
    <w:rsid w:val="00F044D3"/>
    <w:rsid w:val="00F11EA1"/>
    <w:rsid w:val="00F1650B"/>
    <w:rsid w:val="00F200FB"/>
    <w:rsid w:val="00F21093"/>
    <w:rsid w:val="00F21C63"/>
    <w:rsid w:val="00F27EE4"/>
    <w:rsid w:val="00F3049E"/>
    <w:rsid w:val="00F30C64"/>
    <w:rsid w:val="00F32BA2"/>
    <w:rsid w:val="00F32CDB"/>
    <w:rsid w:val="00F41EE4"/>
    <w:rsid w:val="00F53B86"/>
    <w:rsid w:val="00F565FE"/>
    <w:rsid w:val="00F63A70"/>
    <w:rsid w:val="00F63D8C"/>
    <w:rsid w:val="00F664FC"/>
    <w:rsid w:val="00F7534E"/>
    <w:rsid w:val="00F93EDF"/>
    <w:rsid w:val="00FA1802"/>
    <w:rsid w:val="00FA21D0"/>
    <w:rsid w:val="00FA5F5F"/>
    <w:rsid w:val="00FB5053"/>
    <w:rsid w:val="00FB730C"/>
    <w:rsid w:val="00FC2695"/>
    <w:rsid w:val="00FC3E03"/>
    <w:rsid w:val="00FC3FC1"/>
    <w:rsid w:val="00FD36F7"/>
    <w:rsid w:val="00FE7F38"/>
    <w:rsid w:val="00FF54A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8D0DC8"/>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B0568"/>
    <w:pPr>
      <w:keepNext/>
      <w:suppressAutoHyphens/>
      <w:spacing w:before="24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B056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1"/>
    <w:unhideWhenUsed/>
    <w:qFormat/>
    <w:rsid w:val="0003148D"/>
    <w:pPr>
      <w:spacing w:after="120"/>
    </w:pPr>
  </w:style>
  <w:style w:type="character" w:customStyle="1" w:styleId="CorpotestoCarattere">
    <w:name w:val="Corpo testo Carattere"/>
    <w:basedOn w:val="Carpredefinitoparagrafo"/>
    <w:link w:val="Corpotesto"/>
    <w:uiPriority w:val="1"/>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134742"/>
    <w:rPr>
      <w:color w:val="605E5C"/>
      <w:shd w:val="clear" w:color="auto" w:fill="E1DFDD"/>
    </w:rPr>
  </w:style>
  <w:style w:type="paragraph" w:customStyle="1" w:styleId="1Elencopuntato">
    <w:name w:val="1° Elenco puntato"/>
    <w:basedOn w:val="Paragrafoelenco"/>
    <w:link w:val="1ElencopuntatoCarattere"/>
    <w:uiPriority w:val="1"/>
    <w:qFormat/>
    <w:rsid w:val="00BD69C5"/>
    <w:pPr>
      <w:widowControl w:val="0"/>
      <w:numPr>
        <w:numId w:val="28"/>
      </w:numPr>
      <w:tabs>
        <w:tab w:val="clear" w:pos="7100"/>
      </w:tabs>
      <w:kinsoku w:val="0"/>
      <w:overflowPunct w:val="0"/>
      <w:autoSpaceDE w:val="0"/>
      <w:autoSpaceDN w:val="0"/>
      <w:adjustRightInd w:val="0"/>
      <w:spacing w:before="120" w:line="240" w:lineRule="auto"/>
      <w:contextualSpacing w:val="0"/>
    </w:pPr>
    <w:rPr>
      <w:rFonts w:ascii="Times New Roman" w:hAnsi="Times New Roman"/>
      <w:sz w:val="24"/>
      <w:szCs w:val="24"/>
      <w:lang w:val="it-IT" w:eastAsia="it-IT"/>
    </w:rPr>
  </w:style>
  <w:style w:type="character" w:customStyle="1" w:styleId="1ElencopuntatoCarattere">
    <w:name w:val="1° Elenco puntato Carattere"/>
    <w:basedOn w:val="Carpredefinitoparagrafo"/>
    <w:link w:val="1Elencopuntato"/>
    <w:uiPriority w:val="1"/>
    <w:rsid w:val="00BD69C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6089">
      <w:bodyDiv w:val="1"/>
      <w:marLeft w:val="0"/>
      <w:marRight w:val="0"/>
      <w:marTop w:val="0"/>
      <w:marBottom w:val="0"/>
      <w:divBdr>
        <w:top w:val="none" w:sz="0" w:space="0" w:color="auto"/>
        <w:left w:val="none" w:sz="0" w:space="0" w:color="auto"/>
        <w:bottom w:val="none" w:sz="0" w:space="0" w:color="auto"/>
        <w:right w:val="none" w:sz="0" w:space="0" w:color="auto"/>
      </w:divBdr>
    </w:div>
    <w:div w:id="91971906">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5739730">
      <w:bodyDiv w:val="1"/>
      <w:marLeft w:val="0"/>
      <w:marRight w:val="0"/>
      <w:marTop w:val="0"/>
      <w:marBottom w:val="0"/>
      <w:divBdr>
        <w:top w:val="none" w:sz="0" w:space="0" w:color="auto"/>
        <w:left w:val="none" w:sz="0" w:space="0" w:color="auto"/>
        <w:bottom w:val="none" w:sz="0" w:space="0" w:color="auto"/>
        <w:right w:val="none" w:sz="0" w:space="0" w:color="auto"/>
      </w:divBdr>
    </w:div>
    <w:div w:id="119302201">
      <w:bodyDiv w:val="1"/>
      <w:marLeft w:val="0"/>
      <w:marRight w:val="0"/>
      <w:marTop w:val="0"/>
      <w:marBottom w:val="0"/>
      <w:divBdr>
        <w:top w:val="none" w:sz="0" w:space="0" w:color="auto"/>
        <w:left w:val="none" w:sz="0" w:space="0" w:color="auto"/>
        <w:bottom w:val="none" w:sz="0" w:space="0" w:color="auto"/>
        <w:right w:val="none" w:sz="0" w:space="0" w:color="auto"/>
      </w:divBdr>
    </w:div>
    <w:div w:id="119803389">
      <w:bodyDiv w:val="1"/>
      <w:marLeft w:val="0"/>
      <w:marRight w:val="0"/>
      <w:marTop w:val="0"/>
      <w:marBottom w:val="0"/>
      <w:divBdr>
        <w:top w:val="none" w:sz="0" w:space="0" w:color="auto"/>
        <w:left w:val="none" w:sz="0" w:space="0" w:color="auto"/>
        <w:bottom w:val="none" w:sz="0" w:space="0" w:color="auto"/>
        <w:right w:val="none" w:sz="0" w:space="0" w:color="auto"/>
      </w:divBdr>
    </w:div>
    <w:div w:id="130946729">
      <w:bodyDiv w:val="1"/>
      <w:marLeft w:val="0"/>
      <w:marRight w:val="0"/>
      <w:marTop w:val="0"/>
      <w:marBottom w:val="0"/>
      <w:divBdr>
        <w:top w:val="none" w:sz="0" w:space="0" w:color="auto"/>
        <w:left w:val="none" w:sz="0" w:space="0" w:color="auto"/>
        <w:bottom w:val="none" w:sz="0" w:space="0" w:color="auto"/>
        <w:right w:val="none" w:sz="0" w:space="0" w:color="auto"/>
      </w:divBdr>
    </w:div>
    <w:div w:id="134839758">
      <w:bodyDiv w:val="1"/>
      <w:marLeft w:val="0"/>
      <w:marRight w:val="0"/>
      <w:marTop w:val="0"/>
      <w:marBottom w:val="0"/>
      <w:divBdr>
        <w:top w:val="none" w:sz="0" w:space="0" w:color="auto"/>
        <w:left w:val="none" w:sz="0" w:space="0" w:color="auto"/>
        <w:bottom w:val="none" w:sz="0" w:space="0" w:color="auto"/>
        <w:right w:val="none" w:sz="0" w:space="0" w:color="auto"/>
      </w:divBdr>
    </w:div>
    <w:div w:id="141121614">
      <w:bodyDiv w:val="1"/>
      <w:marLeft w:val="0"/>
      <w:marRight w:val="0"/>
      <w:marTop w:val="0"/>
      <w:marBottom w:val="0"/>
      <w:divBdr>
        <w:top w:val="none" w:sz="0" w:space="0" w:color="auto"/>
        <w:left w:val="none" w:sz="0" w:space="0" w:color="auto"/>
        <w:bottom w:val="none" w:sz="0" w:space="0" w:color="auto"/>
        <w:right w:val="none" w:sz="0" w:space="0" w:color="auto"/>
      </w:divBdr>
    </w:div>
    <w:div w:id="145435274">
      <w:bodyDiv w:val="1"/>
      <w:marLeft w:val="0"/>
      <w:marRight w:val="0"/>
      <w:marTop w:val="0"/>
      <w:marBottom w:val="0"/>
      <w:divBdr>
        <w:top w:val="none" w:sz="0" w:space="0" w:color="auto"/>
        <w:left w:val="none" w:sz="0" w:space="0" w:color="auto"/>
        <w:bottom w:val="none" w:sz="0" w:space="0" w:color="auto"/>
        <w:right w:val="none" w:sz="0" w:space="0" w:color="auto"/>
      </w:divBdr>
    </w:div>
    <w:div w:id="150099566">
      <w:bodyDiv w:val="1"/>
      <w:marLeft w:val="0"/>
      <w:marRight w:val="0"/>
      <w:marTop w:val="0"/>
      <w:marBottom w:val="0"/>
      <w:divBdr>
        <w:top w:val="none" w:sz="0" w:space="0" w:color="auto"/>
        <w:left w:val="none" w:sz="0" w:space="0" w:color="auto"/>
        <w:bottom w:val="none" w:sz="0" w:space="0" w:color="auto"/>
        <w:right w:val="none" w:sz="0" w:space="0" w:color="auto"/>
      </w:divBdr>
    </w:div>
    <w:div w:id="176892370">
      <w:bodyDiv w:val="1"/>
      <w:marLeft w:val="0"/>
      <w:marRight w:val="0"/>
      <w:marTop w:val="0"/>
      <w:marBottom w:val="0"/>
      <w:divBdr>
        <w:top w:val="none" w:sz="0" w:space="0" w:color="auto"/>
        <w:left w:val="none" w:sz="0" w:space="0" w:color="auto"/>
        <w:bottom w:val="none" w:sz="0" w:space="0" w:color="auto"/>
        <w:right w:val="none" w:sz="0" w:space="0" w:color="auto"/>
      </w:divBdr>
    </w:div>
    <w:div w:id="184292583">
      <w:bodyDiv w:val="1"/>
      <w:marLeft w:val="0"/>
      <w:marRight w:val="0"/>
      <w:marTop w:val="0"/>
      <w:marBottom w:val="0"/>
      <w:divBdr>
        <w:top w:val="none" w:sz="0" w:space="0" w:color="auto"/>
        <w:left w:val="none" w:sz="0" w:space="0" w:color="auto"/>
        <w:bottom w:val="none" w:sz="0" w:space="0" w:color="auto"/>
        <w:right w:val="none" w:sz="0" w:space="0" w:color="auto"/>
      </w:divBdr>
    </w:div>
    <w:div w:id="189535938">
      <w:bodyDiv w:val="1"/>
      <w:marLeft w:val="0"/>
      <w:marRight w:val="0"/>
      <w:marTop w:val="0"/>
      <w:marBottom w:val="0"/>
      <w:divBdr>
        <w:top w:val="none" w:sz="0" w:space="0" w:color="auto"/>
        <w:left w:val="none" w:sz="0" w:space="0" w:color="auto"/>
        <w:bottom w:val="none" w:sz="0" w:space="0" w:color="auto"/>
        <w:right w:val="none" w:sz="0" w:space="0" w:color="auto"/>
      </w:divBdr>
    </w:div>
    <w:div w:id="201944281">
      <w:bodyDiv w:val="1"/>
      <w:marLeft w:val="0"/>
      <w:marRight w:val="0"/>
      <w:marTop w:val="0"/>
      <w:marBottom w:val="0"/>
      <w:divBdr>
        <w:top w:val="none" w:sz="0" w:space="0" w:color="auto"/>
        <w:left w:val="none" w:sz="0" w:space="0" w:color="auto"/>
        <w:bottom w:val="none" w:sz="0" w:space="0" w:color="auto"/>
        <w:right w:val="none" w:sz="0" w:space="0" w:color="auto"/>
      </w:divBdr>
    </w:div>
    <w:div w:id="269898301">
      <w:bodyDiv w:val="1"/>
      <w:marLeft w:val="0"/>
      <w:marRight w:val="0"/>
      <w:marTop w:val="0"/>
      <w:marBottom w:val="0"/>
      <w:divBdr>
        <w:top w:val="none" w:sz="0" w:space="0" w:color="auto"/>
        <w:left w:val="none" w:sz="0" w:space="0" w:color="auto"/>
        <w:bottom w:val="none" w:sz="0" w:space="0" w:color="auto"/>
        <w:right w:val="none" w:sz="0" w:space="0" w:color="auto"/>
      </w:divBdr>
    </w:div>
    <w:div w:id="320698688">
      <w:bodyDiv w:val="1"/>
      <w:marLeft w:val="0"/>
      <w:marRight w:val="0"/>
      <w:marTop w:val="0"/>
      <w:marBottom w:val="0"/>
      <w:divBdr>
        <w:top w:val="none" w:sz="0" w:space="0" w:color="auto"/>
        <w:left w:val="none" w:sz="0" w:space="0" w:color="auto"/>
        <w:bottom w:val="none" w:sz="0" w:space="0" w:color="auto"/>
        <w:right w:val="none" w:sz="0" w:space="0" w:color="auto"/>
      </w:divBdr>
    </w:div>
    <w:div w:id="358967699">
      <w:bodyDiv w:val="1"/>
      <w:marLeft w:val="0"/>
      <w:marRight w:val="0"/>
      <w:marTop w:val="0"/>
      <w:marBottom w:val="0"/>
      <w:divBdr>
        <w:top w:val="none" w:sz="0" w:space="0" w:color="auto"/>
        <w:left w:val="none" w:sz="0" w:space="0" w:color="auto"/>
        <w:bottom w:val="none" w:sz="0" w:space="0" w:color="auto"/>
        <w:right w:val="none" w:sz="0" w:space="0" w:color="auto"/>
      </w:divBdr>
    </w:div>
    <w:div w:id="370881640">
      <w:bodyDiv w:val="1"/>
      <w:marLeft w:val="0"/>
      <w:marRight w:val="0"/>
      <w:marTop w:val="0"/>
      <w:marBottom w:val="0"/>
      <w:divBdr>
        <w:top w:val="none" w:sz="0" w:space="0" w:color="auto"/>
        <w:left w:val="none" w:sz="0" w:space="0" w:color="auto"/>
        <w:bottom w:val="none" w:sz="0" w:space="0" w:color="auto"/>
        <w:right w:val="none" w:sz="0" w:space="0" w:color="auto"/>
      </w:divBdr>
    </w:div>
    <w:div w:id="371072748">
      <w:bodyDiv w:val="1"/>
      <w:marLeft w:val="0"/>
      <w:marRight w:val="0"/>
      <w:marTop w:val="0"/>
      <w:marBottom w:val="0"/>
      <w:divBdr>
        <w:top w:val="none" w:sz="0" w:space="0" w:color="auto"/>
        <w:left w:val="none" w:sz="0" w:space="0" w:color="auto"/>
        <w:bottom w:val="none" w:sz="0" w:space="0" w:color="auto"/>
        <w:right w:val="none" w:sz="0" w:space="0" w:color="auto"/>
      </w:divBdr>
    </w:div>
    <w:div w:id="410809796">
      <w:bodyDiv w:val="1"/>
      <w:marLeft w:val="0"/>
      <w:marRight w:val="0"/>
      <w:marTop w:val="0"/>
      <w:marBottom w:val="0"/>
      <w:divBdr>
        <w:top w:val="none" w:sz="0" w:space="0" w:color="auto"/>
        <w:left w:val="none" w:sz="0" w:space="0" w:color="auto"/>
        <w:bottom w:val="none" w:sz="0" w:space="0" w:color="auto"/>
        <w:right w:val="none" w:sz="0" w:space="0" w:color="auto"/>
      </w:divBdr>
    </w:div>
    <w:div w:id="427967516">
      <w:bodyDiv w:val="1"/>
      <w:marLeft w:val="0"/>
      <w:marRight w:val="0"/>
      <w:marTop w:val="0"/>
      <w:marBottom w:val="0"/>
      <w:divBdr>
        <w:top w:val="none" w:sz="0" w:space="0" w:color="auto"/>
        <w:left w:val="none" w:sz="0" w:space="0" w:color="auto"/>
        <w:bottom w:val="none" w:sz="0" w:space="0" w:color="auto"/>
        <w:right w:val="none" w:sz="0" w:space="0" w:color="auto"/>
      </w:divBdr>
    </w:div>
    <w:div w:id="431248526">
      <w:bodyDiv w:val="1"/>
      <w:marLeft w:val="0"/>
      <w:marRight w:val="0"/>
      <w:marTop w:val="0"/>
      <w:marBottom w:val="0"/>
      <w:divBdr>
        <w:top w:val="none" w:sz="0" w:space="0" w:color="auto"/>
        <w:left w:val="none" w:sz="0" w:space="0" w:color="auto"/>
        <w:bottom w:val="none" w:sz="0" w:space="0" w:color="auto"/>
        <w:right w:val="none" w:sz="0" w:space="0" w:color="auto"/>
      </w:divBdr>
    </w:div>
    <w:div w:id="464855230">
      <w:bodyDiv w:val="1"/>
      <w:marLeft w:val="0"/>
      <w:marRight w:val="0"/>
      <w:marTop w:val="0"/>
      <w:marBottom w:val="0"/>
      <w:divBdr>
        <w:top w:val="none" w:sz="0" w:space="0" w:color="auto"/>
        <w:left w:val="none" w:sz="0" w:space="0" w:color="auto"/>
        <w:bottom w:val="none" w:sz="0" w:space="0" w:color="auto"/>
        <w:right w:val="none" w:sz="0" w:space="0" w:color="auto"/>
      </w:divBdr>
    </w:div>
    <w:div w:id="474300898">
      <w:bodyDiv w:val="1"/>
      <w:marLeft w:val="0"/>
      <w:marRight w:val="0"/>
      <w:marTop w:val="0"/>
      <w:marBottom w:val="0"/>
      <w:divBdr>
        <w:top w:val="none" w:sz="0" w:space="0" w:color="auto"/>
        <w:left w:val="none" w:sz="0" w:space="0" w:color="auto"/>
        <w:bottom w:val="none" w:sz="0" w:space="0" w:color="auto"/>
        <w:right w:val="none" w:sz="0" w:space="0" w:color="auto"/>
      </w:divBdr>
    </w:div>
    <w:div w:id="476727733">
      <w:bodyDiv w:val="1"/>
      <w:marLeft w:val="0"/>
      <w:marRight w:val="0"/>
      <w:marTop w:val="0"/>
      <w:marBottom w:val="0"/>
      <w:divBdr>
        <w:top w:val="none" w:sz="0" w:space="0" w:color="auto"/>
        <w:left w:val="none" w:sz="0" w:space="0" w:color="auto"/>
        <w:bottom w:val="none" w:sz="0" w:space="0" w:color="auto"/>
        <w:right w:val="none" w:sz="0" w:space="0" w:color="auto"/>
      </w:divBdr>
    </w:div>
    <w:div w:id="496648556">
      <w:bodyDiv w:val="1"/>
      <w:marLeft w:val="0"/>
      <w:marRight w:val="0"/>
      <w:marTop w:val="0"/>
      <w:marBottom w:val="0"/>
      <w:divBdr>
        <w:top w:val="none" w:sz="0" w:space="0" w:color="auto"/>
        <w:left w:val="none" w:sz="0" w:space="0" w:color="auto"/>
        <w:bottom w:val="none" w:sz="0" w:space="0" w:color="auto"/>
        <w:right w:val="none" w:sz="0" w:space="0" w:color="auto"/>
      </w:divBdr>
    </w:div>
    <w:div w:id="510679184">
      <w:bodyDiv w:val="1"/>
      <w:marLeft w:val="0"/>
      <w:marRight w:val="0"/>
      <w:marTop w:val="0"/>
      <w:marBottom w:val="0"/>
      <w:divBdr>
        <w:top w:val="none" w:sz="0" w:space="0" w:color="auto"/>
        <w:left w:val="none" w:sz="0" w:space="0" w:color="auto"/>
        <w:bottom w:val="none" w:sz="0" w:space="0" w:color="auto"/>
        <w:right w:val="none" w:sz="0" w:space="0" w:color="auto"/>
      </w:divBdr>
    </w:div>
    <w:div w:id="517698200">
      <w:bodyDiv w:val="1"/>
      <w:marLeft w:val="0"/>
      <w:marRight w:val="0"/>
      <w:marTop w:val="0"/>
      <w:marBottom w:val="0"/>
      <w:divBdr>
        <w:top w:val="none" w:sz="0" w:space="0" w:color="auto"/>
        <w:left w:val="none" w:sz="0" w:space="0" w:color="auto"/>
        <w:bottom w:val="none" w:sz="0" w:space="0" w:color="auto"/>
        <w:right w:val="none" w:sz="0" w:space="0" w:color="auto"/>
      </w:divBdr>
    </w:div>
    <w:div w:id="525364380">
      <w:bodyDiv w:val="1"/>
      <w:marLeft w:val="0"/>
      <w:marRight w:val="0"/>
      <w:marTop w:val="0"/>
      <w:marBottom w:val="0"/>
      <w:divBdr>
        <w:top w:val="none" w:sz="0" w:space="0" w:color="auto"/>
        <w:left w:val="none" w:sz="0" w:space="0" w:color="auto"/>
        <w:bottom w:val="none" w:sz="0" w:space="0" w:color="auto"/>
        <w:right w:val="none" w:sz="0" w:space="0" w:color="auto"/>
      </w:divBdr>
    </w:div>
    <w:div w:id="535243498">
      <w:bodyDiv w:val="1"/>
      <w:marLeft w:val="0"/>
      <w:marRight w:val="0"/>
      <w:marTop w:val="0"/>
      <w:marBottom w:val="0"/>
      <w:divBdr>
        <w:top w:val="none" w:sz="0" w:space="0" w:color="auto"/>
        <w:left w:val="none" w:sz="0" w:space="0" w:color="auto"/>
        <w:bottom w:val="none" w:sz="0" w:space="0" w:color="auto"/>
        <w:right w:val="none" w:sz="0" w:space="0" w:color="auto"/>
      </w:divBdr>
    </w:div>
    <w:div w:id="576475805">
      <w:bodyDiv w:val="1"/>
      <w:marLeft w:val="0"/>
      <w:marRight w:val="0"/>
      <w:marTop w:val="0"/>
      <w:marBottom w:val="0"/>
      <w:divBdr>
        <w:top w:val="none" w:sz="0" w:space="0" w:color="auto"/>
        <w:left w:val="none" w:sz="0" w:space="0" w:color="auto"/>
        <w:bottom w:val="none" w:sz="0" w:space="0" w:color="auto"/>
        <w:right w:val="none" w:sz="0" w:space="0" w:color="auto"/>
      </w:divBdr>
    </w:div>
    <w:div w:id="587663420">
      <w:bodyDiv w:val="1"/>
      <w:marLeft w:val="0"/>
      <w:marRight w:val="0"/>
      <w:marTop w:val="0"/>
      <w:marBottom w:val="0"/>
      <w:divBdr>
        <w:top w:val="none" w:sz="0" w:space="0" w:color="auto"/>
        <w:left w:val="none" w:sz="0" w:space="0" w:color="auto"/>
        <w:bottom w:val="none" w:sz="0" w:space="0" w:color="auto"/>
        <w:right w:val="none" w:sz="0" w:space="0" w:color="auto"/>
      </w:divBdr>
    </w:div>
    <w:div w:id="597178927">
      <w:bodyDiv w:val="1"/>
      <w:marLeft w:val="0"/>
      <w:marRight w:val="0"/>
      <w:marTop w:val="0"/>
      <w:marBottom w:val="0"/>
      <w:divBdr>
        <w:top w:val="none" w:sz="0" w:space="0" w:color="auto"/>
        <w:left w:val="none" w:sz="0" w:space="0" w:color="auto"/>
        <w:bottom w:val="none" w:sz="0" w:space="0" w:color="auto"/>
        <w:right w:val="none" w:sz="0" w:space="0" w:color="auto"/>
      </w:divBdr>
    </w:div>
    <w:div w:id="629172075">
      <w:bodyDiv w:val="1"/>
      <w:marLeft w:val="0"/>
      <w:marRight w:val="0"/>
      <w:marTop w:val="0"/>
      <w:marBottom w:val="0"/>
      <w:divBdr>
        <w:top w:val="none" w:sz="0" w:space="0" w:color="auto"/>
        <w:left w:val="none" w:sz="0" w:space="0" w:color="auto"/>
        <w:bottom w:val="none" w:sz="0" w:space="0" w:color="auto"/>
        <w:right w:val="none" w:sz="0" w:space="0" w:color="auto"/>
      </w:divBdr>
    </w:div>
    <w:div w:id="642542145">
      <w:bodyDiv w:val="1"/>
      <w:marLeft w:val="0"/>
      <w:marRight w:val="0"/>
      <w:marTop w:val="0"/>
      <w:marBottom w:val="0"/>
      <w:divBdr>
        <w:top w:val="none" w:sz="0" w:space="0" w:color="auto"/>
        <w:left w:val="none" w:sz="0" w:space="0" w:color="auto"/>
        <w:bottom w:val="none" w:sz="0" w:space="0" w:color="auto"/>
        <w:right w:val="none" w:sz="0" w:space="0" w:color="auto"/>
      </w:divBdr>
    </w:div>
    <w:div w:id="689142024">
      <w:bodyDiv w:val="1"/>
      <w:marLeft w:val="0"/>
      <w:marRight w:val="0"/>
      <w:marTop w:val="0"/>
      <w:marBottom w:val="0"/>
      <w:divBdr>
        <w:top w:val="none" w:sz="0" w:space="0" w:color="auto"/>
        <w:left w:val="none" w:sz="0" w:space="0" w:color="auto"/>
        <w:bottom w:val="none" w:sz="0" w:space="0" w:color="auto"/>
        <w:right w:val="none" w:sz="0" w:space="0" w:color="auto"/>
      </w:divBdr>
    </w:div>
    <w:div w:id="712388973">
      <w:bodyDiv w:val="1"/>
      <w:marLeft w:val="0"/>
      <w:marRight w:val="0"/>
      <w:marTop w:val="0"/>
      <w:marBottom w:val="0"/>
      <w:divBdr>
        <w:top w:val="none" w:sz="0" w:space="0" w:color="auto"/>
        <w:left w:val="none" w:sz="0" w:space="0" w:color="auto"/>
        <w:bottom w:val="none" w:sz="0" w:space="0" w:color="auto"/>
        <w:right w:val="none" w:sz="0" w:space="0" w:color="auto"/>
      </w:divBdr>
    </w:div>
    <w:div w:id="713116492">
      <w:bodyDiv w:val="1"/>
      <w:marLeft w:val="0"/>
      <w:marRight w:val="0"/>
      <w:marTop w:val="0"/>
      <w:marBottom w:val="0"/>
      <w:divBdr>
        <w:top w:val="none" w:sz="0" w:space="0" w:color="auto"/>
        <w:left w:val="none" w:sz="0" w:space="0" w:color="auto"/>
        <w:bottom w:val="none" w:sz="0" w:space="0" w:color="auto"/>
        <w:right w:val="none" w:sz="0" w:space="0" w:color="auto"/>
      </w:divBdr>
    </w:div>
    <w:div w:id="718670823">
      <w:bodyDiv w:val="1"/>
      <w:marLeft w:val="0"/>
      <w:marRight w:val="0"/>
      <w:marTop w:val="0"/>
      <w:marBottom w:val="0"/>
      <w:divBdr>
        <w:top w:val="none" w:sz="0" w:space="0" w:color="auto"/>
        <w:left w:val="none" w:sz="0" w:space="0" w:color="auto"/>
        <w:bottom w:val="none" w:sz="0" w:space="0" w:color="auto"/>
        <w:right w:val="none" w:sz="0" w:space="0" w:color="auto"/>
      </w:divBdr>
    </w:div>
    <w:div w:id="738870124">
      <w:bodyDiv w:val="1"/>
      <w:marLeft w:val="0"/>
      <w:marRight w:val="0"/>
      <w:marTop w:val="0"/>
      <w:marBottom w:val="0"/>
      <w:divBdr>
        <w:top w:val="none" w:sz="0" w:space="0" w:color="auto"/>
        <w:left w:val="none" w:sz="0" w:space="0" w:color="auto"/>
        <w:bottom w:val="none" w:sz="0" w:space="0" w:color="auto"/>
        <w:right w:val="none" w:sz="0" w:space="0" w:color="auto"/>
      </w:divBdr>
    </w:div>
    <w:div w:id="767384327">
      <w:bodyDiv w:val="1"/>
      <w:marLeft w:val="0"/>
      <w:marRight w:val="0"/>
      <w:marTop w:val="0"/>
      <w:marBottom w:val="0"/>
      <w:divBdr>
        <w:top w:val="none" w:sz="0" w:space="0" w:color="auto"/>
        <w:left w:val="none" w:sz="0" w:space="0" w:color="auto"/>
        <w:bottom w:val="none" w:sz="0" w:space="0" w:color="auto"/>
        <w:right w:val="none" w:sz="0" w:space="0" w:color="auto"/>
      </w:divBdr>
    </w:div>
    <w:div w:id="769156026">
      <w:bodyDiv w:val="1"/>
      <w:marLeft w:val="0"/>
      <w:marRight w:val="0"/>
      <w:marTop w:val="0"/>
      <w:marBottom w:val="0"/>
      <w:divBdr>
        <w:top w:val="none" w:sz="0" w:space="0" w:color="auto"/>
        <w:left w:val="none" w:sz="0" w:space="0" w:color="auto"/>
        <w:bottom w:val="none" w:sz="0" w:space="0" w:color="auto"/>
        <w:right w:val="none" w:sz="0" w:space="0" w:color="auto"/>
      </w:divBdr>
    </w:div>
    <w:div w:id="770051396">
      <w:bodyDiv w:val="1"/>
      <w:marLeft w:val="0"/>
      <w:marRight w:val="0"/>
      <w:marTop w:val="0"/>
      <w:marBottom w:val="0"/>
      <w:divBdr>
        <w:top w:val="none" w:sz="0" w:space="0" w:color="auto"/>
        <w:left w:val="none" w:sz="0" w:space="0" w:color="auto"/>
        <w:bottom w:val="none" w:sz="0" w:space="0" w:color="auto"/>
        <w:right w:val="none" w:sz="0" w:space="0" w:color="auto"/>
      </w:divBdr>
    </w:div>
    <w:div w:id="77679990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634">
      <w:bodyDiv w:val="1"/>
      <w:marLeft w:val="0"/>
      <w:marRight w:val="0"/>
      <w:marTop w:val="0"/>
      <w:marBottom w:val="0"/>
      <w:divBdr>
        <w:top w:val="none" w:sz="0" w:space="0" w:color="auto"/>
        <w:left w:val="none" w:sz="0" w:space="0" w:color="auto"/>
        <w:bottom w:val="none" w:sz="0" w:space="0" w:color="auto"/>
        <w:right w:val="none" w:sz="0" w:space="0" w:color="auto"/>
      </w:divBdr>
    </w:div>
    <w:div w:id="795492986">
      <w:bodyDiv w:val="1"/>
      <w:marLeft w:val="0"/>
      <w:marRight w:val="0"/>
      <w:marTop w:val="0"/>
      <w:marBottom w:val="0"/>
      <w:divBdr>
        <w:top w:val="none" w:sz="0" w:space="0" w:color="auto"/>
        <w:left w:val="none" w:sz="0" w:space="0" w:color="auto"/>
        <w:bottom w:val="none" w:sz="0" w:space="0" w:color="auto"/>
        <w:right w:val="none" w:sz="0" w:space="0" w:color="auto"/>
      </w:divBdr>
    </w:div>
    <w:div w:id="810295739">
      <w:bodyDiv w:val="1"/>
      <w:marLeft w:val="0"/>
      <w:marRight w:val="0"/>
      <w:marTop w:val="0"/>
      <w:marBottom w:val="0"/>
      <w:divBdr>
        <w:top w:val="none" w:sz="0" w:space="0" w:color="auto"/>
        <w:left w:val="none" w:sz="0" w:space="0" w:color="auto"/>
        <w:bottom w:val="none" w:sz="0" w:space="0" w:color="auto"/>
        <w:right w:val="none" w:sz="0" w:space="0" w:color="auto"/>
      </w:divBdr>
    </w:div>
    <w:div w:id="818771411">
      <w:bodyDiv w:val="1"/>
      <w:marLeft w:val="0"/>
      <w:marRight w:val="0"/>
      <w:marTop w:val="0"/>
      <w:marBottom w:val="0"/>
      <w:divBdr>
        <w:top w:val="none" w:sz="0" w:space="0" w:color="auto"/>
        <w:left w:val="none" w:sz="0" w:space="0" w:color="auto"/>
        <w:bottom w:val="none" w:sz="0" w:space="0" w:color="auto"/>
        <w:right w:val="none" w:sz="0" w:space="0" w:color="auto"/>
      </w:divBdr>
    </w:div>
    <w:div w:id="827525787">
      <w:bodyDiv w:val="1"/>
      <w:marLeft w:val="0"/>
      <w:marRight w:val="0"/>
      <w:marTop w:val="0"/>
      <w:marBottom w:val="0"/>
      <w:divBdr>
        <w:top w:val="none" w:sz="0" w:space="0" w:color="auto"/>
        <w:left w:val="none" w:sz="0" w:space="0" w:color="auto"/>
        <w:bottom w:val="none" w:sz="0" w:space="0" w:color="auto"/>
        <w:right w:val="none" w:sz="0" w:space="0" w:color="auto"/>
      </w:divBdr>
    </w:div>
    <w:div w:id="831988970">
      <w:bodyDiv w:val="1"/>
      <w:marLeft w:val="0"/>
      <w:marRight w:val="0"/>
      <w:marTop w:val="0"/>
      <w:marBottom w:val="0"/>
      <w:divBdr>
        <w:top w:val="none" w:sz="0" w:space="0" w:color="auto"/>
        <w:left w:val="none" w:sz="0" w:space="0" w:color="auto"/>
        <w:bottom w:val="none" w:sz="0" w:space="0" w:color="auto"/>
        <w:right w:val="none" w:sz="0" w:space="0" w:color="auto"/>
      </w:divBdr>
    </w:div>
    <w:div w:id="834882196">
      <w:bodyDiv w:val="1"/>
      <w:marLeft w:val="0"/>
      <w:marRight w:val="0"/>
      <w:marTop w:val="0"/>
      <w:marBottom w:val="0"/>
      <w:divBdr>
        <w:top w:val="none" w:sz="0" w:space="0" w:color="auto"/>
        <w:left w:val="none" w:sz="0" w:space="0" w:color="auto"/>
        <w:bottom w:val="none" w:sz="0" w:space="0" w:color="auto"/>
        <w:right w:val="none" w:sz="0" w:space="0" w:color="auto"/>
      </w:divBdr>
    </w:div>
    <w:div w:id="857350275">
      <w:bodyDiv w:val="1"/>
      <w:marLeft w:val="0"/>
      <w:marRight w:val="0"/>
      <w:marTop w:val="0"/>
      <w:marBottom w:val="0"/>
      <w:divBdr>
        <w:top w:val="none" w:sz="0" w:space="0" w:color="auto"/>
        <w:left w:val="none" w:sz="0" w:space="0" w:color="auto"/>
        <w:bottom w:val="none" w:sz="0" w:space="0" w:color="auto"/>
        <w:right w:val="none" w:sz="0" w:space="0" w:color="auto"/>
      </w:divBdr>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29473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62169">
      <w:bodyDiv w:val="1"/>
      <w:marLeft w:val="0"/>
      <w:marRight w:val="0"/>
      <w:marTop w:val="0"/>
      <w:marBottom w:val="0"/>
      <w:divBdr>
        <w:top w:val="none" w:sz="0" w:space="0" w:color="auto"/>
        <w:left w:val="none" w:sz="0" w:space="0" w:color="auto"/>
        <w:bottom w:val="none" w:sz="0" w:space="0" w:color="auto"/>
        <w:right w:val="none" w:sz="0" w:space="0" w:color="auto"/>
      </w:divBdr>
    </w:div>
    <w:div w:id="957957407">
      <w:bodyDiv w:val="1"/>
      <w:marLeft w:val="0"/>
      <w:marRight w:val="0"/>
      <w:marTop w:val="0"/>
      <w:marBottom w:val="0"/>
      <w:divBdr>
        <w:top w:val="none" w:sz="0" w:space="0" w:color="auto"/>
        <w:left w:val="none" w:sz="0" w:space="0" w:color="auto"/>
        <w:bottom w:val="none" w:sz="0" w:space="0" w:color="auto"/>
        <w:right w:val="none" w:sz="0" w:space="0" w:color="auto"/>
      </w:divBdr>
    </w:div>
    <w:div w:id="966549214">
      <w:bodyDiv w:val="1"/>
      <w:marLeft w:val="0"/>
      <w:marRight w:val="0"/>
      <w:marTop w:val="0"/>
      <w:marBottom w:val="0"/>
      <w:divBdr>
        <w:top w:val="none" w:sz="0" w:space="0" w:color="auto"/>
        <w:left w:val="none" w:sz="0" w:space="0" w:color="auto"/>
        <w:bottom w:val="none" w:sz="0" w:space="0" w:color="auto"/>
        <w:right w:val="none" w:sz="0" w:space="0" w:color="auto"/>
      </w:divBdr>
    </w:div>
    <w:div w:id="1011226470">
      <w:bodyDiv w:val="1"/>
      <w:marLeft w:val="0"/>
      <w:marRight w:val="0"/>
      <w:marTop w:val="0"/>
      <w:marBottom w:val="0"/>
      <w:divBdr>
        <w:top w:val="none" w:sz="0" w:space="0" w:color="auto"/>
        <w:left w:val="none" w:sz="0" w:space="0" w:color="auto"/>
        <w:bottom w:val="none" w:sz="0" w:space="0" w:color="auto"/>
        <w:right w:val="none" w:sz="0" w:space="0" w:color="auto"/>
      </w:divBdr>
    </w:div>
    <w:div w:id="1011954207">
      <w:bodyDiv w:val="1"/>
      <w:marLeft w:val="0"/>
      <w:marRight w:val="0"/>
      <w:marTop w:val="0"/>
      <w:marBottom w:val="0"/>
      <w:divBdr>
        <w:top w:val="none" w:sz="0" w:space="0" w:color="auto"/>
        <w:left w:val="none" w:sz="0" w:space="0" w:color="auto"/>
        <w:bottom w:val="none" w:sz="0" w:space="0" w:color="auto"/>
        <w:right w:val="none" w:sz="0" w:space="0" w:color="auto"/>
      </w:divBdr>
    </w:div>
    <w:div w:id="1023702265">
      <w:bodyDiv w:val="1"/>
      <w:marLeft w:val="0"/>
      <w:marRight w:val="0"/>
      <w:marTop w:val="0"/>
      <w:marBottom w:val="0"/>
      <w:divBdr>
        <w:top w:val="none" w:sz="0" w:space="0" w:color="auto"/>
        <w:left w:val="none" w:sz="0" w:space="0" w:color="auto"/>
        <w:bottom w:val="none" w:sz="0" w:space="0" w:color="auto"/>
        <w:right w:val="none" w:sz="0" w:space="0" w:color="auto"/>
      </w:divBdr>
    </w:div>
    <w:div w:id="1042291739">
      <w:bodyDiv w:val="1"/>
      <w:marLeft w:val="0"/>
      <w:marRight w:val="0"/>
      <w:marTop w:val="0"/>
      <w:marBottom w:val="0"/>
      <w:divBdr>
        <w:top w:val="none" w:sz="0" w:space="0" w:color="auto"/>
        <w:left w:val="none" w:sz="0" w:space="0" w:color="auto"/>
        <w:bottom w:val="none" w:sz="0" w:space="0" w:color="auto"/>
        <w:right w:val="none" w:sz="0" w:space="0" w:color="auto"/>
      </w:divBdr>
    </w:div>
    <w:div w:id="1081097351">
      <w:bodyDiv w:val="1"/>
      <w:marLeft w:val="0"/>
      <w:marRight w:val="0"/>
      <w:marTop w:val="0"/>
      <w:marBottom w:val="0"/>
      <w:divBdr>
        <w:top w:val="none" w:sz="0" w:space="0" w:color="auto"/>
        <w:left w:val="none" w:sz="0" w:space="0" w:color="auto"/>
        <w:bottom w:val="none" w:sz="0" w:space="0" w:color="auto"/>
        <w:right w:val="none" w:sz="0" w:space="0" w:color="auto"/>
      </w:divBdr>
    </w:div>
    <w:div w:id="1087727556">
      <w:bodyDiv w:val="1"/>
      <w:marLeft w:val="0"/>
      <w:marRight w:val="0"/>
      <w:marTop w:val="0"/>
      <w:marBottom w:val="0"/>
      <w:divBdr>
        <w:top w:val="none" w:sz="0" w:space="0" w:color="auto"/>
        <w:left w:val="none" w:sz="0" w:space="0" w:color="auto"/>
        <w:bottom w:val="none" w:sz="0" w:space="0" w:color="auto"/>
        <w:right w:val="none" w:sz="0" w:space="0" w:color="auto"/>
      </w:divBdr>
    </w:div>
    <w:div w:id="1089305149">
      <w:bodyDiv w:val="1"/>
      <w:marLeft w:val="0"/>
      <w:marRight w:val="0"/>
      <w:marTop w:val="0"/>
      <w:marBottom w:val="0"/>
      <w:divBdr>
        <w:top w:val="none" w:sz="0" w:space="0" w:color="auto"/>
        <w:left w:val="none" w:sz="0" w:space="0" w:color="auto"/>
        <w:bottom w:val="none" w:sz="0" w:space="0" w:color="auto"/>
        <w:right w:val="none" w:sz="0" w:space="0" w:color="auto"/>
      </w:divBdr>
    </w:div>
    <w:div w:id="1094205064">
      <w:bodyDiv w:val="1"/>
      <w:marLeft w:val="0"/>
      <w:marRight w:val="0"/>
      <w:marTop w:val="0"/>
      <w:marBottom w:val="0"/>
      <w:divBdr>
        <w:top w:val="none" w:sz="0" w:space="0" w:color="auto"/>
        <w:left w:val="none" w:sz="0" w:space="0" w:color="auto"/>
        <w:bottom w:val="none" w:sz="0" w:space="0" w:color="auto"/>
        <w:right w:val="none" w:sz="0" w:space="0" w:color="auto"/>
      </w:divBdr>
    </w:div>
    <w:div w:id="1117874773">
      <w:bodyDiv w:val="1"/>
      <w:marLeft w:val="0"/>
      <w:marRight w:val="0"/>
      <w:marTop w:val="0"/>
      <w:marBottom w:val="0"/>
      <w:divBdr>
        <w:top w:val="none" w:sz="0" w:space="0" w:color="auto"/>
        <w:left w:val="none" w:sz="0" w:space="0" w:color="auto"/>
        <w:bottom w:val="none" w:sz="0" w:space="0" w:color="auto"/>
        <w:right w:val="none" w:sz="0" w:space="0" w:color="auto"/>
      </w:divBdr>
    </w:div>
    <w:div w:id="1124232082">
      <w:bodyDiv w:val="1"/>
      <w:marLeft w:val="0"/>
      <w:marRight w:val="0"/>
      <w:marTop w:val="0"/>
      <w:marBottom w:val="0"/>
      <w:divBdr>
        <w:top w:val="none" w:sz="0" w:space="0" w:color="auto"/>
        <w:left w:val="none" w:sz="0" w:space="0" w:color="auto"/>
        <w:bottom w:val="none" w:sz="0" w:space="0" w:color="auto"/>
        <w:right w:val="none" w:sz="0" w:space="0" w:color="auto"/>
      </w:divBdr>
    </w:div>
    <w:div w:id="1127432615">
      <w:bodyDiv w:val="1"/>
      <w:marLeft w:val="0"/>
      <w:marRight w:val="0"/>
      <w:marTop w:val="0"/>
      <w:marBottom w:val="0"/>
      <w:divBdr>
        <w:top w:val="none" w:sz="0" w:space="0" w:color="auto"/>
        <w:left w:val="none" w:sz="0" w:space="0" w:color="auto"/>
        <w:bottom w:val="none" w:sz="0" w:space="0" w:color="auto"/>
        <w:right w:val="none" w:sz="0" w:space="0" w:color="auto"/>
      </w:divBdr>
    </w:div>
    <w:div w:id="1132211669">
      <w:bodyDiv w:val="1"/>
      <w:marLeft w:val="0"/>
      <w:marRight w:val="0"/>
      <w:marTop w:val="0"/>
      <w:marBottom w:val="0"/>
      <w:divBdr>
        <w:top w:val="none" w:sz="0" w:space="0" w:color="auto"/>
        <w:left w:val="none" w:sz="0" w:space="0" w:color="auto"/>
        <w:bottom w:val="none" w:sz="0" w:space="0" w:color="auto"/>
        <w:right w:val="none" w:sz="0" w:space="0" w:color="auto"/>
      </w:divBdr>
    </w:div>
    <w:div w:id="1150753819">
      <w:bodyDiv w:val="1"/>
      <w:marLeft w:val="0"/>
      <w:marRight w:val="0"/>
      <w:marTop w:val="0"/>
      <w:marBottom w:val="0"/>
      <w:divBdr>
        <w:top w:val="none" w:sz="0" w:space="0" w:color="auto"/>
        <w:left w:val="none" w:sz="0" w:space="0" w:color="auto"/>
        <w:bottom w:val="none" w:sz="0" w:space="0" w:color="auto"/>
        <w:right w:val="none" w:sz="0" w:space="0" w:color="auto"/>
      </w:divBdr>
    </w:div>
    <w:div w:id="1151167604">
      <w:bodyDiv w:val="1"/>
      <w:marLeft w:val="0"/>
      <w:marRight w:val="0"/>
      <w:marTop w:val="0"/>
      <w:marBottom w:val="0"/>
      <w:divBdr>
        <w:top w:val="none" w:sz="0" w:space="0" w:color="auto"/>
        <w:left w:val="none" w:sz="0" w:space="0" w:color="auto"/>
        <w:bottom w:val="none" w:sz="0" w:space="0" w:color="auto"/>
        <w:right w:val="none" w:sz="0" w:space="0" w:color="auto"/>
      </w:divBdr>
    </w:div>
    <w:div w:id="1160317946">
      <w:bodyDiv w:val="1"/>
      <w:marLeft w:val="0"/>
      <w:marRight w:val="0"/>
      <w:marTop w:val="0"/>
      <w:marBottom w:val="0"/>
      <w:divBdr>
        <w:top w:val="none" w:sz="0" w:space="0" w:color="auto"/>
        <w:left w:val="none" w:sz="0" w:space="0" w:color="auto"/>
        <w:bottom w:val="none" w:sz="0" w:space="0" w:color="auto"/>
        <w:right w:val="none" w:sz="0" w:space="0" w:color="auto"/>
      </w:divBdr>
    </w:div>
    <w:div w:id="1173299335">
      <w:bodyDiv w:val="1"/>
      <w:marLeft w:val="0"/>
      <w:marRight w:val="0"/>
      <w:marTop w:val="0"/>
      <w:marBottom w:val="0"/>
      <w:divBdr>
        <w:top w:val="none" w:sz="0" w:space="0" w:color="auto"/>
        <w:left w:val="none" w:sz="0" w:space="0" w:color="auto"/>
        <w:bottom w:val="none" w:sz="0" w:space="0" w:color="auto"/>
        <w:right w:val="none" w:sz="0" w:space="0" w:color="auto"/>
      </w:divBdr>
    </w:div>
    <w:div w:id="1180973002">
      <w:bodyDiv w:val="1"/>
      <w:marLeft w:val="0"/>
      <w:marRight w:val="0"/>
      <w:marTop w:val="0"/>
      <w:marBottom w:val="0"/>
      <w:divBdr>
        <w:top w:val="none" w:sz="0" w:space="0" w:color="auto"/>
        <w:left w:val="none" w:sz="0" w:space="0" w:color="auto"/>
        <w:bottom w:val="none" w:sz="0" w:space="0" w:color="auto"/>
        <w:right w:val="none" w:sz="0" w:space="0" w:color="auto"/>
      </w:divBdr>
    </w:div>
    <w:div w:id="1207181886">
      <w:bodyDiv w:val="1"/>
      <w:marLeft w:val="0"/>
      <w:marRight w:val="0"/>
      <w:marTop w:val="0"/>
      <w:marBottom w:val="0"/>
      <w:divBdr>
        <w:top w:val="none" w:sz="0" w:space="0" w:color="auto"/>
        <w:left w:val="none" w:sz="0" w:space="0" w:color="auto"/>
        <w:bottom w:val="none" w:sz="0" w:space="0" w:color="auto"/>
        <w:right w:val="none" w:sz="0" w:space="0" w:color="auto"/>
      </w:divBdr>
    </w:div>
    <w:div w:id="1224566467">
      <w:bodyDiv w:val="1"/>
      <w:marLeft w:val="0"/>
      <w:marRight w:val="0"/>
      <w:marTop w:val="0"/>
      <w:marBottom w:val="0"/>
      <w:divBdr>
        <w:top w:val="none" w:sz="0" w:space="0" w:color="auto"/>
        <w:left w:val="none" w:sz="0" w:space="0" w:color="auto"/>
        <w:bottom w:val="none" w:sz="0" w:space="0" w:color="auto"/>
        <w:right w:val="none" w:sz="0" w:space="0" w:color="auto"/>
      </w:divBdr>
    </w:div>
    <w:div w:id="1230844956">
      <w:bodyDiv w:val="1"/>
      <w:marLeft w:val="0"/>
      <w:marRight w:val="0"/>
      <w:marTop w:val="0"/>
      <w:marBottom w:val="0"/>
      <w:divBdr>
        <w:top w:val="none" w:sz="0" w:space="0" w:color="auto"/>
        <w:left w:val="none" w:sz="0" w:space="0" w:color="auto"/>
        <w:bottom w:val="none" w:sz="0" w:space="0" w:color="auto"/>
        <w:right w:val="none" w:sz="0" w:space="0" w:color="auto"/>
      </w:divBdr>
    </w:div>
    <w:div w:id="1294823446">
      <w:bodyDiv w:val="1"/>
      <w:marLeft w:val="0"/>
      <w:marRight w:val="0"/>
      <w:marTop w:val="0"/>
      <w:marBottom w:val="0"/>
      <w:divBdr>
        <w:top w:val="none" w:sz="0" w:space="0" w:color="auto"/>
        <w:left w:val="none" w:sz="0" w:space="0" w:color="auto"/>
        <w:bottom w:val="none" w:sz="0" w:space="0" w:color="auto"/>
        <w:right w:val="none" w:sz="0" w:space="0" w:color="auto"/>
      </w:divBdr>
    </w:div>
    <w:div w:id="1299720009">
      <w:bodyDiv w:val="1"/>
      <w:marLeft w:val="0"/>
      <w:marRight w:val="0"/>
      <w:marTop w:val="0"/>
      <w:marBottom w:val="0"/>
      <w:divBdr>
        <w:top w:val="none" w:sz="0" w:space="0" w:color="auto"/>
        <w:left w:val="none" w:sz="0" w:space="0" w:color="auto"/>
        <w:bottom w:val="none" w:sz="0" w:space="0" w:color="auto"/>
        <w:right w:val="none" w:sz="0" w:space="0" w:color="auto"/>
      </w:divBdr>
    </w:div>
    <w:div w:id="1307274942">
      <w:bodyDiv w:val="1"/>
      <w:marLeft w:val="0"/>
      <w:marRight w:val="0"/>
      <w:marTop w:val="0"/>
      <w:marBottom w:val="0"/>
      <w:divBdr>
        <w:top w:val="none" w:sz="0" w:space="0" w:color="auto"/>
        <w:left w:val="none" w:sz="0" w:space="0" w:color="auto"/>
        <w:bottom w:val="none" w:sz="0" w:space="0" w:color="auto"/>
        <w:right w:val="none" w:sz="0" w:space="0" w:color="auto"/>
      </w:divBdr>
    </w:div>
    <w:div w:id="1344092331">
      <w:bodyDiv w:val="1"/>
      <w:marLeft w:val="0"/>
      <w:marRight w:val="0"/>
      <w:marTop w:val="0"/>
      <w:marBottom w:val="0"/>
      <w:divBdr>
        <w:top w:val="none" w:sz="0" w:space="0" w:color="auto"/>
        <w:left w:val="none" w:sz="0" w:space="0" w:color="auto"/>
        <w:bottom w:val="none" w:sz="0" w:space="0" w:color="auto"/>
        <w:right w:val="none" w:sz="0" w:space="0" w:color="auto"/>
      </w:divBdr>
    </w:div>
    <w:div w:id="1350644574">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4035875">
      <w:bodyDiv w:val="1"/>
      <w:marLeft w:val="0"/>
      <w:marRight w:val="0"/>
      <w:marTop w:val="0"/>
      <w:marBottom w:val="0"/>
      <w:divBdr>
        <w:top w:val="none" w:sz="0" w:space="0" w:color="auto"/>
        <w:left w:val="none" w:sz="0" w:space="0" w:color="auto"/>
        <w:bottom w:val="none" w:sz="0" w:space="0" w:color="auto"/>
        <w:right w:val="none" w:sz="0" w:space="0" w:color="auto"/>
      </w:divBdr>
    </w:div>
    <w:div w:id="1396515657">
      <w:bodyDiv w:val="1"/>
      <w:marLeft w:val="0"/>
      <w:marRight w:val="0"/>
      <w:marTop w:val="0"/>
      <w:marBottom w:val="0"/>
      <w:divBdr>
        <w:top w:val="none" w:sz="0" w:space="0" w:color="auto"/>
        <w:left w:val="none" w:sz="0" w:space="0" w:color="auto"/>
        <w:bottom w:val="none" w:sz="0" w:space="0" w:color="auto"/>
        <w:right w:val="none" w:sz="0" w:space="0" w:color="auto"/>
      </w:divBdr>
    </w:div>
    <w:div w:id="1405567436">
      <w:bodyDiv w:val="1"/>
      <w:marLeft w:val="0"/>
      <w:marRight w:val="0"/>
      <w:marTop w:val="0"/>
      <w:marBottom w:val="0"/>
      <w:divBdr>
        <w:top w:val="none" w:sz="0" w:space="0" w:color="auto"/>
        <w:left w:val="none" w:sz="0" w:space="0" w:color="auto"/>
        <w:bottom w:val="none" w:sz="0" w:space="0" w:color="auto"/>
        <w:right w:val="none" w:sz="0" w:space="0" w:color="auto"/>
      </w:divBdr>
    </w:div>
    <w:div w:id="141678131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8793830">
      <w:bodyDiv w:val="1"/>
      <w:marLeft w:val="0"/>
      <w:marRight w:val="0"/>
      <w:marTop w:val="0"/>
      <w:marBottom w:val="0"/>
      <w:divBdr>
        <w:top w:val="none" w:sz="0" w:space="0" w:color="auto"/>
        <w:left w:val="none" w:sz="0" w:space="0" w:color="auto"/>
        <w:bottom w:val="none" w:sz="0" w:space="0" w:color="auto"/>
        <w:right w:val="none" w:sz="0" w:space="0" w:color="auto"/>
      </w:divBdr>
    </w:div>
    <w:div w:id="1472333591">
      <w:bodyDiv w:val="1"/>
      <w:marLeft w:val="0"/>
      <w:marRight w:val="0"/>
      <w:marTop w:val="0"/>
      <w:marBottom w:val="0"/>
      <w:divBdr>
        <w:top w:val="none" w:sz="0" w:space="0" w:color="auto"/>
        <w:left w:val="none" w:sz="0" w:space="0" w:color="auto"/>
        <w:bottom w:val="none" w:sz="0" w:space="0" w:color="auto"/>
        <w:right w:val="none" w:sz="0" w:space="0" w:color="auto"/>
      </w:divBdr>
    </w:div>
    <w:div w:id="1485004496">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4466301">
      <w:bodyDiv w:val="1"/>
      <w:marLeft w:val="0"/>
      <w:marRight w:val="0"/>
      <w:marTop w:val="0"/>
      <w:marBottom w:val="0"/>
      <w:divBdr>
        <w:top w:val="none" w:sz="0" w:space="0" w:color="auto"/>
        <w:left w:val="none" w:sz="0" w:space="0" w:color="auto"/>
        <w:bottom w:val="none" w:sz="0" w:space="0" w:color="auto"/>
        <w:right w:val="none" w:sz="0" w:space="0" w:color="auto"/>
      </w:divBdr>
    </w:div>
    <w:div w:id="1556430409">
      <w:bodyDiv w:val="1"/>
      <w:marLeft w:val="0"/>
      <w:marRight w:val="0"/>
      <w:marTop w:val="0"/>
      <w:marBottom w:val="0"/>
      <w:divBdr>
        <w:top w:val="none" w:sz="0" w:space="0" w:color="auto"/>
        <w:left w:val="none" w:sz="0" w:space="0" w:color="auto"/>
        <w:bottom w:val="none" w:sz="0" w:space="0" w:color="auto"/>
        <w:right w:val="none" w:sz="0" w:space="0" w:color="auto"/>
      </w:divBdr>
    </w:div>
    <w:div w:id="1590656185">
      <w:bodyDiv w:val="1"/>
      <w:marLeft w:val="0"/>
      <w:marRight w:val="0"/>
      <w:marTop w:val="0"/>
      <w:marBottom w:val="0"/>
      <w:divBdr>
        <w:top w:val="none" w:sz="0" w:space="0" w:color="auto"/>
        <w:left w:val="none" w:sz="0" w:space="0" w:color="auto"/>
        <w:bottom w:val="none" w:sz="0" w:space="0" w:color="auto"/>
        <w:right w:val="none" w:sz="0" w:space="0" w:color="auto"/>
      </w:divBdr>
    </w:div>
    <w:div w:id="1625312109">
      <w:bodyDiv w:val="1"/>
      <w:marLeft w:val="0"/>
      <w:marRight w:val="0"/>
      <w:marTop w:val="0"/>
      <w:marBottom w:val="0"/>
      <w:divBdr>
        <w:top w:val="none" w:sz="0" w:space="0" w:color="auto"/>
        <w:left w:val="none" w:sz="0" w:space="0" w:color="auto"/>
        <w:bottom w:val="none" w:sz="0" w:space="0" w:color="auto"/>
        <w:right w:val="none" w:sz="0" w:space="0" w:color="auto"/>
      </w:divBdr>
    </w:div>
    <w:div w:id="1626349942">
      <w:bodyDiv w:val="1"/>
      <w:marLeft w:val="0"/>
      <w:marRight w:val="0"/>
      <w:marTop w:val="0"/>
      <w:marBottom w:val="0"/>
      <w:divBdr>
        <w:top w:val="none" w:sz="0" w:space="0" w:color="auto"/>
        <w:left w:val="none" w:sz="0" w:space="0" w:color="auto"/>
        <w:bottom w:val="none" w:sz="0" w:space="0" w:color="auto"/>
        <w:right w:val="none" w:sz="0" w:space="0" w:color="auto"/>
      </w:divBdr>
    </w:div>
    <w:div w:id="1626350293">
      <w:bodyDiv w:val="1"/>
      <w:marLeft w:val="0"/>
      <w:marRight w:val="0"/>
      <w:marTop w:val="0"/>
      <w:marBottom w:val="0"/>
      <w:divBdr>
        <w:top w:val="none" w:sz="0" w:space="0" w:color="auto"/>
        <w:left w:val="none" w:sz="0" w:space="0" w:color="auto"/>
        <w:bottom w:val="none" w:sz="0" w:space="0" w:color="auto"/>
        <w:right w:val="none" w:sz="0" w:space="0" w:color="auto"/>
      </w:divBdr>
    </w:div>
    <w:div w:id="1626497042">
      <w:bodyDiv w:val="1"/>
      <w:marLeft w:val="0"/>
      <w:marRight w:val="0"/>
      <w:marTop w:val="0"/>
      <w:marBottom w:val="0"/>
      <w:divBdr>
        <w:top w:val="none" w:sz="0" w:space="0" w:color="auto"/>
        <w:left w:val="none" w:sz="0" w:space="0" w:color="auto"/>
        <w:bottom w:val="none" w:sz="0" w:space="0" w:color="auto"/>
        <w:right w:val="none" w:sz="0" w:space="0" w:color="auto"/>
      </w:divBdr>
    </w:div>
    <w:div w:id="1647666974">
      <w:bodyDiv w:val="1"/>
      <w:marLeft w:val="0"/>
      <w:marRight w:val="0"/>
      <w:marTop w:val="0"/>
      <w:marBottom w:val="0"/>
      <w:divBdr>
        <w:top w:val="none" w:sz="0" w:space="0" w:color="auto"/>
        <w:left w:val="none" w:sz="0" w:space="0" w:color="auto"/>
        <w:bottom w:val="none" w:sz="0" w:space="0" w:color="auto"/>
        <w:right w:val="none" w:sz="0" w:space="0" w:color="auto"/>
      </w:divBdr>
    </w:div>
    <w:div w:id="1647856282">
      <w:bodyDiv w:val="1"/>
      <w:marLeft w:val="0"/>
      <w:marRight w:val="0"/>
      <w:marTop w:val="0"/>
      <w:marBottom w:val="0"/>
      <w:divBdr>
        <w:top w:val="none" w:sz="0" w:space="0" w:color="auto"/>
        <w:left w:val="none" w:sz="0" w:space="0" w:color="auto"/>
        <w:bottom w:val="none" w:sz="0" w:space="0" w:color="auto"/>
        <w:right w:val="none" w:sz="0" w:space="0" w:color="auto"/>
      </w:divBdr>
    </w:div>
    <w:div w:id="1648053537">
      <w:bodyDiv w:val="1"/>
      <w:marLeft w:val="0"/>
      <w:marRight w:val="0"/>
      <w:marTop w:val="0"/>
      <w:marBottom w:val="0"/>
      <w:divBdr>
        <w:top w:val="none" w:sz="0" w:space="0" w:color="auto"/>
        <w:left w:val="none" w:sz="0" w:space="0" w:color="auto"/>
        <w:bottom w:val="none" w:sz="0" w:space="0" w:color="auto"/>
        <w:right w:val="none" w:sz="0" w:space="0" w:color="auto"/>
      </w:divBdr>
    </w:div>
    <w:div w:id="165760657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9478">
      <w:bodyDiv w:val="1"/>
      <w:marLeft w:val="0"/>
      <w:marRight w:val="0"/>
      <w:marTop w:val="0"/>
      <w:marBottom w:val="0"/>
      <w:divBdr>
        <w:top w:val="none" w:sz="0" w:space="0" w:color="auto"/>
        <w:left w:val="none" w:sz="0" w:space="0" w:color="auto"/>
        <w:bottom w:val="none" w:sz="0" w:space="0" w:color="auto"/>
        <w:right w:val="none" w:sz="0" w:space="0" w:color="auto"/>
      </w:divBdr>
    </w:div>
    <w:div w:id="1689064805">
      <w:bodyDiv w:val="1"/>
      <w:marLeft w:val="0"/>
      <w:marRight w:val="0"/>
      <w:marTop w:val="0"/>
      <w:marBottom w:val="0"/>
      <w:divBdr>
        <w:top w:val="none" w:sz="0" w:space="0" w:color="auto"/>
        <w:left w:val="none" w:sz="0" w:space="0" w:color="auto"/>
        <w:bottom w:val="none" w:sz="0" w:space="0" w:color="auto"/>
        <w:right w:val="none" w:sz="0" w:space="0" w:color="auto"/>
      </w:divBdr>
    </w:div>
    <w:div w:id="1695112909">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85691623">
      <w:bodyDiv w:val="1"/>
      <w:marLeft w:val="0"/>
      <w:marRight w:val="0"/>
      <w:marTop w:val="0"/>
      <w:marBottom w:val="0"/>
      <w:divBdr>
        <w:top w:val="none" w:sz="0" w:space="0" w:color="auto"/>
        <w:left w:val="none" w:sz="0" w:space="0" w:color="auto"/>
        <w:bottom w:val="none" w:sz="0" w:space="0" w:color="auto"/>
        <w:right w:val="none" w:sz="0" w:space="0" w:color="auto"/>
      </w:divBdr>
    </w:div>
    <w:div w:id="1811635055">
      <w:bodyDiv w:val="1"/>
      <w:marLeft w:val="0"/>
      <w:marRight w:val="0"/>
      <w:marTop w:val="0"/>
      <w:marBottom w:val="0"/>
      <w:divBdr>
        <w:top w:val="none" w:sz="0" w:space="0" w:color="auto"/>
        <w:left w:val="none" w:sz="0" w:space="0" w:color="auto"/>
        <w:bottom w:val="none" w:sz="0" w:space="0" w:color="auto"/>
        <w:right w:val="none" w:sz="0" w:space="0" w:color="auto"/>
      </w:divBdr>
    </w:div>
    <w:div w:id="1812164790">
      <w:bodyDiv w:val="1"/>
      <w:marLeft w:val="0"/>
      <w:marRight w:val="0"/>
      <w:marTop w:val="0"/>
      <w:marBottom w:val="0"/>
      <w:divBdr>
        <w:top w:val="none" w:sz="0" w:space="0" w:color="auto"/>
        <w:left w:val="none" w:sz="0" w:space="0" w:color="auto"/>
        <w:bottom w:val="none" w:sz="0" w:space="0" w:color="auto"/>
        <w:right w:val="none" w:sz="0" w:space="0" w:color="auto"/>
      </w:divBdr>
    </w:div>
    <w:div w:id="1819610255">
      <w:bodyDiv w:val="1"/>
      <w:marLeft w:val="0"/>
      <w:marRight w:val="0"/>
      <w:marTop w:val="0"/>
      <w:marBottom w:val="0"/>
      <w:divBdr>
        <w:top w:val="none" w:sz="0" w:space="0" w:color="auto"/>
        <w:left w:val="none" w:sz="0" w:space="0" w:color="auto"/>
        <w:bottom w:val="none" w:sz="0" w:space="0" w:color="auto"/>
        <w:right w:val="none" w:sz="0" w:space="0" w:color="auto"/>
      </w:divBdr>
    </w:div>
    <w:div w:id="1828742760">
      <w:bodyDiv w:val="1"/>
      <w:marLeft w:val="0"/>
      <w:marRight w:val="0"/>
      <w:marTop w:val="0"/>
      <w:marBottom w:val="0"/>
      <w:divBdr>
        <w:top w:val="none" w:sz="0" w:space="0" w:color="auto"/>
        <w:left w:val="none" w:sz="0" w:space="0" w:color="auto"/>
        <w:bottom w:val="none" w:sz="0" w:space="0" w:color="auto"/>
        <w:right w:val="none" w:sz="0" w:space="0" w:color="auto"/>
      </w:divBdr>
    </w:div>
    <w:div w:id="1856309682">
      <w:bodyDiv w:val="1"/>
      <w:marLeft w:val="0"/>
      <w:marRight w:val="0"/>
      <w:marTop w:val="0"/>
      <w:marBottom w:val="0"/>
      <w:divBdr>
        <w:top w:val="none" w:sz="0" w:space="0" w:color="auto"/>
        <w:left w:val="none" w:sz="0" w:space="0" w:color="auto"/>
        <w:bottom w:val="none" w:sz="0" w:space="0" w:color="auto"/>
        <w:right w:val="none" w:sz="0" w:space="0" w:color="auto"/>
      </w:divBdr>
    </w:div>
    <w:div w:id="1910994727">
      <w:bodyDiv w:val="1"/>
      <w:marLeft w:val="0"/>
      <w:marRight w:val="0"/>
      <w:marTop w:val="0"/>
      <w:marBottom w:val="0"/>
      <w:divBdr>
        <w:top w:val="none" w:sz="0" w:space="0" w:color="auto"/>
        <w:left w:val="none" w:sz="0" w:space="0" w:color="auto"/>
        <w:bottom w:val="none" w:sz="0" w:space="0" w:color="auto"/>
        <w:right w:val="none" w:sz="0" w:space="0" w:color="auto"/>
      </w:divBdr>
    </w:div>
    <w:div w:id="1912084538">
      <w:bodyDiv w:val="1"/>
      <w:marLeft w:val="0"/>
      <w:marRight w:val="0"/>
      <w:marTop w:val="0"/>
      <w:marBottom w:val="0"/>
      <w:divBdr>
        <w:top w:val="none" w:sz="0" w:space="0" w:color="auto"/>
        <w:left w:val="none" w:sz="0" w:space="0" w:color="auto"/>
        <w:bottom w:val="none" w:sz="0" w:space="0" w:color="auto"/>
        <w:right w:val="none" w:sz="0" w:space="0" w:color="auto"/>
      </w:divBdr>
    </w:div>
    <w:div w:id="1913198623">
      <w:bodyDiv w:val="1"/>
      <w:marLeft w:val="0"/>
      <w:marRight w:val="0"/>
      <w:marTop w:val="0"/>
      <w:marBottom w:val="0"/>
      <w:divBdr>
        <w:top w:val="none" w:sz="0" w:space="0" w:color="auto"/>
        <w:left w:val="none" w:sz="0" w:space="0" w:color="auto"/>
        <w:bottom w:val="none" w:sz="0" w:space="0" w:color="auto"/>
        <w:right w:val="none" w:sz="0" w:space="0" w:color="auto"/>
      </w:divBdr>
    </w:div>
    <w:div w:id="1918979715">
      <w:bodyDiv w:val="1"/>
      <w:marLeft w:val="0"/>
      <w:marRight w:val="0"/>
      <w:marTop w:val="0"/>
      <w:marBottom w:val="0"/>
      <w:divBdr>
        <w:top w:val="none" w:sz="0" w:space="0" w:color="auto"/>
        <w:left w:val="none" w:sz="0" w:space="0" w:color="auto"/>
        <w:bottom w:val="none" w:sz="0" w:space="0" w:color="auto"/>
        <w:right w:val="none" w:sz="0" w:space="0" w:color="auto"/>
      </w:divBdr>
    </w:div>
    <w:div w:id="1924796636">
      <w:bodyDiv w:val="1"/>
      <w:marLeft w:val="0"/>
      <w:marRight w:val="0"/>
      <w:marTop w:val="0"/>
      <w:marBottom w:val="0"/>
      <w:divBdr>
        <w:top w:val="none" w:sz="0" w:space="0" w:color="auto"/>
        <w:left w:val="none" w:sz="0" w:space="0" w:color="auto"/>
        <w:bottom w:val="none" w:sz="0" w:space="0" w:color="auto"/>
        <w:right w:val="none" w:sz="0" w:space="0" w:color="auto"/>
      </w:divBdr>
    </w:div>
    <w:div w:id="1927957686">
      <w:bodyDiv w:val="1"/>
      <w:marLeft w:val="0"/>
      <w:marRight w:val="0"/>
      <w:marTop w:val="0"/>
      <w:marBottom w:val="0"/>
      <w:divBdr>
        <w:top w:val="none" w:sz="0" w:space="0" w:color="auto"/>
        <w:left w:val="none" w:sz="0" w:space="0" w:color="auto"/>
        <w:bottom w:val="none" w:sz="0" w:space="0" w:color="auto"/>
        <w:right w:val="none" w:sz="0" w:space="0" w:color="auto"/>
      </w:divBdr>
    </w:div>
    <w:div w:id="1935940081">
      <w:bodyDiv w:val="1"/>
      <w:marLeft w:val="0"/>
      <w:marRight w:val="0"/>
      <w:marTop w:val="0"/>
      <w:marBottom w:val="0"/>
      <w:divBdr>
        <w:top w:val="none" w:sz="0" w:space="0" w:color="auto"/>
        <w:left w:val="none" w:sz="0" w:space="0" w:color="auto"/>
        <w:bottom w:val="none" w:sz="0" w:space="0" w:color="auto"/>
        <w:right w:val="none" w:sz="0" w:space="0" w:color="auto"/>
      </w:divBdr>
    </w:div>
    <w:div w:id="1985889251">
      <w:bodyDiv w:val="1"/>
      <w:marLeft w:val="0"/>
      <w:marRight w:val="0"/>
      <w:marTop w:val="0"/>
      <w:marBottom w:val="0"/>
      <w:divBdr>
        <w:top w:val="none" w:sz="0" w:space="0" w:color="auto"/>
        <w:left w:val="none" w:sz="0" w:space="0" w:color="auto"/>
        <w:bottom w:val="none" w:sz="0" w:space="0" w:color="auto"/>
        <w:right w:val="none" w:sz="0" w:space="0" w:color="auto"/>
      </w:divBdr>
    </w:div>
    <w:div w:id="2020085407">
      <w:bodyDiv w:val="1"/>
      <w:marLeft w:val="0"/>
      <w:marRight w:val="0"/>
      <w:marTop w:val="0"/>
      <w:marBottom w:val="0"/>
      <w:divBdr>
        <w:top w:val="none" w:sz="0" w:space="0" w:color="auto"/>
        <w:left w:val="none" w:sz="0" w:space="0" w:color="auto"/>
        <w:bottom w:val="none" w:sz="0" w:space="0" w:color="auto"/>
        <w:right w:val="none" w:sz="0" w:space="0" w:color="auto"/>
      </w:divBdr>
    </w:div>
    <w:div w:id="2025128303">
      <w:bodyDiv w:val="1"/>
      <w:marLeft w:val="0"/>
      <w:marRight w:val="0"/>
      <w:marTop w:val="0"/>
      <w:marBottom w:val="0"/>
      <w:divBdr>
        <w:top w:val="none" w:sz="0" w:space="0" w:color="auto"/>
        <w:left w:val="none" w:sz="0" w:space="0" w:color="auto"/>
        <w:bottom w:val="none" w:sz="0" w:space="0" w:color="auto"/>
        <w:right w:val="none" w:sz="0" w:space="0" w:color="auto"/>
      </w:divBdr>
    </w:div>
    <w:div w:id="2056654668">
      <w:bodyDiv w:val="1"/>
      <w:marLeft w:val="0"/>
      <w:marRight w:val="0"/>
      <w:marTop w:val="0"/>
      <w:marBottom w:val="0"/>
      <w:divBdr>
        <w:top w:val="none" w:sz="0" w:space="0" w:color="auto"/>
        <w:left w:val="none" w:sz="0" w:space="0" w:color="auto"/>
        <w:bottom w:val="none" w:sz="0" w:space="0" w:color="auto"/>
        <w:right w:val="none" w:sz="0" w:space="0" w:color="auto"/>
      </w:divBdr>
    </w:div>
    <w:div w:id="2090930668">
      <w:bodyDiv w:val="1"/>
      <w:marLeft w:val="0"/>
      <w:marRight w:val="0"/>
      <w:marTop w:val="0"/>
      <w:marBottom w:val="0"/>
      <w:divBdr>
        <w:top w:val="none" w:sz="0" w:space="0" w:color="auto"/>
        <w:left w:val="none" w:sz="0" w:space="0" w:color="auto"/>
        <w:bottom w:val="none" w:sz="0" w:space="0" w:color="auto"/>
        <w:right w:val="none" w:sz="0" w:space="0" w:color="auto"/>
      </w:divBdr>
    </w:div>
    <w:div w:id="2099250948">
      <w:bodyDiv w:val="1"/>
      <w:marLeft w:val="0"/>
      <w:marRight w:val="0"/>
      <w:marTop w:val="0"/>
      <w:marBottom w:val="0"/>
      <w:divBdr>
        <w:top w:val="none" w:sz="0" w:space="0" w:color="auto"/>
        <w:left w:val="none" w:sz="0" w:space="0" w:color="auto"/>
        <w:bottom w:val="none" w:sz="0" w:space="0" w:color="auto"/>
        <w:right w:val="none" w:sz="0" w:space="0" w:color="auto"/>
      </w:divBdr>
    </w:div>
    <w:div w:id="211604819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6</Pages>
  <Words>3543</Words>
  <Characters>20199</Characters>
  <Application>Microsoft Office Word</Application>
  <DocSecurity>0</DocSecurity>
  <Lines>168</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Bruno Fabiano</cp:lastModifiedBy>
  <cp:revision>59</cp:revision>
  <cp:lastPrinted>2025-03-05T10:12:00Z</cp:lastPrinted>
  <dcterms:created xsi:type="dcterms:W3CDTF">2024-12-13T15:53:00Z</dcterms:created>
  <dcterms:modified xsi:type="dcterms:W3CDTF">2025-03-17T14:21:00Z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