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8AFD6E8"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E3217">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5296D598" w:rsidR="00AA7D26" w:rsidRPr="001C40F0" w:rsidRDefault="00AA7D26" w:rsidP="00AA7D26">
            <w:pPr>
              <w:ind w:left="-107"/>
              <w:outlineLvl w:val="2"/>
              <w:rPr>
                <w:rFonts w:ascii="Tahoma" w:hAnsi="Tahoma" w:cs="Tahoma"/>
                <w:bCs/>
                <w:color w:val="000000"/>
                <w:sz w:val="14"/>
                <w:szCs w:val="14"/>
                <w:lang w:val="en-US" w:eastAsia="it-IT"/>
              </w:rPr>
            </w:pPr>
            <w:r w:rsidRPr="001C40F0">
              <w:rPr>
                <w:rFonts w:ascii="Tahoma" w:hAnsi="Tahoma" w:cs="Tahoma"/>
                <w:iCs/>
                <w:color w:val="333333"/>
                <w:sz w:val="14"/>
                <w:szCs w:val="14"/>
                <w:lang w:val="en-US" w:eastAsia="it-IT"/>
              </w:rPr>
              <w:t>Guest Editors:</w:t>
            </w:r>
            <w:r w:rsidRPr="001C40F0">
              <w:rPr>
                <w:rFonts w:ascii="Tahoma" w:hAnsi="Tahoma" w:cs="Tahoma"/>
                <w:color w:val="000000"/>
                <w:sz w:val="14"/>
                <w:szCs w:val="14"/>
                <w:shd w:val="clear" w:color="auto" w:fill="FFFFFF"/>
                <w:lang w:val="en-US"/>
              </w:rPr>
              <w:t xml:space="preserve"> </w:t>
            </w:r>
          </w:p>
          <w:p w14:paraId="1B0F1814" w14:textId="4811B41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1C40F0">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w:t>
            </w:r>
          </w:p>
        </w:tc>
      </w:tr>
    </w:tbl>
    <w:p w14:paraId="2E667253" w14:textId="1C9BE48D" w:rsidR="00E978D0" w:rsidRPr="00B57B36" w:rsidRDefault="001F69EC" w:rsidP="00E978D0">
      <w:pPr>
        <w:pStyle w:val="CETTitle"/>
      </w:pPr>
      <w:r w:rsidRPr="001F69EC">
        <w:t xml:space="preserve">Effective </w:t>
      </w:r>
      <w:r w:rsidR="007B6014">
        <w:rPr>
          <w:rFonts w:eastAsia="ＭＳ 明朝" w:hint="eastAsia"/>
          <w:lang w:eastAsia="ja-JP"/>
        </w:rPr>
        <w:t>C</w:t>
      </w:r>
      <w:r w:rsidRPr="001F69EC">
        <w:t xml:space="preserve">ybersecurity </w:t>
      </w:r>
      <w:r w:rsidR="007B6014">
        <w:rPr>
          <w:rFonts w:eastAsia="ＭＳ 明朝" w:hint="eastAsia"/>
          <w:lang w:eastAsia="ja-JP"/>
        </w:rPr>
        <w:t>R</w:t>
      </w:r>
      <w:r w:rsidRPr="001F69EC">
        <w:t xml:space="preserve">isk </w:t>
      </w:r>
      <w:r w:rsidR="007B6014">
        <w:rPr>
          <w:rFonts w:eastAsia="ＭＳ 明朝" w:hint="eastAsia"/>
          <w:lang w:eastAsia="ja-JP"/>
        </w:rPr>
        <w:t>A</w:t>
      </w:r>
      <w:r w:rsidRPr="001F69EC">
        <w:t xml:space="preserve">ssessment </w:t>
      </w:r>
      <w:r w:rsidR="007B6014">
        <w:rPr>
          <w:rFonts w:eastAsia="ＭＳ 明朝" w:hint="eastAsia"/>
          <w:lang w:eastAsia="ja-JP"/>
        </w:rPr>
        <w:t>A</w:t>
      </w:r>
      <w:r w:rsidRPr="001F69EC">
        <w:t xml:space="preserve">pproach for </w:t>
      </w:r>
      <w:r w:rsidR="007B6014">
        <w:rPr>
          <w:rFonts w:eastAsia="ＭＳ 明朝" w:hint="eastAsia"/>
          <w:lang w:eastAsia="ja-JP"/>
        </w:rPr>
        <w:t>I</w:t>
      </w:r>
      <w:r w:rsidRPr="001F69EC">
        <w:t xml:space="preserve">ntegrating in </w:t>
      </w:r>
      <w:r w:rsidR="007B6014">
        <w:rPr>
          <w:rFonts w:eastAsia="ＭＳ 明朝" w:hint="eastAsia"/>
          <w:lang w:eastAsia="ja-JP"/>
        </w:rPr>
        <w:t>P</w:t>
      </w:r>
      <w:r w:rsidRPr="001F69EC">
        <w:t xml:space="preserve">rocess </w:t>
      </w:r>
      <w:r w:rsidR="007B6014">
        <w:rPr>
          <w:rFonts w:eastAsia="ＭＳ 明朝" w:hint="eastAsia"/>
          <w:lang w:eastAsia="ja-JP"/>
        </w:rPr>
        <w:t>S</w:t>
      </w:r>
      <w:r w:rsidRPr="001F69EC">
        <w:t xml:space="preserve">afety </w:t>
      </w:r>
      <w:r w:rsidR="007B6014">
        <w:rPr>
          <w:rFonts w:eastAsia="ＭＳ 明朝" w:hint="eastAsia"/>
          <w:lang w:eastAsia="ja-JP"/>
        </w:rPr>
        <w:t>M</w:t>
      </w:r>
      <w:r w:rsidRPr="001F69EC">
        <w:t>anagement</w:t>
      </w:r>
    </w:p>
    <w:p w14:paraId="0488FED2" w14:textId="577F02A6" w:rsidR="00B57E6F" w:rsidRPr="00A54F17" w:rsidRDefault="000E4332" w:rsidP="00B57E6F">
      <w:pPr>
        <w:pStyle w:val="CETAuthors"/>
        <w:rPr>
          <w:rFonts w:eastAsia="ＭＳ 明朝"/>
          <w:lang w:eastAsia="ja-JP"/>
        </w:rPr>
      </w:pPr>
      <w:r>
        <w:rPr>
          <w:rFonts w:eastAsia="ＭＳ 明朝" w:hint="eastAsia"/>
          <w:lang w:eastAsia="ja-JP"/>
        </w:rPr>
        <w:t>Masayuki Tanabe</w:t>
      </w:r>
      <w:r w:rsidR="00B57E6F" w:rsidRPr="00B57B36">
        <w:rPr>
          <w:vertAlign w:val="superscript"/>
        </w:rPr>
        <w:t>a</w:t>
      </w:r>
      <w:r w:rsidR="00081993">
        <w:rPr>
          <w:rFonts w:eastAsia="ＭＳ 明朝" w:hint="eastAsia"/>
          <w:vertAlign w:val="superscript"/>
          <w:lang w:eastAsia="ja-JP"/>
        </w:rPr>
        <w:t>,b</w:t>
      </w:r>
      <w:r w:rsidR="00EC34AE" w:rsidRPr="00B57B36">
        <w:rPr>
          <w:vertAlign w:val="superscript"/>
        </w:rPr>
        <w:t>,</w:t>
      </w:r>
      <w:r w:rsidR="00EC34AE" w:rsidRPr="00B57B36">
        <w:t>*</w:t>
      </w:r>
      <w:r w:rsidR="00B57E6F" w:rsidRPr="00B57B36">
        <w:t xml:space="preserve">, </w:t>
      </w:r>
      <w:r>
        <w:rPr>
          <w:rFonts w:eastAsia="ＭＳ 明朝" w:hint="eastAsia"/>
          <w:lang w:eastAsia="ja-JP"/>
        </w:rPr>
        <w:t>Atsumi Miyake</w:t>
      </w:r>
      <w:r w:rsidR="00B57E6F" w:rsidRPr="00B57B36">
        <w:rPr>
          <w:vertAlign w:val="superscript"/>
        </w:rPr>
        <w:t>b</w:t>
      </w:r>
    </w:p>
    <w:p w14:paraId="6B2D21B3" w14:textId="740AFAB6" w:rsidR="00B57E6F" w:rsidRPr="00081993" w:rsidRDefault="00B57E6F" w:rsidP="00B57E6F">
      <w:pPr>
        <w:pStyle w:val="CETAddress"/>
        <w:rPr>
          <w:rFonts w:eastAsia="ＭＳ 明朝"/>
          <w:lang w:eastAsia="ja-JP"/>
        </w:rPr>
      </w:pPr>
      <w:r w:rsidRPr="00B57B36">
        <w:rPr>
          <w:vertAlign w:val="superscript"/>
        </w:rPr>
        <w:t>a</w:t>
      </w:r>
      <w:r w:rsidR="00A54F17">
        <w:rPr>
          <w:rFonts w:eastAsia="ＭＳ 明朝" w:hint="eastAsia"/>
          <w:lang w:eastAsia="ja-JP"/>
        </w:rPr>
        <w:t>Strategic PSM Initiative Group</w:t>
      </w:r>
      <w:r w:rsidRPr="00B57B36">
        <w:t xml:space="preserve"> </w:t>
      </w:r>
      <w:r w:rsidR="00081993">
        <w:rPr>
          <w:rFonts w:eastAsia="ＭＳ 明朝" w:hint="eastAsia"/>
          <w:lang w:eastAsia="ja-JP"/>
        </w:rPr>
        <w:t>LLC [</w:t>
      </w:r>
      <w:r w:rsidR="00A2446A">
        <w:rPr>
          <w:rFonts w:eastAsia="ＭＳ 明朝" w:hint="eastAsia"/>
          <w:lang w:eastAsia="ja-JP"/>
        </w:rPr>
        <w:t>23-1</w:t>
      </w:r>
      <w:r w:rsidR="00A32546">
        <w:rPr>
          <w:rFonts w:eastAsia="ＭＳ 明朝" w:hint="eastAsia"/>
          <w:lang w:eastAsia="ja-JP"/>
        </w:rPr>
        <w:t>7</w:t>
      </w:r>
      <w:r w:rsidR="00A2446A">
        <w:rPr>
          <w:rFonts w:eastAsia="ＭＳ 明朝" w:hint="eastAsia"/>
          <w:lang w:eastAsia="ja-JP"/>
        </w:rPr>
        <w:t>-408</w:t>
      </w:r>
      <w:r w:rsidR="00A32546">
        <w:rPr>
          <w:rFonts w:eastAsia="ＭＳ 明朝" w:hint="eastAsia"/>
          <w:lang w:eastAsia="ja-JP"/>
        </w:rPr>
        <w:t>, Sakuragaoka-Cho</w:t>
      </w:r>
      <w:r w:rsidR="00615D2B">
        <w:rPr>
          <w:rFonts w:eastAsia="ＭＳ 明朝" w:hint="eastAsia"/>
          <w:lang w:eastAsia="ja-JP"/>
        </w:rPr>
        <w:t>, Shibuya 150-0031, Japan</w:t>
      </w:r>
      <w:r w:rsidR="00081993">
        <w:rPr>
          <w:rFonts w:eastAsia="ＭＳ 明朝" w:hint="eastAsia"/>
          <w:lang w:eastAsia="ja-JP"/>
        </w:rPr>
        <w:t>]</w:t>
      </w:r>
    </w:p>
    <w:p w14:paraId="3D72B0B0" w14:textId="2A653D62" w:rsidR="00B57E6F" w:rsidRPr="00B57B36" w:rsidRDefault="00B57E6F" w:rsidP="00B57E6F">
      <w:pPr>
        <w:pStyle w:val="CETAddress"/>
      </w:pPr>
      <w:r w:rsidRPr="00B57B36">
        <w:rPr>
          <w:vertAlign w:val="superscript"/>
        </w:rPr>
        <w:t>b</w:t>
      </w:r>
      <w:r w:rsidR="005C2DC4">
        <w:rPr>
          <w:rFonts w:eastAsia="ＭＳ 明朝" w:hint="eastAsia"/>
          <w:lang w:eastAsia="ja-JP"/>
        </w:rPr>
        <w:t>Yokohama</w:t>
      </w:r>
      <w:r w:rsidRPr="00B57B36">
        <w:t xml:space="preserve"> </w:t>
      </w:r>
      <w:r w:rsidR="005C2DC4">
        <w:rPr>
          <w:rFonts w:eastAsia="ＭＳ 明朝" w:hint="eastAsia"/>
          <w:lang w:eastAsia="ja-JP"/>
        </w:rPr>
        <w:t>National University</w:t>
      </w:r>
      <w:r w:rsidRPr="00B57B36">
        <w:t xml:space="preserve"> [</w:t>
      </w:r>
      <w:r w:rsidR="00105FDE">
        <w:rPr>
          <w:rFonts w:eastAsia="ＭＳ 明朝" w:hint="eastAsia"/>
          <w:lang w:eastAsia="ja-JP"/>
        </w:rPr>
        <w:t xml:space="preserve">79-1, </w:t>
      </w:r>
      <w:r w:rsidR="008E27C2" w:rsidRPr="008E27C2">
        <w:t>Hodogaya-ku, Yokohama, 240-8501, Japan</w:t>
      </w:r>
      <w:r w:rsidRPr="00B57B36">
        <w:t xml:space="preserve">] </w:t>
      </w:r>
    </w:p>
    <w:p w14:paraId="73F1267A" w14:textId="3240EC18" w:rsidR="00B57E6F" w:rsidRPr="00CE3217" w:rsidRDefault="00B57E6F" w:rsidP="00B57E6F">
      <w:pPr>
        <w:pStyle w:val="CETemail"/>
        <w:rPr>
          <w:lang w:val="fr-FR"/>
        </w:rPr>
      </w:pPr>
      <w:r>
        <w:t xml:space="preserve"> </w:t>
      </w:r>
      <w:r w:rsidR="008E27C2">
        <w:rPr>
          <w:rFonts w:eastAsia="ＭＳ 明朝" w:hint="eastAsia"/>
          <w:lang w:val="fr-FR" w:eastAsia="ja-JP"/>
        </w:rPr>
        <w:t>tanabe.masayuki</w:t>
      </w:r>
      <w:r w:rsidRPr="00CE3217">
        <w:rPr>
          <w:lang w:val="fr-FR"/>
        </w:rPr>
        <w:t>@</w:t>
      </w:r>
      <w:r w:rsidR="008E27C2">
        <w:rPr>
          <w:rFonts w:eastAsia="ＭＳ 明朝" w:hint="eastAsia"/>
          <w:lang w:val="fr-FR" w:eastAsia="ja-JP"/>
        </w:rPr>
        <w:t>strategic-psm.com</w:t>
      </w:r>
    </w:p>
    <w:p w14:paraId="375DBA63" w14:textId="2484D201" w:rsidR="004703A8" w:rsidRPr="004E7234" w:rsidRDefault="0029735B" w:rsidP="0029735B">
      <w:pPr>
        <w:pStyle w:val="CETBodytext"/>
        <w:rPr>
          <w:rFonts w:eastAsia="ＭＳ 明朝"/>
          <w:lang w:val="en-GB" w:eastAsia="ja-JP"/>
        </w:rPr>
      </w:pPr>
      <w:bookmarkStart w:id="0" w:name="_Hlk495475023"/>
      <w:r w:rsidRPr="0029735B">
        <w:rPr>
          <w:rFonts w:eastAsia="ＭＳ 明朝"/>
          <w:lang w:val="en-GB" w:eastAsia="ja-JP"/>
        </w:rPr>
        <w:t xml:space="preserve">Cyberattacks targeting the process industry have become increasingly prevalent in recent years. The ISA TR84.00.09 standard and the CCPS guidelines propose methodologies for conducting process risk assessments against cyberattacks on process facilities, such as </w:t>
      </w:r>
      <w:r w:rsidR="002B7B48">
        <w:rPr>
          <w:rFonts w:eastAsia="ＭＳ 明朝" w:hint="eastAsia"/>
          <w:lang w:val="en-GB" w:eastAsia="ja-JP"/>
        </w:rPr>
        <w:t>attacks</w:t>
      </w:r>
      <w:r w:rsidRPr="0029735B">
        <w:rPr>
          <w:rFonts w:eastAsia="ＭＳ 明朝"/>
          <w:lang w:val="en-GB" w:eastAsia="ja-JP"/>
        </w:rPr>
        <w:t xml:space="preserve"> on the Basic Process Control System (BPCS) and the Safety Instrumented System (SIS), to ensure robust functional requirement management throughout the plant lifecycle. However, hazard identification and risk assessment techniques addressing process incidents triggered by cyberattacks remain largely unstandardized.</w:t>
      </w:r>
      <w:r w:rsidR="00240B85">
        <w:rPr>
          <w:rFonts w:eastAsia="ＭＳ 明朝" w:hint="eastAsia"/>
          <w:lang w:val="en-GB" w:eastAsia="ja-JP"/>
        </w:rPr>
        <w:t xml:space="preserve"> </w:t>
      </w:r>
      <w:r w:rsidRPr="0029735B">
        <w:rPr>
          <w:rFonts w:eastAsia="ＭＳ 明朝"/>
          <w:lang w:val="en-GB" w:eastAsia="ja-JP"/>
        </w:rPr>
        <w:t>Contemporary cybersecurity (CS) risk assessments predominantly focus on general Information Technology (IT) risks within business contexts. A notable contributing factor is the persistent misalignment between IT and Operational Technology (OT), including Process Safety (PS). OT professionals often regard CS as the responsibility of IT personnel, while IT teams typically lack familiarity with OT systems. Consequently, integrated IT-OT risk assessments are not widely implemented.</w:t>
      </w:r>
      <w:r w:rsidR="00240B85">
        <w:rPr>
          <w:rFonts w:eastAsia="ＭＳ 明朝" w:hint="eastAsia"/>
          <w:lang w:val="en-GB" w:eastAsia="ja-JP"/>
        </w:rPr>
        <w:t xml:space="preserve"> </w:t>
      </w:r>
      <w:r w:rsidRPr="0029735B">
        <w:rPr>
          <w:rFonts w:eastAsia="ＭＳ 明朝"/>
          <w:lang w:val="en-GB" w:eastAsia="ja-JP"/>
        </w:rPr>
        <w:t>This study explores an effective framework and methodology for conducting CS risk assessments specific to process incidents. The research utilizes a typical LNG plant model as the basis for a detailed CS risk assessment.</w:t>
      </w:r>
      <w:r w:rsidR="00240B85">
        <w:rPr>
          <w:rFonts w:eastAsia="ＭＳ 明朝" w:hint="eastAsia"/>
          <w:lang w:val="en-GB" w:eastAsia="ja-JP"/>
        </w:rPr>
        <w:t xml:space="preserve"> </w:t>
      </w:r>
      <w:r w:rsidRPr="0029735B">
        <w:rPr>
          <w:rFonts w:eastAsia="ＭＳ 明朝"/>
          <w:lang w:val="en-GB" w:eastAsia="ja-JP"/>
        </w:rPr>
        <w:t>The findings reveal several potential pathways for cyberattacks that could lead to major process incidents, underscoring the criticality of inherent safety measures and effective coordination between CS and PS disciplines. The CS risk assessment framework and procedural guidance detailed in this study are anticipated to significantly enhance the effectiveness of CS risk evaluations and the precise definition of functional requirements to mitigate cybersecurity risks.</w:t>
      </w:r>
    </w:p>
    <w:bookmarkEnd w:id="0"/>
    <w:p w14:paraId="476B2F2E" w14:textId="77777777" w:rsidR="00600535" w:rsidRPr="004E7234" w:rsidRDefault="00600535" w:rsidP="00600535">
      <w:pPr>
        <w:pStyle w:val="CETHeading1"/>
        <w:rPr>
          <w:lang w:val="en-GB"/>
        </w:rPr>
      </w:pPr>
      <w:r w:rsidRPr="004E7234">
        <w:rPr>
          <w:lang w:val="en-GB"/>
        </w:rPr>
        <w:t>Introduction</w:t>
      </w:r>
    </w:p>
    <w:p w14:paraId="4EB3C208" w14:textId="6CAD3A3B" w:rsidR="0037161A" w:rsidRDefault="0013229F" w:rsidP="00010446">
      <w:pPr>
        <w:pStyle w:val="CETBodytext"/>
        <w:rPr>
          <w:rFonts w:eastAsia="ＭＳ 明朝"/>
          <w:lang w:val="en-GB" w:eastAsia="ja-JP"/>
        </w:rPr>
      </w:pPr>
      <w:r w:rsidRPr="0013229F">
        <w:rPr>
          <w:rFonts w:eastAsia="ＭＳ 明朝"/>
          <w:lang w:val="en-GB" w:eastAsia="ja-JP"/>
        </w:rPr>
        <w:t xml:space="preserve">The past several years </w:t>
      </w:r>
      <w:proofErr w:type="gramStart"/>
      <w:r w:rsidRPr="0013229F">
        <w:rPr>
          <w:rFonts w:eastAsia="ＭＳ 明朝"/>
          <w:lang w:val="en-GB" w:eastAsia="ja-JP"/>
        </w:rPr>
        <w:t>have</w:t>
      </w:r>
      <w:proofErr w:type="gramEnd"/>
      <w:r w:rsidRPr="0013229F">
        <w:rPr>
          <w:rFonts w:eastAsia="ＭＳ 明朝"/>
          <w:lang w:val="en-GB" w:eastAsia="ja-JP"/>
        </w:rPr>
        <w:t xml:space="preserve"> witnessed </w:t>
      </w:r>
      <w:r>
        <w:rPr>
          <w:rFonts w:eastAsia="ＭＳ 明朝" w:hint="eastAsia"/>
          <w:lang w:val="en-GB" w:eastAsia="ja-JP"/>
        </w:rPr>
        <w:t>several</w:t>
      </w:r>
      <w:r w:rsidRPr="0013229F">
        <w:rPr>
          <w:rFonts w:eastAsia="ＭＳ 明朝"/>
          <w:lang w:val="en-GB" w:eastAsia="ja-JP"/>
        </w:rPr>
        <w:t xml:space="preserve"> cybersecurity incidents targeting process industries and other hazardous sectors. In response to the escalating frequency of such cyberattacks, the concept of risk-based cybersecurity (CS) management, underpinned by CS risk assessment methodologies, was introduced</w:t>
      </w:r>
      <w:r w:rsidR="00A27F90" w:rsidRPr="002B6D05">
        <w:rPr>
          <w:rFonts w:eastAsia="ＭＳ 明朝"/>
          <w:lang w:val="en-GB" w:eastAsia="ja-JP"/>
        </w:rPr>
        <w:t xml:space="preserve"> (CCPS, 2022; ISA, 2017)</w:t>
      </w:r>
      <w:r w:rsidR="0037161A" w:rsidRPr="002023F9">
        <w:rPr>
          <w:rFonts w:eastAsia="ＭＳ 明朝"/>
          <w:lang w:val="en-GB" w:eastAsia="ja-JP"/>
        </w:rPr>
        <w:t>.</w:t>
      </w:r>
      <w:r w:rsidR="00240B85">
        <w:rPr>
          <w:rFonts w:eastAsia="ＭＳ 明朝" w:hint="eastAsia"/>
          <w:lang w:val="en-GB" w:eastAsia="ja-JP"/>
        </w:rPr>
        <w:t xml:space="preserve"> </w:t>
      </w:r>
      <w:r w:rsidR="00010446" w:rsidRPr="00010446">
        <w:rPr>
          <w:rFonts w:eastAsia="ＭＳ 明朝"/>
          <w:lang w:val="en-GB" w:eastAsia="ja-JP"/>
        </w:rPr>
        <w:t>The Yokohama National University (YNU) Strategic PSM Initiative Group (SPSM) proposed a comprehensive framework in 2020 to facilitate the effective implementation of risk-based process safety (RBPS) management systems within existing plant organizations (YNU SPSM, 2022). Given the adaptability of the proposed Process Safety Management (PSM) framework to other Management System (MS) elements, SPSM initiated research to extend the framework to encompass CS management through the application of CS risk assessment methodologies.</w:t>
      </w:r>
      <w:r w:rsidR="00736168">
        <w:rPr>
          <w:rFonts w:eastAsia="ＭＳ 明朝" w:hint="eastAsia"/>
          <w:lang w:val="en-GB" w:eastAsia="ja-JP"/>
        </w:rPr>
        <w:t xml:space="preserve"> </w:t>
      </w:r>
      <w:r w:rsidR="00010446" w:rsidRPr="00010446">
        <w:rPr>
          <w:rFonts w:eastAsia="ＭＳ 明朝"/>
          <w:lang w:val="en-GB" w:eastAsia="ja-JP"/>
        </w:rPr>
        <w:t>This paper examines the CS risk assessment methodology for addressing cyberattacks targeting process incidents and identifies the challenges associated with integrating this methodology into PSM, as revealed through case studies conducted using model LNG plant data.</w:t>
      </w:r>
    </w:p>
    <w:p w14:paraId="5741900F" w14:textId="6F8E6C8F" w:rsidR="00453E24" w:rsidRDefault="008670CB" w:rsidP="00453E24">
      <w:pPr>
        <w:pStyle w:val="CETHeading1"/>
      </w:pPr>
      <w:r>
        <w:rPr>
          <w:rFonts w:eastAsia="ＭＳ 明朝" w:hint="eastAsia"/>
          <w:lang w:eastAsia="ja-JP"/>
        </w:rPr>
        <w:t xml:space="preserve">Strategic PSM </w:t>
      </w:r>
      <w:r w:rsidR="00E60423">
        <w:rPr>
          <w:rFonts w:eastAsia="ＭＳ 明朝" w:hint="eastAsia"/>
          <w:lang w:eastAsia="ja-JP"/>
        </w:rPr>
        <w:t>concept</w:t>
      </w:r>
    </w:p>
    <w:p w14:paraId="140B6B0E" w14:textId="77777777" w:rsidR="00C73769" w:rsidRPr="00C73769" w:rsidRDefault="00C73769" w:rsidP="00C73769">
      <w:pPr>
        <w:pStyle w:val="CETBodytext"/>
        <w:rPr>
          <w:rFonts w:eastAsia="ＭＳ 明朝"/>
          <w:lang w:eastAsia="ja-JP"/>
        </w:rPr>
      </w:pPr>
      <w:r w:rsidRPr="00C73769">
        <w:rPr>
          <w:rFonts w:eastAsia="ＭＳ 明朝"/>
          <w:lang w:eastAsia="ja-JP"/>
        </w:rPr>
        <w:t>The SPSM outlines the design flow for a Management System (MS) as illustrated in Figure 1. This process comprises several stages: "Collect Baseline Information," "PSM Gap Analysis," which evaluates the discrepancies between the current state and the desired goals of the MS, "Design Management System," where the essential requirements to bridge these gaps are defined, "Management Plan (New Baseline)," and "Conduct of PSM."</w:t>
      </w:r>
    </w:p>
    <w:p w14:paraId="767593A8" w14:textId="24EE0063" w:rsidR="0061784B" w:rsidRDefault="00C73769" w:rsidP="00C73769">
      <w:pPr>
        <w:pStyle w:val="CETBodytext"/>
        <w:rPr>
          <w:rFonts w:eastAsia="ＭＳ 明朝"/>
          <w:lang w:eastAsia="ja-JP"/>
        </w:rPr>
      </w:pPr>
      <w:r w:rsidRPr="00C73769">
        <w:rPr>
          <w:rFonts w:eastAsia="ＭＳ 明朝"/>
          <w:lang w:eastAsia="ja-JP"/>
        </w:rPr>
        <w:lastRenderedPageBreak/>
        <w:t xml:space="preserve">If the necessary requirements for cybersecurity (CS) can be identified and defined through CS risk assessment methodologies, CS risk management can be seamlessly integrated into PSM by incorporating CS functional requirements within the same MS framework. Notably, this integration is centered on the management of cyberattacks specifically targeting process incidents, excluding broader cyberattacks on business systems, </w:t>
      </w:r>
      <w:proofErr w:type="gramStart"/>
      <w:r w:rsidRPr="00C73769">
        <w:rPr>
          <w:rFonts w:eastAsia="ＭＳ 明朝"/>
          <w:lang w:eastAsia="ja-JP"/>
        </w:rPr>
        <w:t>similar to</w:t>
      </w:r>
      <w:proofErr w:type="gramEnd"/>
      <w:r w:rsidRPr="00C73769">
        <w:rPr>
          <w:rFonts w:eastAsia="ＭＳ 明朝"/>
          <w:lang w:eastAsia="ja-JP"/>
        </w:rPr>
        <w:t xml:space="preserve"> how PSM is focused on addressing process incidents caused by hazardous material leaks from process facilities.</w:t>
      </w:r>
    </w:p>
    <w:p w14:paraId="7DEA4D07" w14:textId="77777777" w:rsidR="00B477E9" w:rsidRDefault="00B477E9" w:rsidP="00B477E9">
      <w:pPr>
        <w:pStyle w:val="CETBodytext"/>
        <w:rPr>
          <w:rFonts w:eastAsia="ＭＳ 明朝"/>
          <w:lang w:val="en-GB" w:eastAsia="ja-JP"/>
        </w:rPr>
      </w:pPr>
      <w:r w:rsidRPr="00D248DD">
        <w:rPr>
          <w:rFonts w:eastAsia="ＭＳ 明朝"/>
          <w:noProof/>
        </w:rPr>
        <w:drawing>
          <wp:inline distT="0" distB="0" distL="0" distR="0" wp14:anchorId="50BB780C" wp14:editId="77E2FDC7">
            <wp:extent cx="3683479" cy="1608457"/>
            <wp:effectExtent l="0" t="0" r="0" b="0"/>
            <wp:docPr id="16077122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3715" cy="1621660"/>
                    </a:xfrm>
                    <a:prstGeom prst="rect">
                      <a:avLst/>
                    </a:prstGeom>
                    <a:noFill/>
                    <a:ln>
                      <a:noFill/>
                    </a:ln>
                  </pic:spPr>
                </pic:pic>
              </a:graphicData>
            </a:graphic>
          </wp:inline>
        </w:drawing>
      </w:r>
    </w:p>
    <w:p w14:paraId="5436D977" w14:textId="1AD02D5C" w:rsidR="00453E24" w:rsidRPr="00B477E9" w:rsidRDefault="00B477E9" w:rsidP="00453E24">
      <w:pPr>
        <w:pStyle w:val="CETBodytext"/>
        <w:rPr>
          <w:lang w:val="en-GB" w:eastAsia="ja-JP"/>
        </w:rPr>
      </w:pPr>
      <w:r w:rsidRPr="00BD077D">
        <w:rPr>
          <w:rStyle w:val="CETCaptionCarattere"/>
        </w:rPr>
        <w:t xml:space="preserve">Figure 1: </w:t>
      </w:r>
      <w:r w:rsidR="00622F49">
        <w:rPr>
          <w:rStyle w:val="CETCaptionCarattere"/>
          <w:rFonts w:eastAsia="ＭＳ 明朝" w:hint="eastAsia"/>
          <w:lang w:eastAsia="ja-JP"/>
        </w:rPr>
        <w:t>SPSM Concept for Desig</w:t>
      </w:r>
      <w:r w:rsidR="004D3FD3">
        <w:rPr>
          <w:rStyle w:val="CETCaptionCarattere"/>
          <w:rFonts w:eastAsia="ＭＳ 明朝" w:hint="eastAsia"/>
          <w:lang w:eastAsia="ja-JP"/>
        </w:rPr>
        <w:t>ning</w:t>
      </w:r>
      <w:r w:rsidR="00622F49">
        <w:rPr>
          <w:rStyle w:val="CETCaptionCarattere"/>
          <w:rFonts w:eastAsia="ＭＳ 明朝" w:hint="eastAsia"/>
          <w:lang w:eastAsia="ja-JP"/>
        </w:rPr>
        <w:t xml:space="preserve"> PS</w:t>
      </w:r>
      <w:r w:rsidR="004D3FD3">
        <w:rPr>
          <w:rStyle w:val="CETCaptionCarattere"/>
          <w:rFonts w:eastAsia="ＭＳ 明朝" w:hint="eastAsia"/>
          <w:lang w:eastAsia="ja-JP"/>
        </w:rPr>
        <w:t>M with</w:t>
      </w:r>
      <w:r w:rsidR="00622F49">
        <w:rPr>
          <w:rStyle w:val="CETCaptionCarattere"/>
          <w:rFonts w:eastAsia="ＭＳ 明朝" w:hint="eastAsia"/>
          <w:lang w:eastAsia="ja-JP"/>
        </w:rPr>
        <w:t xml:space="preserve"> CS </w:t>
      </w:r>
      <w:r w:rsidR="004D3FD3">
        <w:rPr>
          <w:rStyle w:val="CETCaptionCarattere"/>
          <w:rFonts w:eastAsia="ＭＳ 明朝" w:hint="eastAsia"/>
          <w:lang w:eastAsia="ja-JP"/>
        </w:rPr>
        <w:t>Functional Requirements</w:t>
      </w:r>
    </w:p>
    <w:p w14:paraId="677EBFF0" w14:textId="03D0F0E5" w:rsidR="00600535" w:rsidRDefault="00774BF5" w:rsidP="00600535">
      <w:pPr>
        <w:pStyle w:val="CETHeading1"/>
        <w:tabs>
          <w:tab w:val="right" w:pos="7100"/>
        </w:tabs>
        <w:jc w:val="both"/>
        <w:rPr>
          <w:rFonts w:eastAsia="ＭＳ 明朝"/>
          <w:lang w:val="en-GB" w:eastAsia="ja-JP"/>
        </w:rPr>
      </w:pPr>
      <w:r>
        <w:rPr>
          <w:rFonts w:eastAsia="ＭＳ 明朝" w:hint="eastAsia"/>
          <w:lang w:val="en-GB" w:eastAsia="ja-JP"/>
        </w:rPr>
        <w:t>Overview of c</w:t>
      </w:r>
      <w:r w:rsidR="00E60423">
        <w:rPr>
          <w:rFonts w:eastAsia="ＭＳ 明朝" w:hint="eastAsia"/>
          <w:lang w:val="en-GB" w:eastAsia="ja-JP"/>
        </w:rPr>
        <w:t>ybersecurity risk assessment</w:t>
      </w:r>
      <w:r>
        <w:rPr>
          <w:rFonts w:eastAsia="ＭＳ 明朝" w:hint="eastAsia"/>
          <w:lang w:val="en-GB" w:eastAsia="ja-JP"/>
        </w:rPr>
        <w:t xml:space="preserve"> programme</w:t>
      </w:r>
    </w:p>
    <w:p w14:paraId="0694ED0F" w14:textId="196950DA" w:rsidR="00423AE2" w:rsidRDefault="002B6D05" w:rsidP="002B6D05">
      <w:pPr>
        <w:pStyle w:val="CETBodytext"/>
        <w:rPr>
          <w:rFonts w:eastAsia="ＭＳ 明朝"/>
          <w:lang w:val="en-GB" w:eastAsia="ja-JP"/>
        </w:rPr>
      </w:pPr>
      <w:r w:rsidRPr="002B6D05">
        <w:rPr>
          <w:rFonts w:eastAsia="ＭＳ 明朝"/>
          <w:lang w:val="en-GB" w:eastAsia="ja-JP"/>
        </w:rPr>
        <w:t>Various cybersecurity (CS) risk assessment methods are available for addressing cyberattacks targeting process incidents, including CS-PHA (Preliminary Hazard Analysis), CS-HAZOP (Hazard and Operability Study), and CS-LOPA (Layer of Protection Analysis). However, international guidelines (CCPS, 2022; ISA, 2017) emphasize not merely the application of individual methods but the adoption of a combined approach. This strategy involves employing the appropriate methods in sequence, aligned with specific phases of the facility design lifecycle (e.g., the design phase of the plant lifecycle).</w:t>
      </w:r>
      <w:r w:rsidR="00736168">
        <w:rPr>
          <w:rFonts w:eastAsia="ＭＳ 明朝" w:hint="eastAsia"/>
          <w:lang w:val="en-GB" w:eastAsia="ja-JP"/>
        </w:rPr>
        <w:t xml:space="preserve"> </w:t>
      </w:r>
      <w:r w:rsidRPr="002B6D05">
        <w:rPr>
          <w:rFonts w:eastAsia="ＭＳ 明朝"/>
          <w:lang w:val="en-GB" w:eastAsia="ja-JP"/>
        </w:rPr>
        <w:t xml:space="preserve">Figure 2 illustrates the implementation flow of a CS risk assessment. The process begins with collecting Baseline Information related to the facilities under assessment, such as process flow diagrams, site layout plans, and network configuration diagrams. Subsequently, the network configuration is segmented into "Systems Under Consideration" (SUCs), analogous to "nodes" in conventional HAZOP for process safety. The CS-PHA method is then utilized to evaluate and identify worst-case scenarios for each SUC, including scenarios where hackers gain control over plant operations or disable Safety Instrumented Systems (SIS), potentially leading to significant </w:t>
      </w:r>
      <w:r>
        <w:rPr>
          <w:rFonts w:eastAsia="ＭＳ 明朝" w:hint="eastAsia"/>
          <w:lang w:val="en-GB" w:eastAsia="ja-JP"/>
        </w:rPr>
        <w:t>hazards</w:t>
      </w:r>
      <w:r w:rsidRPr="002B6D05">
        <w:rPr>
          <w:rFonts w:eastAsia="ＭＳ 明朝"/>
          <w:lang w:val="en-GB" w:eastAsia="ja-JP"/>
        </w:rPr>
        <w:t>, including personnel injuries, environmental damage, or business losses.</w:t>
      </w:r>
      <w:r w:rsidR="00736168">
        <w:rPr>
          <w:rFonts w:eastAsia="ＭＳ 明朝" w:hint="eastAsia"/>
          <w:lang w:val="en-GB" w:eastAsia="ja-JP"/>
        </w:rPr>
        <w:t xml:space="preserve"> </w:t>
      </w:r>
      <w:r w:rsidRPr="002B6D05">
        <w:rPr>
          <w:rFonts w:eastAsia="ＭＳ 明朝"/>
          <w:lang w:val="en-GB" w:eastAsia="ja-JP"/>
        </w:rPr>
        <w:t>In this study, the CS-HAZID (Hazard Identification) method is employed as one of the tools under CS-PHA. For SUCs identified as higher risk, the CS-HAZOP method provides a more detailed analysis of cyberattack paths leading to worst-case scenarios identified during the CS-PHA stage. The CS-LOPA method subsequently quantifies the risks associated with identified cyberattack scenarios and assesses whether adequate Process Safety (PS) and CS protection layers are in place to mitigate these risks to an acceptable level. The LOPA methodology mirrors the process used in PS-LOPA. Where residual risk gaps to acceptable levels are identified, they are categorized under Security Level (SL), a concept akin to Safety Integrity Level (SIL).</w:t>
      </w:r>
      <w:r w:rsidR="00736168">
        <w:rPr>
          <w:rFonts w:eastAsia="ＭＳ 明朝" w:hint="eastAsia"/>
          <w:lang w:val="en-GB" w:eastAsia="ja-JP"/>
        </w:rPr>
        <w:t xml:space="preserve"> </w:t>
      </w:r>
      <w:r w:rsidRPr="002B6D05">
        <w:rPr>
          <w:rFonts w:eastAsia="ＭＳ 明朝"/>
          <w:lang w:val="en-GB" w:eastAsia="ja-JP"/>
        </w:rPr>
        <w:t>The CS risks and their corresponding protection layers are systematically identified and evaluated through this series of assessments. Figure 3 highlights the roles of CS-HAZID, CS-HAZOP, and CS-LOPA in addressing specific aspects of a bow-tie diagram representing process safety.</w:t>
      </w:r>
      <w:r w:rsidR="00736168">
        <w:rPr>
          <w:rFonts w:eastAsia="ＭＳ 明朝" w:hint="eastAsia"/>
          <w:lang w:val="en-GB" w:eastAsia="ja-JP"/>
        </w:rPr>
        <w:t xml:space="preserve"> </w:t>
      </w:r>
      <w:r w:rsidRPr="002B6D05">
        <w:rPr>
          <w:rFonts w:eastAsia="ＭＳ 明朝"/>
          <w:lang w:val="en-GB" w:eastAsia="ja-JP"/>
        </w:rPr>
        <w:t>Functional requirements, such as reliability metrics and inspection frequencies, are assigned to each protection layer to ensure effective operation and maintenance controls.</w:t>
      </w:r>
    </w:p>
    <w:p w14:paraId="5BC09EA7" w14:textId="5AE69955" w:rsidR="00423AE2" w:rsidRDefault="00F70A06" w:rsidP="00600535">
      <w:pPr>
        <w:pStyle w:val="CETBodytext"/>
        <w:rPr>
          <w:rFonts w:eastAsia="ＭＳ 明朝"/>
          <w:lang w:val="en-GB" w:eastAsia="ja-JP"/>
        </w:rPr>
      </w:pPr>
      <w:r w:rsidRPr="00F70A06">
        <w:rPr>
          <w:rFonts w:eastAsia="ＭＳ 明朝"/>
          <w:noProof/>
        </w:rPr>
        <w:drawing>
          <wp:inline distT="0" distB="0" distL="0" distR="0" wp14:anchorId="78C346F3" wp14:editId="20892BB6">
            <wp:extent cx="3536830" cy="1869243"/>
            <wp:effectExtent l="0" t="0" r="0" b="0"/>
            <wp:docPr id="15584463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8250" cy="1875278"/>
                    </a:xfrm>
                    <a:prstGeom prst="rect">
                      <a:avLst/>
                    </a:prstGeom>
                    <a:noFill/>
                    <a:ln>
                      <a:noFill/>
                    </a:ln>
                  </pic:spPr>
                </pic:pic>
              </a:graphicData>
            </a:graphic>
          </wp:inline>
        </w:drawing>
      </w:r>
    </w:p>
    <w:p w14:paraId="1D88E7E0" w14:textId="75AC5FE7" w:rsidR="00423AE2" w:rsidRPr="00B227B2" w:rsidRDefault="00423AE2" w:rsidP="00600535">
      <w:pPr>
        <w:pStyle w:val="CETBodytext"/>
        <w:rPr>
          <w:rFonts w:eastAsia="ＭＳ 明朝"/>
          <w:lang w:val="en-GB" w:eastAsia="ja-JP"/>
        </w:rPr>
      </w:pPr>
      <w:r w:rsidRPr="00BD077D">
        <w:rPr>
          <w:rStyle w:val="CETCaptionCarattere"/>
        </w:rPr>
        <w:t xml:space="preserve">Figure </w:t>
      </w:r>
      <w:r w:rsidR="00F35095">
        <w:rPr>
          <w:rStyle w:val="CETCaptionCarattere"/>
          <w:rFonts w:eastAsia="ＭＳ 明朝" w:hint="eastAsia"/>
          <w:lang w:eastAsia="ja-JP"/>
        </w:rPr>
        <w:t>2</w:t>
      </w:r>
      <w:r w:rsidRPr="00BD077D">
        <w:rPr>
          <w:rStyle w:val="CETCaptionCarattere"/>
        </w:rPr>
        <w:t xml:space="preserve">: </w:t>
      </w:r>
      <w:r w:rsidR="003A4C0A">
        <w:rPr>
          <w:rStyle w:val="CETCaptionCarattere"/>
          <w:rFonts w:eastAsia="ＭＳ 明朝" w:hint="eastAsia"/>
          <w:lang w:eastAsia="ja-JP"/>
        </w:rPr>
        <w:t>Cybersecurity Risk Assessment Flow Chart</w:t>
      </w:r>
    </w:p>
    <w:p w14:paraId="7FC1BA24" w14:textId="7E22078E" w:rsidR="0092139F" w:rsidRDefault="0092139F" w:rsidP="00600535">
      <w:pPr>
        <w:pStyle w:val="CETBodytext"/>
        <w:rPr>
          <w:rFonts w:eastAsia="ＭＳ 明朝"/>
          <w:lang w:val="en-GB" w:eastAsia="ja-JP"/>
        </w:rPr>
      </w:pPr>
      <w:r w:rsidRPr="0092139F">
        <w:rPr>
          <w:rFonts w:eastAsia="ＭＳ 明朝"/>
          <w:noProof/>
        </w:rPr>
        <w:lastRenderedPageBreak/>
        <w:drawing>
          <wp:inline distT="0" distB="0" distL="0" distR="0" wp14:anchorId="00F4BA94" wp14:editId="0681A2B5">
            <wp:extent cx="4071668" cy="2269606"/>
            <wp:effectExtent l="0" t="0" r="5080" b="0"/>
            <wp:docPr id="17372856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5561" cy="2271776"/>
                    </a:xfrm>
                    <a:prstGeom prst="rect">
                      <a:avLst/>
                    </a:prstGeom>
                    <a:noFill/>
                    <a:ln>
                      <a:noFill/>
                    </a:ln>
                  </pic:spPr>
                </pic:pic>
              </a:graphicData>
            </a:graphic>
          </wp:inline>
        </w:drawing>
      </w:r>
    </w:p>
    <w:p w14:paraId="35FF33D0" w14:textId="49A8309E" w:rsidR="00CF20DF" w:rsidRPr="00C3337C" w:rsidRDefault="00F35095" w:rsidP="00600535">
      <w:pPr>
        <w:pStyle w:val="CETBodytext"/>
        <w:rPr>
          <w:rFonts w:eastAsia="ＭＳ 明朝"/>
          <w:lang w:val="en-GB" w:eastAsia="ja-JP"/>
        </w:rPr>
      </w:pPr>
      <w:r w:rsidRPr="00BD077D">
        <w:rPr>
          <w:rStyle w:val="CETCaptionCarattere"/>
        </w:rPr>
        <w:t xml:space="preserve">Figure </w:t>
      </w:r>
      <w:r>
        <w:rPr>
          <w:rStyle w:val="CETCaptionCarattere"/>
          <w:rFonts w:eastAsia="ＭＳ 明朝" w:hint="eastAsia"/>
          <w:lang w:eastAsia="ja-JP"/>
        </w:rPr>
        <w:t>3</w:t>
      </w:r>
      <w:r w:rsidRPr="00BD077D">
        <w:rPr>
          <w:rStyle w:val="CETCaptionCarattere"/>
        </w:rPr>
        <w:t xml:space="preserve">: </w:t>
      </w:r>
      <w:r w:rsidR="003A4C0A">
        <w:rPr>
          <w:rStyle w:val="CETCaptionCarattere"/>
          <w:rFonts w:eastAsia="ＭＳ 明朝" w:hint="eastAsia"/>
          <w:lang w:eastAsia="ja-JP"/>
        </w:rPr>
        <w:t xml:space="preserve">Cybersecurity Risk Assessment </w:t>
      </w:r>
      <w:r w:rsidR="00C3337C">
        <w:rPr>
          <w:rStyle w:val="CETCaptionCarattere"/>
          <w:rFonts w:eastAsia="ＭＳ 明朝" w:hint="eastAsia"/>
          <w:lang w:eastAsia="ja-JP"/>
        </w:rPr>
        <w:t>Coverage in Bowtie Chart</w:t>
      </w:r>
    </w:p>
    <w:p w14:paraId="25829894" w14:textId="05AB9BA1" w:rsidR="00792C54" w:rsidRDefault="00792C54" w:rsidP="00600535">
      <w:pPr>
        <w:pStyle w:val="CETHeading1"/>
        <w:rPr>
          <w:rFonts w:eastAsia="ＭＳ 明朝"/>
          <w:lang w:val="en-GB" w:eastAsia="ja-JP"/>
        </w:rPr>
      </w:pPr>
      <w:r>
        <w:rPr>
          <w:rFonts w:eastAsia="ＭＳ 明朝" w:hint="eastAsia"/>
          <w:lang w:val="en-GB" w:eastAsia="ja-JP"/>
        </w:rPr>
        <w:t>Case Study</w:t>
      </w:r>
    </w:p>
    <w:p w14:paraId="67786C44" w14:textId="5A1C2AEA" w:rsidR="00AF41FA" w:rsidRDefault="00350023" w:rsidP="00792C54">
      <w:pPr>
        <w:pStyle w:val="CETBodytext"/>
        <w:rPr>
          <w:rFonts w:eastAsia="ＭＳ 明朝"/>
          <w:lang w:val="en-GB" w:eastAsia="ja-JP"/>
        </w:rPr>
      </w:pPr>
      <w:r w:rsidRPr="00350023">
        <w:rPr>
          <w:rFonts w:eastAsia="ＭＳ 明朝"/>
          <w:lang w:val="en-GB" w:eastAsia="ja-JP"/>
        </w:rPr>
        <w:t>Although international guidelines outline a framework for cybersecurity (CS) risk management, they provide limited information on the detailed methodologies for conducting CS risk assessments. To address this gap, a case study was undertaken to examine the CS risk assessment process and identify opportunities for further improvement in practical implementation. In particular, the functional requirements for CS risk management must be derived from CS risk assessments and seamlessly integrated into Process Safety Management (PSM) to ensure robust process safety against cyberattacks during the operation and maintenance (O&amp;M) of process plants.</w:t>
      </w:r>
    </w:p>
    <w:p w14:paraId="75E547A3" w14:textId="3D21BAAC" w:rsidR="00783731" w:rsidRDefault="00E30064" w:rsidP="00783731">
      <w:pPr>
        <w:pStyle w:val="CETheadingx"/>
        <w:rPr>
          <w:rFonts w:eastAsia="ＭＳ 明朝"/>
          <w:lang w:eastAsia="ja-JP"/>
        </w:rPr>
      </w:pPr>
      <w:r>
        <w:rPr>
          <w:rFonts w:eastAsia="ＭＳ 明朝" w:hint="eastAsia"/>
          <w:lang w:eastAsia="ja-JP"/>
        </w:rPr>
        <w:t xml:space="preserve">Plant Data </w:t>
      </w:r>
      <w:r w:rsidR="00801805">
        <w:rPr>
          <w:rFonts w:eastAsia="ＭＳ 明朝" w:hint="eastAsia"/>
          <w:lang w:eastAsia="ja-JP"/>
        </w:rPr>
        <w:t>used</w:t>
      </w:r>
      <w:r w:rsidR="00783731">
        <w:rPr>
          <w:rFonts w:eastAsia="ＭＳ 明朝" w:hint="eastAsia"/>
          <w:lang w:eastAsia="ja-JP"/>
        </w:rPr>
        <w:t xml:space="preserve"> </w:t>
      </w:r>
      <w:r>
        <w:rPr>
          <w:rFonts w:eastAsia="ＭＳ 明朝" w:hint="eastAsia"/>
          <w:lang w:eastAsia="ja-JP"/>
        </w:rPr>
        <w:t>in the Case Study</w:t>
      </w:r>
    </w:p>
    <w:p w14:paraId="06FB16F4" w14:textId="7A06395E" w:rsidR="006B7850" w:rsidRPr="00196543" w:rsidRDefault="00D740FA" w:rsidP="001F7CF9">
      <w:pPr>
        <w:pStyle w:val="CETBodytext"/>
        <w:rPr>
          <w:rFonts w:eastAsia="ＭＳ 明朝"/>
          <w:lang w:val="en-GB" w:eastAsia="ja-JP"/>
        </w:rPr>
      </w:pPr>
      <w:r w:rsidRPr="00D740FA">
        <w:rPr>
          <w:rFonts w:eastAsia="ＭＳ 明朝"/>
          <w:lang w:val="en-GB" w:eastAsia="ja-JP"/>
        </w:rPr>
        <w:t>In this case study, a typical configuration of an LNG liquefaction process plant was utilized as a model (Figure 4). The process flow and operating conditions were based on published data (Tanabe and Miyake, 2012). The plant's layout was logically arranged to align the process units with the LNG process flow within a rectangular plot. The network configuration assumed a baseline level of cybersecurity measures, including properly defined and segregated zones and conduits enforced by firewalls (e.g., between business systems, BPCS, and SIS) or Modbus TCP/IP protocols (e.g., between BPCS and SIS). Additionally, advanced operational optimization systems, such as AI-based tools, were assumed to be located outside the plant's network security zone.</w:t>
      </w:r>
    </w:p>
    <w:p w14:paraId="1E86BCCA" w14:textId="4CAD245E" w:rsidR="001C522A" w:rsidRDefault="00B46B7D" w:rsidP="001C522A">
      <w:pPr>
        <w:pStyle w:val="CETBodytext"/>
        <w:rPr>
          <w:rFonts w:eastAsia="ＭＳ 明朝"/>
          <w:lang w:val="en-GB" w:eastAsia="ja-JP"/>
        </w:rPr>
      </w:pPr>
      <w:r w:rsidRPr="00B46B7D">
        <w:rPr>
          <w:rFonts w:eastAsia="ＭＳ 明朝"/>
          <w:lang w:val="en-GB" w:eastAsia="ja-JP"/>
        </w:rPr>
        <w:t>The CS-HAZID, CS-HAZOP, and CS-LOPA methodologies were applied to this model plant to identify vulnerable cyberattack scenarios and define the functional requirements necessary for integrating CS risk management into PSM.</w:t>
      </w:r>
    </w:p>
    <w:p w14:paraId="37C75732" w14:textId="77777777" w:rsidR="00ED4035" w:rsidRDefault="00ED4035" w:rsidP="00ED4035">
      <w:pPr>
        <w:pStyle w:val="CETBodytext"/>
        <w:rPr>
          <w:rFonts w:eastAsia="ＭＳ 明朝"/>
          <w:lang w:val="en-GB" w:eastAsia="ja-JP"/>
        </w:rPr>
      </w:pPr>
      <w:r w:rsidRPr="00AF41FA">
        <w:rPr>
          <w:rFonts w:eastAsia="ＭＳ 明朝"/>
          <w:noProof/>
        </w:rPr>
        <w:drawing>
          <wp:inline distT="0" distB="0" distL="0" distR="0" wp14:anchorId="430FE147" wp14:editId="59A0D172">
            <wp:extent cx="5555411" cy="2688877"/>
            <wp:effectExtent l="0" t="0" r="7620" b="0"/>
            <wp:docPr id="13843932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3780" cy="2697768"/>
                    </a:xfrm>
                    <a:prstGeom prst="rect">
                      <a:avLst/>
                    </a:prstGeom>
                    <a:noFill/>
                    <a:ln>
                      <a:noFill/>
                    </a:ln>
                  </pic:spPr>
                </pic:pic>
              </a:graphicData>
            </a:graphic>
          </wp:inline>
        </w:drawing>
      </w:r>
    </w:p>
    <w:p w14:paraId="608A37BA" w14:textId="64C0A99E" w:rsidR="00ED4035" w:rsidRPr="00A30ACD" w:rsidRDefault="00ED4035" w:rsidP="00ED4035">
      <w:pPr>
        <w:pStyle w:val="CETBodytext"/>
        <w:rPr>
          <w:rFonts w:eastAsia="ＭＳ 明朝"/>
          <w:lang w:val="en-GB" w:eastAsia="ja-JP"/>
        </w:rPr>
      </w:pPr>
      <w:r w:rsidRPr="00BD077D">
        <w:rPr>
          <w:rStyle w:val="CETCaptionCarattere"/>
        </w:rPr>
        <w:t xml:space="preserve">Figure </w:t>
      </w:r>
      <w:r w:rsidR="007D42D3">
        <w:rPr>
          <w:rStyle w:val="CETCaptionCarattere"/>
          <w:rFonts w:eastAsia="ＭＳ 明朝" w:hint="eastAsia"/>
          <w:lang w:eastAsia="ja-JP"/>
        </w:rPr>
        <w:t>4</w:t>
      </w:r>
      <w:r w:rsidRPr="00BD077D">
        <w:rPr>
          <w:rStyle w:val="CETCaptionCarattere"/>
        </w:rPr>
        <w:t xml:space="preserve">: </w:t>
      </w:r>
      <w:r w:rsidR="006B7850">
        <w:rPr>
          <w:rStyle w:val="CETCaptionCarattere"/>
          <w:rFonts w:eastAsia="ＭＳ 明朝" w:hint="eastAsia"/>
          <w:lang w:eastAsia="ja-JP"/>
        </w:rPr>
        <w:t>A</w:t>
      </w:r>
      <w:r w:rsidR="00F4358A">
        <w:rPr>
          <w:rStyle w:val="CETCaptionCarattere"/>
          <w:rFonts w:eastAsia="ＭＳ 明朝" w:hint="eastAsia"/>
          <w:lang w:eastAsia="ja-JP"/>
        </w:rPr>
        <w:t xml:space="preserve"> Typical</w:t>
      </w:r>
      <w:r w:rsidR="006B7850">
        <w:rPr>
          <w:rStyle w:val="CETCaptionCarattere"/>
          <w:rFonts w:eastAsia="ＭＳ 明朝" w:hint="eastAsia"/>
          <w:lang w:eastAsia="ja-JP"/>
        </w:rPr>
        <w:t xml:space="preserve"> LNG Liquefaction </w:t>
      </w:r>
      <w:r w:rsidR="00F4358A">
        <w:rPr>
          <w:rStyle w:val="CETCaptionCarattere"/>
          <w:rFonts w:eastAsia="ＭＳ 明朝" w:hint="eastAsia"/>
          <w:lang w:eastAsia="ja-JP"/>
        </w:rPr>
        <w:t>Process Plant Data used in the Case Study</w:t>
      </w:r>
    </w:p>
    <w:p w14:paraId="3188CEC9" w14:textId="77777777" w:rsidR="00ED4035" w:rsidRDefault="00ED4035" w:rsidP="00ED4035">
      <w:pPr>
        <w:pStyle w:val="CETheadingx"/>
        <w:rPr>
          <w:rFonts w:eastAsia="ＭＳ 明朝"/>
          <w:lang w:eastAsia="ja-JP"/>
        </w:rPr>
      </w:pPr>
      <w:r>
        <w:rPr>
          <w:rFonts w:eastAsia="ＭＳ 明朝" w:hint="eastAsia"/>
          <w:lang w:eastAsia="ja-JP"/>
        </w:rPr>
        <w:lastRenderedPageBreak/>
        <w:t>Definition of SUC</w:t>
      </w:r>
    </w:p>
    <w:p w14:paraId="60493DA5" w14:textId="5C3A0897" w:rsidR="007D42D3" w:rsidRDefault="004A7E4B" w:rsidP="00ED4035">
      <w:pPr>
        <w:pStyle w:val="CETBodytext"/>
        <w:rPr>
          <w:rFonts w:eastAsia="ＭＳ 明朝"/>
          <w:lang w:eastAsia="ja-JP"/>
        </w:rPr>
      </w:pPr>
      <w:r w:rsidRPr="004A7E4B">
        <w:rPr>
          <w:rFonts w:eastAsia="ＭＳ 明朝"/>
          <w:lang w:eastAsia="ja-JP"/>
        </w:rPr>
        <w:t>The guidelines recommend defining SUCs (Systems Under Consideration) based on specific systems; in this case study, SUCs were further subdivided by physical location. This approach was adopted to address vulnerabilities to cyberattacks that may arise during turnaround periods when numerous subcontractors are present onsite, increasing the risk of man-in-the-middle cyberattacks.</w:t>
      </w:r>
    </w:p>
    <w:p w14:paraId="345811C6" w14:textId="52D47871" w:rsidR="00CA5F6C" w:rsidRPr="004E7234" w:rsidRDefault="00CA5F6C" w:rsidP="00ED4035">
      <w:pPr>
        <w:pStyle w:val="CETBodytext"/>
        <w:rPr>
          <w:rFonts w:eastAsia="ＭＳ 明朝"/>
          <w:lang w:eastAsia="ja-JP"/>
        </w:rPr>
      </w:pPr>
      <w:r w:rsidRPr="00CA5F6C">
        <w:rPr>
          <w:rFonts w:eastAsia="ＭＳ 明朝"/>
          <w:lang w:eastAsia="ja-JP"/>
        </w:rPr>
        <w:t>Table 1 provides an example of SUC definitions, highlighting their classification by both system and physical location, along with additional remarks to identify specific vulnerabilities, such as increased exposure to cyberattacks during maintenance activities or turnaround events.</w:t>
      </w:r>
    </w:p>
    <w:p w14:paraId="42441106" w14:textId="77777777" w:rsidR="00ED4035" w:rsidRPr="004E7234" w:rsidRDefault="00ED4035" w:rsidP="00ED4035">
      <w:pPr>
        <w:pStyle w:val="CETTabletitle"/>
      </w:pPr>
      <w:r w:rsidRPr="004E7234">
        <w:t xml:space="preserve">Table 1: </w:t>
      </w:r>
      <w:r w:rsidRPr="004E7234">
        <w:rPr>
          <w:rFonts w:eastAsia="ＭＳ 明朝" w:hint="eastAsia"/>
          <w:lang w:eastAsia="ja-JP"/>
        </w:rPr>
        <w:t>Example of SUC Definition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2410"/>
        <w:gridCol w:w="2976"/>
        <w:gridCol w:w="2410"/>
      </w:tblGrid>
      <w:tr w:rsidR="000F5414" w:rsidRPr="004E7234" w14:paraId="35BF552E" w14:textId="77777777" w:rsidTr="004E7234">
        <w:tc>
          <w:tcPr>
            <w:tcW w:w="851" w:type="dxa"/>
            <w:tcBorders>
              <w:top w:val="single" w:sz="12" w:space="0" w:color="008000"/>
              <w:bottom w:val="single" w:sz="6" w:space="0" w:color="008000"/>
            </w:tcBorders>
            <w:shd w:val="clear" w:color="auto" w:fill="FFFFFF"/>
          </w:tcPr>
          <w:p w14:paraId="484DF94F" w14:textId="7E181E7D" w:rsidR="000F5414" w:rsidRPr="004E7234" w:rsidRDefault="000F5414" w:rsidP="00303895">
            <w:pPr>
              <w:pStyle w:val="CETBodytext"/>
              <w:rPr>
                <w:sz w:val="16"/>
                <w:szCs w:val="16"/>
                <w:lang w:val="en-GB"/>
              </w:rPr>
            </w:pPr>
            <w:r w:rsidRPr="004E7234">
              <w:rPr>
                <w:rFonts w:eastAsia="ＭＳ 明朝" w:hint="eastAsia"/>
                <w:sz w:val="16"/>
                <w:szCs w:val="16"/>
                <w:lang w:val="en-GB" w:eastAsia="ja-JP"/>
              </w:rPr>
              <w:t>SUC No.</w:t>
            </w:r>
          </w:p>
        </w:tc>
        <w:tc>
          <w:tcPr>
            <w:tcW w:w="2410" w:type="dxa"/>
            <w:tcBorders>
              <w:top w:val="single" w:sz="12" w:space="0" w:color="008000"/>
              <w:bottom w:val="single" w:sz="6" w:space="0" w:color="008000"/>
            </w:tcBorders>
            <w:shd w:val="clear" w:color="auto" w:fill="FFFFFF"/>
          </w:tcPr>
          <w:p w14:paraId="72621547" w14:textId="7E56AA60" w:rsidR="000F5414" w:rsidRPr="004E7234" w:rsidRDefault="000F5414" w:rsidP="00303895">
            <w:pPr>
              <w:pStyle w:val="CETBodytext"/>
              <w:rPr>
                <w:rFonts w:eastAsia="ＭＳ 明朝"/>
                <w:sz w:val="16"/>
                <w:szCs w:val="16"/>
                <w:lang w:val="en-GB" w:eastAsia="ja-JP"/>
              </w:rPr>
            </w:pPr>
            <w:r w:rsidRPr="004E7234">
              <w:rPr>
                <w:rFonts w:eastAsia="ＭＳ 明朝" w:hint="eastAsia"/>
                <w:sz w:val="16"/>
                <w:szCs w:val="16"/>
                <w:lang w:val="en-GB" w:eastAsia="ja-JP"/>
              </w:rPr>
              <w:t>SUC</w:t>
            </w:r>
          </w:p>
        </w:tc>
        <w:tc>
          <w:tcPr>
            <w:tcW w:w="2976" w:type="dxa"/>
            <w:tcBorders>
              <w:top w:val="single" w:sz="12" w:space="0" w:color="008000"/>
              <w:bottom w:val="single" w:sz="6" w:space="0" w:color="008000"/>
            </w:tcBorders>
            <w:shd w:val="clear" w:color="auto" w:fill="FFFFFF"/>
          </w:tcPr>
          <w:p w14:paraId="37D72CDF" w14:textId="5DD32693" w:rsidR="000F5414" w:rsidRPr="004E7234" w:rsidRDefault="000F5414" w:rsidP="00303895">
            <w:pPr>
              <w:pStyle w:val="CETBodytext"/>
              <w:rPr>
                <w:rFonts w:eastAsia="ＭＳ 明朝"/>
                <w:sz w:val="16"/>
                <w:szCs w:val="16"/>
                <w:lang w:val="en-GB" w:eastAsia="ja-JP"/>
              </w:rPr>
            </w:pPr>
            <w:r w:rsidRPr="004E7234">
              <w:rPr>
                <w:rFonts w:eastAsia="ＭＳ 明朝" w:hint="eastAsia"/>
                <w:sz w:val="16"/>
                <w:szCs w:val="16"/>
                <w:lang w:val="en-GB" w:eastAsia="ja-JP"/>
              </w:rPr>
              <w:t>Physical Location</w:t>
            </w:r>
          </w:p>
        </w:tc>
        <w:tc>
          <w:tcPr>
            <w:tcW w:w="2410" w:type="dxa"/>
            <w:tcBorders>
              <w:top w:val="single" w:sz="12" w:space="0" w:color="008000"/>
              <w:bottom w:val="single" w:sz="6" w:space="0" w:color="008000"/>
            </w:tcBorders>
            <w:shd w:val="clear" w:color="auto" w:fill="FFFFFF"/>
          </w:tcPr>
          <w:p w14:paraId="5C7CAB2A" w14:textId="1533B318" w:rsidR="000F5414" w:rsidRPr="004E7234" w:rsidRDefault="000F5414" w:rsidP="00303895">
            <w:pPr>
              <w:pStyle w:val="CETBodytext"/>
              <w:ind w:right="-1"/>
              <w:rPr>
                <w:rFonts w:eastAsia="ＭＳ 明朝" w:cs="Arial"/>
                <w:sz w:val="16"/>
                <w:szCs w:val="16"/>
                <w:lang w:val="en-GB" w:eastAsia="ja-JP"/>
              </w:rPr>
            </w:pPr>
            <w:r w:rsidRPr="004E7234">
              <w:rPr>
                <w:rFonts w:eastAsia="ＭＳ 明朝" w:cs="Arial" w:hint="eastAsia"/>
                <w:sz w:val="16"/>
                <w:szCs w:val="16"/>
                <w:lang w:val="en-GB" w:eastAsia="ja-JP"/>
              </w:rPr>
              <w:t>Remarks</w:t>
            </w:r>
          </w:p>
        </w:tc>
      </w:tr>
      <w:tr w:rsidR="000F5414" w:rsidRPr="004E7234" w14:paraId="3E4D21E7" w14:textId="77777777" w:rsidTr="004E7234">
        <w:tc>
          <w:tcPr>
            <w:tcW w:w="851" w:type="dxa"/>
            <w:shd w:val="clear" w:color="auto" w:fill="FFFFFF"/>
          </w:tcPr>
          <w:p w14:paraId="0833A745" w14:textId="087BBF6E" w:rsidR="000F5414" w:rsidRPr="004E7234" w:rsidRDefault="000F5414" w:rsidP="004E7234">
            <w:pPr>
              <w:pStyle w:val="CETBodytext"/>
              <w:jc w:val="left"/>
              <w:rPr>
                <w:rFonts w:eastAsia="ＭＳ 明朝"/>
                <w:sz w:val="16"/>
                <w:szCs w:val="16"/>
                <w:lang w:val="en-GB" w:eastAsia="ja-JP"/>
              </w:rPr>
            </w:pPr>
            <w:r w:rsidRPr="004E7234">
              <w:rPr>
                <w:rFonts w:eastAsia="ＭＳ 明朝" w:hint="eastAsia"/>
                <w:sz w:val="16"/>
                <w:szCs w:val="16"/>
                <w:lang w:val="en-GB" w:eastAsia="ja-JP"/>
              </w:rPr>
              <w:t>1</w:t>
            </w:r>
          </w:p>
        </w:tc>
        <w:tc>
          <w:tcPr>
            <w:tcW w:w="2410" w:type="dxa"/>
            <w:shd w:val="clear" w:color="auto" w:fill="FFFFFF"/>
          </w:tcPr>
          <w:p w14:paraId="40A4C893" w14:textId="60A6884B" w:rsidR="000F5414" w:rsidRPr="004E7234" w:rsidRDefault="000F5414" w:rsidP="004E7234">
            <w:pPr>
              <w:pStyle w:val="CETBodytext"/>
              <w:jc w:val="left"/>
              <w:rPr>
                <w:sz w:val="16"/>
                <w:szCs w:val="16"/>
                <w:lang w:val="en-GB"/>
              </w:rPr>
            </w:pPr>
            <w:r w:rsidRPr="004E7234">
              <w:rPr>
                <w:rFonts w:eastAsia="ＭＳ 明朝" w:hint="eastAsia"/>
                <w:sz w:val="16"/>
                <w:szCs w:val="16"/>
                <w:lang w:val="en-GB" w:eastAsia="ja-JP"/>
              </w:rPr>
              <w:t>A</w:t>
            </w:r>
            <w:r w:rsidRPr="004E7234">
              <w:rPr>
                <w:sz w:val="16"/>
                <w:szCs w:val="16"/>
                <w:lang w:val="en-GB"/>
              </w:rPr>
              <w:t>dvanced systems for operation optimization (e.g., AI)</w:t>
            </w:r>
          </w:p>
        </w:tc>
        <w:tc>
          <w:tcPr>
            <w:tcW w:w="2976" w:type="dxa"/>
            <w:shd w:val="clear" w:color="auto" w:fill="FFFFFF"/>
          </w:tcPr>
          <w:p w14:paraId="0CAF8653" w14:textId="6AB5D018" w:rsidR="000F5414" w:rsidRPr="004E7234" w:rsidRDefault="000F5414" w:rsidP="004E7234">
            <w:pPr>
              <w:pStyle w:val="CETBodytext"/>
              <w:jc w:val="left"/>
              <w:rPr>
                <w:rFonts w:eastAsia="ＭＳ 明朝"/>
                <w:sz w:val="16"/>
                <w:szCs w:val="16"/>
                <w:lang w:val="en-GB" w:eastAsia="ja-JP"/>
              </w:rPr>
            </w:pPr>
            <w:r w:rsidRPr="004E7234">
              <w:rPr>
                <w:rFonts w:eastAsia="ＭＳ 明朝" w:hint="eastAsia"/>
                <w:sz w:val="16"/>
                <w:szCs w:val="16"/>
                <w:lang w:val="en-GB" w:eastAsia="ja-JP"/>
              </w:rPr>
              <w:t>Outside of plant network security zone</w:t>
            </w:r>
          </w:p>
        </w:tc>
        <w:tc>
          <w:tcPr>
            <w:tcW w:w="2410" w:type="dxa"/>
            <w:shd w:val="clear" w:color="auto" w:fill="FFFFFF"/>
          </w:tcPr>
          <w:p w14:paraId="3281F2D2" w14:textId="2750D252" w:rsidR="000F5414" w:rsidRPr="004E7234" w:rsidRDefault="000F5414" w:rsidP="004E7234">
            <w:pPr>
              <w:pStyle w:val="CETBodytext"/>
              <w:ind w:right="-1"/>
              <w:jc w:val="left"/>
              <w:rPr>
                <w:rFonts w:eastAsia="ＭＳ 明朝" w:cs="Arial"/>
                <w:sz w:val="16"/>
                <w:szCs w:val="16"/>
                <w:lang w:val="en-GB" w:eastAsia="ja-JP"/>
              </w:rPr>
            </w:pPr>
            <w:r w:rsidRPr="004E7234">
              <w:rPr>
                <w:rFonts w:eastAsia="ＭＳ 明朝" w:cs="Arial" w:hint="eastAsia"/>
                <w:sz w:val="16"/>
                <w:szCs w:val="16"/>
                <w:lang w:val="en-GB" w:eastAsia="ja-JP"/>
              </w:rPr>
              <w:t xml:space="preserve">Possible to change DCS parameters </w:t>
            </w:r>
            <w:r w:rsidR="008E21C4" w:rsidRPr="004E7234">
              <w:rPr>
                <w:rFonts w:eastAsia="ＭＳ 明朝" w:cs="Arial" w:hint="eastAsia"/>
                <w:sz w:val="16"/>
                <w:szCs w:val="16"/>
                <w:lang w:val="en-GB" w:eastAsia="ja-JP"/>
              </w:rPr>
              <w:t>if attacked by hackers</w:t>
            </w:r>
          </w:p>
        </w:tc>
      </w:tr>
      <w:tr w:rsidR="000F5414" w:rsidRPr="004E7234" w14:paraId="487179B4" w14:textId="77777777" w:rsidTr="004E7234">
        <w:tc>
          <w:tcPr>
            <w:tcW w:w="851" w:type="dxa"/>
            <w:shd w:val="clear" w:color="auto" w:fill="FFFFFF"/>
          </w:tcPr>
          <w:p w14:paraId="301A7CED" w14:textId="1532F62D" w:rsidR="000F5414" w:rsidRPr="004E7234" w:rsidRDefault="000F5414" w:rsidP="004E7234">
            <w:pPr>
              <w:pStyle w:val="CETBodytext"/>
              <w:ind w:right="-1"/>
              <w:jc w:val="left"/>
              <w:rPr>
                <w:rFonts w:eastAsia="ＭＳ 明朝" w:cs="Arial"/>
                <w:sz w:val="16"/>
                <w:szCs w:val="16"/>
                <w:lang w:val="en-GB" w:eastAsia="ja-JP"/>
              </w:rPr>
            </w:pPr>
            <w:r w:rsidRPr="004E7234">
              <w:rPr>
                <w:rFonts w:eastAsia="ＭＳ 明朝" w:cs="Arial" w:hint="eastAsia"/>
                <w:sz w:val="16"/>
                <w:szCs w:val="16"/>
                <w:lang w:val="en-GB" w:eastAsia="ja-JP"/>
              </w:rPr>
              <w:t>2</w:t>
            </w:r>
            <w:r w:rsidR="00AC3C66" w:rsidRPr="004E7234">
              <w:rPr>
                <w:rFonts w:eastAsia="ＭＳ 明朝" w:cs="Arial" w:hint="eastAsia"/>
                <w:sz w:val="16"/>
                <w:szCs w:val="16"/>
                <w:lang w:val="en-GB" w:eastAsia="ja-JP"/>
              </w:rPr>
              <w:t>.1</w:t>
            </w:r>
          </w:p>
        </w:tc>
        <w:tc>
          <w:tcPr>
            <w:tcW w:w="2410" w:type="dxa"/>
            <w:shd w:val="clear" w:color="auto" w:fill="FFFFFF"/>
          </w:tcPr>
          <w:p w14:paraId="03375A0E" w14:textId="24A7C1FB" w:rsidR="000F5414" w:rsidRPr="004E7234" w:rsidRDefault="000F5414" w:rsidP="004E7234">
            <w:pPr>
              <w:pStyle w:val="CETBodytext"/>
              <w:ind w:right="-1"/>
              <w:jc w:val="left"/>
              <w:rPr>
                <w:rFonts w:eastAsia="ＭＳ 明朝" w:cs="Arial"/>
                <w:sz w:val="16"/>
                <w:szCs w:val="16"/>
                <w:lang w:val="en-GB" w:eastAsia="ja-JP"/>
              </w:rPr>
            </w:pPr>
            <w:r w:rsidRPr="004E7234">
              <w:rPr>
                <w:rFonts w:eastAsia="ＭＳ 明朝" w:cs="Arial" w:hint="eastAsia"/>
                <w:sz w:val="16"/>
                <w:szCs w:val="16"/>
                <w:lang w:val="en-GB" w:eastAsia="ja-JP"/>
              </w:rPr>
              <w:t>BPCS</w:t>
            </w:r>
          </w:p>
        </w:tc>
        <w:tc>
          <w:tcPr>
            <w:tcW w:w="2976" w:type="dxa"/>
            <w:shd w:val="clear" w:color="auto" w:fill="FFFFFF"/>
          </w:tcPr>
          <w:p w14:paraId="7D868946" w14:textId="4DD35320" w:rsidR="000F5414" w:rsidRPr="004E7234" w:rsidRDefault="008E21C4" w:rsidP="004E7234">
            <w:pPr>
              <w:pStyle w:val="CETBodytext"/>
              <w:ind w:right="-1"/>
              <w:jc w:val="left"/>
              <w:rPr>
                <w:rFonts w:eastAsia="ＭＳ 明朝" w:cs="Arial"/>
                <w:sz w:val="16"/>
                <w:szCs w:val="16"/>
                <w:lang w:val="en-GB" w:eastAsia="ja-JP"/>
              </w:rPr>
            </w:pPr>
            <w:r w:rsidRPr="004E7234">
              <w:rPr>
                <w:rFonts w:eastAsia="ＭＳ 明朝" w:cs="Arial" w:hint="eastAsia"/>
                <w:sz w:val="16"/>
                <w:szCs w:val="16"/>
                <w:lang w:val="en-GB" w:eastAsia="ja-JP"/>
              </w:rPr>
              <w:t>PLC</w:t>
            </w:r>
            <w:r w:rsidR="00BF363E">
              <w:rPr>
                <w:rFonts w:eastAsia="ＭＳ 明朝" w:cs="Arial" w:hint="eastAsia"/>
                <w:sz w:val="16"/>
                <w:szCs w:val="16"/>
                <w:lang w:val="en-GB" w:eastAsia="ja-JP"/>
              </w:rPr>
              <w:t xml:space="preserve"> (P</w:t>
            </w:r>
            <w:r w:rsidR="00DB6538">
              <w:rPr>
                <w:rFonts w:eastAsia="ＭＳ 明朝" w:cs="Arial" w:hint="eastAsia"/>
                <w:sz w:val="16"/>
                <w:szCs w:val="16"/>
                <w:lang w:val="en-GB" w:eastAsia="ja-JP"/>
              </w:rPr>
              <w:t>rogrammable Logic Controller</w:t>
            </w:r>
            <w:r w:rsidR="00BF363E">
              <w:rPr>
                <w:rFonts w:eastAsia="ＭＳ 明朝" w:cs="Arial" w:hint="eastAsia"/>
                <w:sz w:val="16"/>
                <w:szCs w:val="16"/>
                <w:lang w:val="en-GB" w:eastAsia="ja-JP"/>
              </w:rPr>
              <w:t>)</w:t>
            </w:r>
            <w:r w:rsidRPr="004E7234">
              <w:rPr>
                <w:rFonts w:eastAsia="ＭＳ 明朝" w:cs="Arial" w:hint="eastAsia"/>
                <w:sz w:val="16"/>
                <w:szCs w:val="16"/>
                <w:lang w:val="en-GB" w:eastAsia="ja-JP"/>
              </w:rPr>
              <w:t xml:space="preserve"> and </w:t>
            </w:r>
            <w:r w:rsidR="00937A02" w:rsidRPr="004E7234">
              <w:rPr>
                <w:rFonts w:eastAsia="ＭＳ 明朝" w:cs="Arial" w:hint="eastAsia"/>
                <w:sz w:val="16"/>
                <w:szCs w:val="16"/>
                <w:lang w:val="en-GB" w:eastAsia="ja-JP"/>
              </w:rPr>
              <w:t>engineering workstation in c</w:t>
            </w:r>
            <w:r w:rsidRPr="004E7234">
              <w:rPr>
                <w:rFonts w:eastAsia="ＭＳ 明朝" w:cs="Arial" w:hint="eastAsia"/>
                <w:sz w:val="16"/>
                <w:szCs w:val="16"/>
                <w:lang w:val="en-GB" w:eastAsia="ja-JP"/>
              </w:rPr>
              <w:t>entral control r</w:t>
            </w:r>
            <w:r w:rsidR="00937A02" w:rsidRPr="004E7234">
              <w:rPr>
                <w:rFonts w:eastAsia="ＭＳ 明朝" w:cs="Arial" w:hint="eastAsia"/>
                <w:sz w:val="16"/>
                <w:szCs w:val="16"/>
                <w:lang w:val="en-GB" w:eastAsia="ja-JP"/>
              </w:rPr>
              <w:t>oo</w:t>
            </w:r>
            <w:r w:rsidRPr="004E7234">
              <w:rPr>
                <w:rFonts w:eastAsia="ＭＳ 明朝" w:cs="Arial" w:hint="eastAsia"/>
                <w:sz w:val="16"/>
                <w:szCs w:val="16"/>
                <w:lang w:val="en-GB" w:eastAsia="ja-JP"/>
              </w:rPr>
              <w:t>m</w:t>
            </w:r>
          </w:p>
        </w:tc>
        <w:tc>
          <w:tcPr>
            <w:tcW w:w="2410" w:type="dxa"/>
            <w:shd w:val="clear" w:color="auto" w:fill="FFFFFF"/>
          </w:tcPr>
          <w:p w14:paraId="06A3794F" w14:textId="2BBDBD8F" w:rsidR="000F5414" w:rsidRPr="004E7234" w:rsidRDefault="000F5414" w:rsidP="004E7234">
            <w:pPr>
              <w:pStyle w:val="CETBodytext"/>
              <w:ind w:right="-1"/>
              <w:jc w:val="left"/>
              <w:rPr>
                <w:rFonts w:cs="Arial"/>
                <w:sz w:val="16"/>
                <w:szCs w:val="16"/>
                <w:lang w:val="en-GB"/>
              </w:rPr>
            </w:pPr>
          </w:p>
        </w:tc>
      </w:tr>
      <w:tr w:rsidR="008E21C4" w:rsidRPr="004E7234" w14:paraId="440DE506" w14:textId="77777777" w:rsidTr="004E7234">
        <w:tc>
          <w:tcPr>
            <w:tcW w:w="851" w:type="dxa"/>
            <w:shd w:val="clear" w:color="auto" w:fill="FFFFFF"/>
          </w:tcPr>
          <w:p w14:paraId="5BEAB516" w14:textId="2090AEA9" w:rsidR="008E21C4" w:rsidRPr="004E7234" w:rsidRDefault="00AC3C66" w:rsidP="004E7234">
            <w:pPr>
              <w:pStyle w:val="CETBodytext"/>
              <w:ind w:right="-1"/>
              <w:jc w:val="left"/>
              <w:rPr>
                <w:rFonts w:eastAsia="ＭＳ 明朝" w:cs="Arial"/>
                <w:sz w:val="16"/>
                <w:szCs w:val="16"/>
                <w:lang w:val="en-GB" w:eastAsia="ja-JP"/>
              </w:rPr>
            </w:pPr>
            <w:r w:rsidRPr="004E7234">
              <w:rPr>
                <w:rFonts w:eastAsia="ＭＳ 明朝" w:cs="Arial" w:hint="eastAsia"/>
                <w:sz w:val="16"/>
                <w:szCs w:val="16"/>
                <w:lang w:val="en-GB" w:eastAsia="ja-JP"/>
              </w:rPr>
              <w:t>2.2</w:t>
            </w:r>
          </w:p>
        </w:tc>
        <w:tc>
          <w:tcPr>
            <w:tcW w:w="2410" w:type="dxa"/>
            <w:shd w:val="clear" w:color="auto" w:fill="FFFFFF"/>
          </w:tcPr>
          <w:p w14:paraId="5631FE35" w14:textId="77777777" w:rsidR="008E21C4" w:rsidRPr="004E7234" w:rsidRDefault="008E21C4" w:rsidP="004E7234">
            <w:pPr>
              <w:pStyle w:val="CETBodytext"/>
              <w:ind w:right="-1"/>
              <w:jc w:val="left"/>
              <w:rPr>
                <w:rFonts w:eastAsia="ＭＳ 明朝" w:cs="Arial"/>
                <w:sz w:val="16"/>
                <w:szCs w:val="16"/>
                <w:lang w:val="en-GB" w:eastAsia="ja-JP"/>
              </w:rPr>
            </w:pPr>
          </w:p>
        </w:tc>
        <w:tc>
          <w:tcPr>
            <w:tcW w:w="2976" w:type="dxa"/>
            <w:shd w:val="clear" w:color="auto" w:fill="FFFFFF"/>
          </w:tcPr>
          <w:p w14:paraId="56F222B3" w14:textId="7A582154" w:rsidR="008E21C4" w:rsidRPr="004E7234" w:rsidRDefault="004D4D7E" w:rsidP="004E7234">
            <w:pPr>
              <w:pStyle w:val="CETBodytext"/>
              <w:ind w:right="-1"/>
              <w:jc w:val="left"/>
              <w:rPr>
                <w:rFonts w:eastAsia="ＭＳ 明朝" w:cs="Arial"/>
                <w:sz w:val="16"/>
                <w:szCs w:val="16"/>
                <w:lang w:val="en-GB" w:eastAsia="ja-JP"/>
              </w:rPr>
            </w:pPr>
            <w:r w:rsidRPr="004E7234">
              <w:rPr>
                <w:rFonts w:eastAsia="ＭＳ 明朝" w:cs="Arial" w:hint="eastAsia"/>
                <w:sz w:val="16"/>
                <w:szCs w:val="16"/>
                <w:lang w:val="en-GB" w:eastAsia="ja-JP"/>
              </w:rPr>
              <w:t xml:space="preserve">PLC </w:t>
            </w:r>
            <w:r w:rsidR="00CC4DAD" w:rsidRPr="004E7234">
              <w:rPr>
                <w:rFonts w:eastAsia="ＭＳ 明朝" w:cs="Arial" w:hint="eastAsia"/>
                <w:sz w:val="16"/>
                <w:szCs w:val="16"/>
                <w:lang w:val="en-GB" w:eastAsia="ja-JP"/>
              </w:rPr>
              <w:t xml:space="preserve">in local instrumented </w:t>
            </w:r>
            <w:r w:rsidR="00CC4DAD" w:rsidRPr="004E7234">
              <w:rPr>
                <w:rFonts w:eastAsia="ＭＳ 明朝" w:cs="Arial"/>
                <w:sz w:val="16"/>
                <w:szCs w:val="16"/>
                <w:lang w:val="en-GB" w:eastAsia="ja-JP"/>
              </w:rPr>
              <w:t>building</w:t>
            </w:r>
            <w:r w:rsidR="00CC4DAD" w:rsidRPr="004E7234">
              <w:rPr>
                <w:rFonts w:eastAsia="ＭＳ 明朝" w:cs="Arial" w:hint="eastAsia"/>
                <w:sz w:val="16"/>
                <w:szCs w:val="16"/>
                <w:lang w:val="en-GB" w:eastAsia="ja-JP"/>
              </w:rPr>
              <w:t xml:space="preserve"> in process unit </w:t>
            </w:r>
            <w:r w:rsidR="00A26E76">
              <w:rPr>
                <w:rFonts w:eastAsia="ＭＳ 明朝" w:cs="Arial" w:hint="eastAsia"/>
                <w:sz w:val="16"/>
                <w:szCs w:val="16"/>
                <w:lang w:val="en-GB" w:eastAsia="ja-JP"/>
              </w:rPr>
              <w:t>…</w:t>
            </w:r>
            <w:r w:rsidR="00CC4DAD" w:rsidRPr="004E7234">
              <w:rPr>
                <w:rFonts w:eastAsia="ＭＳ 明朝" w:cs="Arial" w:hint="eastAsia"/>
                <w:sz w:val="16"/>
                <w:szCs w:val="16"/>
                <w:lang w:val="en-GB" w:eastAsia="ja-JP"/>
              </w:rPr>
              <w:t>.</w:t>
            </w:r>
          </w:p>
        </w:tc>
        <w:tc>
          <w:tcPr>
            <w:tcW w:w="2410" w:type="dxa"/>
            <w:shd w:val="clear" w:color="auto" w:fill="FFFFFF"/>
          </w:tcPr>
          <w:p w14:paraId="222A1900" w14:textId="53763C71" w:rsidR="008E21C4" w:rsidRPr="004E7234" w:rsidRDefault="00CC4DAD" w:rsidP="004E7234">
            <w:pPr>
              <w:pStyle w:val="CETBodytext"/>
              <w:ind w:right="-1"/>
              <w:jc w:val="left"/>
              <w:rPr>
                <w:rFonts w:eastAsia="ＭＳ 明朝" w:cs="Arial"/>
                <w:sz w:val="16"/>
                <w:szCs w:val="16"/>
                <w:lang w:val="en-GB" w:eastAsia="ja-JP"/>
              </w:rPr>
            </w:pPr>
            <w:r w:rsidRPr="004E7234">
              <w:rPr>
                <w:rFonts w:cs="Arial"/>
                <w:sz w:val="16"/>
                <w:szCs w:val="16"/>
                <w:lang w:val="en-GB"/>
              </w:rPr>
              <w:t xml:space="preserve">Vulnerable to </w:t>
            </w:r>
            <w:r w:rsidR="004E7234" w:rsidRPr="004E7234">
              <w:rPr>
                <w:rFonts w:cs="Arial"/>
                <w:sz w:val="16"/>
                <w:szCs w:val="16"/>
                <w:lang w:val="en-GB"/>
              </w:rPr>
              <w:t>man-in-the-middle</w:t>
            </w:r>
            <w:r w:rsidRPr="004E7234">
              <w:rPr>
                <w:rFonts w:cs="Arial"/>
                <w:sz w:val="16"/>
                <w:szCs w:val="16"/>
                <w:lang w:val="en-GB"/>
              </w:rPr>
              <w:t xml:space="preserve"> cyberattacks</w:t>
            </w:r>
            <w:r w:rsidRPr="004E7234">
              <w:rPr>
                <w:rFonts w:eastAsia="ＭＳ 明朝" w:cs="Arial" w:hint="eastAsia"/>
                <w:sz w:val="16"/>
                <w:szCs w:val="16"/>
                <w:lang w:val="en-GB" w:eastAsia="ja-JP"/>
              </w:rPr>
              <w:t xml:space="preserve"> in turn around</w:t>
            </w:r>
          </w:p>
        </w:tc>
      </w:tr>
      <w:tr w:rsidR="006D7AE2" w:rsidRPr="004E7234" w14:paraId="5A04EEB4" w14:textId="77777777" w:rsidTr="004E7234">
        <w:tc>
          <w:tcPr>
            <w:tcW w:w="851" w:type="dxa"/>
            <w:shd w:val="clear" w:color="auto" w:fill="FFFFFF"/>
          </w:tcPr>
          <w:p w14:paraId="15B12A4A" w14:textId="0D506CFA" w:rsidR="006D7AE2" w:rsidRPr="004E7234" w:rsidRDefault="006D7AE2" w:rsidP="004E7234">
            <w:pPr>
              <w:pStyle w:val="CETBodytext"/>
              <w:ind w:right="-1"/>
              <w:jc w:val="left"/>
              <w:rPr>
                <w:rFonts w:eastAsia="ＭＳ 明朝" w:cs="Arial"/>
                <w:sz w:val="16"/>
                <w:szCs w:val="16"/>
                <w:lang w:val="en-GB" w:eastAsia="ja-JP"/>
              </w:rPr>
            </w:pPr>
            <w:r w:rsidRPr="004E7234">
              <w:rPr>
                <w:rFonts w:eastAsia="ＭＳ 明朝" w:cs="Arial" w:hint="eastAsia"/>
                <w:sz w:val="16"/>
                <w:szCs w:val="16"/>
                <w:lang w:val="en-GB" w:eastAsia="ja-JP"/>
              </w:rPr>
              <w:t>3</w:t>
            </w:r>
            <w:r w:rsidR="00AC3C66" w:rsidRPr="004E7234">
              <w:rPr>
                <w:rFonts w:eastAsia="ＭＳ 明朝" w:cs="Arial" w:hint="eastAsia"/>
                <w:sz w:val="16"/>
                <w:szCs w:val="16"/>
                <w:lang w:val="en-GB" w:eastAsia="ja-JP"/>
              </w:rPr>
              <w:t>.1</w:t>
            </w:r>
          </w:p>
        </w:tc>
        <w:tc>
          <w:tcPr>
            <w:tcW w:w="2410" w:type="dxa"/>
            <w:shd w:val="clear" w:color="auto" w:fill="FFFFFF"/>
          </w:tcPr>
          <w:p w14:paraId="48B0056D" w14:textId="4FFAF45B" w:rsidR="006D7AE2" w:rsidRPr="004E7234" w:rsidRDefault="006D7AE2" w:rsidP="004E7234">
            <w:pPr>
              <w:pStyle w:val="CETBodytext"/>
              <w:ind w:right="-1"/>
              <w:jc w:val="left"/>
              <w:rPr>
                <w:rFonts w:eastAsia="ＭＳ 明朝" w:cs="Arial"/>
                <w:sz w:val="16"/>
                <w:szCs w:val="16"/>
                <w:lang w:val="en-GB" w:eastAsia="ja-JP"/>
              </w:rPr>
            </w:pPr>
            <w:r w:rsidRPr="004E7234">
              <w:rPr>
                <w:rFonts w:eastAsia="ＭＳ 明朝" w:cs="Arial" w:hint="eastAsia"/>
                <w:sz w:val="16"/>
                <w:szCs w:val="16"/>
                <w:lang w:val="en-GB" w:eastAsia="ja-JP"/>
              </w:rPr>
              <w:t>SIS</w:t>
            </w:r>
          </w:p>
        </w:tc>
        <w:tc>
          <w:tcPr>
            <w:tcW w:w="2976" w:type="dxa"/>
            <w:shd w:val="clear" w:color="auto" w:fill="FFFFFF"/>
          </w:tcPr>
          <w:p w14:paraId="23CD130F" w14:textId="245A67EC" w:rsidR="006D7AE2" w:rsidRPr="004E7234" w:rsidRDefault="006D7AE2" w:rsidP="004E7234">
            <w:pPr>
              <w:pStyle w:val="CETBodytext"/>
              <w:ind w:right="-1"/>
              <w:jc w:val="left"/>
              <w:rPr>
                <w:rFonts w:cs="Arial"/>
                <w:sz w:val="16"/>
                <w:szCs w:val="16"/>
                <w:lang w:val="en-GB"/>
              </w:rPr>
            </w:pPr>
            <w:r w:rsidRPr="004E7234">
              <w:rPr>
                <w:rFonts w:eastAsia="ＭＳ 明朝" w:cs="Arial" w:hint="eastAsia"/>
                <w:sz w:val="16"/>
                <w:szCs w:val="16"/>
                <w:lang w:val="en-GB" w:eastAsia="ja-JP"/>
              </w:rPr>
              <w:t>PLC and engineering workstation in central control room</w:t>
            </w:r>
          </w:p>
        </w:tc>
        <w:tc>
          <w:tcPr>
            <w:tcW w:w="2410" w:type="dxa"/>
            <w:shd w:val="clear" w:color="auto" w:fill="FFFFFF"/>
          </w:tcPr>
          <w:p w14:paraId="0D60EA30" w14:textId="77777777" w:rsidR="006D7AE2" w:rsidRPr="004E7234" w:rsidRDefault="006D7AE2" w:rsidP="004E7234">
            <w:pPr>
              <w:pStyle w:val="CETBodytext"/>
              <w:ind w:right="-1"/>
              <w:jc w:val="left"/>
              <w:rPr>
                <w:rFonts w:cs="Arial"/>
                <w:sz w:val="16"/>
                <w:szCs w:val="16"/>
                <w:lang w:val="en-GB"/>
              </w:rPr>
            </w:pPr>
          </w:p>
        </w:tc>
      </w:tr>
      <w:tr w:rsidR="006D7AE2" w:rsidRPr="00B57B36" w14:paraId="59130E30" w14:textId="77777777" w:rsidTr="004E7234">
        <w:tc>
          <w:tcPr>
            <w:tcW w:w="851" w:type="dxa"/>
            <w:shd w:val="clear" w:color="auto" w:fill="FFFFFF"/>
          </w:tcPr>
          <w:p w14:paraId="36C1FA16" w14:textId="53F9601C" w:rsidR="006D7AE2" w:rsidRPr="004E7234" w:rsidRDefault="00AC3C66" w:rsidP="004E7234">
            <w:pPr>
              <w:pStyle w:val="CETBodytext"/>
              <w:ind w:right="-1"/>
              <w:jc w:val="left"/>
              <w:rPr>
                <w:rFonts w:eastAsia="ＭＳ 明朝" w:cs="Arial"/>
                <w:sz w:val="16"/>
                <w:szCs w:val="16"/>
                <w:lang w:val="en-GB" w:eastAsia="ja-JP"/>
              </w:rPr>
            </w:pPr>
            <w:r w:rsidRPr="004E7234">
              <w:rPr>
                <w:rFonts w:eastAsia="ＭＳ 明朝" w:cs="Arial" w:hint="eastAsia"/>
                <w:sz w:val="16"/>
                <w:szCs w:val="16"/>
                <w:lang w:val="en-GB" w:eastAsia="ja-JP"/>
              </w:rPr>
              <w:t>3.2</w:t>
            </w:r>
          </w:p>
        </w:tc>
        <w:tc>
          <w:tcPr>
            <w:tcW w:w="2410" w:type="dxa"/>
            <w:shd w:val="clear" w:color="auto" w:fill="FFFFFF"/>
          </w:tcPr>
          <w:p w14:paraId="4AA3F32F" w14:textId="77777777" w:rsidR="006D7AE2" w:rsidRPr="004E7234" w:rsidRDefault="006D7AE2" w:rsidP="004E7234">
            <w:pPr>
              <w:pStyle w:val="CETBodytext"/>
              <w:ind w:right="-1"/>
              <w:jc w:val="left"/>
              <w:rPr>
                <w:rFonts w:cs="Arial"/>
                <w:sz w:val="16"/>
                <w:szCs w:val="16"/>
                <w:lang w:val="en-GB"/>
              </w:rPr>
            </w:pPr>
          </w:p>
        </w:tc>
        <w:tc>
          <w:tcPr>
            <w:tcW w:w="2976" w:type="dxa"/>
            <w:shd w:val="clear" w:color="auto" w:fill="FFFFFF"/>
          </w:tcPr>
          <w:p w14:paraId="0EB54013" w14:textId="220385B5" w:rsidR="006D7AE2" w:rsidRPr="004E7234" w:rsidRDefault="006D7AE2" w:rsidP="004E7234">
            <w:pPr>
              <w:pStyle w:val="CETBodytext"/>
              <w:ind w:right="-1"/>
              <w:jc w:val="left"/>
              <w:rPr>
                <w:rFonts w:cs="Arial"/>
                <w:sz w:val="16"/>
                <w:szCs w:val="16"/>
                <w:lang w:val="en-GB"/>
              </w:rPr>
            </w:pPr>
            <w:r w:rsidRPr="004E7234">
              <w:rPr>
                <w:rFonts w:eastAsia="ＭＳ 明朝" w:cs="Arial" w:hint="eastAsia"/>
                <w:sz w:val="16"/>
                <w:szCs w:val="16"/>
                <w:lang w:val="en-GB" w:eastAsia="ja-JP"/>
              </w:rPr>
              <w:t xml:space="preserve">PLC in local instrumented </w:t>
            </w:r>
            <w:r w:rsidRPr="004E7234">
              <w:rPr>
                <w:rFonts w:eastAsia="ＭＳ 明朝" w:cs="Arial"/>
                <w:sz w:val="16"/>
                <w:szCs w:val="16"/>
                <w:lang w:val="en-GB" w:eastAsia="ja-JP"/>
              </w:rPr>
              <w:t>building</w:t>
            </w:r>
            <w:r w:rsidRPr="004E7234">
              <w:rPr>
                <w:rFonts w:eastAsia="ＭＳ 明朝" w:cs="Arial" w:hint="eastAsia"/>
                <w:sz w:val="16"/>
                <w:szCs w:val="16"/>
                <w:lang w:val="en-GB" w:eastAsia="ja-JP"/>
              </w:rPr>
              <w:t xml:space="preserve"> in process unit </w:t>
            </w:r>
            <w:r w:rsidR="00A26E76">
              <w:rPr>
                <w:rFonts w:eastAsia="ＭＳ 明朝" w:cs="Arial" w:hint="eastAsia"/>
                <w:sz w:val="16"/>
                <w:szCs w:val="16"/>
                <w:lang w:val="en-GB" w:eastAsia="ja-JP"/>
              </w:rPr>
              <w:t>…</w:t>
            </w:r>
            <w:r w:rsidRPr="004E7234">
              <w:rPr>
                <w:rFonts w:eastAsia="ＭＳ 明朝" w:cs="Arial" w:hint="eastAsia"/>
                <w:sz w:val="16"/>
                <w:szCs w:val="16"/>
                <w:lang w:val="en-GB" w:eastAsia="ja-JP"/>
              </w:rPr>
              <w:t>.</w:t>
            </w:r>
          </w:p>
        </w:tc>
        <w:tc>
          <w:tcPr>
            <w:tcW w:w="2410" w:type="dxa"/>
            <w:shd w:val="clear" w:color="auto" w:fill="FFFFFF"/>
          </w:tcPr>
          <w:p w14:paraId="5A67BEE4" w14:textId="79F9AEBD" w:rsidR="006D7AE2" w:rsidRPr="006D7AE2" w:rsidRDefault="006D7AE2" w:rsidP="004E7234">
            <w:pPr>
              <w:pStyle w:val="CETBodytext"/>
              <w:ind w:right="-1"/>
              <w:jc w:val="left"/>
              <w:rPr>
                <w:rFonts w:cs="Arial"/>
                <w:sz w:val="16"/>
                <w:szCs w:val="16"/>
                <w:lang w:val="en-GB"/>
              </w:rPr>
            </w:pPr>
            <w:r w:rsidRPr="004E7234">
              <w:rPr>
                <w:rFonts w:cs="Arial"/>
                <w:sz w:val="16"/>
                <w:szCs w:val="16"/>
                <w:lang w:val="en-GB"/>
              </w:rPr>
              <w:t xml:space="preserve">Vulnerable to </w:t>
            </w:r>
            <w:r w:rsidR="004E7234" w:rsidRPr="004E7234">
              <w:rPr>
                <w:rFonts w:cs="Arial"/>
                <w:sz w:val="16"/>
                <w:szCs w:val="16"/>
                <w:lang w:val="en-GB"/>
              </w:rPr>
              <w:t>man-in-the-middle</w:t>
            </w:r>
            <w:r w:rsidRPr="004E7234">
              <w:rPr>
                <w:rFonts w:cs="Arial"/>
                <w:sz w:val="16"/>
                <w:szCs w:val="16"/>
                <w:lang w:val="en-GB"/>
              </w:rPr>
              <w:t xml:space="preserve"> cyberattacks</w:t>
            </w:r>
            <w:r w:rsidRPr="004E7234">
              <w:rPr>
                <w:rFonts w:eastAsia="ＭＳ 明朝" w:cs="Arial" w:hint="eastAsia"/>
                <w:sz w:val="16"/>
                <w:szCs w:val="16"/>
                <w:lang w:val="en-GB" w:eastAsia="ja-JP"/>
              </w:rPr>
              <w:t xml:space="preserve"> in turn around</w:t>
            </w:r>
          </w:p>
        </w:tc>
      </w:tr>
    </w:tbl>
    <w:p w14:paraId="3F6AD380" w14:textId="4E37F7B3" w:rsidR="00ED4035" w:rsidRPr="00B57B36" w:rsidRDefault="00ED4035" w:rsidP="00ED4035">
      <w:pPr>
        <w:pStyle w:val="CETheadingx"/>
      </w:pPr>
      <w:r>
        <w:rPr>
          <w:rFonts w:eastAsia="ＭＳ 明朝" w:hint="eastAsia"/>
          <w:lang w:eastAsia="ja-JP"/>
        </w:rPr>
        <w:t xml:space="preserve">Cybersecurity </w:t>
      </w:r>
      <w:r w:rsidR="007D42D3">
        <w:rPr>
          <w:rFonts w:eastAsia="ＭＳ 明朝" w:hint="eastAsia"/>
          <w:lang w:eastAsia="ja-JP"/>
        </w:rPr>
        <w:t>HAZID</w:t>
      </w:r>
    </w:p>
    <w:p w14:paraId="66933862" w14:textId="1EDF487A" w:rsidR="007D42D3" w:rsidRPr="00065549" w:rsidRDefault="00D80031" w:rsidP="00ED4035">
      <w:pPr>
        <w:pStyle w:val="CETBodytext"/>
        <w:rPr>
          <w:rFonts w:eastAsia="ＭＳ 明朝"/>
          <w:lang w:val="en-GB" w:eastAsia="ja-JP"/>
        </w:rPr>
      </w:pPr>
      <w:r w:rsidRPr="00D80031">
        <w:rPr>
          <w:rFonts w:eastAsia="ＭＳ 明朝"/>
          <w:lang w:val="en-GB" w:eastAsia="ja-JP"/>
        </w:rPr>
        <w:t>There is comparatively limited information available on conducting CS-PHA compared to CS-HAZOP and CS-LOPA. This study proposes the use of CS-HAZID, a brainstorming technique analogous to HAZOP, but specifically adapted to cybersecurity. By effectively applying the guidewords outlined in Table 2, CS-HAZID facilitates the systematic identification of worst-case scenarios arising from cyberattacks.</w:t>
      </w:r>
    </w:p>
    <w:p w14:paraId="167BDFCE" w14:textId="1616FEB9" w:rsidR="00737537" w:rsidRPr="00B57B36" w:rsidRDefault="00ED4035" w:rsidP="00737537">
      <w:pPr>
        <w:pStyle w:val="CETTabletitle"/>
      </w:pPr>
      <w:r w:rsidRPr="00B57B36">
        <w:t xml:space="preserve">Table </w:t>
      </w:r>
      <w:r w:rsidR="008426DD">
        <w:rPr>
          <w:rFonts w:eastAsia="ＭＳ 明朝" w:hint="eastAsia"/>
          <w:lang w:eastAsia="ja-JP"/>
        </w:rPr>
        <w:t>2</w:t>
      </w:r>
      <w:r w:rsidRPr="00B57B36">
        <w:t xml:space="preserve">: </w:t>
      </w:r>
      <w:r>
        <w:rPr>
          <w:rFonts w:eastAsia="ＭＳ 明朝" w:hint="eastAsia"/>
          <w:lang w:eastAsia="ja-JP"/>
        </w:rPr>
        <w:t>CS-HAZID Guidewords used in the Case</w:t>
      </w:r>
      <w:r w:rsidR="00737537">
        <w:rPr>
          <w:rFonts w:eastAsia="ＭＳ 明朝" w:hint="eastAsia"/>
          <w:lang w:eastAsia="ja-JP"/>
        </w:rPr>
        <w:t xml:space="preserve"> Study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6379"/>
      </w:tblGrid>
      <w:tr w:rsidR="00737537" w:rsidRPr="00B57B36" w14:paraId="1B1D860D" w14:textId="77777777" w:rsidTr="004E7234">
        <w:tc>
          <w:tcPr>
            <w:tcW w:w="2268" w:type="dxa"/>
            <w:tcBorders>
              <w:top w:val="single" w:sz="12" w:space="0" w:color="008000"/>
              <w:bottom w:val="single" w:sz="6" w:space="0" w:color="008000"/>
            </w:tcBorders>
            <w:shd w:val="clear" w:color="auto" w:fill="FFFFFF"/>
          </w:tcPr>
          <w:p w14:paraId="29459B3C" w14:textId="77777777" w:rsidR="00737537" w:rsidRPr="009D288C" w:rsidRDefault="00737537" w:rsidP="00303895">
            <w:pPr>
              <w:pStyle w:val="CETBodytext"/>
              <w:rPr>
                <w:sz w:val="16"/>
                <w:szCs w:val="16"/>
                <w:lang w:val="en-GB"/>
              </w:rPr>
            </w:pPr>
            <w:r w:rsidRPr="009D288C">
              <w:rPr>
                <w:sz w:val="16"/>
                <w:szCs w:val="16"/>
                <w:lang w:val="en-GB"/>
              </w:rPr>
              <w:t xml:space="preserve">Heading1 </w:t>
            </w:r>
          </w:p>
        </w:tc>
        <w:tc>
          <w:tcPr>
            <w:tcW w:w="6379" w:type="dxa"/>
            <w:tcBorders>
              <w:top w:val="single" w:sz="12" w:space="0" w:color="008000"/>
              <w:bottom w:val="single" w:sz="6" w:space="0" w:color="008000"/>
            </w:tcBorders>
            <w:shd w:val="clear" w:color="auto" w:fill="FFFFFF"/>
          </w:tcPr>
          <w:p w14:paraId="6E610584" w14:textId="77777777" w:rsidR="00737537" w:rsidRPr="009D288C" w:rsidRDefault="00737537" w:rsidP="00303895">
            <w:pPr>
              <w:pStyle w:val="CETBodytext"/>
              <w:rPr>
                <w:rFonts w:eastAsia="ＭＳ 明朝"/>
                <w:sz w:val="16"/>
                <w:szCs w:val="16"/>
                <w:lang w:val="en-GB" w:eastAsia="ja-JP"/>
              </w:rPr>
            </w:pPr>
            <w:r w:rsidRPr="009D288C">
              <w:rPr>
                <w:rFonts w:eastAsia="ＭＳ 明朝" w:hint="eastAsia"/>
                <w:sz w:val="16"/>
                <w:szCs w:val="16"/>
                <w:lang w:val="en-GB" w:eastAsia="ja-JP"/>
              </w:rPr>
              <w:t>Guidewords</w:t>
            </w:r>
          </w:p>
        </w:tc>
      </w:tr>
      <w:tr w:rsidR="00737537" w:rsidRPr="00B57B36" w14:paraId="505C95AD" w14:textId="77777777" w:rsidTr="004E7234">
        <w:tc>
          <w:tcPr>
            <w:tcW w:w="2268" w:type="dxa"/>
            <w:shd w:val="clear" w:color="auto" w:fill="FFFFFF"/>
          </w:tcPr>
          <w:p w14:paraId="56AC662E" w14:textId="77777777" w:rsidR="00737537" w:rsidRPr="009D288C" w:rsidRDefault="00737537" w:rsidP="00303895">
            <w:pPr>
              <w:pStyle w:val="CETBodytext"/>
              <w:rPr>
                <w:rFonts w:eastAsia="ＭＳ 明朝"/>
                <w:sz w:val="16"/>
                <w:szCs w:val="16"/>
                <w:lang w:val="en-GB" w:eastAsia="ja-JP"/>
              </w:rPr>
            </w:pPr>
            <w:r w:rsidRPr="009D288C">
              <w:rPr>
                <w:rFonts w:eastAsia="ＭＳ 明朝" w:hint="eastAsia"/>
                <w:sz w:val="16"/>
                <w:szCs w:val="16"/>
                <w:lang w:val="en-GB" w:eastAsia="ja-JP"/>
              </w:rPr>
              <w:t>Process hazards</w:t>
            </w:r>
          </w:p>
        </w:tc>
        <w:tc>
          <w:tcPr>
            <w:tcW w:w="6379" w:type="dxa"/>
            <w:shd w:val="clear" w:color="auto" w:fill="FFFFFF"/>
          </w:tcPr>
          <w:p w14:paraId="2ED8DB2A" w14:textId="72975E2D" w:rsidR="00737537" w:rsidRPr="009D288C" w:rsidRDefault="00F65F27" w:rsidP="00F65F27">
            <w:pPr>
              <w:pStyle w:val="CETBodytext"/>
              <w:rPr>
                <w:rFonts w:eastAsia="ＭＳ 明朝"/>
                <w:sz w:val="16"/>
                <w:szCs w:val="16"/>
                <w:lang w:val="en-GB" w:eastAsia="ja-JP"/>
              </w:rPr>
            </w:pPr>
            <w:r w:rsidRPr="009D288C">
              <w:rPr>
                <w:sz w:val="16"/>
                <w:szCs w:val="16"/>
                <w:lang w:val="en-GB"/>
              </w:rPr>
              <w:t>Process releases unignited</w:t>
            </w:r>
            <w:r w:rsidRPr="009D288C">
              <w:rPr>
                <w:rFonts w:eastAsia="ＭＳ 明朝" w:hint="eastAsia"/>
                <w:sz w:val="16"/>
                <w:szCs w:val="16"/>
                <w:lang w:val="en-GB" w:eastAsia="ja-JP"/>
              </w:rPr>
              <w:t>, Process releases ignited, Process releases, Flaring, Venting, Draining, Sampling</w:t>
            </w:r>
          </w:p>
        </w:tc>
      </w:tr>
      <w:tr w:rsidR="00737537" w:rsidRPr="00B57B36" w14:paraId="364415C4" w14:textId="77777777" w:rsidTr="004E7234">
        <w:tc>
          <w:tcPr>
            <w:tcW w:w="2268" w:type="dxa"/>
            <w:shd w:val="clear" w:color="auto" w:fill="FFFFFF"/>
          </w:tcPr>
          <w:p w14:paraId="0AE6E944" w14:textId="77777777" w:rsidR="00737537" w:rsidRPr="009D288C" w:rsidRDefault="00737537" w:rsidP="00303895">
            <w:pPr>
              <w:pStyle w:val="CETBodytext"/>
              <w:ind w:right="-1"/>
              <w:rPr>
                <w:rFonts w:eastAsia="ＭＳ 明朝" w:cs="Arial"/>
                <w:sz w:val="16"/>
                <w:szCs w:val="16"/>
                <w:lang w:val="en-GB" w:eastAsia="ja-JP"/>
              </w:rPr>
            </w:pPr>
            <w:r w:rsidRPr="009D288C">
              <w:rPr>
                <w:rFonts w:eastAsia="ＭＳ 明朝" w:cs="Arial" w:hint="eastAsia"/>
                <w:sz w:val="16"/>
                <w:szCs w:val="16"/>
                <w:lang w:val="en-GB" w:eastAsia="ja-JP"/>
              </w:rPr>
              <w:t>Cyber security hazards</w:t>
            </w:r>
          </w:p>
        </w:tc>
        <w:tc>
          <w:tcPr>
            <w:tcW w:w="6379" w:type="dxa"/>
            <w:shd w:val="clear" w:color="auto" w:fill="FFFFFF"/>
          </w:tcPr>
          <w:p w14:paraId="578F79E4" w14:textId="60AFEE04" w:rsidR="00737537" w:rsidRPr="009D288C" w:rsidRDefault="00252BD4" w:rsidP="00303895">
            <w:pPr>
              <w:pStyle w:val="CETBodytext"/>
              <w:ind w:right="-1"/>
              <w:rPr>
                <w:rFonts w:eastAsia="ＭＳ 明朝" w:cs="Arial"/>
                <w:sz w:val="16"/>
                <w:szCs w:val="16"/>
                <w:lang w:val="en-GB" w:eastAsia="ja-JP"/>
              </w:rPr>
            </w:pPr>
            <w:r w:rsidRPr="009D288C">
              <w:rPr>
                <w:rFonts w:eastAsia="ＭＳ 明朝" w:cs="Arial" w:hint="eastAsia"/>
                <w:sz w:val="16"/>
                <w:szCs w:val="16"/>
                <w:lang w:val="en-GB" w:eastAsia="ja-JP"/>
              </w:rPr>
              <w:t xml:space="preserve">Deviation from safe operating envelope, Damage to critical equipment, </w:t>
            </w:r>
            <w:r w:rsidR="000B149D" w:rsidRPr="009D288C">
              <w:rPr>
                <w:rFonts w:eastAsia="ＭＳ 明朝" w:cs="Arial" w:hint="eastAsia"/>
                <w:sz w:val="16"/>
                <w:szCs w:val="16"/>
                <w:lang w:val="en-GB" w:eastAsia="ja-JP"/>
              </w:rPr>
              <w:t xml:space="preserve">Safety system/devices disabled, </w:t>
            </w:r>
            <w:r w:rsidR="003A04D8" w:rsidRPr="009D288C">
              <w:rPr>
                <w:rFonts w:eastAsia="ＭＳ 明朝" w:cs="Arial" w:hint="eastAsia"/>
                <w:sz w:val="16"/>
                <w:szCs w:val="16"/>
                <w:lang w:val="en-GB" w:eastAsia="ja-JP"/>
              </w:rPr>
              <w:t>Loss of functionality, Significant LOC</w:t>
            </w:r>
            <w:r w:rsidR="00DB6538" w:rsidRPr="009D288C">
              <w:rPr>
                <w:rFonts w:eastAsia="ＭＳ 明朝" w:cs="Arial" w:hint="eastAsia"/>
                <w:sz w:val="16"/>
                <w:szCs w:val="16"/>
                <w:lang w:val="en-GB" w:eastAsia="ja-JP"/>
              </w:rPr>
              <w:t xml:space="preserve"> (Loss of Containment)</w:t>
            </w:r>
            <w:r w:rsidR="003A04D8" w:rsidRPr="009D288C">
              <w:rPr>
                <w:rFonts w:eastAsia="ＭＳ 明朝" w:cs="Arial" w:hint="eastAsia"/>
                <w:sz w:val="16"/>
                <w:szCs w:val="16"/>
                <w:lang w:val="en-GB" w:eastAsia="ja-JP"/>
              </w:rPr>
              <w:t>, Spurious shutdown, Domino events, Fatality, Environmental damage, Economical damage</w:t>
            </w:r>
          </w:p>
        </w:tc>
      </w:tr>
    </w:tbl>
    <w:p w14:paraId="305373DE" w14:textId="77777777" w:rsidR="00ED4035" w:rsidRDefault="00ED4035" w:rsidP="00ED4035">
      <w:pPr>
        <w:pStyle w:val="CETheadingx"/>
        <w:rPr>
          <w:rFonts w:eastAsia="ＭＳ 明朝"/>
          <w:lang w:eastAsia="ja-JP"/>
        </w:rPr>
      </w:pPr>
      <w:r>
        <w:rPr>
          <w:rFonts w:eastAsia="ＭＳ 明朝" w:hint="eastAsia"/>
          <w:lang w:eastAsia="ja-JP"/>
        </w:rPr>
        <w:t>Cybersecurity HAZOP</w:t>
      </w:r>
    </w:p>
    <w:p w14:paraId="0952C439" w14:textId="1793E879" w:rsidR="00ED4035" w:rsidRDefault="00884238" w:rsidP="00ED4035">
      <w:pPr>
        <w:pStyle w:val="CETBodytext"/>
        <w:rPr>
          <w:rFonts w:eastAsia="ＭＳ 明朝"/>
          <w:lang w:eastAsia="ja-JP"/>
        </w:rPr>
      </w:pPr>
      <w:r w:rsidRPr="00884238">
        <w:rPr>
          <w:rFonts w:eastAsia="ＭＳ 明朝"/>
          <w:lang w:val="en-GB" w:eastAsia="ja-JP"/>
        </w:rPr>
        <w:t>As CS-HAZOP is focused on identifying detailed pathways to realize the worst-case scenarios identified in CS-HAZID, the guidewords employed are specifically linked to various cyberattack mechanisms. In this case study, the guidewords presented in Table 3 were utilized, with reference to the guidelines outlined in</w:t>
      </w:r>
      <w:r w:rsidR="00C415BE">
        <w:rPr>
          <w:rFonts w:eastAsia="ＭＳ 明朝" w:hint="eastAsia"/>
          <w:lang w:val="en-GB" w:eastAsia="ja-JP"/>
        </w:rPr>
        <w:t xml:space="preserve"> the </w:t>
      </w:r>
      <w:proofErr w:type="gramStart"/>
      <w:r w:rsidR="00C415BE">
        <w:rPr>
          <w:rFonts w:eastAsia="ＭＳ 明朝" w:hint="eastAsia"/>
          <w:lang w:val="en-GB" w:eastAsia="ja-JP"/>
        </w:rPr>
        <w:t>guideline</w:t>
      </w:r>
      <w:r w:rsidR="00FE7B5C" w:rsidRPr="002B6D05">
        <w:rPr>
          <w:rFonts w:eastAsia="ＭＳ 明朝"/>
          <w:lang w:val="en-GB" w:eastAsia="ja-JP"/>
        </w:rPr>
        <w:t>(</w:t>
      </w:r>
      <w:proofErr w:type="gramEnd"/>
      <w:r w:rsidR="00FE7B5C" w:rsidRPr="002B6D05">
        <w:rPr>
          <w:rFonts w:eastAsia="ＭＳ 明朝"/>
          <w:lang w:val="en-GB" w:eastAsia="ja-JP"/>
        </w:rPr>
        <w:t>CCPS, 2022</w:t>
      </w:r>
      <w:r w:rsidR="00FE7B5C">
        <w:rPr>
          <w:rFonts w:eastAsia="ＭＳ 明朝" w:hint="eastAsia"/>
          <w:lang w:val="en-GB" w:eastAsia="ja-JP"/>
        </w:rPr>
        <w:t>)</w:t>
      </w:r>
      <w:r w:rsidR="00C415BE">
        <w:rPr>
          <w:rFonts w:eastAsia="ＭＳ 明朝" w:hint="eastAsia"/>
          <w:lang w:val="en-GB" w:eastAsia="ja-JP"/>
        </w:rPr>
        <w:t>.</w:t>
      </w:r>
      <w:r w:rsidR="00ED4035" w:rsidRPr="00C822FB">
        <w:rPr>
          <w:rFonts w:eastAsia="ＭＳ 明朝"/>
          <w:lang w:val="en-GB" w:eastAsia="ja-JP"/>
        </w:rPr>
        <w:t xml:space="preserve"> </w:t>
      </w:r>
    </w:p>
    <w:p w14:paraId="090ED7C5" w14:textId="3554211D" w:rsidR="00737537" w:rsidRPr="00B57B36" w:rsidRDefault="00ED4035" w:rsidP="00737537">
      <w:pPr>
        <w:pStyle w:val="CETTabletitle"/>
      </w:pPr>
      <w:r w:rsidRPr="00B57B36">
        <w:t xml:space="preserve">Table </w:t>
      </w:r>
      <w:r w:rsidR="008426DD">
        <w:rPr>
          <w:rFonts w:eastAsia="ＭＳ 明朝" w:hint="eastAsia"/>
          <w:lang w:eastAsia="ja-JP"/>
        </w:rPr>
        <w:t>3</w:t>
      </w:r>
      <w:r w:rsidRPr="00B57B36">
        <w:t xml:space="preserve">: </w:t>
      </w:r>
      <w:r>
        <w:rPr>
          <w:rFonts w:eastAsia="ＭＳ 明朝" w:hint="eastAsia"/>
          <w:lang w:eastAsia="ja-JP"/>
        </w:rPr>
        <w:t>CS-HAZOP Guidewords used in the Case Study</w:t>
      </w:r>
      <w:r w:rsidR="00CB3739" w:rsidRPr="00CB3739">
        <w:rPr>
          <w:rFonts w:eastAsia="ＭＳ 明朝" w:hint="eastAsia"/>
          <w:vertAlign w:val="superscript"/>
          <w:lang w:eastAsia="ja-JP"/>
        </w:rPr>
        <w:t xml:space="preserve"> 2)</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6237"/>
      </w:tblGrid>
      <w:tr w:rsidR="00DD7AB3" w:rsidRPr="00B57B36" w14:paraId="60C10E78" w14:textId="77777777" w:rsidTr="008042AD">
        <w:tc>
          <w:tcPr>
            <w:tcW w:w="2410" w:type="dxa"/>
            <w:tcBorders>
              <w:top w:val="single" w:sz="12" w:space="0" w:color="008000"/>
              <w:bottom w:val="single" w:sz="6" w:space="0" w:color="008000"/>
            </w:tcBorders>
            <w:shd w:val="clear" w:color="auto" w:fill="FFFFFF"/>
          </w:tcPr>
          <w:p w14:paraId="197853D2" w14:textId="2E355466" w:rsidR="00DD7AB3" w:rsidRPr="008042AD" w:rsidRDefault="00A944BA" w:rsidP="00303895">
            <w:pPr>
              <w:pStyle w:val="CETBodytext"/>
              <w:rPr>
                <w:sz w:val="16"/>
                <w:szCs w:val="16"/>
                <w:lang w:val="en-GB"/>
              </w:rPr>
            </w:pPr>
            <w:r w:rsidRPr="008042AD">
              <w:rPr>
                <w:rFonts w:eastAsia="ＭＳ 明朝" w:hint="eastAsia"/>
                <w:sz w:val="16"/>
                <w:szCs w:val="16"/>
                <w:lang w:val="en-GB" w:eastAsia="ja-JP"/>
              </w:rPr>
              <w:t>Category</w:t>
            </w:r>
          </w:p>
        </w:tc>
        <w:tc>
          <w:tcPr>
            <w:tcW w:w="6237" w:type="dxa"/>
            <w:tcBorders>
              <w:top w:val="single" w:sz="12" w:space="0" w:color="008000"/>
              <w:bottom w:val="single" w:sz="6" w:space="0" w:color="008000"/>
            </w:tcBorders>
            <w:shd w:val="clear" w:color="auto" w:fill="FFFFFF"/>
          </w:tcPr>
          <w:p w14:paraId="38345C0F" w14:textId="4EF3A0C0" w:rsidR="00DD7AB3" w:rsidRPr="008042AD" w:rsidRDefault="00DD7AB3" w:rsidP="00303895">
            <w:pPr>
              <w:pStyle w:val="CETBodytext"/>
              <w:rPr>
                <w:rFonts w:eastAsia="ＭＳ 明朝"/>
                <w:sz w:val="16"/>
                <w:szCs w:val="16"/>
                <w:lang w:val="en-GB" w:eastAsia="ja-JP"/>
              </w:rPr>
            </w:pPr>
            <w:r w:rsidRPr="008042AD">
              <w:rPr>
                <w:rFonts w:eastAsia="ＭＳ 明朝" w:hint="eastAsia"/>
                <w:sz w:val="16"/>
                <w:szCs w:val="16"/>
                <w:lang w:val="en-GB" w:eastAsia="ja-JP"/>
              </w:rPr>
              <w:t>Guidewords</w:t>
            </w:r>
          </w:p>
        </w:tc>
      </w:tr>
      <w:tr w:rsidR="008042AD" w:rsidRPr="00B57B36" w14:paraId="51E865FD" w14:textId="77777777" w:rsidTr="008042AD">
        <w:tc>
          <w:tcPr>
            <w:tcW w:w="2410" w:type="dxa"/>
            <w:shd w:val="clear" w:color="auto" w:fill="FFFFFF"/>
          </w:tcPr>
          <w:p w14:paraId="6954ECDB" w14:textId="736ABB77" w:rsidR="008042AD" w:rsidRPr="008042AD" w:rsidRDefault="008042AD" w:rsidP="008042AD">
            <w:pPr>
              <w:pStyle w:val="CETBodytext"/>
              <w:rPr>
                <w:rFonts w:eastAsia="ＭＳ 明朝"/>
                <w:sz w:val="16"/>
                <w:szCs w:val="16"/>
                <w:lang w:val="en-GB" w:eastAsia="ja-JP"/>
              </w:rPr>
            </w:pPr>
            <w:r w:rsidRPr="008042AD">
              <w:rPr>
                <w:rFonts w:eastAsia="ＭＳ 明朝" w:hint="eastAsia"/>
                <w:sz w:val="16"/>
                <w:szCs w:val="16"/>
                <w:lang w:val="en-GB" w:eastAsia="ja-JP"/>
              </w:rPr>
              <w:t>Cyberattack mechanism</w:t>
            </w:r>
          </w:p>
        </w:tc>
        <w:tc>
          <w:tcPr>
            <w:tcW w:w="6237" w:type="dxa"/>
            <w:shd w:val="clear" w:color="auto" w:fill="FFFFFF"/>
          </w:tcPr>
          <w:p w14:paraId="7A0F7089" w14:textId="5E6532E9" w:rsidR="008042AD" w:rsidRPr="008042AD" w:rsidRDefault="008042AD" w:rsidP="008042AD">
            <w:pPr>
              <w:pStyle w:val="CETBodytext"/>
              <w:rPr>
                <w:sz w:val="16"/>
                <w:szCs w:val="16"/>
                <w:lang w:val="en-GB"/>
              </w:rPr>
            </w:pPr>
            <w:r w:rsidRPr="008042AD">
              <w:rPr>
                <w:sz w:val="16"/>
                <w:szCs w:val="16"/>
              </w:rPr>
              <w:t>Social Engineering (e.g., phishing, spear phishing)</w:t>
            </w:r>
          </w:p>
        </w:tc>
      </w:tr>
      <w:tr w:rsidR="008042AD" w:rsidRPr="00B57B36" w14:paraId="5C61CB04" w14:textId="77777777" w:rsidTr="008042AD">
        <w:tc>
          <w:tcPr>
            <w:tcW w:w="2410" w:type="dxa"/>
            <w:shd w:val="clear" w:color="auto" w:fill="FFFFFF"/>
          </w:tcPr>
          <w:p w14:paraId="757AC2AD" w14:textId="77777777" w:rsidR="008042AD" w:rsidRPr="008042AD" w:rsidRDefault="008042AD" w:rsidP="008042AD">
            <w:pPr>
              <w:pStyle w:val="CETBodytext"/>
              <w:rPr>
                <w:rFonts w:eastAsia="ＭＳ 明朝"/>
                <w:sz w:val="16"/>
                <w:szCs w:val="16"/>
                <w:lang w:val="en-GB" w:eastAsia="ja-JP"/>
              </w:rPr>
            </w:pPr>
          </w:p>
        </w:tc>
        <w:tc>
          <w:tcPr>
            <w:tcW w:w="6237" w:type="dxa"/>
            <w:shd w:val="clear" w:color="auto" w:fill="FFFFFF"/>
          </w:tcPr>
          <w:p w14:paraId="018B69AD" w14:textId="6B5EF1EE" w:rsidR="008042AD" w:rsidRPr="008042AD" w:rsidRDefault="008042AD" w:rsidP="008042AD">
            <w:pPr>
              <w:pStyle w:val="CETBodytext"/>
              <w:rPr>
                <w:sz w:val="16"/>
                <w:szCs w:val="16"/>
                <w:lang w:val="en-GB"/>
              </w:rPr>
            </w:pPr>
            <w:r w:rsidRPr="008042AD">
              <w:rPr>
                <w:sz w:val="16"/>
                <w:szCs w:val="16"/>
              </w:rPr>
              <w:t>Communications (e.g., denial of service, man</w:t>
            </w:r>
            <w:r w:rsidRPr="008042AD">
              <w:rPr>
                <w:rFonts w:ascii="ＭＳ 明朝" w:eastAsia="ＭＳ 明朝" w:hAnsi="ＭＳ 明朝" w:cs="ＭＳ 明朝" w:hint="eastAsia"/>
                <w:sz w:val="16"/>
                <w:szCs w:val="16"/>
              </w:rPr>
              <w:t>‐</w:t>
            </w:r>
            <w:r w:rsidRPr="008042AD">
              <w:rPr>
                <w:sz w:val="16"/>
                <w:szCs w:val="16"/>
              </w:rPr>
              <w:t>in</w:t>
            </w:r>
            <w:r w:rsidRPr="008042AD">
              <w:rPr>
                <w:rFonts w:ascii="ＭＳ 明朝" w:eastAsia="ＭＳ 明朝" w:hAnsi="ＭＳ 明朝" w:cs="ＭＳ 明朝" w:hint="eastAsia"/>
                <w:sz w:val="16"/>
                <w:szCs w:val="16"/>
              </w:rPr>
              <w:t>‐</w:t>
            </w:r>
            <w:r w:rsidRPr="008042AD">
              <w:rPr>
                <w:sz w:val="16"/>
                <w:szCs w:val="16"/>
              </w:rPr>
              <w:t>the</w:t>
            </w:r>
            <w:r w:rsidRPr="008042AD">
              <w:rPr>
                <w:rFonts w:ascii="ＭＳ 明朝" w:eastAsia="ＭＳ 明朝" w:hAnsi="ＭＳ 明朝" w:cs="ＭＳ 明朝" w:hint="eastAsia"/>
                <w:sz w:val="16"/>
                <w:szCs w:val="16"/>
              </w:rPr>
              <w:t>‐</w:t>
            </w:r>
            <w:r w:rsidRPr="008042AD">
              <w:rPr>
                <w:sz w:val="16"/>
                <w:szCs w:val="16"/>
              </w:rPr>
              <w:t>middle)</w:t>
            </w:r>
          </w:p>
        </w:tc>
      </w:tr>
      <w:tr w:rsidR="008042AD" w:rsidRPr="00B57B36" w14:paraId="02E8C7C3" w14:textId="77777777" w:rsidTr="008042AD">
        <w:tc>
          <w:tcPr>
            <w:tcW w:w="2410" w:type="dxa"/>
            <w:shd w:val="clear" w:color="auto" w:fill="FFFFFF"/>
          </w:tcPr>
          <w:p w14:paraId="0712AA5A" w14:textId="77777777" w:rsidR="008042AD" w:rsidRPr="008042AD" w:rsidRDefault="008042AD" w:rsidP="008042AD">
            <w:pPr>
              <w:pStyle w:val="CETBodytext"/>
              <w:rPr>
                <w:rFonts w:eastAsia="ＭＳ 明朝"/>
                <w:sz w:val="16"/>
                <w:szCs w:val="16"/>
                <w:lang w:val="en-GB" w:eastAsia="ja-JP"/>
              </w:rPr>
            </w:pPr>
          </w:p>
        </w:tc>
        <w:tc>
          <w:tcPr>
            <w:tcW w:w="6237" w:type="dxa"/>
            <w:shd w:val="clear" w:color="auto" w:fill="FFFFFF"/>
          </w:tcPr>
          <w:p w14:paraId="721DF910" w14:textId="347416C5" w:rsidR="008042AD" w:rsidRPr="008042AD" w:rsidRDefault="008042AD" w:rsidP="008042AD">
            <w:pPr>
              <w:pStyle w:val="CETBodytext"/>
              <w:rPr>
                <w:sz w:val="16"/>
                <w:szCs w:val="16"/>
                <w:lang w:val="en-GB"/>
              </w:rPr>
            </w:pPr>
            <w:r w:rsidRPr="008042AD">
              <w:rPr>
                <w:sz w:val="16"/>
                <w:szCs w:val="16"/>
              </w:rPr>
              <w:t>Supply Chain (e.g., compromise of service provider)</w:t>
            </w:r>
          </w:p>
        </w:tc>
      </w:tr>
      <w:tr w:rsidR="008042AD" w:rsidRPr="00B57B36" w14:paraId="4C2DEBD0" w14:textId="77777777" w:rsidTr="008042AD">
        <w:tc>
          <w:tcPr>
            <w:tcW w:w="2410" w:type="dxa"/>
            <w:shd w:val="clear" w:color="auto" w:fill="FFFFFF"/>
          </w:tcPr>
          <w:p w14:paraId="29E8FF93" w14:textId="77777777" w:rsidR="008042AD" w:rsidRPr="008042AD" w:rsidRDefault="008042AD" w:rsidP="008042AD">
            <w:pPr>
              <w:pStyle w:val="CETBodytext"/>
              <w:rPr>
                <w:rFonts w:eastAsia="ＭＳ 明朝"/>
                <w:sz w:val="16"/>
                <w:szCs w:val="16"/>
                <w:lang w:val="en-GB" w:eastAsia="ja-JP"/>
              </w:rPr>
            </w:pPr>
          </w:p>
        </w:tc>
        <w:tc>
          <w:tcPr>
            <w:tcW w:w="6237" w:type="dxa"/>
            <w:shd w:val="clear" w:color="auto" w:fill="FFFFFF"/>
          </w:tcPr>
          <w:p w14:paraId="6AA161B2" w14:textId="649A5F34" w:rsidR="008042AD" w:rsidRPr="008042AD" w:rsidRDefault="008042AD" w:rsidP="008042AD">
            <w:pPr>
              <w:pStyle w:val="CETBodytext"/>
              <w:rPr>
                <w:sz w:val="16"/>
                <w:szCs w:val="16"/>
                <w:lang w:val="en-GB"/>
              </w:rPr>
            </w:pPr>
            <w:r w:rsidRPr="008042AD">
              <w:rPr>
                <w:sz w:val="16"/>
                <w:szCs w:val="16"/>
              </w:rPr>
              <w:t>Physical Access (e.g., logging onto on unguarded workstation)</w:t>
            </w:r>
          </w:p>
        </w:tc>
      </w:tr>
      <w:tr w:rsidR="008042AD" w:rsidRPr="00B57B36" w14:paraId="5419FEAD" w14:textId="77777777" w:rsidTr="008042AD">
        <w:tc>
          <w:tcPr>
            <w:tcW w:w="2410" w:type="dxa"/>
            <w:shd w:val="clear" w:color="auto" w:fill="FFFFFF"/>
          </w:tcPr>
          <w:p w14:paraId="4A9B19EA" w14:textId="77777777" w:rsidR="008042AD" w:rsidRPr="008042AD" w:rsidRDefault="008042AD" w:rsidP="008042AD">
            <w:pPr>
              <w:pStyle w:val="CETBodytext"/>
              <w:rPr>
                <w:rFonts w:eastAsia="ＭＳ 明朝"/>
                <w:sz w:val="16"/>
                <w:szCs w:val="16"/>
                <w:lang w:val="en-GB" w:eastAsia="ja-JP"/>
              </w:rPr>
            </w:pPr>
          </w:p>
        </w:tc>
        <w:tc>
          <w:tcPr>
            <w:tcW w:w="6237" w:type="dxa"/>
            <w:shd w:val="clear" w:color="auto" w:fill="FFFFFF"/>
          </w:tcPr>
          <w:p w14:paraId="3B3DFCDA" w14:textId="11432D5A" w:rsidR="008042AD" w:rsidRPr="008042AD" w:rsidRDefault="008042AD" w:rsidP="008042AD">
            <w:pPr>
              <w:pStyle w:val="CETBodytext"/>
              <w:rPr>
                <w:sz w:val="16"/>
                <w:szCs w:val="16"/>
                <w:lang w:val="en-GB"/>
              </w:rPr>
            </w:pPr>
            <w:r w:rsidRPr="008042AD">
              <w:rPr>
                <w:sz w:val="16"/>
                <w:szCs w:val="16"/>
              </w:rPr>
              <w:t>Software (e.g., exploiting a known software vulnerability)</w:t>
            </w:r>
          </w:p>
        </w:tc>
      </w:tr>
      <w:tr w:rsidR="008042AD" w:rsidRPr="00B57B36" w14:paraId="0925D04C" w14:textId="77777777" w:rsidTr="008042AD">
        <w:tc>
          <w:tcPr>
            <w:tcW w:w="2410" w:type="dxa"/>
            <w:shd w:val="clear" w:color="auto" w:fill="FFFFFF"/>
          </w:tcPr>
          <w:p w14:paraId="5B9D7905" w14:textId="77777777" w:rsidR="008042AD" w:rsidRPr="008042AD" w:rsidRDefault="008042AD" w:rsidP="008042AD">
            <w:pPr>
              <w:pStyle w:val="CETBodytext"/>
              <w:ind w:right="-1"/>
              <w:rPr>
                <w:rFonts w:cs="Arial"/>
                <w:sz w:val="16"/>
                <w:szCs w:val="16"/>
                <w:lang w:val="en-GB"/>
              </w:rPr>
            </w:pPr>
          </w:p>
        </w:tc>
        <w:tc>
          <w:tcPr>
            <w:tcW w:w="6237" w:type="dxa"/>
            <w:shd w:val="clear" w:color="auto" w:fill="FFFFFF"/>
          </w:tcPr>
          <w:p w14:paraId="4338940D" w14:textId="592F98E8" w:rsidR="008042AD" w:rsidRPr="008042AD" w:rsidRDefault="008042AD" w:rsidP="008042AD">
            <w:pPr>
              <w:pStyle w:val="CETBodytext"/>
              <w:ind w:right="-1"/>
              <w:rPr>
                <w:rFonts w:cs="Arial"/>
                <w:sz w:val="16"/>
                <w:szCs w:val="16"/>
                <w:lang w:val="en-GB"/>
              </w:rPr>
            </w:pPr>
            <w:r w:rsidRPr="008042AD">
              <w:rPr>
                <w:sz w:val="16"/>
                <w:szCs w:val="16"/>
              </w:rPr>
              <w:t>Hardware (e.g., connecting a USB to an unsecured port)</w:t>
            </w:r>
          </w:p>
        </w:tc>
      </w:tr>
    </w:tbl>
    <w:p w14:paraId="23F42104" w14:textId="77777777" w:rsidR="00ED4035" w:rsidRDefault="00ED4035" w:rsidP="00ED4035">
      <w:pPr>
        <w:pStyle w:val="CETheadingx"/>
        <w:rPr>
          <w:rFonts w:eastAsia="ＭＳ 明朝"/>
          <w:lang w:eastAsia="ja-JP"/>
        </w:rPr>
      </w:pPr>
      <w:r>
        <w:rPr>
          <w:rFonts w:eastAsia="ＭＳ 明朝" w:hint="eastAsia"/>
          <w:lang w:eastAsia="ja-JP"/>
        </w:rPr>
        <w:t>Cybersecurity LOPA</w:t>
      </w:r>
    </w:p>
    <w:p w14:paraId="1AD841F3" w14:textId="3685CF3B" w:rsidR="009337DC" w:rsidRDefault="00063298" w:rsidP="009337DC">
      <w:pPr>
        <w:pStyle w:val="CETBodytext"/>
        <w:rPr>
          <w:rFonts w:eastAsia="ＭＳ 明朝"/>
          <w:lang w:eastAsia="ja-JP"/>
        </w:rPr>
      </w:pPr>
      <w:r w:rsidRPr="00063298">
        <w:rPr>
          <w:rFonts w:eastAsia="ＭＳ 明朝"/>
          <w:lang w:eastAsia="ja-JP"/>
        </w:rPr>
        <w:t>The CS-LOPA adopts a similar approach to the traditional PS-LOPA. In this case study, residual risk is evaluated as the Risk Reduction Factor (RRF), as represented in Equation (1) below.</w:t>
      </w:r>
      <w:r w:rsidR="001A4CBF">
        <w:rPr>
          <w:rFonts w:eastAsia="ＭＳ 明朝" w:hint="eastAsia"/>
          <w:lang w:eastAsia="ja-JP"/>
        </w:rPr>
        <w:t xml:space="preserve"> </w:t>
      </w:r>
    </w:p>
    <w:tbl>
      <w:tblPr>
        <w:tblW w:w="5000" w:type="pct"/>
        <w:tblLook w:val="04A0" w:firstRow="1" w:lastRow="0" w:firstColumn="1" w:lastColumn="0" w:noHBand="0" w:noVBand="1"/>
      </w:tblPr>
      <w:tblGrid>
        <w:gridCol w:w="7998"/>
        <w:gridCol w:w="789"/>
      </w:tblGrid>
      <w:tr w:rsidR="006471FD" w:rsidRPr="00B57B36" w14:paraId="62F5CC1A" w14:textId="77777777" w:rsidTr="002309F6">
        <w:tc>
          <w:tcPr>
            <w:tcW w:w="7998" w:type="dxa"/>
            <w:shd w:val="clear" w:color="auto" w:fill="auto"/>
            <w:vAlign w:val="center"/>
          </w:tcPr>
          <w:p w14:paraId="740E71C6" w14:textId="63C58995" w:rsidR="006471FD" w:rsidRPr="006471FD" w:rsidRDefault="006471FD" w:rsidP="005C7BDA">
            <w:pPr>
              <w:pStyle w:val="CETEquation"/>
            </w:pPr>
            <m:oMathPara>
              <m:oMathParaPr>
                <m:jc m:val="left"/>
              </m:oMathParaPr>
              <m:oMath>
                <m:r>
                  <w:rPr>
                    <w:rFonts w:ascii="Cambria Math" w:eastAsia="ＭＳ 明朝" w:hAnsi="Cambria Math"/>
                    <w:lang w:eastAsia="ja-JP"/>
                  </w:rPr>
                  <m:t xml:space="preserve">RRF= </m:t>
                </m:r>
                <m:f>
                  <m:fPr>
                    <m:ctrlPr>
                      <w:rPr>
                        <w:rFonts w:ascii="Cambria Math" w:eastAsia="ＭＳ 明朝" w:hAnsi="Cambria Math"/>
                        <w:i/>
                        <w:lang w:val="en-US" w:eastAsia="ja-JP"/>
                      </w:rPr>
                    </m:ctrlPr>
                  </m:fPr>
                  <m:num>
                    <m:r>
                      <w:rPr>
                        <w:rFonts w:ascii="Cambria Math" w:eastAsia="ＭＳ 明朝" w:hAnsi="Cambria Math"/>
                        <w:lang w:eastAsia="ja-JP"/>
                      </w:rPr>
                      <m:t>TL×</m:t>
                    </m:r>
                    <m:sSub>
                      <m:sSubPr>
                        <m:ctrlPr>
                          <w:rPr>
                            <w:rFonts w:ascii="Cambria Math" w:eastAsia="ＭＳ 明朝" w:hAnsi="Cambria Math"/>
                            <w:i/>
                            <w:lang w:val="en-US" w:eastAsia="ja-JP"/>
                          </w:rPr>
                        </m:ctrlPr>
                      </m:sSubPr>
                      <m:e>
                        <m:r>
                          <w:rPr>
                            <w:rFonts w:ascii="Cambria Math" w:eastAsia="ＭＳ 明朝" w:hAnsi="Cambria Math"/>
                            <w:lang w:eastAsia="ja-JP"/>
                          </w:rPr>
                          <m:t>PFD</m:t>
                        </m:r>
                      </m:e>
                      <m:sub>
                        <m:r>
                          <w:rPr>
                            <w:rFonts w:ascii="Cambria Math" w:eastAsia="ＭＳ 明朝" w:hAnsi="Cambria Math"/>
                            <w:lang w:eastAsia="ja-JP"/>
                          </w:rPr>
                          <m:t>PS1</m:t>
                        </m:r>
                      </m:sub>
                    </m:sSub>
                    <m:r>
                      <w:rPr>
                        <w:rFonts w:ascii="Cambria Math" w:eastAsia="ＭＳ 明朝" w:hAnsi="Cambria Math"/>
                        <w:lang w:eastAsia="ja-JP"/>
                      </w:rPr>
                      <m:t>×</m:t>
                    </m:r>
                    <m:sSub>
                      <m:sSubPr>
                        <m:ctrlPr>
                          <w:rPr>
                            <w:rFonts w:ascii="Cambria Math" w:eastAsia="ＭＳ 明朝" w:hAnsi="Cambria Math"/>
                            <w:i/>
                            <w:lang w:val="en-US" w:eastAsia="ja-JP"/>
                          </w:rPr>
                        </m:ctrlPr>
                      </m:sSubPr>
                      <m:e>
                        <m:r>
                          <w:rPr>
                            <w:rFonts w:ascii="Cambria Math" w:eastAsia="ＭＳ 明朝" w:hAnsi="Cambria Math"/>
                            <w:lang w:eastAsia="ja-JP"/>
                          </w:rPr>
                          <m:t>PFD</m:t>
                        </m:r>
                      </m:e>
                      <m:sub>
                        <m:r>
                          <w:rPr>
                            <w:rFonts w:ascii="Cambria Math" w:eastAsia="ＭＳ 明朝" w:hAnsi="Cambria Math"/>
                            <w:lang w:eastAsia="ja-JP"/>
                          </w:rPr>
                          <m:t>PS2</m:t>
                        </m:r>
                      </m:sub>
                    </m:sSub>
                    <m:r>
                      <w:rPr>
                        <w:rFonts w:ascii="Cambria Math" w:eastAsia="ＭＳ 明朝" w:hAnsi="Cambria Math"/>
                        <w:lang w:eastAsia="ja-JP"/>
                      </w:rPr>
                      <m:t>×⋯×</m:t>
                    </m:r>
                    <m:sSub>
                      <m:sSubPr>
                        <m:ctrlPr>
                          <w:rPr>
                            <w:rFonts w:ascii="Cambria Math" w:eastAsia="ＭＳ 明朝" w:hAnsi="Cambria Math"/>
                            <w:i/>
                            <w:lang w:val="en-US" w:eastAsia="ja-JP"/>
                          </w:rPr>
                        </m:ctrlPr>
                      </m:sSubPr>
                      <m:e>
                        <m:r>
                          <w:rPr>
                            <w:rFonts w:ascii="Cambria Math" w:eastAsia="ＭＳ 明朝" w:hAnsi="Cambria Math"/>
                            <w:lang w:eastAsia="ja-JP"/>
                          </w:rPr>
                          <m:t>PFD</m:t>
                        </m:r>
                      </m:e>
                      <m:sub>
                        <m:r>
                          <w:rPr>
                            <w:rFonts w:ascii="Cambria Math" w:eastAsia="ＭＳ 明朝" w:hAnsi="Cambria Math"/>
                            <w:lang w:eastAsia="ja-JP"/>
                          </w:rPr>
                          <m:t>CS1</m:t>
                        </m:r>
                      </m:sub>
                    </m:sSub>
                    <m:r>
                      <w:rPr>
                        <w:rFonts w:ascii="Cambria Math" w:eastAsia="ＭＳ 明朝" w:hAnsi="Cambria Math"/>
                        <w:lang w:eastAsia="ja-JP"/>
                      </w:rPr>
                      <m:t>×</m:t>
                    </m:r>
                    <m:sSub>
                      <m:sSubPr>
                        <m:ctrlPr>
                          <w:rPr>
                            <w:rFonts w:ascii="Cambria Math" w:eastAsia="ＭＳ 明朝" w:hAnsi="Cambria Math"/>
                            <w:i/>
                            <w:lang w:val="en-US" w:eastAsia="ja-JP"/>
                          </w:rPr>
                        </m:ctrlPr>
                      </m:sSubPr>
                      <m:e>
                        <m:r>
                          <w:rPr>
                            <w:rFonts w:ascii="Cambria Math" w:eastAsia="ＭＳ 明朝" w:hAnsi="Cambria Math"/>
                            <w:lang w:eastAsia="ja-JP"/>
                          </w:rPr>
                          <m:t>PFD</m:t>
                        </m:r>
                      </m:e>
                      <m:sub>
                        <m:r>
                          <w:rPr>
                            <w:rFonts w:ascii="Cambria Math" w:eastAsia="ＭＳ 明朝" w:hAnsi="Cambria Math"/>
                            <w:lang w:eastAsia="ja-JP"/>
                          </w:rPr>
                          <m:t>CS2</m:t>
                        </m:r>
                      </m:sub>
                    </m:sSub>
                    <m:r>
                      <w:rPr>
                        <w:rFonts w:ascii="Cambria Math" w:eastAsia="ＭＳ 明朝" w:hAnsi="Cambria Math"/>
                        <w:lang w:eastAsia="ja-JP"/>
                      </w:rPr>
                      <m:t>×⋯×</m:t>
                    </m:r>
                    <m:sSub>
                      <m:sSubPr>
                        <m:ctrlPr>
                          <w:rPr>
                            <w:rFonts w:ascii="Cambria Math" w:eastAsia="ＭＳ 明朝" w:hAnsi="Cambria Math"/>
                            <w:i/>
                            <w:lang w:val="en-US" w:eastAsia="ja-JP"/>
                          </w:rPr>
                        </m:ctrlPr>
                      </m:sSubPr>
                      <m:e>
                        <m:r>
                          <w:rPr>
                            <w:rFonts w:ascii="Cambria Math" w:eastAsia="ＭＳ 明朝" w:hAnsi="Cambria Math"/>
                            <w:lang w:eastAsia="ja-JP"/>
                          </w:rPr>
                          <m:t>VF</m:t>
                        </m:r>
                      </m:e>
                      <m:sub>
                        <m:r>
                          <w:rPr>
                            <w:rFonts w:ascii="Cambria Math" w:eastAsia="ＭＳ 明朝" w:hAnsi="Cambria Math"/>
                            <w:lang w:eastAsia="ja-JP"/>
                          </w:rPr>
                          <m:t>i</m:t>
                        </m:r>
                      </m:sub>
                    </m:sSub>
                    <m:r>
                      <w:rPr>
                        <w:rFonts w:ascii="Cambria Math" w:eastAsia="ＭＳ 明朝" w:hAnsi="Cambria Math"/>
                        <w:lang w:eastAsia="ja-JP"/>
                      </w:rPr>
                      <m:t>×</m:t>
                    </m:r>
                    <m:sSub>
                      <m:sSubPr>
                        <m:ctrlPr>
                          <w:rPr>
                            <w:rFonts w:ascii="Cambria Math" w:eastAsia="ＭＳ 明朝" w:hAnsi="Cambria Math"/>
                            <w:i/>
                            <w:lang w:val="en-US" w:eastAsia="ja-JP"/>
                          </w:rPr>
                        </m:ctrlPr>
                      </m:sSubPr>
                      <m:e>
                        <m:r>
                          <w:rPr>
                            <w:rFonts w:ascii="Cambria Math" w:eastAsia="ＭＳ 明朝" w:hAnsi="Cambria Math"/>
                            <w:lang w:eastAsia="ja-JP"/>
                          </w:rPr>
                          <m:t>VF</m:t>
                        </m:r>
                      </m:e>
                      <m:sub>
                        <m:r>
                          <w:rPr>
                            <w:rFonts w:ascii="Cambria Math" w:eastAsia="ＭＳ 明朝" w:hAnsi="Cambria Math"/>
                            <w:lang w:eastAsia="ja-JP"/>
                          </w:rPr>
                          <m:t>p</m:t>
                        </m:r>
                      </m:sub>
                    </m:sSub>
                  </m:num>
                  <m:den>
                    <m:r>
                      <w:rPr>
                        <w:rFonts w:ascii="Cambria Math" w:eastAsia="ＭＳ 明朝" w:hAnsi="Cambria Math"/>
                        <w:lang w:eastAsia="ja-JP"/>
                      </w:rPr>
                      <m:t>TMEL</m:t>
                    </m:r>
                  </m:den>
                </m:f>
              </m:oMath>
            </m:oMathPara>
          </w:p>
        </w:tc>
        <w:tc>
          <w:tcPr>
            <w:tcW w:w="789" w:type="dxa"/>
            <w:shd w:val="clear" w:color="auto" w:fill="auto"/>
            <w:vAlign w:val="center"/>
          </w:tcPr>
          <w:p w14:paraId="692F9F0E" w14:textId="77777777" w:rsidR="006471FD" w:rsidRPr="00B57B36" w:rsidRDefault="006471FD" w:rsidP="005C7BDA">
            <w:pPr>
              <w:pStyle w:val="CETEquation"/>
              <w:jc w:val="right"/>
            </w:pPr>
            <w:r w:rsidRPr="00B57B36">
              <w:t>(1)</w:t>
            </w:r>
          </w:p>
        </w:tc>
      </w:tr>
    </w:tbl>
    <w:p w14:paraId="67BC03ED" w14:textId="77777777" w:rsidR="002309F6" w:rsidRPr="002309F6" w:rsidRDefault="002309F6" w:rsidP="002309F6">
      <w:pPr>
        <w:pStyle w:val="CETBodytext"/>
        <w:rPr>
          <w:rFonts w:eastAsia="ＭＳ 明朝"/>
          <w:lang w:eastAsia="ja-JP"/>
        </w:rPr>
      </w:pPr>
      <w:r w:rsidRPr="002309F6">
        <w:rPr>
          <w:rFonts w:eastAsia="ＭＳ 明朝"/>
          <w:lang w:eastAsia="ja-JP"/>
        </w:rPr>
        <w:lastRenderedPageBreak/>
        <w:t>Incident likelihood is calculated as the product of TL (Threat Likelihood), PFD (Probability of Failure on Demand) for both Process Safety (PS) and Cybersecurity (CS), and VF (Vulnerability Factors) related to ignition and personnel presence. The Risk Reduction Factor (RRF) is then derived by dividing the incident likelihood by the TMEL (Target Mitigated Event Likelihood). If the PFD for CS is not accounted for, the remaining RRF can be allocated as the SL (Security Level). Each user must determine their TMEL based on their specific risk matrix, with parameter references available in international guidelines (CCPS, 2001; CCPS, 2022).</w:t>
      </w:r>
    </w:p>
    <w:p w14:paraId="2399AA10" w14:textId="29EF8FA2" w:rsidR="00595AFB" w:rsidRPr="00E94F1E" w:rsidRDefault="002309F6" w:rsidP="002309F6">
      <w:pPr>
        <w:pStyle w:val="CETBodytext"/>
        <w:rPr>
          <w:rFonts w:eastAsia="ＭＳ 明朝"/>
          <w:lang w:eastAsia="ja-JP"/>
        </w:rPr>
      </w:pPr>
      <w:r w:rsidRPr="002309F6">
        <w:rPr>
          <w:rFonts w:eastAsia="ＭＳ 明朝"/>
          <w:lang w:eastAsia="ja-JP"/>
        </w:rPr>
        <w:t>The key distinctions between CS-LOPA and traditional PS-LOPA include the introduction of TL as the frequency of cyberattacks and the incorporation of PFDs for cybersecurity protection layers.</w:t>
      </w:r>
    </w:p>
    <w:p w14:paraId="5FD12F85" w14:textId="6947DCEC" w:rsidR="00783731" w:rsidRPr="002023F9" w:rsidRDefault="00ED4035" w:rsidP="00D8358D">
      <w:pPr>
        <w:pStyle w:val="CETHeading1"/>
        <w:tabs>
          <w:tab w:val="num" w:pos="360"/>
        </w:tabs>
        <w:rPr>
          <w:rFonts w:eastAsia="ＭＳ 明朝"/>
          <w:lang w:val="en-GB" w:eastAsia="ja-JP"/>
        </w:rPr>
      </w:pPr>
      <w:r w:rsidRPr="002023F9">
        <w:rPr>
          <w:rFonts w:eastAsia="ＭＳ 明朝"/>
          <w:lang w:val="en-GB" w:eastAsia="ja-JP"/>
        </w:rPr>
        <w:t>Results</w:t>
      </w:r>
    </w:p>
    <w:p w14:paraId="583385F6" w14:textId="3CC773F8" w:rsidR="00581619" w:rsidRPr="00581619" w:rsidRDefault="00581619" w:rsidP="00581619">
      <w:pPr>
        <w:pStyle w:val="CETBodytext"/>
        <w:rPr>
          <w:rFonts w:eastAsia="ＭＳ 明朝"/>
          <w:lang w:eastAsia="ja-JP"/>
        </w:rPr>
      </w:pPr>
      <w:r w:rsidRPr="00581619">
        <w:rPr>
          <w:rFonts w:eastAsia="ＭＳ 明朝"/>
          <w:lang w:eastAsia="ja-JP"/>
        </w:rPr>
        <w:t xml:space="preserve">The CS risk assessment process evaluates the worst-case scenarios, potential cyberattack pathways leading to these scenarios, and the protection layers required to mitigate CS risks. The output images from the case study are presented in Figure 5. The results indicate that safety equipment relying on mechanical devices, such as </w:t>
      </w:r>
      <w:r>
        <w:rPr>
          <w:rFonts w:eastAsia="ＭＳ 明朝" w:hint="eastAsia"/>
          <w:lang w:eastAsia="ja-JP"/>
        </w:rPr>
        <w:t xml:space="preserve">pressure </w:t>
      </w:r>
      <w:r w:rsidR="00CA5CD5">
        <w:rPr>
          <w:rFonts w:eastAsia="ＭＳ 明朝" w:hint="eastAsia"/>
          <w:lang w:eastAsia="ja-JP"/>
        </w:rPr>
        <w:t>relief</w:t>
      </w:r>
      <w:r w:rsidRPr="00581619">
        <w:rPr>
          <w:rFonts w:eastAsia="ＭＳ 明朝"/>
          <w:lang w:eastAsia="ja-JP"/>
        </w:rPr>
        <w:t xml:space="preserve"> valves and other inherently safer measures, is more effective in reducing cyberattack risks compared to functional safety devices. Conversely, when process safety equipment is safeguarded by computer-based systems such as DCS and SIS, the significance of the IT protection layer—such as IT access monitoring and regular scanning of DCS PLCs—becomes paramount.</w:t>
      </w:r>
    </w:p>
    <w:p w14:paraId="611834C1" w14:textId="77777777" w:rsidR="00581619" w:rsidRPr="00581619" w:rsidRDefault="00581619" w:rsidP="00581619">
      <w:pPr>
        <w:pStyle w:val="CETBodytext"/>
        <w:rPr>
          <w:rFonts w:eastAsia="ＭＳ 明朝"/>
          <w:lang w:eastAsia="ja-JP"/>
        </w:rPr>
      </w:pPr>
      <w:r w:rsidRPr="00581619">
        <w:rPr>
          <w:rFonts w:eastAsia="ＭＳ 明朝"/>
          <w:lang w:eastAsia="ja-JP"/>
        </w:rPr>
        <w:t>Given the increasing reliance on BPCS and SIS in modern plant safety design, functional requirements, including reliability and inspection frequency, must be explicitly defined and managed within operational control systems under PSM. Accordingly, a comprehensive SUC functional register should be established.</w:t>
      </w:r>
    </w:p>
    <w:p w14:paraId="1146D347" w14:textId="13E0FD3A" w:rsidR="00B227B2" w:rsidRDefault="00581619" w:rsidP="00581619">
      <w:pPr>
        <w:pStyle w:val="CETBodytext"/>
        <w:rPr>
          <w:rFonts w:eastAsia="ＭＳ 明朝"/>
          <w:lang w:eastAsia="ja-JP"/>
        </w:rPr>
      </w:pPr>
      <w:r w:rsidRPr="00581619">
        <w:rPr>
          <w:rFonts w:eastAsia="ＭＳ 明朝"/>
          <w:lang w:eastAsia="ja-JP"/>
        </w:rPr>
        <w:t>The allocated Risk Reduction Factor (RRF) for each Protection Layer (PL) and the associated functional requirements to ensure their effectiveness must be clearly documented in a register. For this case study, a simplified format of the SUC Functional Requirements Register (Table 4) was employed, balancing practicality with the complexities involved in preparing detailed registers.</w:t>
      </w:r>
    </w:p>
    <w:p w14:paraId="7BF682B1" w14:textId="433C4E52" w:rsidR="009C0CB9" w:rsidRDefault="009C0CB9" w:rsidP="009C0CB9">
      <w:pPr>
        <w:pStyle w:val="CETBodytext"/>
        <w:rPr>
          <w:rFonts w:eastAsia="ＭＳ 明朝"/>
          <w:lang w:eastAsia="ja-JP"/>
        </w:rPr>
      </w:pPr>
      <w:r w:rsidRPr="009C0CB9">
        <w:rPr>
          <w:rFonts w:eastAsia="ＭＳ 明朝"/>
          <w:noProof/>
        </w:rPr>
        <w:drawing>
          <wp:inline distT="0" distB="0" distL="0" distR="0" wp14:anchorId="7B958743" wp14:editId="11ACD7D8">
            <wp:extent cx="4644047" cy="2035834"/>
            <wp:effectExtent l="0" t="0" r="4445" b="2540"/>
            <wp:docPr id="124654890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0140" cy="2038505"/>
                    </a:xfrm>
                    <a:prstGeom prst="rect">
                      <a:avLst/>
                    </a:prstGeom>
                    <a:noFill/>
                    <a:ln>
                      <a:noFill/>
                    </a:ln>
                  </pic:spPr>
                </pic:pic>
              </a:graphicData>
            </a:graphic>
          </wp:inline>
        </w:drawing>
      </w:r>
    </w:p>
    <w:p w14:paraId="09D7FA13" w14:textId="77777777" w:rsidR="00D8358D" w:rsidRPr="004E7234" w:rsidRDefault="009C0CB9" w:rsidP="00D8358D">
      <w:pPr>
        <w:pStyle w:val="CETBodytext"/>
        <w:rPr>
          <w:rFonts w:eastAsia="ＭＳ 明朝"/>
          <w:lang w:eastAsia="ja-JP"/>
        </w:rPr>
      </w:pPr>
      <w:r w:rsidRPr="00BD077D">
        <w:rPr>
          <w:rStyle w:val="CETCaptionCarattere"/>
        </w:rPr>
        <w:t xml:space="preserve">Figure </w:t>
      </w:r>
      <w:r w:rsidR="00851ADD">
        <w:rPr>
          <w:rStyle w:val="CETCaptionCarattere"/>
          <w:rFonts w:eastAsia="ＭＳ 明朝" w:hint="eastAsia"/>
          <w:lang w:eastAsia="ja-JP"/>
        </w:rPr>
        <w:t>5</w:t>
      </w:r>
      <w:r w:rsidRPr="00BD077D">
        <w:rPr>
          <w:rStyle w:val="CETCaptionCarattere"/>
        </w:rPr>
        <w:t xml:space="preserve">: </w:t>
      </w:r>
      <w:r w:rsidR="00851ADD">
        <w:rPr>
          <w:rStyle w:val="CETCaptionCarattere"/>
          <w:rFonts w:eastAsia="ＭＳ 明朝" w:hint="eastAsia"/>
          <w:lang w:eastAsia="ja-JP"/>
        </w:rPr>
        <w:t>Output images from CS risk assessment in the Case Study</w:t>
      </w:r>
    </w:p>
    <w:p w14:paraId="3DA16353" w14:textId="77777777" w:rsidR="00D8358D" w:rsidRPr="004E7234" w:rsidRDefault="00D8358D" w:rsidP="00D8358D">
      <w:pPr>
        <w:pStyle w:val="CETTabletitle"/>
      </w:pPr>
      <w:r w:rsidRPr="004E7234">
        <w:t xml:space="preserve">Table </w:t>
      </w:r>
      <w:r w:rsidRPr="004E7234">
        <w:rPr>
          <w:rFonts w:eastAsia="ＭＳ 明朝" w:hint="eastAsia"/>
          <w:lang w:eastAsia="ja-JP"/>
        </w:rPr>
        <w:t>4</w:t>
      </w:r>
      <w:r w:rsidRPr="004E7234">
        <w:t xml:space="preserve">: </w:t>
      </w:r>
      <w:r w:rsidRPr="004E7234">
        <w:rPr>
          <w:rFonts w:eastAsia="ＭＳ 明朝" w:hint="eastAsia"/>
          <w:lang w:eastAsia="ja-JP"/>
        </w:rPr>
        <w:t>Example of SUC Functional Requirements Register</w:t>
      </w:r>
      <w:r w:rsidRPr="004E7234" w:rsidDel="008426DD">
        <w:t xml:space="preserve">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2835"/>
        <w:gridCol w:w="1559"/>
        <w:gridCol w:w="992"/>
        <w:gridCol w:w="2410"/>
      </w:tblGrid>
      <w:tr w:rsidR="00D8358D" w:rsidRPr="004E7234" w14:paraId="604EEA1D" w14:textId="77777777" w:rsidTr="009977D9">
        <w:tc>
          <w:tcPr>
            <w:tcW w:w="993" w:type="dxa"/>
            <w:tcBorders>
              <w:top w:val="single" w:sz="12" w:space="0" w:color="008000"/>
              <w:bottom w:val="single" w:sz="6" w:space="0" w:color="008000"/>
            </w:tcBorders>
            <w:shd w:val="clear" w:color="auto" w:fill="FFFFFF"/>
          </w:tcPr>
          <w:p w14:paraId="736C385F" w14:textId="77777777" w:rsidR="00D8358D" w:rsidRPr="004E7234" w:rsidRDefault="00D8358D" w:rsidP="00540C3B">
            <w:pPr>
              <w:pStyle w:val="CETBodytext"/>
              <w:rPr>
                <w:sz w:val="16"/>
                <w:szCs w:val="16"/>
                <w:lang w:val="en-GB"/>
              </w:rPr>
            </w:pPr>
            <w:r w:rsidRPr="004E7234">
              <w:rPr>
                <w:rFonts w:eastAsia="ＭＳ 明朝" w:hint="eastAsia"/>
                <w:sz w:val="16"/>
                <w:szCs w:val="16"/>
                <w:lang w:val="en-GB" w:eastAsia="ja-JP"/>
              </w:rPr>
              <w:t>SUC</w:t>
            </w:r>
          </w:p>
        </w:tc>
        <w:tc>
          <w:tcPr>
            <w:tcW w:w="2835" w:type="dxa"/>
            <w:tcBorders>
              <w:top w:val="single" w:sz="12" w:space="0" w:color="008000"/>
              <w:bottom w:val="single" w:sz="6" w:space="0" w:color="008000"/>
            </w:tcBorders>
            <w:shd w:val="clear" w:color="auto" w:fill="FFFFFF"/>
          </w:tcPr>
          <w:p w14:paraId="19BB90D2" w14:textId="77777777" w:rsidR="00D8358D" w:rsidRPr="004E7234" w:rsidRDefault="00D8358D" w:rsidP="00540C3B">
            <w:pPr>
              <w:pStyle w:val="CETBodytext"/>
              <w:rPr>
                <w:rFonts w:eastAsia="ＭＳ 明朝"/>
                <w:sz w:val="16"/>
                <w:szCs w:val="16"/>
                <w:lang w:val="en-GB" w:eastAsia="ja-JP"/>
              </w:rPr>
            </w:pPr>
            <w:r w:rsidRPr="004E7234">
              <w:rPr>
                <w:rFonts w:eastAsia="ＭＳ 明朝" w:hint="eastAsia"/>
                <w:sz w:val="16"/>
                <w:szCs w:val="16"/>
                <w:lang w:val="en-GB" w:eastAsia="ja-JP"/>
              </w:rPr>
              <w:t>Cyberattack scenarios</w:t>
            </w:r>
          </w:p>
        </w:tc>
        <w:tc>
          <w:tcPr>
            <w:tcW w:w="1559" w:type="dxa"/>
            <w:tcBorders>
              <w:top w:val="single" w:sz="12" w:space="0" w:color="008000"/>
              <w:bottom w:val="single" w:sz="6" w:space="0" w:color="008000"/>
            </w:tcBorders>
            <w:shd w:val="clear" w:color="auto" w:fill="FFFFFF"/>
          </w:tcPr>
          <w:p w14:paraId="4BAF88F4" w14:textId="77777777" w:rsidR="00D8358D" w:rsidRPr="004E7234" w:rsidRDefault="00D8358D" w:rsidP="00540C3B">
            <w:pPr>
              <w:pStyle w:val="CETBodytext"/>
              <w:rPr>
                <w:rFonts w:eastAsia="ＭＳ 明朝"/>
                <w:sz w:val="16"/>
                <w:szCs w:val="16"/>
                <w:lang w:val="en-GB" w:eastAsia="ja-JP"/>
              </w:rPr>
            </w:pPr>
            <w:r w:rsidRPr="004E7234">
              <w:rPr>
                <w:rFonts w:eastAsia="ＭＳ 明朝" w:hint="eastAsia"/>
                <w:sz w:val="16"/>
                <w:szCs w:val="16"/>
                <w:lang w:val="en-GB" w:eastAsia="ja-JP"/>
              </w:rPr>
              <w:t>Risk allocation</w:t>
            </w:r>
          </w:p>
        </w:tc>
        <w:tc>
          <w:tcPr>
            <w:tcW w:w="992" w:type="dxa"/>
            <w:tcBorders>
              <w:top w:val="single" w:sz="12" w:space="0" w:color="008000"/>
              <w:bottom w:val="single" w:sz="6" w:space="0" w:color="008000"/>
            </w:tcBorders>
            <w:shd w:val="clear" w:color="auto" w:fill="FFFFFF"/>
          </w:tcPr>
          <w:p w14:paraId="2825C91E" w14:textId="77777777" w:rsidR="00D8358D" w:rsidRPr="004E7234" w:rsidRDefault="00D8358D" w:rsidP="00540C3B">
            <w:pPr>
              <w:pStyle w:val="CETBodytext"/>
              <w:ind w:right="-1"/>
              <w:rPr>
                <w:rFonts w:eastAsia="ＭＳ 明朝" w:cs="Arial"/>
                <w:sz w:val="16"/>
                <w:szCs w:val="16"/>
                <w:lang w:val="en-GB" w:eastAsia="ja-JP"/>
              </w:rPr>
            </w:pPr>
            <w:r w:rsidRPr="004E7234">
              <w:rPr>
                <w:rFonts w:eastAsia="ＭＳ 明朝" w:cs="Arial" w:hint="eastAsia"/>
                <w:sz w:val="16"/>
                <w:szCs w:val="16"/>
                <w:lang w:val="en-GB" w:eastAsia="ja-JP"/>
              </w:rPr>
              <w:t>Residual RRF</w:t>
            </w:r>
          </w:p>
        </w:tc>
        <w:tc>
          <w:tcPr>
            <w:tcW w:w="2410" w:type="dxa"/>
            <w:tcBorders>
              <w:top w:val="single" w:sz="12" w:space="0" w:color="008000"/>
              <w:bottom w:val="single" w:sz="6" w:space="0" w:color="008000"/>
            </w:tcBorders>
            <w:shd w:val="clear" w:color="auto" w:fill="FFFFFF"/>
          </w:tcPr>
          <w:p w14:paraId="4CA13A85" w14:textId="77777777" w:rsidR="00D8358D" w:rsidRPr="004E7234" w:rsidRDefault="00D8358D" w:rsidP="00540C3B">
            <w:pPr>
              <w:pStyle w:val="CETBodytext"/>
              <w:ind w:right="-1"/>
              <w:rPr>
                <w:rFonts w:eastAsia="ＭＳ 明朝" w:cs="Arial"/>
                <w:sz w:val="16"/>
                <w:szCs w:val="16"/>
                <w:lang w:val="en-GB" w:eastAsia="ja-JP"/>
              </w:rPr>
            </w:pPr>
            <w:r w:rsidRPr="004E7234">
              <w:rPr>
                <w:rFonts w:eastAsia="ＭＳ 明朝" w:cs="Arial" w:hint="eastAsia"/>
                <w:sz w:val="16"/>
                <w:szCs w:val="16"/>
                <w:lang w:val="en-GB" w:eastAsia="ja-JP"/>
              </w:rPr>
              <w:t>Functional Requirements</w:t>
            </w:r>
          </w:p>
        </w:tc>
      </w:tr>
      <w:tr w:rsidR="00D8358D" w:rsidRPr="00B57B36" w14:paraId="75146B30" w14:textId="77777777" w:rsidTr="009977D9">
        <w:tc>
          <w:tcPr>
            <w:tcW w:w="993" w:type="dxa"/>
            <w:shd w:val="clear" w:color="auto" w:fill="FFFFFF"/>
          </w:tcPr>
          <w:p w14:paraId="4E7846A8" w14:textId="77777777" w:rsidR="00D8358D" w:rsidRPr="004E7234" w:rsidRDefault="00D8358D" w:rsidP="00540C3B">
            <w:pPr>
              <w:pStyle w:val="CETBodytext"/>
              <w:jc w:val="left"/>
              <w:rPr>
                <w:rFonts w:eastAsia="ＭＳ 明朝"/>
                <w:sz w:val="16"/>
                <w:szCs w:val="16"/>
                <w:lang w:val="en-GB" w:eastAsia="ja-JP"/>
              </w:rPr>
            </w:pPr>
            <w:r w:rsidRPr="004E7234">
              <w:rPr>
                <w:rFonts w:eastAsia="ＭＳ 明朝" w:hint="eastAsia"/>
                <w:sz w:val="16"/>
                <w:szCs w:val="16"/>
                <w:lang w:val="en-GB" w:eastAsia="ja-JP"/>
              </w:rPr>
              <w:t xml:space="preserve">1.Advanced </w:t>
            </w:r>
            <w:r w:rsidRPr="004E7234">
              <w:rPr>
                <w:sz w:val="16"/>
                <w:szCs w:val="16"/>
                <w:lang w:val="en-GB"/>
              </w:rPr>
              <w:t>systems for operation optimization (e.g., AI)</w:t>
            </w:r>
          </w:p>
        </w:tc>
        <w:tc>
          <w:tcPr>
            <w:tcW w:w="2835" w:type="dxa"/>
            <w:shd w:val="clear" w:color="auto" w:fill="FFFFFF"/>
          </w:tcPr>
          <w:p w14:paraId="773B78FD" w14:textId="77777777" w:rsidR="00D8358D" w:rsidRPr="004E7234" w:rsidRDefault="00D8358D" w:rsidP="00540C3B">
            <w:pPr>
              <w:pStyle w:val="CETBodytext"/>
              <w:jc w:val="left"/>
              <w:rPr>
                <w:rFonts w:eastAsia="ＭＳ 明朝"/>
                <w:sz w:val="16"/>
                <w:szCs w:val="16"/>
                <w:lang w:val="en-GB" w:eastAsia="ja-JP"/>
              </w:rPr>
            </w:pPr>
            <w:r w:rsidRPr="004E7234">
              <w:rPr>
                <w:rFonts w:eastAsia="ＭＳ 明朝" w:hint="eastAsia"/>
                <w:sz w:val="16"/>
                <w:szCs w:val="16"/>
                <w:lang w:val="en-GB" w:eastAsia="ja-JP"/>
              </w:rPr>
              <w:t>Location: Outside of plant security zone</w:t>
            </w:r>
          </w:p>
          <w:p w14:paraId="174DB307" w14:textId="77777777" w:rsidR="00D8358D" w:rsidRPr="004E7234" w:rsidRDefault="00D8358D" w:rsidP="00540C3B">
            <w:pPr>
              <w:pStyle w:val="CETBodytext"/>
              <w:jc w:val="left"/>
              <w:rPr>
                <w:rFonts w:eastAsia="ＭＳ 明朝"/>
                <w:sz w:val="16"/>
                <w:szCs w:val="16"/>
                <w:lang w:val="en-GB" w:eastAsia="ja-JP"/>
              </w:rPr>
            </w:pPr>
            <w:r w:rsidRPr="004E7234">
              <w:rPr>
                <w:rFonts w:eastAsia="ＭＳ 明朝" w:hint="eastAsia"/>
                <w:sz w:val="16"/>
                <w:szCs w:val="16"/>
                <w:lang w:val="en-GB" w:eastAsia="ja-JP"/>
              </w:rPr>
              <w:t xml:space="preserve">Threat: </w:t>
            </w:r>
            <w:r w:rsidRPr="004E7234">
              <w:rPr>
                <w:rFonts w:eastAsia="ＭＳ 明朝"/>
                <w:sz w:val="16"/>
                <w:szCs w:val="16"/>
                <w:lang w:val="en-GB" w:eastAsia="ja-JP"/>
              </w:rPr>
              <w:t>Phishing by advanced hackers to leak administrator rights to an external PC for driver assistance and model prediction. Entrapment of the ability to rewrite to BPCS from the system.</w:t>
            </w:r>
          </w:p>
          <w:p w14:paraId="321920F1" w14:textId="77777777" w:rsidR="00D8358D" w:rsidRPr="004E7234" w:rsidRDefault="00D8358D" w:rsidP="00540C3B">
            <w:pPr>
              <w:pStyle w:val="CETBodytext"/>
              <w:jc w:val="left"/>
              <w:rPr>
                <w:rFonts w:eastAsia="ＭＳ 明朝"/>
                <w:sz w:val="16"/>
                <w:szCs w:val="16"/>
                <w:lang w:val="en-GB" w:eastAsia="ja-JP"/>
              </w:rPr>
            </w:pPr>
            <w:r w:rsidRPr="004E7234">
              <w:rPr>
                <w:rFonts w:eastAsia="ＭＳ 明朝" w:hint="eastAsia"/>
                <w:sz w:val="16"/>
                <w:szCs w:val="16"/>
                <w:lang w:val="en-GB" w:eastAsia="ja-JP"/>
              </w:rPr>
              <w:t xml:space="preserve">Consequence:  </w:t>
            </w:r>
            <w:r w:rsidRPr="004E7234">
              <w:rPr>
                <w:rFonts w:eastAsia="ＭＳ 明朝"/>
                <w:sz w:val="16"/>
                <w:szCs w:val="16"/>
                <w:lang w:val="en-GB" w:eastAsia="ja-JP"/>
              </w:rPr>
              <w:t>Tampering with the BPCS control value to cause a CS-PHA scenario.</w:t>
            </w:r>
          </w:p>
          <w:p w14:paraId="09119B84" w14:textId="77777777" w:rsidR="00D8358D" w:rsidRPr="004E7234" w:rsidRDefault="00D8358D" w:rsidP="00540C3B">
            <w:pPr>
              <w:pStyle w:val="CETBodytext"/>
              <w:jc w:val="left"/>
              <w:rPr>
                <w:rFonts w:eastAsia="ＭＳ 明朝"/>
                <w:sz w:val="16"/>
                <w:szCs w:val="16"/>
                <w:lang w:val="en-GB" w:eastAsia="ja-JP"/>
              </w:rPr>
            </w:pPr>
            <w:r w:rsidRPr="004E7234">
              <w:rPr>
                <w:rFonts w:eastAsia="ＭＳ 明朝"/>
                <w:sz w:val="16"/>
                <w:szCs w:val="16"/>
                <w:lang w:val="en-GB" w:eastAsia="ja-JP"/>
              </w:rPr>
              <w:t>Exceeding the normal operating range of the process, and in the worst</w:t>
            </w:r>
            <w:r w:rsidRPr="004E7234">
              <w:rPr>
                <w:rFonts w:eastAsia="ＭＳ 明朝" w:hint="eastAsia"/>
                <w:sz w:val="16"/>
                <w:szCs w:val="16"/>
                <w:lang w:val="en-GB" w:eastAsia="ja-JP"/>
              </w:rPr>
              <w:t>-</w:t>
            </w:r>
            <w:r w:rsidRPr="004E7234">
              <w:rPr>
                <w:rFonts w:eastAsia="ＭＳ 明朝"/>
                <w:sz w:val="16"/>
                <w:szCs w:val="16"/>
                <w:lang w:val="en-GB" w:eastAsia="ja-JP"/>
              </w:rPr>
              <w:t>case scenario, exceeding the safe operating range, resulting in leakage, ignition, fire, and possible explosion.</w:t>
            </w:r>
          </w:p>
        </w:tc>
        <w:tc>
          <w:tcPr>
            <w:tcW w:w="1559" w:type="dxa"/>
            <w:shd w:val="clear" w:color="auto" w:fill="FFFFFF"/>
          </w:tcPr>
          <w:p w14:paraId="0387C1E4" w14:textId="77777777" w:rsidR="00D8358D" w:rsidRPr="004E7234" w:rsidRDefault="00D8358D" w:rsidP="00540C3B">
            <w:pPr>
              <w:pStyle w:val="CETBodytext"/>
              <w:jc w:val="left"/>
              <w:rPr>
                <w:rFonts w:eastAsia="ＭＳ 明朝"/>
                <w:sz w:val="16"/>
                <w:szCs w:val="16"/>
                <w:lang w:val="en-GB" w:eastAsia="ja-JP"/>
              </w:rPr>
            </w:pPr>
            <w:r w:rsidRPr="004E7234">
              <w:rPr>
                <w:rFonts w:eastAsia="ＭＳ 明朝" w:hint="eastAsia"/>
                <w:sz w:val="16"/>
                <w:szCs w:val="16"/>
                <w:lang w:val="en-GB" w:eastAsia="ja-JP"/>
              </w:rPr>
              <w:t>PS-PLs</w:t>
            </w:r>
          </w:p>
          <w:p w14:paraId="0A25FE61" w14:textId="77777777" w:rsidR="00D8358D" w:rsidRPr="004E7234" w:rsidRDefault="00D8358D" w:rsidP="00540C3B">
            <w:pPr>
              <w:pStyle w:val="CETBodytext"/>
              <w:numPr>
                <w:ilvl w:val="0"/>
                <w:numId w:val="25"/>
              </w:numPr>
              <w:ind w:left="138" w:hanging="138"/>
              <w:jc w:val="left"/>
              <w:rPr>
                <w:rFonts w:eastAsia="ＭＳ 明朝"/>
                <w:sz w:val="16"/>
                <w:szCs w:val="16"/>
                <w:lang w:val="en-GB" w:eastAsia="ja-JP"/>
              </w:rPr>
            </w:pPr>
            <w:r w:rsidRPr="004E7234">
              <w:rPr>
                <w:rFonts w:eastAsia="ＭＳ 明朝" w:hint="eastAsia"/>
                <w:sz w:val="16"/>
                <w:szCs w:val="16"/>
                <w:lang w:val="en-GB" w:eastAsia="ja-JP"/>
              </w:rPr>
              <w:t>PSV: 0.01</w:t>
            </w:r>
          </w:p>
          <w:p w14:paraId="6E9C8BB4" w14:textId="77777777" w:rsidR="00D8358D" w:rsidRPr="004E7234" w:rsidRDefault="00D8358D" w:rsidP="00540C3B">
            <w:pPr>
              <w:pStyle w:val="CETBodytext"/>
              <w:numPr>
                <w:ilvl w:val="0"/>
                <w:numId w:val="25"/>
              </w:numPr>
              <w:ind w:left="138" w:hanging="138"/>
              <w:jc w:val="left"/>
              <w:rPr>
                <w:rFonts w:eastAsia="ＭＳ 明朝"/>
                <w:sz w:val="16"/>
                <w:szCs w:val="16"/>
                <w:lang w:val="en-GB" w:eastAsia="ja-JP"/>
              </w:rPr>
            </w:pPr>
            <w:r w:rsidRPr="004E7234">
              <w:rPr>
                <w:rFonts w:eastAsia="ＭＳ 明朝" w:hint="eastAsia"/>
                <w:sz w:val="16"/>
                <w:szCs w:val="16"/>
                <w:lang w:val="en-GB" w:eastAsia="ja-JP"/>
              </w:rPr>
              <w:t>SIS: 0.1</w:t>
            </w:r>
          </w:p>
          <w:p w14:paraId="06A868A3" w14:textId="77777777" w:rsidR="00D8358D" w:rsidRPr="004E7234" w:rsidRDefault="00D8358D" w:rsidP="00540C3B">
            <w:pPr>
              <w:pStyle w:val="CETBodytext"/>
              <w:numPr>
                <w:ilvl w:val="0"/>
                <w:numId w:val="25"/>
              </w:numPr>
              <w:ind w:left="138" w:hanging="138"/>
              <w:jc w:val="left"/>
              <w:rPr>
                <w:rFonts w:eastAsia="ＭＳ 明朝"/>
                <w:sz w:val="16"/>
                <w:szCs w:val="16"/>
                <w:lang w:val="en-GB" w:eastAsia="ja-JP"/>
              </w:rPr>
            </w:pPr>
            <w:r w:rsidRPr="004E7234">
              <w:rPr>
                <w:rFonts w:eastAsia="ＭＳ 明朝" w:hint="eastAsia"/>
                <w:sz w:val="16"/>
                <w:szCs w:val="16"/>
                <w:lang w:val="en-GB" w:eastAsia="ja-JP"/>
              </w:rPr>
              <w:t>Access Control: -</w:t>
            </w:r>
          </w:p>
          <w:p w14:paraId="21FB1940" w14:textId="77777777" w:rsidR="00D8358D" w:rsidRPr="004E7234" w:rsidRDefault="00D8358D" w:rsidP="00540C3B">
            <w:pPr>
              <w:pStyle w:val="CETBodytext"/>
              <w:jc w:val="left"/>
              <w:rPr>
                <w:rFonts w:eastAsia="ＭＳ 明朝"/>
                <w:sz w:val="16"/>
                <w:szCs w:val="16"/>
                <w:lang w:val="en-GB" w:eastAsia="ja-JP"/>
              </w:rPr>
            </w:pPr>
            <w:r w:rsidRPr="004E7234">
              <w:rPr>
                <w:rFonts w:eastAsia="ＭＳ 明朝" w:hint="eastAsia"/>
                <w:sz w:val="16"/>
                <w:szCs w:val="16"/>
                <w:lang w:val="en-GB" w:eastAsia="ja-JP"/>
              </w:rPr>
              <w:t>CS-PLs</w:t>
            </w:r>
          </w:p>
          <w:p w14:paraId="39046F29" w14:textId="77777777" w:rsidR="00D8358D" w:rsidRPr="004E7234" w:rsidRDefault="00D8358D" w:rsidP="00540C3B">
            <w:pPr>
              <w:pStyle w:val="CETBodytext"/>
              <w:numPr>
                <w:ilvl w:val="0"/>
                <w:numId w:val="26"/>
              </w:numPr>
              <w:ind w:left="138" w:hanging="138"/>
              <w:jc w:val="left"/>
              <w:rPr>
                <w:rFonts w:eastAsia="ＭＳ 明朝"/>
                <w:sz w:val="16"/>
                <w:szCs w:val="16"/>
                <w:lang w:val="en-GB" w:eastAsia="ja-JP"/>
              </w:rPr>
            </w:pPr>
            <w:r w:rsidRPr="004E7234">
              <w:rPr>
                <w:rFonts w:eastAsia="ＭＳ 明朝"/>
                <w:sz w:val="16"/>
                <w:szCs w:val="16"/>
                <w:lang w:val="en-GB" w:eastAsia="ja-JP"/>
              </w:rPr>
              <w:t>Unauthorized access prevention measures x Unauthorized tampering prevention measures</w:t>
            </w:r>
            <w:r w:rsidRPr="004E7234">
              <w:rPr>
                <w:rFonts w:eastAsia="ＭＳ 明朝" w:hint="eastAsia"/>
                <w:sz w:val="16"/>
                <w:szCs w:val="16"/>
                <w:lang w:val="en-GB" w:eastAsia="ja-JP"/>
              </w:rPr>
              <w:t>:</w:t>
            </w:r>
            <w:r w:rsidRPr="004E7234">
              <w:rPr>
                <w:rFonts w:eastAsia="ＭＳ 明朝" w:hint="eastAsia"/>
                <w:b/>
                <w:bCs/>
                <w:i/>
                <w:iCs/>
                <w:sz w:val="16"/>
                <w:szCs w:val="16"/>
                <w:u w:val="single"/>
                <w:lang w:val="en-GB" w:eastAsia="ja-JP"/>
              </w:rPr>
              <w:t xml:space="preserve"> 0.01</w:t>
            </w:r>
          </w:p>
          <w:p w14:paraId="7A295999" w14:textId="77777777" w:rsidR="00D8358D" w:rsidRPr="004E7234" w:rsidRDefault="00D8358D" w:rsidP="00540C3B">
            <w:pPr>
              <w:pStyle w:val="CETBodytext"/>
              <w:numPr>
                <w:ilvl w:val="0"/>
                <w:numId w:val="26"/>
              </w:numPr>
              <w:ind w:left="138" w:hanging="138"/>
              <w:jc w:val="left"/>
              <w:rPr>
                <w:rFonts w:eastAsia="ＭＳ 明朝"/>
                <w:sz w:val="16"/>
                <w:szCs w:val="16"/>
                <w:lang w:val="en-GB" w:eastAsia="ja-JP"/>
              </w:rPr>
            </w:pPr>
            <w:r w:rsidRPr="004E7234">
              <w:rPr>
                <w:rFonts w:eastAsia="ＭＳ 明朝"/>
                <w:sz w:val="16"/>
                <w:szCs w:val="16"/>
                <w:lang w:val="en-GB" w:eastAsia="ja-JP"/>
              </w:rPr>
              <w:t>IT access management and periodic PLC inspections</w:t>
            </w:r>
            <w:r w:rsidRPr="004E7234">
              <w:rPr>
                <w:rFonts w:eastAsia="ＭＳ 明朝" w:hint="eastAsia"/>
                <w:sz w:val="16"/>
                <w:szCs w:val="16"/>
                <w:lang w:val="en-GB" w:eastAsia="ja-JP"/>
              </w:rPr>
              <w:t xml:space="preserve">: </w:t>
            </w:r>
            <w:r w:rsidRPr="004E7234">
              <w:rPr>
                <w:rFonts w:eastAsia="ＭＳ 明朝" w:hint="eastAsia"/>
                <w:b/>
                <w:bCs/>
                <w:i/>
                <w:iCs/>
                <w:sz w:val="16"/>
                <w:szCs w:val="16"/>
                <w:u w:val="single"/>
                <w:lang w:val="en-GB" w:eastAsia="ja-JP"/>
              </w:rPr>
              <w:t>0.2</w:t>
            </w:r>
          </w:p>
        </w:tc>
        <w:tc>
          <w:tcPr>
            <w:tcW w:w="992" w:type="dxa"/>
            <w:shd w:val="clear" w:color="auto" w:fill="FFFFFF"/>
          </w:tcPr>
          <w:p w14:paraId="1F5F3D64" w14:textId="77777777" w:rsidR="00D8358D" w:rsidRPr="004E7234" w:rsidRDefault="00D8358D" w:rsidP="00540C3B">
            <w:pPr>
              <w:pStyle w:val="CETBodytext"/>
              <w:ind w:right="-1"/>
              <w:jc w:val="left"/>
              <w:rPr>
                <w:rFonts w:eastAsia="ＭＳ 明朝" w:cs="Arial"/>
                <w:sz w:val="16"/>
                <w:szCs w:val="16"/>
                <w:lang w:val="en-GB" w:eastAsia="ja-JP"/>
              </w:rPr>
            </w:pPr>
            <w:r w:rsidRPr="004E7234">
              <w:rPr>
                <w:rFonts w:eastAsia="ＭＳ 明朝" w:cs="Arial" w:hint="eastAsia"/>
                <w:sz w:val="16"/>
                <w:szCs w:val="16"/>
                <w:lang w:val="en-GB" w:eastAsia="ja-JP"/>
              </w:rPr>
              <w:t>0.2</w:t>
            </w:r>
          </w:p>
        </w:tc>
        <w:tc>
          <w:tcPr>
            <w:tcW w:w="2410" w:type="dxa"/>
            <w:shd w:val="clear" w:color="auto" w:fill="FFFFFF"/>
          </w:tcPr>
          <w:p w14:paraId="23C2F414" w14:textId="77777777" w:rsidR="00D8358D" w:rsidRPr="004E7234" w:rsidRDefault="00D8358D" w:rsidP="00540C3B">
            <w:pPr>
              <w:pStyle w:val="CETBodytext"/>
              <w:numPr>
                <w:ilvl w:val="0"/>
                <w:numId w:val="24"/>
              </w:numPr>
              <w:ind w:left="139" w:right="-1" w:hanging="139"/>
              <w:jc w:val="left"/>
              <w:rPr>
                <w:rFonts w:cs="Arial"/>
                <w:sz w:val="16"/>
                <w:szCs w:val="16"/>
                <w:lang w:val="en-GB"/>
              </w:rPr>
            </w:pPr>
            <w:r w:rsidRPr="004E7234">
              <w:rPr>
                <w:rFonts w:cs="Arial"/>
                <w:sz w:val="16"/>
                <w:szCs w:val="16"/>
                <w:lang w:val="en-GB"/>
              </w:rPr>
              <w:t>Management of the PS system independent protection layer shall follow the management requirements in the PSM.</w:t>
            </w:r>
          </w:p>
          <w:p w14:paraId="091A7970" w14:textId="77777777" w:rsidR="00D8358D" w:rsidRPr="004E7234" w:rsidRDefault="00D8358D" w:rsidP="00540C3B">
            <w:pPr>
              <w:pStyle w:val="CETBodytext"/>
              <w:numPr>
                <w:ilvl w:val="0"/>
                <w:numId w:val="24"/>
              </w:numPr>
              <w:ind w:left="139" w:right="-1" w:hanging="139"/>
              <w:jc w:val="left"/>
              <w:rPr>
                <w:rFonts w:cs="Arial"/>
                <w:sz w:val="16"/>
                <w:szCs w:val="16"/>
                <w:lang w:val="en-GB"/>
              </w:rPr>
            </w:pPr>
            <w:r w:rsidRPr="004E7234">
              <w:rPr>
                <w:rFonts w:cs="Arial"/>
                <w:sz w:val="16"/>
                <w:szCs w:val="16"/>
                <w:lang w:val="en-GB"/>
              </w:rPr>
              <w:t>Unauthorized access and tampering prevention measures should be updated regularly (</w:t>
            </w:r>
            <w:proofErr w:type="gramStart"/>
            <w:r w:rsidRPr="004E7234">
              <w:rPr>
                <w:rFonts w:cs="Arial"/>
                <w:sz w:val="16"/>
                <w:szCs w:val="16"/>
                <w:lang w:val="en-GB"/>
              </w:rPr>
              <w:t>white list</w:t>
            </w:r>
            <w:proofErr w:type="gramEnd"/>
            <w:r w:rsidRPr="004E7234">
              <w:rPr>
                <w:rFonts w:cs="Arial"/>
                <w:sz w:val="16"/>
                <w:szCs w:val="16"/>
                <w:lang w:val="en-GB"/>
              </w:rPr>
              <w:t>).</w:t>
            </w:r>
          </w:p>
          <w:p w14:paraId="57B16CD1" w14:textId="77777777" w:rsidR="00D8358D" w:rsidRPr="004E7234" w:rsidRDefault="00D8358D" w:rsidP="00540C3B">
            <w:pPr>
              <w:pStyle w:val="CETBodytext"/>
              <w:numPr>
                <w:ilvl w:val="0"/>
                <w:numId w:val="24"/>
              </w:numPr>
              <w:ind w:left="139" w:right="-1" w:hanging="139"/>
              <w:jc w:val="left"/>
              <w:rPr>
                <w:rFonts w:cs="Arial"/>
                <w:sz w:val="16"/>
                <w:szCs w:val="16"/>
                <w:lang w:val="en-GB"/>
              </w:rPr>
            </w:pPr>
            <w:r w:rsidRPr="004E7234">
              <w:rPr>
                <w:rFonts w:cs="Arial"/>
                <w:sz w:val="16"/>
                <w:szCs w:val="16"/>
                <w:lang w:val="en-GB"/>
              </w:rPr>
              <w:t xml:space="preserve">Monitoring of IT access for unauthorized logins should be performed at all times, and the method of coordination with the </w:t>
            </w:r>
            <w:r w:rsidRPr="004E7234">
              <w:rPr>
                <w:rFonts w:eastAsia="ＭＳ 明朝" w:cs="Arial" w:hint="eastAsia"/>
                <w:sz w:val="16"/>
                <w:szCs w:val="16"/>
                <w:lang w:val="en-GB" w:eastAsia="ja-JP"/>
              </w:rPr>
              <w:t>PSM</w:t>
            </w:r>
            <w:r w:rsidRPr="004E7234">
              <w:rPr>
                <w:rFonts w:cs="Arial"/>
                <w:sz w:val="16"/>
                <w:szCs w:val="16"/>
                <w:lang w:val="en-GB"/>
              </w:rPr>
              <w:t xml:space="preserve"> sh</w:t>
            </w:r>
            <w:r w:rsidRPr="004E7234">
              <w:rPr>
                <w:rFonts w:eastAsia="ＭＳ 明朝" w:cs="Arial" w:hint="eastAsia"/>
                <w:sz w:val="16"/>
                <w:szCs w:val="16"/>
                <w:lang w:val="en-GB" w:eastAsia="ja-JP"/>
              </w:rPr>
              <w:t>all</w:t>
            </w:r>
            <w:r w:rsidRPr="004E7234">
              <w:rPr>
                <w:rFonts w:cs="Arial"/>
                <w:sz w:val="16"/>
                <w:szCs w:val="16"/>
                <w:lang w:val="en-GB"/>
              </w:rPr>
              <w:t xml:space="preserve"> be clearly defined.</w:t>
            </w:r>
          </w:p>
          <w:p w14:paraId="4CA8716E" w14:textId="77777777" w:rsidR="00D8358D" w:rsidRPr="004E7234" w:rsidRDefault="00D8358D" w:rsidP="00540C3B">
            <w:pPr>
              <w:pStyle w:val="CETBodytext"/>
              <w:numPr>
                <w:ilvl w:val="0"/>
                <w:numId w:val="24"/>
              </w:numPr>
              <w:ind w:left="139" w:right="-1" w:hanging="139"/>
              <w:jc w:val="left"/>
              <w:rPr>
                <w:rFonts w:cs="Arial"/>
                <w:sz w:val="16"/>
                <w:szCs w:val="16"/>
                <w:lang w:val="en-GB"/>
              </w:rPr>
            </w:pPr>
            <w:r w:rsidRPr="004E7234">
              <w:rPr>
                <w:rFonts w:cs="Arial"/>
                <w:sz w:val="16"/>
                <w:szCs w:val="16"/>
                <w:lang w:val="en-GB"/>
              </w:rPr>
              <w:t>PLC inspections shall be performed at least once a month.</w:t>
            </w:r>
          </w:p>
        </w:tc>
      </w:tr>
      <w:tr w:rsidR="00D8358D" w:rsidRPr="00B57B36" w14:paraId="41EDFE4D" w14:textId="77777777" w:rsidTr="009977D9">
        <w:tc>
          <w:tcPr>
            <w:tcW w:w="993" w:type="dxa"/>
            <w:shd w:val="clear" w:color="auto" w:fill="FFFFFF"/>
          </w:tcPr>
          <w:p w14:paraId="2B6115A9" w14:textId="77777777" w:rsidR="00D8358D" w:rsidRPr="004E7234" w:rsidRDefault="00D8358D" w:rsidP="00540C3B">
            <w:pPr>
              <w:pStyle w:val="CETBodytext"/>
              <w:ind w:right="-1"/>
              <w:rPr>
                <w:rFonts w:eastAsia="ＭＳ 明朝" w:cs="Arial"/>
                <w:sz w:val="16"/>
                <w:szCs w:val="16"/>
                <w:lang w:val="en-GB" w:eastAsia="ja-JP"/>
              </w:rPr>
            </w:pPr>
            <w:r>
              <w:rPr>
                <w:rFonts w:eastAsia="ＭＳ 明朝" w:cs="Arial" w:hint="eastAsia"/>
                <w:sz w:val="16"/>
                <w:szCs w:val="16"/>
                <w:lang w:val="en-GB" w:eastAsia="ja-JP"/>
              </w:rPr>
              <w:t>…</w:t>
            </w:r>
          </w:p>
        </w:tc>
        <w:tc>
          <w:tcPr>
            <w:tcW w:w="2835" w:type="dxa"/>
            <w:shd w:val="clear" w:color="auto" w:fill="FFFFFF"/>
          </w:tcPr>
          <w:p w14:paraId="4688CCBC" w14:textId="77777777" w:rsidR="00D8358D" w:rsidRPr="00461FAF" w:rsidRDefault="00D8358D" w:rsidP="00540C3B">
            <w:pPr>
              <w:pStyle w:val="CETBodytext"/>
              <w:ind w:right="-1"/>
              <w:rPr>
                <w:rFonts w:cs="Arial"/>
                <w:sz w:val="16"/>
                <w:szCs w:val="16"/>
                <w:lang w:val="en-GB"/>
              </w:rPr>
            </w:pPr>
          </w:p>
        </w:tc>
        <w:tc>
          <w:tcPr>
            <w:tcW w:w="1559" w:type="dxa"/>
            <w:shd w:val="clear" w:color="auto" w:fill="FFFFFF"/>
          </w:tcPr>
          <w:p w14:paraId="0923280F" w14:textId="77777777" w:rsidR="00D8358D" w:rsidRPr="00461FAF" w:rsidRDefault="00D8358D" w:rsidP="00540C3B">
            <w:pPr>
              <w:pStyle w:val="CETBodytext"/>
              <w:ind w:right="-1"/>
              <w:rPr>
                <w:rFonts w:cs="Arial"/>
                <w:sz w:val="16"/>
                <w:szCs w:val="16"/>
                <w:lang w:val="en-GB"/>
              </w:rPr>
            </w:pPr>
          </w:p>
        </w:tc>
        <w:tc>
          <w:tcPr>
            <w:tcW w:w="992" w:type="dxa"/>
            <w:shd w:val="clear" w:color="auto" w:fill="FFFFFF"/>
          </w:tcPr>
          <w:p w14:paraId="24C4802C" w14:textId="77777777" w:rsidR="00D8358D" w:rsidRPr="00461FAF" w:rsidRDefault="00D8358D" w:rsidP="00540C3B">
            <w:pPr>
              <w:pStyle w:val="CETBodytext"/>
              <w:ind w:right="-1"/>
              <w:rPr>
                <w:rFonts w:cs="Arial"/>
                <w:sz w:val="16"/>
                <w:szCs w:val="16"/>
                <w:lang w:val="en-GB"/>
              </w:rPr>
            </w:pPr>
          </w:p>
        </w:tc>
        <w:tc>
          <w:tcPr>
            <w:tcW w:w="2410" w:type="dxa"/>
            <w:shd w:val="clear" w:color="auto" w:fill="FFFFFF"/>
          </w:tcPr>
          <w:p w14:paraId="2175DEB8" w14:textId="77777777" w:rsidR="00D8358D" w:rsidRPr="00461FAF" w:rsidRDefault="00D8358D" w:rsidP="00540C3B">
            <w:pPr>
              <w:pStyle w:val="CETBodytext"/>
              <w:ind w:right="-1"/>
              <w:rPr>
                <w:rFonts w:cs="Arial"/>
                <w:sz w:val="16"/>
                <w:szCs w:val="16"/>
                <w:lang w:val="en-GB"/>
              </w:rPr>
            </w:pPr>
          </w:p>
        </w:tc>
      </w:tr>
    </w:tbl>
    <w:p w14:paraId="34E191D9" w14:textId="0C95F6D6" w:rsidR="00342497" w:rsidRDefault="00342497" w:rsidP="00600535">
      <w:pPr>
        <w:pStyle w:val="CETHeading1"/>
        <w:rPr>
          <w:rFonts w:eastAsia="ＭＳ 明朝"/>
          <w:lang w:val="en-GB" w:eastAsia="ja-JP"/>
        </w:rPr>
      </w:pPr>
      <w:r>
        <w:rPr>
          <w:rFonts w:eastAsia="ＭＳ 明朝" w:hint="eastAsia"/>
          <w:lang w:val="en-GB" w:eastAsia="ja-JP"/>
        </w:rPr>
        <w:lastRenderedPageBreak/>
        <w:t>Challenges to integrate into PSM</w:t>
      </w:r>
    </w:p>
    <w:p w14:paraId="2F72A8C3" w14:textId="77777777" w:rsidR="001B26E3" w:rsidRPr="001B26E3" w:rsidRDefault="001B26E3" w:rsidP="001B26E3">
      <w:pPr>
        <w:pStyle w:val="CETBodytext"/>
        <w:rPr>
          <w:rFonts w:eastAsia="ＭＳ 明朝"/>
          <w:lang w:val="en-GB" w:eastAsia="ja-JP"/>
        </w:rPr>
      </w:pPr>
      <w:r w:rsidRPr="001B26E3">
        <w:rPr>
          <w:rFonts w:eastAsia="ＭＳ 明朝"/>
          <w:lang w:val="en-GB" w:eastAsia="ja-JP"/>
        </w:rPr>
        <w:t>The case study demonstrates that the definition of CS risk management requirements can be effectively achieved using the CS risk assessment process, with certain improvements proposed in this paper. Figure 6 illustrates the integration of CS within PSM.</w:t>
      </w:r>
    </w:p>
    <w:p w14:paraId="7318C5B2" w14:textId="77777777" w:rsidR="001B26E3" w:rsidRPr="001B26E3" w:rsidRDefault="001B26E3" w:rsidP="001B26E3">
      <w:pPr>
        <w:pStyle w:val="CETBodytext"/>
        <w:rPr>
          <w:rFonts w:eastAsia="ＭＳ 明朝"/>
          <w:lang w:val="en-GB" w:eastAsia="ja-JP"/>
        </w:rPr>
      </w:pPr>
      <w:r w:rsidRPr="001B26E3">
        <w:rPr>
          <w:rFonts w:eastAsia="ＭＳ 明朝"/>
          <w:lang w:val="en-GB" w:eastAsia="ja-JP"/>
        </w:rPr>
        <w:t>Beyond the straightforward management of CS-critical elements such as BPCS and SIS, Operations and Maintenance (O&amp;M) PSM elements—such as Permit to Work (PTW)—must also incorporate CS risk management considerations. For example, the physical accessibility of PLC devices introduces the potential for man-in-the-middle attacks, such as virus uploads via USB drives. Therefore, PTW approvals should account for the risk of cyberattacks involving contractors’ personnel.</w:t>
      </w:r>
    </w:p>
    <w:p w14:paraId="7E4B47AB" w14:textId="77777777" w:rsidR="001B26E3" w:rsidRPr="001B26E3" w:rsidRDefault="001B26E3" w:rsidP="001B26E3">
      <w:pPr>
        <w:pStyle w:val="CETBodytext"/>
        <w:rPr>
          <w:rFonts w:eastAsia="ＭＳ 明朝"/>
          <w:lang w:val="en-GB" w:eastAsia="ja-JP"/>
        </w:rPr>
      </w:pPr>
      <w:r w:rsidRPr="001B26E3">
        <w:rPr>
          <w:rFonts w:eastAsia="ＭＳ 明朝"/>
          <w:lang w:val="en-GB" w:eastAsia="ja-JP"/>
        </w:rPr>
        <w:t>Additionally, the CS perspective must be extended to other PSM elements, such as the Management of Change (</w:t>
      </w:r>
      <w:proofErr w:type="spellStart"/>
      <w:r w:rsidRPr="001B26E3">
        <w:rPr>
          <w:rFonts w:eastAsia="ＭＳ 明朝"/>
          <w:lang w:val="en-GB" w:eastAsia="ja-JP"/>
        </w:rPr>
        <w:t>MoC</w:t>
      </w:r>
      <w:proofErr w:type="spellEnd"/>
      <w:r w:rsidRPr="001B26E3">
        <w:rPr>
          <w:rFonts w:eastAsia="ＭＳ 明朝"/>
          <w:lang w:val="en-GB" w:eastAsia="ja-JP"/>
        </w:rPr>
        <w:t>) for networks and associated devices, to ensure the integrity and reliability of IT infrastructure.</w:t>
      </w:r>
    </w:p>
    <w:p w14:paraId="5D33DA02" w14:textId="69A93DFF" w:rsidR="00692DEA" w:rsidRDefault="001B26E3" w:rsidP="001B26E3">
      <w:pPr>
        <w:pStyle w:val="CETBodytext"/>
        <w:rPr>
          <w:rFonts w:eastAsia="ＭＳ 明朝"/>
          <w:lang w:val="en-GB" w:eastAsia="ja-JP"/>
        </w:rPr>
      </w:pPr>
      <w:r w:rsidRPr="001B26E3">
        <w:rPr>
          <w:rFonts w:eastAsia="ＭＳ 明朝"/>
          <w:lang w:val="en-GB" w:eastAsia="ja-JP"/>
        </w:rPr>
        <w:t>Since CS risk management aspects are not typically included in conventional PSM elements, organizational adjustments are necessary on the OT side to enhance CS integration within the PS team. This may involve educating PS team members on CS principles and including CS specialists within the PS team to ensure effective implementation and oversight.</w:t>
      </w:r>
    </w:p>
    <w:p w14:paraId="09B49D57" w14:textId="77777777" w:rsidR="00692DEA" w:rsidRDefault="00692DEA" w:rsidP="00342497">
      <w:pPr>
        <w:pStyle w:val="CETBodytext"/>
        <w:rPr>
          <w:rFonts w:eastAsia="ＭＳ 明朝"/>
          <w:lang w:val="en-GB" w:eastAsia="ja-JP"/>
        </w:rPr>
      </w:pPr>
    </w:p>
    <w:p w14:paraId="3C700A23" w14:textId="34EFED19" w:rsidR="00C835F0" w:rsidRDefault="00C835F0" w:rsidP="00342497">
      <w:pPr>
        <w:pStyle w:val="CETBodytext"/>
        <w:rPr>
          <w:rFonts w:eastAsia="ＭＳ 明朝"/>
          <w:lang w:val="en-GB" w:eastAsia="ja-JP"/>
        </w:rPr>
      </w:pPr>
      <w:r w:rsidRPr="00C835F0">
        <w:rPr>
          <w:rFonts w:eastAsia="ＭＳ 明朝"/>
          <w:noProof/>
        </w:rPr>
        <w:drawing>
          <wp:inline distT="0" distB="0" distL="0" distR="0" wp14:anchorId="679EAF42" wp14:editId="7D3FF5AF">
            <wp:extent cx="3717985" cy="2202357"/>
            <wp:effectExtent l="0" t="0" r="0" b="0"/>
            <wp:docPr id="153404235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118" cy="2233831"/>
                    </a:xfrm>
                    <a:prstGeom prst="rect">
                      <a:avLst/>
                    </a:prstGeom>
                    <a:noFill/>
                    <a:ln>
                      <a:noFill/>
                    </a:ln>
                  </pic:spPr>
                </pic:pic>
              </a:graphicData>
            </a:graphic>
          </wp:inline>
        </w:drawing>
      </w:r>
    </w:p>
    <w:p w14:paraId="60C812EF" w14:textId="32BEB128" w:rsidR="00692DEA" w:rsidRPr="00342497" w:rsidRDefault="00C835F0" w:rsidP="00342497">
      <w:pPr>
        <w:pStyle w:val="CETBodytext"/>
        <w:rPr>
          <w:rFonts w:eastAsia="ＭＳ 明朝"/>
          <w:lang w:val="en-GB" w:eastAsia="ja-JP"/>
        </w:rPr>
      </w:pPr>
      <w:r w:rsidRPr="00BD077D">
        <w:rPr>
          <w:rStyle w:val="CETCaptionCarattere"/>
        </w:rPr>
        <w:t xml:space="preserve">Figure </w:t>
      </w:r>
      <w:r w:rsidR="00B632F2">
        <w:rPr>
          <w:rStyle w:val="CETCaptionCarattere"/>
          <w:rFonts w:eastAsia="ＭＳ 明朝" w:hint="eastAsia"/>
          <w:lang w:eastAsia="ja-JP"/>
        </w:rPr>
        <w:t>6</w:t>
      </w:r>
      <w:r w:rsidRPr="00BD077D">
        <w:rPr>
          <w:rStyle w:val="CETCaptionCarattere"/>
        </w:rPr>
        <w:t xml:space="preserve">: </w:t>
      </w:r>
      <w:r w:rsidR="00E3143D">
        <w:rPr>
          <w:rStyle w:val="CETCaptionCarattere"/>
          <w:rFonts w:eastAsia="ＭＳ 明朝" w:hint="eastAsia"/>
          <w:lang w:eastAsia="ja-JP"/>
        </w:rPr>
        <w:t xml:space="preserve">Example of </w:t>
      </w:r>
      <w:r w:rsidR="00B632F2">
        <w:rPr>
          <w:rStyle w:val="CETCaptionCarattere"/>
          <w:rFonts w:eastAsia="ＭＳ 明朝" w:hint="eastAsia"/>
          <w:lang w:eastAsia="ja-JP"/>
        </w:rPr>
        <w:t xml:space="preserve">CS Integrated </w:t>
      </w:r>
      <w:r w:rsidR="00E3143D">
        <w:rPr>
          <w:rStyle w:val="CETCaptionCarattere"/>
          <w:rFonts w:eastAsia="ＭＳ 明朝" w:hint="eastAsia"/>
          <w:lang w:eastAsia="ja-JP"/>
        </w:rPr>
        <w:t xml:space="preserve">risk-based </w:t>
      </w:r>
      <w:r w:rsidR="00B632F2">
        <w:rPr>
          <w:rStyle w:val="CETCaptionCarattere"/>
          <w:rFonts w:eastAsia="ＭＳ 明朝" w:hint="eastAsia"/>
          <w:lang w:eastAsia="ja-JP"/>
        </w:rPr>
        <w:t>PSM</w:t>
      </w:r>
      <w:r w:rsidR="00E3143D">
        <w:rPr>
          <w:rStyle w:val="CETCaptionCarattere"/>
          <w:rFonts w:eastAsia="ＭＳ 明朝" w:hint="eastAsia"/>
          <w:lang w:eastAsia="ja-JP"/>
        </w:rPr>
        <w:t>S</w:t>
      </w:r>
    </w:p>
    <w:p w14:paraId="68D26B83" w14:textId="6E14F400" w:rsidR="00600535" w:rsidRPr="00B57B36" w:rsidRDefault="00600535" w:rsidP="00600535">
      <w:pPr>
        <w:pStyle w:val="CETHeading1"/>
        <w:rPr>
          <w:lang w:val="en-GB"/>
        </w:rPr>
      </w:pPr>
      <w:r w:rsidRPr="00B57B36">
        <w:rPr>
          <w:lang w:val="en-GB"/>
        </w:rPr>
        <w:t>Conclusions</w:t>
      </w:r>
    </w:p>
    <w:p w14:paraId="4DC09D05" w14:textId="77777777" w:rsidR="003B0050" w:rsidRPr="003B0050" w:rsidRDefault="003B0050" w:rsidP="003B0050">
      <w:pPr>
        <w:pStyle w:val="CETBodytext"/>
        <w:rPr>
          <w:rFonts w:eastAsia="ＭＳ 明朝"/>
          <w:lang w:val="en-GB" w:eastAsia="ja-JP"/>
        </w:rPr>
      </w:pPr>
      <w:r w:rsidRPr="003B0050">
        <w:rPr>
          <w:rFonts w:eastAsia="ＭＳ 明朝"/>
          <w:lang w:val="en-GB" w:eastAsia="ja-JP"/>
        </w:rPr>
        <w:t xml:space="preserve">The case study highlights the potential for integrating CS risk management into PSM, </w:t>
      </w:r>
      <w:proofErr w:type="gramStart"/>
      <w:r w:rsidRPr="003B0050">
        <w:rPr>
          <w:rFonts w:eastAsia="ＭＳ 明朝"/>
          <w:lang w:val="en-GB" w:eastAsia="ja-JP"/>
        </w:rPr>
        <w:t>provided that</w:t>
      </w:r>
      <w:proofErr w:type="gramEnd"/>
      <w:r w:rsidRPr="003B0050">
        <w:rPr>
          <w:rFonts w:eastAsia="ＭＳ 明朝"/>
          <w:lang w:val="en-GB" w:eastAsia="ja-JP"/>
        </w:rPr>
        <w:t xml:space="preserve"> CS functional requirements are clearly defined through CS risk assessment methodologies from a technical perspective. However, the integration of CS and PS management systems presents significant challenges, despite leveraging the same risk-based framework.</w:t>
      </w:r>
    </w:p>
    <w:p w14:paraId="582A2A9B" w14:textId="77777777" w:rsidR="003B0050" w:rsidRPr="003B0050" w:rsidRDefault="003B0050" w:rsidP="003B0050">
      <w:pPr>
        <w:pStyle w:val="CETBodytext"/>
        <w:rPr>
          <w:rFonts w:eastAsia="ＭＳ 明朝"/>
          <w:lang w:val="en-GB" w:eastAsia="ja-JP"/>
        </w:rPr>
      </w:pPr>
      <w:r w:rsidRPr="003B0050">
        <w:rPr>
          <w:rFonts w:eastAsia="ＭＳ 明朝"/>
          <w:lang w:val="en-GB" w:eastAsia="ja-JP"/>
        </w:rPr>
        <w:t>For instance, PS engineers are required to address cybersecurity concerns in addition to the extensive technical demands of process safety. While involving CS specialists in PS teams can provide valuable expertise, effective integration necessitates seamless communication and mutual understanding between PS and CS professionals to establish a cohesive management system.</w:t>
      </w:r>
    </w:p>
    <w:p w14:paraId="30056216" w14:textId="03E0AEDC" w:rsidR="001D048B" w:rsidRDefault="003B0050" w:rsidP="003B0050">
      <w:pPr>
        <w:pStyle w:val="CETBodytext"/>
        <w:rPr>
          <w:rFonts w:eastAsia="ＭＳ 明朝"/>
          <w:lang w:val="en-GB" w:eastAsia="ja-JP"/>
        </w:rPr>
      </w:pPr>
      <w:r w:rsidRPr="003B0050">
        <w:rPr>
          <w:rFonts w:eastAsia="ＭＳ 明朝"/>
          <w:lang w:val="en-GB" w:eastAsia="ja-JP"/>
        </w:rPr>
        <w:t>Given the increasing adoption of smart technologies, the role of PS engineers is expanding, necessitating broader expertise. This challenging transition underscores the need for a well-structured education system that incorporates both PS and CS elements. To address this, the SPSM Initiative Group LLC supports process plant organizations in acquiring the necessary knowledge through e-learning platforms that facilitate effective learning in both process safety and cybersecurity.</w:t>
      </w:r>
    </w:p>
    <w:p w14:paraId="1FC32F92" w14:textId="77777777" w:rsidR="001D048B" w:rsidRPr="001D048B" w:rsidRDefault="001D048B" w:rsidP="00600535">
      <w:pPr>
        <w:pStyle w:val="CETBodytext"/>
        <w:rPr>
          <w:rFonts w:eastAsia="ＭＳ 明朝"/>
          <w:lang w:val="en-GB" w:eastAsia="ja-JP"/>
        </w:rPr>
      </w:pPr>
    </w:p>
    <w:p w14:paraId="4F1327F8" w14:textId="77777777" w:rsidR="00600535" w:rsidRPr="00B57B36" w:rsidRDefault="00600535" w:rsidP="00600535">
      <w:pPr>
        <w:pStyle w:val="CETReference"/>
      </w:pPr>
      <w:r w:rsidRPr="00B57B36">
        <w:t>References</w:t>
      </w:r>
    </w:p>
    <w:p w14:paraId="59FCEAF6" w14:textId="77777777" w:rsidR="00EE458B" w:rsidRPr="005C7BDA" w:rsidRDefault="00EE458B" w:rsidP="00EE458B">
      <w:pPr>
        <w:pStyle w:val="CETReferencetext"/>
        <w:rPr>
          <w:rFonts w:eastAsia="ＭＳ 明朝"/>
          <w:lang w:eastAsia="ja-JP"/>
        </w:rPr>
      </w:pPr>
      <w:r w:rsidRPr="005D2F9F">
        <w:rPr>
          <w:rFonts w:hint="eastAsia"/>
        </w:rPr>
        <w:t>CCPS</w:t>
      </w:r>
      <w:r>
        <w:rPr>
          <w:rFonts w:eastAsia="ＭＳ 明朝" w:hint="eastAsia"/>
          <w:lang w:eastAsia="ja-JP"/>
        </w:rPr>
        <w:t>, 2001,</w:t>
      </w:r>
      <w:r w:rsidRPr="005D2F9F">
        <w:rPr>
          <w:rFonts w:hint="eastAsia"/>
        </w:rPr>
        <w:t xml:space="preserve"> L</w:t>
      </w:r>
      <w:r>
        <w:rPr>
          <w:rFonts w:eastAsia="ＭＳ 明朝" w:hint="eastAsia"/>
          <w:lang w:eastAsia="ja-JP"/>
        </w:rPr>
        <w:t xml:space="preserve">ayer of </w:t>
      </w:r>
      <w:r w:rsidRPr="005D2F9F">
        <w:rPr>
          <w:rFonts w:hint="eastAsia"/>
        </w:rPr>
        <w:t>P</w:t>
      </w:r>
      <w:r>
        <w:rPr>
          <w:rFonts w:eastAsia="ＭＳ 明朝" w:hint="eastAsia"/>
          <w:lang w:eastAsia="ja-JP"/>
        </w:rPr>
        <w:t xml:space="preserve">rotection </w:t>
      </w:r>
      <w:r w:rsidRPr="005D2F9F">
        <w:rPr>
          <w:rFonts w:hint="eastAsia"/>
        </w:rPr>
        <w:t>A</w:t>
      </w:r>
      <w:r>
        <w:rPr>
          <w:rFonts w:eastAsia="ＭＳ 明朝" w:hint="eastAsia"/>
          <w:lang w:eastAsia="ja-JP"/>
        </w:rPr>
        <w:t>nalysis, AIChE, USA</w:t>
      </w:r>
    </w:p>
    <w:p w14:paraId="7B60FA40" w14:textId="42F5E9AB" w:rsidR="005D2F9F" w:rsidRPr="006809B0" w:rsidRDefault="005D2F9F" w:rsidP="005D2F9F">
      <w:pPr>
        <w:pStyle w:val="CETReferencetext"/>
        <w:rPr>
          <w:rFonts w:eastAsia="ＭＳ 明朝"/>
          <w:lang w:eastAsia="ja-JP"/>
        </w:rPr>
      </w:pPr>
      <w:r w:rsidRPr="005D2F9F">
        <w:rPr>
          <w:rFonts w:hint="eastAsia"/>
        </w:rPr>
        <w:t>CCPS</w:t>
      </w:r>
      <w:r w:rsidR="00A1206E">
        <w:rPr>
          <w:rFonts w:eastAsia="ＭＳ 明朝" w:hint="eastAsia"/>
          <w:lang w:eastAsia="ja-JP"/>
        </w:rPr>
        <w:t>,</w:t>
      </w:r>
      <w:r w:rsidR="00035F13">
        <w:rPr>
          <w:rFonts w:eastAsia="ＭＳ 明朝" w:hint="eastAsia"/>
          <w:lang w:eastAsia="ja-JP"/>
        </w:rPr>
        <w:t xml:space="preserve"> 2022, Managing</w:t>
      </w:r>
      <w:r w:rsidRPr="005D2F9F">
        <w:rPr>
          <w:rFonts w:hint="eastAsia"/>
        </w:rPr>
        <w:t xml:space="preserve"> Cybersecurity</w:t>
      </w:r>
      <w:r w:rsidR="000932AF">
        <w:rPr>
          <w:rFonts w:eastAsia="ＭＳ 明朝" w:hint="eastAsia"/>
          <w:lang w:eastAsia="ja-JP"/>
        </w:rPr>
        <w:t xml:space="preserve"> in the Process Industries</w:t>
      </w:r>
      <w:r w:rsidR="00FE340F">
        <w:rPr>
          <w:rFonts w:eastAsia="ＭＳ 明朝" w:hint="eastAsia"/>
          <w:lang w:eastAsia="ja-JP"/>
        </w:rPr>
        <w:t>, Wiley</w:t>
      </w:r>
      <w:r w:rsidR="006809B0">
        <w:rPr>
          <w:rFonts w:eastAsia="ＭＳ 明朝" w:hint="eastAsia"/>
          <w:lang w:eastAsia="ja-JP"/>
        </w:rPr>
        <w:t>, USA.</w:t>
      </w:r>
    </w:p>
    <w:p w14:paraId="526D5C6A" w14:textId="6ADD3BB4" w:rsidR="005D2F9F" w:rsidRPr="007D0F5A" w:rsidRDefault="005D2F9F" w:rsidP="005D2F9F">
      <w:pPr>
        <w:pStyle w:val="CETReferencetext"/>
        <w:rPr>
          <w:rFonts w:eastAsia="ＭＳ 明朝"/>
          <w:lang w:eastAsia="ja-JP"/>
        </w:rPr>
      </w:pPr>
      <w:r w:rsidRPr="005D2F9F">
        <w:rPr>
          <w:rFonts w:hint="eastAsia"/>
        </w:rPr>
        <w:t>ISA</w:t>
      </w:r>
      <w:r w:rsidR="00433586">
        <w:rPr>
          <w:rFonts w:eastAsia="ＭＳ 明朝" w:hint="eastAsia"/>
          <w:lang w:eastAsia="ja-JP"/>
        </w:rPr>
        <w:t>,</w:t>
      </w:r>
      <w:r w:rsidR="000D0090">
        <w:rPr>
          <w:rFonts w:eastAsia="ＭＳ 明朝" w:hint="eastAsia"/>
          <w:lang w:eastAsia="ja-JP"/>
        </w:rPr>
        <w:t xml:space="preserve"> 2017,</w:t>
      </w:r>
      <w:r w:rsidRPr="005D2F9F">
        <w:rPr>
          <w:rFonts w:hint="eastAsia"/>
        </w:rPr>
        <w:t xml:space="preserve"> TR</w:t>
      </w:r>
      <w:r w:rsidR="000D0090">
        <w:rPr>
          <w:rFonts w:eastAsia="ＭＳ 明朝" w:hint="eastAsia"/>
          <w:lang w:eastAsia="ja-JP"/>
        </w:rPr>
        <w:t>84.00.09 Cybersecurity Related to the Functional Safety Lifec</w:t>
      </w:r>
      <w:r w:rsidR="00634798">
        <w:rPr>
          <w:rFonts w:eastAsia="ＭＳ 明朝" w:hint="eastAsia"/>
          <w:lang w:eastAsia="ja-JP"/>
        </w:rPr>
        <w:t>y</w:t>
      </w:r>
      <w:r w:rsidR="000D0090">
        <w:rPr>
          <w:rFonts w:eastAsia="ＭＳ 明朝" w:hint="eastAsia"/>
          <w:lang w:eastAsia="ja-JP"/>
        </w:rPr>
        <w:t>cle</w:t>
      </w:r>
      <w:r w:rsidR="00634798">
        <w:rPr>
          <w:rFonts w:eastAsia="ＭＳ 明朝" w:hint="eastAsia"/>
          <w:lang w:eastAsia="ja-JP"/>
        </w:rPr>
        <w:t xml:space="preserve">, </w:t>
      </w:r>
      <w:r w:rsidR="007D0F5A">
        <w:rPr>
          <w:rFonts w:eastAsia="ＭＳ 明朝" w:hint="eastAsia"/>
          <w:lang w:eastAsia="ja-JP"/>
        </w:rPr>
        <w:t>USA.</w:t>
      </w:r>
    </w:p>
    <w:p w14:paraId="1A088BF8" w14:textId="6E7EFF8F" w:rsidR="005D2F9F" w:rsidRDefault="00CB3A6C" w:rsidP="005D2F9F">
      <w:pPr>
        <w:pStyle w:val="CETReferencetext"/>
        <w:rPr>
          <w:rFonts w:eastAsia="ＭＳ 明朝"/>
          <w:szCs w:val="18"/>
          <w:lang w:eastAsia="ja-JP"/>
        </w:rPr>
      </w:pPr>
      <w:r w:rsidRPr="004550BC">
        <w:t>Tanabe</w:t>
      </w:r>
      <w:r w:rsidRPr="004550BC">
        <w:rPr>
          <w:rFonts w:hint="eastAsia"/>
          <w:lang w:eastAsia="ja-JP"/>
        </w:rPr>
        <w:t>,</w:t>
      </w:r>
      <w:r w:rsidRPr="004550BC">
        <w:t xml:space="preserve"> M., Miyake</w:t>
      </w:r>
      <w:r w:rsidRPr="004550BC">
        <w:rPr>
          <w:rFonts w:hint="eastAsia"/>
          <w:lang w:eastAsia="ja-JP"/>
        </w:rPr>
        <w:t>,</w:t>
      </w:r>
      <w:r w:rsidRPr="004550BC">
        <w:t xml:space="preserve"> A., 201</w:t>
      </w:r>
      <w:r>
        <w:rPr>
          <w:rFonts w:hint="eastAsia"/>
          <w:lang w:eastAsia="ja-JP"/>
        </w:rPr>
        <w:t>2</w:t>
      </w:r>
      <w:r w:rsidRPr="004550BC">
        <w:t xml:space="preserve">, Approach </w:t>
      </w:r>
      <w:r w:rsidRPr="004550BC">
        <w:rPr>
          <w:rFonts w:hint="eastAsia"/>
          <w:lang w:eastAsia="ja-JP"/>
        </w:rPr>
        <w:t>e</w:t>
      </w:r>
      <w:r w:rsidRPr="004550BC">
        <w:t xml:space="preserve">nhancing </w:t>
      </w:r>
      <w:r w:rsidRPr="004550BC">
        <w:rPr>
          <w:rFonts w:hint="eastAsia"/>
          <w:lang w:eastAsia="ja-JP"/>
        </w:rPr>
        <w:t>i</w:t>
      </w:r>
      <w:r w:rsidRPr="004550BC">
        <w:t xml:space="preserve">nherent </w:t>
      </w:r>
      <w:r w:rsidRPr="004550BC">
        <w:rPr>
          <w:rFonts w:hint="eastAsia"/>
          <w:lang w:eastAsia="ja-JP"/>
        </w:rPr>
        <w:t>s</w:t>
      </w:r>
      <w:r w:rsidRPr="004550BC">
        <w:t xml:space="preserve">afety </w:t>
      </w:r>
      <w:r w:rsidRPr="004550BC">
        <w:rPr>
          <w:rFonts w:hint="eastAsia"/>
          <w:lang w:eastAsia="ja-JP"/>
        </w:rPr>
        <w:t>a</w:t>
      </w:r>
      <w:r w:rsidRPr="004550BC">
        <w:t xml:space="preserve">pplication in </w:t>
      </w:r>
      <w:r w:rsidRPr="004550BC">
        <w:rPr>
          <w:rFonts w:hint="eastAsia"/>
          <w:lang w:eastAsia="ja-JP"/>
        </w:rPr>
        <w:t>o</w:t>
      </w:r>
      <w:r w:rsidRPr="004550BC">
        <w:t xml:space="preserve">nshore LNG </w:t>
      </w:r>
      <w:r w:rsidRPr="004550BC">
        <w:rPr>
          <w:rFonts w:hint="eastAsia"/>
          <w:lang w:eastAsia="ja-JP"/>
        </w:rPr>
        <w:t>p</w:t>
      </w:r>
      <w:r w:rsidRPr="004550BC">
        <w:t xml:space="preserve">lant </w:t>
      </w:r>
      <w:r w:rsidRPr="004550BC">
        <w:rPr>
          <w:rFonts w:hint="eastAsia"/>
          <w:lang w:eastAsia="ja-JP"/>
        </w:rPr>
        <w:t>d</w:t>
      </w:r>
      <w:r w:rsidRPr="004550BC">
        <w:t>esign</w:t>
      </w:r>
      <w:r w:rsidRPr="004550BC">
        <w:rPr>
          <w:rFonts w:hint="eastAsia"/>
          <w:lang w:eastAsia="ja-JP"/>
        </w:rPr>
        <w:t>,</w:t>
      </w:r>
      <w:r w:rsidRPr="004550BC">
        <w:t xml:space="preserve"> </w:t>
      </w:r>
      <w:r w:rsidRPr="004550BC">
        <w:rPr>
          <w:lang w:eastAsia="ja-JP"/>
        </w:rPr>
        <w:t>Journal of Loss Prevention in the Process Industries</w:t>
      </w:r>
      <w:r w:rsidRPr="004550BC">
        <w:rPr>
          <w:rFonts w:hint="eastAsia"/>
          <w:lang w:eastAsia="ja-JP"/>
        </w:rPr>
        <w:t>,</w:t>
      </w:r>
      <w:r w:rsidRPr="004550BC">
        <w:t xml:space="preserve"> </w:t>
      </w:r>
      <w:r w:rsidRPr="004550BC">
        <w:rPr>
          <w:lang w:eastAsia="ja-JP"/>
        </w:rPr>
        <w:t>25</w:t>
      </w:r>
      <w:r w:rsidRPr="004550BC">
        <w:rPr>
          <w:rFonts w:hint="eastAsia"/>
          <w:lang w:eastAsia="ja-JP"/>
        </w:rPr>
        <w:t>,</w:t>
      </w:r>
      <w:r w:rsidRPr="004550BC">
        <w:rPr>
          <w:lang w:eastAsia="ja-JP"/>
        </w:rPr>
        <w:t xml:space="preserve"> 809</w:t>
      </w:r>
      <w:r w:rsidRPr="004550BC">
        <w:rPr>
          <w:rFonts w:hint="eastAsia"/>
          <w:lang w:eastAsia="ja-JP"/>
        </w:rPr>
        <w:t>-</w:t>
      </w:r>
      <w:r w:rsidRPr="004550BC">
        <w:rPr>
          <w:lang w:eastAsia="ja-JP"/>
        </w:rPr>
        <w:t>819</w:t>
      </w:r>
      <w:r w:rsidRPr="004550BC">
        <w:rPr>
          <w:rFonts w:hint="eastAsia"/>
          <w:lang w:eastAsia="ja-JP"/>
        </w:rPr>
        <w:t>.</w:t>
      </w:r>
      <w:r w:rsidRPr="004550BC">
        <w:rPr>
          <w:szCs w:val="18"/>
        </w:rPr>
        <w:t>1.2011</w:t>
      </w:r>
    </w:p>
    <w:p w14:paraId="69466BC3" w14:textId="02D89D32" w:rsidR="006D6678" w:rsidRPr="00CD62D3" w:rsidRDefault="00B32940" w:rsidP="0037349B">
      <w:pPr>
        <w:pStyle w:val="CETReferencetext"/>
      </w:pPr>
      <w:r>
        <w:rPr>
          <w:rFonts w:eastAsia="ＭＳ 明朝" w:hint="eastAsia"/>
          <w:szCs w:val="18"/>
          <w:lang w:eastAsia="ja-JP"/>
        </w:rPr>
        <w:t xml:space="preserve">Yokohama National University (YNU) Strategic PSM Initiative Group (SPSM), 2022, </w:t>
      </w:r>
      <w:r w:rsidR="00D34051" w:rsidRPr="00D34051">
        <w:rPr>
          <w:rFonts w:eastAsia="ＭＳ 明朝"/>
          <w:szCs w:val="18"/>
          <w:lang w:eastAsia="ja-JP"/>
        </w:rPr>
        <w:t xml:space="preserve">Guidelines for </w:t>
      </w:r>
      <w:r w:rsidR="00D34051">
        <w:rPr>
          <w:rFonts w:eastAsia="ＭＳ 明朝" w:hint="eastAsia"/>
          <w:szCs w:val="18"/>
          <w:lang w:eastAsia="ja-JP"/>
        </w:rPr>
        <w:t>S</w:t>
      </w:r>
      <w:r w:rsidR="00D34051" w:rsidRPr="00D34051">
        <w:rPr>
          <w:rFonts w:eastAsia="ＭＳ 明朝"/>
          <w:szCs w:val="18"/>
          <w:lang w:eastAsia="ja-JP"/>
        </w:rPr>
        <w:t xml:space="preserve">trategically </w:t>
      </w:r>
      <w:r w:rsidR="00D34051">
        <w:rPr>
          <w:rFonts w:eastAsia="ＭＳ 明朝" w:hint="eastAsia"/>
          <w:szCs w:val="18"/>
          <w:lang w:eastAsia="ja-JP"/>
        </w:rPr>
        <w:t>I</w:t>
      </w:r>
      <w:r w:rsidR="00D34051" w:rsidRPr="00D34051">
        <w:rPr>
          <w:rFonts w:eastAsia="ＭＳ 明朝"/>
          <w:szCs w:val="18"/>
          <w:lang w:eastAsia="ja-JP"/>
        </w:rPr>
        <w:t xml:space="preserve">mplement PSM in </w:t>
      </w:r>
      <w:r w:rsidR="00D34051">
        <w:rPr>
          <w:rFonts w:eastAsia="ＭＳ 明朝" w:hint="eastAsia"/>
          <w:szCs w:val="18"/>
          <w:lang w:eastAsia="ja-JP"/>
        </w:rPr>
        <w:t>O</w:t>
      </w:r>
      <w:r w:rsidR="00D34051" w:rsidRPr="00D34051">
        <w:rPr>
          <w:rFonts w:eastAsia="ＭＳ 明朝"/>
          <w:szCs w:val="18"/>
          <w:lang w:eastAsia="ja-JP"/>
        </w:rPr>
        <w:t>rganization</w:t>
      </w:r>
      <w:r w:rsidR="00974F84">
        <w:rPr>
          <w:rFonts w:eastAsia="ＭＳ 明朝" w:hint="eastAsia"/>
          <w:szCs w:val="18"/>
          <w:lang w:eastAsia="ja-JP"/>
        </w:rPr>
        <w:t xml:space="preserve"> </w:t>
      </w:r>
      <w:r w:rsidR="006B375D">
        <w:rPr>
          <w:rFonts w:eastAsia="ＭＳ 明朝" w:hint="eastAsia"/>
          <w:szCs w:val="18"/>
          <w:lang w:eastAsia="ja-JP"/>
        </w:rPr>
        <w:t>&lt;</w:t>
      </w:r>
      <w:r w:rsidR="00CD62D3" w:rsidRPr="00CD62D3">
        <w:rPr>
          <w:rFonts w:eastAsia="ＭＳ 明朝"/>
          <w:szCs w:val="18"/>
          <w:lang w:eastAsia="ja-JP"/>
        </w:rPr>
        <w:t>www.anshin.ynu.ac.jp/pdf/SPSM01guide.pdf</w:t>
      </w:r>
      <w:r w:rsidR="006B375D">
        <w:rPr>
          <w:rFonts w:eastAsia="ＭＳ 明朝" w:hint="eastAsia"/>
          <w:szCs w:val="18"/>
          <w:lang w:eastAsia="ja-JP"/>
        </w:rPr>
        <w:t xml:space="preserve">&gt; accessed </w:t>
      </w:r>
      <w:r w:rsidR="008B6D79">
        <w:rPr>
          <w:rFonts w:eastAsia="ＭＳ 明朝" w:hint="eastAsia"/>
          <w:szCs w:val="18"/>
          <w:lang w:eastAsia="ja-JP"/>
        </w:rPr>
        <w:t>23</w:t>
      </w:r>
      <w:r w:rsidR="00050DE8">
        <w:rPr>
          <w:rFonts w:eastAsia="ＭＳ 明朝" w:hint="eastAsia"/>
          <w:szCs w:val="18"/>
          <w:lang w:eastAsia="ja-JP"/>
        </w:rPr>
        <w:t>.</w:t>
      </w:r>
      <w:r w:rsidR="008B6D79">
        <w:rPr>
          <w:rFonts w:eastAsia="ＭＳ 明朝" w:hint="eastAsia"/>
          <w:szCs w:val="18"/>
          <w:lang w:eastAsia="ja-JP"/>
        </w:rPr>
        <w:t>09</w:t>
      </w:r>
      <w:r w:rsidR="00050DE8">
        <w:rPr>
          <w:rFonts w:eastAsia="ＭＳ 明朝" w:hint="eastAsia"/>
          <w:szCs w:val="18"/>
          <w:lang w:eastAsia="ja-JP"/>
        </w:rPr>
        <w:t>.</w:t>
      </w:r>
      <w:r w:rsidR="008B6D79">
        <w:rPr>
          <w:rFonts w:eastAsia="ＭＳ 明朝" w:hint="eastAsia"/>
          <w:szCs w:val="18"/>
          <w:lang w:eastAsia="ja-JP"/>
        </w:rPr>
        <w:t>2024</w:t>
      </w:r>
    </w:p>
    <w:sectPr w:rsidR="006D6678" w:rsidRPr="00CD62D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7BCAF" w14:textId="77777777" w:rsidR="00BB2EA7" w:rsidRDefault="00BB2EA7" w:rsidP="004F5E36">
      <w:r>
        <w:separator/>
      </w:r>
    </w:p>
  </w:endnote>
  <w:endnote w:type="continuationSeparator" w:id="0">
    <w:p w14:paraId="72CB9A9D" w14:textId="77777777" w:rsidR="00BB2EA7" w:rsidRDefault="00BB2EA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B33F7" w14:textId="77777777" w:rsidR="00BB2EA7" w:rsidRDefault="00BB2EA7" w:rsidP="004F5E36">
      <w:r>
        <w:separator/>
      </w:r>
    </w:p>
  </w:footnote>
  <w:footnote w:type="continuationSeparator" w:id="0">
    <w:p w14:paraId="32801D6B" w14:textId="77777777" w:rsidR="00BB2EA7" w:rsidRDefault="00BB2EA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283"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0111F6"/>
    <w:multiLevelType w:val="hybridMultilevel"/>
    <w:tmpl w:val="76F629A6"/>
    <w:lvl w:ilvl="0" w:tplc="2C2046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CE559A1"/>
    <w:multiLevelType w:val="hybridMultilevel"/>
    <w:tmpl w:val="7D84A6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AA54B8"/>
    <w:multiLevelType w:val="hybridMultilevel"/>
    <w:tmpl w:val="B5F026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344DC3"/>
    <w:multiLevelType w:val="hybridMultilevel"/>
    <w:tmpl w:val="DECE49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4"/>
  </w:num>
  <w:num w:numId="16" w16cid:durableId="1977102699">
    <w:abstractNumId w:val="22"/>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5"/>
  </w:num>
  <w:num w:numId="22" w16cid:durableId="2099861471">
    <w:abstractNumId w:val="14"/>
  </w:num>
  <w:num w:numId="23" w16cid:durableId="1530684769">
    <w:abstractNumId w:val="11"/>
  </w:num>
  <w:num w:numId="24" w16cid:durableId="330108140">
    <w:abstractNumId w:val="21"/>
  </w:num>
  <w:num w:numId="25" w16cid:durableId="346098519">
    <w:abstractNumId w:val="16"/>
  </w:num>
  <w:num w:numId="26" w16cid:durableId="330647866">
    <w:abstractNumId w:val="23"/>
  </w:num>
  <w:num w:numId="27" w16cid:durableId="1010333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DD7"/>
    <w:rsid w:val="000027C0"/>
    <w:rsid w:val="000052FB"/>
    <w:rsid w:val="00010446"/>
    <w:rsid w:val="000109D3"/>
    <w:rsid w:val="000117CB"/>
    <w:rsid w:val="00014F53"/>
    <w:rsid w:val="0003148D"/>
    <w:rsid w:val="00031EEC"/>
    <w:rsid w:val="00035F13"/>
    <w:rsid w:val="00037F25"/>
    <w:rsid w:val="00050DE8"/>
    <w:rsid w:val="00051566"/>
    <w:rsid w:val="00051BE4"/>
    <w:rsid w:val="000562A9"/>
    <w:rsid w:val="0005754B"/>
    <w:rsid w:val="00057BC1"/>
    <w:rsid w:val="00062A9A"/>
    <w:rsid w:val="00063298"/>
    <w:rsid w:val="00065058"/>
    <w:rsid w:val="00065549"/>
    <w:rsid w:val="00080AB5"/>
    <w:rsid w:val="00081993"/>
    <w:rsid w:val="00085459"/>
    <w:rsid w:val="00086C39"/>
    <w:rsid w:val="000932AF"/>
    <w:rsid w:val="00096B09"/>
    <w:rsid w:val="00097F01"/>
    <w:rsid w:val="000A03B2"/>
    <w:rsid w:val="000A718D"/>
    <w:rsid w:val="000B149D"/>
    <w:rsid w:val="000C5C1D"/>
    <w:rsid w:val="000C6435"/>
    <w:rsid w:val="000D0090"/>
    <w:rsid w:val="000D0268"/>
    <w:rsid w:val="000D266E"/>
    <w:rsid w:val="000D34BE"/>
    <w:rsid w:val="000D3DE4"/>
    <w:rsid w:val="000D42A8"/>
    <w:rsid w:val="000D4F05"/>
    <w:rsid w:val="000D7DBD"/>
    <w:rsid w:val="000E102F"/>
    <w:rsid w:val="000E36F1"/>
    <w:rsid w:val="000E3A73"/>
    <w:rsid w:val="000E414A"/>
    <w:rsid w:val="000E4332"/>
    <w:rsid w:val="000F093C"/>
    <w:rsid w:val="000F5414"/>
    <w:rsid w:val="000F787B"/>
    <w:rsid w:val="00100485"/>
    <w:rsid w:val="00105FDE"/>
    <w:rsid w:val="0012091F"/>
    <w:rsid w:val="00120D31"/>
    <w:rsid w:val="00122DC8"/>
    <w:rsid w:val="001255AA"/>
    <w:rsid w:val="00126A68"/>
    <w:rsid w:val="00126BC2"/>
    <w:rsid w:val="00126C2B"/>
    <w:rsid w:val="001308B6"/>
    <w:rsid w:val="0013121F"/>
    <w:rsid w:val="00131FE6"/>
    <w:rsid w:val="0013229F"/>
    <w:rsid w:val="0013263F"/>
    <w:rsid w:val="001331DF"/>
    <w:rsid w:val="00133967"/>
    <w:rsid w:val="00134DE4"/>
    <w:rsid w:val="0014034D"/>
    <w:rsid w:val="00144D16"/>
    <w:rsid w:val="0015074A"/>
    <w:rsid w:val="00150E59"/>
    <w:rsid w:val="00152DE3"/>
    <w:rsid w:val="00154E38"/>
    <w:rsid w:val="00156D30"/>
    <w:rsid w:val="00156F74"/>
    <w:rsid w:val="00163D54"/>
    <w:rsid w:val="00164CF9"/>
    <w:rsid w:val="001667A6"/>
    <w:rsid w:val="00171700"/>
    <w:rsid w:val="001818B4"/>
    <w:rsid w:val="00184AD6"/>
    <w:rsid w:val="00186B72"/>
    <w:rsid w:val="00186E8E"/>
    <w:rsid w:val="00191FC2"/>
    <w:rsid w:val="00192A34"/>
    <w:rsid w:val="00193A02"/>
    <w:rsid w:val="00196543"/>
    <w:rsid w:val="001A4AF7"/>
    <w:rsid w:val="001A4CBF"/>
    <w:rsid w:val="001A5227"/>
    <w:rsid w:val="001B0349"/>
    <w:rsid w:val="001B1E93"/>
    <w:rsid w:val="001B26E3"/>
    <w:rsid w:val="001B395C"/>
    <w:rsid w:val="001B65C1"/>
    <w:rsid w:val="001C40F0"/>
    <w:rsid w:val="001C522A"/>
    <w:rsid w:val="001C684B"/>
    <w:rsid w:val="001D048B"/>
    <w:rsid w:val="001D0CFB"/>
    <w:rsid w:val="001D21AF"/>
    <w:rsid w:val="001D53FC"/>
    <w:rsid w:val="001E3EA0"/>
    <w:rsid w:val="001E70EE"/>
    <w:rsid w:val="001F1DB0"/>
    <w:rsid w:val="001F42A5"/>
    <w:rsid w:val="001F69EC"/>
    <w:rsid w:val="001F7B9D"/>
    <w:rsid w:val="001F7CF9"/>
    <w:rsid w:val="00201C93"/>
    <w:rsid w:val="002023F9"/>
    <w:rsid w:val="00206662"/>
    <w:rsid w:val="002169BD"/>
    <w:rsid w:val="002224B4"/>
    <w:rsid w:val="00225331"/>
    <w:rsid w:val="002309F6"/>
    <w:rsid w:val="00240B85"/>
    <w:rsid w:val="002410E3"/>
    <w:rsid w:val="002447EF"/>
    <w:rsid w:val="00247C19"/>
    <w:rsid w:val="00251550"/>
    <w:rsid w:val="002524CF"/>
    <w:rsid w:val="00252BD4"/>
    <w:rsid w:val="00257E7F"/>
    <w:rsid w:val="00263A14"/>
    <w:rsid w:val="00263B05"/>
    <w:rsid w:val="00264FC7"/>
    <w:rsid w:val="00267ED4"/>
    <w:rsid w:val="0027221A"/>
    <w:rsid w:val="00275B61"/>
    <w:rsid w:val="00277A6E"/>
    <w:rsid w:val="00280FAF"/>
    <w:rsid w:val="00282656"/>
    <w:rsid w:val="00283067"/>
    <w:rsid w:val="002855C5"/>
    <w:rsid w:val="00292A5F"/>
    <w:rsid w:val="002965B5"/>
    <w:rsid w:val="00296B83"/>
    <w:rsid w:val="0029735B"/>
    <w:rsid w:val="002B0BCD"/>
    <w:rsid w:val="002B4015"/>
    <w:rsid w:val="002B55A3"/>
    <w:rsid w:val="002B6D05"/>
    <w:rsid w:val="002B78CE"/>
    <w:rsid w:val="002B7B48"/>
    <w:rsid w:val="002C2FB6"/>
    <w:rsid w:val="002C3294"/>
    <w:rsid w:val="002D2454"/>
    <w:rsid w:val="002D2ED8"/>
    <w:rsid w:val="002D7C85"/>
    <w:rsid w:val="002E5FA7"/>
    <w:rsid w:val="002F3309"/>
    <w:rsid w:val="002F5152"/>
    <w:rsid w:val="002F5D3D"/>
    <w:rsid w:val="003008CE"/>
    <w:rsid w:val="003009B7"/>
    <w:rsid w:val="00300E56"/>
    <w:rsid w:val="0030152C"/>
    <w:rsid w:val="0030309D"/>
    <w:rsid w:val="00303F89"/>
    <w:rsid w:val="0030469C"/>
    <w:rsid w:val="00317875"/>
    <w:rsid w:val="00321CA6"/>
    <w:rsid w:val="00322F2F"/>
    <w:rsid w:val="00323763"/>
    <w:rsid w:val="00323C5F"/>
    <w:rsid w:val="003268E2"/>
    <w:rsid w:val="003325E7"/>
    <w:rsid w:val="00334C09"/>
    <w:rsid w:val="00334F1D"/>
    <w:rsid w:val="00342497"/>
    <w:rsid w:val="00342E88"/>
    <w:rsid w:val="0034776A"/>
    <w:rsid w:val="00350023"/>
    <w:rsid w:val="003622E6"/>
    <w:rsid w:val="0037161A"/>
    <w:rsid w:val="003723D4"/>
    <w:rsid w:val="0037349B"/>
    <w:rsid w:val="00375BC3"/>
    <w:rsid w:val="00381905"/>
    <w:rsid w:val="00382DC8"/>
    <w:rsid w:val="00384CC8"/>
    <w:rsid w:val="003871FD"/>
    <w:rsid w:val="00391513"/>
    <w:rsid w:val="00395CA6"/>
    <w:rsid w:val="00397565"/>
    <w:rsid w:val="003A04D8"/>
    <w:rsid w:val="003A1E30"/>
    <w:rsid w:val="003A2829"/>
    <w:rsid w:val="003A4C0A"/>
    <w:rsid w:val="003A6FC6"/>
    <w:rsid w:val="003A7D1C"/>
    <w:rsid w:val="003B0050"/>
    <w:rsid w:val="003B304B"/>
    <w:rsid w:val="003B3146"/>
    <w:rsid w:val="003B5EFF"/>
    <w:rsid w:val="003B7147"/>
    <w:rsid w:val="003C389B"/>
    <w:rsid w:val="003C54A8"/>
    <w:rsid w:val="003C6799"/>
    <w:rsid w:val="003D6507"/>
    <w:rsid w:val="003D6BA8"/>
    <w:rsid w:val="003E1285"/>
    <w:rsid w:val="003E1DCB"/>
    <w:rsid w:val="003E4C4E"/>
    <w:rsid w:val="003F015E"/>
    <w:rsid w:val="003F4CAA"/>
    <w:rsid w:val="003F55F7"/>
    <w:rsid w:val="00400414"/>
    <w:rsid w:val="00403F49"/>
    <w:rsid w:val="004135B4"/>
    <w:rsid w:val="0041446B"/>
    <w:rsid w:val="00423AE2"/>
    <w:rsid w:val="00433586"/>
    <w:rsid w:val="0044071E"/>
    <w:rsid w:val="0044329C"/>
    <w:rsid w:val="00446862"/>
    <w:rsid w:val="00453838"/>
    <w:rsid w:val="00453E24"/>
    <w:rsid w:val="004565C9"/>
    <w:rsid w:val="00457456"/>
    <w:rsid w:val="004577FE"/>
    <w:rsid w:val="00457B9C"/>
    <w:rsid w:val="0046164A"/>
    <w:rsid w:val="00461FAF"/>
    <w:rsid w:val="004628D2"/>
    <w:rsid w:val="00462DCD"/>
    <w:rsid w:val="004640FB"/>
    <w:rsid w:val="004648AD"/>
    <w:rsid w:val="004703A8"/>
    <w:rsid w:val="004703A9"/>
    <w:rsid w:val="00470C48"/>
    <w:rsid w:val="00473C8D"/>
    <w:rsid w:val="004760DE"/>
    <w:rsid w:val="004761E9"/>
    <w:rsid w:val="004763D7"/>
    <w:rsid w:val="00485C07"/>
    <w:rsid w:val="00486761"/>
    <w:rsid w:val="00494538"/>
    <w:rsid w:val="004960F8"/>
    <w:rsid w:val="004A004E"/>
    <w:rsid w:val="004A24CF"/>
    <w:rsid w:val="004A2A02"/>
    <w:rsid w:val="004A6CC5"/>
    <w:rsid w:val="004A7E4B"/>
    <w:rsid w:val="004B0076"/>
    <w:rsid w:val="004C34E7"/>
    <w:rsid w:val="004C3D1D"/>
    <w:rsid w:val="004C3D84"/>
    <w:rsid w:val="004C4423"/>
    <w:rsid w:val="004C7913"/>
    <w:rsid w:val="004D3FD3"/>
    <w:rsid w:val="004D4D7E"/>
    <w:rsid w:val="004E4DD6"/>
    <w:rsid w:val="004E542E"/>
    <w:rsid w:val="004E7234"/>
    <w:rsid w:val="004F4719"/>
    <w:rsid w:val="004F4B21"/>
    <w:rsid w:val="004F5E36"/>
    <w:rsid w:val="00500CDA"/>
    <w:rsid w:val="00507B47"/>
    <w:rsid w:val="00507BEF"/>
    <w:rsid w:val="00507CC9"/>
    <w:rsid w:val="005119A5"/>
    <w:rsid w:val="00512C27"/>
    <w:rsid w:val="00516AAC"/>
    <w:rsid w:val="005203F3"/>
    <w:rsid w:val="005278B7"/>
    <w:rsid w:val="00527CA8"/>
    <w:rsid w:val="00532016"/>
    <w:rsid w:val="005346C8"/>
    <w:rsid w:val="00534809"/>
    <w:rsid w:val="00543E7D"/>
    <w:rsid w:val="00547A68"/>
    <w:rsid w:val="005531C9"/>
    <w:rsid w:val="00553A84"/>
    <w:rsid w:val="0055527C"/>
    <w:rsid w:val="00570C43"/>
    <w:rsid w:val="00581619"/>
    <w:rsid w:val="00584895"/>
    <w:rsid w:val="005925E2"/>
    <w:rsid w:val="00593BA5"/>
    <w:rsid w:val="0059413F"/>
    <w:rsid w:val="00595AFB"/>
    <w:rsid w:val="005B2110"/>
    <w:rsid w:val="005B57AF"/>
    <w:rsid w:val="005B61E6"/>
    <w:rsid w:val="005B710D"/>
    <w:rsid w:val="005C2DC4"/>
    <w:rsid w:val="005C77E1"/>
    <w:rsid w:val="005D2F9F"/>
    <w:rsid w:val="005D668A"/>
    <w:rsid w:val="005D6A2F"/>
    <w:rsid w:val="005E1A82"/>
    <w:rsid w:val="005E4FF2"/>
    <w:rsid w:val="005E5131"/>
    <w:rsid w:val="005E794C"/>
    <w:rsid w:val="005F0A28"/>
    <w:rsid w:val="005F0E5E"/>
    <w:rsid w:val="005F1A7D"/>
    <w:rsid w:val="00600535"/>
    <w:rsid w:val="00607F7B"/>
    <w:rsid w:val="00610CD6"/>
    <w:rsid w:val="0061102C"/>
    <w:rsid w:val="00615D2B"/>
    <w:rsid w:val="00616543"/>
    <w:rsid w:val="0061784B"/>
    <w:rsid w:val="00620DEE"/>
    <w:rsid w:val="00621BFC"/>
    <w:rsid w:val="00621F92"/>
    <w:rsid w:val="0062280A"/>
    <w:rsid w:val="00622F49"/>
    <w:rsid w:val="00625639"/>
    <w:rsid w:val="00631B33"/>
    <w:rsid w:val="00634798"/>
    <w:rsid w:val="00636919"/>
    <w:rsid w:val="0064184D"/>
    <w:rsid w:val="006422CC"/>
    <w:rsid w:val="006471FD"/>
    <w:rsid w:val="0064731C"/>
    <w:rsid w:val="006526D8"/>
    <w:rsid w:val="00660E3E"/>
    <w:rsid w:val="00662677"/>
    <w:rsid w:val="00662E74"/>
    <w:rsid w:val="00665420"/>
    <w:rsid w:val="006658C1"/>
    <w:rsid w:val="00666415"/>
    <w:rsid w:val="006805FE"/>
    <w:rsid w:val="006809B0"/>
    <w:rsid w:val="00680C23"/>
    <w:rsid w:val="00681A50"/>
    <w:rsid w:val="00684177"/>
    <w:rsid w:val="00685E09"/>
    <w:rsid w:val="00686B86"/>
    <w:rsid w:val="00692160"/>
    <w:rsid w:val="00692DEA"/>
    <w:rsid w:val="00693766"/>
    <w:rsid w:val="006979D6"/>
    <w:rsid w:val="006A23E9"/>
    <w:rsid w:val="006A3281"/>
    <w:rsid w:val="006B1E86"/>
    <w:rsid w:val="006B375D"/>
    <w:rsid w:val="006B4888"/>
    <w:rsid w:val="006B4EC3"/>
    <w:rsid w:val="006B77B7"/>
    <w:rsid w:val="006B7850"/>
    <w:rsid w:val="006B7F4D"/>
    <w:rsid w:val="006C2E45"/>
    <w:rsid w:val="006C359C"/>
    <w:rsid w:val="006C5579"/>
    <w:rsid w:val="006C60D7"/>
    <w:rsid w:val="006C6FA1"/>
    <w:rsid w:val="006C766B"/>
    <w:rsid w:val="006D6678"/>
    <w:rsid w:val="006D6E8B"/>
    <w:rsid w:val="006D7AE2"/>
    <w:rsid w:val="006E3638"/>
    <w:rsid w:val="006E737D"/>
    <w:rsid w:val="006F753C"/>
    <w:rsid w:val="00713973"/>
    <w:rsid w:val="00720A24"/>
    <w:rsid w:val="00721D83"/>
    <w:rsid w:val="007314FF"/>
    <w:rsid w:val="00732386"/>
    <w:rsid w:val="0073514D"/>
    <w:rsid w:val="00736168"/>
    <w:rsid w:val="00737537"/>
    <w:rsid w:val="0074343F"/>
    <w:rsid w:val="007440D3"/>
    <w:rsid w:val="007447F3"/>
    <w:rsid w:val="0075499F"/>
    <w:rsid w:val="0075573D"/>
    <w:rsid w:val="007605F5"/>
    <w:rsid w:val="00761510"/>
    <w:rsid w:val="00764F5C"/>
    <w:rsid w:val="007661C8"/>
    <w:rsid w:val="0077098D"/>
    <w:rsid w:val="007724A7"/>
    <w:rsid w:val="0077343B"/>
    <w:rsid w:val="00774BF5"/>
    <w:rsid w:val="00782AD4"/>
    <w:rsid w:val="00783731"/>
    <w:rsid w:val="007857B4"/>
    <w:rsid w:val="00785FD3"/>
    <w:rsid w:val="00792C54"/>
    <w:rsid w:val="007931FA"/>
    <w:rsid w:val="007938DB"/>
    <w:rsid w:val="0079651C"/>
    <w:rsid w:val="00796A68"/>
    <w:rsid w:val="00797C5E"/>
    <w:rsid w:val="007A37C0"/>
    <w:rsid w:val="007A476D"/>
    <w:rsid w:val="007A4861"/>
    <w:rsid w:val="007A7BBA"/>
    <w:rsid w:val="007B0C50"/>
    <w:rsid w:val="007B48F9"/>
    <w:rsid w:val="007B6014"/>
    <w:rsid w:val="007C1A43"/>
    <w:rsid w:val="007D0951"/>
    <w:rsid w:val="007D0F5A"/>
    <w:rsid w:val="007D3D44"/>
    <w:rsid w:val="007D42D3"/>
    <w:rsid w:val="007D7024"/>
    <w:rsid w:val="007E2062"/>
    <w:rsid w:val="007F1903"/>
    <w:rsid w:val="007F243A"/>
    <w:rsid w:val="007F2EA9"/>
    <w:rsid w:val="0080013E"/>
    <w:rsid w:val="00801805"/>
    <w:rsid w:val="008042AD"/>
    <w:rsid w:val="008129AD"/>
    <w:rsid w:val="00813288"/>
    <w:rsid w:val="008168FC"/>
    <w:rsid w:val="00820526"/>
    <w:rsid w:val="00821779"/>
    <w:rsid w:val="00830996"/>
    <w:rsid w:val="00830F11"/>
    <w:rsid w:val="00833894"/>
    <w:rsid w:val="0083427B"/>
    <w:rsid w:val="008345F1"/>
    <w:rsid w:val="00841FFB"/>
    <w:rsid w:val="00842291"/>
    <w:rsid w:val="008426DD"/>
    <w:rsid w:val="00843EAC"/>
    <w:rsid w:val="00845691"/>
    <w:rsid w:val="00851ADD"/>
    <w:rsid w:val="00856EB0"/>
    <w:rsid w:val="00860C5A"/>
    <w:rsid w:val="00862127"/>
    <w:rsid w:val="00865B07"/>
    <w:rsid w:val="008667EA"/>
    <w:rsid w:val="008668A3"/>
    <w:rsid w:val="008670CB"/>
    <w:rsid w:val="0087233E"/>
    <w:rsid w:val="0087637F"/>
    <w:rsid w:val="008837FC"/>
    <w:rsid w:val="00884238"/>
    <w:rsid w:val="00884CE6"/>
    <w:rsid w:val="00892AD5"/>
    <w:rsid w:val="00893F10"/>
    <w:rsid w:val="008A1512"/>
    <w:rsid w:val="008A598E"/>
    <w:rsid w:val="008A6412"/>
    <w:rsid w:val="008B00C6"/>
    <w:rsid w:val="008B28D1"/>
    <w:rsid w:val="008B6D79"/>
    <w:rsid w:val="008B7C03"/>
    <w:rsid w:val="008D14BF"/>
    <w:rsid w:val="008D170E"/>
    <w:rsid w:val="008D32B9"/>
    <w:rsid w:val="008D33AA"/>
    <w:rsid w:val="008D433B"/>
    <w:rsid w:val="008D4A16"/>
    <w:rsid w:val="008D59FE"/>
    <w:rsid w:val="008E21C4"/>
    <w:rsid w:val="008E27C2"/>
    <w:rsid w:val="008E566E"/>
    <w:rsid w:val="008E73CE"/>
    <w:rsid w:val="0090161A"/>
    <w:rsid w:val="00901EB6"/>
    <w:rsid w:val="00902EDA"/>
    <w:rsid w:val="00904C62"/>
    <w:rsid w:val="00920E5B"/>
    <w:rsid w:val="0092139F"/>
    <w:rsid w:val="00922BA8"/>
    <w:rsid w:val="00924DAC"/>
    <w:rsid w:val="00927058"/>
    <w:rsid w:val="00927229"/>
    <w:rsid w:val="00927421"/>
    <w:rsid w:val="009337DC"/>
    <w:rsid w:val="00934CF3"/>
    <w:rsid w:val="00937A02"/>
    <w:rsid w:val="00942750"/>
    <w:rsid w:val="0094312D"/>
    <w:rsid w:val="009450CE"/>
    <w:rsid w:val="009459BB"/>
    <w:rsid w:val="00947179"/>
    <w:rsid w:val="0095164B"/>
    <w:rsid w:val="00954090"/>
    <w:rsid w:val="009573E7"/>
    <w:rsid w:val="00957570"/>
    <w:rsid w:val="00957833"/>
    <w:rsid w:val="0096178A"/>
    <w:rsid w:val="00963049"/>
    <w:rsid w:val="00963E05"/>
    <w:rsid w:val="00964A45"/>
    <w:rsid w:val="00966C41"/>
    <w:rsid w:val="00967843"/>
    <w:rsid w:val="00967D54"/>
    <w:rsid w:val="00971028"/>
    <w:rsid w:val="00971C3A"/>
    <w:rsid w:val="00972FCE"/>
    <w:rsid w:val="00974A67"/>
    <w:rsid w:val="00974F84"/>
    <w:rsid w:val="00985BCA"/>
    <w:rsid w:val="00993B84"/>
    <w:rsid w:val="00996483"/>
    <w:rsid w:val="00996F5A"/>
    <w:rsid w:val="009977D9"/>
    <w:rsid w:val="009A11E1"/>
    <w:rsid w:val="009B041A"/>
    <w:rsid w:val="009B16D4"/>
    <w:rsid w:val="009B6FD5"/>
    <w:rsid w:val="009C0CB9"/>
    <w:rsid w:val="009C37C3"/>
    <w:rsid w:val="009C7C86"/>
    <w:rsid w:val="009D288C"/>
    <w:rsid w:val="009D2BE4"/>
    <w:rsid w:val="009D2FF7"/>
    <w:rsid w:val="009D3DD7"/>
    <w:rsid w:val="009D65D0"/>
    <w:rsid w:val="009D7E90"/>
    <w:rsid w:val="009E7884"/>
    <w:rsid w:val="009E788A"/>
    <w:rsid w:val="009F0E08"/>
    <w:rsid w:val="00A018BC"/>
    <w:rsid w:val="00A1206E"/>
    <w:rsid w:val="00A12558"/>
    <w:rsid w:val="00A14774"/>
    <w:rsid w:val="00A167BD"/>
    <w:rsid w:val="00A1763D"/>
    <w:rsid w:val="00A17CEC"/>
    <w:rsid w:val="00A2446A"/>
    <w:rsid w:val="00A24CB7"/>
    <w:rsid w:val="00A26E76"/>
    <w:rsid w:val="00A27EF0"/>
    <w:rsid w:val="00A27F90"/>
    <w:rsid w:val="00A30ACD"/>
    <w:rsid w:val="00A32546"/>
    <w:rsid w:val="00A4178C"/>
    <w:rsid w:val="00A42361"/>
    <w:rsid w:val="00A43FA9"/>
    <w:rsid w:val="00A4667C"/>
    <w:rsid w:val="00A50B20"/>
    <w:rsid w:val="00A51390"/>
    <w:rsid w:val="00A54F17"/>
    <w:rsid w:val="00A55757"/>
    <w:rsid w:val="00A60D13"/>
    <w:rsid w:val="00A7223D"/>
    <w:rsid w:val="00A72745"/>
    <w:rsid w:val="00A7546B"/>
    <w:rsid w:val="00A76EFC"/>
    <w:rsid w:val="00A86336"/>
    <w:rsid w:val="00A87D50"/>
    <w:rsid w:val="00A91010"/>
    <w:rsid w:val="00A944BA"/>
    <w:rsid w:val="00A97F29"/>
    <w:rsid w:val="00AA702E"/>
    <w:rsid w:val="00AA7D26"/>
    <w:rsid w:val="00AB04EC"/>
    <w:rsid w:val="00AB0964"/>
    <w:rsid w:val="00AB5011"/>
    <w:rsid w:val="00AC3C66"/>
    <w:rsid w:val="00AC4E36"/>
    <w:rsid w:val="00AC7368"/>
    <w:rsid w:val="00AD16B9"/>
    <w:rsid w:val="00AD29AF"/>
    <w:rsid w:val="00AD2B92"/>
    <w:rsid w:val="00AD5AC4"/>
    <w:rsid w:val="00AE21BB"/>
    <w:rsid w:val="00AE377D"/>
    <w:rsid w:val="00AF0EBA"/>
    <w:rsid w:val="00AF41FA"/>
    <w:rsid w:val="00AF4AF4"/>
    <w:rsid w:val="00AF543B"/>
    <w:rsid w:val="00AF746E"/>
    <w:rsid w:val="00B02C8A"/>
    <w:rsid w:val="00B12CA2"/>
    <w:rsid w:val="00B13BD6"/>
    <w:rsid w:val="00B1531C"/>
    <w:rsid w:val="00B15EBF"/>
    <w:rsid w:val="00B17FBD"/>
    <w:rsid w:val="00B2118D"/>
    <w:rsid w:val="00B227B2"/>
    <w:rsid w:val="00B22F91"/>
    <w:rsid w:val="00B25FCE"/>
    <w:rsid w:val="00B315A6"/>
    <w:rsid w:val="00B31813"/>
    <w:rsid w:val="00B32940"/>
    <w:rsid w:val="00B33365"/>
    <w:rsid w:val="00B35B76"/>
    <w:rsid w:val="00B44DCB"/>
    <w:rsid w:val="00B453C4"/>
    <w:rsid w:val="00B46B7D"/>
    <w:rsid w:val="00B477E9"/>
    <w:rsid w:val="00B5592A"/>
    <w:rsid w:val="00B57B36"/>
    <w:rsid w:val="00B57E6F"/>
    <w:rsid w:val="00B615BD"/>
    <w:rsid w:val="00B632F2"/>
    <w:rsid w:val="00B669DB"/>
    <w:rsid w:val="00B67135"/>
    <w:rsid w:val="00B8686D"/>
    <w:rsid w:val="00B93F69"/>
    <w:rsid w:val="00B95383"/>
    <w:rsid w:val="00BB1DDC"/>
    <w:rsid w:val="00BB2EA7"/>
    <w:rsid w:val="00BB420E"/>
    <w:rsid w:val="00BC30C9"/>
    <w:rsid w:val="00BC77C4"/>
    <w:rsid w:val="00BC79B4"/>
    <w:rsid w:val="00BD077D"/>
    <w:rsid w:val="00BD37CC"/>
    <w:rsid w:val="00BD7307"/>
    <w:rsid w:val="00BE3E58"/>
    <w:rsid w:val="00BE41EA"/>
    <w:rsid w:val="00BE4A39"/>
    <w:rsid w:val="00BE582D"/>
    <w:rsid w:val="00BE62BD"/>
    <w:rsid w:val="00BF363E"/>
    <w:rsid w:val="00BF41BD"/>
    <w:rsid w:val="00BF70CF"/>
    <w:rsid w:val="00BF7282"/>
    <w:rsid w:val="00BF7E7A"/>
    <w:rsid w:val="00C0066D"/>
    <w:rsid w:val="00C01616"/>
    <w:rsid w:val="00C0162B"/>
    <w:rsid w:val="00C068ED"/>
    <w:rsid w:val="00C22E0C"/>
    <w:rsid w:val="00C30BF9"/>
    <w:rsid w:val="00C3337C"/>
    <w:rsid w:val="00C345B1"/>
    <w:rsid w:val="00C40142"/>
    <w:rsid w:val="00C415BE"/>
    <w:rsid w:val="00C42B71"/>
    <w:rsid w:val="00C52C3C"/>
    <w:rsid w:val="00C57182"/>
    <w:rsid w:val="00C57863"/>
    <w:rsid w:val="00C640AF"/>
    <w:rsid w:val="00C655FD"/>
    <w:rsid w:val="00C656D7"/>
    <w:rsid w:val="00C70302"/>
    <w:rsid w:val="00C73769"/>
    <w:rsid w:val="00C75407"/>
    <w:rsid w:val="00C80792"/>
    <w:rsid w:val="00C822FB"/>
    <w:rsid w:val="00C82641"/>
    <w:rsid w:val="00C835F0"/>
    <w:rsid w:val="00C870A8"/>
    <w:rsid w:val="00C94434"/>
    <w:rsid w:val="00CA0D4A"/>
    <w:rsid w:val="00CA0D75"/>
    <w:rsid w:val="00CA1C95"/>
    <w:rsid w:val="00CA5A9C"/>
    <w:rsid w:val="00CA5CD5"/>
    <w:rsid w:val="00CA5F6C"/>
    <w:rsid w:val="00CA7CD3"/>
    <w:rsid w:val="00CB3739"/>
    <w:rsid w:val="00CB3A6C"/>
    <w:rsid w:val="00CB5D4B"/>
    <w:rsid w:val="00CB5E34"/>
    <w:rsid w:val="00CC4C20"/>
    <w:rsid w:val="00CC4DAD"/>
    <w:rsid w:val="00CD3517"/>
    <w:rsid w:val="00CD5FE2"/>
    <w:rsid w:val="00CD62D3"/>
    <w:rsid w:val="00CE3217"/>
    <w:rsid w:val="00CE619B"/>
    <w:rsid w:val="00CE7C68"/>
    <w:rsid w:val="00CF02F5"/>
    <w:rsid w:val="00CF099B"/>
    <w:rsid w:val="00CF20DF"/>
    <w:rsid w:val="00D02B4C"/>
    <w:rsid w:val="00D03F54"/>
    <w:rsid w:val="00D040C4"/>
    <w:rsid w:val="00D07F20"/>
    <w:rsid w:val="00D20AD1"/>
    <w:rsid w:val="00D21FE3"/>
    <w:rsid w:val="00D22854"/>
    <w:rsid w:val="00D248DD"/>
    <w:rsid w:val="00D34051"/>
    <w:rsid w:val="00D35359"/>
    <w:rsid w:val="00D37679"/>
    <w:rsid w:val="00D46B7E"/>
    <w:rsid w:val="00D47AA4"/>
    <w:rsid w:val="00D5318F"/>
    <w:rsid w:val="00D57C84"/>
    <w:rsid w:val="00D6057D"/>
    <w:rsid w:val="00D614FE"/>
    <w:rsid w:val="00D648EC"/>
    <w:rsid w:val="00D71640"/>
    <w:rsid w:val="00D740FA"/>
    <w:rsid w:val="00D80031"/>
    <w:rsid w:val="00D8358D"/>
    <w:rsid w:val="00D836C5"/>
    <w:rsid w:val="00D84576"/>
    <w:rsid w:val="00D857B6"/>
    <w:rsid w:val="00D919B1"/>
    <w:rsid w:val="00D92720"/>
    <w:rsid w:val="00DA1399"/>
    <w:rsid w:val="00DA15EE"/>
    <w:rsid w:val="00DA174F"/>
    <w:rsid w:val="00DA24C6"/>
    <w:rsid w:val="00DA4D7B"/>
    <w:rsid w:val="00DB6538"/>
    <w:rsid w:val="00DB7134"/>
    <w:rsid w:val="00DC2B70"/>
    <w:rsid w:val="00DC374F"/>
    <w:rsid w:val="00DD271C"/>
    <w:rsid w:val="00DD7AB3"/>
    <w:rsid w:val="00DE264A"/>
    <w:rsid w:val="00DE279B"/>
    <w:rsid w:val="00DF5072"/>
    <w:rsid w:val="00E02D18"/>
    <w:rsid w:val="00E041E7"/>
    <w:rsid w:val="00E04FD0"/>
    <w:rsid w:val="00E17D0C"/>
    <w:rsid w:val="00E23CA1"/>
    <w:rsid w:val="00E25ECE"/>
    <w:rsid w:val="00E26090"/>
    <w:rsid w:val="00E30064"/>
    <w:rsid w:val="00E30422"/>
    <w:rsid w:val="00E3143D"/>
    <w:rsid w:val="00E3346B"/>
    <w:rsid w:val="00E33DD7"/>
    <w:rsid w:val="00E358F5"/>
    <w:rsid w:val="00E409A8"/>
    <w:rsid w:val="00E43266"/>
    <w:rsid w:val="00E432FF"/>
    <w:rsid w:val="00E50AEC"/>
    <w:rsid w:val="00E50C12"/>
    <w:rsid w:val="00E550D4"/>
    <w:rsid w:val="00E567FE"/>
    <w:rsid w:val="00E60423"/>
    <w:rsid w:val="00E60E58"/>
    <w:rsid w:val="00E65B91"/>
    <w:rsid w:val="00E7209D"/>
    <w:rsid w:val="00E72EAD"/>
    <w:rsid w:val="00E73F99"/>
    <w:rsid w:val="00E77223"/>
    <w:rsid w:val="00E8528B"/>
    <w:rsid w:val="00E85B94"/>
    <w:rsid w:val="00E949CB"/>
    <w:rsid w:val="00E94F1E"/>
    <w:rsid w:val="00E978D0"/>
    <w:rsid w:val="00EA4613"/>
    <w:rsid w:val="00EA7F91"/>
    <w:rsid w:val="00EB1523"/>
    <w:rsid w:val="00EB4A01"/>
    <w:rsid w:val="00EC0E49"/>
    <w:rsid w:val="00EC101F"/>
    <w:rsid w:val="00EC1D9F"/>
    <w:rsid w:val="00EC34AE"/>
    <w:rsid w:val="00ED04AA"/>
    <w:rsid w:val="00ED266D"/>
    <w:rsid w:val="00ED3D5F"/>
    <w:rsid w:val="00ED4035"/>
    <w:rsid w:val="00ED6762"/>
    <w:rsid w:val="00ED6A94"/>
    <w:rsid w:val="00EE0131"/>
    <w:rsid w:val="00EE17B0"/>
    <w:rsid w:val="00EE458B"/>
    <w:rsid w:val="00EE5651"/>
    <w:rsid w:val="00EF06D9"/>
    <w:rsid w:val="00EF2BEC"/>
    <w:rsid w:val="00F0292D"/>
    <w:rsid w:val="00F11E61"/>
    <w:rsid w:val="00F13858"/>
    <w:rsid w:val="00F1758E"/>
    <w:rsid w:val="00F3049E"/>
    <w:rsid w:val="00F30C64"/>
    <w:rsid w:val="00F32BA2"/>
    <w:rsid w:val="00F32CDB"/>
    <w:rsid w:val="00F35095"/>
    <w:rsid w:val="00F429CA"/>
    <w:rsid w:val="00F4358A"/>
    <w:rsid w:val="00F565FE"/>
    <w:rsid w:val="00F63A70"/>
    <w:rsid w:val="00F63D8C"/>
    <w:rsid w:val="00F65F27"/>
    <w:rsid w:val="00F70A06"/>
    <w:rsid w:val="00F745C4"/>
    <w:rsid w:val="00F7534E"/>
    <w:rsid w:val="00F7572F"/>
    <w:rsid w:val="00F82C05"/>
    <w:rsid w:val="00F872D6"/>
    <w:rsid w:val="00F93EDF"/>
    <w:rsid w:val="00FA1802"/>
    <w:rsid w:val="00FA1F3D"/>
    <w:rsid w:val="00FA21D0"/>
    <w:rsid w:val="00FA5F5F"/>
    <w:rsid w:val="00FB6591"/>
    <w:rsid w:val="00FB730C"/>
    <w:rsid w:val="00FB7923"/>
    <w:rsid w:val="00FC2695"/>
    <w:rsid w:val="00FC3825"/>
    <w:rsid w:val="00FC39D3"/>
    <w:rsid w:val="00FC3E03"/>
    <w:rsid w:val="00FC3FC1"/>
    <w:rsid w:val="00FD03E5"/>
    <w:rsid w:val="00FE340F"/>
    <w:rsid w:val="00FE762F"/>
    <w:rsid w:val="00FE7B5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吹き出し (文字)"/>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本文 (文字)"/>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付 (文字)"/>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署名 (文字)"/>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電子メール署名 (文字)"/>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挨拶文 (文字)"/>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結語 (文字)"/>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メッセージ見出し (文字)"/>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記 (文字)"/>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見出しマップ (文字)"/>
    <w:basedOn w:val="a2"/>
    <w:link w:val="aff0"/>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本文字下げ (文字)"/>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本文インデント (文字)"/>
    <w:basedOn w:val="a2"/>
    <w:link w:val="aff4"/>
    <w:uiPriority w:val="99"/>
    <w:semiHidden/>
    <w:rsid w:val="0003148D"/>
  </w:style>
  <w:style w:type="paragraph" w:styleId="28">
    <w:name w:val="Body Text First Indent 2"/>
    <w:basedOn w:val="aff4"/>
    <w:link w:val="29"/>
    <w:uiPriority w:val="99"/>
    <w:semiHidden/>
    <w:unhideWhenUsed/>
    <w:rsid w:val="0003148D"/>
    <w:pPr>
      <w:spacing w:after="200"/>
      <w:ind w:left="360" w:firstLine="360"/>
    </w:pPr>
  </w:style>
  <w:style w:type="character" w:customStyle="1" w:styleId="29">
    <w:name w:val="本文字下げ 2 (文字)"/>
    <w:basedOn w:val="aff5"/>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コメント文字列 (文字)"/>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コメント内容 (文字)"/>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c">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マクロ文字列 (文字)"/>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書式なし (文字)"/>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脚注文字列 (文字)"/>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文末脚注文字列 (文字)"/>
    <w:basedOn w:val="a2"/>
    <w:link w:val="afff2"/>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ヘッダー (文字)"/>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フッター (文字)"/>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 w:type="paragraph" w:styleId="afffe">
    <w:name w:val="Revision"/>
    <w:hidden/>
    <w:uiPriority w:val="99"/>
    <w:semiHidden/>
    <w:rsid w:val="00C80792"/>
    <w:pPr>
      <w:spacing w:after="0" w:line="240" w:lineRule="auto"/>
    </w:pPr>
    <w:rPr>
      <w:rFonts w:ascii="Arial" w:eastAsia="Times New Roman" w:hAnsi="Arial" w:cs="Times New Roman"/>
      <w:sz w:val="18"/>
      <w:szCs w:val="20"/>
      <w:lang w:val="en-GB"/>
    </w:rPr>
  </w:style>
  <w:style w:type="character" w:styleId="affff">
    <w:name w:val="Placeholder Text"/>
    <w:basedOn w:val="a2"/>
    <w:uiPriority w:val="99"/>
    <w:semiHidden/>
    <w:rsid w:val="007314FF"/>
    <w:rPr>
      <w:color w:val="666666"/>
    </w:rPr>
  </w:style>
  <w:style w:type="character" w:styleId="affff0">
    <w:name w:val="Unresolved Mention"/>
    <w:basedOn w:val="a2"/>
    <w:uiPriority w:val="99"/>
    <w:semiHidden/>
    <w:unhideWhenUsed/>
    <w:rsid w:val="006B3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1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Mas11</b:Tag>
    <b:SourceType>JournalArticle</b:SourceType>
    <b:Guid>{E10FB602-37BB-460A-AF60-ADCA80BE1584}</b:Guid>
    <b:Author>
      <b:Author>
        <b:NameList>
          <b:Person>
            <b:Last>Tanabe</b:Last>
            <b:First>Miyake</b:First>
          </b:Person>
        </b:NameList>
      </b:Author>
    </b:Author>
    <b:Title>Risk reduction concept to provide design criteria for Emergency Systems for onshore LNG plants</b:Title>
    <b:Year>2011</b:Year>
    <b:JournalName>Journal of Loss Prevention in the Process Industries</b:JournalName>
    <b:Pages>383-390</b:Pages>
    <b:RefOrder>1</b:RefOrder>
  </b:Source>
</b:Sources>
</file>

<file path=customXml/itemProps1.xml><?xml version="1.0" encoding="utf-8"?>
<ds:datastoreItem xmlns:ds="http://schemas.openxmlformats.org/officeDocument/2006/customXml" ds:itemID="{C1E52E07-73E2-4091-8D74-CA80E457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2856</Words>
  <Characters>16285</Characters>
  <Application>Microsoft Office Word</Application>
  <DocSecurity>0</DocSecurity>
  <Lines>135</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MASAYUKI TANABE</cp:lastModifiedBy>
  <cp:revision>30</cp:revision>
  <cp:lastPrinted>2015-05-12T18:31:00Z</cp:lastPrinted>
  <dcterms:created xsi:type="dcterms:W3CDTF">2025-01-16T01:23:00Z</dcterms:created>
  <dcterms:modified xsi:type="dcterms:W3CDTF">2025-01-16T02:16:00Z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