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30F07041" w14:textId="1924E760"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143CDCBB" w:rsidR="00E978D0" w:rsidRPr="00B57B36" w:rsidRDefault="005353BB" w:rsidP="00E978D0">
      <w:pPr>
        <w:pStyle w:val="CETTitle"/>
      </w:pPr>
      <w:r>
        <w:t>The 2</w:t>
      </w:r>
      <w:r w:rsidRPr="00916AD3">
        <w:t>nd</w:t>
      </w:r>
      <w:r>
        <w:t xml:space="preserve"> Loop Project – Learning f</w:t>
      </w:r>
      <w:r w:rsidR="00A81C3D">
        <w:t>rom small incidents</w:t>
      </w:r>
    </w:p>
    <w:p w14:paraId="0488FED2" w14:textId="102E2E55" w:rsidR="00B57E6F" w:rsidRPr="00B57B36" w:rsidRDefault="00A81C3D" w:rsidP="00B57E6F">
      <w:pPr>
        <w:pStyle w:val="CETAuthors"/>
      </w:pPr>
      <w:r>
        <w:t>Mats Lindgren</w:t>
      </w:r>
    </w:p>
    <w:p w14:paraId="6B2D21B3" w14:textId="7BDFE544" w:rsidR="00B57E6F" w:rsidRPr="002E18B3" w:rsidRDefault="00A81C3D" w:rsidP="00B57E6F">
      <w:pPr>
        <w:pStyle w:val="CETAddress"/>
      </w:pPr>
      <w:r w:rsidRPr="002E18B3">
        <w:t xml:space="preserve">The </w:t>
      </w:r>
      <w:r w:rsidR="002E18B3" w:rsidRPr="002E18B3">
        <w:t>Swedish Process Safety Associatio</w:t>
      </w:r>
      <w:r w:rsidR="00A952B0">
        <w:t>n</w:t>
      </w:r>
      <w:r w:rsidR="00F855E0">
        <w:t>, Rönngatan 12, 426 77 Västra Fröliunda, Sweden</w:t>
      </w:r>
    </w:p>
    <w:p w14:paraId="3D72B0B0" w14:textId="0583DD01" w:rsidR="00B57E6F" w:rsidRPr="00F855E0" w:rsidRDefault="00F855E0" w:rsidP="00B57E6F">
      <w:pPr>
        <w:pStyle w:val="CETAddress"/>
      </w:pPr>
      <w:r w:rsidRPr="00F855E0">
        <w:t>mats@ips.se</w:t>
      </w:r>
    </w:p>
    <w:p w14:paraId="4E496622" w14:textId="5F034D3F" w:rsidR="00F855E0" w:rsidRDefault="00F855E0" w:rsidP="00F855E0">
      <w:pPr>
        <w:pStyle w:val="CETemail"/>
      </w:pPr>
    </w:p>
    <w:p w14:paraId="026A1916" w14:textId="4A28CD50" w:rsidR="00B05DDE" w:rsidRPr="00A354E4" w:rsidRDefault="00B05DDE" w:rsidP="00A354E4">
      <w:pPr>
        <w:pStyle w:val="CETBodytext"/>
      </w:pPr>
      <w:r w:rsidRPr="00A354E4">
        <w:t xml:space="preserve">The 2nd Loop Project </w:t>
      </w:r>
      <w:r w:rsidR="00BA5533" w:rsidRPr="00A354E4">
        <w:t>was</w:t>
      </w:r>
      <w:r w:rsidR="008A45D9" w:rsidRPr="00A354E4">
        <w:t xml:space="preserve"> </w:t>
      </w:r>
      <w:r w:rsidR="003E7239" w:rsidRPr="00A354E4">
        <w:t>a</w:t>
      </w:r>
      <w:r w:rsidR="00377A26" w:rsidRPr="00A354E4">
        <w:t>n</w:t>
      </w:r>
      <w:r w:rsidR="008A45D9" w:rsidRPr="00A354E4">
        <w:t xml:space="preserve"> </w:t>
      </w:r>
      <w:r w:rsidRPr="00A354E4">
        <w:t xml:space="preserve">analysis of approximately 200 </w:t>
      </w:r>
      <w:r w:rsidR="009B3A27" w:rsidRPr="00A354E4">
        <w:t xml:space="preserve">process safety events </w:t>
      </w:r>
      <w:r w:rsidRPr="00A354E4">
        <w:t>at</w:t>
      </w:r>
      <w:r w:rsidR="007A336D" w:rsidRPr="00A354E4">
        <w:t xml:space="preserve"> </w:t>
      </w:r>
      <w:r w:rsidRPr="00A354E4">
        <w:t>six companies</w:t>
      </w:r>
      <w:r w:rsidR="003E7239" w:rsidRPr="00A354E4">
        <w:t xml:space="preserve">, conducted by The Swedish Process Safety Association (IPS) during 2023. </w:t>
      </w:r>
      <w:r w:rsidRPr="00A354E4">
        <w:t>The objective was to evaluate the scope and quality of investigations, and to draw conclusions about the</w:t>
      </w:r>
      <w:r w:rsidR="00437857" w:rsidRPr="00A354E4">
        <w:t xml:space="preserve"> </w:t>
      </w:r>
      <w:r w:rsidR="00C03731" w:rsidRPr="00A354E4">
        <w:t>lessons learned</w:t>
      </w:r>
      <w:r w:rsidRPr="00A354E4">
        <w:t>.</w:t>
      </w:r>
      <w:r w:rsidR="0095204E" w:rsidRPr="00A354E4">
        <w:t xml:space="preserve"> </w:t>
      </w:r>
      <w:r w:rsidRPr="00A354E4">
        <w:t>At each participating company, records from 30-40 process safety events from recent years were reviewed by a small group of safety specialists from the participating companies, led by the IPS director (this author). Most of the events</w:t>
      </w:r>
      <w:r w:rsidR="00D225D2" w:rsidRPr="00A354E4">
        <w:t xml:space="preserve"> </w:t>
      </w:r>
      <w:r w:rsidRPr="00A354E4">
        <w:t>were relatively minor LOPC's (</w:t>
      </w:r>
      <w:r w:rsidR="00070C76" w:rsidRPr="00A354E4">
        <w:t>l</w:t>
      </w:r>
      <w:r w:rsidRPr="00A354E4">
        <w:t xml:space="preserve">oss of </w:t>
      </w:r>
      <w:r w:rsidR="00070C76" w:rsidRPr="00A354E4">
        <w:t>p</w:t>
      </w:r>
      <w:r w:rsidRPr="00A354E4">
        <w:t>rimary containment), challenges to barriers or malfunctioning barriers.</w:t>
      </w:r>
    </w:p>
    <w:p w14:paraId="41B5F9D0" w14:textId="4E14EAFD" w:rsidR="00F855E0" w:rsidRPr="00A354E4" w:rsidRDefault="00E07C3C" w:rsidP="00A354E4">
      <w:pPr>
        <w:pStyle w:val="CETBodytext"/>
      </w:pPr>
      <w:r w:rsidRPr="00A354E4">
        <w:t>T</w:t>
      </w:r>
      <w:r w:rsidR="00BB6CB5" w:rsidRPr="00A354E4">
        <w:t xml:space="preserve">he </w:t>
      </w:r>
      <w:r w:rsidR="00946FB0" w:rsidRPr="00A354E4">
        <w:t xml:space="preserve">main conclusion </w:t>
      </w:r>
      <w:r w:rsidR="003F3D02" w:rsidRPr="00A354E4">
        <w:t>wa</w:t>
      </w:r>
      <w:r w:rsidR="00946FB0" w:rsidRPr="00A354E4">
        <w:t xml:space="preserve">s that the </w:t>
      </w:r>
      <w:r w:rsidR="007C4573" w:rsidRPr="00A354E4">
        <w:t xml:space="preserve">process of learning from </w:t>
      </w:r>
      <w:r w:rsidR="00B05DDE" w:rsidRPr="00A354E4">
        <w:t>small incidents and near misses</w:t>
      </w:r>
      <w:r w:rsidRPr="00A354E4">
        <w:t xml:space="preserve"> could be improved</w:t>
      </w:r>
      <w:r w:rsidR="002D77CD" w:rsidRPr="00A354E4">
        <w:t xml:space="preserve"> </w:t>
      </w:r>
      <w:r w:rsidR="00946FB0" w:rsidRPr="00A354E4">
        <w:t>significantly</w:t>
      </w:r>
      <w:r w:rsidR="00EC4540" w:rsidRPr="00A354E4">
        <w:t xml:space="preserve">. </w:t>
      </w:r>
      <w:r w:rsidR="00C4599A" w:rsidRPr="00A354E4">
        <w:t>R</w:t>
      </w:r>
      <w:r w:rsidR="00B05DDE" w:rsidRPr="00A354E4">
        <w:t>egular reviews of</w:t>
      </w:r>
      <w:r w:rsidR="002D77CD" w:rsidRPr="00A354E4">
        <w:t xml:space="preserve"> </w:t>
      </w:r>
      <w:r w:rsidR="00C4599A" w:rsidRPr="00A354E4">
        <w:t xml:space="preserve">incident </w:t>
      </w:r>
      <w:r w:rsidR="002D77CD" w:rsidRPr="00A354E4">
        <w:t>reports,</w:t>
      </w:r>
      <w:r w:rsidR="00B05DDE" w:rsidRPr="00A354E4">
        <w:t xml:space="preserve"> investigation</w:t>
      </w:r>
      <w:r w:rsidR="00EB5ED1" w:rsidRPr="00A354E4">
        <w:t xml:space="preserve"> results and </w:t>
      </w:r>
      <w:r w:rsidR="00B05DDE" w:rsidRPr="00A354E4">
        <w:t>resulting actions by process safety specialists and production staff</w:t>
      </w:r>
      <w:r w:rsidR="000905CE" w:rsidRPr="00A354E4">
        <w:t xml:space="preserve"> together</w:t>
      </w:r>
      <w:r w:rsidR="00C4599A" w:rsidRPr="00A354E4">
        <w:t xml:space="preserve"> </w:t>
      </w:r>
      <w:r w:rsidR="00B12FF6" w:rsidRPr="00A354E4">
        <w:t>should be implemented or reinforced</w:t>
      </w:r>
      <w:r w:rsidR="000905CE" w:rsidRPr="00A354E4">
        <w:t>.</w:t>
      </w:r>
      <w:r w:rsidR="00BF3F42" w:rsidRPr="00A354E4">
        <w:t xml:space="preserve"> </w:t>
      </w:r>
      <w:r w:rsidR="00BC2FC1" w:rsidRPr="00A354E4">
        <w:t xml:space="preserve">Regarding </w:t>
      </w:r>
      <w:r w:rsidR="00BC3A0A" w:rsidRPr="00A354E4">
        <w:t>common causal factors</w:t>
      </w:r>
      <w:r w:rsidR="00BC2FC1" w:rsidRPr="00A354E4">
        <w:t>, it was concluded</w:t>
      </w:r>
      <w:r w:rsidR="00BC3A0A" w:rsidRPr="00A354E4">
        <w:t xml:space="preserve"> that poor design/</w:t>
      </w:r>
      <w:r w:rsidR="00127EAB" w:rsidRPr="00A354E4">
        <w:t>construction</w:t>
      </w:r>
      <w:r w:rsidR="00BC3A0A" w:rsidRPr="00A354E4">
        <w:t xml:space="preserve"> </w:t>
      </w:r>
      <w:r w:rsidR="00BC2FC1" w:rsidRPr="00A354E4">
        <w:t xml:space="preserve">often </w:t>
      </w:r>
      <w:r w:rsidR="00BC3A0A" w:rsidRPr="00A354E4">
        <w:t>leads to cumbersome procedures and</w:t>
      </w:r>
      <w:r w:rsidR="00BC2FC1" w:rsidRPr="00A354E4">
        <w:t xml:space="preserve"> thereby </w:t>
      </w:r>
      <w:r w:rsidR="00BC3A0A" w:rsidRPr="00A354E4">
        <w:t xml:space="preserve">invites human error, and </w:t>
      </w:r>
      <w:r w:rsidR="00C945C7" w:rsidRPr="00A354E4">
        <w:t xml:space="preserve">that </w:t>
      </w:r>
      <w:r w:rsidR="00BC3A0A" w:rsidRPr="00A354E4">
        <w:t xml:space="preserve">poor maintenance in aging plants </w:t>
      </w:r>
      <w:r w:rsidR="0095204E" w:rsidRPr="00A354E4">
        <w:t xml:space="preserve">often </w:t>
      </w:r>
      <w:r w:rsidR="00BC3A0A" w:rsidRPr="00A354E4">
        <w:t xml:space="preserve">leads to leaks and malfunctioning equipment. </w:t>
      </w:r>
      <w:r w:rsidR="00BF3F42" w:rsidRPr="00A354E4">
        <w:t>It is proposed that the</w:t>
      </w:r>
      <w:r w:rsidR="00C1351E" w:rsidRPr="00A354E4">
        <w:t>se</w:t>
      </w:r>
      <w:r w:rsidR="00BF3F42" w:rsidRPr="00A354E4">
        <w:t xml:space="preserve"> conclusions can be </w:t>
      </w:r>
      <w:r w:rsidR="008050DE" w:rsidRPr="00A354E4">
        <w:t>generalized</w:t>
      </w:r>
      <w:r w:rsidR="00BF3F42" w:rsidRPr="00A354E4">
        <w:t xml:space="preserve"> to many companies in the process industry.</w:t>
      </w:r>
    </w:p>
    <w:p w14:paraId="476B2F2E" w14:textId="52B36035" w:rsidR="00600535" w:rsidRPr="00B57B36" w:rsidRDefault="00600535" w:rsidP="00600535">
      <w:pPr>
        <w:pStyle w:val="CETHeading1"/>
        <w:rPr>
          <w:lang w:val="en-GB"/>
        </w:rPr>
      </w:pPr>
      <w:r w:rsidRPr="00B57B36">
        <w:rPr>
          <w:lang w:val="en-GB"/>
        </w:rPr>
        <w:t>Introduction</w:t>
      </w:r>
    </w:p>
    <w:p w14:paraId="1AED3853" w14:textId="4B1A6364" w:rsidR="00600535" w:rsidRDefault="003E7239" w:rsidP="00337DC3">
      <w:pPr>
        <w:pStyle w:val="CETBodytext"/>
      </w:pPr>
      <w:r>
        <w:t>The</w:t>
      </w:r>
      <w:r>
        <w:rPr>
          <w:spacing w:val="-25"/>
        </w:rPr>
        <w:t xml:space="preserve"> </w:t>
      </w:r>
      <w:r>
        <w:t>2nd</w:t>
      </w:r>
      <w:r>
        <w:rPr>
          <w:spacing w:val="-24"/>
        </w:rPr>
        <w:t xml:space="preserve"> </w:t>
      </w:r>
      <w:r>
        <w:t>Loop</w:t>
      </w:r>
      <w:r>
        <w:rPr>
          <w:spacing w:val="-25"/>
        </w:rPr>
        <w:t xml:space="preserve"> </w:t>
      </w:r>
      <w:r>
        <w:t>Project</w:t>
      </w:r>
      <w:r>
        <w:rPr>
          <w:spacing w:val="-23"/>
        </w:rPr>
        <w:t xml:space="preserve"> </w:t>
      </w:r>
      <w:r w:rsidR="00377A26">
        <w:t>wa</w:t>
      </w:r>
      <w:r w:rsidR="00C82C18">
        <w:t>s</w:t>
      </w:r>
      <w:r>
        <w:t xml:space="preserve"> a qualitative analysis</w:t>
      </w:r>
      <w:r>
        <w:rPr>
          <w:spacing w:val="-26"/>
        </w:rPr>
        <w:t xml:space="preserve"> </w:t>
      </w:r>
      <w:r>
        <w:t>of</w:t>
      </w:r>
      <w:r>
        <w:rPr>
          <w:spacing w:val="-25"/>
        </w:rPr>
        <w:t xml:space="preserve"> </w:t>
      </w:r>
      <w:r>
        <w:t>approximately</w:t>
      </w:r>
      <w:r>
        <w:rPr>
          <w:spacing w:val="-27"/>
        </w:rPr>
        <w:t xml:space="preserve"> </w:t>
      </w:r>
      <w:r>
        <w:t>200</w:t>
      </w:r>
      <w:r>
        <w:rPr>
          <w:spacing w:val="-26"/>
        </w:rPr>
        <w:t xml:space="preserve"> </w:t>
      </w:r>
      <w:r>
        <w:t>process safety events at</w:t>
      </w:r>
      <w:r>
        <w:rPr>
          <w:spacing w:val="-26"/>
        </w:rPr>
        <w:t xml:space="preserve"> </w:t>
      </w:r>
      <w:r>
        <w:t>six</w:t>
      </w:r>
      <w:r>
        <w:rPr>
          <w:spacing w:val="-23"/>
        </w:rPr>
        <w:t xml:space="preserve"> </w:t>
      </w:r>
      <w:r>
        <w:t>companies, conducted by</w:t>
      </w:r>
      <w:r>
        <w:rPr>
          <w:spacing w:val="-25"/>
        </w:rPr>
        <w:t xml:space="preserve"> </w:t>
      </w:r>
      <w:r>
        <w:t>The</w:t>
      </w:r>
      <w:r>
        <w:rPr>
          <w:spacing w:val="-24"/>
        </w:rPr>
        <w:t xml:space="preserve"> </w:t>
      </w:r>
      <w:r>
        <w:t>Swedish</w:t>
      </w:r>
      <w:r>
        <w:rPr>
          <w:spacing w:val="-26"/>
        </w:rPr>
        <w:t xml:space="preserve"> </w:t>
      </w:r>
      <w:r>
        <w:t>Process</w:t>
      </w:r>
      <w:r>
        <w:rPr>
          <w:spacing w:val="-23"/>
        </w:rPr>
        <w:t xml:space="preserve"> </w:t>
      </w:r>
      <w:r>
        <w:t>Safety</w:t>
      </w:r>
      <w:r>
        <w:rPr>
          <w:spacing w:val="-25"/>
        </w:rPr>
        <w:t xml:space="preserve"> </w:t>
      </w:r>
      <w:r>
        <w:t>Association (IPS) during</w:t>
      </w:r>
      <w:r>
        <w:rPr>
          <w:spacing w:val="-23"/>
        </w:rPr>
        <w:t xml:space="preserve"> </w:t>
      </w:r>
      <w:r>
        <w:rPr>
          <w:spacing w:val="3"/>
        </w:rPr>
        <w:t>2023.</w:t>
      </w:r>
      <w:r>
        <w:rPr>
          <w:spacing w:val="-23"/>
        </w:rPr>
        <w:t xml:space="preserve"> </w:t>
      </w:r>
      <w:r w:rsidR="00337DC3">
        <w:rPr>
          <w:spacing w:val="-25"/>
        </w:rPr>
        <w:t xml:space="preserve"> </w:t>
      </w:r>
    </w:p>
    <w:p w14:paraId="2957BB50" w14:textId="77777777" w:rsidR="00E03B21" w:rsidRDefault="00E03B21" w:rsidP="00337DC3">
      <w:pPr>
        <w:pStyle w:val="CETBodytext"/>
      </w:pPr>
    </w:p>
    <w:p w14:paraId="60D358A5" w14:textId="198DCADF" w:rsidR="00E03B21" w:rsidRDefault="00E03B21" w:rsidP="00337DC3">
      <w:pPr>
        <w:pStyle w:val="CETBodytext"/>
      </w:pPr>
      <w:r>
        <w:t xml:space="preserve">The project was inspired by a doctoral thesis </w:t>
      </w:r>
      <w:r w:rsidR="003E7239">
        <w:t xml:space="preserve">about learning from incidents in the process industries </w:t>
      </w:r>
      <w:r w:rsidR="00DA3C44">
        <w:t>(</w:t>
      </w:r>
      <w:r w:rsidR="00427A88">
        <w:t>Jacobsson, 2011)</w:t>
      </w:r>
      <w:r w:rsidR="00FE4C82">
        <w:t xml:space="preserve">. </w:t>
      </w:r>
      <w:r w:rsidR="008E7CAF">
        <w:t>This is a quote from a</w:t>
      </w:r>
      <w:r w:rsidR="00D724F3">
        <w:t xml:space="preserve"> </w:t>
      </w:r>
      <w:r w:rsidR="00ED3786">
        <w:t>subsequent book</w:t>
      </w:r>
      <w:r w:rsidR="003E7239">
        <w:t xml:space="preserve"> on the same topic</w:t>
      </w:r>
      <w:r w:rsidR="006E3754">
        <w:t xml:space="preserve">, </w:t>
      </w:r>
      <w:r w:rsidR="005469F9">
        <w:t xml:space="preserve">written </w:t>
      </w:r>
      <w:r w:rsidR="00B003C8">
        <w:t xml:space="preserve">by </w:t>
      </w:r>
      <w:r w:rsidR="00374538">
        <w:t>the same author</w:t>
      </w:r>
      <w:r w:rsidR="00B003C8">
        <w:t xml:space="preserve"> </w:t>
      </w:r>
      <w:r w:rsidR="00FB1FA5">
        <w:t xml:space="preserve">(MSB, </w:t>
      </w:r>
      <w:r w:rsidR="00440757">
        <w:t>2012</w:t>
      </w:r>
      <w:r w:rsidR="00377A26">
        <w:t>, p. 11</w:t>
      </w:r>
      <w:r w:rsidR="00440757">
        <w:t>)</w:t>
      </w:r>
      <w:r w:rsidR="006326CB">
        <w:t>:</w:t>
      </w:r>
    </w:p>
    <w:p w14:paraId="441E1CED" w14:textId="77777777" w:rsidR="005E11C5" w:rsidRDefault="005E11C5" w:rsidP="00337DC3">
      <w:pPr>
        <w:pStyle w:val="CETBodytext"/>
      </w:pPr>
    </w:p>
    <w:p w14:paraId="2B9B4F59" w14:textId="17BCF089" w:rsidR="00AB27FC" w:rsidRDefault="00FB1FA5" w:rsidP="005757EB">
      <w:pPr>
        <w:pStyle w:val="CETBodytext"/>
        <w:ind w:left="708"/>
        <w:rPr>
          <w:i/>
          <w:iCs/>
        </w:rPr>
      </w:pPr>
      <w:r>
        <w:rPr>
          <w:i/>
          <w:iCs/>
        </w:rPr>
        <w:t xml:space="preserve">There are many </w:t>
      </w:r>
      <w:r w:rsidR="006326CB">
        <w:rPr>
          <w:i/>
          <w:iCs/>
        </w:rPr>
        <w:t>small incidents</w:t>
      </w:r>
      <w:r w:rsidR="00DD0FA6">
        <w:rPr>
          <w:i/>
          <w:iCs/>
        </w:rPr>
        <w:t>, and few major ones. Correctly handled</w:t>
      </w:r>
      <w:r w:rsidR="008E66F0">
        <w:rPr>
          <w:i/>
          <w:iCs/>
        </w:rPr>
        <w:t xml:space="preserve"> the small incidents are a source of </w:t>
      </w:r>
      <w:r w:rsidR="00BC0608">
        <w:rPr>
          <w:i/>
          <w:iCs/>
        </w:rPr>
        <w:t>many</w:t>
      </w:r>
      <w:r w:rsidR="00132C6B">
        <w:rPr>
          <w:i/>
          <w:iCs/>
        </w:rPr>
        <w:t xml:space="preserve"> lessons to learn from.</w:t>
      </w:r>
      <w:r w:rsidR="00AF347A">
        <w:rPr>
          <w:i/>
          <w:iCs/>
        </w:rPr>
        <w:t xml:space="preserve"> </w:t>
      </w:r>
      <w:r w:rsidR="00BC0608">
        <w:rPr>
          <w:i/>
          <w:iCs/>
        </w:rPr>
        <w:t xml:space="preserve">Even </w:t>
      </w:r>
      <w:r w:rsidR="00E83FE8">
        <w:rPr>
          <w:i/>
          <w:iCs/>
        </w:rPr>
        <w:t>deep-seated</w:t>
      </w:r>
      <w:r w:rsidR="00BC0608">
        <w:rPr>
          <w:i/>
          <w:iCs/>
        </w:rPr>
        <w:t xml:space="preserve"> weaknesses in an organization </w:t>
      </w:r>
      <w:r w:rsidR="003B62CC">
        <w:rPr>
          <w:i/>
          <w:iCs/>
        </w:rPr>
        <w:t xml:space="preserve">and its systems </w:t>
      </w:r>
      <w:r w:rsidR="00E83FE8">
        <w:rPr>
          <w:i/>
          <w:iCs/>
        </w:rPr>
        <w:t>c</w:t>
      </w:r>
      <w:r w:rsidR="003B62CC">
        <w:rPr>
          <w:i/>
          <w:iCs/>
        </w:rPr>
        <w:t xml:space="preserve">an be identified by good handling of </w:t>
      </w:r>
      <w:r w:rsidR="00E83FE8">
        <w:rPr>
          <w:i/>
          <w:iCs/>
        </w:rPr>
        <w:t xml:space="preserve">the </w:t>
      </w:r>
      <w:r w:rsidR="003B62CC">
        <w:rPr>
          <w:i/>
          <w:iCs/>
        </w:rPr>
        <w:t>small incident</w:t>
      </w:r>
      <w:r w:rsidR="003F4267">
        <w:rPr>
          <w:i/>
          <w:iCs/>
        </w:rPr>
        <w:t>s. By taking good care of the small in</w:t>
      </w:r>
      <w:r w:rsidR="00E83FE8">
        <w:rPr>
          <w:i/>
          <w:iCs/>
        </w:rPr>
        <w:t>c</w:t>
      </w:r>
      <w:r w:rsidR="003F4267">
        <w:rPr>
          <w:i/>
          <w:iCs/>
        </w:rPr>
        <w:t xml:space="preserve">idents, one </w:t>
      </w:r>
      <w:r w:rsidR="006D6116">
        <w:rPr>
          <w:i/>
          <w:iCs/>
        </w:rPr>
        <w:t xml:space="preserve">can </w:t>
      </w:r>
      <w:r w:rsidR="00CE6CB4">
        <w:rPr>
          <w:i/>
          <w:iCs/>
        </w:rPr>
        <w:t>learn</w:t>
      </w:r>
      <w:r w:rsidR="006D6116">
        <w:rPr>
          <w:i/>
          <w:iCs/>
        </w:rPr>
        <w:t xml:space="preserve"> lessons </w:t>
      </w:r>
      <w:r w:rsidR="002C3A34">
        <w:rPr>
          <w:i/>
          <w:iCs/>
        </w:rPr>
        <w:t xml:space="preserve">in nearly all areas that matter </w:t>
      </w:r>
      <w:r w:rsidR="00CE6CB4">
        <w:rPr>
          <w:i/>
          <w:iCs/>
        </w:rPr>
        <w:t>for</w:t>
      </w:r>
      <w:r w:rsidR="002D15FE">
        <w:rPr>
          <w:i/>
          <w:iCs/>
        </w:rPr>
        <w:t xml:space="preserve"> </w:t>
      </w:r>
      <w:r w:rsidR="002C3A34">
        <w:rPr>
          <w:i/>
          <w:iCs/>
        </w:rPr>
        <w:t>safe</w:t>
      </w:r>
      <w:r w:rsidR="00CE6CB4">
        <w:rPr>
          <w:i/>
          <w:iCs/>
        </w:rPr>
        <w:t>t</w:t>
      </w:r>
      <w:r w:rsidR="002D15FE">
        <w:rPr>
          <w:i/>
          <w:iCs/>
        </w:rPr>
        <w:t xml:space="preserve">y. The major accident should not </w:t>
      </w:r>
      <w:r w:rsidR="00467621">
        <w:rPr>
          <w:i/>
          <w:iCs/>
        </w:rPr>
        <w:t>have to occur!</w:t>
      </w:r>
    </w:p>
    <w:p w14:paraId="66072A3B" w14:textId="77777777" w:rsidR="00AB27FC" w:rsidRDefault="00AB27FC" w:rsidP="005757EB">
      <w:pPr>
        <w:pStyle w:val="CETBodytext"/>
        <w:ind w:left="708"/>
        <w:rPr>
          <w:i/>
          <w:iCs/>
        </w:rPr>
      </w:pPr>
    </w:p>
    <w:p w14:paraId="457B9B5E" w14:textId="6A009BEB" w:rsidR="005E11C5" w:rsidRDefault="00C562B9" w:rsidP="00AB27FC">
      <w:pPr>
        <w:pStyle w:val="CETBodytext"/>
      </w:pPr>
      <w:r>
        <w:t xml:space="preserve">The specific objective </w:t>
      </w:r>
      <w:r w:rsidR="003E7239">
        <w:t xml:space="preserve">of the project </w:t>
      </w:r>
      <w:r>
        <w:t xml:space="preserve">was to evaluate the scope and quality of investigations and to draw conclusions about the lessons learned and the process of learning from incidents. The wider objective was to promote improved learning from incidents among </w:t>
      </w:r>
      <w:r w:rsidR="00377A26">
        <w:t xml:space="preserve">IPS </w:t>
      </w:r>
      <w:r>
        <w:t>member companies by dissemination of the project</w:t>
      </w:r>
      <w:r w:rsidR="00C1351E">
        <w:t xml:space="preserve"> results. This</w:t>
      </w:r>
      <w:r w:rsidR="00AB27FC">
        <w:t xml:space="preserve"> paper is a summary of the </w:t>
      </w:r>
      <w:r w:rsidR="00B2341C">
        <w:t>project report (IPS, 2024).</w:t>
      </w:r>
      <w:r w:rsidR="005E11C5">
        <w:tab/>
      </w:r>
    </w:p>
    <w:p w14:paraId="5741900F" w14:textId="41E15D51" w:rsidR="00453E24" w:rsidRDefault="00860801" w:rsidP="00453E24">
      <w:pPr>
        <w:pStyle w:val="CETHeading1"/>
      </w:pPr>
      <w:r>
        <w:t>Method</w:t>
      </w:r>
    </w:p>
    <w:p w14:paraId="6B30AB28" w14:textId="75A80F8A" w:rsidR="00F37B2C" w:rsidRDefault="0031278A" w:rsidP="00860801">
      <w:pPr>
        <w:pStyle w:val="CETBodytext"/>
      </w:pPr>
      <w:r>
        <w:t xml:space="preserve">A </w:t>
      </w:r>
      <w:r w:rsidR="00300DE4">
        <w:t xml:space="preserve">project </w:t>
      </w:r>
      <w:r w:rsidR="0045790F">
        <w:t>proposal</w:t>
      </w:r>
      <w:r w:rsidR="00300DE4">
        <w:t xml:space="preserve"> was developed by the IPS director </w:t>
      </w:r>
      <w:r w:rsidR="008B0789">
        <w:t xml:space="preserve">(this author) </w:t>
      </w:r>
      <w:r w:rsidR="000F4046">
        <w:t>i</w:t>
      </w:r>
      <w:r w:rsidR="00300DE4">
        <w:t>n cooperation with the IPS program committee and se</w:t>
      </w:r>
      <w:r w:rsidR="00F02CE1">
        <w:t xml:space="preserve">nt to all </w:t>
      </w:r>
      <w:r w:rsidR="0045790F">
        <w:t xml:space="preserve">the </w:t>
      </w:r>
      <w:r w:rsidR="00F02CE1">
        <w:t xml:space="preserve">member companies who operate process plants. </w:t>
      </w:r>
      <w:r w:rsidR="00F37B2C">
        <w:t>As a result, s</w:t>
      </w:r>
      <w:r w:rsidR="00F02CE1">
        <w:t xml:space="preserve">ix companies </w:t>
      </w:r>
      <w:r w:rsidR="00C562B9">
        <w:t xml:space="preserve">who operate chemical or petrochemical plants covered by the Seveso Act in Sweden </w:t>
      </w:r>
      <w:r w:rsidR="00F37B2C">
        <w:t>decided to participate:</w:t>
      </w:r>
    </w:p>
    <w:p w14:paraId="6F04C95E" w14:textId="3A9F85A5" w:rsidR="00F37B2C" w:rsidRDefault="00F37B2C" w:rsidP="00F37B2C">
      <w:pPr>
        <w:pStyle w:val="CETBodytext"/>
        <w:numPr>
          <w:ilvl w:val="0"/>
          <w:numId w:val="25"/>
        </w:numPr>
      </w:pPr>
      <w:r>
        <w:t>Borealis</w:t>
      </w:r>
    </w:p>
    <w:p w14:paraId="186937C6" w14:textId="518B4164" w:rsidR="00F37B2C" w:rsidRDefault="00F37B2C" w:rsidP="00F37B2C">
      <w:pPr>
        <w:pStyle w:val="CETBodytext"/>
        <w:numPr>
          <w:ilvl w:val="0"/>
          <w:numId w:val="25"/>
        </w:numPr>
      </w:pPr>
      <w:r>
        <w:t>IneosInovyn</w:t>
      </w:r>
    </w:p>
    <w:p w14:paraId="6D4967A2" w14:textId="1E45C3D9" w:rsidR="00F37B2C" w:rsidRDefault="00F37B2C" w:rsidP="00F37B2C">
      <w:pPr>
        <w:pStyle w:val="CETBodytext"/>
        <w:numPr>
          <w:ilvl w:val="0"/>
          <w:numId w:val="25"/>
        </w:numPr>
      </w:pPr>
      <w:r>
        <w:t>Kemira</w:t>
      </w:r>
    </w:p>
    <w:p w14:paraId="112ED3EE" w14:textId="77777777" w:rsidR="0029264F" w:rsidRDefault="0029264F" w:rsidP="00F37B2C">
      <w:pPr>
        <w:pStyle w:val="CETBodytext"/>
        <w:numPr>
          <w:ilvl w:val="0"/>
          <w:numId w:val="25"/>
        </w:numPr>
      </w:pPr>
      <w:r>
        <w:t>Nynas</w:t>
      </w:r>
    </w:p>
    <w:p w14:paraId="1466CF12" w14:textId="092951AB" w:rsidR="00F37B2C" w:rsidRDefault="00F37B2C" w:rsidP="00F37B2C">
      <w:pPr>
        <w:pStyle w:val="CETBodytext"/>
        <w:numPr>
          <w:ilvl w:val="0"/>
          <w:numId w:val="25"/>
        </w:numPr>
      </w:pPr>
      <w:r>
        <w:lastRenderedPageBreak/>
        <w:t>Perstorp</w:t>
      </w:r>
    </w:p>
    <w:p w14:paraId="220D2317" w14:textId="11CF69B2" w:rsidR="0045790F" w:rsidRPr="00B57B36" w:rsidRDefault="0045790F" w:rsidP="00F37B2C">
      <w:pPr>
        <w:pStyle w:val="CETBodytext"/>
        <w:numPr>
          <w:ilvl w:val="0"/>
          <w:numId w:val="25"/>
        </w:numPr>
      </w:pPr>
      <w:r>
        <w:t>SEKAB</w:t>
      </w:r>
    </w:p>
    <w:p w14:paraId="539EF937" w14:textId="77777777" w:rsidR="00C562B9" w:rsidRDefault="00C562B9" w:rsidP="00453E24">
      <w:pPr>
        <w:pStyle w:val="CETBodytext"/>
      </w:pPr>
    </w:p>
    <w:p w14:paraId="0F47170D" w14:textId="1E1E2DB0" w:rsidR="00924BBE" w:rsidRDefault="008B0789" w:rsidP="00453E24">
      <w:pPr>
        <w:pStyle w:val="CETBodytext"/>
      </w:pPr>
      <w:r>
        <w:t>A project grou</w:t>
      </w:r>
      <w:r w:rsidR="000F4046">
        <w:t>p</w:t>
      </w:r>
      <w:r>
        <w:t xml:space="preserve"> was formed, consisting of the IPS director and 1-2 safety specialist</w:t>
      </w:r>
      <w:r w:rsidR="00B46196">
        <w:t>s</w:t>
      </w:r>
      <w:r>
        <w:t xml:space="preserve"> from each company.</w:t>
      </w:r>
      <w:r w:rsidR="006E278C">
        <w:t xml:space="preserve"> Th</w:t>
      </w:r>
      <w:r w:rsidR="009D508D">
        <w:t>is</w:t>
      </w:r>
      <w:r w:rsidR="006E278C">
        <w:t xml:space="preserve"> group developed </w:t>
      </w:r>
      <w:r w:rsidR="003E7239">
        <w:t xml:space="preserve">a </w:t>
      </w:r>
      <w:r w:rsidR="006E278C">
        <w:t xml:space="preserve">project </w:t>
      </w:r>
      <w:r w:rsidR="00C562B9">
        <w:t xml:space="preserve">plan </w:t>
      </w:r>
      <w:r w:rsidR="003E7239">
        <w:t xml:space="preserve">and conducted the project </w:t>
      </w:r>
      <w:r w:rsidR="001F29CA">
        <w:t>together</w:t>
      </w:r>
      <w:r w:rsidR="006E278C">
        <w:t>.</w:t>
      </w:r>
      <w:r w:rsidR="00894C3F">
        <w:t xml:space="preserve"> </w:t>
      </w:r>
    </w:p>
    <w:p w14:paraId="5436D977" w14:textId="4F1400D4" w:rsidR="00453E24" w:rsidRDefault="00C562B9" w:rsidP="00E655BE">
      <w:pPr>
        <w:pStyle w:val="CETheadingx"/>
      </w:pPr>
      <w:r>
        <w:t>Selection of events</w:t>
      </w:r>
    </w:p>
    <w:p w14:paraId="0224DD25" w14:textId="33807B6E" w:rsidR="00D96EA0" w:rsidRDefault="00C562B9" w:rsidP="00453E24">
      <w:pPr>
        <w:pStyle w:val="CETBodytext"/>
      </w:pPr>
      <w:r>
        <w:t>It was decided to use the definition of Process Safety Event</w:t>
      </w:r>
      <w:r w:rsidR="001F29CA">
        <w:t>s</w:t>
      </w:r>
      <w:r>
        <w:t xml:space="preserve"> (PSE</w:t>
      </w:r>
      <w:r w:rsidR="001F29CA">
        <w:t>:s</w:t>
      </w:r>
      <w:r>
        <w:t>) described in the A</w:t>
      </w:r>
      <w:r w:rsidR="001F29CA">
        <w:t xml:space="preserve">PI </w:t>
      </w:r>
      <w:r>
        <w:t>Recommended Practice 754</w:t>
      </w:r>
      <w:r w:rsidR="001F29CA">
        <w:t xml:space="preserve"> (API, 2021) as the basis for selection of events</w:t>
      </w:r>
      <w:r>
        <w:t xml:space="preserve">. </w:t>
      </w:r>
      <w:r w:rsidR="001F29CA">
        <w:t xml:space="preserve">Parts of API 754 were </w:t>
      </w:r>
      <w:r>
        <w:t>already used</w:t>
      </w:r>
      <w:r w:rsidR="001F29CA">
        <w:t xml:space="preserve"> for event classification </w:t>
      </w:r>
      <w:r>
        <w:t xml:space="preserve">by several of the participating companies. </w:t>
      </w:r>
      <w:r w:rsidR="00924BBE">
        <w:t xml:space="preserve">A </w:t>
      </w:r>
      <w:r w:rsidR="001F29CA">
        <w:t xml:space="preserve">PSE </w:t>
      </w:r>
      <w:r w:rsidR="00924BBE">
        <w:t>is “</w:t>
      </w:r>
      <w:r w:rsidR="003E7239">
        <w:t>a</w:t>
      </w:r>
      <w:r w:rsidR="00924BBE">
        <w:t>n unplanned or uncontrolled release of any material</w:t>
      </w:r>
      <w:r w:rsidR="003E7239">
        <w:t>,</w:t>
      </w:r>
      <w:r w:rsidR="00924BBE">
        <w:t xml:space="preserve"> including non-toxic and non-flammable materials…or an undesired event or condition that under slightly different circumstances could have resulted in a release of material” (API, 2021). PSE</w:t>
      </w:r>
      <w:r w:rsidR="00D96EA0">
        <w:t xml:space="preserve">:s can be divided into Tier 1-4 </w:t>
      </w:r>
      <w:r w:rsidR="00214235">
        <w:t>according to API 754</w:t>
      </w:r>
      <w:r w:rsidR="009A68B7">
        <w:t xml:space="preserve">. That </w:t>
      </w:r>
      <w:r w:rsidR="00D96EA0">
        <w:t xml:space="preserve">was not done </w:t>
      </w:r>
      <w:r w:rsidR="009A68B7">
        <w:t>in the project due to frequent lack of sufficient detail in the data</w:t>
      </w:r>
      <w:r w:rsidR="001F29CA">
        <w:t xml:space="preserve">, but </w:t>
      </w:r>
      <w:r w:rsidR="009A68B7">
        <w:t xml:space="preserve">the definitions </w:t>
      </w:r>
      <w:r w:rsidR="00214235">
        <w:t xml:space="preserve">of Tier 1-3 </w:t>
      </w:r>
      <w:r w:rsidR="009A68B7">
        <w:t xml:space="preserve">were used </w:t>
      </w:r>
      <w:r w:rsidR="006835E3">
        <w:t xml:space="preserve">broadly </w:t>
      </w:r>
      <w:r w:rsidR="009A68B7">
        <w:t>for the selection of relevant events.</w:t>
      </w:r>
    </w:p>
    <w:p w14:paraId="29D871CC" w14:textId="501A8B79" w:rsidR="0029264F" w:rsidRDefault="00D96EA0" w:rsidP="00D96EA0">
      <w:pPr>
        <w:pStyle w:val="CETBodytext"/>
        <w:numPr>
          <w:ilvl w:val="0"/>
          <w:numId w:val="26"/>
        </w:numPr>
      </w:pPr>
      <w:r>
        <w:t>Tier 1: Loss of Primary Containment (LOPC) of Greater Consequence</w:t>
      </w:r>
      <w:r w:rsidR="00214235">
        <w:t>.</w:t>
      </w:r>
    </w:p>
    <w:p w14:paraId="17D54E19" w14:textId="2F5E4F72" w:rsidR="00D96EA0" w:rsidRDefault="00D96EA0" w:rsidP="00D96EA0">
      <w:pPr>
        <w:pStyle w:val="CETBodytext"/>
        <w:numPr>
          <w:ilvl w:val="0"/>
          <w:numId w:val="26"/>
        </w:numPr>
      </w:pPr>
      <w:r>
        <w:t xml:space="preserve">Tier 2: </w:t>
      </w:r>
      <w:r w:rsidR="001F29CA">
        <w:t>LOPC of Lesser Consequence</w:t>
      </w:r>
      <w:r w:rsidR="00214235">
        <w:t>.</w:t>
      </w:r>
    </w:p>
    <w:p w14:paraId="29235D69" w14:textId="1387CC92" w:rsidR="00214235" w:rsidRDefault="001F29CA" w:rsidP="00214235">
      <w:pPr>
        <w:pStyle w:val="CETBodytext"/>
        <w:numPr>
          <w:ilvl w:val="0"/>
          <w:numId w:val="26"/>
        </w:numPr>
      </w:pPr>
      <w:r>
        <w:t>Tier 3:</w:t>
      </w:r>
      <w:r w:rsidR="006835E3">
        <w:t xml:space="preserve"> </w:t>
      </w:r>
      <w:r w:rsidR="003E7239">
        <w:t>LOPC below Tier 1 or 2 or c</w:t>
      </w:r>
      <w:r w:rsidR="00214235">
        <w:t>hallenges to Safety System</w:t>
      </w:r>
      <w:r w:rsidR="003E7239">
        <w:t>s</w:t>
      </w:r>
      <w:r w:rsidR="00214235">
        <w:t xml:space="preserve">, e.g. safe operating limit excursions, inspection or testing results outside acceptable limits, </w:t>
      </w:r>
      <w:r w:rsidR="003E7239">
        <w:t xml:space="preserve">or </w:t>
      </w:r>
      <w:r w:rsidR="00214235">
        <w:t>demands on safety systems.</w:t>
      </w:r>
    </w:p>
    <w:p w14:paraId="001DADA9" w14:textId="77777777" w:rsidR="005250E6" w:rsidRDefault="00C1351E" w:rsidP="00E655BE">
      <w:pPr>
        <w:pStyle w:val="CETheadingx"/>
      </w:pPr>
      <w:r>
        <w:t>Review of events</w:t>
      </w:r>
    </w:p>
    <w:p w14:paraId="0F793081" w14:textId="797A6A50" w:rsidR="006357A7" w:rsidRDefault="006357A7" w:rsidP="005250E6">
      <w:pPr>
        <w:pStyle w:val="CETBodytext"/>
      </w:pPr>
      <w:r>
        <w:t xml:space="preserve">Each team member scanned the incident database </w:t>
      </w:r>
      <w:r w:rsidR="00BA116D">
        <w:t>at</w:t>
      </w:r>
      <w:r>
        <w:t xml:space="preserve"> his/her company, working backwards in time until 30-40 events had been identified. The number was agreed by the team to get a manageable scope, considering the time and resources available. Typically, the </w:t>
      </w:r>
      <w:r w:rsidR="00377A26">
        <w:t xml:space="preserve">events had occurred in the previous </w:t>
      </w:r>
      <w:r>
        <w:t>1-3 years. At one company, events at sites both in Sweden and abroad were considered. At the remaining five companies, only events at the site where the project team member was based were considered.</w:t>
      </w:r>
    </w:p>
    <w:p w14:paraId="27BF798B" w14:textId="77777777" w:rsidR="006357A7" w:rsidRDefault="006357A7" w:rsidP="00C1351E">
      <w:pPr>
        <w:pStyle w:val="CETBodytext"/>
      </w:pPr>
    </w:p>
    <w:p w14:paraId="161E7F46" w14:textId="0538F1F2" w:rsidR="005250E6" w:rsidRDefault="00C1351E" w:rsidP="005250E6">
      <w:pPr>
        <w:pStyle w:val="CETBodytext"/>
      </w:pPr>
      <w:r>
        <w:t xml:space="preserve">The database records for each event were reviewed </w:t>
      </w:r>
      <w:r w:rsidR="00D606B0">
        <w:t xml:space="preserve">and classified </w:t>
      </w:r>
      <w:r>
        <w:t>in two-day meetings at each company. The IPS director and the project team member f</w:t>
      </w:r>
      <w:r w:rsidR="008050DE">
        <w:t xml:space="preserve">rom </w:t>
      </w:r>
      <w:r>
        <w:t xml:space="preserve">the company in question participated in person, and one of the other team members participated via Microsoft Teams. At times, other staff from the company in question </w:t>
      </w:r>
      <w:r w:rsidR="00D606B0">
        <w:t xml:space="preserve">also </w:t>
      </w:r>
      <w:r>
        <w:t xml:space="preserve">participated. Generally, only </w:t>
      </w:r>
      <w:r w:rsidR="00D606B0">
        <w:t xml:space="preserve">the </w:t>
      </w:r>
      <w:r>
        <w:t xml:space="preserve">information available in each company’s </w:t>
      </w:r>
      <w:r w:rsidR="00D606B0">
        <w:t xml:space="preserve">incident </w:t>
      </w:r>
      <w:r>
        <w:t>database was considered</w:t>
      </w:r>
      <w:r w:rsidR="00D606B0">
        <w:t>. I</w:t>
      </w:r>
      <w:r>
        <w:t xml:space="preserve">n </w:t>
      </w:r>
      <w:r w:rsidR="00D606B0">
        <w:t>a few</w:t>
      </w:r>
      <w:r>
        <w:t xml:space="preserve"> cases</w:t>
      </w:r>
      <w:r w:rsidR="00D606B0">
        <w:t xml:space="preserve">, </w:t>
      </w:r>
      <w:r>
        <w:t xml:space="preserve">additional </w:t>
      </w:r>
      <w:r w:rsidR="00D606B0">
        <w:t xml:space="preserve">information </w:t>
      </w:r>
      <w:r w:rsidR="006357A7">
        <w:t xml:space="preserve">about a particular event </w:t>
      </w:r>
      <w:r w:rsidR="00D606B0">
        <w:t xml:space="preserve">was also </w:t>
      </w:r>
      <w:r w:rsidR="006357A7">
        <w:t xml:space="preserve">made </w:t>
      </w:r>
      <w:r w:rsidR="00D606B0">
        <w:t>available</w:t>
      </w:r>
      <w:r>
        <w:t>.</w:t>
      </w:r>
    </w:p>
    <w:p w14:paraId="643DC30C" w14:textId="6912ED17" w:rsidR="00D606B0" w:rsidRPr="005250E6" w:rsidRDefault="00D606B0" w:rsidP="00E655BE">
      <w:pPr>
        <w:pStyle w:val="CETheadingx"/>
      </w:pPr>
      <w:r w:rsidRPr="005250E6">
        <w:t>Classification</w:t>
      </w:r>
    </w:p>
    <w:p w14:paraId="7C9E6BA5" w14:textId="18200640" w:rsidR="00D606B0" w:rsidRDefault="006835E3" w:rsidP="00C1351E">
      <w:pPr>
        <w:pStyle w:val="CETBodytext"/>
      </w:pPr>
      <w:r>
        <w:t>During the review meetings, e</w:t>
      </w:r>
      <w:r w:rsidR="00D606B0">
        <w:t xml:space="preserve">ach event was classified </w:t>
      </w:r>
      <w:r>
        <w:t>with</w:t>
      </w:r>
      <w:r w:rsidR="00D606B0">
        <w:t xml:space="preserve"> the following parameters:</w:t>
      </w:r>
    </w:p>
    <w:p w14:paraId="49FAE57A" w14:textId="1B45CF8D" w:rsidR="00C1351E" w:rsidRDefault="00D606B0" w:rsidP="00D606B0">
      <w:pPr>
        <w:pStyle w:val="CETBodytext"/>
        <w:numPr>
          <w:ilvl w:val="0"/>
          <w:numId w:val="27"/>
        </w:numPr>
      </w:pPr>
      <w:r>
        <w:t>Mode of operation according to API 754</w:t>
      </w:r>
      <w:r w:rsidR="00C07C85">
        <w:t>.</w:t>
      </w:r>
    </w:p>
    <w:p w14:paraId="76A1E978" w14:textId="60381170" w:rsidR="00D606B0" w:rsidRDefault="00D606B0" w:rsidP="00D606B0">
      <w:pPr>
        <w:pStyle w:val="CETBodytext"/>
        <w:numPr>
          <w:ilvl w:val="0"/>
          <w:numId w:val="27"/>
        </w:numPr>
      </w:pPr>
      <w:r>
        <w:t>Point of release</w:t>
      </w:r>
      <w:r w:rsidR="006835E3">
        <w:t xml:space="preserve"> according to API 754</w:t>
      </w:r>
      <w:r w:rsidR="00C07C85">
        <w:t>.</w:t>
      </w:r>
    </w:p>
    <w:p w14:paraId="094E8827" w14:textId="305D9505" w:rsidR="006835E3" w:rsidRDefault="006835E3" w:rsidP="00D606B0">
      <w:pPr>
        <w:pStyle w:val="CETBodytext"/>
        <w:numPr>
          <w:ilvl w:val="0"/>
          <w:numId w:val="27"/>
        </w:numPr>
      </w:pPr>
      <w:r>
        <w:t>Causal factors according to API 754</w:t>
      </w:r>
      <w:r w:rsidR="00127EAB">
        <w:t xml:space="preserve">. There are 13 primary causal factors in the model, and each has </w:t>
      </w:r>
      <w:r w:rsidR="00C82C18">
        <w:t>several</w:t>
      </w:r>
      <w:r w:rsidR="00127EAB">
        <w:t xml:space="preserve"> sub-categories. For each event, three primary categories and sub-categories were selected.</w:t>
      </w:r>
    </w:p>
    <w:p w14:paraId="5904AC81" w14:textId="29AA0246" w:rsidR="006835E3" w:rsidRPr="002A7A10" w:rsidRDefault="006835E3" w:rsidP="002A7A10">
      <w:pPr>
        <w:pStyle w:val="CETBodytext"/>
        <w:numPr>
          <w:ilvl w:val="0"/>
          <w:numId w:val="27"/>
        </w:numPr>
        <w:rPr>
          <w:color w:val="000000" w:themeColor="text1"/>
        </w:rPr>
      </w:pPr>
      <w:r>
        <w:t>Actual severity according to the IPS 5x5 risk matrix (IPS, 2012)</w:t>
      </w:r>
      <w:r w:rsidR="002A7A10">
        <w:rPr>
          <w:color w:val="FF0000"/>
        </w:rPr>
        <w:t xml:space="preserve"> </w:t>
      </w:r>
      <w:r w:rsidR="002A7A10" w:rsidRPr="002A7A10">
        <w:rPr>
          <w:color w:val="000000" w:themeColor="text1"/>
        </w:rPr>
        <w:t xml:space="preserve">where severity 1 </w:t>
      </w:r>
      <w:r w:rsidR="008050DE">
        <w:rPr>
          <w:color w:val="000000" w:themeColor="text1"/>
        </w:rPr>
        <w:t xml:space="preserve">means </w:t>
      </w:r>
      <w:r w:rsidR="002A7A10" w:rsidRPr="002A7A10">
        <w:rPr>
          <w:color w:val="000000" w:themeColor="text1"/>
        </w:rPr>
        <w:t xml:space="preserve">negligible </w:t>
      </w:r>
      <w:r w:rsidR="008050DE">
        <w:rPr>
          <w:color w:val="000000" w:themeColor="text1"/>
        </w:rPr>
        <w:t xml:space="preserve">effects on </w:t>
      </w:r>
      <w:r w:rsidR="002A7A10" w:rsidRPr="002A7A10">
        <w:rPr>
          <w:color w:val="000000" w:themeColor="text1"/>
        </w:rPr>
        <w:t xml:space="preserve">people, </w:t>
      </w:r>
      <w:r w:rsidR="008050DE">
        <w:rPr>
          <w:color w:val="000000" w:themeColor="text1"/>
        </w:rPr>
        <w:t xml:space="preserve">the </w:t>
      </w:r>
      <w:r w:rsidR="002A7A10" w:rsidRPr="002A7A10">
        <w:rPr>
          <w:color w:val="000000" w:themeColor="text1"/>
        </w:rPr>
        <w:t>environment and financ</w:t>
      </w:r>
      <w:r w:rsidR="008050DE">
        <w:rPr>
          <w:color w:val="000000" w:themeColor="text1"/>
        </w:rPr>
        <w:t>es</w:t>
      </w:r>
      <w:r w:rsidR="002A7A10" w:rsidRPr="002A7A10">
        <w:rPr>
          <w:color w:val="000000" w:themeColor="text1"/>
        </w:rPr>
        <w:t xml:space="preserve">, and 5 </w:t>
      </w:r>
      <w:r w:rsidR="008050DE">
        <w:rPr>
          <w:color w:val="000000" w:themeColor="text1"/>
        </w:rPr>
        <w:t>means</w:t>
      </w:r>
      <w:r w:rsidR="002A7A10" w:rsidRPr="002A7A10">
        <w:rPr>
          <w:color w:val="000000" w:themeColor="text1"/>
        </w:rPr>
        <w:t xml:space="preserve"> multiple fatalities, severe environmental effects or major financial impact.</w:t>
      </w:r>
    </w:p>
    <w:p w14:paraId="13407DE4" w14:textId="20C9570E" w:rsidR="006835E3" w:rsidRDefault="006835E3" w:rsidP="006835E3">
      <w:pPr>
        <w:pStyle w:val="CETBodytext"/>
        <w:numPr>
          <w:ilvl w:val="0"/>
          <w:numId w:val="27"/>
        </w:numPr>
      </w:pPr>
      <w:r>
        <w:t>Potential severity and risk according to the IPS 5x5 risk matrix (IPS, 2012)</w:t>
      </w:r>
      <w:r w:rsidR="002A7A10">
        <w:t xml:space="preserve">, where frequency 1 is less than 0,001 per year and 5 is more than once per year. </w:t>
      </w:r>
    </w:p>
    <w:p w14:paraId="4FE5A330" w14:textId="610A8641" w:rsidR="006835E3" w:rsidRDefault="006835E3" w:rsidP="00D606B0">
      <w:pPr>
        <w:pStyle w:val="CETBodytext"/>
        <w:numPr>
          <w:ilvl w:val="0"/>
          <w:numId w:val="27"/>
        </w:numPr>
      </w:pPr>
      <w:r>
        <w:t xml:space="preserve">Amount </w:t>
      </w:r>
      <w:r w:rsidR="004F5C89">
        <w:t xml:space="preserve">and quality </w:t>
      </w:r>
      <w:r>
        <w:t xml:space="preserve">of </w:t>
      </w:r>
      <w:r w:rsidR="00377A26">
        <w:t xml:space="preserve">the </w:t>
      </w:r>
      <w:r>
        <w:t xml:space="preserve">information available in the database on a scale from 1 (very limited) </w:t>
      </w:r>
      <w:r w:rsidR="008050DE">
        <w:t>to</w:t>
      </w:r>
      <w:r>
        <w:t xml:space="preserve"> 3 (comprehensive)</w:t>
      </w:r>
      <w:r w:rsidR="00C07C85">
        <w:t>.</w:t>
      </w:r>
    </w:p>
    <w:p w14:paraId="0CB89EA1" w14:textId="31F4D799" w:rsidR="004F5C89" w:rsidRDefault="004F5C89" w:rsidP="00E655BE">
      <w:pPr>
        <w:pStyle w:val="CETheadingx"/>
      </w:pPr>
      <w:r>
        <w:t>Review of results and conclusions</w:t>
      </w:r>
    </w:p>
    <w:p w14:paraId="29569529" w14:textId="58BC6181" w:rsidR="004F5C89" w:rsidRPr="004F5C89" w:rsidRDefault="00377A26" w:rsidP="004F5C89">
      <w:pPr>
        <w:pStyle w:val="CETBodytext"/>
      </w:pPr>
      <w:r>
        <w:t>D</w:t>
      </w:r>
      <w:r w:rsidR="00A46396">
        <w:t xml:space="preserve">uring the preparation of the report, </w:t>
      </w:r>
      <w:r>
        <w:t xml:space="preserve">there were meetings with the project group </w:t>
      </w:r>
      <w:r w:rsidR="00A46396">
        <w:t>to review and calibrate the results and agree on conclusions.</w:t>
      </w:r>
    </w:p>
    <w:p w14:paraId="677EBFF0" w14:textId="499F8DAB" w:rsidR="00600535" w:rsidRDefault="00860801" w:rsidP="00600535">
      <w:pPr>
        <w:pStyle w:val="CETHeading1"/>
        <w:tabs>
          <w:tab w:val="right" w:pos="7100"/>
        </w:tabs>
        <w:jc w:val="both"/>
        <w:rPr>
          <w:lang w:val="en-GB"/>
        </w:rPr>
      </w:pPr>
      <w:r>
        <w:rPr>
          <w:lang w:val="en-GB"/>
        </w:rPr>
        <w:t>Results</w:t>
      </w:r>
    </w:p>
    <w:p w14:paraId="17A21147" w14:textId="44F0ECEF" w:rsidR="00A61BB5" w:rsidRDefault="002749E1" w:rsidP="00A61BB5">
      <w:pPr>
        <w:pStyle w:val="CETBodytext"/>
        <w:rPr>
          <w:lang w:val="en-GB"/>
        </w:rPr>
      </w:pPr>
      <w:r>
        <w:rPr>
          <w:lang w:val="en-GB"/>
        </w:rPr>
        <w:t>Key</w:t>
      </w:r>
      <w:r w:rsidR="00B108D3">
        <w:rPr>
          <w:lang w:val="en-GB"/>
        </w:rPr>
        <w:t xml:space="preserve"> </w:t>
      </w:r>
      <w:r w:rsidR="00A61BB5">
        <w:rPr>
          <w:lang w:val="en-GB"/>
        </w:rPr>
        <w:t xml:space="preserve">aggregated </w:t>
      </w:r>
      <w:r w:rsidR="00B108D3">
        <w:rPr>
          <w:lang w:val="en-GB"/>
        </w:rPr>
        <w:t>result</w:t>
      </w:r>
      <w:r>
        <w:rPr>
          <w:lang w:val="en-GB"/>
        </w:rPr>
        <w:t>s</w:t>
      </w:r>
      <w:r w:rsidR="00B108D3">
        <w:rPr>
          <w:lang w:val="en-GB"/>
        </w:rPr>
        <w:t xml:space="preserve"> of the classification</w:t>
      </w:r>
      <w:r w:rsidR="00FF1632">
        <w:rPr>
          <w:lang w:val="en-GB"/>
        </w:rPr>
        <w:t>s</w:t>
      </w:r>
      <w:r w:rsidR="00B108D3">
        <w:rPr>
          <w:lang w:val="en-GB"/>
        </w:rPr>
        <w:t xml:space="preserve"> </w:t>
      </w:r>
      <w:r>
        <w:rPr>
          <w:lang w:val="en-GB"/>
        </w:rPr>
        <w:t>are</w:t>
      </w:r>
      <w:r w:rsidR="00B108D3">
        <w:rPr>
          <w:lang w:val="en-GB"/>
        </w:rPr>
        <w:t xml:space="preserve"> shown in the diagrams below</w:t>
      </w:r>
      <w:r w:rsidR="008050DE">
        <w:rPr>
          <w:lang w:val="en-GB"/>
        </w:rPr>
        <w:t>. A</w:t>
      </w:r>
      <w:r w:rsidR="00A61BB5">
        <w:rPr>
          <w:lang w:val="en-GB"/>
        </w:rPr>
        <w:t>dditional diagrams are included in the project report (IPS, 2024).</w:t>
      </w:r>
    </w:p>
    <w:p w14:paraId="40439A65" w14:textId="77777777" w:rsidR="00A61BB5" w:rsidRDefault="00A61BB5" w:rsidP="001E62E8">
      <w:pPr>
        <w:pStyle w:val="CETBodytext"/>
        <w:rPr>
          <w:lang w:val="en-GB"/>
        </w:rPr>
      </w:pPr>
    </w:p>
    <w:p w14:paraId="1E7F9F93" w14:textId="647D1FD7" w:rsidR="00A61BB5" w:rsidRDefault="00A61BB5" w:rsidP="001E62E8">
      <w:pPr>
        <w:pStyle w:val="CETBodytext"/>
        <w:rPr>
          <w:lang w:val="en-GB"/>
        </w:rPr>
      </w:pPr>
      <w:r>
        <w:rPr>
          <w:lang w:val="en-GB"/>
        </w:rPr>
        <w:t>There were some differences between the participating companies, but</w:t>
      </w:r>
      <w:r w:rsidR="007A0496">
        <w:rPr>
          <w:lang w:val="en-GB"/>
        </w:rPr>
        <w:t xml:space="preserve"> </w:t>
      </w:r>
      <w:r>
        <w:rPr>
          <w:lang w:val="en-GB"/>
        </w:rPr>
        <w:t xml:space="preserve">the </w:t>
      </w:r>
      <w:r w:rsidR="007A0496">
        <w:rPr>
          <w:lang w:val="en-GB"/>
        </w:rPr>
        <w:t xml:space="preserve">overall </w:t>
      </w:r>
      <w:r>
        <w:rPr>
          <w:lang w:val="en-GB"/>
        </w:rPr>
        <w:t>results and conclusions are valid for all the participating companies, with only slight variations.</w:t>
      </w:r>
      <w:r w:rsidR="00B108D3">
        <w:rPr>
          <w:lang w:val="en-GB"/>
        </w:rPr>
        <w:t xml:space="preserve"> </w:t>
      </w:r>
      <w:r w:rsidR="007A0496">
        <w:rPr>
          <w:lang w:val="en-GB"/>
        </w:rPr>
        <w:t>Detailed results were kept by each company</w:t>
      </w:r>
      <w:r w:rsidR="008050DE">
        <w:rPr>
          <w:lang w:val="en-GB"/>
        </w:rPr>
        <w:t xml:space="preserve"> </w:t>
      </w:r>
      <w:r w:rsidR="007A0496">
        <w:rPr>
          <w:lang w:val="en-GB"/>
        </w:rPr>
        <w:t>for internal use.</w:t>
      </w:r>
    </w:p>
    <w:p w14:paraId="6AEAA7CE" w14:textId="77777777" w:rsidR="00A61BB5" w:rsidRDefault="00A61BB5" w:rsidP="001E62E8">
      <w:pPr>
        <w:pStyle w:val="CETBodytext"/>
        <w:rPr>
          <w:lang w:val="en-GB"/>
        </w:rPr>
      </w:pPr>
    </w:p>
    <w:p w14:paraId="5169D525" w14:textId="6993DA65" w:rsidR="007A042F" w:rsidRDefault="00374538" w:rsidP="00E655BE">
      <w:pPr>
        <w:pStyle w:val="CETheadingx"/>
      </w:pPr>
      <w:r>
        <w:lastRenderedPageBreak/>
        <w:t>Actual severity</w:t>
      </w:r>
    </w:p>
    <w:p w14:paraId="7192CAF5" w14:textId="48F1A485" w:rsidR="00A74DFA" w:rsidRDefault="00127EAB" w:rsidP="00FF1632">
      <w:pPr>
        <w:pStyle w:val="CETBodytext"/>
      </w:pPr>
      <w:r>
        <w:t>Most of</w:t>
      </w:r>
      <w:r w:rsidR="00FF1632">
        <w:t xml:space="preserve"> </w:t>
      </w:r>
      <w:r w:rsidR="00A74DFA">
        <w:t xml:space="preserve">the </w:t>
      </w:r>
      <w:r w:rsidR="00FF1632">
        <w:t xml:space="preserve">events had negligible or </w:t>
      </w:r>
      <w:r w:rsidR="007E2F38">
        <w:t>minor</w:t>
      </w:r>
      <w:r w:rsidR="00FF1632">
        <w:t xml:space="preserve"> consequences</w:t>
      </w:r>
      <w:r w:rsidR="00DC6B07">
        <w:t>.</w:t>
      </w:r>
      <w:r w:rsidR="007A0496">
        <w:t xml:space="preserve"> </w:t>
      </w:r>
      <w:r w:rsidR="00DC6B07">
        <w:t xml:space="preserve">That is an indication that the reporting </w:t>
      </w:r>
      <w:r w:rsidR="007A0496">
        <w:t xml:space="preserve">of </w:t>
      </w:r>
      <w:r w:rsidR="00DC6B07">
        <w:t xml:space="preserve">near-misses and anomalies is working, </w:t>
      </w:r>
      <w:r w:rsidR="007A0496">
        <w:t xml:space="preserve">even if </w:t>
      </w:r>
      <w:r w:rsidR="00DC6B07">
        <w:t xml:space="preserve">there </w:t>
      </w:r>
      <w:r w:rsidR="007A0496">
        <w:t>is some</w:t>
      </w:r>
      <w:r w:rsidR="00DC6B07">
        <w:t xml:space="preserve"> under-reporting. </w:t>
      </w:r>
    </w:p>
    <w:p w14:paraId="72111BBE" w14:textId="632A873B" w:rsidR="00FF1632" w:rsidRPr="00FF1632" w:rsidRDefault="00A74DFA" w:rsidP="00FF1632">
      <w:pPr>
        <w:pStyle w:val="CETBodytext"/>
      </w:pPr>
      <w:r>
        <w:t xml:space="preserve"> </w:t>
      </w:r>
    </w:p>
    <w:p w14:paraId="54A9A4CB" w14:textId="042DE1CE" w:rsidR="00374538" w:rsidRDefault="00374538" w:rsidP="00374538">
      <w:pPr>
        <w:pStyle w:val="CETBodytext"/>
      </w:pPr>
      <w:r>
        <w:rPr>
          <w:noProof/>
        </w:rPr>
        <w:drawing>
          <wp:inline distT="0" distB="0" distL="0" distR="0" wp14:anchorId="6F3C5022" wp14:editId="04A3D30B">
            <wp:extent cx="5227320" cy="2449902"/>
            <wp:effectExtent l="0" t="0" r="17780" b="13970"/>
            <wp:docPr id="2142881073" name="Diagram 1">
              <a:extLst xmlns:a="http://schemas.openxmlformats.org/drawingml/2006/main">
                <a:ext uri="{FF2B5EF4-FFF2-40B4-BE49-F238E27FC236}">
                  <a16:creationId xmlns:a16="http://schemas.microsoft.com/office/drawing/2014/main" id="{D27EE95E-A31C-DD90-C51F-70EFC12D8C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28420E" w14:textId="1CE9F7AA" w:rsidR="004F5C89" w:rsidRDefault="00556CC7" w:rsidP="00A74DFA">
      <w:pPr>
        <w:pStyle w:val="CETCaption"/>
      </w:pPr>
      <w:r>
        <w:t>Diagram 1: The total number of Process Safety Events in each severity category</w:t>
      </w:r>
    </w:p>
    <w:p w14:paraId="0C111B16" w14:textId="6C015968" w:rsidR="004F5C89" w:rsidRDefault="004F5C89" w:rsidP="00E655BE">
      <w:pPr>
        <w:pStyle w:val="CETheadingx"/>
      </w:pPr>
      <w:r>
        <w:t>Amount and quality of information</w:t>
      </w:r>
    </w:p>
    <w:p w14:paraId="0EB3A5BD" w14:textId="041272D0" w:rsidR="00A74DFA" w:rsidRDefault="00A74DFA" w:rsidP="00A74DFA">
      <w:pPr>
        <w:pStyle w:val="CETBodytext"/>
      </w:pPr>
      <w:r>
        <w:t xml:space="preserve">In </w:t>
      </w:r>
      <w:r w:rsidR="00224203">
        <w:t>most</w:t>
      </w:r>
      <w:r>
        <w:t xml:space="preserve"> cases the information in </w:t>
      </w:r>
      <w:r w:rsidR="000162B9">
        <w:t>the database was limited, as shown in the diagram below. Still, since the number of events with comprehensive information is greater than the number of events in severity category 3 and 4, it seems that the participating companie</w:t>
      </w:r>
      <w:r w:rsidR="00062C8F">
        <w:t>s</w:t>
      </w:r>
      <w:r w:rsidR="000162B9">
        <w:t xml:space="preserve"> </w:t>
      </w:r>
      <w:r w:rsidR="007A0496">
        <w:t xml:space="preserve">do </w:t>
      </w:r>
      <w:r w:rsidR="00224203">
        <w:t xml:space="preserve">handle some </w:t>
      </w:r>
      <w:r w:rsidR="000162B9">
        <w:t>near-misses and anomalies</w:t>
      </w:r>
      <w:r w:rsidR="00062C8F">
        <w:t xml:space="preserve"> </w:t>
      </w:r>
      <w:r w:rsidR="00224203">
        <w:t>more rigorously</w:t>
      </w:r>
      <w:r w:rsidR="007A0496">
        <w:t xml:space="preserve">. </w:t>
      </w:r>
      <w:r w:rsidR="008050DE">
        <w:t>T</w:t>
      </w:r>
      <w:r w:rsidR="008047EB">
        <w:t>he time and effort spent on a particular event s</w:t>
      </w:r>
      <w:r w:rsidR="008050DE">
        <w:t>hould be</w:t>
      </w:r>
      <w:r w:rsidR="008047EB">
        <w:t xml:space="preserve"> based on consideration of </w:t>
      </w:r>
      <w:r w:rsidR="008050DE">
        <w:t xml:space="preserve">the </w:t>
      </w:r>
      <w:r w:rsidR="008047EB">
        <w:t>p</w:t>
      </w:r>
      <w:r w:rsidR="00062C8F">
        <w:t xml:space="preserve">otential risk and </w:t>
      </w:r>
      <w:r w:rsidR="008050DE">
        <w:t xml:space="preserve">the </w:t>
      </w:r>
      <w:r w:rsidR="00062C8F">
        <w:t xml:space="preserve">potential </w:t>
      </w:r>
      <w:r w:rsidR="008047EB">
        <w:t>for organisational learning, but that was not always obvious from the database records</w:t>
      </w:r>
      <w:r w:rsidR="000162B9">
        <w:t xml:space="preserve">. </w:t>
      </w:r>
    </w:p>
    <w:p w14:paraId="4E658235" w14:textId="77777777" w:rsidR="000162B9" w:rsidRPr="00A74DFA" w:rsidRDefault="000162B9" w:rsidP="00A74DFA">
      <w:pPr>
        <w:pStyle w:val="CETBodytext"/>
      </w:pPr>
    </w:p>
    <w:p w14:paraId="627CD9A3" w14:textId="515683E5" w:rsidR="004F5C89" w:rsidRDefault="004F5C89" w:rsidP="004F5C89">
      <w:pPr>
        <w:pStyle w:val="CETBodytext"/>
      </w:pPr>
      <w:r>
        <w:rPr>
          <w:noProof/>
        </w:rPr>
        <w:drawing>
          <wp:inline distT="0" distB="0" distL="0" distR="0" wp14:anchorId="7F0EB73D" wp14:editId="4B2A0CA9">
            <wp:extent cx="5227320" cy="2449902"/>
            <wp:effectExtent l="0" t="0" r="17780" b="13970"/>
            <wp:docPr id="538391830" name="Diagram 1">
              <a:extLst xmlns:a="http://schemas.openxmlformats.org/drawingml/2006/main">
                <a:ext uri="{FF2B5EF4-FFF2-40B4-BE49-F238E27FC236}">
                  <a16:creationId xmlns:a16="http://schemas.microsoft.com/office/drawing/2014/main" id="{DA79C5C9-4BAD-A0EA-E9B3-DAACD81EA0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C72DBA" w14:textId="6E1ED879" w:rsidR="004F5C89" w:rsidRDefault="00556CC7" w:rsidP="00556CC7">
      <w:pPr>
        <w:pStyle w:val="CETCaption"/>
      </w:pPr>
      <w:r>
        <w:t xml:space="preserve">Diagram 2: The total number of Process Safety Events in each category </w:t>
      </w:r>
      <w:r w:rsidR="00A74DFA">
        <w:t xml:space="preserve">of </w:t>
      </w:r>
      <w:r>
        <w:t>information</w:t>
      </w:r>
      <w:r w:rsidR="00A61BB5">
        <w:t xml:space="preserve"> amount/quality</w:t>
      </w:r>
      <w:r>
        <w:t xml:space="preserve"> </w:t>
      </w:r>
    </w:p>
    <w:p w14:paraId="61CDECF3" w14:textId="77777777" w:rsidR="008047EB" w:rsidRDefault="008047EB" w:rsidP="00556CC7">
      <w:pPr>
        <w:pStyle w:val="CETCaption"/>
      </w:pPr>
    </w:p>
    <w:p w14:paraId="5B3F5BFE" w14:textId="77777777" w:rsidR="008050DE" w:rsidRDefault="008050DE">
      <w:pPr>
        <w:tabs>
          <w:tab w:val="clear" w:pos="7100"/>
        </w:tabs>
        <w:spacing w:after="200" w:line="276" w:lineRule="auto"/>
        <w:jc w:val="left"/>
        <w:rPr>
          <w:b/>
          <w:lang w:val="en-US"/>
        </w:rPr>
      </w:pPr>
      <w:r>
        <w:br w:type="page"/>
      </w:r>
    </w:p>
    <w:p w14:paraId="567486D2" w14:textId="52CB45BE" w:rsidR="004F5C89" w:rsidRDefault="004F5C89" w:rsidP="00E655BE">
      <w:pPr>
        <w:pStyle w:val="CETheadingx"/>
      </w:pPr>
      <w:r>
        <w:lastRenderedPageBreak/>
        <w:t>Causal factors</w:t>
      </w:r>
    </w:p>
    <w:p w14:paraId="28B5949F" w14:textId="3A6A6A25" w:rsidR="008535D8" w:rsidRPr="008535D8" w:rsidRDefault="008535D8" w:rsidP="008535D8">
      <w:pPr>
        <w:pStyle w:val="CETBodytext"/>
      </w:pPr>
      <w:r>
        <w:t xml:space="preserve">Both primary causal factors and sub-categories are shown in the full project report, but for the purpose of this paper, only the primary causal factors are shown in the diagram below. </w:t>
      </w:r>
    </w:p>
    <w:p w14:paraId="7312D5BB" w14:textId="77777777" w:rsidR="00043AA3" w:rsidRDefault="00043AA3" w:rsidP="004F5C89">
      <w:pPr>
        <w:pStyle w:val="CETBodytext"/>
      </w:pPr>
    </w:p>
    <w:p w14:paraId="7A417A6F" w14:textId="32739651" w:rsidR="00043AA3" w:rsidRDefault="00043AA3" w:rsidP="004F5C89">
      <w:pPr>
        <w:pStyle w:val="CETBodytext"/>
      </w:pPr>
      <w:r>
        <w:rPr>
          <w:noProof/>
        </w:rPr>
        <w:drawing>
          <wp:inline distT="0" distB="0" distL="0" distR="0" wp14:anchorId="175A7A5E" wp14:editId="159A4600">
            <wp:extent cx="5579745" cy="4448175"/>
            <wp:effectExtent l="0" t="0" r="0" b="0"/>
            <wp:docPr id="7480879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08797" name=""/>
                    <pic:cNvPicPr/>
                  </pic:nvPicPr>
                  <pic:blipFill>
                    <a:blip r:embed="rId12"/>
                    <a:stretch>
                      <a:fillRect/>
                    </a:stretch>
                  </pic:blipFill>
                  <pic:spPr>
                    <a:xfrm>
                      <a:off x="0" y="0"/>
                      <a:ext cx="5579745" cy="4448175"/>
                    </a:xfrm>
                    <a:prstGeom prst="rect">
                      <a:avLst/>
                    </a:prstGeom>
                  </pic:spPr>
                </pic:pic>
              </a:graphicData>
            </a:graphic>
          </wp:inline>
        </w:drawing>
      </w:r>
    </w:p>
    <w:p w14:paraId="596EF00E" w14:textId="30B55681" w:rsidR="002E6615" w:rsidRDefault="00556CC7" w:rsidP="00556CC7">
      <w:pPr>
        <w:pStyle w:val="CETCaption"/>
      </w:pPr>
      <w:r>
        <w:t xml:space="preserve">Diagram 3: </w:t>
      </w:r>
      <w:r w:rsidR="001C6126">
        <w:t xml:space="preserve">The number of events where a </w:t>
      </w:r>
      <w:r w:rsidR="00C82C18">
        <w:t xml:space="preserve">certain primary </w:t>
      </w:r>
      <w:r w:rsidR="001C6126">
        <w:t>causal factor was considered relevant</w:t>
      </w:r>
    </w:p>
    <w:p w14:paraId="00087914" w14:textId="77777777" w:rsidR="007456BB" w:rsidRDefault="008535D8" w:rsidP="008535D8">
      <w:pPr>
        <w:pStyle w:val="CETBodytext"/>
      </w:pPr>
      <w:r>
        <w:t xml:space="preserve">The </w:t>
      </w:r>
      <w:r w:rsidR="007456BB">
        <w:t xml:space="preserve">most common </w:t>
      </w:r>
      <w:r>
        <w:t xml:space="preserve">sub-categories </w:t>
      </w:r>
      <w:r w:rsidR="007456BB">
        <w:t>among the three dominant primary categories were:</w:t>
      </w:r>
    </w:p>
    <w:p w14:paraId="509BB459" w14:textId="51BDC8F9" w:rsidR="007456BB" w:rsidRDefault="007456BB" w:rsidP="007456BB">
      <w:pPr>
        <w:pStyle w:val="CETBodytext"/>
        <w:numPr>
          <w:ilvl w:val="0"/>
          <w:numId w:val="30"/>
        </w:numPr>
      </w:pPr>
      <w:r>
        <w:t xml:space="preserve">Design/construction: </w:t>
      </w:r>
      <w:r w:rsidR="0002032D">
        <w:t>“Engineering less than adequate”</w:t>
      </w:r>
      <w:r w:rsidR="001709AA">
        <w:t>.</w:t>
      </w:r>
    </w:p>
    <w:p w14:paraId="6A263ED0" w14:textId="6A356E02" w:rsidR="0002032D" w:rsidRDefault="0002032D" w:rsidP="007456BB">
      <w:pPr>
        <w:pStyle w:val="CETBodytext"/>
        <w:numPr>
          <w:ilvl w:val="0"/>
          <w:numId w:val="30"/>
        </w:numPr>
      </w:pPr>
      <w:r>
        <w:t>Human performance: “Other”, which was selected when</w:t>
      </w:r>
      <w:r w:rsidR="001709AA">
        <w:t xml:space="preserve"> operator actions were </w:t>
      </w:r>
      <w:r w:rsidR="00E229ED">
        <w:t>involved,</w:t>
      </w:r>
      <w:r w:rsidR="001709AA">
        <w:t xml:space="preserve"> and more specific sub-categories related to human performance did not seem applicable</w:t>
      </w:r>
      <w:r w:rsidR="00E229ED">
        <w:t>, or the available information was not enough to select one of those</w:t>
      </w:r>
      <w:r w:rsidR="001709AA">
        <w:t>.</w:t>
      </w:r>
    </w:p>
    <w:p w14:paraId="20A20F1E" w14:textId="3C95E61B" w:rsidR="0002032D" w:rsidRDefault="001709AA" w:rsidP="007456BB">
      <w:pPr>
        <w:pStyle w:val="CETBodytext"/>
        <w:numPr>
          <w:ilvl w:val="0"/>
          <w:numId w:val="30"/>
        </w:numPr>
      </w:pPr>
      <w:r>
        <w:t>Equipment reliability: “</w:t>
      </w:r>
      <w:r w:rsidR="00E229ED">
        <w:t>Pre-mature failure” closely followed by “Preventive maintenance/testing less than adequate” (often the selection of one or the other was somewhat arbitrary, as they can be “two sides of the same coin” and the available information was limited).</w:t>
      </w:r>
    </w:p>
    <w:p w14:paraId="33C05E15" w14:textId="58AB7667" w:rsidR="00AF28DA" w:rsidRDefault="002E6615" w:rsidP="00E655BE">
      <w:pPr>
        <w:pStyle w:val="CETheadingx"/>
      </w:pPr>
      <w:r>
        <w:t>Mode of operation</w:t>
      </w:r>
      <w:r w:rsidR="00AF28DA">
        <w:t xml:space="preserve"> and point of release</w:t>
      </w:r>
    </w:p>
    <w:p w14:paraId="0D77FB3C" w14:textId="744BD978" w:rsidR="00DE0B89" w:rsidRDefault="00344AE5" w:rsidP="004F5C89">
      <w:pPr>
        <w:pStyle w:val="CETBodytext"/>
      </w:pPr>
      <w:r>
        <w:t>Typically</w:t>
      </w:r>
      <w:r w:rsidR="00DE0B89">
        <w:t xml:space="preserve">, 72% of the </w:t>
      </w:r>
      <w:r>
        <w:t xml:space="preserve">total number of </w:t>
      </w:r>
      <w:r w:rsidR="00DE0B89">
        <w:t xml:space="preserve">PSE:s were </w:t>
      </w:r>
      <w:r>
        <w:t xml:space="preserve">either </w:t>
      </w:r>
      <w:r w:rsidR="00DC440B">
        <w:t xml:space="preserve">gas or vapour </w:t>
      </w:r>
      <w:r>
        <w:t xml:space="preserve">releases </w:t>
      </w:r>
      <w:r w:rsidR="00DC440B">
        <w:t>to atmosphere</w:t>
      </w:r>
      <w:r>
        <w:t>,</w:t>
      </w:r>
      <w:r w:rsidR="00DC440B">
        <w:t xml:space="preserve"> or </w:t>
      </w:r>
      <w:r>
        <w:t xml:space="preserve">liquid releases </w:t>
      </w:r>
      <w:r w:rsidR="00DC440B">
        <w:t xml:space="preserve">to </w:t>
      </w:r>
      <w:r>
        <w:t xml:space="preserve">concrete surfaces with drains to effluent treatment facilities. </w:t>
      </w:r>
      <w:r w:rsidR="00DE0B89">
        <w:t>T</w:t>
      </w:r>
      <w:r w:rsidR="00AF28DA">
        <w:t xml:space="preserve">he most common mode of operation </w:t>
      </w:r>
      <w:r>
        <w:t xml:space="preserve">at the time of a release </w:t>
      </w:r>
      <w:r w:rsidR="00AF28DA">
        <w:t>was</w:t>
      </w:r>
      <w:r>
        <w:t xml:space="preserve"> </w:t>
      </w:r>
      <w:r w:rsidR="00AF28DA">
        <w:t>“equipment preparation for maintenance”</w:t>
      </w:r>
      <w:r>
        <w:t>,</w:t>
      </w:r>
      <w:r w:rsidR="00DE0B89">
        <w:t xml:space="preserve"> </w:t>
      </w:r>
      <w:r w:rsidR="008204F7">
        <w:t>closely followed by “start-up” (</w:t>
      </w:r>
      <w:r w:rsidR="00DE0B89">
        <w:t xml:space="preserve">19 and 18 </w:t>
      </w:r>
      <w:r>
        <w:t>events</w:t>
      </w:r>
      <w:r w:rsidR="00DE0B89">
        <w:t>, respectively</w:t>
      </w:r>
      <w:r>
        <w:t>)</w:t>
      </w:r>
      <w:r w:rsidR="008204F7">
        <w:t>. T</w:t>
      </w:r>
      <w:r w:rsidR="00AF28DA">
        <w:t>he most common point of release was</w:t>
      </w:r>
      <w:r w:rsidR="008204F7">
        <w:t>, by far,</w:t>
      </w:r>
      <w:r w:rsidR="00AF28DA">
        <w:t xml:space="preserve"> “piping systems with diameter &lt; 50 mm”</w:t>
      </w:r>
      <w:r w:rsidR="008204F7">
        <w:t xml:space="preserve">, with </w:t>
      </w:r>
      <w:r>
        <w:t>43 events</w:t>
      </w:r>
      <w:r w:rsidR="008204F7">
        <w:t>.</w:t>
      </w:r>
      <w:r>
        <w:t xml:space="preserve"> In addition, flange leaks were counted separately and there were 17 of those (irrespective of diameter).</w:t>
      </w:r>
    </w:p>
    <w:p w14:paraId="18821AEE" w14:textId="77777777" w:rsidR="00DE0B89" w:rsidRDefault="00DE0B89" w:rsidP="004F5C89">
      <w:pPr>
        <w:pStyle w:val="CETBodytext"/>
      </w:pPr>
    </w:p>
    <w:p w14:paraId="524FD8C7" w14:textId="77777777" w:rsidR="00DE0B89" w:rsidRDefault="00DE0B89" w:rsidP="00DE0B89">
      <w:pPr>
        <w:pStyle w:val="CETBodytext"/>
      </w:pPr>
      <w:r>
        <w:t xml:space="preserve">The diagrams for mode of operation and point of release are not included here, due to limited space, but they are available in the full project report. </w:t>
      </w:r>
    </w:p>
    <w:p w14:paraId="5B219E3D" w14:textId="4EEDEBF6" w:rsidR="002E6615" w:rsidRPr="008204F7" w:rsidRDefault="00AF28DA" w:rsidP="004F5C89">
      <w:pPr>
        <w:pStyle w:val="CETBodytext"/>
      </w:pPr>
      <w:r>
        <w:t xml:space="preserve"> </w:t>
      </w:r>
    </w:p>
    <w:p w14:paraId="0288EEAE" w14:textId="3B38B680" w:rsidR="008204F7" w:rsidRDefault="008204F7" w:rsidP="00600535">
      <w:pPr>
        <w:pStyle w:val="CETHeading1"/>
        <w:rPr>
          <w:lang w:val="en-GB"/>
        </w:rPr>
      </w:pPr>
      <w:r>
        <w:rPr>
          <w:lang w:val="en-GB"/>
        </w:rPr>
        <w:lastRenderedPageBreak/>
        <w:t xml:space="preserve">Discussion </w:t>
      </w:r>
    </w:p>
    <w:p w14:paraId="16675A63" w14:textId="3D8E4A91" w:rsidR="004778D8" w:rsidRDefault="004778D8" w:rsidP="004778D8">
      <w:pPr>
        <w:pStyle w:val="CETBodytext"/>
        <w:rPr>
          <w:lang w:val="en-GB"/>
        </w:rPr>
      </w:pPr>
      <w:r>
        <w:rPr>
          <w:lang w:val="en-GB"/>
        </w:rPr>
        <w:t xml:space="preserve">Two events are discussed here, to </w:t>
      </w:r>
      <w:r w:rsidR="009F39C7">
        <w:rPr>
          <w:lang w:val="en-GB"/>
        </w:rPr>
        <w:t xml:space="preserve">briefly </w:t>
      </w:r>
      <w:r>
        <w:rPr>
          <w:lang w:val="en-GB"/>
        </w:rPr>
        <w:t>illustrate the reasoning behind some of the overall conclusions, especially regarding common causal factors.</w:t>
      </w:r>
    </w:p>
    <w:p w14:paraId="2663005E" w14:textId="54615F7F" w:rsidR="004778D8" w:rsidRDefault="004778D8" w:rsidP="00E655BE">
      <w:pPr>
        <w:pStyle w:val="CETheadingx"/>
      </w:pPr>
      <w:r>
        <w:t>Leaking heat exchanger due to corrosion</w:t>
      </w:r>
    </w:p>
    <w:p w14:paraId="080423BA" w14:textId="7FC8888B" w:rsidR="009F39C7" w:rsidRDefault="004778D8" w:rsidP="004778D8">
      <w:pPr>
        <w:pStyle w:val="CETBodytext"/>
      </w:pPr>
      <w:r>
        <w:t xml:space="preserve">A heat exchanger started to leak </w:t>
      </w:r>
      <w:r w:rsidR="009F39C7">
        <w:t>shortly after</w:t>
      </w:r>
      <w:r>
        <w:t xml:space="preserve"> </w:t>
      </w:r>
      <w:r w:rsidR="009F39C7">
        <w:t xml:space="preserve">start-up, following maintenance work where </w:t>
      </w:r>
      <w:r>
        <w:t xml:space="preserve">the tube bundle had been removed for </w:t>
      </w:r>
      <w:r w:rsidR="009F39C7">
        <w:t xml:space="preserve">inspection. It turned out that the </w:t>
      </w:r>
      <w:r w:rsidR="00920104">
        <w:t xml:space="preserve">internal </w:t>
      </w:r>
      <w:r w:rsidR="009F39C7">
        <w:t xml:space="preserve">rubber lining </w:t>
      </w:r>
      <w:r w:rsidR="00920104">
        <w:t xml:space="preserve">on the bonnet </w:t>
      </w:r>
      <w:r w:rsidR="009F39C7">
        <w:t xml:space="preserve">was damaged, most likely due to a combination of aging and </w:t>
      </w:r>
      <w:r w:rsidR="00C07C85">
        <w:t>awkward handling</w:t>
      </w:r>
      <w:r w:rsidR="009F39C7">
        <w:t xml:space="preserve"> during the maintenance work</w:t>
      </w:r>
      <w:r w:rsidR="00920104">
        <w:t xml:space="preserve">. </w:t>
      </w:r>
      <w:r w:rsidR="00C07C85">
        <w:t>After startup</w:t>
      </w:r>
      <w:r w:rsidR="00920104">
        <w:t xml:space="preserve">, the corrosive liquid came in direct contact with the carbon steel, which led to rapid corrosion. </w:t>
      </w:r>
      <w:r w:rsidR="009F39C7">
        <w:t>The following causal factors were considered relevant</w:t>
      </w:r>
      <w:r w:rsidR="003F18D3">
        <w:t>:</w:t>
      </w:r>
    </w:p>
    <w:p w14:paraId="7608B2D2" w14:textId="0262D39D" w:rsidR="00920104" w:rsidRDefault="00920104" w:rsidP="00920104">
      <w:pPr>
        <w:pStyle w:val="CETBodytext"/>
        <w:numPr>
          <w:ilvl w:val="0"/>
          <w:numId w:val="31"/>
        </w:numPr>
      </w:pPr>
      <w:r>
        <w:t>Primary: Design/Construction; Secondary: Fabrication or installation less than adequate</w:t>
      </w:r>
      <w:r w:rsidR="00C07C85">
        <w:t>.</w:t>
      </w:r>
    </w:p>
    <w:p w14:paraId="5CB8FEE9" w14:textId="1C329A06" w:rsidR="009F39C7" w:rsidRDefault="00920104" w:rsidP="009F39C7">
      <w:pPr>
        <w:pStyle w:val="CETBodytext"/>
        <w:numPr>
          <w:ilvl w:val="0"/>
          <w:numId w:val="31"/>
        </w:numPr>
      </w:pPr>
      <w:r>
        <w:t>Primary: Equipment reliability; Secondary: Preventive maintenance/testing frequency less than adequate</w:t>
      </w:r>
      <w:r w:rsidR="00C07C85">
        <w:t>.</w:t>
      </w:r>
    </w:p>
    <w:p w14:paraId="139D877F" w14:textId="5C4B8FED" w:rsidR="009F39C7" w:rsidRPr="004778D8" w:rsidRDefault="00920104" w:rsidP="009F39C7">
      <w:pPr>
        <w:pStyle w:val="CETBodytext"/>
        <w:numPr>
          <w:ilvl w:val="0"/>
          <w:numId w:val="31"/>
        </w:numPr>
      </w:pPr>
      <w:r>
        <w:t>Primary: Human performance; Secondary: Ergonomics less than adequate</w:t>
      </w:r>
      <w:r w:rsidR="00C07C85">
        <w:t>.</w:t>
      </w:r>
    </w:p>
    <w:p w14:paraId="1AA7259A" w14:textId="77777777" w:rsidR="009F39C7" w:rsidRDefault="004778D8" w:rsidP="00E655BE">
      <w:pPr>
        <w:pStyle w:val="CETheadingx"/>
      </w:pPr>
      <w:r>
        <w:t>Leakage from temporary hose connection</w:t>
      </w:r>
    </w:p>
    <w:p w14:paraId="26084BAC" w14:textId="3E83319C" w:rsidR="004778D8" w:rsidRDefault="009F39C7" w:rsidP="009F39C7">
      <w:pPr>
        <w:pStyle w:val="CETBodytext"/>
      </w:pPr>
      <w:r>
        <w:t>A hose had</w:t>
      </w:r>
      <w:r w:rsidR="003F18D3">
        <w:t xml:space="preserve"> been connected </w:t>
      </w:r>
      <w:r w:rsidR="00D648CA">
        <w:t>to</w:t>
      </w:r>
      <w:r w:rsidR="003F18D3">
        <w:t xml:space="preserve"> a vent valve to enable flushing of a system, an infrequent operation. The vent was </w:t>
      </w:r>
      <w:r w:rsidR="00D648CA">
        <w:t xml:space="preserve">located </w:t>
      </w:r>
      <w:r w:rsidR="003F18D3">
        <w:t xml:space="preserve">high up in a pipe rack with no permanent access way. Hence a ladder had been used. When the system was taken into normal operation after completion of the flushing, the hose was left in place with the vent valve still in the open position. No non-return valve had been installed, which was a deviation from standard </w:t>
      </w:r>
      <w:r w:rsidR="00D648CA">
        <w:t xml:space="preserve">design for hose connection points and </w:t>
      </w:r>
      <w:r w:rsidR="00C07C85">
        <w:t xml:space="preserve">standard </w:t>
      </w:r>
      <w:r w:rsidR="003F18D3">
        <w:t>operating procedures. The following causa</w:t>
      </w:r>
      <w:r w:rsidR="008C0F4E">
        <w:t>l</w:t>
      </w:r>
      <w:r w:rsidR="003F18D3">
        <w:t xml:space="preserve"> factors were considered relevant:</w:t>
      </w:r>
    </w:p>
    <w:p w14:paraId="603D6588" w14:textId="78EB9FEA" w:rsidR="007B5F3B" w:rsidRPr="004778D8" w:rsidRDefault="007B5F3B" w:rsidP="007B5F3B">
      <w:pPr>
        <w:pStyle w:val="CETBodytext"/>
        <w:numPr>
          <w:ilvl w:val="0"/>
          <w:numId w:val="33"/>
        </w:numPr>
      </w:pPr>
      <w:r>
        <w:t>Primary: Operating procedures; Secondary: Procedure available but not used/followed</w:t>
      </w:r>
      <w:r w:rsidR="00C07C85">
        <w:t>.</w:t>
      </w:r>
    </w:p>
    <w:p w14:paraId="0D129CE9" w14:textId="7728F27D" w:rsidR="003F18D3" w:rsidRDefault="008C0F4E" w:rsidP="003F18D3">
      <w:pPr>
        <w:pStyle w:val="CETBodytext"/>
        <w:numPr>
          <w:ilvl w:val="0"/>
          <w:numId w:val="33"/>
        </w:numPr>
      </w:pPr>
      <w:r>
        <w:t>Primary: Design/construction; Secondary:</w:t>
      </w:r>
      <w:r w:rsidR="007B5F3B">
        <w:t xml:space="preserve"> Construction not consistent with design</w:t>
      </w:r>
      <w:r w:rsidR="00C07C85">
        <w:t>.</w:t>
      </w:r>
    </w:p>
    <w:p w14:paraId="0DE1DA93" w14:textId="7A06EFC3" w:rsidR="003F18D3" w:rsidRDefault="008C0F4E" w:rsidP="003F18D3">
      <w:pPr>
        <w:pStyle w:val="CETBodytext"/>
        <w:numPr>
          <w:ilvl w:val="0"/>
          <w:numId w:val="33"/>
        </w:numPr>
      </w:pPr>
      <w:r>
        <w:t>Primary: Human performance; Secondary:</w:t>
      </w:r>
      <w:r w:rsidR="007B5F3B">
        <w:t xml:space="preserve"> Other</w:t>
      </w:r>
      <w:r w:rsidR="00C07C85">
        <w:t>.</w:t>
      </w:r>
    </w:p>
    <w:p w14:paraId="682FB68D" w14:textId="576AFAD1" w:rsidR="004D3559" w:rsidRDefault="00E655BE" w:rsidP="00E655BE">
      <w:pPr>
        <w:pStyle w:val="CETheadingx"/>
      </w:pPr>
      <w:r>
        <w:t>Human error is not a cause</w:t>
      </w:r>
    </w:p>
    <w:p w14:paraId="2BBADECA" w14:textId="4362EAF1" w:rsidR="00E655BE" w:rsidRDefault="007A0601" w:rsidP="00E655BE">
      <w:pPr>
        <w:pStyle w:val="CETBodytext"/>
      </w:pPr>
      <w:r>
        <w:t xml:space="preserve">In the so called “New View of Safety” it is stressed that workers </w:t>
      </w:r>
      <w:r w:rsidR="001C63F4">
        <w:t xml:space="preserve">at the “sharp end” of an organization </w:t>
      </w:r>
      <w:r>
        <w:t xml:space="preserve">(e.g. plant operators and maintenance technicians) </w:t>
      </w:r>
      <w:r w:rsidR="00C07C85">
        <w:t xml:space="preserve">often have to deal with </w:t>
      </w:r>
      <w:r w:rsidR="001C63F4">
        <w:t xml:space="preserve">complexities and goal conflicts (Dekker, 2014). </w:t>
      </w:r>
      <w:r w:rsidR="000545D0">
        <w:t>After a process safety event</w:t>
      </w:r>
      <w:r w:rsidR="001C63F4">
        <w:t xml:space="preserve">, </w:t>
      </w:r>
      <w:r w:rsidR="000545D0">
        <w:t>it</w:t>
      </w:r>
      <w:r w:rsidR="001C63F4">
        <w:t xml:space="preserve"> </w:t>
      </w:r>
      <w:r w:rsidR="00C07C85">
        <w:t>should</w:t>
      </w:r>
      <w:r w:rsidR="001C63F4">
        <w:t xml:space="preserve"> </w:t>
      </w:r>
      <w:r w:rsidR="000545D0">
        <w:t xml:space="preserve">be </w:t>
      </w:r>
      <w:r w:rsidR="00425C5A">
        <w:t>investigate</w:t>
      </w:r>
      <w:r w:rsidR="000545D0">
        <w:t>d</w:t>
      </w:r>
      <w:r w:rsidR="001C63F4">
        <w:t xml:space="preserve"> </w:t>
      </w:r>
      <w:r w:rsidR="00425C5A">
        <w:t xml:space="preserve">thoroughly </w:t>
      </w:r>
      <w:r w:rsidR="001C63F4">
        <w:t xml:space="preserve">why </w:t>
      </w:r>
      <w:r w:rsidR="000545D0">
        <w:t>people</w:t>
      </w:r>
      <w:r w:rsidR="001C63F4">
        <w:t xml:space="preserve"> acted as they did and why it made sense to them at the time</w:t>
      </w:r>
      <w:r w:rsidR="000545D0">
        <w:t xml:space="preserve"> (“</w:t>
      </w:r>
      <w:r w:rsidR="001C63F4">
        <w:t>local rationality</w:t>
      </w:r>
      <w:r w:rsidR="000545D0">
        <w:t>”)</w:t>
      </w:r>
      <w:r w:rsidR="001C63F4">
        <w:t>. Th</w:t>
      </w:r>
      <w:r w:rsidR="004E7569">
        <w:t>at</w:t>
      </w:r>
      <w:r w:rsidR="001C63F4">
        <w:t xml:space="preserve"> was </w:t>
      </w:r>
      <w:r w:rsidR="005A2141">
        <w:t xml:space="preserve">often </w:t>
      </w:r>
      <w:r w:rsidR="001C63F4">
        <w:t>difficult in this project</w:t>
      </w:r>
      <w:r w:rsidR="00453C00">
        <w:t xml:space="preserve"> due to the limited information available</w:t>
      </w:r>
      <w:r w:rsidR="004E7569">
        <w:t xml:space="preserve"> in most cases</w:t>
      </w:r>
      <w:r w:rsidR="00453C00">
        <w:t xml:space="preserve">, and the fact that we </w:t>
      </w:r>
      <w:r w:rsidR="001C63F4">
        <w:t xml:space="preserve">did not have </w:t>
      </w:r>
      <w:r w:rsidR="00453C00">
        <w:t>any</w:t>
      </w:r>
      <w:r w:rsidR="001C63F4">
        <w:t xml:space="preserve"> possibilities to interview</w:t>
      </w:r>
      <w:r w:rsidR="00453C00">
        <w:t xml:space="preserve"> people involved in the events.</w:t>
      </w:r>
      <w:r w:rsidR="001C63F4">
        <w:t xml:space="preserve"> </w:t>
      </w:r>
      <w:r w:rsidR="00453C00">
        <w:t>However,</w:t>
      </w:r>
      <w:r w:rsidR="004E7569">
        <w:t xml:space="preserve"> we did our best</w:t>
      </w:r>
      <w:r w:rsidR="005125B2">
        <w:t xml:space="preserve"> with the information available</w:t>
      </w:r>
      <w:r w:rsidR="008050DE">
        <w:t>. W</w:t>
      </w:r>
      <w:r w:rsidR="00453C00">
        <w:t xml:space="preserve">hen “human performance” </w:t>
      </w:r>
      <w:r w:rsidR="008050DE">
        <w:t xml:space="preserve">was selected </w:t>
      </w:r>
      <w:r w:rsidR="00453C00">
        <w:t xml:space="preserve">as one of the primary causal factors, </w:t>
      </w:r>
      <w:r w:rsidR="008876A2">
        <w:t xml:space="preserve">two </w:t>
      </w:r>
      <w:r w:rsidR="00453C00">
        <w:t xml:space="preserve">organizational or technical cause categories </w:t>
      </w:r>
      <w:r w:rsidR="008050DE">
        <w:t xml:space="preserve">were also added </w:t>
      </w:r>
      <w:r w:rsidR="00453C00">
        <w:t>for th</w:t>
      </w:r>
      <w:r w:rsidR="008050DE">
        <w:t xml:space="preserve">at </w:t>
      </w:r>
      <w:r w:rsidR="00453C00">
        <w:t>event.</w:t>
      </w:r>
    </w:p>
    <w:p w14:paraId="27F5F3E6" w14:textId="2B52D4BC" w:rsidR="007A2A89" w:rsidRDefault="005A2141" w:rsidP="005A2141">
      <w:pPr>
        <w:pStyle w:val="CETheadingx"/>
      </w:pPr>
      <w:r>
        <w:t>Organisational learning</w:t>
      </w:r>
    </w:p>
    <w:p w14:paraId="4D8ED0FA" w14:textId="49295E25" w:rsidR="00554218" w:rsidRDefault="00D40EAD" w:rsidP="005A2141">
      <w:pPr>
        <w:pStyle w:val="CETBodytext"/>
      </w:pPr>
      <w:r>
        <w:t>Based on t</w:t>
      </w:r>
      <w:r w:rsidR="000545D0">
        <w:t>he i</w:t>
      </w:r>
      <w:r w:rsidR="00016931">
        <w:t xml:space="preserve">nformation </w:t>
      </w:r>
      <w:r>
        <w:t xml:space="preserve">in the data bases, it seemed that </w:t>
      </w:r>
      <w:r w:rsidR="00070C76">
        <w:t xml:space="preserve">the </w:t>
      </w:r>
      <w:r w:rsidR="00C07C85">
        <w:t xml:space="preserve">resulting </w:t>
      </w:r>
      <w:r>
        <w:t xml:space="preserve">organisational learning </w:t>
      </w:r>
      <w:r w:rsidR="00016931">
        <w:t>w</w:t>
      </w:r>
      <w:r w:rsidR="000545D0">
        <w:t>as</w:t>
      </w:r>
      <w:r w:rsidR="00016931">
        <w:t xml:space="preserve"> limited </w:t>
      </w:r>
      <w:r w:rsidR="00C07C85">
        <w:t>for</w:t>
      </w:r>
      <w:r w:rsidR="00016931">
        <w:t xml:space="preserve"> most </w:t>
      </w:r>
      <w:r w:rsidR="00C07C85">
        <w:t>events</w:t>
      </w:r>
      <w:r w:rsidR="005277A2">
        <w:t>.</w:t>
      </w:r>
      <w:r>
        <w:t xml:space="preserve"> </w:t>
      </w:r>
      <w:r w:rsidR="005277A2">
        <w:t xml:space="preserve">Described in terms of the six-stage model for assessment of the level of learning from incidents developed by Jacobsson (2011), </w:t>
      </w:r>
      <w:r w:rsidR="00CD2BF8">
        <w:t>most actions would correspond to:</w:t>
      </w:r>
    </w:p>
    <w:p w14:paraId="3604F887" w14:textId="77777777" w:rsidR="001A2729" w:rsidRDefault="001A2729" w:rsidP="005A2141">
      <w:pPr>
        <w:pStyle w:val="CETBodytext"/>
      </w:pPr>
    </w:p>
    <w:p w14:paraId="0D677E25" w14:textId="088F3C3F" w:rsidR="00554218" w:rsidRDefault="00554218" w:rsidP="00016931">
      <w:pPr>
        <w:pStyle w:val="CETBodytext"/>
        <w:numPr>
          <w:ilvl w:val="0"/>
          <w:numId w:val="34"/>
        </w:numPr>
      </w:pPr>
      <w:r>
        <w:t xml:space="preserve">Level 0: </w:t>
      </w:r>
      <w:r w:rsidR="00016931">
        <w:t>Essentially no learning</w:t>
      </w:r>
      <w:r>
        <w:t>, e.g. simply repairing damaged equipment</w:t>
      </w:r>
      <w:r w:rsidR="00C07C85">
        <w:t>.</w:t>
      </w:r>
    </w:p>
    <w:p w14:paraId="6150AD19" w14:textId="7AA434EC" w:rsidR="005A2141" w:rsidRDefault="00554218" w:rsidP="00554218">
      <w:pPr>
        <w:pStyle w:val="CETBodytext"/>
        <w:numPr>
          <w:ilvl w:val="0"/>
          <w:numId w:val="34"/>
        </w:numPr>
      </w:pPr>
      <w:r>
        <w:t xml:space="preserve">Level I: </w:t>
      </w:r>
      <w:r w:rsidR="00016931">
        <w:t xml:space="preserve">Limited local level learning, e.g. communication </w:t>
      </w:r>
      <w:r w:rsidR="00C07C85">
        <w:t>with the most affected personnel about the event and what to keep in mind to prevent recurrence.</w:t>
      </w:r>
    </w:p>
    <w:p w14:paraId="40DFF523" w14:textId="6A2F5A6B" w:rsidR="005277A2" w:rsidRDefault="00554218" w:rsidP="001A2729">
      <w:pPr>
        <w:pStyle w:val="CETBodytext"/>
        <w:numPr>
          <w:ilvl w:val="0"/>
          <w:numId w:val="34"/>
        </w:numPr>
      </w:pPr>
      <w:r>
        <w:t xml:space="preserve">Level II: </w:t>
      </w:r>
      <w:r w:rsidR="001A2729">
        <w:t xml:space="preserve">Limited organisational </w:t>
      </w:r>
      <w:r w:rsidR="00016931">
        <w:t xml:space="preserve">learning, e.g. </w:t>
      </w:r>
      <w:r w:rsidR="001A2729">
        <w:t>c</w:t>
      </w:r>
      <w:r w:rsidR="001A2729" w:rsidRPr="001A2729">
        <w:t xml:space="preserve">hanges in a </w:t>
      </w:r>
      <w:r w:rsidR="00261497">
        <w:t xml:space="preserve">local </w:t>
      </w:r>
      <w:r w:rsidR="001A2729" w:rsidRPr="001A2729">
        <w:t>procedure and providing some info</w:t>
      </w:r>
      <w:r w:rsidR="001A2729">
        <w:t xml:space="preserve">rmation or </w:t>
      </w:r>
      <w:r w:rsidR="00261497" w:rsidRPr="001A2729">
        <w:t>training</w:t>
      </w:r>
      <w:r w:rsidR="00261497">
        <w:t xml:space="preserve">. Alternatively, </w:t>
      </w:r>
      <w:r w:rsidR="001A2729" w:rsidRPr="001A2729">
        <w:t xml:space="preserve">changing the material </w:t>
      </w:r>
      <w:r w:rsidR="001A2729">
        <w:t xml:space="preserve">of construction </w:t>
      </w:r>
      <w:r w:rsidR="001A2729" w:rsidRPr="001A2729">
        <w:t xml:space="preserve">in </w:t>
      </w:r>
      <w:r w:rsidR="00070C76">
        <w:t>the affected</w:t>
      </w:r>
      <w:r w:rsidR="001A2729" w:rsidRPr="001A2729">
        <w:t xml:space="preserve"> </w:t>
      </w:r>
      <w:r w:rsidR="00070C76">
        <w:t>part of the system</w:t>
      </w:r>
      <w:r w:rsidR="001A2729" w:rsidRPr="001A2729">
        <w:t>.</w:t>
      </w:r>
    </w:p>
    <w:p w14:paraId="0C5D6127" w14:textId="77777777" w:rsidR="001A2729" w:rsidRDefault="001A2729" w:rsidP="001A2729">
      <w:pPr>
        <w:pStyle w:val="CETBodytext"/>
      </w:pPr>
    </w:p>
    <w:p w14:paraId="22F37538" w14:textId="1D3C14DA" w:rsidR="00CD2BF8" w:rsidRDefault="00261497" w:rsidP="005277A2">
      <w:pPr>
        <w:pStyle w:val="CETBodytext"/>
      </w:pPr>
      <w:r>
        <w:t>R</w:t>
      </w:r>
      <w:r w:rsidR="00CD2BF8">
        <w:t xml:space="preserve">esponsible engineers and managers </w:t>
      </w:r>
      <w:r w:rsidR="001A2729">
        <w:t xml:space="preserve">may </w:t>
      </w:r>
      <w:r w:rsidR="00CD2BF8">
        <w:t>ha</w:t>
      </w:r>
      <w:r w:rsidR="001A2729">
        <w:t>ve</w:t>
      </w:r>
      <w:r w:rsidR="00CD2BF8">
        <w:t xml:space="preserve"> made </w:t>
      </w:r>
      <w:r w:rsidR="005125B2">
        <w:t xml:space="preserve">well-grounded </w:t>
      </w:r>
      <w:r w:rsidR="00CD2BF8">
        <w:t xml:space="preserve">decisions not to prioritize </w:t>
      </w:r>
      <w:r w:rsidR="001A2729">
        <w:t xml:space="preserve">time-consuming </w:t>
      </w:r>
      <w:r w:rsidR="00CD2BF8">
        <w:t>and expensive actions</w:t>
      </w:r>
      <w:r>
        <w:t xml:space="preserve"> in many cases</w:t>
      </w:r>
      <w:r w:rsidR="00CD2BF8">
        <w:t>, but it appeared that</w:t>
      </w:r>
      <w:r w:rsidR="005125B2">
        <w:t xml:space="preserve"> </w:t>
      </w:r>
      <w:r>
        <w:t xml:space="preserve">many </w:t>
      </w:r>
      <w:r w:rsidR="00CD2BF8">
        <w:t xml:space="preserve">worthwhile opportunities for organisational learning and risk reduction </w:t>
      </w:r>
      <w:r w:rsidR="00070C76">
        <w:t>had</w:t>
      </w:r>
      <w:r w:rsidR="00CD2BF8">
        <w:t xml:space="preserve"> be</w:t>
      </w:r>
      <w:r w:rsidR="00070C76">
        <w:t>en</w:t>
      </w:r>
      <w:r w:rsidR="00CD2BF8">
        <w:t xml:space="preserve"> missed.  </w:t>
      </w:r>
    </w:p>
    <w:p w14:paraId="68D26B83" w14:textId="4E3FD987" w:rsidR="00600535" w:rsidRPr="00B57B36" w:rsidRDefault="00600535" w:rsidP="00600535">
      <w:pPr>
        <w:pStyle w:val="CETHeading1"/>
        <w:rPr>
          <w:lang w:val="en-GB"/>
        </w:rPr>
      </w:pPr>
      <w:r w:rsidRPr="00B57B36">
        <w:rPr>
          <w:lang w:val="en-GB"/>
        </w:rPr>
        <w:t>Conclusions</w:t>
      </w:r>
      <w:r w:rsidR="00800ED2">
        <w:rPr>
          <w:lang w:val="en-GB"/>
        </w:rPr>
        <w:t xml:space="preserve"> and recommendations</w:t>
      </w:r>
    </w:p>
    <w:p w14:paraId="16B1CCA6" w14:textId="472ED529" w:rsidR="00EB74AC" w:rsidRPr="00800ED2" w:rsidRDefault="00922490" w:rsidP="00600535">
      <w:pPr>
        <w:pStyle w:val="CETBodytext"/>
      </w:pPr>
      <w:r>
        <w:rPr>
          <w:lang w:val="en-GB"/>
        </w:rPr>
        <w:t>Classification</w:t>
      </w:r>
      <w:r w:rsidR="002749E1">
        <w:rPr>
          <w:lang w:val="en-GB"/>
        </w:rPr>
        <w:t xml:space="preserve"> of </w:t>
      </w:r>
      <w:r w:rsidR="00A625DC">
        <w:rPr>
          <w:lang w:val="en-GB"/>
        </w:rPr>
        <w:t>process safety events</w:t>
      </w:r>
      <w:r w:rsidR="002749E1">
        <w:rPr>
          <w:lang w:val="en-GB"/>
        </w:rPr>
        <w:t xml:space="preserve"> is inherently subjective</w:t>
      </w:r>
      <w:r w:rsidR="005C186A">
        <w:rPr>
          <w:lang w:val="en-GB"/>
        </w:rPr>
        <w:t xml:space="preserve"> and dependent on the underlying accident model</w:t>
      </w:r>
      <w:r>
        <w:rPr>
          <w:lang w:val="en-GB"/>
        </w:rPr>
        <w:t>, especially when it comes to causal factors</w:t>
      </w:r>
      <w:r w:rsidR="005C186A">
        <w:rPr>
          <w:lang w:val="en-GB"/>
        </w:rPr>
        <w:t xml:space="preserve"> (Lundberg et al</w:t>
      </w:r>
      <w:r w:rsidR="00477F94">
        <w:rPr>
          <w:lang w:val="en-GB"/>
        </w:rPr>
        <w:t>.</w:t>
      </w:r>
      <w:r w:rsidR="005C186A">
        <w:rPr>
          <w:lang w:val="en-GB"/>
        </w:rPr>
        <w:t>, 2009)</w:t>
      </w:r>
      <w:r w:rsidR="00A625DC">
        <w:rPr>
          <w:lang w:val="en-GB"/>
        </w:rPr>
        <w:t xml:space="preserve">. </w:t>
      </w:r>
      <w:r w:rsidR="001B5883">
        <w:rPr>
          <w:lang w:val="en-GB"/>
        </w:rPr>
        <w:t xml:space="preserve">Furthermore, </w:t>
      </w:r>
      <w:r w:rsidR="005C186A">
        <w:rPr>
          <w:lang w:val="en-GB"/>
        </w:rPr>
        <w:t xml:space="preserve">in this project </w:t>
      </w:r>
      <w:r w:rsidR="001B5883">
        <w:rPr>
          <w:lang w:val="en-GB"/>
        </w:rPr>
        <w:t>the information in the data bases w</w:t>
      </w:r>
      <w:r w:rsidR="005C186A">
        <w:rPr>
          <w:lang w:val="en-GB"/>
        </w:rPr>
        <w:t>as</w:t>
      </w:r>
      <w:r w:rsidR="001B5883">
        <w:rPr>
          <w:lang w:val="en-GB"/>
        </w:rPr>
        <w:t xml:space="preserve"> limited</w:t>
      </w:r>
      <w:r w:rsidR="005C186A">
        <w:rPr>
          <w:lang w:val="en-GB"/>
        </w:rPr>
        <w:t xml:space="preserve"> for most of the events</w:t>
      </w:r>
      <w:r w:rsidR="001B5883">
        <w:rPr>
          <w:lang w:val="en-GB"/>
        </w:rPr>
        <w:t xml:space="preserve">. </w:t>
      </w:r>
      <w:r>
        <w:rPr>
          <w:lang w:val="en-GB"/>
        </w:rPr>
        <w:t>Hence, t</w:t>
      </w:r>
      <w:r w:rsidR="002749E1">
        <w:rPr>
          <w:lang w:val="en-GB"/>
        </w:rPr>
        <w:t xml:space="preserve">he </w:t>
      </w:r>
      <w:r w:rsidR="00A625DC">
        <w:rPr>
          <w:lang w:val="en-GB"/>
        </w:rPr>
        <w:t xml:space="preserve">statistics </w:t>
      </w:r>
      <w:r w:rsidR="002749E1">
        <w:rPr>
          <w:lang w:val="en-GB"/>
        </w:rPr>
        <w:t xml:space="preserve">must be </w:t>
      </w:r>
      <w:r>
        <w:rPr>
          <w:lang w:val="en-GB"/>
        </w:rPr>
        <w:t>interpreted</w:t>
      </w:r>
      <w:r w:rsidR="002749E1">
        <w:rPr>
          <w:lang w:val="en-GB"/>
        </w:rPr>
        <w:t xml:space="preserve"> with caution.</w:t>
      </w:r>
      <w:r w:rsidR="00EB74AC">
        <w:rPr>
          <w:lang w:val="en-GB"/>
        </w:rPr>
        <w:t xml:space="preserve"> </w:t>
      </w:r>
      <w:r w:rsidR="00A625DC">
        <w:rPr>
          <w:lang w:val="en-GB"/>
        </w:rPr>
        <w:t>However</w:t>
      </w:r>
      <w:r w:rsidR="00EB74AC">
        <w:rPr>
          <w:lang w:val="en-GB"/>
        </w:rPr>
        <w:t xml:space="preserve">, </w:t>
      </w:r>
      <w:r w:rsidR="00A625DC">
        <w:rPr>
          <w:lang w:val="en-GB"/>
        </w:rPr>
        <w:t>in combination</w:t>
      </w:r>
      <w:r w:rsidR="002749E1">
        <w:rPr>
          <w:lang w:val="en-GB"/>
        </w:rPr>
        <w:t xml:space="preserve"> </w:t>
      </w:r>
      <w:r w:rsidR="005C186A">
        <w:rPr>
          <w:lang w:val="en-GB"/>
        </w:rPr>
        <w:t xml:space="preserve">with tacit </w:t>
      </w:r>
      <w:r w:rsidR="00EB74AC">
        <w:rPr>
          <w:lang w:val="en-GB"/>
        </w:rPr>
        <w:t xml:space="preserve">insights gained during </w:t>
      </w:r>
      <w:r w:rsidR="005C186A">
        <w:rPr>
          <w:lang w:val="en-GB"/>
        </w:rPr>
        <w:t xml:space="preserve">discussions with the project participants, the results </w:t>
      </w:r>
      <w:r w:rsidR="004717FC">
        <w:rPr>
          <w:lang w:val="en-GB"/>
        </w:rPr>
        <w:lastRenderedPageBreak/>
        <w:t>we</w:t>
      </w:r>
      <w:r w:rsidR="005C186A">
        <w:rPr>
          <w:lang w:val="en-GB"/>
        </w:rPr>
        <w:t xml:space="preserve">re interpreted towards </w:t>
      </w:r>
      <w:r w:rsidR="00EB74AC">
        <w:rPr>
          <w:lang w:val="en-GB"/>
        </w:rPr>
        <w:t>the following conclusions</w:t>
      </w:r>
      <w:r w:rsidR="00800ED2">
        <w:rPr>
          <w:lang w:val="en-GB"/>
        </w:rPr>
        <w:t xml:space="preserve"> and recommendations</w:t>
      </w:r>
      <w:r w:rsidR="00EB74AC">
        <w:rPr>
          <w:lang w:val="en-GB"/>
        </w:rPr>
        <w:t>.</w:t>
      </w:r>
      <w:r w:rsidR="00800ED2">
        <w:rPr>
          <w:lang w:val="en-GB"/>
        </w:rPr>
        <w:t xml:space="preserve"> </w:t>
      </w:r>
      <w:r w:rsidR="00800ED2">
        <w:t>It is proposed that the</w:t>
      </w:r>
      <w:r w:rsidR="007B5F3B">
        <w:t>y</w:t>
      </w:r>
      <w:r w:rsidR="002E6615">
        <w:t xml:space="preserve"> </w:t>
      </w:r>
      <w:r w:rsidR="00800ED2">
        <w:t xml:space="preserve">can be </w:t>
      </w:r>
      <w:r w:rsidR="008050DE">
        <w:t>generalized</w:t>
      </w:r>
      <w:r w:rsidR="00800ED2">
        <w:t xml:space="preserve"> to many companies in the process industry.</w:t>
      </w:r>
    </w:p>
    <w:p w14:paraId="76D48005" w14:textId="75654752" w:rsidR="00EB74AC" w:rsidRDefault="00EB74AC" w:rsidP="00E655BE">
      <w:pPr>
        <w:pStyle w:val="CETheadingx"/>
      </w:pPr>
      <w:r>
        <w:t>Conclusions regarding common causal factors</w:t>
      </w:r>
    </w:p>
    <w:p w14:paraId="4440D420" w14:textId="2A0C6976" w:rsidR="00070C76" w:rsidRPr="00EB74AC" w:rsidRDefault="00070C76" w:rsidP="00070C76">
      <w:pPr>
        <w:pStyle w:val="CETBodytext"/>
        <w:numPr>
          <w:ilvl w:val="0"/>
          <w:numId w:val="28"/>
        </w:numPr>
      </w:pPr>
      <w:r>
        <w:t xml:space="preserve">Human </w:t>
      </w:r>
      <w:r w:rsidR="00CC0361">
        <w:t xml:space="preserve">performance </w:t>
      </w:r>
      <w:r>
        <w:t>(“</w:t>
      </w:r>
      <w:r w:rsidR="00CC0361">
        <w:t>error</w:t>
      </w:r>
      <w:r>
        <w:t>”) is a common facto</w:t>
      </w:r>
      <w:r w:rsidR="00CC0361">
        <w:t>r</w:t>
      </w:r>
      <w:r>
        <w:t xml:space="preserve"> </w:t>
      </w:r>
      <w:r w:rsidR="004717FC">
        <w:t xml:space="preserve">but it </w:t>
      </w:r>
      <w:r>
        <w:t xml:space="preserve">should </w:t>
      </w:r>
      <w:r w:rsidR="00CC0361">
        <w:t xml:space="preserve">always </w:t>
      </w:r>
      <w:r>
        <w:t>be a starting point for further investigation.</w:t>
      </w:r>
    </w:p>
    <w:p w14:paraId="69275917" w14:textId="5D0A24AE" w:rsidR="00EB74AC" w:rsidRDefault="00EB74AC" w:rsidP="00EB74AC">
      <w:pPr>
        <w:pStyle w:val="CETBodytext"/>
        <w:numPr>
          <w:ilvl w:val="0"/>
          <w:numId w:val="28"/>
        </w:numPr>
      </w:pPr>
      <w:r>
        <w:t>Less than adequate design/</w:t>
      </w:r>
      <w:r w:rsidR="00043AA3">
        <w:t>construction</w:t>
      </w:r>
      <w:r>
        <w:t xml:space="preserve"> leads to cumbersome procedures and invites human error</w:t>
      </w:r>
      <w:r w:rsidR="00800ED2">
        <w:t>.</w:t>
      </w:r>
    </w:p>
    <w:p w14:paraId="1EE8E8DE" w14:textId="657E97C7" w:rsidR="00EB74AC" w:rsidRDefault="00EB74AC" w:rsidP="00EB74AC">
      <w:pPr>
        <w:pStyle w:val="CETBodytext"/>
        <w:numPr>
          <w:ilvl w:val="0"/>
          <w:numId w:val="28"/>
        </w:numPr>
      </w:pPr>
      <w:r>
        <w:t>Less than adequate maintenance (including inspection) in aging plants leads to increased risk of both small and large leaks</w:t>
      </w:r>
      <w:r w:rsidR="00800ED2">
        <w:t>.</w:t>
      </w:r>
    </w:p>
    <w:p w14:paraId="58FFED7A" w14:textId="316019AC" w:rsidR="00EB74AC" w:rsidRDefault="00EB74AC" w:rsidP="00E655BE">
      <w:pPr>
        <w:pStyle w:val="CETheadingx"/>
      </w:pPr>
      <w:r>
        <w:t>Conclusions regarding the process of learning from incidents</w:t>
      </w:r>
    </w:p>
    <w:p w14:paraId="0D4152F7" w14:textId="76986B16" w:rsidR="00EB74AC" w:rsidRDefault="00EB74AC" w:rsidP="00EB74AC">
      <w:pPr>
        <w:pStyle w:val="CETBodytext"/>
        <w:numPr>
          <w:ilvl w:val="0"/>
          <w:numId w:val="29"/>
        </w:numPr>
      </w:pPr>
      <w:r>
        <w:t xml:space="preserve">More efforts are needed to improve the </w:t>
      </w:r>
      <w:r w:rsidR="00800ED2">
        <w:t>handling</w:t>
      </w:r>
      <w:r>
        <w:t xml:space="preserve"> of </w:t>
      </w:r>
      <w:r w:rsidR="00800ED2">
        <w:t>process safety event reports</w:t>
      </w:r>
      <w:r>
        <w:t xml:space="preserve"> and </w:t>
      </w:r>
      <w:r w:rsidR="00AD7109">
        <w:t xml:space="preserve">check </w:t>
      </w:r>
      <w:r>
        <w:t>the outcome of recommendations</w:t>
      </w:r>
      <w:r w:rsidR="00800ED2">
        <w:t>.</w:t>
      </w:r>
    </w:p>
    <w:p w14:paraId="1E1872D3" w14:textId="1E8C8E6E" w:rsidR="00EB74AC" w:rsidRDefault="00EB74AC" w:rsidP="00EB74AC">
      <w:pPr>
        <w:pStyle w:val="CETBodytext"/>
        <w:numPr>
          <w:ilvl w:val="0"/>
          <w:numId w:val="29"/>
        </w:numPr>
      </w:pPr>
      <w:r>
        <w:t>Process safety specialists should be involved in the investigation of all process safety events</w:t>
      </w:r>
      <w:r w:rsidR="00800ED2">
        <w:t>.</w:t>
      </w:r>
    </w:p>
    <w:p w14:paraId="0E54AAA9" w14:textId="1B32CD32" w:rsidR="00EB74AC" w:rsidRPr="00EB74AC" w:rsidRDefault="00EB74AC" w:rsidP="00800ED2">
      <w:pPr>
        <w:pStyle w:val="CETBodytext"/>
        <w:numPr>
          <w:ilvl w:val="0"/>
          <w:numId w:val="29"/>
        </w:numPr>
      </w:pPr>
      <w:r>
        <w:t xml:space="preserve">Regular reviews of </w:t>
      </w:r>
      <w:r w:rsidR="00800ED2">
        <w:t xml:space="preserve">all </w:t>
      </w:r>
      <w:r>
        <w:t>process safety event reports</w:t>
      </w:r>
      <w:r w:rsidR="00800ED2">
        <w:t>,</w:t>
      </w:r>
      <w:r>
        <w:t xml:space="preserve"> and the resulting investigations and actions</w:t>
      </w:r>
      <w:r w:rsidR="00800ED2">
        <w:t>,</w:t>
      </w:r>
      <w:r>
        <w:t xml:space="preserve"> should be conducted by process safety specialists and production staff together</w:t>
      </w:r>
      <w:r w:rsidR="001C63F4">
        <w:t>.</w:t>
      </w:r>
    </w:p>
    <w:p w14:paraId="459D05E6" w14:textId="77777777" w:rsidR="00600535" w:rsidRPr="00B57B36" w:rsidRDefault="00600535" w:rsidP="00600535">
      <w:pPr>
        <w:pStyle w:val="CETAcknowledgementstitle"/>
      </w:pPr>
      <w:r w:rsidRPr="00B57B36">
        <w:t>Acknowledgments</w:t>
      </w:r>
    </w:p>
    <w:p w14:paraId="33F8138F" w14:textId="1896CF7F" w:rsidR="00600535" w:rsidRPr="00B57B36" w:rsidRDefault="00800ED2" w:rsidP="00600535">
      <w:pPr>
        <w:pStyle w:val="CETBodytext"/>
        <w:rPr>
          <w:lang w:val="en-GB"/>
        </w:rPr>
      </w:pPr>
      <w:r>
        <w:rPr>
          <w:lang w:val="en-GB"/>
        </w:rPr>
        <w:t xml:space="preserve">I would like to thank the participating companies, especially the project team members, Christina Bas, Emelie Forss, Richard Forss, Björn Lindberg, Alba Soto, Anne-Louise Thäng and Richard Widell. Without their great support, this project would not have been possible. </w:t>
      </w:r>
    </w:p>
    <w:p w14:paraId="428B022A" w14:textId="3E73E2F4" w:rsidR="00E65B91" w:rsidRDefault="00600535" w:rsidP="00556CC7">
      <w:pPr>
        <w:pStyle w:val="CETReference"/>
      </w:pPr>
      <w:r w:rsidRPr="00B57B36">
        <w:t>References</w:t>
      </w:r>
    </w:p>
    <w:p w14:paraId="02D7F886" w14:textId="044B808B" w:rsidR="007A0601" w:rsidRDefault="007A0601" w:rsidP="006B4888">
      <w:pPr>
        <w:pStyle w:val="CETReferencetext"/>
      </w:pPr>
      <w:r>
        <w:t>Dekker, S., 2014, The field guide to understanding ‘human error’, CRC Press, Boca Raton, Florida, USA.</w:t>
      </w:r>
    </w:p>
    <w:p w14:paraId="221D2A93" w14:textId="5F8EF7DC" w:rsidR="00376262" w:rsidRDefault="00376262" w:rsidP="006B4888">
      <w:pPr>
        <w:pStyle w:val="CETReferencetext"/>
      </w:pPr>
      <w:r>
        <w:t xml:space="preserve">API, 2021, Process Safety Performance Indicators for the </w:t>
      </w:r>
      <w:r w:rsidR="00556CC7">
        <w:t>P</w:t>
      </w:r>
      <w:r>
        <w:t xml:space="preserve">etroleum and </w:t>
      </w:r>
      <w:r w:rsidR="00556CC7">
        <w:t>P</w:t>
      </w:r>
      <w:r>
        <w:t>etrochemical Industries, ANSI/API Recommended Practice 754, 3</w:t>
      </w:r>
      <w:r w:rsidRPr="00376262">
        <w:rPr>
          <w:vertAlign w:val="superscript"/>
        </w:rPr>
        <w:t>rd</w:t>
      </w:r>
      <w:r>
        <w:t xml:space="preserve"> edition, American Petroleum Institute, 2021</w:t>
      </w:r>
      <w:r w:rsidR="007A0601">
        <w:t>.</w:t>
      </w:r>
    </w:p>
    <w:p w14:paraId="17ABD4DF" w14:textId="1A8C9F0F" w:rsidR="00B2401C" w:rsidRDefault="00B2401C" w:rsidP="006B4888">
      <w:pPr>
        <w:pStyle w:val="CETReferencetext"/>
      </w:pPr>
      <w:r>
        <w:t xml:space="preserve">IPS, 2024, Learning from Incidents – </w:t>
      </w:r>
      <w:r w:rsidR="004E7569">
        <w:t xml:space="preserve">A </w:t>
      </w:r>
      <w:r>
        <w:t>Second Loop, Analysis of approximately 200 incidents at six member companies (in Swedish), The Swedish Process Safety Association</w:t>
      </w:r>
      <w:r w:rsidR="007A0601">
        <w:t>.</w:t>
      </w:r>
    </w:p>
    <w:p w14:paraId="45C8CFFA" w14:textId="28A8B5E3" w:rsidR="00376262" w:rsidRDefault="00376262" w:rsidP="006B4888">
      <w:pPr>
        <w:pStyle w:val="CETReferencetext"/>
      </w:pPr>
      <w:r>
        <w:t>Jacobsson</w:t>
      </w:r>
      <w:r w:rsidR="00477F94">
        <w:t xml:space="preserve"> A.,</w:t>
      </w:r>
      <w:r>
        <w:t xml:space="preserve"> 2011, Methodology for Assessing Learning from Incidents – a Process Industry Perspective, Doctoral thesis, Lund University, Sweden</w:t>
      </w:r>
      <w:r w:rsidR="007A0601">
        <w:t>.</w:t>
      </w:r>
    </w:p>
    <w:p w14:paraId="68B21222" w14:textId="4F8740E8" w:rsidR="00477F94" w:rsidRPr="00477F94" w:rsidRDefault="00477F94" w:rsidP="006B4888">
      <w:pPr>
        <w:pStyle w:val="CETReferencetext"/>
        <w:rPr>
          <w:lang w:val="en-US"/>
        </w:rPr>
      </w:pPr>
      <w:r w:rsidRPr="00477F94">
        <w:rPr>
          <w:lang w:val="en-US"/>
        </w:rPr>
        <w:t>Lundberg J., Rollenhagen C., Hollnagel E., 2009, What-You-Look-For-Is-What-You-Find – The con</w:t>
      </w:r>
      <w:r>
        <w:rPr>
          <w:lang w:val="en-US"/>
        </w:rPr>
        <w:t>s</w:t>
      </w:r>
      <w:r w:rsidRPr="00477F94">
        <w:rPr>
          <w:lang w:val="en-US"/>
        </w:rPr>
        <w:t>equence of underl</w:t>
      </w:r>
      <w:r>
        <w:rPr>
          <w:lang w:val="en-US"/>
        </w:rPr>
        <w:t>ying accident models in eight accident investigation manuals, Safety Science 47 (2009) 1297-1311</w:t>
      </w:r>
      <w:r w:rsidRPr="00477F94">
        <w:rPr>
          <w:lang w:val="en-US"/>
        </w:rPr>
        <w:t xml:space="preserve"> </w:t>
      </w:r>
    </w:p>
    <w:p w14:paraId="19C4FC68" w14:textId="7F1970E0" w:rsidR="004628D2" w:rsidRDefault="00376262" w:rsidP="00D648CA">
      <w:pPr>
        <w:pStyle w:val="CETReferencetext"/>
      </w:pPr>
      <w:r>
        <w:t>MSB, 2012, Learning Big from Small Incidents – a Guideline for Evaluation of the Efficiency of</w:t>
      </w:r>
      <w:r w:rsidR="009F7F98">
        <w:t xml:space="preserve"> </w:t>
      </w:r>
      <w:r>
        <w:t xml:space="preserve">Learning (in Swedish), </w:t>
      </w:r>
      <w:r w:rsidR="00B2401C">
        <w:t>The Swedish Civil Contingencies Agency</w:t>
      </w:r>
      <w:r w:rsidR="007A0601">
        <w:t>.</w:t>
      </w: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8165A" w14:textId="77777777" w:rsidR="00BA06E1" w:rsidRDefault="00BA06E1" w:rsidP="004F5E36">
      <w:r>
        <w:separator/>
      </w:r>
    </w:p>
  </w:endnote>
  <w:endnote w:type="continuationSeparator" w:id="0">
    <w:p w14:paraId="2DE8AAA2" w14:textId="77777777" w:rsidR="00BA06E1" w:rsidRDefault="00BA06E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CFCB4" w14:textId="77777777" w:rsidR="00BA06E1" w:rsidRDefault="00BA06E1" w:rsidP="004F5E36">
      <w:r>
        <w:separator/>
      </w:r>
    </w:p>
  </w:footnote>
  <w:footnote w:type="continuationSeparator" w:id="0">
    <w:p w14:paraId="1818BC25" w14:textId="77777777" w:rsidR="00BA06E1" w:rsidRDefault="00BA06E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4D292E"/>
    <w:multiLevelType w:val="hybridMultilevel"/>
    <w:tmpl w:val="099CFF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51160A7"/>
    <w:multiLevelType w:val="hybridMultilevel"/>
    <w:tmpl w:val="4ABA26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38217E"/>
    <w:multiLevelType w:val="multilevel"/>
    <w:tmpl w:val="3364F01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lang w:val="en-US"/>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2ABE64BE"/>
    <w:multiLevelType w:val="hybridMultilevel"/>
    <w:tmpl w:val="263420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7A07B1F"/>
    <w:multiLevelType w:val="hybridMultilevel"/>
    <w:tmpl w:val="4E0464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5F25F5"/>
    <w:multiLevelType w:val="hybridMultilevel"/>
    <w:tmpl w:val="D02CE4CE"/>
    <w:lvl w:ilvl="0" w:tplc="40E64966">
      <w:numFmt w:val="bullet"/>
      <w:lvlText w:val="•"/>
      <w:lvlJc w:val="left"/>
      <w:pPr>
        <w:ind w:left="821" w:hanging="360"/>
      </w:pPr>
      <w:rPr>
        <w:rFonts w:ascii="Arial" w:eastAsia="Arial" w:hAnsi="Arial" w:cs="Arial" w:hint="default"/>
        <w:w w:val="131"/>
        <w:sz w:val="22"/>
        <w:szCs w:val="22"/>
        <w:lang w:val="en-US" w:eastAsia="en-US" w:bidi="en-US"/>
      </w:rPr>
    </w:lvl>
    <w:lvl w:ilvl="1" w:tplc="1C8EF2A2">
      <w:numFmt w:val="bullet"/>
      <w:lvlText w:val="•"/>
      <w:lvlJc w:val="left"/>
      <w:pPr>
        <w:ind w:left="1664" w:hanging="360"/>
      </w:pPr>
      <w:rPr>
        <w:rFonts w:hint="default"/>
        <w:lang w:val="en-US" w:eastAsia="en-US" w:bidi="en-US"/>
      </w:rPr>
    </w:lvl>
    <w:lvl w:ilvl="2" w:tplc="DEE46A64">
      <w:numFmt w:val="bullet"/>
      <w:lvlText w:val="•"/>
      <w:lvlJc w:val="left"/>
      <w:pPr>
        <w:ind w:left="2509" w:hanging="360"/>
      </w:pPr>
      <w:rPr>
        <w:rFonts w:hint="default"/>
        <w:lang w:val="en-US" w:eastAsia="en-US" w:bidi="en-US"/>
      </w:rPr>
    </w:lvl>
    <w:lvl w:ilvl="3" w:tplc="DC6249FC">
      <w:numFmt w:val="bullet"/>
      <w:lvlText w:val="•"/>
      <w:lvlJc w:val="left"/>
      <w:pPr>
        <w:ind w:left="3353" w:hanging="360"/>
      </w:pPr>
      <w:rPr>
        <w:rFonts w:hint="default"/>
        <w:lang w:val="en-US" w:eastAsia="en-US" w:bidi="en-US"/>
      </w:rPr>
    </w:lvl>
    <w:lvl w:ilvl="4" w:tplc="D82A8382">
      <w:numFmt w:val="bullet"/>
      <w:lvlText w:val="•"/>
      <w:lvlJc w:val="left"/>
      <w:pPr>
        <w:ind w:left="4198" w:hanging="360"/>
      </w:pPr>
      <w:rPr>
        <w:rFonts w:hint="default"/>
        <w:lang w:val="en-US" w:eastAsia="en-US" w:bidi="en-US"/>
      </w:rPr>
    </w:lvl>
    <w:lvl w:ilvl="5" w:tplc="72941B90">
      <w:numFmt w:val="bullet"/>
      <w:lvlText w:val="•"/>
      <w:lvlJc w:val="left"/>
      <w:pPr>
        <w:ind w:left="5042" w:hanging="360"/>
      </w:pPr>
      <w:rPr>
        <w:rFonts w:hint="default"/>
        <w:lang w:val="en-US" w:eastAsia="en-US" w:bidi="en-US"/>
      </w:rPr>
    </w:lvl>
    <w:lvl w:ilvl="6" w:tplc="CDC21120">
      <w:numFmt w:val="bullet"/>
      <w:lvlText w:val="•"/>
      <w:lvlJc w:val="left"/>
      <w:pPr>
        <w:ind w:left="5887" w:hanging="360"/>
      </w:pPr>
      <w:rPr>
        <w:rFonts w:hint="default"/>
        <w:lang w:val="en-US" w:eastAsia="en-US" w:bidi="en-US"/>
      </w:rPr>
    </w:lvl>
    <w:lvl w:ilvl="7" w:tplc="4DC6377A">
      <w:numFmt w:val="bullet"/>
      <w:lvlText w:val="•"/>
      <w:lvlJc w:val="left"/>
      <w:pPr>
        <w:ind w:left="6731" w:hanging="360"/>
      </w:pPr>
      <w:rPr>
        <w:rFonts w:hint="default"/>
        <w:lang w:val="en-US" w:eastAsia="en-US" w:bidi="en-US"/>
      </w:rPr>
    </w:lvl>
    <w:lvl w:ilvl="8" w:tplc="C0982B58">
      <w:numFmt w:val="bullet"/>
      <w:lvlText w:val="•"/>
      <w:lvlJc w:val="left"/>
      <w:pPr>
        <w:ind w:left="7576" w:hanging="360"/>
      </w:pPr>
      <w:rPr>
        <w:rFonts w:hint="default"/>
        <w:lang w:val="en-US" w:eastAsia="en-US" w:bidi="en-US"/>
      </w:rPr>
    </w:lvl>
  </w:abstractNum>
  <w:abstractNum w:abstractNumId="21" w15:restartNumberingAfterBreak="0">
    <w:nsid w:val="4D6C5DEF"/>
    <w:multiLevelType w:val="hybridMultilevel"/>
    <w:tmpl w:val="BB4288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5" w15:restartNumberingAfterBreak="0">
    <w:nsid w:val="598C1C53"/>
    <w:multiLevelType w:val="hybridMultilevel"/>
    <w:tmpl w:val="B9A217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AD2760F"/>
    <w:multiLevelType w:val="hybridMultilevel"/>
    <w:tmpl w:val="D80CE8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E7B510C"/>
    <w:multiLevelType w:val="hybridMultilevel"/>
    <w:tmpl w:val="064848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E937F4F"/>
    <w:multiLevelType w:val="hybridMultilevel"/>
    <w:tmpl w:val="7F4C288A"/>
    <w:lvl w:ilvl="0" w:tplc="041D0001">
      <w:start w:val="1"/>
      <w:numFmt w:val="bullet"/>
      <w:lvlText w:val=""/>
      <w:lvlJc w:val="left"/>
      <w:pPr>
        <w:ind w:left="766" w:hanging="360"/>
      </w:pPr>
      <w:rPr>
        <w:rFonts w:ascii="Symbol" w:hAnsi="Symbol" w:hint="default"/>
      </w:rPr>
    </w:lvl>
    <w:lvl w:ilvl="1" w:tplc="041D0003" w:tentative="1">
      <w:start w:val="1"/>
      <w:numFmt w:val="bullet"/>
      <w:lvlText w:val="o"/>
      <w:lvlJc w:val="left"/>
      <w:pPr>
        <w:ind w:left="1486" w:hanging="360"/>
      </w:pPr>
      <w:rPr>
        <w:rFonts w:ascii="Courier New" w:hAnsi="Courier New" w:cs="Courier New" w:hint="default"/>
      </w:rPr>
    </w:lvl>
    <w:lvl w:ilvl="2" w:tplc="041D0005" w:tentative="1">
      <w:start w:val="1"/>
      <w:numFmt w:val="bullet"/>
      <w:lvlText w:val=""/>
      <w:lvlJc w:val="left"/>
      <w:pPr>
        <w:ind w:left="2206" w:hanging="360"/>
      </w:pPr>
      <w:rPr>
        <w:rFonts w:ascii="Wingdings" w:hAnsi="Wingdings" w:hint="default"/>
      </w:rPr>
    </w:lvl>
    <w:lvl w:ilvl="3" w:tplc="041D0001" w:tentative="1">
      <w:start w:val="1"/>
      <w:numFmt w:val="bullet"/>
      <w:lvlText w:val=""/>
      <w:lvlJc w:val="left"/>
      <w:pPr>
        <w:ind w:left="2926" w:hanging="360"/>
      </w:pPr>
      <w:rPr>
        <w:rFonts w:ascii="Symbol" w:hAnsi="Symbol" w:hint="default"/>
      </w:rPr>
    </w:lvl>
    <w:lvl w:ilvl="4" w:tplc="041D0003" w:tentative="1">
      <w:start w:val="1"/>
      <w:numFmt w:val="bullet"/>
      <w:lvlText w:val="o"/>
      <w:lvlJc w:val="left"/>
      <w:pPr>
        <w:ind w:left="3646" w:hanging="360"/>
      </w:pPr>
      <w:rPr>
        <w:rFonts w:ascii="Courier New" w:hAnsi="Courier New" w:cs="Courier New" w:hint="default"/>
      </w:rPr>
    </w:lvl>
    <w:lvl w:ilvl="5" w:tplc="041D0005" w:tentative="1">
      <w:start w:val="1"/>
      <w:numFmt w:val="bullet"/>
      <w:lvlText w:val=""/>
      <w:lvlJc w:val="left"/>
      <w:pPr>
        <w:ind w:left="4366" w:hanging="360"/>
      </w:pPr>
      <w:rPr>
        <w:rFonts w:ascii="Wingdings" w:hAnsi="Wingdings" w:hint="default"/>
      </w:rPr>
    </w:lvl>
    <w:lvl w:ilvl="6" w:tplc="041D0001" w:tentative="1">
      <w:start w:val="1"/>
      <w:numFmt w:val="bullet"/>
      <w:lvlText w:val=""/>
      <w:lvlJc w:val="left"/>
      <w:pPr>
        <w:ind w:left="5086" w:hanging="360"/>
      </w:pPr>
      <w:rPr>
        <w:rFonts w:ascii="Symbol" w:hAnsi="Symbol" w:hint="default"/>
      </w:rPr>
    </w:lvl>
    <w:lvl w:ilvl="7" w:tplc="041D0003" w:tentative="1">
      <w:start w:val="1"/>
      <w:numFmt w:val="bullet"/>
      <w:lvlText w:val="o"/>
      <w:lvlJc w:val="left"/>
      <w:pPr>
        <w:ind w:left="5806" w:hanging="360"/>
      </w:pPr>
      <w:rPr>
        <w:rFonts w:ascii="Courier New" w:hAnsi="Courier New" w:cs="Courier New" w:hint="default"/>
      </w:rPr>
    </w:lvl>
    <w:lvl w:ilvl="8" w:tplc="041D0005" w:tentative="1">
      <w:start w:val="1"/>
      <w:numFmt w:val="bullet"/>
      <w:lvlText w:val=""/>
      <w:lvlJc w:val="left"/>
      <w:pPr>
        <w:ind w:left="6526" w:hanging="360"/>
      </w:pPr>
      <w:rPr>
        <w:rFonts w:ascii="Wingdings" w:hAnsi="Wingdings" w:hint="default"/>
      </w:rPr>
    </w:lvl>
  </w:abstractNum>
  <w:abstractNum w:abstractNumId="3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5A62149"/>
    <w:multiLevelType w:val="hybridMultilevel"/>
    <w:tmpl w:val="6A9A124A"/>
    <w:lvl w:ilvl="0" w:tplc="041D0001">
      <w:start w:val="1"/>
      <w:numFmt w:val="bullet"/>
      <w:lvlText w:val=""/>
      <w:lvlJc w:val="left"/>
      <w:pPr>
        <w:ind w:left="768" w:hanging="360"/>
      </w:pPr>
      <w:rPr>
        <w:rFonts w:ascii="Symbol" w:hAnsi="Symbol"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num w:numId="1" w16cid:durableId="1316882765">
    <w:abstractNumId w:val="13"/>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4"/>
  </w:num>
  <w:num w:numId="13" w16cid:durableId="695733619">
    <w:abstractNumId w:val="16"/>
  </w:num>
  <w:num w:numId="14" w16cid:durableId="145903400">
    <w:abstractNumId w:val="27"/>
  </w:num>
  <w:num w:numId="15" w16cid:durableId="19162326">
    <w:abstractNumId w:val="31"/>
  </w:num>
  <w:num w:numId="16" w16cid:durableId="1977102699">
    <w:abstractNumId w:val="30"/>
  </w:num>
  <w:num w:numId="17" w16cid:durableId="860774865">
    <w:abstractNumId w:val="15"/>
  </w:num>
  <w:num w:numId="18" w16cid:durableId="313221457">
    <w:abstractNumId w:val="16"/>
    <w:lvlOverride w:ilvl="0">
      <w:startOverride w:val="1"/>
    </w:lvlOverride>
  </w:num>
  <w:num w:numId="19" w16cid:durableId="534971577">
    <w:abstractNumId w:val="23"/>
  </w:num>
  <w:num w:numId="20" w16cid:durableId="1150947773">
    <w:abstractNumId w:val="22"/>
  </w:num>
  <w:num w:numId="21" w16cid:durableId="124660497">
    <w:abstractNumId w:val="18"/>
  </w:num>
  <w:num w:numId="22" w16cid:durableId="2099861471">
    <w:abstractNumId w:val="17"/>
  </w:num>
  <w:num w:numId="23" w16cid:durableId="84351335">
    <w:abstractNumId w:val="11"/>
  </w:num>
  <w:num w:numId="24" w16cid:durableId="641693700">
    <w:abstractNumId w:val="20"/>
  </w:num>
  <w:num w:numId="25" w16cid:durableId="1938437875">
    <w:abstractNumId w:val="19"/>
  </w:num>
  <w:num w:numId="26" w16cid:durableId="1223058781">
    <w:abstractNumId w:val="29"/>
  </w:num>
  <w:num w:numId="27" w16cid:durableId="1396391185">
    <w:abstractNumId w:val="32"/>
  </w:num>
  <w:num w:numId="28" w16cid:durableId="514466156">
    <w:abstractNumId w:val="26"/>
  </w:num>
  <w:num w:numId="29" w16cid:durableId="586886767">
    <w:abstractNumId w:val="12"/>
  </w:num>
  <w:num w:numId="30" w16cid:durableId="1394086636">
    <w:abstractNumId w:val="14"/>
  </w:num>
  <w:num w:numId="31" w16cid:durableId="571357203">
    <w:abstractNumId w:val="28"/>
  </w:num>
  <w:num w:numId="32" w16cid:durableId="1849907247">
    <w:abstractNumId w:val="21"/>
  </w:num>
  <w:num w:numId="33" w16cid:durableId="1295218081">
    <w:abstractNumId w:val="10"/>
  </w:num>
  <w:num w:numId="34" w16cid:durableId="12822241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1AE"/>
    <w:rsid w:val="000027C0"/>
    <w:rsid w:val="000052FB"/>
    <w:rsid w:val="00005A19"/>
    <w:rsid w:val="000117CB"/>
    <w:rsid w:val="000162B9"/>
    <w:rsid w:val="00016931"/>
    <w:rsid w:val="0002032D"/>
    <w:rsid w:val="0003148D"/>
    <w:rsid w:val="00031EEC"/>
    <w:rsid w:val="000325B8"/>
    <w:rsid w:val="000342CC"/>
    <w:rsid w:val="00043AA3"/>
    <w:rsid w:val="0005020B"/>
    <w:rsid w:val="00051566"/>
    <w:rsid w:val="000545D0"/>
    <w:rsid w:val="000562A9"/>
    <w:rsid w:val="00062A9A"/>
    <w:rsid w:val="00062C8F"/>
    <w:rsid w:val="00065058"/>
    <w:rsid w:val="00070C76"/>
    <w:rsid w:val="00074427"/>
    <w:rsid w:val="00074684"/>
    <w:rsid w:val="00086C39"/>
    <w:rsid w:val="000905CE"/>
    <w:rsid w:val="000A03B2"/>
    <w:rsid w:val="000D0268"/>
    <w:rsid w:val="000D34BE"/>
    <w:rsid w:val="000D606B"/>
    <w:rsid w:val="000E0B3C"/>
    <w:rsid w:val="000E102F"/>
    <w:rsid w:val="000E36F1"/>
    <w:rsid w:val="000E3A73"/>
    <w:rsid w:val="000E414A"/>
    <w:rsid w:val="000E75FD"/>
    <w:rsid w:val="000F093C"/>
    <w:rsid w:val="000F4046"/>
    <w:rsid w:val="000F787B"/>
    <w:rsid w:val="0012091F"/>
    <w:rsid w:val="00126BC2"/>
    <w:rsid w:val="00127EAB"/>
    <w:rsid w:val="001308B6"/>
    <w:rsid w:val="0013121F"/>
    <w:rsid w:val="00131C18"/>
    <w:rsid w:val="00131FE6"/>
    <w:rsid w:val="0013263F"/>
    <w:rsid w:val="00132C6B"/>
    <w:rsid w:val="001331DF"/>
    <w:rsid w:val="00134DE4"/>
    <w:rsid w:val="001379CA"/>
    <w:rsid w:val="0014034D"/>
    <w:rsid w:val="00140FE3"/>
    <w:rsid w:val="001426DE"/>
    <w:rsid w:val="00142921"/>
    <w:rsid w:val="00144D16"/>
    <w:rsid w:val="00150E59"/>
    <w:rsid w:val="00152DE3"/>
    <w:rsid w:val="00164CF9"/>
    <w:rsid w:val="001667A6"/>
    <w:rsid w:val="001709AA"/>
    <w:rsid w:val="0018171E"/>
    <w:rsid w:val="00184AD6"/>
    <w:rsid w:val="00192855"/>
    <w:rsid w:val="001A2729"/>
    <w:rsid w:val="001A4AF7"/>
    <w:rsid w:val="001B0349"/>
    <w:rsid w:val="001B1E93"/>
    <w:rsid w:val="001B5883"/>
    <w:rsid w:val="001B65C1"/>
    <w:rsid w:val="001C260F"/>
    <w:rsid w:val="001C5C3A"/>
    <w:rsid w:val="001C6126"/>
    <w:rsid w:val="001C63F4"/>
    <w:rsid w:val="001C684B"/>
    <w:rsid w:val="001D0CFB"/>
    <w:rsid w:val="001D21AF"/>
    <w:rsid w:val="001D53FC"/>
    <w:rsid w:val="001E62E8"/>
    <w:rsid w:val="001F29CA"/>
    <w:rsid w:val="001F42A5"/>
    <w:rsid w:val="001F7B9D"/>
    <w:rsid w:val="00201C93"/>
    <w:rsid w:val="00214235"/>
    <w:rsid w:val="00214C54"/>
    <w:rsid w:val="002224B4"/>
    <w:rsid w:val="00224203"/>
    <w:rsid w:val="002328D6"/>
    <w:rsid w:val="0024161A"/>
    <w:rsid w:val="002447EF"/>
    <w:rsid w:val="00251550"/>
    <w:rsid w:val="00261497"/>
    <w:rsid w:val="00263B05"/>
    <w:rsid w:val="0027221A"/>
    <w:rsid w:val="002749E1"/>
    <w:rsid w:val="00275B61"/>
    <w:rsid w:val="00280FAF"/>
    <w:rsid w:val="00282656"/>
    <w:rsid w:val="002866A0"/>
    <w:rsid w:val="00287334"/>
    <w:rsid w:val="0029264F"/>
    <w:rsid w:val="00296B83"/>
    <w:rsid w:val="002A7A10"/>
    <w:rsid w:val="002B4015"/>
    <w:rsid w:val="002B78CE"/>
    <w:rsid w:val="002C2FB6"/>
    <w:rsid w:val="002C3A34"/>
    <w:rsid w:val="002D15FE"/>
    <w:rsid w:val="002D77CD"/>
    <w:rsid w:val="002E18B3"/>
    <w:rsid w:val="002E5FA7"/>
    <w:rsid w:val="002E6615"/>
    <w:rsid w:val="002F3309"/>
    <w:rsid w:val="003008CE"/>
    <w:rsid w:val="003009B7"/>
    <w:rsid w:val="00300DE4"/>
    <w:rsid w:val="00300E56"/>
    <w:rsid w:val="0030152C"/>
    <w:rsid w:val="0030469C"/>
    <w:rsid w:val="00312685"/>
    <w:rsid w:val="0031278A"/>
    <w:rsid w:val="00321CA6"/>
    <w:rsid w:val="00323763"/>
    <w:rsid w:val="00323C5F"/>
    <w:rsid w:val="00334C09"/>
    <w:rsid w:val="00337DC3"/>
    <w:rsid w:val="00344AE5"/>
    <w:rsid w:val="003723D4"/>
    <w:rsid w:val="00374538"/>
    <w:rsid w:val="0037460E"/>
    <w:rsid w:val="00375943"/>
    <w:rsid w:val="00376262"/>
    <w:rsid w:val="00377A26"/>
    <w:rsid w:val="00381905"/>
    <w:rsid w:val="00384CC8"/>
    <w:rsid w:val="003871FD"/>
    <w:rsid w:val="003A1E30"/>
    <w:rsid w:val="003A2829"/>
    <w:rsid w:val="003A393F"/>
    <w:rsid w:val="003A7D1C"/>
    <w:rsid w:val="003B304B"/>
    <w:rsid w:val="003B3146"/>
    <w:rsid w:val="003B49CD"/>
    <w:rsid w:val="003B623E"/>
    <w:rsid w:val="003B62CC"/>
    <w:rsid w:val="003D09C7"/>
    <w:rsid w:val="003D1E02"/>
    <w:rsid w:val="003D6423"/>
    <w:rsid w:val="003D7375"/>
    <w:rsid w:val="003E7239"/>
    <w:rsid w:val="003F015E"/>
    <w:rsid w:val="003F18D3"/>
    <w:rsid w:val="003F3D02"/>
    <w:rsid w:val="003F4267"/>
    <w:rsid w:val="00400414"/>
    <w:rsid w:val="0041446B"/>
    <w:rsid w:val="00416E45"/>
    <w:rsid w:val="00425C5A"/>
    <w:rsid w:val="00427A88"/>
    <w:rsid w:val="00437857"/>
    <w:rsid w:val="0044071E"/>
    <w:rsid w:val="00440757"/>
    <w:rsid w:val="0044329C"/>
    <w:rsid w:val="00453C00"/>
    <w:rsid w:val="00453E24"/>
    <w:rsid w:val="00457456"/>
    <w:rsid w:val="004577FE"/>
    <w:rsid w:val="0045790F"/>
    <w:rsid w:val="00457B9C"/>
    <w:rsid w:val="0046164A"/>
    <w:rsid w:val="004628D2"/>
    <w:rsid w:val="00462D1D"/>
    <w:rsid w:val="00462DCD"/>
    <w:rsid w:val="004648AD"/>
    <w:rsid w:val="00467621"/>
    <w:rsid w:val="004703A9"/>
    <w:rsid w:val="004717FC"/>
    <w:rsid w:val="004760DE"/>
    <w:rsid w:val="004763D7"/>
    <w:rsid w:val="004778D8"/>
    <w:rsid w:val="00477F94"/>
    <w:rsid w:val="004A004E"/>
    <w:rsid w:val="004A24CF"/>
    <w:rsid w:val="004B33A2"/>
    <w:rsid w:val="004C3D1D"/>
    <w:rsid w:val="004C3D84"/>
    <w:rsid w:val="004C7913"/>
    <w:rsid w:val="004D3559"/>
    <w:rsid w:val="004D36EE"/>
    <w:rsid w:val="004D3EEB"/>
    <w:rsid w:val="004E4DD6"/>
    <w:rsid w:val="004E64F9"/>
    <w:rsid w:val="004E7569"/>
    <w:rsid w:val="004F5C89"/>
    <w:rsid w:val="004F5E36"/>
    <w:rsid w:val="004F7EFA"/>
    <w:rsid w:val="00507B47"/>
    <w:rsid w:val="00507BEF"/>
    <w:rsid w:val="00507CC9"/>
    <w:rsid w:val="005119A5"/>
    <w:rsid w:val="005125B2"/>
    <w:rsid w:val="00516A82"/>
    <w:rsid w:val="005250E6"/>
    <w:rsid w:val="005277A2"/>
    <w:rsid w:val="005278B7"/>
    <w:rsid w:val="00532016"/>
    <w:rsid w:val="005346C8"/>
    <w:rsid w:val="005353BB"/>
    <w:rsid w:val="005424FC"/>
    <w:rsid w:val="00543E7D"/>
    <w:rsid w:val="005469F9"/>
    <w:rsid w:val="00547A68"/>
    <w:rsid w:val="005531C9"/>
    <w:rsid w:val="00554218"/>
    <w:rsid w:val="00554879"/>
    <w:rsid w:val="00556CC7"/>
    <w:rsid w:val="00570C43"/>
    <w:rsid w:val="005757EB"/>
    <w:rsid w:val="00575B42"/>
    <w:rsid w:val="005906D3"/>
    <w:rsid w:val="00592274"/>
    <w:rsid w:val="005A1F9E"/>
    <w:rsid w:val="005A2141"/>
    <w:rsid w:val="005B2110"/>
    <w:rsid w:val="005B350B"/>
    <w:rsid w:val="005B5B4C"/>
    <w:rsid w:val="005B61E6"/>
    <w:rsid w:val="005C186A"/>
    <w:rsid w:val="005C72BE"/>
    <w:rsid w:val="005C77E1"/>
    <w:rsid w:val="005D668A"/>
    <w:rsid w:val="005D6A2F"/>
    <w:rsid w:val="005E0592"/>
    <w:rsid w:val="005E11C5"/>
    <w:rsid w:val="005E1A82"/>
    <w:rsid w:val="005E40A5"/>
    <w:rsid w:val="005E794C"/>
    <w:rsid w:val="005F0A28"/>
    <w:rsid w:val="005F0E5E"/>
    <w:rsid w:val="00600535"/>
    <w:rsid w:val="006039FC"/>
    <w:rsid w:val="0060439F"/>
    <w:rsid w:val="00610CD6"/>
    <w:rsid w:val="00620DEE"/>
    <w:rsid w:val="00621F92"/>
    <w:rsid w:val="0062280A"/>
    <w:rsid w:val="006231E1"/>
    <w:rsid w:val="00625639"/>
    <w:rsid w:val="00631B33"/>
    <w:rsid w:val="006326CB"/>
    <w:rsid w:val="006357A7"/>
    <w:rsid w:val="0064184D"/>
    <w:rsid w:val="006422CC"/>
    <w:rsid w:val="00651D18"/>
    <w:rsid w:val="00660E3E"/>
    <w:rsid w:val="00662E74"/>
    <w:rsid w:val="006677EE"/>
    <w:rsid w:val="00673FB2"/>
    <w:rsid w:val="006762DF"/>
    <w:rsid w:val="00680C23"/>
    <w:rsid w:val="006835E3"/>
    <w:rsid w:val="00683E23"/>
    <w:rsid w:val="00693766"/>
    <w:rsid w:val="006A3281"/>
    <w:rsid w:val="006A4BCF"/>
    <w:rsid w:val="006A6DE5"/>
    <w:rsid w:val="006B4888"/>
    <w:rsid w:val="006C2E45"/>
    <w:rsid w:val="006C359C"/>
    <w:rsid w:val="006C5579"/>
    <w:rsid w:val="006D6116"/>
    <w:rsid w:val="006D6781"/>
    <w:rsid w:val="006D6E8B"/>
    <w:rsid w:val="006D7209"/>
    <w:rsid w:val="006E0027"/>
    <w:rsid w:val="006E278C"/>
    <w:rsid w:val="006E3754"/>
    <w:rsid w:val="006E737D"/>
    <w:rsid w:val="00707DD1"/>
    <w:rsid w:val="00713973"/>
    <w:rsid w:val="00720A24"/>
    <w:rsid w:val="00732386"/>
    <w:rsid w:val="0073514D"/>
    <w:rsid w:val="00736466"/>
    <w:rsid w:val="00742CF1"/>
    <w:rsid w:val="007447F3"/>
    <w:rsid w:val="00745212"/>
    <w:rsid w:val="007456BB"/>
    <w:rsid w:val="0075499F"/>
    <w:rsid w:val="0076472D"/>
    <w:rsid w:val="007661C8"/>
    <w:rsid w:val="0077098D"/>
    <w:rsid w:val="00785BF9"/>
    <w:rsid w:val="007931FA"/>
    <w:rsid w:val="007A042F"/>
    <w:rsid w:val="007A0496"/>
    <w:rsid w:val="007A0601"/>
    <w:rsid w:val="007A2A89"/>
    <w:rsid w:val="007A336D"/>
    <w:rsid w:val="007A4861"/>
    <w:rsid w:val="007A7BBA"/>
    <w:rsid w:val="007B0C50"/>
    <w:rsid w:val="007B48F9"/>
    <w:rsid w:val="007B5F3B"/>
    <w:rsid w:val="007C1A43"/>
    <w:rsid w:val="007C4573"/>
    <w:rsid w:val="007D0951"/>
    <w:rsid w:val="007D610D"/>
    <w:rsid w:val="007E2F38"/>
    <w:rsid w:val="007E40DA"/>
    <w:rsid w:val="0080013E"/>
    <w:rsid w:val="00800ED2"/>
    <w:rsid w:val="00801759"/>
    <w:rsid w:val="00803555"/>
    <w:rsid w:val="00803C50"/>
    <w:rsid w:val="008047EB"/>
    <w:rsid w:val="008050DE"/>
    <w:rsid w:val="00813288"/>
    <w:rsid w:val="008168FC"/>
    <w:rsid w:val="008204F7"/>
    <w:rsid w:val="00823F43"/>
    <w:rsid w:val="00830996"/>
    <w:rsid w:val="008345F1"/>
    <w:rsid w:val="008535D8"/>
    <w:rsid w:val="00860801"/>
    <w:rsid w:val="00865B07"/>
    <w:rsid w:val="008667EA"/>
    <w:rsid w:val="0087637F"/>
    <w:rsid w:val="008854CA"/>
    <w:rsid w:val="008876A2"/>
    <w:rsid w:val="00891A1A"/>
    <w:rsid w:val="00892AD5"/>
    <w:rsid w:val="00894C3F"/>
    <w:rsid w:val="008A1512"/>
    <w:rsid w:val="008A2C48"/>
    <w:rsid w:val="008A45D9"/>
    <w:rsid w:val="008B0789"/>
    <w:rsid w:val="008B1A51"/>
    <w:rsid w:val="008C0F4E"/>
    <w:rsid w:val="008D32B9"/>
    <w:rsid w:val="008D433B"/>
    <w:rsid w:val="008D4A16"/>
    <w:rsid w:val="008E5401"/>
    <w:rsid w:val="008E566E"/>
    <w:rsid w:val="008E66F0"/>
    <w:rsid w:val="008E7CAF"/>
    <w:rsid w:val="008F3474"/>
    <w:rsid w:val="0090161A"/>
    <w:rsid w:val="00901EB6"/>
    <w:rsid w:val="00902647"/>
    <w:rsid w:val="009041F8"/>
    <w:rsid w:val="00904C62"/>
    <w:rsid w:val="00916AD3"/>
    <w:rsid w:val="00917B97"/>
    <w:rsid w:val="00920104"/>
    <w:rsid w:val="00922490"/>
    <w:rsid w:val="00922BA8"/>
    <w:rsid w:val="00924BBE"/>
    <w:rsid w:val="00924DAC"/>
    <w:rsid w:val="00925D73"/>
    <w:rsid w:val="00927058"/>
    <w:rsid w:val="00932B74"/>
    <w:rsid w:val="00942750"/>
    <w:rsid w:val="009450CE"/>
    <w:rsid w:val="009456B9"/>
    <w:rsid w:val="009459BB"/>
    <w:rsid w:val="00946FB0"/>
    <w:rsid w:val="00947179"/>
    <w:rsid w:val="0095164B"/>
    <w:rsid w:val="0095204E"/>
    <w:rsid w:val="00954090"/>
    <w:rsid w:val="009573E7"/>
    <w:rsid w:val="00963E05"/>
    <w:rsid w:val="00964A45"/>
    <w:rsid w:val="00967771"/>
    <w:rsid w:val="00967843"/>
    <w:rsid w:val="00967D54"/>
    <w:rsid w:val="00971028"/>
    <w:rsid w:val="00993B84"/>
    <w:rsid w:val="00994C6A"/>
    <w:rsid w:val="00996483"/>
    <w:rsid w:val="009966A5"/>
    <w:rsid w:val="00996F5A"/>
    <w:rsid w:val="009A68B7"/>
    <w:rsid w:val="009B041A"/>
    <w:rsid w:val="009B3A27"/>
    <w:rsid w:val="009B69E7"/>
    <w:rsid w:val="009C37C3"/>
    <w:rsid w:val="009C3F8D"/>
    <w:rsid w:val="009C5B30"/>
    <w:rsid w:val="009C7B25"/>
    <w:rsid w:val="009C7C86"/>
    <w:rsid w:val="009D1649"/>
    <w:rsid w:val="009D2FF7"/>
    <w:rsid w:val="009D508D"/>
    <w:rsid w:val="009E6F34"/>
    <w:rsid w:val="009E7884"/>
    <w:rsid w:val="009E788A"/>
    <w:rsid w:val="009F0E08"/>
    <w:rsid w:val="009F39C7"/>
    <w:rsid w:val="009F7F98"/>
    <w:rsid w:val="00A079AE"/>
    <w:rsid w:val="00A1763D"/>
    <w:rsid w:val="00A17CEC"/>
    <w:rsid w:val="00A27EF0"/>
    <w:rsid w:val="00A354E4"/>
    <w:rsid w:val="00A417DF"/>
    <w:rsid w:val="00A42361"/>
    <w:rsid w:val="00A433A7"/>
    <w:rsid w:val="00A46396"/>
    <w:rsid w:val="00A50B20"/>
    <w:rsid w:val="00A51390"/>
    <w:rsid w:val="00A60174"/>
    <w:rsid w:val="00A60D13"/>
    <w:rsid w:val="00A61BB5"/>
    <w:rsid w:val="00A625DC"/>
    <w:rsid w:val="00A7223D"/>
    <w:rsid w:val="00A72745"/>
    <w:rsid w:val="00A74C98"/>
    <w:rsid w:val="00A74DFA"/>
    <w:rsid w:val="00A76EFC"/>
    <w:rsid w:val="00A81C3D"/>
    <w:rsid w:val="00A87D50"/>
    <w:rsid w:val="00A91010"/>
    <w:rsid w:val="00A952B0"/>
    <w:rsid w:val="00A97F29"/>
    <w:rsid w:val="00AA702E"/>
    <w:rsid w:val="00AA7D26"/>
    <w:rsid w:val="00AB0964"/>
    <w:rsid w:val="00AB27FC"/>
    <w:rsid w:val="00AB2CCB"/>
    <w:rsid w:val="00AB3F7E"/>
    <w:rsid w:val="00AB5011"/>
    <w:rsid w:val="00AC7368"/>
    <w:rsid w:val="00AD16B9"/>
    <w:rsid w:val="00AD7109"/>
    <w:rsid w:val="00AE377D"/>
    <w:rsid w:val="00AF0EBA"/>
    <w:rsid w:val="00AF2463"/>
    <w:rsid w:val="00AF28DA"/>
    <w:rsid w:val="00AF347A"/>
    <w:rsid w:val="00B003C8"/>
    <w:rsid w:val="00B02C8A"/>
    <w:rsid w:val="00B03E16"/>
    <w:rsid w:val="00B05DDE"/>
    <w:rsid w:val="00B108D3"/>
    <w:rsid w:val="00B1262B"/>
    <w:rsid w:val="00B12FF6"/>
    <w:rsid w:val="00B17FBD"/>
    <w:rsid w:val="00B2341C"/>
    <w:rsid w:val="00B2401C"/>
    <w:rsid w:val="00B315A6"/>
    <w:rsid w:val="00B31813"/>
    <w:rsid w:val="00B33365"/>
    <w:rsid w:val="00B46196"/>
    <w:rsid w:val="00B46EFC"/>
    <w:rsid w:val="00B57B36"/>
    <w:rsid w:val="00B57E6F"/>
    <w:rsid w:val="00B70322"/>
    <w:rsid w:val="00B8686D"/>
    <w:rsid w:val="00B93F69"/>
    <w:rsid w:val="00BA06E1"/>
    <w:rsid w:val="00BA116D"/>
    <w:rsid w:val="00BA5533"/>
    <w:rsid w:val="00BB1DDC"/>
    <w:rsid w:val="00BB6CB5"/>
    <w:rsid w:val="00BC0608"/>
    <w:rsid w:val="00BC2FC1"/>
    <w:rsid w:val="00BC30C9"/>
    <w:rsid w:val="00BC3A0A"/>
    <w:rsid w:val="00BD077D"/>
    <w:rsid w:val="00BD4D15"/>
    <w:rsid w:val="00BD783A"/>
    <w:rsid w:val="00BE3E58"/>
    <w:rsid w:val="00BF13CE"/>
    <w:rsid w:val="00BF3F42"/>
    <w:rsid w:val="00C00B20"/>
    <w:rsid w:val="00C01616"/>
    <w:rsid w:val="00C0162B"/>
    <w:rsid w:val="00C01733"/>
    <w:rsid w:val="00C03731"/>
    <w:rsid w:val="00C05E29"/>
    <w:rsid w:val="00C068ED"/>
    <w:rsid w:val="00C07C85"/>
    <w:rsid w:val="00C1351E"/>
    <w:rsid w:val="00C15A7A"/>
    <w:rsid w:val="00C22E0C"/>
    <w:rsid w:val="00C345B1"/>
    <w:rsid w:val="00C40142"/>
    <w:rsid w:val="00C41C42"/>
    <w:rsid w:val="00C4599A"/>
    <w:rsid w:val="00C52C3C"/>
    <w:rsid w:val="00C562B9"/>
    <w:rsid w:val="00C57182"/>
    <w:rsid w:val="00C57863"/>
    <w:rsid w:val="00C640AF"/>
    <w:rsid w:val="00C655FD"/>
    <w:rsid w:val="00C75407"/>
    <w:rsid w:val="00C82C18"/>
    <w:rsid w:val="00C841C6"/>
    <w:rsid w:val="00C870A8"/>
    <w:rsid w:val="00C94434"/>
    <w:rsid w:val="00C945C7"/>
    <w:rsid w:val="00CA0D75"/>
    <w:rsid w:val="00CA1C95"/>
    <w:rsid w:val="00CA521D"/>
    <w:rsid w:val="00CA5A9C"/>
    <w:rsid w:val="00CC0361"/>
    <w:rsid w:val="00CC2EF4"/>
    <w:rsid w:val="00CC4C20"/>
    <w:rsid w:val="00CD109B"/>
    <w:rsid w:val="00CD2BF8"/>
    <w:rsid w:val="00CD3517"/>
    <w:rsid w:val="00CD3642"/>
    <w:rsid w:val="00CD5FE2"/>
    <w:rsid w:val="00CE6CB4"/>
    <w:rsid w:val="00CE7C68"/>
    <w:rsid w:val="00D02B4C"/>
    <w:rsid w:val="00D040C4"/>
    <w:rsid w:val="00D20AD1"/>
    <w:rsid w:val="00D225D2"/>
    <w:rsid w:val="00D2582C"/>
    <w:rsid w:val="00D338FA"/>
    <w:rsid w:val="00D40EAD"/>
    <w:rsid w:val="00D46B7E"/>
    <w:rsid w:val="00D5416C"/>
    <w:rsid w:val="00D57C84"/>
    <w:rsid w:val="00D6057D"/>
    <w:rsid w:val="00D606B0"/>
    <w:rsid w:val="00D60D84"/>
    <w:rsid w:val="00D648CA"/>
    <w:rsid w:val="00D71640"/>
    <w:rsid w:val="00D724F3"/>
    <w:rsid w:val="00D83172"/>
    <w:rsid w:val="00D836C5"/>
    <w:rsid w:val="00D84576"/>
    <w:rsid w:val="00D919EC"/>
    <w:rsid w:val="00D96EA0"/>
    <w:rsid w:val="00DA1399"/>
    <w:rsid w:val="00DA24C6"/>
    <w:rsid w:val="00DA3C44"/>
    <w:rsid w:val="00DA4D7B"/>
    <w:rsid w:val="00DC2840"/>
    <w:rsid w:val="00DC440B"/>
    <w:rsid w:val="00DC6B07"/>
    <w:rsid w:val="00DC73EE"/>
    <w:rsid w:val="00DD0FA6"/>
    <w:rsid w:val="00DD271C"/>
    <w:rsid w:val="00DE0B89"/>
    <w:rsid w:val="00DE264A"/>
    <w:rsid w:val="00DF5072"/>
    <w:rsid w:val="00E02D18"/>
    <w:rsid w:val="00E03B21"/>
    <w:rsid w:val="00E041E7"/>
    <w:rsid w:val="00E07C3C"/>
    <w:rsid w:val="00E1505C"/>
    <w:rsid w:val="00E1557B"/>
    <w:rsid w:val="00E229ED"/>
    <w:rsid w:val="00E23CA1"/>
    <w:rsid w:val="00E25C92"/>
    <w:rsid w:val="00E409A8"/>
    <w:rsid w:val="00E50C12"/>
    <w:rsid w:val="00E655BE"/>
    <w:rsid w:val="00E65B91"/>
    <w:rsid w:val="00E7209D"/>
    <w:rsid w:val="00E72EAD"/>
    <w:rsid w:val="00E77223"/>
    <w:rsid w:val="00E83FE8"/>
    <w:rsid w:val="00E8528B"/>
    <w:rsid w:val="00E85B94"/>
    <w:rsid w:val="00E85C35"/>
    <w:rsid w:val="00E978D0"/>
    <w:rsid w:val="00EA4613"/>
    <w:rsid w:val="00EA7F91"/>
    <w:rsid w:val="00EB1523"/>
    <w:rsid w:val="00EB3118"/>
    <w:rsid w:val="00EB5ED1"/>
    <w:rsid w:val="00EB74AC"/>
    <w:rsid w:val="00EC0E49"/>
    <w:rsid w:val="00EC101F"/>
    <w:rsid w:val="00EC1D9F"/>
    <w:rsid w:val="00EC4540"/>
    <w:rsid w:val="00EC61D9"/>
    <w:rsid w:val="00ED3786"/>
    <w:rsid w:val="00EE0131"/>
    <w:rsid w:val="00EE17B0"/>
    <w:rsid w:val="00EF06D9"/>
    <w:rsid w:val="00EF31D5"/>
    <w:rsid w:val="00F02CE1"/>
    <w:rsid w:val="00F27EE4"/>
    <w:rsid w:val="00F3049E"/>
    <w:rsid w:val="00F30C64"/>
    <w:rsid w:val="00F30E85"/>
    <w:rsid w:val="00F32BA2"/>
    <w:rsid w:val="00F32CDB"/>
    <w:rsid w:val="00F37B2C"/>
    <w:rsid w:val="00F41EE4"/>
    <w:rsid w:val="00F47041"/>
    <w:rsid w:val="00F565FE"/>
    <w:rsid w:val="00F57122"/>
    <w:rsid w:val="00F60292"/>
    <w:rsid w:val="00F63A70"/>
    <w:rsid w:val="00F63D8C"/>
    <w:rsid w:val="00F72C5F"/>
    <w:rsid w:val="00F7534E"/>
    <w:rsid w:val="00F855E0"/>
    <w:rsid w:val="00F92BF1"/>
    <w:rsid w:val="00F93EDF"/>
    <w:rsid w:val="00FA0438"/>
    <w:rsid w:val="00FA1802"/>
    <w:rsid w:val="00FA21D0"/>
    <w:rsid w:val="00FA2A7A"/>
    <w:rsid w:val="00FA5F5F"/>
    <w:rsid w:val="00FB1FA5"/>
    <w:rsid w:val="00FB730C"/>
    <w:rsid w:val="00FC2695"/>
    <w:rsid w:val="00FC3E03"/>
    <w:rsid w:val="00FC3FC1"/>
    <w:rsid w:val="00FC480C"/>
    <w:rsid w:val="00FE4C82"/>
    <w:rsid w:val="00FF163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655BE"/>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655BE"/>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unhideWhenUsed/>
    <w:rsid w:val="0003148D"/>
    <w:pPr>
      <w:spacing w:after="120"/>
    </w:pPr>
  </w:style>
  <w:style w:type="character" w:customStyle="1" w:styleId="CorpotestoCarattere">
    <w:name w:val="Corpo testo Carattere"/>
    <w:basedOn w:val="Carpredefinitoparagrafo"/>
    <w:link w:val="Corpotesto"/>
    <w:uiPriority w:val="99"/>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1"/>
    <w:qFormat/>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B2401C"/>
    <w:rPr>
      <w:color w:val="605E5C"/>
      <w:shd w:val="clear" w:color="auto" w:fill="E1DFDD"/>
    </w:rPr>
  </w:style>
  <w:style w:type="character" w:styleId="Collegamentovisitato">
    <w:name w:val="FollowedHyperlink"/>
    <w:basedOn w:val="Carpredefinitoparagrafo"/>
    <w:uiPriority w:val="99"/>
    <w:semiHidden/>
    <w:unhideWhenUsed/>
    <w:rsid w:val="00B240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7304302">
      <w:bodyDiv w:val="1"/>
      <w:marLeft w:val="0"/>
      <w:marRight w:val="0"/>
      <w:marTop w:val="0"/>
      <w:marBottom w:val="0"/>
      <w:divBdr>
        <w:top w:val="none" w:sz="0" w:space="0" w:color="auto"/>
        <w:left w:val="none" w:sz="0" w:space="0" w:color="auto"/>
        <w:bottom w:val="none" w:sz="0" w:space="0" w:color="auto"/>
        <w:right w:val="none" w:sz="0" w:space="0" w:color="auto"/>
      </w:divBdr>
      <w:divsChild>
        <w:div w:id="160967335">
          <w:marLeft w:val="0"/>
          <w:marRight w:val="0"/>
          <w:marTop w:val="0"/>
          <w:marBottom w:val="0"/>
          <w:divBdr>
            <w:top w:val="none" w:sz="0" w:space="0" w:color="auto"/>
            <w:left w:val="none" w:sz="0" w:space="0" w:color="auto"/>
            <w:bottom w:val="none" w:sz="0" w:space="0" w:color="auto"/>
            <w:right w:val="none" w:sz="0" w:space="0" w:color="auto"/>
          </w:divBdr>
          <w:divsChild>
            <w:div w:id="277569036">
              <w:marLeft w:val="0"/>
              <w:marRight w:val="0"/>
              <w:marTop w:val="0"/>
              <w:marBottom w:val="0"/>
              <w:divBdr>
                <w:top w:val="none" w:sz="0" w:space="0" w:color="auto"/>
                <w:left w:val="none" w:sz="0" w:space="0" w:color="auto"/>
                <w:bottom w:val="none" w:sz="0" w:space="0" w:color="auto"/>
                <w:right w:val="none" w:sz="0" w:space="0" w:color="auto"/>
              </w:divBdr>
              <w:divsChild>
                <w:div w:id="15004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13223">
      <w:bodyDiv w:val="1"/>
      <w:marLeft w:val="0"/>
      <w:marRight w:val="0"/>
      <w:marTop w:val="0"/>
      <w:marBottom w:val="0"/>
      <w:divBdr>
        <w:top w:val="none" w:sz="0" w:space="0" w:color="auto"/>
        <w:left w:val="none" w:sz="0" w:space="0" w:color="auto"/>
        <w:bottom w:val="none" w:sz="0" w:space="0" w:color="auto"/>
        <w:right w:val="none" w:sz="0" w:space="0" w:color="auto"/>
      </w:divBdr>
      <w:divsChild>
        <w:div w:id="863059645">
          <w:marLeft w:val="0"/>
          <w:marRight w:val="0"/>
          <w:marTop w:val="0"/>
          <w:marBottom w:val="0"/>
          <w:divBdr>
            <w:top w:val="none" w:sz="0" w:space="0" w:color="auto"/>
            <w:left w:val="none" w:sz="0" w:space="0" w:color="auto"/>
            <w:bottom w:val="none" w:sz="0" w:space="0" w:color="auto"/>
            <w:right w:val="none" w:sz="0" w:space="0" w:color="auto"/>
          </w:divBdr>
          <w:divsChild>
            <w:div w:id="1714959051">
              <w:marLeft w:val="0"/>
              <w:marRight w:val="0"/>
              <w:marTop w:val="0"/>
              <w:marBottom w:val="0"/>
              <w:divBdr>
                <w:top w:val="none" w:sz="0" w:space="0" w:color="auto"/>
                <w:left w:val="none" w:sz="0" w:space="0" w:color="auto"/>
                <w:bottom w:val="none" w:sz="0" w:space="0" w:color="auto"/>
                <w:right w:val="none" w:sz="0" w:space="0" w:color="auto"/>
              </w:divBdr>
              <w:divsChild>
                <w:div w:id="20155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sweips-my.sharepoint.com/personal/mats_ips_se/Documents/IPS%20Digitala%20Arkiv/Projekt/63%20-%20La&#776;rande%20av%20ma&#778;nga%20sma&#778;%20tillbud/LP%20Symposium%202025/Projekt%2063%20results%20in%20englis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weips-my.sharepoint.com/personal/mats_ips_se/Documents/IPS%20Digitala%20Arkiv/Projekt/63%20-%20La&#776;rande%20av%20ma&#778;nga%20sma&#778;%20tillbud/LP%20Symposium%202025/Projekt%2063%20results%20in%20englis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[Projekt 63 results in english.xlsx]Konsekvens, risk &amp; underlag!Pivottabell3</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'Konsekvens, risk &amp; underlag'!$K$26</c:f>
              <c:strCache>
                <c:ptCount val="1"/>
                <c:pt idx="0">
                  <c:v>Summa</c:v>
                </c:pt>
              </c:strCache>
            </c:strRef>
          </c:tx>
          <c:spPr>
            <a:solidFill>
              <a:schemeClr val="accent1"/>
            </a:solidFill>
            <a:ln>
              <a:noFill/>
            </a:ln>
            <a:effectLst/>
          </c:spPr>
          <c:invertIfNegative val="0"/>
          <c:cat>
            <c:strRef>
              <c:f>'Konsekvens, risk &amp; underlag'!$J$27:$J$32</c:f>
              <c:strCache>
                <c:ptCount val="5"/>
                <c:pt idx="0">
                  <c:v>1</c:v>
                </c:pt>
                <c:pt idx="1">
                  <c:v>2</c:v>
                </c:pt>
                <c:pt idx="2">
                  <c:v>3</c:v>
                </c:pt>
                <c:pt idx="3">
                  <c:v>4</c:v>
                </c:pt>
                <c:pt idx="4">
                  <c:v>5</c:v>
                </c:pt>
              </c:strCache>
            </c:strRef>
          </c:cat>
          <c:val>
            <c:numRef>
              <c:f>'Konsekvens, risk &amp; underlag'!$K$27:$K$32</c:f>
              <c:numCache>
                <c:formatCode>General</c:formatCode>
                <c:ptCount val="5"/>
                <c:pt idx="0">
                  <c:v>158</c:v>
                </c:pt>
                <c:pt idx="1">
                  <c:v>33</c:v>
                </c:pt>
                <c:pt idx="2">
                  <c:v>14</c:v>
                </c:pt>
                <c:pt idx="3">
                  <c:v>2</c:v>
                </c:pt>
                <c:pt idx="4">
                  <c:v>0</c:v>
                </c:pt>
              </c:numCache>
            </c:numRef>
          </c:val>
          <c:extLst>
            <c:ext xmlns:c16="http://schemas.microsoft.com/office/drawing/2014/chart" uri="{C3380CC4-5D6E-409C-BE32-E72D297353CC}">
              <c16:uniqueId val="{00000000-5302-684D-8E4C-B4C69B138DE0}"/>
            </c:ext>
          </c:extLst>
        </c:ser>
        <c:dLbls>
          <c:showLegendKey val="0"/>
          <c:showVal val="0"/>
          <c:showCatName val="0"/>
          <c:showSerName val="0"/>
          <c:showPercent val="0"/>
          <c:showBubbleSize val="0"/>
        </c:dLbls>
        <c:gapWidth val="219"/>
        <c:overlap val="-27"/>
        <c:axId val="115737999"/>
        <c:axId val="115971183"/>
      </c:barChart>
      <c:catAx>
        <c:axId val="115737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sv-SE"/>
          </a:p>
        </c:txPr>
        <c:crossAx val="115971183"/>
        <c:crosses val="autoZero"/>
        <c:auto val="1"/>
        <c:lblAlgn val="ctr"/>
        <c:lblOffset val="100"/>
        <c:noMultiLvlLbl val="0"/>
      </c:catAx>
      <c:valAx>
        <c:axId val="1159711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sv-SE"/>
          </a:p>
        </c:txPr>
        <c:crossAx val="1157379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pPr>
      <a:endParaRPr lang="sv-SE"/>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[Projekt 63 results in english.xlsx]Konsekvens, risk &amp; underlag!Pivottabell1</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'Konsekvens, risk &amp; underlag'!$K$1</c:f>
              <c:strCache>
                <c:ptCount val="1"/>
                <c:pt idx="0">
                  <c:v>Summa</c:v>
                </c:pt>
              </c:strCache>
            </c:strRef>
          </c:tx>
          <c:spPr>
            <a:solidFill>
              <a:schemeClr val="accent1"/>
            </a:solidFill>
            <a:ln>
              <a:noFill/>
            </a:ln>
            <a:effectLst/>
          </c:spPr>
          <c:invertIfNegative val="0"/>
          <c:cat>
            <c:strRef>
              <c:f>'Konsekvens, risk &amp; underlag'!$J$2:$J$5</c:f>
              <c:strCache>
                <c:ptCount val="3"/>
                <c:pt idx="0">
                  <c:v>1: Limited</c:v>
                </c:pt>
                <c:pt idx="1">
                  <c:v>2: Moderate</c:v>
                </c:pt>
                <c:pt idx="2">
                  <c:v>3: Comprehensive</c:v>
                </c:pt>
              </c:strCache>
            </c:strRef>
          </c:cat>
          <c:val>
            <c:numRef>
              <c:f>'Konsekvens, risk &amp; underlag'!$K$2:$K$5</c:f>
              <c:numCache>
                <c:formatCode>General</c:formatCode>
                <c:ptCount val="3"/>
                <c:pt idx="0">
                  <c:v>151</c:v>
                </c:pt>
                <c:pt idx="1">
                  <c:v>26</c:v>
                </c:pt>
                <c:pt idx="2">
                  <c:v>30</c:v>
                </c:pt>
              </c:numCache>
            </c:numRef>
          </c:val>
          <c:extLst>
            <c:ext xmlns:c16="http://schemas.microsoft.com/office/drawing/2014/chart" uri="{C3380CC4-5D6E-409C-BE32-E72D297353CC}">
              <c16:uniqueId val="{00000000-64A5-0A4B-A94D-B9AF7B522525}"/>
            </c:ext>
          </c:extLst>
        </c:ser>
        <c:dLbls>
          <c:showLegendKey val="0"/>
          <c:showVal val="0"/>
          <c:showCatName val="0"/>
          <c:showSerName val="0"/>
          <c:showPercent val="0"/>
          <c:showBubbleSize val="0"/>
        </c:dLbls>
        <c:gapWidth val="219"/>
        <c:overlap val="-27"/>
        <c:axId val="689813023"/>
        <c:axId val="689816623"/>
      </c:barChart>
      <c:catAx>
        <c:axId val="689813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89816623"/>
        <c:crosses val="autoZero"/>
        <c:auto val="1"/>
        <c:lblAlgn val="ctr"/>
        <c:lblOffset val="100"/>
        <c:noMultiLvlLbl val="0"/>
      </c:catAx>
      <c:valAx>
        <c:axId val="689816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898130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2391</Words>
  <Characters>13630</Characters>
  <Application>Microsoft Office Word</Application>
  <DocSecurity>0</DocSecurity>
  <Lines>113</Lines>
  <Paragraphs>31</Paragraphs>
  <ScaleCrop>false</ScaleCrop>
  <HeadingPairs>
    <vt:vector size="6" baseType="variant">
      <vt:variant>
        <vt:lpstr>Rubrik</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Manager/>
  <Company>The Swedish Process Safety Association</Company>
  <LinksUpToDate>false</LinksUpToDate>
  <CharactersWithSpaces>15990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Lindgren</dc:creator>
  <cp:keywords/>
  <dc:description/>
  <cp:lastModifiedBy>Sauro Pierucci</cp:lastModifiedBy>
  <cp:revision>5</cp:revision>
  <cp:lastPrinted>2024-12-13T09:17:00Z</cp:lastPrinted>
  <dcterms:created xsi:type="dcterms:W3CDTF">2024-12-13T09:17:00Z</dcterms:created>
  <dcterms:modified xsi:type="dcterms:W3CDTF">2025-02-19T09:50:00Z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