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81635754"/>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C36CB88"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C83EA6">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67351B1A"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p>
          <w:p w14:paraId="1B0F1814" w14:textId="64ADD619"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C83EA6">
              <w:rPr>
                <w:rFonts w:ascii="Tahoma" w:hAnsi="Tahoma" w:cs="Tahoma"/>
                <w:iCs/>
                <w:color w:val="333333"/>
                <w:sz w:val="14"/>
                <w:szCs w:val="14"/>
                <w:lang w:eastAsia="it-IT"/>
              </w:rPr>
              <w:t>5</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w:t>
            </w:r>
            <w:r w:rsidR="00C83EA6">
              <w:rPr>
                <w:rFonts w:ascii="Tahoma" w:hAnsi="Tahoma" w:cs="Tahoma"/>
                <w:sz w:val="14"/>
                <w:szCs w:val="14"/>
                <w:lang w:eastAsia="it-IT"/>
              </w:rPr>
              <w:t>xx-y</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477C4EB" w14:textId="77777777" w:rsidR="001F7434" w:rsidRPr="00635522" w:rsidRDefault="001F7434" w:rsidP="001F7434">
      <w:pPr>
        <w:pStyle w:val="CETAuthors"/>
        <w:jc w:val="center"/>
        <w:rPr>
          <w:rFonts w:cs="Arial"/>
          <w:noProof w:val="0"/>
          <w:sz w:val="32"/>
          <w:szCs w:val="22"/>
        </w:rPr>
      </w:pPr>
      <w:r w:rsidRPr="00635522">
        <w:rPr>
          <w:rFonts w:cs="Arial"/>
          <w:noProof w:val="0"/>
          <w:sz w:val="32"/>
          <w:szCs w:val="22"/>
        </w:rPr>
        <w:t>Safety assessment of MLI super-insulation systems for cryogenic liquid-hydrogen tanks in fire scenarios</w:t>
      </w:r>
    </w:p>
    <w:p w14:paraId="0488FED2" w14:textId="2F151DE4" w:rsidR="00B57E6F" w:rsidRPr="00B77FD1" w:rsidRDefault="004E7E55" w:rsidP="00B57E6F">
      <w:pPr>
        <w:pStyle w:val="CETAuthors"/>
        <w:rPr>
          <w:lang w:val="it-IT"/>
        </w:rPr>
      </w:pPr>
      <w:r w:rsidRPr="00B77FD1">
        <w:rPr>
          <w:lang w:val="it-IT"/>
        </w:rPr>
        <w:t>Davide Camplese</w:t>
      </w:r>
      <w:r w:rsidRPr="00B77FD1">
        <w:rPr>
          <w:vertAlign w:val="superscript"/>
          <w:lang w:val="it-IT"/>
        </w:rPr>
        <w:t>a,*</w:t>
      </w:r>
      <w:r w:rsidRPr="00B77FD1">
        <w:rPr>
          <w:lang w:val="it-IT"/>
        </w:rPr>
        <w:t>,</w:t>
      </w:r>
      <w:r w:rsidR="001F7434" w:rsidRPr="00B77FD1">
        <w:rPr>
          <w:lang w:val="it-IT"/>
        </w:rPr>
        <w:t xml:space="preserve"> Chiara Cozzolino</w:t>
      </w:r>
      <w:r w:rsidR="001F7434" w:rsidRPr="00B77FD1">
        <w:rPr>
          <w:vertAlign w:val="superscript"/>
          <w:lang w:val="it-IT"/>
        </w:rPr>
        <w:t>a</w:t>
      </w:r>
      <w:r w:rsidR="001F7434" w:rsidRPr="00B77FD1">
        <w:rPr>
          <w:lang w:val="it-IT"/>
        </w:rPr>
        <w:t>,</w:t>
      </w:r>
      <w:r w:rsidRPr="00B77FD1">
        <w:rPr>
          <w:lang w:val="it-IT"/>
        </w:rPr>
        <w:t xml:space="preserve"> Giordano Emrys Scarponi</w:t>
      </w:r>
      <w:r w:rsidRPr="00B77FD1">
        <w:rPr>
          <w:vertAlign w:val="superscript"/>
          <w:lang w:val="it-IT"/>
        </w:rPr>
        <w:t>a</w:t>
      </w:r>
      <w:r w:rsidRPr="00B77FD1">
        <w:rPr>
          <w:lang w:val="it-IT"/>
        </w:rPr>
        <w:t>, Robert Eberwein</w:t>
      </w:r>
      <w:r w:rsidRPr="00B77FD1">
        <w:rPr>
          <w:vertAlign w:val="superscript"/>
          <w:lang w:val="it-IT"/>
        </w:rPr>
        <w:t>b</w:t>
      </w:r>
      <w:r w:rsidRPr="00B77FD1">
        <w:rPr>
          <w:lang w:val="it-IT"/>
        </w:rPr>
        <w:t>, Frank Otremba</w:t>
      </w:r>
      <w:r w:rsidRPr="00B77FD1">
        <w:rPr>
          <w:vertAlign w:val="superscript"/>
          <w:lang w:val="it-IT"/>
        </w:rPr>
        <w:t>b</w:t>
      </w:r>
      <w:r w:rsidRPr="00B77FD1">
        <w:rPr>
          <w:lang w:val="it-IT"/>
        </w:rPr>
        <w:t>, Valeri</w:t>
      </w:r>
      <w:bookmarkStart w:id="1" w:name="_GoBack"/>
      <w:bookmarkEnd w:id="1"/>
      <w:r w:rsidRPr="00B77FD1">
        <w:rPr>
          <w:lang w:val="it-IT"/>
        </w:rPr>
        <w:t>o Cozzani</w:t>
      </w:r>
      <w:r w:rsidRPr="00B77FD1">
        <w:rPr>
          <w:vertAlign w:val="superscript"/>
          <w:lang w:val="it-IT"/>
        </w:rPr>
        <w:t>a</w:t>
      </w:r>
    </w:p>
    <w:p w14:paraId="08FE1955" w14:textId="06A82292" w:rsidR="004E7E55" w:rsidRPr="008D70B8" w:rsidRDefault="004E7E55" w:rsidP="004E7E55">
      <w:pPr>
        <w:pStyle w:val="CETAddress"/>
        <w:rPr>
          <w:lang w:val="it-IT"/>
        </w:rPr>
      </w:pPr>
      <w:r w:rsidRPr="008D70B8">
        <w:rPr>
          <w:vertAlign w:val="superscript"/>
          <w:lang w:val="it-IT"/>
        </w:rPr>
        <w:t>a</w:t>
      </w:r>
      <w:r w:rsidRPr="008D70B8">
        <w:rPr>
          <w:lang w:val="it-IT"/>
        </w:rPr>
        <w:t xml:space="preserve">Alma Mater Studiorum - Università di Bologna, Dipartimento di Ingegneria </w:t>
      </w:r>
      <w:r w:rsidR="004F7B84">
        <w:rPr>
          <w:lang w:val="it-IT"/>
        </w:rPr>
        <w:t>Civile, Chimica, Ambientale e dei Materiali</w:t>
      </w:r>
      <w:r w:rsidRPr="008D70B8">
        <w:rPr>
          <w:lang w:val="it-IT"/>
        </w:rPr>
        <w:t xml:space="preserve">, via Terracini 28, 40131 Bologna, Italy </w:t>
      </w:r>
    </w:p>
    <w:p w14:paraId="3264F16A" w14:textId="77777777" w:rsidR="004E7E55" w:rsidRDefault="004E7E55" w:rsidP="004E7E55">
      <w:pPr>
        <w:pStyle w:val="CETAddress"/>
        <w:rPr>
          <w:lang w:val="de-DE"/>
        </w:rPr>
      </w:pPr>
      <w:r>
        <w:rPr>
          <w:vertAlign w:val="superscript"/>
          <w:lang w:val="de-DE"/>
        </w:rPr>
        <w:t>b</w:t>
      </w:r>
      <w:r w:rsidRPr="00B20B08">
        <w:rPr>
          <w:lang w:val="de-DE"/>
        </w:rPr>
        <w:t>Bundesanstalt für Materialforschung und -prüfung (BAM), Berlin</w:t>
      </w:r>
    </w:p>
    <w:p w14:paraId="73F1267A" w14:textId="6E034612" w:rsidR="00B57E6F" w:rsidRDefault="004E7E55" w:rsidP="00B57E6F">
      <w:pPr>
        <w:pStyle w:val="CETemail"/>
      </w:pPr>
      <w:r w:rsidRPr="00AE6EB4">
        <w:t>davide.camplese@unibo.it</w:t>
      </w:r>
    </w:p>
    <w:p w14:paraId="3260BC5A" w14:textId="110EC4C5" w:rsidR="004E7E55" w:rsidRPr="00BB79C8" w:rsidRDefault="00BB79C8" w:rsidP="004E7E55">
      <w:pPr>
        <w:pStyle w:val="CETBodytext"/>
        <w:rPr>
          <w:color w:val="000000" w:themeColor="text1"/>
        </w:rPr>
      </w:pPr>
      <w:r w:rsidRPr="00BB79C8">
        <w:rPr>
          <w:color w:val="000000" w:themeColor="text1"/>
        </w:rPr>
        <w:t>In the context of green energy transition, c</w:t>
      </w:r>
      <w:r w:rsidR="00EE3091" w:rsidRPr="00BB79C8">
        <w:rPr>
          <w:color w:val="000000" w:themeColor="text1"/>
        </w:rPr>
        <w:t xml:space="preserve">ryogenic tanks </w:t>
      </w:r>
      <w:r w:rsidR="00A454AB">
        <w:rPr>
          <w:color w:val="000000" w:themeColor="text1"/>
        </w:rPr>
        <w:t xml:space="preserve">insulated by </w:t>
      </w:r>
      <w:r w:rsidR="00EE3091" w:rsidRPr="00BB79C8">
        <w:rPr>
          <w:color w:val="000000" w:themeColor="text1"/>
        </w:rPr>
        <w:t>MLI</w:t>
      </w:r>
      <w:r w:rsidR="00A454AB">
        <w:rPr>
          <w:color w:val="000000" w:themeColor="text1"/>
        </w:rPr>
        <w:t xml:space="preserve"> and vacuum</w:t>
      </w:r>
      <w:r w:rsidR="00EE3091" w:rsidRPr="00BB79C8">
        <w:rPr>
          <w:color w:val="000000" w:themeColor="text1"/>
        </w:rPr>
        <w:t xml:space="preserve"> are emerging as a leading soluti</w:t>
      </w:r>
      <w:r w:rsidRPr="00BB79C8">
        <w:rPr>
          <w:color w:val="000000" w:themeColor="text1"/>
        </w:rPr>
        <w:t xml:space="preserve">on to store hydrogen in heavy-duty vehicles. However, the integrity of such tanks can be jeopardized by fire. </w:t>
      </w:r>
      <w:r w:rsidR="00555A55">
        <w:rPr>
          <w:color w:val="000000" w:themeColor="text1"/>
        </w:rPr>
        <w:t xml:space="preserve">In such a scenario, </w:t>
      </w:r>
      <w:r w:rsidRPr="00BB79C8">
        <w:rPr>
          <w:color w:val="000000" w:themeColor="text1"/>
        </w:rPr>
        <w:t>MLI materials</w:t>
      </w:r>
      <w:r>
        <w:rPr>
          <w:color w:val="000000" w:themeColor="text1"/>
        </w:rPr>
        <w:t xml:space="preserve"> </w:t>
      </w:r>
      <w:r w:rsidR="00555A55">
        <w:rPr>
          <w:color w:val="000000" w:themeColor="text1"/>
        </w:rPr>
        <w:t>degradation can occur, leaving</w:t>
      </w:r>
      <w:r w:rsidRPr="00BB79C8">
        <w:rPr>
          <w:color w:val="000000" w:themeColor="text1"/>
        </w:rPr>
        <w:t xml:space="preserve"> the tank unprotected from the fire heat flux, with consequent rapid pressurization and a high risk of failure. Th</w:t>
      </w:r>
      <w:r w:rsidR="00555A55">
        <w:rPr>
          <w:color w:val="000000" w:themeColor="text1"/>
        </w:rPr>
        <w:t>is</w:t>
      </w:r>
      <w:r w:rsidRPr="00BB79C8">
        <w:rPr>
          <w:color w:val="000000" w:themeColor="text1"/>
        </w:rPr>
        <w:t xml:space="preserve"> </w:t>
      </w:r>
      <w:r w:rsidR="004154AD" w:rsidRPr="00BB79C8">
        <w:rPr>
          <w:color w:val="000000" w:themeColor="text1"/>
        </w:rPr>
        <w:t>study presents a</w:t>
      </w:r>
      <w:r w:rsidR="004F6EED">
        <w:rPr>
          <w:color w:val="000000" w:themeColor="text1"/>
        </w:rPr>
        <w:t xml:space="preserve"> safety</w:t>
      </w:r>
      <w:r w:rsidR="0012186F">
        <w:rPr>
          <w:color w:val="000000" w:themeColor="text1"/>
        </w:rPr>
        <w:t xml:space="preserve"> assessment of </w:t>
      </w:r>
      <w:r w:rsidR="00A454AB">
        <w:rPr>
          <w:color w:val="000000" w:themeColor="text1"/>
        </w:rPr>
        <w:t>non-combustible</w:t>
      </w:r>
      <w:r w:rsidR="0012186F">
        <w:rPr>
          <w:color w:val="000000" w:themeColor="text1"/>
        </w:rPr>
        <w:t xml:space="preserve"> </w:t>
      </w:r>
      <w:r w:rsidR="004F6EED">
        <w:rPr>
          <w:color w:val="000000" w:themeColor="text1"/>
        </w:rPr>
        <w:t xml:space="preserve">MLI </w:t>
      </w:r>
      <w:r w:rsidR="003303B4">
        <w:rPr>
          <w:color w:val="000000" w:themeColor="text1"/>
        </w:rPr>
        <w:t>under fire exposure</w:t>
      </w:r>
      <w:r w:rsidR="00555A55">
        <w:rPr>
          <w:color w:val="000000" w:themeColor="text1"/>
        </w:rPr>
        <w:t xml:space="preserve"> </w:t>
      </w:r>
      <w:r w:rsidR="00BA04D1">
        <w:rPr>
          <w:color w:val="000000" w:themeColor="text1"/>
        </w:rPr>
        <w:t>based on</w:t>
      </w:r>
      <w:r w:rsidR="003303B4">
        <w:rPr>
          <w:color w:val="000000" w:themeColor="text1"/>
        </w:rPr>
        <w:t xml:space="preserve"> the estimation of the time to </w:t>
      </w:r>
      <w:r w:rsidR="00555A55">
        <w:rPr>
          <w:color w:val="000000" w:themeColor="text1"/>
        </w:rPr>
        <w:t xml:space="preserve">mechanical </w:t>
      </w:r>
      <w:r w:rsidR="003303B4">
        <w:rPr>
          <w:color w:val="000000" w:themeColor="text1"/>
        </w:rPr>
        <w:t>failure of the equipment</w:t>
      </w:r>
      <w:r w:rsidR="00BA04D1">
        <w:rPr>
          <w:color w:val="000000" w:themeColor="text1"/>
        </w:rPr>
        <w:t>. This is calculated</w:t>
      </w:r>
      <w:r w:rsidR="003303B4">
        <w:rPr>
          <w:color w:val="000000" w:themeColor="text1"/>
        </w:rPr>
        <w:t xml:space="preserve"> through an innovative </w:t>
      </w:r>
      <w:r w:rsidR="00BA04D1">
        <w:rPr>
          <w:color w:val="000000" w:themeColor="text1"/>
        </w:rPr>
        <w:t>model that</w:t>
      </w:r>
      <w:r w:rsidRPr="00BB79C8">
        <w:rPr>
          <w:color w:val="000000" w:themeColor="text1"/>
        </w:rPr>
        <w:t xml:space="preserve"> simulates the thermomechanical response of the tank</w:t>
      </w:r>
      <w:r w:rsidR="00BA04D1">
        <w:rPr>
          <w:color w:val="000000" w:themeColor="text1"/>
        </w:rPr>
        <w:t>,</w:t>
      </w:r>
      <w:r w:rsidRPr="00BB79C8">
        <w:rPr>
          <w:color w:val="000000" w:themeColor="text1"/>
        </w:rPr>
        <w:t xml:space="preserve"> </w:t>
      </w:r>
      <w:r w:rsidR="003303B4">
        <w:rPr>
          <w:color w:val="000000" w:themeColor="text1"/>
        </w:rPr>
        <w:t>including the</w:t>
      </w:r>
      <w:r w:rsidRPr="00BB79C8">
        <w:rPr>
          <w:color w:val="000000" w:themeColor="text1"/>
        </w:rPr>
        <w:t xml:space="preserve"> MLI </w:t>
      </w:r>
      <w:r w:rsidR="003303B4">
        <w:rPr>
          <w:color w:val="000000" w:themeColor="text1"/>
        </w:rPr>
        <w:t xml:space="preserve">thermal </w:t>
      </w:r>
      <w:r w:rsidRPr="00BB79C8">
        <w:rPr>
          <w:color w:val="000000" w:themeColor="text1"/>
        </w:rPr>
        <w:t xml:space="preserve">degradation and the pressure-relief valve (PRV) </w:t>
      </w:r>
      <w:r w:rsidR="00BA04D1">
        <w:rPr>
          <w:color w:val="000000" w:themeColor="text1"/>
        </w:rPr>
        <w:t>operation</w:t>
      </w:r>
      <w:r w:rsidRPr="00BB79C8">
        <w:rPr>
          <w:color w:val="000000" w:themeColor="text1"/>
        </w:rPr>
        <w:t xml:space="preserve">. The application to several case studies </w:t>
      </w:r>
      <w:r w:rsidR="00555A55">
        <w:rPr>
          <w:color w:val="000000" w:themeColor="text1"/>
        </w:rPr>
        <w:t>that consider</w:t>
      </w:r>
      <w:r w:rsidRPr="00BB79C8">
        <w:rPr>
          <w:color w:val="000000" w:themeColor="text1"/>
        </w:rPr>
        <w:t xml:space="preserve"> </w:t>
      </w:r>
      <w:r w:rsidR="00BA04D1">
        <w:rPr>
          <w:color w:val="000000" w:themeColor="text1"/>
        </w:rPr>
        <w:t>a typical LH</w:t>
      </w:r>
      <w:r w:rsidR="00BA04D1" w:rsidRPr="00BA04D1">
        <w:rPr>
          <w:color w:val="000000" w:themeColor="text1"/>
          <w:vertAlign w:val="subscript"/>
        </w:rPr>
        <w:t>2</w:t>
      </w:r>
      <w:r w:rsidR="00BA04D1">
        <w:rPr>
          <w:color w:val="000000" w:themeColor="text1"/>
        </w:rPr>
        <w:t xml:space="preserve"> tank</w:t>
      </w:r>
      <w:r>
        <w:rPr>
          <w:color w:val="000000" w:themeColor="text1"/>
        </w:rPr>
        <w:t xml:space="preserve"> </w:t>
      </w:r>
      <w:r w:rsidR="00BA04D1">
        <w:rPr>
          <w:color w:val="000000" w:themeColor="text1"/>
        </w:rPr>
        <w:t>featuring</w:t>
      </w:r>
      <w:r>
        <w:rPr>
          <w:color w:val="000000" w:themeColor="text1"/>
        </w:rPr>
        <w:t xml:space="preserve"> a wide range of </w:t>
      </w:r>
      <w:r w:rsidRPr="00BB79C8">
        <w:rPr>
          <w:color w:val="000000" w:themeColor="text1"/>
        </w:rPr>
        <w:t>MLI configurations</w:t>
      </w:r>
      <w:r w:rsidR="00555A55">
        <w:rPr>
          <w:color w:val="000000" w:themeColor="text1"/>
        </w:rPr>
        <w:t xml:space="preserve"> demonstrated </w:t>
      </w:r>
      <w:r w:rsidR="00206887">
        <w:rPr>
          <w:color w:val="000000" w:themeColor="text1"/>
        </w:rPr>
        <w:t>the likelihood</w:t>
      </w:r>
      <w:r w:rsidR="00555A55">
        <w:rPr>
          <w:color w:val="000000" w:themeColor="text1"/>
        </w:rPr>
        <w:t xml:space="preserve"> of failure in case of exposure to a hydrocarbon pool</w:t>
      </w:r>
      <w:r w:rsidR="009447CF">
        <w:rPr>
          <w:color w:val="000000" w:themeColor="text1"/>
        </w:rPr>
        <w:t xml:space="preserve"> </w:t>
      </w:r>
      <w:r w:rsidR="00555A55">
        <w:rPr>
          <w:color w:val="000000" w:themeColor="text1"/>
        </w:rPr>
        <w:t>fire,</w:t>
      </w:r>
      <w:r w:rsidRPr="00BB79C8">
        <w:rPr>
          <w:color w:val="000000" w:themeColor="text1"/>
        </w:rPr>
        <w:t xml:space="preserve"> </w:t>
      </w:r>
      <w:r w:rsidR="00BA04D1">
        <w:t>provid</w:t>
      </w:r>
      <w:r w:rsidR="00555A55">
        <w:t>ing</w:t>
      </w:r>
      <w:r w:rsidR="00BA04D1">
        <w:t xml:space="preserve"> </w:t>
      </w:r>
      <w:r w:rsidR="00555A55">
        <w:t xml:space="preserve">also </w:t>
      </w:r>
      <w:r w:rsidR="00BA04D1">
        <w:t xml:space="preserve">comprehensive insights into the </w:t>
      </w:r>
      <w:r w:rsidR="00555A55">
        <w:t>impact</w:t>
      </w:r>
      <w:r w:rsidR="00BA04D1">
        <w:t xml:space="preserve"> of the insulation characteristics </w:t>
      </w:r>
      <w:r w:rsidR="00555A55">
        <w:t>and operating conditions on the time to failure.</w:t>
      </w:r>
    </w:p>
    <w:p w14:paraId="476B2F2E" w14:textId="2D82516E" w:rsidR="00600535" w:rsidRDefault="00600535" w:rsidP="00600535">
      <w:pPr>
        <w:pStyle w:val="CETHeading1"/>
        <w:rPr>
          <w:lang w:val="en-GB"/>
        </w:rPr>
      </w:pPr>
      <w:r w:rsidRPr="00B57B36">
        <w:rPr>
          <w:lang w:val="en-GB"/>
        </w:rPr>
        <w:t>Introduction</w:t>
      </w:r>
    </w:p>
    <w:p w14:paraId="4191C160" w14:textId="3589D224" w:rsidR="004E7E55" w:rsidRPr="007B356E" w:rsidRDefault="00915745" w:rsidP="00915745">
      <w:pPr>
        <w:pStyle w:val="CETBodytext"/>
        <w:rPr>
          <w:color w:val="000000" w:themeColor="text1"/>
        </w:rPr>
      </w:pPr>
      <w:r w:rsidRPr="007B356E">
        <w:rPr>
          <w:color w:val="000000" w:themeColor="text1"/>
        </w:rPr>
        <w:t>Within the energy transition scenario, h</w:t>
      </w:r>
      <w:r w:rsidR="001F7434" w:rsidRPr="007B356E">
        <w:rPr>
          <w:color w:val="000000" w:themeColor="text1"/>
        </w:rPr>
        <w:t>ydrogen is widely recognized as a promising alternative to conventional fuels</w:t>
      </w:r>
      <w:r w:rsidRPr="007B356E">
        <w:rPr>
          <w:color w:val="000000" w:themeColor="text1"/>
        </w:rPr>
        <w:t xml:space="preserve"> </w:t>
      </w:r>
      <w:r w:rsidR="001F7434" w:rsidRPr="007B356E">
        <w:rPr>
          <w:color w:val="000000" w:themeColor="text1"/>
        </w:rPr>
        <w:t>due to its minimal environmental impact</w:t>
      </w:r>
      <w:r w:rsidR="00C2228E">
        <w:rPr>
          <w:color w:val="000000" w:themeColor="text1"/>
        </w:rPr>
        <w:t xml:space="preserve"> </w:t>
      </w:r>
      <w:r w:rsidR="00C2228E" w:rsidRPr="00C2228E">
        <w:rPr>
          <w:noProof/>
          <w:color w:val="000000" w:themeColor="text1"/>
        </w:rPr>
        <w:t>(Preuster et al., 2017)</w:t>
      </w:r>
      <w:r w:rsidR="001F7434" w:rsidRPr="007B356E">
        <w:rPr>
          <w:color w:val="000000" w:themeColor="text1"/>
        </w:rPr>
        <w:t xml:space="preserve">. Among its storage solutions, </w:t>
      </w:r>
      <w:r w:rsidR="00E22DD0">
        <w:rPr>
          <w:color w:val="000000" w:themeColor="text1"/>
        </w:rPr>
        <w:t>liquefied</w:t>
      </w:r>
      <w:r w:rsidR="00E22DD0" w:rsidRPr="007B356E">
        <w:rPr>
          <w:color w:val="000000" w:themeColor="text1"/>
        </w:rPr>
        <w:t xml:space="preserve"> </w:t>
      </w:r>
      <w:r w:rsidR="001F7434" w:rsidRPr="007B356E">
        <w:rPr>
          <w:color w:val="000000" w:themeColor="text1"/>
        </w:rPr>
        <w:t>hydrogen (LH</w:t>
      </w:r>
      <w:r w:rsidR="001F7434" w:rsidRPr="007B356E">
        <w:rPr>
          <w:color w:val="000000" w:themeColor="text1"/>
          <w:vertAlign w:val="subscript"/>
        </w:rPr>
        <w:t>2</w:t>
      </w:r>
      <w:r w:rsidR="001F7434" w:rsidRPr="007B356E">
        <w:rPr>
          <w:color w:val="000000" w:themeColor="text1"/>
        </w:rPr>
        <w:t xml:space="preserve">) in cryogenic tanks featuring multilayer insulation (MLI) </w:t>
      </w:r>
      <w:r w:rsidR="00206887">
        <w:rPr>
          <w:color w:val="000000" w:themeColor="text1"/>
        </w:rPr>
        <w:t>is particularly</w:t>
      </w:r>
      <w:r w:rsidR="001F7434" w:rsidRPr="007B356E">
        <w:rPr>
          <w:color w:val="000000" w:themeColor="text1"/>
        </w:rPr>
        <w:t xml:space="preserve"> effective for hydrogen-powered applications as it provides high volumetric energy density</w:t>
      </w:r>
      <w:r w:rsidRPr="007B356E">
        <w:rPr>
          <w:color w:val="000000" w:themeColor="text1"/>
        </w:rPr>
        <w:t xml:space="preserve"> </w:t>
      </w:r>
      <w:r w:rsidRPr="007B356E">
        <w:rPr>
          <w:noProof/>
          <w:color w:val="000000" w:themeColor="text1"/>
        </w:rPr>
        <w:t>(Kunze and Kircher, 2012)</w:t>
      </w:r>
      <w:r w:rsidR="001F7434" w:rsidRPr="007B356E">
        <w:rPr>
          <w:color w:val="000000" w:themeColor="text1"/>
        </w:rPr>
        <w:t>.</w:t>
      </w:r>
      <w:r w:rsidRPr="007B356E">
        <w:rPr>
          <w:color w:val="000000" w:themeColor="text1"/>
        </w:rPr>
        <w:t xml:space="preserve"> MLIs consist of multiple thin foils (typically 20 to 80) of highly reflective material, referred to as reflective layers, separated by spacers with low thermal conductivity. These are housed within the double-walled shell of the tank, working under high-vacuum conditions. </w:t>
      </w:r>
      <w:r w:rsidR="00A610F1">
        <w:rPr>
          <w:color w:val="000000" w:themeColor="text1"/>
        </w:rPr>
        <w:t xml:space="preserve">Due to </w:t>
      </w:r>
      <w:r w:rsidRPr="007B356E">
        <w:rPr>
          <w:color w:val="000000" w:themeColor="text1"/>
        </w:rPr>
        <w:t>lower volume requirements compared to other insulation materials, MLI systems are among the most widely adopted insulation technologies in the transportation sector, where space and weight are critical constraints</w:t>
      </w:r>
      <w:r w:rsidR="00A610F1">
        <w:rPr>
          <w:color w:val="000000" w:themeColor="text1"/>
        </w:rPr>
        <w:t xml:space="preserve"> </w:t>
      </w:r>
      <w:r w:rsidR="00A610F1" w:rsidRPr="00A610F1">
        <w:rPr>
          <w:noProof/>
          <w:color w:val="000000" w:themeColor="text1"/>
        </w:rPr>
        <w:t>(Edward and Filip, 2018</w:t>
      </w:r>
      <w:r w:rsidR="00F20306">
        <w:rPr>
          <w:noProof/>
          <w:color w:val="000000" w:themeColor="text1"/>
        </w:rPr>
        <w:t>)</w:t>
      </w:r>
      <w:r w:rsidRPr="007B356E">
        <w:rPr>
          <w:color w:val="000000" w:themeColor="text1"/>
        </w:rPr>
        <w:t>. Although the large-scale adoption of LH</w:t>
      </w:r>
      <w:r w:rsidRPr="007B356E">
        <w:rPr>
          <w:color w:val="000000" w:themeColor="text1"/>
          <w:vertAlign w:val="subscript"/>
        </w:rPr>
        <w:t>2</w:t>
      </w:r>
      <w:r w:rsidRPr="007B356E">
        <w:rPr>
          <w:color w:val="000000" w:themeColor="text1"/>
        </w:rPr>
        <w:t xml:space="preserve"> storage and transportation technologies offers widely recognized advantages, this also poses several hazards due to the high flammability of hydrogen </w:t>
      </w:r>
      <w:r w:rsidR="00A610F1" w:rsidRPr="00A610F1">
        <w:rPr>
          <w:noProof/>
          <w:color w:val="000000" w:themeColor="text1"/>
        </w:rPr>
        <w:t>(Schiaroli et al., 2024)</w:t>
      </w:r>
      <w:r w:rsidRPr="007B356E">
        <w:rPr>
          <w:color w:val="000000" w:themeColor="text1"/>
        </w:rPr>
        <w:t xml:space="preserve">. Accidental releases may trigger dangerous events, such as flash fires, vapor cloud explosions, and jet fires. </w:t>
      </w:r>
      <w:r w:rsidR="00206887">
        <w:rPr>
          <w:color w:val="000000" w:themeColor="text1"/>
        </w:rPr>
        <w:t>R</w:t>
      </w:r>
      <w:r w:rsidRPr="007B356E">
        <w:rPr>
          <w:color w:val="000000" w:themeColor="text1"/>
        </w:rPr>
        <w:t xml:space="preserve">eal-scale fire tests </w:t>
      </w:r>
      <w:r w:rsidR="00A610F1" w:rsidRPr="00A610F1">
        <w:rPr>
          <w:noProof/>
          <w:color w:val="000000" w:themeColor="text1"/>
        </w:rPr>
        <w:t>(van Wingerden et al., 2022)</w:t>
      </w:r>
      <w:r w:rsidR="00A610F1">
        <w:rPr>
          <w:color w:val="000000" w:themeColor="text1"/>
        </w:rPr>
        <w:t xml:space="preserve"> </w:t>
      </w:r>
      <w:r w:rsidRPr="007B356E">
        <w:rPr>
          <w:color w:val="000000" w:themeColor="text1"/>
        </w:rPr>
        <w:t xml:space="preserve">showed that, despite the presence of an MLI system, Boiling Liquid Expanding </w:t>
      </w:r>
      <w:proofErr w:type="spellStart"/>
      <w:r w:rsidRPr="007B356E">
        <w:rPr>
          <w:color w:val="000000" w:themeColor="text1"/>
        </w:rPr>
        <w:t>Vapour</w:t>
      </w:r>
      <w:proofErr w:type="spellEnd"/>
      <w:r w:rsidRPr="007B356E">
        <w:rPr>
          <w:color w:val="000000" w:themeColor="text1"/>
        </w:rPr>
        <w:t xml:space="preserve"> Explosions (BLEVEs) and fireballs may result from the catastrophic failure of the tank upon exposure to external fire. This was attributed to insulation degradation, as further confirmed by Eberwein et al.</w:t>
      </w:r>
      <w:r w:rsidR="00B67CE0">
        <w:rPr>
          <w:noProof/>
          <w:color w:val="000000" w:themeColor="text1"/>
        </w:rPr>
        <w:t xml:space="preserve"> (</w:t>
      </w:r>
      <w:r w:rsidR="00A610F1" w:rsidRPr="00A610F1">
        <w:rPr>
          <w:noProof/>
          <w:color w:val="000000" w:themeColor="text1"/>
        </w:rPr>
        <w:t>2024</w:t>
      </w:r>
      <w:r w:rsidR="004D0E0C">
        <w:rPr>
          <w:noProof/>
          <w:color w:val="000000" w:themeColor="text1"/>
        </w:rPr>
        <w:t>a</w:t>
      </w:r>
      <w:r w:rsidR="00A610F1" w:rsidRPr="00A610F1">
        <w:rPr>
          <w:noProof/>
          <w:color w:val="000000" w:themeColor="text1"/>
        </w:rPr>
        <w:t>)</w:t>
      </w:r>
      <w:r w:rsidRPr="007B356E">
        <w:rPr>
          <w:color w:val="000000" w:themeColor="text1"/>
        </w:rPr>
        <w:t>, who showed that high temperatures can severely damage MLI</w:t>
      </w:r>
      <w:r w:rsidR="00A610F1">
        <w:rPr>
          <w:color w:val="000000" w:themeColor="text1"/>
        </w:rPr>
        <w:t xml:space="preserve">, </w:t>
      </w:r>
      <w:r w:rsidRPr="007B356E">
        <w:rPr>
          <w:color w:val="000000" w:themeColor="text1"/>
        </w:rPr>
        <w:t>directly exposing the tank lading to the fire heat flux. This results in pressurization and temperature increases that weaken the tank wall, posing a serious threat to structural integrity.</w:t>
      </w:r>
      <w:r w:rsidR="00523F7B">
        <w:rPr>
          <w:color w:val="000000" w:themeColor="text1"/>
        </w:rPr>
        <w:t xml:space="preserve"> </w:t>
      </w:r>
      <w:r w:rsidR="001F7434" w:rsidRPr="007B356E">
        <w:rPr>
          <w:color w:val="000000" w:themeColor="text1"/>
        </w:rPr>
        <w:t xml:space="preserve">In this framework, reliable and robust tools to assess the </w:t>
      </w:r>
      <w:r w:rsidR="007B356E" w:rsidRPr="007B356E">
        <w:rPr>
          <w:color w:val="000000" w:themeColor="text1"/>
        </w:rPr>
        <w:t xml:space="preserve">thermal response of the tank under fire scenarios and </w:t>
      </w:r>
      <w:r w:rsidR="00206887">
        <w:rPr>
          <w:color w:val="000000" w:themeColor="text1"/>
        </w:rPr>
        <w:t xml:space="preserve">quantify </w:t>
      </w:r>
      <w:r w:rsidR="007B356E" w:rsidRPr="007B356E">
        <w:rPr>
          <w:color w:val="000000" w:themeColor="text1"/>
        </w:rPr>
        <w:t xml:space="preserve">how much this can be influenced by MLI system configuration </w:t>
      </w:r>
      <w:r w:rsidR="001F7434" w:rsidRPr="007B356E">
        <w:rPr>
          <w:color w:val="000000" w:themeColor="text1"/>
        </w:rPr>
        <w:t>are crucial to enhance the safety of LH</w:t>
      </w:r>
      <w:r w:rsidR="001F7434" w:rsidRPr="007B356E">
        <w:rPr>
          <w:color w:val="000000" w:themeColor="text1"/>
          <w:vertAlign w:val="subscript"/>
        </w:rPr>
        <w:t>2</w:t>
      </w:r>
      <w:r w:rsidR="001F7434" w:rsidRPr="007B356E">
        <w:rPr>
          <w:color w:val="000000" w:themeColor="text1"/>
        </w:rPr>
        <w:t xml:space="preserve">-powered new technologies and improve emergency response planning. </w:t>
      </w:r>
      <w:r w:rsidRPr="007B356E">
        <w:rPr>
          <w:color w:val="000000" w:themeColor="text1"/>
        </w:rPr>
        <w:t>This study proposes an innovative safety assessment of LH</w:t>
      </w:r>
      <w:r w:rsidRPr="007B356E">
        <w:rPr>
          <w:color w:val="000000" w:themeColor="text1"/>
          <w:vertAlign w:val="subscript"/>
        </w:rPr>
        <w:t>2</w:t>
      </w:r>
      <w:r w:rsidRPr="007B356E">
        <w:rPr>
          <w:color w:val="000000" w:themeColor="text1"/>
        </w:rPr>
        <w:t xml:space="preserve"> tanks equipped with MLIs based on the time to</w:t>
      </w:r>
      <w:r w:rsidR="007B356E" w:rsidRPr="007B356E">
        <w:rPr>
          <w:color w:val="000000" w:themeColor="text1"/>
        </w:rPr>
        <w:t xml:space="preserve"> </w:t>
      </w:r>
      <w:r w:rsidRPr="007B356E">
        <w:rPr>
          <w:color w:val="000000" w:themeColor="text1"/>
        </w:rPr>
        <w:t>failure (TTF) estimation of the equipment through an advanced modeling approach.</w:t>
      </w:r>
      <w:r w:rsidR="001F7434" w:rsidRPr="007B356E">
        <w:rPr>
          <w:color w:val="000000" w:themeColor="text1"/>
        </w:rPr>
        <w:t xml:space="preserve"> </w:t>
      </w:r>
      <w:r w:rsidRPr="007B356E">
        <w:rPr>
          <w:color w:val="000000" w:themeColor="text1"/>
        </w:rPr>
        <w:t xml:space="preserve">The </w:t>
      </w:r>
      <w:r w:rsidR="00E22DD0" w:rsidRPr="007B356E">
        <w:rPr>
          <w:color w:val="000000" w:themeColor="text1"/>
        </w:rPr>
        <w:t xml:space="preserve">model developed </w:t>
      </w:r>
      <w:r w:rsidR="00E22DD0">
        <w:rPr>
          <w:color w:val="000000" w:themeColor="text1"/>
        </w:rPr>
        <w:t xml:space="preserve">for this </w:t>
      </w:r>
      <w:r w:rsidR="007B356E" w:rsidRPr="007B356E">
        <w:rPr>
          <w:color w:val="000000" w:themeColor="text1"/>
        </w:rPr>
        <w:t xml:space="preserve">innovative </w:t>
      </w:r>
      <w:r w:rsidR="00E22DD0" w:rsidRPr="007B356E">
        <w:rPr>
          <w:color w:val="000000" w:themeColor="text1"/>
        </w:rPr>
        <w:t xml:space="preserve">safety assessment </w:t>
      </w:r>
      <w:r w:rsidR="00E22DD0">
        <w:rPr>
          <w:color w:val="000000" w:themeColor="text1"/>
        </w:rPr>
        <w:t>calculates</w:t>
      </w:r>
      <w:r w:rsidRPr="007B356E">
        <w:rPr>
          <w:color w:val="000000" w:themeColor="text1"/>
        </w:rPr>
        <w:t xml:space="preserve"> the tank heating up and pressurization resulting from fire exposure, accounting for the </w:t>
      </w:r>
      <w:r w:rsidRPr="007B356E">
        <w:rPr>
          <w:color w:val="000000" w:themeColor="text1"/>
        </w:rPr>
        <w:lastRenderedPageBreak/>
        <w:t xml:space="preserve">degradation of the MLIs performances </w:t>
      </w:r>
      <w:r w:rsidR="007B356E" w:rsidRPr="007B356E">
        <w:rPr>
          <w:color w:val="000000" w:themeColor="text1"/>
        </w:rPr>
        <w:t>induced by</w:t>
      </w:r>
      <w:r w:rsidRPr="007B356E">
        <w:rPr>
          <w:color w:val="000000" w:themeColor="text1"/>
        </w:rPr>
        <w:t xml:space="preserve"> high temperatures and </w:t>
      </w:r>
      <w:r w:rsidR="00206887">
        <w:rPr>
          <w:color w:val="000000" w:themeColor="text1"/>
        </w:rPr>
        <w:t xml:space="preserve">for </w:t>
      </w:r>
      <w:r w:rsidRPr="007B356E">
        <w:rPr>
          <w:color w:val="000000" w:themeColor="text1"/>
        </w:rPr>
        <w:t xml:space="preserve">the action of the pressure relief valve (PRV). </w:t>
      </w:r>
      <w:r w:rsidR="007B356E" w:rsidRPr="007B356E">
        <w:rPr>
          <w:color w:val="000000" w:themeColor="text1"/>
        </w:rPr>
        <w:t>The TTF is estimated b</w:t>
      </w:r>
      <w:r w:rsidRPr="007B356E">
        <w:rPr>
          <w:color w:val="000000" w:themeColor="text1"/>
        </w:rPr>
        <w:t xml:space="preserve">y </w:t>
      </w:r>
      <w:r w:rsidR="007B356E" w:rsidRPr="007B356E">
        <w:rPr>
          <w:color w:val="000000" w:themeColor="text1"/>
        </w:rPr>
        <w:t>including</w:t>
      </w:r>
      <w:r w:rsidRPr="007B356E">
        <w:rPr>
          <w:color w:val="000000" w:themeColor="text1"/>
        </w:rPr>
        <w:t xml:space="preserve"> </w:t>
      </w:r>
      <w:r w:rsidR="007B356E" w:rsidRPr="007B356E">
        <w:rPr>
          <w:color w:val="000000" w:themeColor="text1"/>
        </w:rPr>
        <w:t xml:space="preserve">in the model </w:t>
      </w:r>
      <w:r w:rsidRPr="007B356E">
        <w:rPr>
          <w:color w:val="000000" w:themeColor="text1"/>
        </w:rPr>
        <w:t>a simpli</w:t>
      </w:r>
      <w:r w:rsidR="007B356E" w:rsidRPr="007B356E">
        <w:rPr>
          <w:color w:val="000000" w:themeColor="text1"/>
        </w:rPr>
        <w:t>fi</w:t>
      </w:r>
      <w:r w:rsidRPr="007B356E">
        <w:rPr>
          <w:color w:val="000000" w:themeColor="text1"/>
        </w:rPr>
        <w:t>ed mechanical stress analysis of the</w:t>
      </w:r>
      <w:r w:rsidR="007B356E" w:rsidRPr="007B356E">
        <w:rPr>
          <w:color w:val="000000" w:themeColor="text1"/>
        </w:rPr>
        <w:t xml:space="preserve"> tank</w:t>
      </w:r>
      <w:r w:rsidRPr="007B356E">
        <w:rPr>
          <w:color w:val="000000" w:themeColor="text1"/>
        </w:rPr>
        <w:t>.</w:t>
      </w:r>
      <w:r w:rsidR="007B356E" w:rsidRPr="007B356E">
        <w:rPr>
          <w:color w:val="000000" w:themeColor="text1"/>
        </w:rPr>
        <w:t xml:space="preserve"> </w:t>
      </w:r>
      <w:r w:rsidR="001F7434" w:rsidRPr="007B356E">
        <w:rPr>
          <w:color w:val="000000" w:themeColor="text1"/>
        </w:rPr>
        <w:t xml:space="preserve">The proposed approach was applied to </w:t>
      </w:r>
      <w:r w:rsidR="007B356E" w:rsidRPr="007B356E">
        <w:rPr>
          <w:color w:val="000000" w:themeColor="text1"/>
        </w:rPr>
        <w:t>a set of</w:t>
      </w:r>
      <w:r w:rsidR="001F7434" w:rsidRPr="007B356E">
        <w:rPr>
          <w:color w:val="000000" w:themeColor="text1"/>
        </w:rPr>
        <w:t xml:space="preserve"> case studies addressing</w:t>
      </w:r>
      <w:r w:rsidR="007B356E" w:rsidRPr="007B356E">
        <w:rPr>
          <w:color w:val="000000" w:themeColor="text1"/>
        </w:rPr>
        <w:t xml:space="preserve"> a vehicle-scale LH</w:t>
      </w:r>
      <w:r w:rsidR="007B356E" w:rsidRPr="00A610F1">
        <w:rPr>
          <w:color w:val="000000" w:themeColor="text1"/>
          <w:vertAlign w:val="subscript"/>
        </w:rPr>
        <w:t>2</w:t>
      </w:r>
      <w:r w:rsidR="007B356E" w:rsidRPr="007B356E">
        <w:rPr>
          <w:color w:val="000000" w:themeColor="text1"/>
        </w:rPr>
        <w:t xml:space="preserve"> tank featuring aluminum-based MLI at various layer numbers and pressures within the insulation to assess their impact on the TTF under a typical hydrocarbon-pool fire scenario defined by standards. </w:t>
      </w:r>
      <w:r w:rsidR="00A610F1">
        <w:t>The results provide valuable information to support the safe design of MLI-equipped LH</w:t>
      </w:r>
      <w:r w:rsidR="00A610F1" w:rsidRPr="00AC2C55">
        <w:rPr>
          <w:vertAlign w:val="subscript"/>
        </w:rPr>
        <w:t>2</w:t>
      </w:r>
      <w:r w:rsidR="00A610F1">
        <w:t xml:space="preserve"> tanks and emergency management in case of fire</w:t>
      </w:r>
      <w:r w:rsidR="00523F7B">
        <w:t>.</w:t>
      </w:r>
    </w:p>
    <w:p w14:paraId="2204839B" w14:textId="42B252F4" w:rsidR="00B1489E" w:rsidRDefault="00B1489E" w:rsidP="00453E24">
      <w:pPr>
        <w:pStyle w:val="CETHeading1"/>
      </w:pPr>
      <w:r>
        <w:t>Methodology</w:t>
      </w:r>
    </w:p>
    <w:p w14:paraId="4E254497" w14:textId="67FBB050" w:rsidR="00062277" w:rsidRPr="002F663C" w:rsidRDefault="00206887" w:rsidP="00062277">
      <w:pPr>
        <w:pStyle w:val="CETBodytext"/>
        <w:rPr>
          <w:color w:val="000000" w:themeColor="text1"/>
        </w:rPr>
      </w:pPr>
      <w:r>
        <w:rPr>
          <w:color w:val="000000" w:themeColor="text1"/>
        </w:rPr>
        <w:t>T</w:t>
      </w:r>
      <w:r w:rsidR="002F663C" w:rsidRPr="002F663C">
        <w:rPr>
          <w:color w:val="000000" w:themeColor="text1"/>
        </w:rPr>
        <w:t>he methodology for the</w:t>
      </w:r>
      <w:r w:rsidR="00635522" w:rsidRPr="002F663C">
        <w:rPr>
          <w:color w:val="000000" w:themeColor="text1"/>
        </w:rPr>
        <w:t xml:space="preserve"> </w:t>
      </w:r>
      <w:r w:rsidR="00C66A2C">
        <w:rPr>
          <w:color w:val="000000" w:themeColor="text1"/>
        </w:rPr>
        <w:t xml:space="preserve">innovative </w:t>
      </w:r>
      <w:r w:rsidR="00635522" w:rsidRPr="002F663C">
        <w:rPr>
          <w:color w:val="000000" w:themeColor="text1"/>
        </w:rPr>
        <w:t>fire safety assessment of the typical aluminum-based MLI insulation systems for LH</w:t>
      </w:r>
      <w:r w:rsidR="00635522" w:rsidRPr="002F663C">
        <w:rPr>
          <w:color w:val="000000" w:themeColor="text1"/>
          <w:vertAlign w:val="subscript"/>
        </w:rPr>
        <w:t>2</w:t>
      </w:r>
      <w:r w:rsidR="00635522" w:rsidRPr="002F663C">
        <w:rPr>
          <w:color w:val="000000" w:themeColor="text1"/>
        </w:rPr>
        <w:t xml:space="preserve"> tanks is </w:t>
      </w:r>
      <w:r w:rsidR="004F44BC" w:rsidRPr="002F663C">
        <w:rPr>
          <w:color w:val="000000" w:themeColor="text1"/>
        </w:rPr>
        <w:t>divided into three stages</w:t>
      </w:r>
      <w:r w:rsidR="004F44BC">
        <w:rPr>
          <w:color w:val="000000" w:themeColor="text1"/>
        </w:rPr>
        <w:t xml:space="preserve">. </w:t>
      </w:r>
      <w:r w:rsidR="004F44BC" w:rsidRPr="002F663C">
        <w:rPr>
          <w:color w:val="000000" w:themeColor="text1"/>
        </w:rPr>
        <w:t xml:space="preserve">The first one (Section 2.1) is devoted to the </w:t>
      </w:r>
      <w:r w:rsidR="004F44BC">
        <w:rPr>
          <w:color w:val="000000" w:themeColor="text1"/>
        </w:rPr>
        <w:t xml:space="preserve">definition of the analytical model to </w:t>
      </w:r>
      <w:r w:rsidR="002F47E8">
        <w:rPr>
          <w:color w:val="000000" w:themeColor="text1"/>
        </w:rPr>
        <w:t xml:space="preserve">calculate </w:t>
      </w:r>
      <w:r w:rsidR="004F44BC">
        <w:rPr>
          <w:color w:val="000000" w:themeColor="text1"/>
        </w:rPr>
        <w:t>the thermodynamic response of</w:t>
      </w:r>
      <w:r w:rsidR="00B67CE0">
        <w:rPr>
          <w:color w:val="000000" w:themeColor="text1"/>
        </w:rPr>
        <w:t xml:space="preserve"> these tanks to </w:t>
      </w:r>
      <w:r w:rsidR="004F44BC">
        <w:rPr>
          <w:color w:val="000000" w:themeColor="text1"/>
        </w:rPr>
        <w:t>fire in terms of pressure and temperature.</w:t>
      </w:r>
      <w:r w:rsidR="00062277" w:rsidRPr="002F663C">
        <w:rPr>
          <w:color w:val="000000" w:themeColor="text1"/>
        </w:rPr>
        <w:t xml:space="preserve"> The second one (Section 2.2) </w:t>
      </w:r>
      <w:r w:rsidR="004F44BC">
        <w:rPr>
          <w:color w:val="000000" w:themeColor="text1"/>
        </w:rPr>
        <w:t>describes</w:t>
      </w:r>
      <w:r w:rsidR="00915745">
        <w:rPr>
          <w:color w:val="000000" w:themeColor="text1"/>
        </w:rPr>
        <w:t xml:space="preserve"> the</w:t>
      </w:r>
      <w:r w:rsidR="00F1132A" w:rsidRPr="002F663C">
        <w:rPr>
          <w:color w:val="000000" w:themeColor="text1"/>
        </w:rPr>
        <w:t xml:space="preserve"> failure </w:t>
      </w:r>
      <w:r w:rsidR="002F663C">
        <w:rPr>
          <w:color w:val="000000" w:themeColor="text1"/>
        </w:rPr>
        <w:t>model</w:t>
      </w:r>
      <w:r w:rsidR="00F1132A" w:rsidRPr="002F663C">
        <w:rPr>
          <w:color w:val="000000" w:themeColor="text1"/>
        </w:rPr>
        <w:t xml:space="preserve"> adopted</w:t>
      </w:r>
      <w:r w:rsidR="004F44BC">
        <w:rPr>
          <w:color w:val="000000" w:themeColor="text1"/>
        </w:rPr>
        <w:t xml:space="preserve"> to calculate the TTF. </w:t>
      </w:r>
      <w:r w:rsidR="00F1132A" w:rsidRPr="002F663C">
        <w:rPr>
          <w:color w:val="000000" w:themeColor="text1"/>
        </w:rPr>
        <w:t>Finally, the third stage</w:t>
      </w:r>
      <w:r w:rsidR="00EA59E4">
        <w:rPr>
          <w:color w:val="000000" w:themeColor="text1"/>
        </w:rPr>
        <w:t xml:space="preserve"> </w:t>
      </w:r>
      <w:r w:rsidR="00EA59E4" w:rsidRPr="002F663C">
        <w:rPr>
          <w:color w:val="000000" w:themeColor="text1"/>
        </w:rPr>
        <w:t>(Section 2.</w:t>
      </w:r>
      <w:r w:rsidR="00EA59E4">
        <w:rPr>
          <w:color w:val="000000" w:themeColor="text1"/>
        </w:rPr>
        <w:t>3</w:t>
      </w:r>
      <w:r w:rsidR="00EA59E4" w:rsidRPr="002F663C">
        <w:rPr>
          <w:color w:val="000000" w:themeColor="text1"/>
        </w:rPr>
        <w:t>)</w:t>
      </w:r>
      <w:r w:rsidR="00F1132A" w:rsidRPr="002F663C">
        <w:rPr>
          <w:color w:val="000000" w:themeColor="text1"/>
        </w:rPr>
        <w:t xml:space="preserve"> d</w:t>
      </w:r>
      <w:r w:rsidR="002F663C">
        <w:rPr>
          <w:color w:val="000000" w:themeColor="text1"/>
        </w:rPr>
        <w:t>efines</w:t>
      </w:r>
      <w:r w:rsidR="00062277" w:rsidRPr="002F663C">
        <w:rPr>
          <w:color w:val="000000" w:themeColor="text1"/>
        </w:rPr>
        <w:t xml:space="preserve"> the case studies considered </w:t>
      </w:r>
      <w:r w:rsidR="004F44BC">
        <w:rPr>
          <w:color w:val="000000" w:themeColor="text1"/>
        </w:rPr>
        <w:t>for the analysis</w:t>
      </w:r>
      <w:r w:rsidR="00915745">
        <w:rPr>
          <w:color w:val="000000" w:themeColor="text1"/>
        </w:rPr>
        <w:t>.</w:t>
      </w:r>
    </w:p>
    <w:p w14:paraId="22F2F2FC" w14:textId="0A848487" w:rsidR="000E7068" w:rsidRPr="000E7068" w:rsidRDefault="00915745" w:rsidP="008C4AE4">
      <w:pPr>
        <w:pStyle w:val="CETheadingx"/>
      </w:pPr>
      <w:r>
        <w:t>Model definition</w:t>
      </w:r>
    </w:p>
    <w:p w14:paraId="03B14552" w14:textId="0D479A2C" w:rsidR="002B65C6" w:rsidRPr="00537E03" w:rsidRDefault="00DA5AC0" w:rsidP="00DA5AC0">
      <w:pPr>
        <w:pStyle w:val="CETBodytext"/>
        <w:rPr>
          <w:color w:val="000000" w:themeColor="text1"/>
        </w:rPr>
      </w:pPr>
      <w:r w:rsidRPr="00537E03">
        <w:rPr>
          <w:color w:val="000000" w:themeColor="text1"/>
        </w:rPr>
        <w:t xml:space="preserve">The approach developed </w:t>
      </w:r>
      <w:r w:rsidR="00915745" w:rsidRPr="00537E03">
        <w:rPr>
          <w:color w:val="000000" w:themeColor="text1"/>
        </w:rPr>
        <w:t xml:space="preserve">to predict the response of the tank under fire exposure consists of </w:t>
      </w:r>
      <w:r w:rsidR="002F663C" w:rsidRPr="00537E03">
        <w:rPr>
          <w:color w:val="000000" w:themeColor="text1"/>
        </w:rPr>
        <w:t>two sub-models</w:t>
      </w:r>
      <w:r w:rsidRPr="00537E03">
        <w:rPr>
          <w:color w:val="000000" w:themeColor="text1"/>
        </w:rPr>
        <w:t xml:space="preserve"> described in the following: the first one is devoted to the simulation of the thermodynamic behavior of the tank lading, while the second one calculated the heat flux through the MLI accounting for its thermal degradation.</w:t>
      </w:r>
    </w:p>
    <w:p w14:paraId="2C35A762" w14:textId="47090F25" w:rsidR="00F6322E" w:rsidRPr="00F6322E" w:rsidRDefault="00F6322E" w:rsidP="005C5963">
      <w:pPr>
        <w:pStyle w:val="CETCaption"/>
        <w:spacing w:before="120" w:after="120"/>
      </w:pPr>
      <w:r w:rsidRPr="00F6322E">
        <w:t>Table 1. Set of the equation used in the LH</w:t>
      </w:r>
      <w:r w:rsidRPr="00B0194D">
        <w:rPr>
          <w:vertAlign w:val="subscript"/>
        </w:rPr>
        <w:t>2</w:t>
      </w:r>
      <w:r w:rsidRPr="00F6322E">
        <w:t xml:space="preserve"> thermodynamic model.</w:t>
      </w:r>
    </w:p>
    <w:tbl>
      <w:tblPr>
        <w:tblpPr w:leftFromText="180" w:rightFromText="180" w:vertAnchor="text" w:horzAnchor="margin" w:tblpY="77"/>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1"/>
        <w:gridCol w:w="682"/>
        <w:gridCol w:w="6618"/>
        <w:gridCol w:w="529"/>
        <w:gridCol w:w="527"/>
      </w:tblGrid>
      <w:tr w:rsidR="00F6322E" w:rsidRPr="002F663C" w14:paraId="20A9FCF0" w14:textId="77777777" w:rsidTr="00F6322E">
        <w:tc>
          <w:tcPr>
            <w:tcW w:w="245" w:type="pct"/>
            <w:tcBorders>
              <w:top w:val="single" w:sz="12" w:space="0" w:color="008000"/>
              <w:bottom w:val="single" w:sz="6" w:space="0" w:color="008000"/>
            </w:tcBorders>
            <w:shd w:val="clear" w:color="auto" w:fill="FFFFFF"/>
            <w:vAlign w:val="center"/>
          </w:tcPr>
          <w:p w14:paraId="441259ED" w14:textId="77777777" w:rsidR="00F6322E" w:rsidRPr="00095830" w:rsidRDefault="00F6322E" w:rsidP="00F6322E">
            <w:pPr>
              <w:jc w:val="center"/>
              <w:rPr>
                <w:color w:val="000000" w:themeColor="text1"/>
              </w:rPr>
            </w:pPr>
            <w:bookmarkStart w:id="2" w:name="_Hlk158984175"/>
            <w:r w:rsidRPr="00095830">
              <w:rPr>
                <w:color w:val="000000" w:themeColor="text1"/>
              </w:rPr>
              <w:t>Node</w:t>
            </w:r>
          </w:p>
        </w:tc>
        <w:tc>
          <w:tcPr>
            <w:tcW w:w="388" w:type="pct"/>
            <w:tcBorders>
              <w:top w:val="single" w:sz="12" w:space="0" w:color="008000"/>
              <w:bottom w:val="single" w:sz="6" w:space="0" w:color="008000"/>
            </w:tcBorders>
            <w:shd w:val="clear" w:color="auto" w:fill="FFFFFF"/>
            <w:vAlign w:val="center"/>
          </w:tcPr>
          <w:p w14:paraId="0F10B4D0" w14:textId="77777777" w:rsidR="00F6322E" w:rsidRPr="00095830" w:rsidRDefault="00F6322E" w:rsidP="00F6322E">
            <w:pPr>
              <w:jc w:val="center"/>
              <w:rPr>
                <w:color w:val="000000" w:themeColor="text1"/>
              </w:rPr>
            </w:pPr>
            <w:r w:rsidRPr="00095830">
              <w:rPr>
                <w:color w:val="000000" w:themeColor="text1"/>
              </w:rPr>
              <w:t>Variable</w:t>
            </w:r>
          </w:p>
        </w:tc>
        <w:tc>
          <w:tcPr>
            <w:tcW w:w="3766" w:type="pct"/>
            <w:tcBorders>
              <w:top w:val="single" w:sz="12" w:space="0" w:color="008000"/>
              <w:bottom w:val="single" w:sz="6" w:space="0" w:color="008000"/>
            </w:tcBorders>
            <w:shd w:val="clear" w:color="auto" w:fill="FFFFFF"/>
            <w:vAlign w:val="center"/>
          </w:tcPr>
          <w:p w14:paraId="0EF54FA1" w14:textId="77777777" w:rsidR="00F6322E" w:rsidRPr="00095830" w:rsidRDefault="00F6322E" w:rsidP="00F6322E">
            <w:pPr>
              <w:jc w:val="center"/>
              <w:rPr>
                <w:color w:val="000000" w:themeColor="text1"/>
              </w:rPr>
            </w:pPr>
            <w:r w:rsidRPr="00095830">
              <w:rPr>
                <w:color w:val="000000" w:themeColor="text1"/>
              </w:rPr>
              <w:t>Equation</w:t>
            </w:r>
          </w:p>
        </w:tc>
        <w:tc>
          <w:tcPr>
            <w:tcW w:w="301" w:type="pct"/>
            <w:tcBorders>
              <w:top w:val="single" w:sz="12" w:space="0" w:color="008000"/>
              <w:bottom w:val="single" w:sz="6" w:space="0" w:color="008000"/>
            </w:tcBorders>
            <w:shd w:val="clear" w:color="auto" w:fill="FFFFFF"/>
          </w:tcPr>
          <w:p w14:paraId="73FC9293" w14:textId="77777777" w:rsidR="00F6322E" w:rsidRPr="00095830" w:rsidRDefault="00F6322E" w:rsidP="00F6322E">
            <w:pPr>
              <w:ind w:right="-1"/>
              <w:jc w:val="center"/>
              <w:rPr>
                <w:color w:val="000000" w:themeColor="text1"/>
              </w:rPr>
            </w:pPr>
          </w:p>
        </w:tc>
        <w:tc>
          <w:tcPr>
            <w:tcW w:w="300" w:type="pct"/>
            <w:tcBorders>
              <w:top w:val="single" w:sz="12" w:space="0" w:color="008000"/>
              <w:bottom w:val="single" w:sz="6" w:space="0" w:color="008000"/>
            </w:tcBorders>
            <w:shd w:val="clear" w:color="auto" w:fill="FFFFFF"/>
            <w:vAlign w:val="center"/>
          </w:tcPr>
          <w:p w14:paraId="3B900F5B" w14:textId="77777777" w:rsidR="00F6322E" w:rsidRPr="00095830" w:rsidRDefault="00F6322E" w:rsidP="00F6322E">
            <w:pPr>
              <w:ind w:right="-1"/>
              <w:jc w:val="center"/>
              <w:rPr>
                <w:color w:val="000000" w:themeColor="text1"/>
              </w:rPr>
            </w:pPr>
            <w:r w:rsidRPr="00095830">
              <w:rPr>
                <w:color w:val="000000" w:themeColor="text1"/>
              </w:rPr>
              <w:t>Eq. N°</w:t>
            </w:r>
          </w:p>
        </w:tc>
      </w:tr>
      <w:tr w:rsidR="00F6322E" w:rsidRPr="002F663C" w14:paraId="01F1D075" w14:textId="77777777" w:rsidTr="00F6322E">
        <w:trPr>
          <w:trHeight w:val="454"/>
        </w:trPr>
        <w:tc>
          <w:tcPr>
            <w:tcW w:w="245" w:type="pct"/>
            <w:tcBorders>
              <w:top w:val="nil"/>
              <w:bottom w:val="nil"/>
            </w:tcBorders>
            <w:shd w:val="clear" w:color="auto" w:fill="FFFFFF"/>
            <w:vAlign w:val="center"/>
          </w:tcPr>
          <w:p w14:paraId="345945BA" w14:textId="77777777" w:rsidR="00F6322E" w:rsidRPr="00095830" w:rsidRDefault="00F6322E" w:rsidP="00F6322E">
            <w:pPr>
              <w:ind w:right="-1"/>
              <w:jc w:val="center"/>
              <w:rPr>
                <w:rFonts w:cs="Arial"/>
                <w:i/>
                <w:color w:val="000000" w:themeColor="text1"/>
                <w:szCs w:val="18"/>
              </w:rPr>
            </w:pPr>
            <w:r w:rsidRPr="00095830">
              <w:rPr>
                <w:i/>
                <w:color w:val="000000" w:themeColor="text1"/>
                <w:szCs w:val="18"/>
              </w:rPr>
              <w:t>H</w:t>
            </w:r>
            <w:r w:rsidRPr="00095830">
              <w:rPr>
                <w:i/>
                <w:color w:val="000000" w:themeColor="text1"/>
                <w:szCs w:val="18"/>
                <w:vertAlign w:val="subscript"/>
              </w:rPr>
              <w:t>2</w:t>
            </w:r>
          </w:p>
        </w:tc>
        <w:tc>
          <w:tcPr>
            <w:tcW w:w="388" w:type="pct"/>
            <w:tcBorders>
              <w:top w:val="nil"/>
              <w:bottom w:val="nil"/>
            </w:tcBorders>
            <w:shd w:val="clear" w:color="auto" w:fill="FFFFFF"/>
            <w:vAlign w:val="center"/>
          </w:tcPr>
          <w:p w14:paraId="5FD4AF6F" w14:textId="77777777" w:rsidR="00F6322E" w:rsidRPr="00095830" w:rsidRDefault="00937153" w:rsidP="00F6322E">
            <w:pPr>
              <w:ind w:right="-1"/>
              <w:jc w:val="center"/>
              <w:rPr>
                <w:i/>
                <w:color w:val="000000" w:themeColor="text1"/>
                <w:szCs w:val="18"/>
              </w:rPr>
            </w:pPr>
            <m:oMathPara>
              <m:oMath>
                <m:sSub>
                  <m:sSubPr>
                    <m:ctrlPr>
                      <w:rPr>
                        <w:rFonts w:ascii="Cambria Math" w:hAnsi="Cambria Math"/>
                        <w:i/>
                        <w:color w:val="000000" w:themeColor="text1"/>
                        <w:szCs w:val="18"/>
                      </w:rPr>
                    </m:ctrlPr>
                  </m:sSubPr>
                  <m:e>
                    <m:r>
                      <w:rPr>
                        <w:rFonts w:ascii="Cambria Math" w:hAnsi="Cambria Math"/>
                        <w:color w:val="000000" w:themeColor="text1"/>
                        <w:szCs w:val="18"/>
                      </w:rPr>
                      <m:t>m</m:t>
                    </m:r>
                  </m:e>
                  <m:sub>
                    <m:r>
                      <w:rPr>
                        <w:rFonts w:ascii="Cambria Math" w:hAnsi="Cambria Math"/>
                        <w:color w:val="000000" w:themeColor="text1"/>
                        <w:szCs w:val="18"/>
                      </w:rPr>
                      <m:t>H2</m:t>
                    </m:r>
                  </m:sub>
                </m:sSub>
              </m:oMath>
            </m:oMathPara>
          </w:p>
        </w:tc>
        <w:tc>
          <w:tcPr>
            <w:tcW w:w="3766" w:type="pct"/>
            <w:tcBorders>
              <w:top w:val="nil"/>
              <w:bottom w:val="nil"/>
            </w:tcBorders>
            <w:shd w:val="clear" w:color="auto" w:fill="FFFFFF"/>
            <w:vAlign w:val="center"/>
          </w:tcPr>
          <w:p w14:paraId="7D5B1E5F" w14:textId="77777777" w:rsidR="00F6322E" w:rsidRPr="00095830" w:rsidRDefault="00937153" w:rsidP="00F6322E">
            <w:pPr>
              <w:jc w:val="left"/>
              <w:rPr>
                <w:i/>
                <w:color w:val="000000" w:themeColor="text1"/>
                <w:szCs w:val="18"/>
              </w:rPr>
            </w:pPr>
            <m:oMathPara>
              <m:oMath>
                <m:f>
                  <m:fPr>
                    <m:ctrlPr>
                      <w:rPr>
                        <w:rFonts w:ascii="Cambria Math" w:hAnsi="Cambria Math"/>
                        <w:i/>
                        <w:color w:val="000000" w:themeColor="text1"/>
                        <w:szCs w:val="18"/>
                      </w:rPr>
                    </m:ctrlPr>
                  </m:fPr>
                  <m:num>
                    <m:r>
                      <w:rPr>
                        <w:rFonts w:ascii="Cambria Math" w:hAnsi="Cambria Math"/>
                        <w:color w:val="000000" w:themeColor="text1"/>
                        <w:szCs w:val="18"/>
                      </w:rPr>
                      <m:t>d</m:t>
                    </m:r>
                    <m:sSub>
                      <m:sSubPr>
                        <m:ctrlPr>
                          <w:rPr>
                            <w:rFonts w:ascii="Cambria Math" w:hAnsi="Cambria Math"/>
                            <w:i/>
                            <w:color w:val="000000" w:themeColor="text1"/>
                            <w:szCs w:val="18"/>
                          </w:rPr>
                        </m:ctrlPr>
                      </m:sSubPr>
                      <m:e>
                        <m:r>
                          <w:rPr>
                            <w:rFonts w:ascii="Cambria Math" w:hAnsi="Cambria Math"/>
                            <w:color w:val="000000" w:themeColor="text1"/>
                            <w:szCs w:val="18"/>
                          </w:rPr>
                          <m:t>m</m:t>
                        </m:r>
                      </m:e>
                      <m:sub>
                        <m:r>
                          <w:rPr>
                            <w:rFonts w:ascii="Cambria Math" w:hAnsi="Cambria Math"/>
                            <w:color w:val="000000" w:themeColor="text1"/>
                            <w:szCs w:val="18"/>
                          </w:rPr>
                          <m:t>H2</m:t>
                        </m:r>
                      </m:sub>
                    </m:sSub>
                  </m:num>
                  <m:den>
                    <m:r>
                      <w:rPr>
                        <w:rFonts w:ascii="Cambria Math" w:hAnsi="Cambria Math"/>
                        <w:color w:val="000000" w:themeColor="text1"/>
                        <w:szCs w:val="18"/>
                      </w:rPr>
                      <m:t>dt</m:t>
                    </m:r>
                  </m:den>
                </m:f>
                <m:r>
                  <w:rPr>
                    <w:rFonts w:ascii="Cambria Math" w:hAnsi="Cambria Math"/>
                    <w:color w:val="000000" w:themeColor="text1"/>
                    <w:szCs w:val="18"/>
                  </w:rPr>
                  <m:t>=-ϕ</m:t>
                </m:r>
                <m:sSub>
                  <m:sSubPr>
                    <m:ctrlPr>
                      <w:rPr>
                        <w:rFonts w:ascii="Cambria Math" w:hAnsi="Cambria Math"/>
                        <w:i/>
                        <w:color w:val="000000" w:themeColor="text1"/>
                        <w:szCs w:val="18"/>
                        <w:lang w:val="it-IT"/>
                      </w:rPr>
                    </m:ctrlPr>
                  </m:sSubPr>
                  <m:e>
                    <m:acc>
                      <m:accPr>
                        <m:chr m:val="̇"/>
                        <m:ctrlPr>
                          <w:rPr>
                            <w:rFonts w:ascii="Cambria Math" w:hAnsi="Cambria Math"/>
                            <w:i/>
                            <w:color w:val="000000" w:themeColor="text1"/>
                            <w:szCs w:val="18"/>
                            <w:lang w:val="it-IT"/>
                          </w:rPr>
                        </m:ctrlPr>
                      </m:accPr>
                      <m:e>
                        <m:r>
                          <w:rPr>
                            <w:rFonts w:ascii="Cambria Math" w:hAnsi="Cambria Math"/>
                            <w:color w:val="000000" w:themeColor="text1"/>
                            <w:szCs w:val="18"/>
                            <w:lang w:val="it-IT"/>
                          </w:rPr>
                          <m:t>m</m:t>
                        </m:r>
                      </m:e>
                    </m:acc>
                  </m:e>
                  <m:sub>
                    <m:r>
                      <w:rPr>
                        <w:rFonts w:ascii="Cambria Math" w:hAnsi="Cambria Math"/>
                        <w:color w:val="000000" w:themeColor="text1"/>
                        <w:szCs w:val="18"/>
                        <w:lang w:val="it-IT"/>
                      </w:rPr>
                      <m:t>PRV</m:t>
                    </m:r>
                  </m:sub>
                </m:sSub>
              </m:oMath>
            </m:oMathPara>
          </w:p>
        </w:tc>
        <w:tc>
          <w:tcPr>
            <w:tcW w:w="301" w:type="pct"/>
            <w:tcBorders>
              <w:top w:val="nil"/>
              <w:bottom w:val="nil"/>
            </w:tcBorders>
            <w:shd w:val="clear" w:color="auto" w:fill="FFFFFF"/>
          </w:tcPr>
          <w:p w14:paraId="2BA915AE" w14:textId="77777777" w:rsidR="00F6322E" w:rsidRPr="00095830" w:rsidRDefault="00F6322E" w:rsidP="00F6322E">
            <w:pPr>
              <w:pStyle w:val="CETEquation"/>
              <w:jc w:val="center"/>
              <w:rPr>
                <w:color w:val="000000" w:themeColor="text1"/>
                <w:szCs w:val="18"/>
              </w:rPr>
            </w:pPr>
          </w:p>
        </w:tc>
        <w:tc>
          <w:tcPr>
            <w:tcW w:w="300" w:type="pct"/>
            <w:tcBorders>
              <w:top w:val="nil"/>
              <w:bottom w:val="nil"/>
            </w:tcBorders>
            <w:shd w:val="clear" w:color="auto" w:fill="FFFFFF"/>
            <w:vAlign w:val="center"/>
          </w:tcPr>
          <w:p w14:paraId="10B16EBC" w14:textId="77777777" w:rsidR="00F6322E" w:rsidRPr="00095830" w:rsidRDefault="00F6322E" w:rsidP="00F6322E">
            <w:pPr>
              <w:pStyle w:val="CETEquation"/>
              <w:jc w:val="center"/>
              <w:rPr>
                <w:color w:val="000000" w:themeColor="text1"/>
                <w:szCs w:val="18"/>
              </w:rPr>
            </w:pPr>
            <w:r w:rsidRPr="00095830">
              <w:rPr>
                <w:color w:val="000000" w:themeColor="text1"/>
                <w:szCs w:val="18"/>
              </w:rPr>
              <w:t>(1)</w:t>
            </w:r>
          </w:p>
        </w:tc>
      </w:tr>
      <w:tr w:rsidR="00F6322E" w:rsidRPr="002F663C" w14:paraId="03C2ABDE" w14:textId="77777777" w:rsidTr="00F6322E">
        <w:tc>
          <w:tcPr>
            <w:tcW w:w="245" w:type="pct"/>
            <w:tcBorders>
              <w:top w:val="nil"/>
              <w:bottom w:val="nil"/>
            </w:tcBorders>
            <w:shd w:val="clear" w:color="auto" w:fill="FFFFFF"/>
            <w:vAlign w:val="center"/>
          </w:tcPr>
          <w:p w14:paraId="34D6C7C9" w14:textId="77777777" w:rsidR="00F6322E" w:rsidRPr="00095830" w:rsidRDefault="00F6322E" w:rsidP="00F6322E">
            <w:pPr>
              <w:ind w:right="-1"/>
              <w:jc w:val="center"/>
              <w:rPr>
                <w:rFonts w:cs="Arial"/>
                <w:i/>
                <w:color w:val="000000" w:themeColor="text1"/>
                <w:szCs w:val="18"/>
              </w:rPr>
            </w:pPr>
            <w:r w:rsidRPr="00095830">
              <w:rPr>
                <w:i/>
                <w:color w:val="000000" w:themeColor="text1"/>
                <w:szCs w:val="18"/>
              </w:rPr>
              <w:t>H</w:t>
            </w:r>
            <w:r w:rsidRPr="00095830">
              <w:rPr>
                <w:i/>
                <w:color w:val="000000" w:themeColor="text1"/>
                <w:szCs w:val="18"/>
                <w:vertAlign w:val="subscript"/>
              </w:rPr>
              <w:t>2</w:t>
            </w:r>
          </w:p>
        </w:tc>
        <w:tc>
          <w:tcPr>
            <w:tcW w:w="388" w:type="pct"/>
            <w:tcBorders>
              <w:top w:val="nil"/>
              <w:bottom w:val="nil"/>
            </w:tcBorders>
            <w:shd w:val="clear" w:color="auto" w:fill="FFFFFF"/>
            <w:vAlign w:val="center"/>
          </w:tcPr>
          <w:p w14:paraId="2EBB351A" w14:textId="77777777" w:rsidR="00F6322E" w:rsidRPr="00095830" w:rsidRDefault="00937153" w:rsidP="00F6322E">
            <w:pPr>
              <w:ind w:right="-1"/>
              <w:jc w:val="center"/>
              <w:rPr>
                <w:i/>
                <w:color w:val="000000" w:themeColor="text1"/>
                <w:szCs w:val="18"/>
              </w:rPr>
            </w:pPr>
            <m:oMathPara>
              <m:oMath>
                <m:sSub>
                  <m:sSubPr>
                    <m:ctrlPr>
                      <w:rPr>
                        <w:rFonts w:ascii="Cambria Math" w:hAnsi="Cambria Math"/>
                        <w:i/>
                        <w:color w:val="000000" w:themeColor="text1"/>
                        <w:szCs w:val="18"/>
                        <w:lang w:val="en-US"/>
                      </w:rPr>
                    </m:ctrlPr>
                  </m:sSubPr>
                  <m:e>
                    <m:r>
                      <w:rPr>
                        <w:rFonts w:ascii="Cambria Math" w:hAnsi="Cambria Math"/>
                        <w:color w:val="000000" w:themeColor="text1"/>
                        <w:szCs w:val="18"/>
                        <w:lang w:val="en-US"/>
                      </w:rPr>
                      <m:t>U</m:t>
                    </m:r>
                  </m:e>
                  <m:sub>
                    <m:r>
                      <w:rPr>
                        <w:rFonts w:ascii="Cambria Math" w:hAnsi="Cambria Math"/>
                        <w:color w:val="000000" w:themeColor="text1"/>
                        <w:szCs w:val="18"/>
                        <w:lang w:val="en-US"/>
                      </w:rPr>
                      <m:t>H2</m:t>
                    </m:r>
                  </m:sub>
                </m:sSub>
              </m:oMath>
            </m:oMathPara>
          </w:p>
        </w:tc>
        <w:tc>
          <w:tcPr>
            <w:tcW w:w="3766" w:type="pct"/>
            <w:tcBorders>
              <w:top w:val="nil"/>
              <w:bottom w:val="nil"/>
            </w:tcBorders>
            <w:shd w:val="clear" w:color="auto" w:fill="FFFFFF"/>
            <w:vAlign w:val="center"/>
          </w:tcPr>
          <w:p w14:paraId="5EF0F113" w14:textId="77777777" w:rsidR="00F6322E" w:rsidRPr="00095830" w:rsidRDefault="00937153" w:rsidP="00F6322E">
            <w:pPr>
              <w:jc w:val="left"/>
              <w:rPr>
                <w:rFonts w:ascii="Cambria Math" w:hAnsi="Cambria Math"/>
                <w:i/>
                <w:color w:val="000000" w:themeColor="text1"/>
                <w:szCs w:val="18"/>
              </w:rPr>
            </w:pPr>
            <m:oMathPara>
              <m:oMath>
                <m:f>
                  <m:fPr>
                    <m:ctrlPr>
                      <w:rPr>
                        <w:rFonts w:ascii="Cambria Math" w:hAnsi="Cambria Math"/>
                        <w:i/>
                        <w:color w:val="000000" w:themeColor="text1"/>
                        <w:szCs w:val="18"/>
                      </w:rPr>
                    </m:ctrlPr>
                  </m:fPr>
                  <m:num>
                    <m:r>
                      <w:rPr>
                        <w:rFonts w:ascii="Cambria Math" w:hAnsi="Cambria Math"/>
                        <w:color w:val="000000" w:themeColor="text1"/>
                        <w:szCs w:val="18"/>
                      </w:rPr>
                      <m:t>d</m:t>
                    </m:r>
                    <m:sSub>
                      <m:sSubPr>
                        <m:ctrlPr>
                          <w:rPr>
                            <w:rFonts w:ascii="Cambria Math" w:hAnsi="Cambria Math"/>
                            <w:i/>
                            <w:color w:val="000000" w:themeColor="text1"/>
                            <w:szCs w:val="18"/>
                          </w:rPr>
                        </m:ctrlPr>
                      </m:sSubPr>
                      <m:e>
                        <m:r>
                          <w:rPr>
                            <w:rFonts w:ascii="Cambria Math" w:hAnsi="Cambria Math"/>
                            <w:color w:val="000000" w:themeColor="text1"/>
                            <w:szCs w:val="18"/>
                          </w:rPr>
                          <m:t>m</m:t>
                        </m:r>
                      </m:e>
                      <m:sub>
                        <m:r>
                          <w:rPr>
                            <w:rFonts w:ascii="Cambria Math" w:hAnsi="Cambria Math"/>
                            <w:color w:val="000000" w:themeColor="text1"/>
                            <w:szCs w:val="18"/>
                          </w:rPr>
                          <m:t>H2</m:t>
                        </m:r>
                      </m:sub>
                    </m:sSub>
                    <m:sSub>
                      <m:sSubPr>
                        <m:ctrlPr>
                          <w:rPr>
                            <w:rFonts w:ascii="Cambria Math" w:hAnsi="Cambria Math"/>
                            <w:i/>
                            <w:color w:val="000000" w:themeColor="text1"/>
                            <w:szCs w:val="18"/>
                          </w:rPr>
                        </m:ctrlPr>
                      </m:sSubPr>
                      <m:e>
                        <m:acc>
                          <m:accPr>
                            <m:ctrlPr>
                              <w:rPr>
                                <w:rFonts w:ascii="Cambria Math" w:hAnsi="Cambria Math"/>
                                <w:i/>
                                <w:color w:val="000000" w:themeColor="text1"/>
                                <w:szCs w:val="18"/>
                              </w:rPr>
                            </m:ctrlPr>
                          </m:accPr>
                          <m:e>
                            <m:r>
                              <w:rPr>
                                <w:rFonts w:ascii="Cambria Math" w:hAnsi="Cambria Math"/>
                                <w:color w:val="000000" w:themeColor="text1"/>
                                <w:szCs w:val="18"/>
                              </w:rPr>
                              <m:t>U</m:t>
                            </m:r>
                          </m:e>
                        </m:acc>
                      </m:e>
                      <m:sub>
                        <m:r>
                          <w:rPr>
                            <w:rFonts w:ascii="Cambria Math" w:hAnsi="Cambria Math"/>
                            <w:color w:val="000000" w:themeColor="text1"/>
                            <w:szCs w:val="18"/>
                          </w:rPr>
                          <m:t>H2</m:t>
                        </m:r>
                      </m:sub>
                    </m:sSub>
                  </m:num>
                  <m:den>
                    <m:r>
                      <w:rPr>
                        <w:rFonts w:ascii="Cambria Math" w:hAnsi="Cambria Math"/>
                        <w:color w:val="000000" w:themeColor="text1"/>
                        <w:szCs w:val="18"/>
                      </w:rPr>
                      <m:t>dt</m:t>
                    </m:r>
                  </m:den>
                </m:f>
                <m:r>
                  <w:rPr>
                    <w:rFonts w:ascii="Cambria Math" w:hAnsi="Cambria Math"/>
                    <w:color w:val="000000" w:themeColor="text1"/>
                    <w:szCs w:val="18"/>
                  </w:rPr>
                  <m:t xml:space="preserve">= </m:t>
                </m:r>
                <m:sSub>
                  <m:sSubPr>
                    <m:ctrlPr>
                      <w:rPr>
                        <w:rFonts w:ascii="Cambria Math" w:hAnsi="Cambria Math"/>
                        <w:i/>
                        <w:color w:val="000000" w:themeColor="text1"/>
                        <w:szCs w:val="18"/>
                      </w:rPr>
                    </m:ctrlPr>
                  </m:sSubPr>
                  <m:e>
                    <m:sSub>
                      <m:sSubPr>
                        <m:ctrlPr>
                          <w:rPr>
                            <w:rFonts w:ascii="Cambria Math" w:hAnsi="Cambria Math"/>
                            <w:i/>
                            <w:color w:val="000000" w:themeColor="text1"/>
                            <w:szCs w:val="18"/>
                          </w:rPr>
                        </m:ctrlPr>
                      </m:sSubPr>
                      <m:e>
                        <m:r>
                          <w:rPr>
                            <w:rFonts w:ascii="Cambria Math" w:hAnsi="Cambria Math"/>
                            <w:color w:val="000000" w:themeColor="text1"/>
                            <w:szCs w:val="18"/>
                          </w:rPr>
                          <m:t>q</m:t>
                        </m:r>
                      </m:e>
                      <m:sub>
                        <m:r>
                          <w:rPr>
                            <w:rFonts w:ascii="Cambria Math" w:hAnsi="Cambria Math"/>
                            <w:color w:val="000000" w:themeColor="text1"/>
                            <w:szCs w:val="18"/>
                          </w:rPr>
                          <m:t>H2</m:t>
                        </m:r>
                      </m:sub>
                    </m:sSub>
                    <m:r>
                      <w:rPr>
                        <w:rFonts w:ascii="Cambria Math" w:hAnsi="Cambria Math"/>
                        <w:color w:val="000000" w:themeColor="text1"/>
                        <w:szCs w:val="18"/>
                      </w:rPr>
                      <m:t>A</m:t>
                    </m:r>
                  </m:e>
                  <m:sub>
                    <m:r>
                      <w:rPr>
                        <w:rFonts w:ascii="Cambria Math" w:hAnsi="Cambria Math"/>
                        <w:color w:val="000000" w:themeColor="text1"/>
                        <w:szCs w:val="18"/>
                      </w:rPr>
                      <m:t>S</m:t>
                    </m:r>
                  </m:sub>
                </m:sSub>
                <m:r>
                  <w:rPr>
                    <w:rFonts w:ascii="Cambria Math" w:hAnsi="Cambria Math"/>
                    <w:color w:val="000000" w:themeColor="text1"/>
                    <w:szCs w:val="18"/>
                  </w:rPr>
                  <m:t>-ϕ</m:t>
                </m:r>
                <m:sSub>
                  <m:sSubPr>
                    <m:ctrlPr>
                      <w:rPr>
                        <w:rFonts w:ascii="Cambria Math" w:hAnsi="Cambria Math"/>
                        <w:i/>
                        <w:color w:val="000000" w:themeColor="text1"/>
                        <w:szCs w:val="18"/>
                        <w:lang w:val="it-IT"/>
                      </w:rPr>
                    </m:ctrlPr>
                  </m:sSubPr>
                  <m:e>
                    <m:acc>
                      <m:accPr>
                        <m:chr m:val="̇"/>
                        <m:ctrlPr>
                          <w:rPr>
                            <w:rFonts w:ascii="Cambria Math" w:hAnsi="Cambria Math"/>
                            <w:i/>
                            <w:color w:val="000000" w:themeColor="text1"/>
                            <w:szCs w:val="18"/>
                            <w:lang w:val="it-IT"/>
                          </w:rPr>
                        </m:ctrlPr>
                      </m:accPr>
                      <m:e>
                        <m:r>
                          <w:rPr>
                            <w:rFonts w:ascii="Cambria Math" w:hAnsi="Cambria Math"/>
                            <w:color w:val="000000" w:themeColor="text1"/>
                            <w:szCs w:val="18"/>
                            <w:lang w:val="it-IT"/>
                          </w:rPr>
                          <m:t>m</m:t>
                        </m:r>
                      </m:e>
                    </m:acc>
                  </m:e>
                  <m:sub>
                    <m:r>
                      <w:rPr>
                        <w:rFonts w:ascii="Cambria Math" w:hAnsi="Cambria Math"/>
                        <w:color w:val="000000" w:themeColor="text1"/>
                        <w:szCs w:val="18"/>
                        <w:lang w:val="it-IT"/>
                      </w:rPr>
                      <m:t>PRV</m:t>
                    </m:r>
                  </m:sub>
                </m:sSub>
                <m:sSub>
                  <m:sSubPr>
                    <m:ctrlPr>
                      <w:rPr>
                        <w:rFonts w:ascii="Cambria Math" w:hAnsi="Cambria Math"/>
                        <w:i/>
                        <w:color w:val="000000" w:themeColor="text1"/>
                        <w:szCs w:val="18"/>
                        <w:lang w:val="it-IT"/>
                      </w:rPr>
                    </m:ctrlPr>
                  </m:sSubPr>
                  <m:e>
                    <m:acc>
                      <m:accPr>
                        <m:ctrlPr>
                          <w:rPr>
                            <w:rFonts w:ascii="Cambria Math" w:hAnsi="Cambria Math"/>
                            <w:i/>
                            <w:color w:val="000000" w:themeColor="text1"/>
                            <w:szCs w:val="18"/>
                            <w:lang w:val="it-IT"/>
                          </w:rPr>
                        </m:ctrlPr>
                      </m:accPr>
                      <m:e>
                        <m:r>
                          <w:rPr>
                            <w:rFonts w:ascii="Cambria Math" w:hAnsi="Cambria Math"/>
                            <w:color w:val="000000" w:themeColor="text1"/>
                            <w:szCs w:val="18"/>
                            <w:lang w:val="it-IT"/>
                          </w:rPr>
                          <m:t>H</m:t>
                        </m:r>
                      </m:e>
                    </m:acc>
                  </m:e>
                  <m:sub>
                    <m:r>
                      <w:rPr>
                        <w:rFonts w:ascii="Cambria Math" w:hAnsi="Cambria Math"/>
                        <w:color w:val="000000" w:themeColor="text1"/>
                        <w:szCs w:val="18"/>
                        <w:lang w:val="it-IT"/>
                      </w:rPr>
                      <m:t>PRV</m:t>
                    </m:r>
                  </m:sub>
                </m:sSub>
              </m:oMath>
            </m:oMathPara>
          </w:p>
        </w:tc>
        <w:tc>
          <w:tcPr>
            <w:tcW w:w="301" w:type="pct"/>
            <w:tcBorders>
              <w:top w:val="nil"/>
              <w:bottom w:val="nil"/>
            </w:tcBorders>
            <w:shd w:val="clear" w:color="auto" w:fill="FFFFFF"/>
          </w:tcPr>
          <w:p w14:paraId="5C5D3C71" w14:textId="77777777" w:rsidR="00F6322E" w:rsidRPr="00095830" w:rsidRDefault="00F6322E" w:rsidP="00F6322E">
            <w:pPr>
              <w:pStyle w:val="CETEquation"/>
              <w:jc w:val="center"/>
              <w:rPr>
                <w:color w:val="000000" w:themeColor="text1"/>
                <w:szCs w:val="18"/>
              </w:rPr>
            </w:pPr>
          </w:p>
        </w:tc>
        <w:tc>
          <w:tcPr>
            <w:tcW w:w="300" w:type="pct"/>
            <w:tcBorders>
              <w:top w:val="nil"/>
              <w:bottom w:val="nil"/>
            </w:tcBorders>
            <w:shd w:val="clear" w:color="auto" w:fill="FFFFFF"/>
            <w:vAlign w:val="center"/>
          </w:tcPr>
          <w:p w14:paraId="7FE4B362" w14:textId="77777777" w:rsidR="00F6322E" w:rsidRPr="00095830" w:rsidRDefault="00F6322E" w:rsidP="00F6322E">
            <w:pPr>
              <w:pStyle w:val="CETEquation"/>
              <w:jc w:val="center"/>
              <w:rPr>
                <w:color w:val="000000" w:themeColor="text1"/>
                <w:szCs w:val="18"/>
              </w:rPr>
            </w:pPr>
            <w:r w:rsidRPr="00095830">
              <w:rPr>
                <w:color w:val="000000" w:themeColor="text1"/>
                <w:szCs w:val="18"/>
              </w:rPr>
              <w:t>(2)</w:t>
            </w:r>
          </w:p>
        </w:tc>
      </w:tr>
      <w:tr w:rsidR="00F6322E" w:rsidRPr="002F663C" w14:paraId="75F4EEB7" w14:textId="77777777" w:rsidTr="00F6322E">
        <w:tc>
          <w:tcPr>
            <w:tcW w:w="245" w:type="pct"/>
            <w:tcBorders>
              <w:top w:val="nil"/>
              <w:bottom w:val="nil"/>
            </w:tcBorders>
            <w:shd w:val="clear" w:color="auto" w:fill="FFFFFF"/>
            <w:vAlign w:val="center"/>
          </w:tcPr>
          <w:p w14:paraId="5E482176" w14:textId="77777777" w:rsidR="00F6322E" w:rsidRPr="00095830" w:rsidRDefault="00F6322E" w:rsidP="00F6322E">
            <w:pPr>
              <w:ind w:right="-1"/>
              <w:jc w:val="center"/>
              <w:rPr>
                <w:rFonts w:cs="Arial"/>
                <w:i/>
                <w:color w:val="000000" w:themeColor="text1"/>
                <w:szCs w:val="18"/>
              </w:rPr>
            </w:pPr>
            <w:r w:rsidRPr="00095830">
              <w:rPr>
                <w:i/>
                <w:color w:val="000000" w:themeColor="text1"/>
                <w:szCs w:val="18"/>
              </w:rPr>
              <w:t>-</w:t>
            </w:r>
          </w:p>
        </w:tc>
        <w:tc>
          <w:tcPr>
            <w:tcW w:w="388" w:type="pct"/>
            <w:tcBorders>
              <w:top w:val="nil"/>
              <w:bottom w:val="nil"/>
            </w:tcBorders>
            <w:shd w:val="clear" w:color="auto" w:fill="FFFFFF"/>
            <w:vAlign w:val="center"/>
          </w:tcPr>
          <w:p w14:paraId="1038A674" w14:textId="77777777" w:rsidR="00F6322E" w:rsidRPr="00095830" w:rsidRDefault="00937153" w:rsidP="00F6322E">
            <w:pPr>
              <w:ind w:right="-1"/>
              <w:jc w:val="center"/>
              <w:rPr>
                <w:rFonts w:cs="Arial"/>
                <w:i/>
                <w:color w:val="000000" w:themeColor="text1"/>
                <w:szCs w:val="18"/>
              </w:rPr>
            </w:pPr>
            <m:oMathPara>
              <m:oMath>
                <m:sSup>
                  <m:sSupPr>
                    <m:ctrlPr>
                      <w:rPr>
                        <w:rFonts w:ascii="Cambria Math" w:hAnsi="Cambria Math"/>
                        <w:i/>
                        <w:color w:val="000000" w:themeColor="text1"/>
                        <w:szCs w:val="18"/>
                      </w:rPr>
                    </m:ctrlPr>
                  </m:sSupPr>
                  <m:e>
                    <m:r>
                      <w:rPr>
                        <w:rFonts w:ascii="Cambria Math" w:hAnsi="Cambria Math"/>
                        <w:color w:val="000000" w:themeColor="text1"/>
                        <w:szCs w:val="18"/>
                      </w:rPr>
                      <m:t>ϕ</m:t>
                    </m:r>
                  </m:e>
                  <m:sup>
                    <m:r>
                      <w:rPr>
                        <w:rFonts w:ascii="Cambria Math" w:hAnsi="Cambria Math"/>
                        <w:color w:val="000000" w:themeColor="text1"/>
                        <w:szCs w:val="18"/>
                      </w:rPr>
                      <m:t>b</m:t>
                    </m:r>
                  </m:sup>
                </m:sSup>
              </m:oMath>
            </m:oMathPara>
          </w:p>
        </w:tc>
        <w:tc>
          <w:tcPr>
            <w:tcW w:w="3766" w:type="pct"/>
            <w:tcBorders>
              <w:top w:val="nil"/>
              <w:bottom w:val="nil"/>
            </w:tcBorders>
            <w:shd w:val="clear" w:color="auto" w:fill="FFFFFF"/>
            <w:vAlign w:val="center"/>
          </w:tcPr>
          <w:p w14:paraId="685669E9" w14:textId="6C8DDFE2" w:rsidR="00F6322E" w:rsidRPr="00095830" w:rsidRDefault="00F6322E" w:rsidP="00F6322E">
            <w:pPr>
              <w:jc w:val="left"/>
              <w:rPr>
                <w:i/>
                <w:color w:val="000000" w:themeColor="text1"/>
                <w:szCs w:val="18"/>
              </w:rPr>
            </w:pPr>
            <m:oMathPara>
              <m:oMath>
                <m:r>
                  <w:rPr>
                    <w:rFonts w:ascii="Cambria Math" w:hAnsi="Cambria Math"/>
                    <w:color w:val="000000" w:themeColor="text1"/>
                    <w:szCs w:val="18"/>
                  </w:rPr>
                  <m:t>ϕ=</m:t>
                </m:r>
                <m:d>
                  <m:dPr>
                    <m:begChr m:val="{"/>
                    <m:endChr m:val=""/>
                    <m:ctrlPr>
                      <w:rPr>
                        <w:rFonts w:ascii="Cambria Math" w:hAnsi="Cambria Math"/>
                        <w:i/>
                        <w:color w:val="000000" w:themeColor="text1"/>
                        <w:szCs w:val="18"/>
                        <w:lang w:val="it-IT"/>
                      </w:rPr>
                    </m:ctrlPr>
                  </m:dPr>
                  <m:e>
                    <m:eqArr>
                      <m:eqArrPr>
                        <m:ctrlPr>
                          <w:rPr>
                            <w:rFonts w:ascii="Cambria Math" w:hAnsi="Cambria Math"/>
                            <w:i/>
                            <w:color w:val="000000" w:themeColor="text1"/>
                            <w:szCs w:val="18"/>
                            <w:lang w:val="it-IT"/>
                          </w:rPr>
                        </m:ctrlPr>
                      </m:eqArrPr>
                      <m:e>
                        <m:r>
                          <w:rPr>
                            <w:rFonts w:ascii="Cambria Math" w:hAnsi="Cambria Math"/>
                            <w:color w:val="000000" w:themeColor="text1"/>
                            <w:szCs w:val="18"/>
                            <w:lang w:val="en-US"/>
                          </w:rPr>
                          <m:t>1,  PRV open</m:t>
                        </m:r>
                      </m:e>
                      <m:e>
                        <m:r>
                          <w:rPr>
                            <w:rFonts w:ascii="Cambria Math" w:hAnsi="Cambria Math"/>
                            <w:color w:val="000000" w:themeColor="text1"/>
                            <w:szCs w:val="18"/>
                            <w:lang w:val="en-US"/>
                          </w:rPr>
                          <m:t>0,  &amp;PRV close</m:t>
                        </m:r>
                      </m:e>
                    </m:eqArr>
                  </m:e>
                </m:d>
              </m:oMath>
            </m:oMathPara>
          </w:p>
        </w:tc>
        <w:tc>
          <w:tcPr>
            <w:tcW w:w="301" w:type="pct"/>
            <w:tcBorders>
              <w:top w:val="nil"/>
              <w:bottom w:val="nil"/>
            </w:tcBorders>
            <w:shd w:val="clear" w:color="auto" w:fill="FFFFFF"/>
          </w:tcPr>
          <w:p w14:paraId="5629EB35" w14:textId="77777777" w:rsidR="00F6322E" w:rsidRPr="00095830" w:rsidRDefault="00F6322E" w:rsidP="00F6322E">
            <w:pPr>
              <w:pStyle w:val="CETEquation"/>
              <w:jc w:val="center"/>
              <w:rPr>
                <w:color w:val="000000" w:themeColor="text1"/>
                <w:szCs w:val="18"/>
              </w:rPr>
            </w:pPr>
          </w:p>
        </w:tc>
        <w:tc>
          <w:tcPr>
            <w:tcW w:w="300" w:type="pct"/>
            <w:tcBorders>
              <w:top w:val="nil"/>
              <w:bottom w:val="nil"/>
            </w:tcBorders>
            <w:shd w:val="clear" w:color="auto" w:fill="FFFFFF"/>
            <w:vAlign w:val="center"/>
          </w:tcPr>
          <w:p w14:paraId="213128BF" w14:textId="77777777" w:rsidR="00F6322E" w:rsidRPr="00095830" w:rsidRDefault="00F6322E" w:rsidP="00F6322E">
            <w:pPr>
              <w:pStyle w:val="CETEquation"/>
              <w:jc w:val="center"/>
              <w:rPr>
                <w:color w:val="000000" w:themeColor="text1"/>
                <w:szCs w:val="18"/>
              </w:rPr>
            </w:pPr>
            <w:r w:rsidRPr="00095830">
              <w:rPr>
                <w:color w:val="000000" w:themeColor="text1"/>
                <w:szCs w:val="18"/>
              </w:rPr>
              <w:t>(3)</w:t>
            </w:r>
          </w:p>
        </w:tc>
      </w:tr>
      <w:tr w:rsidR="00F6322E" w:rsidRPr="002F663C" w14:paraId="3F098BE9" w14:textId="77777777" w:rsidTr="00F6322E">
        <w:tc>
          <w:tcPr>
            <w:tcW w:w="245" w:type="pct"/>
            <w:tcBorders>
              <w:top w:val="nil"/>
              <w:bottom w:val="nil"/>
            </w:tcBorders>
            <w:shd w:val="clear" w:color="auto" w:fill="FFFFFF"/>
            <w:vAlign w:val="center"/>
          </w:tcPr>
          <w:p w14:paraId="5076DFAF" w14:textId="77777777" w:rsidR="00F6322E" w:rsidRPr="00095830" w:rsidRDefault="00F6322E" w:rsidP="00F6322E">
            <w:pPr>
              <w:spacing w:before="240"/>
              <w:ind w:right="-1"/>
              <w:jc w:val="center"/>
              <w:rPr>
                <w:rFonts w:cs="Arial"/>
                <w:i/>
                <w:color w:val="000000" w:themeColor="text1"/>
                <w:szCs w:val="18"/>
              </w:rPr>
            </w:pPr>
            <w:r w:rsidRPr="00095830">
              <w:rPr>
                <w:i/>
                <w:color w:val="000000" w:themeColor="text1"/>
                <w:szCs w:val="18"/>
              </w:rPr>
              <w:t>-</w:t>
            </w:r>
          </w:p>
        </w:tc>
        <w:tc>
          <w:tcPr>
            <w:tcW w:w="388" w:type="pct"/>
            <w:tcBorders>
              <w:top w:val="nil"/>
              <w:bottom w:val="nil"/>
            </w:tcBorders>
            <w:shd w:val="clear" w:color="auto" w:fill="FFFFFF"/>
            <w:vAlign w:val="center"/>
          </w:tcPr>
          <w:p w14:paraId="7B702A7E" w14:textId="77777777" w:rsidR="00F6322E" w:rsidRPr="00095830" w:rsidRDefault="00937153" w:rsidP="00F6322E">
            <w:pPr>
              <w:spacing w:before="240"/>
              <w:ind w:right="-1"/>
              <w:jc w:val="center"/>
              <w:rPr>
                <w:i/>
                <w:color w:val="000000" w:themeColor="text1"/>
                <w:szCs w:val="18"/>
              </w:rPr>
            </w:pPr>
            <m:oMathPara>
              <m:oMath>
                <m:sSup>
                  <m:sSupPr>
                    <m:ctrlPr>
                      <w:rPr>
                        <w:rFonts w:ascii="Cambria Math" w:hAnsi="Cambria Math"/>
                        <w:i/>
                        <w:color w:val="000000" w:themeColor="text1"/>
                        <w:szCs w:val="18"/>
                        <w:lang w:val="it-IT"/>
                      </w:rPr>
                    </m:ctrlPr>
                  </m:sSupPr>
                  <m:e>
                    <m:sSub>
                      <m:sSubPr>
                        <m:ctrlPr>
                          <w:rPr>
                            <w:rFonts w:ascii="Cambria Math" w:hAnsi="Cambria Math"/>
                            <w:i/>
                            <w:color w:val="000000" w:themeColor="text1"/>
                            <w:szCs w:val="18"/>
                            <w:lang w:val="it-IT"/>
                          </w:rPr>
                        </m:ctrlPr>
                      </m:sSubPr>
                      <m:e>
                        <m:acc>
                          <m:accPr>
                            <m:chr m:val="̇"/>
                            <m:ctrlPr>
                              <w:rPr>
                                <w:rFonts w:ascii="Cambria Math" w:hAnsi="Cambria Math"/>
                                <w:i/>
                                <w:color w:val="000000" w:themeColor="text1"/>
                                <w:szCs w:val="18"/>
                                <w:lang w:val="it-IT"/>
                              </w:rPr>
                            </m:ctrlPr>
                          </m:accPr>
                          <m:e>
                            <m:r>
                              <w:rPr>
                                <w:rFonts w:ascii="Cambria Math" w:hAnsi="Cambria Math"/>
                                <w:color w:val="000000" w:themeColor="text1"/>
                                <w:szCs w:val="18"/>
                                <w:lang w:val="it-IT"/>
                              </w:rPr>
                              <m:t>m</m:t>
                            </m:r>
                          </m:e>
                        </m:acc>
                      </m:e>
                      <m:sub>
                        <m:r>
                          <w:rPr>
                            <w:rFonts w:ascii="Cambria Math" w:hAnsi="Cambria Math"/>
                            <w:color w:val="000000" w:themeColor="text1"/>
                            <w:szCs w:val="18"/>
                            <w:lang w:val="it-IT"/>
                          </w:rPr>
                          <m:t>PRV</m:t>
                        </m:r>
                      </m:sub>
                    </m:sSub>
                  </m:e>
                  <m:sup>
                    <m:r>
                      <w:rPr>
                        <w:rFonts w:ascii="Cambria Math" w:hAnsi="Cambria Math"/>
                        <w:color w:val="000000" w:themeColor="text1"/>
                        <w:szCs w:val="18"/>
                        <w:lang w:val="it-IT"/>
                      </w:rPr>
                      <m:t>a</m:t>
                    </m:r>
                  </m:sup>
                </m:sSup>
              </m:oMath>
            </m:oMathPara>
          </w:p>
        </w:tc>
        <w:tc>
          <w:tcPr>
            <w:tcW w:w="3766" w:type="pct"/>
            <w:tcBorders>
              <w:top w:val="nil"/>
              <w:bottom w:val="nil"/>
            </w:tcBorders>
            <w:shd w:val="clear" w:color="auto" w:fill="FFFFFF"/>
            <w:vAlign w:val="center"/>
          </w:tcPr>
          <w:p w14:paraId="191B0F86" w14:textId="329F4E7C" w:rsidR="00F6322E" w:rsidRPr="00770638" w:rsidRDefault="00937153" w:rsidP="00F6322E">
            <w:pPr>
              <w:spacing w:before="240"/>
              <w:jc w:val="left"/>
              <w:rPr>
                <w:i/>
                <w:color w:val="000000" w:themeColor="text1"/>
                <w:szCs w:val="18"/>
              </w:rPr>
            </w:pPr>
            <m:oMathPara>
              <m:oMathParaPr>
                <m:jc m:val="center"/>
              </m:oMathParaPr>
              <m:oMath>
                <m:sSub>
                  <m:sSubPr>
                    <m:ctrlPr>
                      <w:rPr>
                        <w:rFonts w:ascii="Cambria Math" w:hAnsi="Cambria Math"/>
                        <w:i/>
                        <w:color w:val="000000" w:themeColor="text1"/>
                        <w:szCs w:val="18"/>
                        <w:lang w:val="it-IT"/>
                      </w:rPr>
                    </m:ctrlPr>
                  </m:sSubPr>
                  <m:e>
                    <m:acc>
                      <m:accPr>
                        <m:chr m:val="̇"/>
                        <m:ctrlPr>
                          <w:rPr>
                            <w:rFonts w:ascii="Cambria Math" w:hAnsi="Cambria Math"/>
                            <w:i/>
                            <w:color w:val="000000" w:themeColor="text1"/>
                            <w:szCs w:val="18"/>
                            <w:lang w:val="it-IT"/>
                          </w:rPr>
                        </m:ctrlPr>
                      </m:accPr>
                      <m:e>
                        <m:r>
                          <w:rPr>
                            <w:rFonts w:ascii="Cambria Math" w:hAnsi="Cambria Math"/>
                            <w:color w:val="000000" w:themeColor="text1"/>
                            <w:szCs w:val="18"/>
                            <w:lang w:val="it-IT"/>
                          </w:rPr>
                          <m:t>m</m:t>
                        </m:r>
                      </m:e>
                    </m:acc>
                  </m:e>
                  <m:sub>
                    <m:r>
                      <w:rPr>
                        <w:rFonts w:ascii="Cambria Math" w:hAnsi="Cambria Math"/>
                        <w:color w:val="000000" w:themeColor="text1"/>
                        <w:szCs w:val="18"/>
                        <w:lang w:val="it-IT"/>
                      </w:rPr>
                      <m:t>PRV</m:t>
                    </m:r>
                  </m:sub>
                </m:sSub>
                <m:r>
                  <w:rPr>
                    <w:rFonts w:ascii="Cambria Math" w:hAnsi="Cambria Math"/>
                    <w:color w:val="000000" w:themeColor="text1"/>
                    <w:szCs w:val="18"/>
                  </w:rPr>
                  <m:t>=</m:t>
                </m:r>
                <m:d>
                  <m:dPr>
                    <m:begChr m:val="{"/>
                    <m:endChr m:val=""/>
                    <m:ctrlPr>
                      <w:rPr>
                        <w:rFonts w:ascii="Cambria Math" w:hAnsi="Cambria Math"/>
                        <w:i/>
                        <w:color w:val="000000" w:themeColor="text1"/>
                        <w:szCs w:val="18"/>
                      </w:rPr>
                    </m:ctrlPr>
                  </m:dPr>
                  <m:e>
                    <m:eqArr>
                      <m:eqArrPr>
                        <m:ctrlPr>
                          <w:rPr>
                            <w:rFonts w:ascii="Cambria Math" w:hAnsi="Cambria Math"/>
                            <w:i/>
                            <w:color w:val="000000" w:themeColor="text1"/>
                            <w:szCs w:val="18"/>
                          </w:rPr>
                        </m:ctrlPr>
                      </m:eqArrPr>
                      <m:e>
                        <m:sSub>
                          <m:sSubPr>
                            <m:ctrlPr>
                              <w:rPr>
                                <w:rFonts w:ascii="Cambria Math" w:hAnsi="Cambria Math"/>
                                <w:i/>
                                <w:color w:val="000000" w:themeColor="text1"/>
                                <w:szCs w:val="18"/>
                              </w:rPr>
                            </m:ctrlPr>
                          </m:sSubPr>
                          <m:e>
                            <m:r>
                              <w:rPr>
                                <w:rFonts w:ascii="Cambria Math" w:hAnsi="Cambria Math"/>
                                <w:color w:val="000000" w:themeColor="text1"/>
                                <w:szCs w:val="18"/>
                              </w:rPr>
                              <m:t>K</m:t>
                            </m:r>
                          </m:e>
                          <m:sub>
                            <m:r>
                              <w:rPr>
                                <w:rFonts w:ascii="Cambria Math" w:hAnsi="Cambria Math"/>
                                <w:color w:val="000000" w:themeColor="text1"/>
                                <w:szCs w:val="18"/>
                              </w:rPr>
                              <m:t>dr</m:t>
                            </m:r>
                          </m:sub>
                        </m:sSub>
                        <m:sSub>
                          <m:sSubPr>
                            <m:ctrlPr>
                              <w:rPr>
                                <w:rFonts w:ascii="Cambria Math" w:hAnsi="Cambria Math"/>
                                <w:i/>
                                <w:color w:val="000000" w:themeColor="text1"/>
                                <w:szCs w:val="18"/>
                              </w:rPr>
                            </m:ctrlPr>
                          </m:sSubPr>
                          <m:e>
                            <m:r>
                              <w:rPr>
                                <w:rFonts w:ascii="Cambria Math" w:hAnsi="Cambria Math"/>
                                <w:color w:val="000000" w:themeColor="text1"/>
                                <w:szCs w:val="18"/>
                              </w:rPr>
                              <m:t>A</m:t>
                            </m:r>
                          </m:e>
                          <m:sub>
                            <m:r>
                              <w:rPr>
                                <w:rFonts w:ascii="Cambria Math" w:hAnsi="Cambria Math"/>
                                <w:color w:val="000000" w:themeColor="text1"/>
                                <w:szCs w:val="18"/>
                              </w:rPr>
                              <m:t>PRV</m:t>
                            </m:r>
                          </m:sub>
                        </m:sSub>
                        <m:rad>
                          <m:radPr>
                            <m:degHide m:val="1"/>
                            <m:ctrlPr>
                              <w:rPr>
                                <w:rFonts w:ascii="Cambria Math" w:hAnsi="Cambria Math"/>
                                <w:i/>
                                <w:color w:val="000000" w:themeColor="text1"/>
                                <w:szCs w:val="18"/>
                              </w:rPr>
                            </m:ctrlPr>
                          </m:radPr>
                          <m:deg/>
                          <m:e>
                            <m:r>
                              <w:rPr>
                                <w:rFonts w:ascii="Cambria Math" w:hAnsi="Cambria Math"/>
                                <w:color w:val="000000" w:themeColor="text1"/>
                                <w:szCs w:val="18"/>
                              </w:rPr>
                              <m:t>γρP</m:t>
                            </m:r>
                            <m:sSup>
                              <m:sSupPr>
                                <m:ctrlPr>
                                  <w:rPr>
                                    <w:rFonts w:ascii="Cambria Math" w:hAnsi="Cambria Math"/>
                                    <w:i/>
                                    <w:color w:val="000000" w:themeColor="text1"/>
                                    <w:szCs w:val="18"/>
                                  </w:rPr>
                                </m:ctrlPr>
                              </m:sSupPr>
                              <m:e>
                                <m:d>
                                  <m:dPr>
                                    <m:ctrlPr>
                                      <w:rPr>
                                        <w:rFonts w:ascii="Cambria Math" w:hAnsi="Cambria Math"/>
                                        <w:i/>
                                        <w:color w:val="000000" w:themeColor="text1"/>
                                        <w:szCs w:val="18"/>
                                      </w:rPr>
                                    </m:ctrlPr>
                                  </m:dPr>
                                  <m:e>
                                    <m:f>
                                      <m:fPr>
                                        <m:ctrlPr>
                                          <w:rPr>
                                            <w:rFonts w:ascii="Cambria Math" w:hAnsi="Cambria Math"/>
                                            <w:i/>
                                            <w:color w:val="000000" w:themeColor="text1"/>
                                            <w:szCs w:val="18"/>
                                          </w:rPr>
                                        </m:ctrlPr>
                                      </m:fPr>
                                      <m:num>
                                        <m:r>
                                          <w:rPr>
                                            <w:rFonts w:ascii="Cambria Math" w:hAnsi="Cambria Math"/>
                                            <w:color w:val="000000" w:themeColor="text1"/>
                                            <w:szCs w:val="18"/>
                                          </w:rPr>
                                          <m:t>2</m:t>
                                        </m:r>
                                      </m:num>
                                      <m:den>
                                        <m:r>
                                          <w:rPr>
                                            <w:rFonts w:ascii="Cambria Math" w:hAnsi="Cambria Math"/>
                                            <w:color w:val="000000" w:themeColor="text1"/>
                                            <w:szCs w:val="18"/>
                                          </w:rPr>
                                          <m:t>γ+1</m:t>
                                        </m:r>
                                      </m:den>
                                    </m:f>
                                  </m:e>
                                </m:d>
                              </m:e>
                              <m:sup>
                                <m:d>
                                  <m:dPr>
                                    <m:ctrlPr>
                                      <w:rPr>
                                        <w:rFonts w:ascii="Cambria Math" w:hAnsi="Cambria Math"/>
                                        <w:i/>
                                        <w:color w:val="000000" w:themeColor="text1"/>
                                        <w:szCs w:val="18"/>
                                      </w:rPr>
                                    </m:ctrlPr>
                                  </m:dPr>
                                  <m:e>
                                    <m:f>
                                      <m:fPr>
                                        <m:ctrlPr>
                                          <w:rPr>
                                            <w:rFonts w:ascii="Cambria Math" w:hAnsi="Cambria Math"/>
                                            <w:i/>
                                            <w:color w:val="000000" w:themeColor="text1"/>
                                            <w:szCs w:val="18"/>
                                          </w:rPr>
                                        </m:ctrlPr>
                                      </m:fPr>
                                      <m:num>
                                        <m:r>
                                          <w:rPr>
                                            <w:rFonts w:ascii="Cambria Math" w:hAnsi="Cambria Math"/>
                                            <w:color w:val="000000" w:themeColor="text1"/>
                                            <w:szCs w:val="18"/>
                                          </w:rPr>
                                          <m:t>γ+1</m:t>
                                        </m:r>
                                      </m:num>
                                      <m:den>
                                        <m:r>
                                          <w:rPr>
                                            <w:rFonts w:ascii="Cambria Math" w:hAnsi="Cambria Math"/>
                                            <w:color w:val="000000" w:themeColor="text1"/>
                                            <w:szCs w:val="18"/>
                                          </w:rPr>
                                          <m:t>γ-1</m:t>
                                        </m:r>
                                      </m:den>
                                    </m:f>
                                  </m:e>
                                </m:d>
                              </m:sup>
                            </m:sSup>
                          </m:e>
                        </m:rad>
                        <m:r>
                          <w:rPr>
                            <w:rFonts w:ascii="Cambria Math" w:hAnsi="Cambria Math"/>
                            <w:color w:val="000000" w:themeColor="text1"/>
                            <w:szCs w:val="18"/>
                          </w:rPr>
                          <m:t>,  &amp;</m:t>
                        </m:r>
                        <m:f>
                          <m:fPr>
                            <m:ctrlPr>
                              <w:rPr>
                                <w:rFonts w:ascii="Cambria Math" w:hAnsi="Cambria Math"/>
                                <w:i/>
                                <w:color w:val="000000" w:themeColor="text1"/>
                                <w:szCs w:val="18"/>
                              </w:rPr>
                            </m:ctrlPr>
                          </m:fPr>
                          <m:num>
                            <m:sSub>
                              <m:sSubPr>
                                <m:ctrlPr>
                                  <w:rPr>
                                    <w:rFonts w:ascii="Cambria Math" w:hAnsi="Cambria Math"/>
                                    <w:i/>
                                    <w:color w:val="000000" w:themeColor="text1"/>
                                    <w:szCs w:val="18"/>
                                  </w:rPr>
                                </m:ctrlPr>
                              </m:sSubPr>
                              <m:e>
                                <m:r>
                                  <w:rPr>
                                    <w:rFonts w:ascii="Cambria Math" w:hAnsi="Cambria Math"/>
                                    <w:color w:val="000000" w:themeColor="text1"/>
                                    <w:szCs w:val="18"/>
                                  </w:rPr>
                                  <m:t>P</m:t>
                                </m:r>
                              </m:e>
                              <m:sub>
                                <m:r>
                                  <w:rPr>
                                    <w:rFonts w:ascii="Cambria Math" w:hAnsi="Cambria Math"/>
                                    <w:color w:val="000000" w:themeColor="text1"/>
                                    <w:szCs w:val="18"/>
                                  </w:rPr>
                                  <m:t>o</m:t>
                                </m:r>
                              </m:sub>
                            </m:sSub>
                          </m:num>
                          <m:den>
                            <m:r>
                              <w:rPr>
                                <w:rFonts w:ascii="Cambria Math" w:hAnsi="Cambria Math"/>
                                <w:color w:val="000000" w:themeColor="text1"/>
                                <w:szCs w:val="18"/>
                              </w:rPr>
                              <m:t>P</m:t>
                            </m:r>
                          </m:den>
                        </m:f>
                        <m:r>
                          <w:rPr>
                            <w:rFonts w:ascii="Cambria Math" w:hAnsi="Cambria Math"/>
                            <w:color w:val="000000" w:themeColor="text1"/>
                            <w:szCs w:val="18"/>
                          </w:rPr>
                          <m:t>≤</m:t>
                        </m:r>
                        <m:sSup>
                          <m:sSupPr>
                            <m:ctrlPr>
                              <w:rPr>
                                <w:rFonts w:ascii="Cambria Math" w:hAnsi="Cambria Math"/>
                                <w:i/>
                                <w:color w:val="000000" w:themeColor="text1"/>
                                <w:szCs w:val="18"/>
                              </w:rPr>
                            </m:ctrlPr>
                          </m:sSupPr>
                          <m:e>
                            <m:d>
                              <m:dPr>
                                <m:ctrlPr>
                                  <w:rPr>
                                    <w:rFonts w:ascii="Cambria Math" w:hAnsi="Cambria Math"/>
                                    <w:i/>
                                    <w:color w:val="000000" w:themeColor="text1"/>
                                    <w:szCs w:val="18"/>
                                  </w:rPr>
                                </m:ctrlPr>
                              </m:dPr>
                              <m:e>
                                <m:f>
                                  <m:fPr>
                                    <m:ctrlPr>
                                      <w:rPr>
                                        <w:rFonts w:ascii="Cambria Math" w:hAnsi="Cambria Math"/>
                                        <w:i/>
                                        <w:color w:val="000000" w:themeColor="text1"/>
                                        <w:szCs w:val="18"/>
                                      </w:rPr>
                                    </m:ctrlPr>
                                  </m:fPr>
                                  <m:num>
                                    <m:r>
                                      <w:rPr>
                                        <w:rFonts w:ascii="Cambria Math" w:hAnsi="Cambria Math"/>
                                        <w:color w:val="000000" w:themeColor="text1"/>
                                        <w:szCs w:val="18"/>
                                      </w:rPr>
                                      <m:t>2</m:t>
                                    </m:r>
                                  </m:num>
                                  <m:den>
                                    <m:r>
                                      <w:rPr>
                                        <w:rFonts w:ascii="Cambria Math" w:hAnsi="Cambria Math"/>
                                        <w:color w:val="000000" w:themeColor="text1"/>
                                        <w:szCs w:val="18"/>
                                      </w:rPr>
                                      <m:t>γ+1</m:t>
                                    </m:r>
                                  </m:den>
                                </m:f>
                              </m:e>
                            </m:d>
                          </m:e>
                          <m:sup>
                            <m:d>
                              <m:dPr>
                                <m:ctrlPr>
                                  <w:rPr>
                                    <w:rFonts w:ascii="Cambria Math" w:hAnsi="Cambria Math"/>
                                    <w:i/>
                                    <w:color w:val="000000" w:themeColor="text1"/>
                                    <w:szCs w:val="18"/>
                                  </w:rPr>
                                </m:ctrlPr>
                              </m:dPr>
                              <m:e>
                                <m:f>
                                  <m:fPr>
                                    <m:ctrlPr>
                                      <w:rPr>
                                        <w:rFonts w:ascii="Cambria Math" w:hAnsi="Cambria Math"/>
                                        <w:i/>
                                        <w:color w:val="000000" w:themeColor="text1"/>
                                        <w:szCs w:val="18"/>
                                      </w:rPr>
                                    </m:ctrlPr>
                                  </m:fPr>
                                  <m:num>
                                    <m:r>
                                      <w:rPr>
                                        <w:rFonts w:ascii="Cambria Math" w:hAnsi="Cambria Math"/>
                                        <w:color w:val="000000" w:themeColor="text1"/>
                                        <w:szCs w:val="18"/>
                                      </w:rPr>
                                      <m:t>γ</m:t>
                                    </m:r>
                                  </m:num>
                                  <m:den>
                                    <m:r>
                                      <w:rPr>
                                        <w:rFonts w:ascii="Cambria Math" w:hAnsi="Cambria Math"/>
                                        <w:color w:val="000000" w:themeColor="text1"/>
                                        <w:szCs w:val="18"/>
                                      </w:rPr>
                                      <m:t>γ-1</m:t>
                                    </m:r>
                                  </m:den>
                                </m:f>
                              </m:e>
                            </m:d>
                          </m:sup>
                        </m:sSup>
                      </m:e>
                      <m:e>
                        <m:sSub>
                          <m:sSubPr>
                            <m:ctrlPr>
                              <w:rPr>
                                <w:rFonts w:ascii="Cambria Math" w:hAnsi="Cambria Math"/>
                                <w:i/>
                                <w:color w:val="000000" w:themeColor="text1"/>
                                <w:szCs w:val="18"/>
                              </w:rPr>
                            </m:ctrlPr>
                          </m:sSubPr>
                          <m:e>
                            <m:r>
                              <w:rPr>
                                <w:rFonts w:ascii="Cambria Math" w:hAnsi="Cambria Math"/>
                                <w:color w:val="000000" w:themeColor="text1"/>
                                <w:szCs w:val="18"/>
                              </w:rPr>
                              <m:t>K</m:t>
                            </m:r>
                          </m:e>
                          <m:sub>
                            <m:r>
                              <w:rPr>
                                <w:rFonts w:ascii="Cambria Math" w:hAnsi="Cambria Math"/>
                                <w:color w:val="000000" w:themeColor="text1"/>
                                <w:szCs w:val="18"/>
                              </w:rPr>
                              <m:t>dr</m:t>
                            </m:r>
                          </m:sub>
                        </m:sSub>
                        <m:sSub>
                          <m:sSubPr>
                            <m:ctrlPr>
                              <w:rPr>
                                <w:rFonts w:ascii="Cambria Math" w:hAnsi="Cambria Math"/>
                                <w:i/>
                                <w:color w:val="000000" w:themeColor="text1"/>
                                <w:szCs w:val="18"/>
                              </w:rPr>
                            </m:ctrlPr>
                          </m:sSubPr>
                          <m:e>
                            <m:r>
                              <w:rPr>
                                <w:rFonts w:ascii="Cambria Math" w:hAnsi="Cambria Math"/>
                                <w:color w:val="000000" w:themeColor="text1"/>
                                <w:szCs w:val="18"/>
                              </w:rPr>
                              <m:t>A</m:t>
                            </m:r>
                          </m:e>
                          <m:sub>
                            <m:r>
                              <w:rPr>
                                <w:rFonts w:ascii="Cambria Math" w:hAnsi="Cambria Math"/>
                                <w:color w:val="000000" w:themeColor="text1"/>
                                <w:szCs w:val="18"/>
                              </w:rPr>
                              <m:t>PRV</m:t>
                            </m:r>
                          </m:sub>
                        </m:sSub>
                        <m:rad>
                          <m:radPr>
                            <m:degHide m:val="1"/>
                            <m:ctrlPr>
                              <w:rPr>
                                <w:rFonts w:ascii="Cambria Math" w:hAnsi="Cambria Math"/>
                                <w:i/>
                                <w:color w:val="000000" w:themeColor="text1"/>
                                <w:szCs w:val="18"/>
                              </w:rPr>
                            </m:ctrlPr>
                          </m:radPr>
                          <m:deg/>
                          <m:e>
                            <m:r>
                              <w:rPr>
                                <w:rFonts w:ascii="Cambria Math" w:hAnsi="Cambria Math"/>
                                <w:color w:val="000000" w:themeColor="text1"/>
                                <w:szCs w:val="18"/>
                              </w:rPr>
                              <m:t>γρP</m:t>
                            </m:r>
                            <m:d>
                              <m:dPr>
                                <m:ctrlPr>
                                  <w:rPr>
                                    <w:rFonts w:ascii="Cambria Math" w:hAnsi="Cambria Math"/>
                                    <w:i/>
                                    <w:color w:val="000000" w:themeColor="text1"/>
                                    <w:szCs w:val="18"/>
                                  </w:rPr>
                                </m:ctrlPr>
                              </m:dPr>
                              <m:e>
                                <m:f>
                                  <m:fPr>
                                    <m:ctrlPr>
                                      <w:rPr>
                                        <w:rFonts w:ascii="Cambria Math" w:hAnsi="Cambria Math"/>
                                        <w:i/>
                                        <w:color w:val="000000" w:themeColor="text1"/>
                                        <w:szCs w:val="18"/>
                                      </w:rPr>
                                    </m:ctrlPr>
                                  </m:fPr>
                                  <m:num>
                                    <m:r>
                                      <w:rPr>
                                        <w:rFonts w:ascii="Cambria Math" w:hAnsi="Cambria Math"/>
                                        <w:color w:val="000000" w:themeColor="text1"/>
                                        <w:szCs w:val="18"/>
                                      </w:rPr>
                                      <m:t>2</m:t>
                                    </m:r>
                                  </m:num>
                                  <m:den>
                                    <m:r>
                                      <w:rPr>
                                        <w:rFonts w:ascii="Cambria Math" w:hAnsi="Cambria Math"/>
                                        <w:color w:val="000000" w:themeColor="text1"/>
                                        <w:szCs w:val="18"/>
                                      </w:rPr>
                                      <m:t>γ-1</m:t>
                                    </m:r>
                                  </m:den>
                                </m:f>
                              </m:e>
                            </m:d>
                            <m:d>
                              <m:dPr>
                                <m:begChr m:val="["/>
                                <m:endChr m:val="]"/>
                                <m:ctrlPr>
                                  <w:rPr>
                                    <w:rFonts w:ascii="Cambria Math" w:hAnsi="Cambria Math"/>
                                    <w:i/>
                                    <w:color w:val="000000" w:themeColor="text1"/>
                                    <w:szCs w:val="18"/>
                                  </w:rPr>
                                </m:ctrlPr>
                              </m:dPr>
                              <m:e>
                                <m:sSup>
                                  <m:sSupPr>
                                    <m:ctrlPr>
                                      <w:rPr>
                                        <w:rFonts w:ascii="Cambria Math" w:hAnsi="Cambria Math"/>
                                        <w:i/>
                                        <w:color w:val="000000" w:themeColor="text1"/>
                                        <w:szCs w:val="18"/>
                                      </w:rPr>
                                    </m:ctrlPr>
                                  </m:sSupPr>
                                  <m:e>
                                    <m:d>
                                      <m:dPr>
                                        <m:ctrlPr>
                                          <w:rPr>
                                            <w:rFonts w:ascii="Cambria Math" w:hAnsi="Cambria Math"/>
                                            <w:i/>
                                            <w:color w:val="000000" w:themeColor="text1"/>
                                            <w:szCs w:val="18"/>
                                          </w:rPr>
                                        </m:ctrlPr>
                                      </m:dPr>
                                      <m:e>
                                        <m:f>
                                          <m:fPr>
                                            <m:ctrlPr>
                                              <w:rPr>
                                                <w:rFonts w:ascii="Cambria Math" w:hAnsi="Cambria Math"/>
                                                <w:i/>
                                                <w:color w:val="000000" w:themeColor="text1"/>
                                                <w:szCs w:val="18"/>
                                              </w:rPr>
                                            </m:ctrlPr>
                                          </m:fPr>
                                          <m:num>
                                            <m:sSub>
                                              <m:sSubPr>
                                                <m:ctrlPr>
                                                  <w:rPr>
                                                    <w:rFonts w:ascii="Cambria Math" w:hAnsi="Cambria Math"/>
                                                    <w:i/>
                                                    <w:color w:val="000000" w:themeColor="text1"/>
                                                    <w:szCs w:val="18"/>
                                                  </w:rPr>
                                                </m:ctrlPr>
                                              </m:sSubPr>
                                              <m:e>
                                                <m:r>
                                                  <w:rPr>
                                                    <w:rFonts w:ascii="Cambria Math" w:hAnsi="Cambria Math"/>
                                                    <w:color w:val="000000" w:themeColor="text1"/>
                                                    <w:szCs w:val="18"/>
                                                  </w:rPr>
                                                  <m:t>P</m:t>
                                                </m:r>
                                              </m:e>
                                              <m:sub>
                                                <m:r>
                                                  <w:rPr>
                                                    <w:rFonts w:ascii="Cambria Math" w:hAnsi="Cambria Math"/>
                                                    <w:color w:val="000000" w:themeColor="text1"/>
                                                    <w:szCs w:val="18"/>
                                                  </w:rPr>
                                                  <m:t>o</m:t>
                                                </m:r>
                                              </m:sub>
                                            </m:sSub>
                                          </m:num>
                                          <m:den>
                                            <m:r>
                                              <w:rPr>
                                                <w:rFonts w:ascii="Cambria Math" w:hAnsi="Cambria Math"/>
                                                <w:color w:val="000000" w:themeColor="text1"/>
                                                <w:szCs w:val="18"/>
                                              </w:rPr>
                                              <m:t>P</m:t>
                                            </m:r>
                                          </m:den>
                                        </m:f>
                                      </m:e>
                                    </m:d>
                                  </m:e>
                                  <m:sup>
                                    <m:f>
                                      <m:fPr>
                                        <m:type m:val="lin"/>
                                        <m:ctrlPr>
                                          <w:rPr>
                                            <w:rFonts w:ascii="Cambria Math" w:hAnsi="Cambria Math"/>
                                            <w:i/>
                                            <w:color w:val="000000" w:themeColor="text1"/>
                                            <w:szCs w:val="18"/>
                                          </w:rPr>
                                        </m:ctrlPr>
                                      </m:fPr>
                                      <m:num>
                                        <m:r>
                                          <w:rPr>
                                            <w:rFonts w:ascii="Cambria Math" w:hAnsi="Cambria Math"/>
                                            <w:color w:val="000000" w:themeColor="text1"/>
                                            <w:szCs w:val="18"/>
                                          </w:rPr>
                                          <m:t>2</m:t>
                                        </m:r>
                                      </m:num>
                                      <m:den>
                                        <m:r>
                                          <w:rPr>
                                            <w:rFonts w:ascii="Cambria Math" w:hAnsi="Cambria Math"/>
                                            <w:color w:val="000000" w:themeColor="text1"/>
                                            <w:szCs w:val="18"/>
                                          </w:rPr>
                                          <m:t>γ</m:t>
                                        </m:r>
                                      </m:den>
                                    </m:f>
                                  </m:sup>
                                </m:sSup>
                                <m:r>
                                  <w:rPr>
                                    <w:rFonts w:ascii="Cambria Math" w:hAnsi="Cambria Math"/>
                                    <w:color w:val="000000" w:themeColor="text1"/>
                                    <w:szCs w:val="18"/>
                                  </w:rPr>
                                  <m:t>-</m:t>
                                </m:r>
                                <m:sSup>
                                  <m:sSupPr>
                                    <m:ctrlPr>
                                      <w:rPr>
                                        <w:rFonts w:ascii="Cambria Math" w:hAnsi="Cambria Math"/>
                                        <w:i/>
                                        <w:color w:val="000000" w:themeColor="text1"/>
                                        <w:szCs w:val="18"/>
                                      </w:rPr>
                                    </m:ctrlPr>
                                  </m:sSupPr>
                                  <m:e>
                                    <m:d>
                                      <m:dPr>
                                        <m:ctrlPr>
                                          <w:rPr>
                                            <w:rFonts w:ascii="Cambria Math" w:hAnsi="Cambria Math"/>
                                            <w:i/>
                                            <w:color w:val="000000" w:themeColor="text1"/>
                                            <w:szCs w:val="18"/>
                                          </w:rPr>
                                        </m:ctrlPr>
                                      </m:dPr>
                                      <m:e>
                                        <m:f>
                                          <m:fPr>
                                            <m:ctrlPr>
                                              <w:rPr>
                                                <w:rFonts w:ascii="Cambria Math" w:hAnsi="Cambria Math"/>
                                                <w:i/>
                                                <w:color w:val="000000" w:themeColor="text1"/>
                                                <w:szCs w:val="18"/>
                                              </w:rPr>
                                            </m:ctrlPr>
                                          </m:fPr>
                                          <m:num>
                                            <m:sSub>
                                              <m:sSubPr>
                                                <m:ctrlPr>
                                                  <w:rPr>
                                                    <w:rFonts w:ascii="Cambria Math" w:hAnsi="Cambria Math"/>
                                                    <w:i/>
                                                    <w:color w:val="000000" w:themeColor="text1"/>
                                                    <w:szCs w:val="18"/>
                                                  </w:rPr>
                                                </m:ctrlPr>
                                              </m:sSubPr>
                                              <m:e>
                                                <m:r>
                                                  <w:rPr>
                                                    <w:rFonts w:ascii="Cambria Math" w:hAnsi="Cambria Math"/>
                                                    <w:color w:val="000000" w:themeColor="text1"/>
                                                    <w:szCs w:val="18"/>
                                                  </w:rPr>
                                                  <m:t>P</m:t>
                                                </m:r>
                                              </m:e>
                                              <m:sub>
                                                <m:r>
                                                  <w:rPr>
                                                    <w:rFonts w:ascii="Cambria Math" w:hAnsi="Cambria Math"/>
                                                    <w:color w:val="000000" w:themeColor="text1"/>
                                                    <w:szCs w:val="18"/>
                                                  </w:rPr>
                                                  <m:t>o</m:t>
                                                </m:r>
                                              </m:sub>
                                            </m:sSub>
                                          </m:num>
                                          <m:den>
                                            <m:r>
                                              <w:rPr>
                                                <w:rFonts w:ascii="Cambria Math" w:hAnsi="Cambria Math"/>
                                                <w:color w:val="000000" w:themeColor="text1"/>
                                                <w:szCs w:val="18"/>
                                              </w:rPr>
                                              <m:t>P</m:t>
                                            </m:r>
                                          </m:den>
                                        </m:f>
                                      </m:e>
                                    </m:d>
                                  </m:e>
                                  <m:sup>
                                    <m:f>
                                      <m:fPr>
                                        <m:type m:val="lin"/>
                                        <m:ctrlPr>
                                          <w:rPr>
                                            <w:rFonts w:ascii="Cambria Math" w:hAnsi="Cambria Math"/>
                                            <w:i/>
                                            <w:color w:val="000000" w:themeColor="text1"/>
                                            <w:szCs w:val="18"/>
                                          </w:rPr>
                                        </m:ctrlPr>
                                      </m:fPr>
                                      <m:num>
                                        <m:d>
                                          <m:dPr>
                                            <m:ctrlPr>
                                              <w:rPr>
                                                <w:rFonts w:ascii="Cambria Math" w:hAnsi="Cambria Math"/>
                                                <w:i/>
                                                <w:color w:val="000000" w:themeColor="text1"/>
                                                <w:szCs w:val="18"/>
                                              </w:rPr>
                                            </m:ctrlPr>
                                          </m:dPr>
                                          <m:e>
                                            <m:r>
                                              <w:rPr>
                                                <w:rFonts w:ascii="Cambria Math" w:hAnsi="Cambria Math"/>
                                                <w:color w:val="000000" w:themeColor="text1"/>
                                                <w:szCs w:val="18"/>
                                              </w:rPr>
                                              <m:t>γ+1</m:t>
                                            </m:r>
                                          </m:e>
                                        </m:d>
                                      </m:num>
                                      <m:den>
                                        <m:r>
                                          <w:rPr>
                                            <w:rFonts w:ascii="Cambria Math" w:hAnsi="Cambria Math"/>
                                            <w:color w:val="000000" w:themeColor="text1"/>
                                            <w:szCs w:val="18"/>
                                          </w:rPr>
                                          <m:t>γ</m:t>
                                        </m:r>
                                      </m:den>
                                    </m:f>
                                  </m:sup>
                                </m:sSup>
                              </m:e>
                            </m:d>
                          </m:e>
                        </m:rad>
                        <m:r>
                          <w:rPr>
                            <w:rFonts w:ascii="Cambria Math" w:hAnsi="Cambria Math"/>
                            <w:color w:val="000000" w:themeColor="text1"/>
                            <w:szCs w:val="18"/>
                          </w:rPr>
                          <m:t>,  &amp;</m:t>
                        </m:r>
                        <m:f>
                          <m:fPr>
                            <m:ctrlPr>
                              <w:rPr>
                                <w:rFonts w:ascii="Cambria Math" w:hAnsi="Cambria Math"/>
                                <w:i/>
                                <w:color w:val="000000" w:themeColor="text1"/>
                                <w:szCs w:val="18"/>
                              </w:rPr>
                            </m:ctrlPr>
                          </m:fPr>
                          <m:num>
                            <m:sSub>
                              <m:sSubPr>
                                <m:ctrlPr>
                                  <w:rPr>
                                    <w:rFonts w:ascii="Cambria Math" w:hAnsi="Cambria Math"/>
                                    <w:i/>
                                    <w:color w:val="000000" w:themeColor="text1"/>
                                    <w:szCs w:val="18"/>
                                  </w:rPr>
                                </m:ctrlPr>
                              </m:sSubPr>
                              <m:e>
                                <m:r>
                                  <w:rPr>
                                    <w:rFonts w:ascii="Cambria Math" w:hAnsi="Cambria Math"/>
                                    <w:color w:val="000000" w:themeColor="text1"/>
                                    <w:szCs w:val="18"/>
                                  </w:rPr>
                                  <m:t>P</m:t>
                                </m:r>
                              </m:e>
                              <m:sub>
                                <m:r>
                                  <w:rPr>
                                    <w:rFonts w:ascii="Cambria Math" w:hAnsi="Cambria Math"/>
                                    <w:color w:val="000000" w:themeColor="text1"/>
                                    <w:szCs w:val="18"/>
                                  </w:rPr>
                                  <m:t>o</m:t>
                                </m:r>
                              </m:sub>
                            </m:sSub>
                          </m:num>
                          <m:den>
                            <m:r>
                              <w:rPr>
                                <w:rFonts w:ascii="Cambria Math" w:hAnsi="Cambria Math"/>
                                <w:color w:val="000000" w:themeColor="text1"/>
                                <w:szCs w:val="18"/>
                              </w:rPr>
                              <m:t>P</m:t>
                            </m:r>
                          </m:den>
                        </m:f>
                        <m:r>
                          <w:rPr>
                            <w:rFonts w:ascii="Cambria Math" w:hAnsi="Cambria Math"/>
                            <w:color w:val="000000" w:themeColor="text1"/>
                            <w:szCs w:val="18"/>
                          </w:rPr>
                          <m:t>&gt;</m:t>
                        </m:r>
                        <m:sSup>
                          <m:sSupPr>
                            <m:ctrlPr>
                              <w:rPr>
                                <w:rFonts w:ascii="Cambria Math" w:hAnsi="Cambria Math"/>
                                <w:i/>
                                <w:color w:val="000000" w:themeColor="text1"/>
                                <w:szCs w:val="18"/>
                              </w:rPr>
                            </m:ctrlPr>
                          </m:sSupPr>
                          <m:e>
                            <m:d>
                              <m:dPr>
                                <m:ctrlPr>
                                  <w:rPr>
                                    <w:rFonts w:ascii="Cambria Math" w:hAnsi="Cambria Math"/>
                                    <w:i/>
                                    <w:color w:val="000000" w:themeColor="text1"/>
                                    <w:szCs w:val="18"/>
                                  </w:rPr>
                                </m:ctrlPr>
                              </m:dPr>
                              <m:e>
                                <m:f>
                                  <m:fPr>
                                    <m:ctrlPr>
                                      <w:rPr>
                                        <w:rFonts w:ascii="Cambria Math" w:hAnsi="Cambria Math"/>
                                        <w:i/>
                                        <w:color w:val="000000" w:themeColor="text1"/>
                                        <w:szCs w:val="18"/>
                                      </w:rPr>
                                    </m:ctrlPr>
                                  </m:fPr>
                                  <m:num>
                                    <m:r>
                                      <w:rPr>
                                        <w:rFonts w:ascii="Cambria Math" w:hAnsi="Cambria Math"/>
                                        <w:color w:val="000000" w:themeColor="text1"/>
                                        <w:szCs w:val="18"/>
                                      </w:rPr>
                                      <m:t>2</m:t>
                                    </m:r>
                                  </m:num>
                                  <m:den>
                                    <m:r>
                                      <w:rPr>
                                        <w:rFonts w:ascii="Cambria Math" w:hAnsi="Cambria Math"/>
                                        <w:color w:val="000000" w:themeColor="text1"/>
                                        <w:szCs w:val="18"/>
                                      </w:rPr>
                                      <m:t>γ+1</m:t>
                                    </m:r>
                                  </m:den>
                                </m:f>
                              </m:e>
                            </m:d>
                          </m:e>
                          <m:sup>
                            <m:d>
                              <m:dPr>
                                <m:ctrlPr>
                                  <w:rPr>
                                    <w:rFonts w:ascii="Cambria Math" w:hAnsi="Cambria Math"/>
                                    <w:i/>
                                    <w:color w:val="000000" w:themeColor="text1"/>
                                    <w:szCs w:val="18"/>
                                  </w:rPr>
                                </m:ctrlPr>
                              </m:dPr>
                              <m:e>
                                <m:f>
                                  <m:fPr>
                                    <m:ctrlPr>
                                      <w:rPr>
                                        <w:rFonts w:ascii="Cambria Math" w:hAnsi="Cambria Math"/>
                                        <w:i/>
                                        <w:color w:val="000000" w:themeColor="text1"/>
                                        <w:szCs w:val="18"/>
                                      </w:rPr>
                                    </m:ctrlPr>
                                  </m:fPr>
                                  <m:num>
                                    <m:r>
                                      <w:rPr>
                                        <w:rFonts w:ascii="Cambria Math" w:hAnsi="Cambria Math"/>
                                        <w:color w:val="000000" w:themeColor="text1"/>
                                        <w:szCs w:val="18"/>
                                      </w:rPr>
                                      <m:t>γ</m:t>
                                    </m:r>
                                  </m:num>
                                  <m:den>
                                    <m:r>
                                      <w:rPr>
                                        <w:rFonts w:ascii="Cambria Math" w:hAnsi="Cambria Math"/>
                                        <w:color w:val="000000" w:themeColor="text1"/>
                                        <w:szCs w:val="18"/>
                                      </w:rPr>
                                      <m:t>γ-1</m:t>
                                    </m:r>
                                  </m:den>
                                </m:f>
                              </m:e>
                            </m:d>
                          </m:sup>
                        </m:sSup>
                      </m:e>
                    </m:eqArr>
                  </m:e>
                </m:d>
              </m:oMath>
            </m:oMathPara>
          </w:p>
        </w:tc>
        <w:tc>
          <w:tcPr>
            <w:tcW w:w="301" w:type="pct"/>
            <w:tcBorders>
              <w:top w:val="nil"/>
              <w:bottom w:val="nil"/>
            </w:tcBorders>
            <w:shd w:val="clear" w:color="auto" w:fill="FFFFFF"/>
          </w:tcPr>
          <w:p w14:paraId="3E2F42F3" w14:textId="77777777" w:rsidR="00F6322E" w:rsidRPr="00095830" w:rsidRDefault="00F6322E" w:rsidP="00F6322E">
            <w:pPr>
              <w:pStyle w:val="CETEquation"/>
              <w:spacing w:before="240"/>
              <w:jc w:val="center"/>
              <w:rPr>
                <w:color w:val="000000" w:themeColor="text1"/>
                <w:szCs w:val="18"/>
              </w:rPr>
            </w:pPr>
          </w:p>
        </w:tc>
        <w:tc>
          <w:tcPr>
            <w:tcW w:w="300" w:type="pct"/>
            <w:tcBorders>
              <w:top w:val="nil"/>
              <w:bottom w:val="nil"/>
            </w:tcBorders>
            <w:shd w:val="clear" w:color="auto" w:fill="FFFFFF"/>
            <w:vAlign w:val="center"/>
          </w:tcPr>
          <w:p w14:paraId="362831C1" w14:textId="77777777" w:rsidR="00F6322E" w:rsidRPr="00095830" w:rsidRDefault="00F6322E" w:rsidP="00F6322E">
            <w:pPr>
              <w:pStyle w:val="CETEquation"/>
              <w:spacing w:before="240"/>
              <w:jc w:val="center"/>
              <w:rPr>
                <w:color w:val="000000" w:themeColor="text1"/>
                <w:szCs w:val="18"/>
              </w:rPr>
            </w:pPr>
            <w:r w:rsidRPr="00095830">
              <w:rPr>
                <w:color w:val="000000" w:themeColor="text1"/>
                <w:szCs w:val="18"/>
              </w:rPr>
              <w:t>(4)</w:t>
            </w:r>
          </w:p>
        </w:tc>
      </w:tr>
      <w:tr w:rsidR="00F6322E" w:rsidRPr="002F663C" w14:paraId="2D4E0384" w14:textId="77777777" w:rsidTr="00F6322E">
        <w:tc>
          <w:tcPr>
            <w:tcW w:w="245" w:type="pct"/>
            <w:tcBorders>
              <w:top w:val="nil"/>
              <w:bottom w:val="nil"/>
            </w:tcBorders>
            <w:shd w:val="clear" w:color="auto" w:fill="FFFFFF"/>
            <w:vAlign w:val="center"/>
          </w:tcPr>
          <w:p w14:paraId="7EF1E004" w14:textId="77777777" w:rsidR="00F6322E" w:rsidRPr="00095830" w:rsidRDefault="00F6322E" w:rsidP="00F6322E">
            <w:pPr>
              <w:ind w:right="-1"/>
              <w:jc w:val="center"/>
              <w:rPr>
                <w:rFonts w:cs="Arial"/>
                <w:i/>
                <w:color w:val="000000" w:themeColor="text1"/>
                <w:szCs w:val="18"/>
              </w:rPr>
            </w:pPr>
            <w:r w:rsidRPr="00095830">
              <w:rPr>
                <w:i/>
                <w:color w:val="000000" w:themeColor="text1"/>
                <w:szCs w:val="18"/>
              </w:rPr>
              <w:t>-</w:t>
            </w:r>
          </w:p>
        </w:tc>
        <w:tc>
          <w:tcPr>
            <w:tcW w:w="388" w:type="pct"/>
            <w:tcBorders>
              <w:top w:val="nil"/>
              <w:bottom w:val="nil"/>
            </w:tcBorders>
            <w:shd w:val="clear" w:color="auto" w:fill="FFFFFF"/>
            <w:vAlign w:val="center"/>
          </w:tcPr>
          <w:p w14:paraId="202BF1CA" w14:textId="77777777" w:rsidR="00F6322E" w:rsidRPr="00095830" w:rsidRDefault="00937153" w:rsidP="00F6322E">
            <w:pPr>
              <w:ind w:right="-1"/>
              <w:jc w:val="center"/>
              <w:rPr>
                <w:i/>
                <w:color w:val="000000" w:themeColor="text1"/>
                <w:szCs w:val="18"/>
              </w:rPr>
            </w:pPr>
            <m:oMathPara>
              <m:oMath>
                <m:sSub>
                  <m:sSubPr>
                    <m:ctrlPr>
                      <w:rPr>
                        <w:rFonts w:ascii="Cambria Math" w:hAnsi="Cambria Math"/>
                        <w:i/>
                        <w:color w:val="000000" w:themeColor="text1"/>
                        <w:szCs w:val="18"/>
                      </w:rPr>
                    </m:ctrlPr>
                  </m:sSubPr>
                  <m:e>
                    <m:r>
                      <w:rPr>
                        <w:rFonts w:ascii="Cambria Math" w:hAnsi="Cambria Math"/>
                        <w:color w:val="000000" w:themeColor="text1"/>
                        <w:szCs w:val="18"/>
                      </w:rPr>
                      <m:t>q</m:t>
                    </m:r>
                  </m:e>
                  <m:sub>
                    <m:r>
                      <w:rPr>
                        <w:rFonts w:ascii="Cambria Math" w:hAnsi="Cambria Math"/>
                        <w:color w:val="000000" w:themeColor="text1"/>
                        <w:szCs w:val="18"/>
                      </w:rPr>
                      <m:t>H2</m:t>
                    </m:r>
                  </m:sub>
                </m:sSub>
              </m:oMath>
            </m:oMathPara>
          </w:p>
        </w:tc>
        <w:tc>
          <w:tcPr>
            <w:tcW w:w="3766" w:type="pct"/>
            <w:tcBorders>
              <w:top w:val="nil"/>
              <w:bottom w:val="nil"/>
            </w:tcBorders>
            <w:shd w:val="clear" w:color="auto" w:fill="FFFFFF"/>
            <w:vAlign w:val="center"/>
          </w:tcPr>
          <w:p w14:paraId="50E7A16E" w14:textId="77777777" w:rsidR="00F6322E" w:rsidRPr="00095830" w:rsidRDefault="00937153" w:rsidP="00F6322E">
            <w:pPr>
              <w:jc w:val="left"/>
              <w:rPr>
                <w:i/>
                <w:color w:val="000000" w:themeColor="text1"/>
                <w:szCs w:val="18"/>
              </w:rPr>
            </w:pPr>
            <m:oMathPara>
              <m:oMath>
                <m:sSub>
                  <m:sSubPr>
                    <m:ctrlPr>
                      <w:rPr>
                        <w:rFonts w:ascii="Cambria Math" w:hAnsi="Cambria Math"/>
                        <w:i/>
                        <w:color w:val="000000" w:themeColor="text1"/>
                        <w:szCs w:val="18"/>
                      </w:rPr>
                    </m:ctrlPr>
                  </m:sSubPr>
                  <m:e>
                    <m:r>
                      <w:rPr>
                        <w:rFonts w:ascii="Cambria Math" w:hAnsi="Cambria Math"/>
                        <w:color w:val="000000" w:themeColor="text1"/>
                        <w:szCs w:val="18"/>
                      </w:rPr>
                      <m:t>q</m:t>
                    </m:r>
                  </m:e>
                  <m:sub>
                    <m:r>
                      <w:rPr>
                        <w:rFonts w:ascii="Cambria Math" w:hAnsi="Cambria Math"/>
                        <w:color w:val="000000" w:themeColor="text1"/>
                        <w:szCs w:val="18"/>
                      </w:rPr>
                      <m:t>H2</m:t>
                    </m:r>
                  </m:sub>
                </m:sSub>
                <m:r>
                  <w:rPr>
                    <w:rFonts w:ascii="Cambria Math" w:hAnsi="Cambria Math"/>
                    <w:color w:val="000000" w:themeColor="text1"/>
                    <w:szCs w:val="18"/>
                  </w:rPr>
                  <m:t>=h(</m:t>
                </m:r>
                <m:sSub>
                  <m:sSubPr>
                    <m:ctrlPr>
                      <w:rPr>
                        <w:rFonts w:ascii="Cambria Math" w:hAnsi="Cambria Math"/>
                        <w:i/>
                        <w:color w:val="000000" w:themeColor="text1"/>
                        <w:szCs w:val="18"/>
                      </w:rPr>
                    </m:ctrlPr>
                  </m:sSubPr>
                  <m:e>
                    <m:r>
                      <w:rPr>
                        <w:rFonts w:ascii="Cambria Math" w:hAnsi="Cambria Math"/>
                        <w:color w:val="000000" w:themeColor="text1"/>
                        <w:szCs w:val="18"/>
                      </w:rPr>
                      <m:t>T</m:t>
                    </m:r>
                  </m:e>
                  <m:sub>
                    <m:r>
                      <w:rPr>
                        <w:rFonts w:ascii="Cambria Math" w:hAnsi="Cambria Math"/>
                        <w:color w:val="000000" w:themeColor="text1"/>
                        <w:szCs w:val="18"/>
                      </w:rPr>
                      <m:t>Si</m:t>
                    </m:r>
                  </m:sub>
                </m:sSub>
                <m:r>
                  <w:rPr>
                    <w:rFonts w:ascii="Cambria Math" w:hAnsi="Cambria Math"/>
                    <w:color w:val="000000" w:themeColor="text1"/>
                    <w:szCs w:val="18"/>
                  </w:rPr>
                  <m:t>-</m:t>
                </m:r>
                <m:sSub>
                  <m:sSubPr>
                    <m:ctrlPr>
                      <w:rPr>
                        <w:rFonts w:ascii="Cambria Math" w:hAnsi="Cambria Math"/>
                        <w:i/>
                        <w:color w:val="000000" w:themeColor="text1"/>
                        <w:szCs w:val="18"/>
                      </w:rPr>
                    </m:ctrlPr>
                  </m:sSubPr>
                  <m:e>
                    <m:r>
                      <w:rPr>
                        <w:rFonts w:ascii="Cambria Math" w:hAnsi="Cambria Math"/>
                        <w:color w:val="000000" w:themeColor="text1"/>
                        <w:szCs w:val="18"/>
                      </w:rPr>
                      <m:t>T</m:t>
                    </m:r>
                  </m:e>
                  <m:sub>
                    <m:r>
                      <w:rPr>
                        <w:rFonts w:ascii="Cambria Math" w:hAnsi="Cambria Math"/>
                        <w:color w:val="000000" w:themeColor="text1"/>
                        <w:szCs w:val="18"/>
                      </w:rPr>
                      <m:t>H2</m:t>
                    </m:r>
                  </m:sub>
                </m:sSub>
                <m:r>
                  <w:rPr>
                    <w:rFonts w:ascii="Cambria Math" w:hAnsi="Cambria Math"/>
                    <w:color w:val="000000" w:themeColor="text1"/>
                    <w:szCs w:val="18"/>
                    <w:lang w:val="it-IT"/>
                  </w:rPr>
                  <m:t>)</m:t>
                </m:r>
              </m:oMath>
            </m:oMathPara>
          </w:p>
        </w:tc>
        <w:tc>
          <w:tcPr>
            <w:tcW w:w="301" w:type="pct"/>
            <w:tcBorders>
              <w:top w:val="nil"/>
              <w:bottom w:val="nil"/>
            </w:tcBorders>
            <w:shd w:val="clear" w:color="auto" w:fill="FFFFFF"/>
          </w:tcPr>
          <w:p w14:paraId="6128EB00" w14:textId="77777777" w:rsidR="00F6322E" w:rsidRPr="00095830" w:rsidRDefault="00F6322E" w:rsidP="00F6322E">
            <w:pPr>
              <w:pStyle w:val="CETEquation"/>
              <w:jc w:val="center"/>
              <w:rPr>
                <w:color w:val="000000" w:themeColor="text1"/>
                <w:szCs w:val="18"/>
              </w:rPr>
            </w:pPr>
          </w:p>
        </w:tc>
        <w:tc>
          <w:tcPr>
            <w:tcW w:w="300" w:type="pct"/>
            <w:tcBorders>
              <w:top w:val="nil"/>
              <w:bottom w:val="nil"/>
            </w:tcBorders>
            <w:shd w:val="clear" w:color="auto" w:fill="FFFFFF"/>
            <w:vAlign w:val="center"/>
          </w:tcPr>
          <w:p w14:paraId="79CC4A5E" w14:textId="7075E617" w:rsidR="00F6322E" w:rsidRPr="00095830" w:rsidRDefault="00F6322E" w:rsidP="00F6322E">
            <w:pPr>
              <w:pStyle w:val="CETEquation"/>
              <w:jc w:val="center"/>
              <w:rPr>
                <w:color w:val="000000" w:themeColor="text1"/>
                <w:szCs w:val="18"/>
              </w:rPr>
            </w:pPr>
            <w:r w:rsidRPr="00095830">
              <w:rPr>
                <w:color w:val="000000" w:themeColor="text1"/>
                <w:szCs w:val="18"/>
              </w:rPr>
              <w:t>(</w:t>
            </w:r>
            <w:r w:rsidR="004E77CF">
              <w:rPr>
                <w:color w:val="000000" w:themeColor="text1"/>
                <w:szCs w:val="18"/>
              </w:rPr>
              <w:t>5</w:t>
            </w:r>
            <w:r w:rsidRPr="00095830">
              <w:rPr>
                <w:color w:val="000000" w:themeColor="text1"/>
                <w:szCs w:val="18"/>
              </w:rPr>
              <w:t>)</w:t>
            </w:r>
          </w:p>
        </w:tc>
      </w:tr>
      <w:tr w:rsidR="00F6322E" w:rsidRPr="002F663C" w14:paraId="540F401F" w14:textId="77777777" w:rsidTr="00F6322E">
        <w:tc>
          <w:tcPr>
            <w:tcW w:w="245" w:type="pct"/>
            <w:tcBorders>
              <w:top w:val="nil"/>
              <w:bottom w:val="single" w:sz="4" w:space="0" w:color="008000"/>
            </w:tcBorders>
            <w:shd w:val="clear" w:color="auto" w:fill="FFFFFF"/>
            <w:vAlign w:val="center"/>
          </w:tcPr>
          <w:p w14:paraId="24E9B319" w14:textId="77777777" w:rsidR="00F6322E" w:rsidRPr="00095830" w:rsidRDefault="00F6322E" w:rsidP="00F6322E">
            <w:pPr>
              <w:ind w:right="-1"/>
              <w:jc w:val="center"/>
              <w:rPr>
                <w:rFonts w:cs="Arial"/>
                <w:color w:val="000000" w:themeColor="text1"/>
                <w:szCs w:val="18"/>
              </w:rPr>
            </w:pPr>
            <w:r w:rsidRPr="00095830">
              <w:rPr>
                <w:rFonts w:cs="Arial"/>
                <w:color w:val="000000" w:themeColor="text1"/>
                <w:szCs w:val="18"/>
              </w:rPr>
              <w:t>-</w:t>
            </w:r>
          </w:p>
        </w:tc>
        <w:tc>
          <w:tcPr>
            <w:tcW w:w="388" w:type="pct"/>
            <w:tcBorders>
              <w:top w:val="nil"/>
              <w:bottom w:val="single" w:sz="4" w:space="0" w:color="008000"/>
            </w:tcBorders>
            <w:shd w:val="clear" w:color="auto" w:fill="FFFFFF"/>
            <w:vAlign w:val="center"/>
          </w:tcPr>
          <w:p w14:paraId="34889F3F" w14:textId="77777777" w:rsidR="00F6322E" w:rsidRPr="00095830" w:rsidRDefault="00F6322E" w:rsidP="00F6322E">
            <w:pPr>
              <w:ind w:right="-1"/>
              <w:jc w:val="center"/>
              <w:rPr>
                <w:rFonts w:cs="Arial"/>
                <w:i/>
                <w:color w:val="000000" w:themeColor="text1"/>
                <w:szCs w:val="18"/>
              </w:rPr>
            </w:pPr>
            <w:r w:rsidRPr="00095830">
              <w:rPr>
                <w:i/>
                <w:color w:val="000000" w:themeColor="text1"/>
                <w:szCs w:val="18"/>
              </w:rPr>
              <w:t>h</w:t>
            </w:r>
          </w:p>
        </w:tc>
        <w:tc>
          <w:tcPr>
            <w:tcW w:w="3766" w:type="pct"/>
            <w:tcBorders>
              <w:top w:val="nil"/>
              <w:bottom w:val="single" w:sz="4" w:space="0" w:color="008000"/>
            </w:tcBorders>
            <w:shd w:val="clear" w:color="auto" w:fill="FFFFFF"/>
            <w:vAlign w:val="center"/>
          </w:tcPr>
          <w:p w14:paraId="78521391" w14:textId="77777777" w:rsidR="00F6322E" w:rsidRPr="00095830" w:rsidRDefault="00F6322E" w:rsidP="00F6322E">
            <w:pPr>
              <w:jc w:val="left"/>
              <w:rPr>
                <w:rFonts w:cs="Arial"/>
                <w:color w:val="000000" w:themeColor="text1"/>
                <w:szCs w:val="18"/>
              </w:rPr>
            </w:pPr>
            <m:oMathPara>
              <m:oMath>
                <m:r>
                  <w:rPr>
                    <w:rFonts w:ascii="Cambria Math" w:hAnsi="Cambria Math"/>
                    <w:color w:val="000000" w:themeColor="text1"/>
                    <w:szCs w:val="18"/>
                  </w:rPr>
                  <m:t xml:space="preserve">h= </m:t>
                </m:r>
                <m:sSub>
                  <m:sSubPr>
                    <m:ctrlPr>
                      <w:rPr>
                        <w:rFonts w:ascii="Cambria Math" w:hAnsi="Cambria Math"/>
                        <w:i/>
                        <w:color w:val="000000" w:themeColor="text1"/>
                        <w:szCs w:val="18"/>
                      </w:rPr>
                    </m:ctrlPr>
                  </m:sSubPr>
                  <m:e>
                    <m:r>
                      <w:rPr>
                        <w:rFonts w:ascii="Cambria Math" w:hAnsi="Cambria Math"/>
                        <w:color w:val="000000" w:themeColor="text1"/>
                        <w:szCs w:val="18"/>
                      </w:rPr>
                      <m:t>(h</m:t>
                    </m:r>
                  </m:e>
                  <m:sub>
                    <m:r>
                      <w:rPr>
                        <w:rFonts w:ascii="Cambria Math" w:hAnsi="Cambria Math"/>
                        <w:color w:val="000000" w:themeColor="text1"/>
                        <w:szCs w:val="18"/>
                      </w:rPr>
                      <m:t>L</m:t>
                    </m:r>
                  </m:sub>
                </m:sSub>
                <m:sSub>
                  <m:sSubPr>
                    <m:ctrlPr>
                      <w:rPr>
                        <w:rFonts w:ascii="Cambria Math" w:hAnsi="Cambria Math"/>
                        <w:i/>
                        <w:color w:val="000000" w:themeColor="text1"/>
                        <w:szCs w:val="18"/>
                      </w:rPr>
                    </m:ctrlPr>
                  </m:sSubPr>
                  <m:e>
                    <m:r>
                      <w:rPr>
                        <w:rFonts w:ascii="Cambria Math" w:hAnsi="Cambria Math"/>
                        <w:color w:val="000000" w:themeColor="text1"/>
                        <w:szCs w:val="18"/>
                      </w:rPr>
                      <m:t>A</m:t>
                    </m:r>
                  </m:e>
                  <m:sub>
                    <m:r>
                      <w:rPr>
                        <w:rFonts w:ascii="Cambria Math" w:hAnsi="Cambria Math"/>
                        <w:color w:val="000000" w:themeColor="text1"/>
                        <w:szCs w:val="18"/>
                      </w:rPr>
                      <m:t>L</m:t>
                    </m:r>
                  </m:sub>
                </m:sSub>
                <m:r>
                  <w:rPr>
                    <w:rFonts w:ascii="Cambria Math" w:hAnsi="Cambria Math"/>
                    <w:color w:val="000000" w:themeColor="text1"/>
                    <w:szCs w:val="18"/>
                  </w:rPr>
                  <m:t>+</m:t>
                </m:r>
                <m:sSub>
                  <m:sSubPr>
                    <m:ctrlPr>
                      <w:rPr>
                        <w:rFonts w:ascii="Cambria Math" w:hAnsi="Cambria Math"/>
                        <w:i/>
                        <w:color w:val="000000" w:themeColor="text1"/>
                        <w:szCs w:val="18"/>
                      </w:rPr>
                    </m:ctrlPr>
                  </m:sSubPr>
                  <m:e>
                    <m:r>
                      <w:rPr>
                        <w:rFonts w:ascii="Cambria Math" w:hAnsi="Cambria Math"/>
                        <w:color w:val="000000" w:themeColor="text1"/>
                        <w:szCs w:val="18"/>
                      </w:rPr>
                      <m:t>h</m:t>
                    </m:r>
                  </m:e>
                  <m:sub>
                    <m:r>
                      <w:rPr>
                        <w:rFonts w:ascii="Cambria Math" w:hAnsi="Cambria Math"/>
                        <w:color w:val="000000" w:themeColor="text1"/>
                        <w:szCs w:val="18"/>
                      </w:rPr>
                      <m:t>V</m:t>
                    </m:r>
                  </m:sub>
                </m:sSub>
                <m:sSub>
                  <m:sSubPr>
                    <m:ctrlPr>
                      <w:rPr>
                        <w:rFonts w:ascii="Cambria Math" w:hAnsi="Cambria Math"/>
                        <w:i/>
                        <w:color w:val="000000" w:themeColor="text1"/>
                        <w:szCs w:val="18"/>
                      </w:rPr>
                    </m:ctrlPr>
                  </m:sSubPr>
                  <m:e>
                    <m:r>
                      <w:rPr>
                        <w:rFonts w:ascii="Cambria Math" w:hAnsi="Cambria Math"/>
                        <w:color w:val="000000" w:themeColor="text1"/>
                        <w:szCs w:val="18"/>
                      </w:rPr>
                      <m:t>A</m:t>
                    </m:r>
                  </m:e>
                  <m:sub>
                    <m:r>
                      <w:rPr>
                        <w:rFonts w:ascii="Cambria Math" w:hAnsi="Cambria Math"/>
                        <w:color w:val="000000" w:themeColor="text1"/>
                        <w:szCs w:val="18"/>
                      </w:rPr>
                      <m:t>V</m:t>
                    </m:r>
                  </m:sub>
                </m:sSub>
                <m:r>
                  <w:rPr>
                    <w:rFonts w:ascii="Cambria Math" w:hAnsi="Cambria Math"/>
                    <w:color w:val="000000" w:themeColor="text1"/>
                    <w:szCs w:val="18"/>
                  </w:rPr>
                  <m:t>)/</m:t>
                </m:r>
                <m:sSub>
                  <m:sSubPr>
                    <m:ctrlPr>
                      <w:rPr>
                        <w:rFonts w:ascii="Cambria Math" w:hAnsi="Cambria Math"/>
                        <w:i/>
                        <w:color w:val="000000" w:themeColor="text1"/>
                        <w:szCs w:val="18"/>
                      </w:rPr>
                    </m:ctrlPr>
                  </m:sSubPr>
                  <m:e>
                    <m:r>
                      <w:rPr>
                        <w:rFonts w:ascii="Cambria Math" w:hAnsi="Cambria Math"/>
                        <w:color w:val="000000" w:themeColor="text1"/>
                        <w:szCs w:val="18"/>
                      </w:rPr>
                      <m:t>A</m:t>
                    </m:r>
                  </m:e>
                  <m:sub>
                    <m:r>
                      <w:rPr>
                        <w:rFonts w:ascii="Cambria Math" w:hAnsi="Cambria Math"/>
                        <w:color w:val="000000" w:themeColor="text1"/>
                        <w:szCs w:val="18"/>
                      </w:rPr>
                      <m:t>S</m:t>
                    </m:r>
                  </m:sub>
                </m:sSub>
              </m:oMath>
            </m:oMathPara>
          </w:p>
        </w:tc>
        <w:tc>
          <w:tcPr>
            <w:tcW w:w="301" w:type="pct"/>
            <w:tcBorders>
              <w:top w:val="nil"/>
              <w:bottom w:val="single" w:sz="4" w:space="0" w:color="008000"/>
            </w:tcBorders>
            <w:shd w:val="clear" w:color="auto" w:fill="FFFFFF"/>
          </w:tcPr>
          <w:p w14:paraId="7FC5A027" w14:textId="77777777" w:rsidR="00F6322E" w:rsidRPr="00095830" w:rsidRDefault="00F6322E" w:rsidP="00F6322E">
            <w:pPr>
              <w:pStyle w:val="CETEquation"/>
              <w:jc w:val="center"/>
              <w:rPr>
                <w:color w:val="000000" w:themeColor="text1"/>
                <w:szCs w:val="18"/>
              </w:rPr>
            </w:pPr>
          </w:p>
        </w:tc>
        <w:tc>
          <w:tcPr>
            <w:tcW w:w="300" w:type="pct"/>
            <w:tcBorders>
              <w:top w:val="nil"/>
              <w:bottom w:val="single" w:sz="4" w:space="0" w:color="008000"/>
            </w:tcBorders>
            <w:shd w:val="clear" w:color="auto" w:fill="FFFFFF"/>
            <w:vAlign w:val="center"/>
          </w:tcPr>
          <w:p w14:paraId="5B9DE962" w14:textId="50D1F201" w:rsidR="00F6322E" w:rsidRPr="00095830" w:rsidRDefault="00F6322E" w:rsidP="00F6322E">
            <w:pPr>
              <w:pStyle w:val="CETEquation"/>
              <w:jc w:val="center"/>
              <w:rPr>
                <w:color w:val="000000" w:themeColor="text1"/>
                <w:szCs w:val="18"/>
              </w:rPr>
            </w:pPr>
            <w:r w:rsidRPr="00095830">
              <w:rPr>
                <w:color w:val="000000" w:themeColor="text1"/>
                <w:szCs w:val="18"/>
              </w:rPr>
              <w:t>(</w:t>
            </w:r>
            <w:r w:rsidR="004E77CF">
              <w:rPr>
                <w:color w:val="000000" w:themeColor="text1"/>
                <w:szCs w:val="18"/>
              </w:rPr>
              <w:t>6</w:t>
            </w:r>
            <w:r w:rsidRPr="00095830">
              <w:rPr>
                <w:color w:val="000000" w:themeColor="text1"/>
                <w:szCs w:val="18"/>
              </w:rPr>
              <w:t>)</w:t>
            </w:r>
          </w:p>
        </w:tc>
      </w:tr>
      <w:tr w:rsidR="00D84AAB" w:rsidRPr="002F663C" w14:paraId="174F3B0A" w14:textId="77777777" w:rsidTr="00D84AAB">
        <w:tc>
          <w:tcPr>
            <w:tcW w:w="5000" w:type="pct"/>
            <w:gridSpan w:val="5"/>
            <w:tcBorders>
              <w:top w:val="single" w:sz="4" w:space="0" w:color="008000"/>
              <w:bottom w:val="single" w:sz="12" w:space="0" w:color="008000"/>
            </w:tcBorders>
            <w:shd w:val="clear" w:color="auto" w:fill="FFFFFF"/>
            <w:vAlign w:val="center"/>
          </w:tcPr>
          <w:p w14:paraId="0F420ECC" w14:textId="252E0023" w:rsidR="00D84AAB" w:rsidRPr="00B12DE8" w:rsidRDefault="00D84AAB" w:rsidP="00F6322E">
            <w:pPr>
              <w:jc w:val="left"/>
              <w:rPr>
                <w:rFonts w:ascii="Times New Roman" w:hAnsi="Times New Roman"/>
                <w:color w:val="000000" w:themeColor="text1"/>
                <w:sz w:val="20"/>
                <w:szCs w:val="28"/>
              </w:rPr>
            </w:pPr>
            <w:r>
              <w:rPr>
                <w:color w:val="000000" w:themeColor="text1"/>
                <w:sz w:val="20"/>
                <w:szCs w:val="28"/>
                <w:vertAlign w:val="superscript"/>
              </w:rPr>
              <w:t xml:space="preserve">a </w:t>
            </w:r>
            <m:oMath>
              <m:sSub>
                <m:sSubPr>
                  <m:ctrlPr>
                    <w:rPr>
                      <w:rFonts w:ascii="Cambria Math" w:hAnsi="Cambria Math"/>
                      <w:i/>
                      <w:color w:val="000000" w:themeColor="text1"/>
                      <w:szCs w:val="18"/>
                    </w:rPr>
                  </m:ctrlPr>
                </m:sSubPr>
                <m:e>
                  <m:r>
                    <w:rPr>
                      <w:rFonts w:ascii="Cambria Math" w:hAnsi="Cambria Math"/>
                      <w:color w:val="000000" w:themeColor="text1"/>
                      <w:szCs w:val="18"/>
                    </w:rPr>
                    <m:t>K</m:t>
                  </m:r>
                </m:e>
                <m:sub>
                  <m:r>
                    <w:rPr>
                      <w:rFonts w:ascii="Cambria Math" w:hAnsi="Cambria Math"/>
                      <w:color w:val="000000" w:themeColor="text1"/>
                      <w:szCs w:val="18"/>
                    </w:rPr>
                    <m:t>dr</m:t>
                  </m:r>
                </m:sub>
              </m:sSub>
            </m:oMath>
            <w:r w:rsidRPr="00095830">
              <w:rPr>
                <w:rFonts w:cs="Arial"/>
                <w:color w:val="000000" w:themeColor="text1"/>
                <w:szCs w:val="18"/>
              </w:rPr>
              <w:t xml:space="preserve"> is the discharge coefficient of the PRV </w:t>
            </w:r>
            <w:r>
              <w:rPr>
                <w:rFonts w:cs="Arial"/>
                <w:color w:val="000000" w:themeColor="text1"/>
                <w:szCs w:val="18"/>
              </w:rPr>
              <w:t>(</w:t>
            </w:r>
            <w:r w:rsidRPr="00095830">
              <w:rPr>
                <w:rFonts w:cs="Arial"/>
                <w:color w:val="000000" w:themeColor="text1"/>
                <w:szCs w:val="18"/>
              </w:rPr>
              <w:t>assumed equal to 0.82</w:t>
            </w:r>
            <w:r w:rsidR="005C7C5C">
              <w:rPr>
                <w:rFonts w:cs="Arial"/>
                <w:color w:val="000000" w:themeColor="text1"/>
                <w:szCs w:val="18"/>
              </w:rPr>
              <w:t>, ISO 21013-3:2016</w:t>
            </w:r>
            <w:r>
              <w:rPr>
                <w:rFonts w:cs="Arial"/>
                <w:color w:val="000000" w:themeColor="text1"/>
                <w:szCs w:val="18"/>
              </w:rPr>
              <w:t xml:space="preserve">); </w:t>
            </w:r>
            <m:oMath>
              <m:r>
                <w:rPr>
                  <w:rFonts w:ascii="Cambria Math" w:hAnsi="Cambria Math"/>
                  <w:color w:val="000000" w:themeColor="text1"/>
                  <w:szCs w:val="18"/>
                </w:rPr>
                <m:t>γ</m:t>
              </m:r>
            </m:oMath>
            <w:r>
              <w:rPr>
                <w:rFonts w:cs="Arial"/>
                <w:color w:val="000000" w:themeColor="text1"/>
                <w:szCs w:val="18"/>
              </w:rPr>
              <w:t xml:space="preserve"> is the specific heat capacity ratio (1.41); </w:t>
            </w:r>
            <m:oMath>
              <m:r>
                <w:rPr>
                  <w:rFonts w:ascii="Cambria Math" w:hAnsi="Cambria Math"/>
                  <w:color w:val="000000" w:themeColor="text1"/>
                  <w:szCs w:val="18"/>
                </w:rPr>
                <m:t>ρ</m:t>
              </m:r>
            </m:oMath>
            <w:r>
              <w:rPr>
                <w:rFonts w:cs="Arial"/>
                <w:color w:val="000000" w:themeColor="text1"/>
                <w:szCs w:val="18"/>
              </w:rPr>
              <w:t xml:space="preserve"> is the density of the discharging mass flow (kg/m</w:t>
            </w:r>
            <w:r w:rsidRPr="00743F35">
              <w:rPr>
                <w:rFonts w:cs="Arial"/>
                <w:color w:val="000000" w:themeColor="text1"/>
                <w:szCs w:val="18"/>
                <w:vertAlign w:val="superscript"/>
              </w:rPr>
              <w:t>3</w:t>
            </w:r>
            <w:r>
              <w:rPr>
                <w:rFonts w:cs="Arial"/>
                <w:color w:val="000000" w:themeColor="text1"/>
                <w:szCs w:val="18"/>
              </w:rPr>
              <w:t xml:space="preserve">); </w:t>
            </w:r>
            <m:oMath>
              <m:sSub>
                <m:sSubPr>
                  <m:ctrlPr>
                    <w:rPr>
                      <w:rFonts w:ascii="Cambria Math" w:hAnsi="Cambria Math"/>
                      <w:i/>
                      <w:color w:val="000000" w:themeColor="text1"/>
                      <w:szCs w:val="18"/>
                    </w:rPr>
                  </m:ctrlPr>
                </m:sSubPr>
                <m:e>
                  <m:r>
                    <w:rPr>
                      <w:rFonts w:ascii="Cambria Math" w:hAnsi="Cambria Math"/>
                      <w:color w:val="000000" w:themeColor="text1"/>
                      <w:szCs w:val="18"/>
                    </w:rPr>
                    <m:t>P</m:t>
                  </m:r>
                </m:e>
                <m:sub>
                  <m:r>
                    <w:rPr>
                      <w:rFonts w:ascii="Cambria Math" w:hAnsi="Cambria Math"/>
                      <w:color w:val="000000" w:themeColor="text1"/>
                      <w:szCs w:val="18"/>
                    </w:rPr>
                    <m:t>o</m:t>
                  </m:r>
                </m:sub>
              </m:sSub>
            </m:oMath>
            <w:r>
              <w:rPr>
                <w:rFonts w:cs="Arial"/>
                <w:color w:val="000000" w:themeColor="text1"/>
                <w:szCs w:val="18"/>
              </w:rPr>
              <w:t xml:space="preserve"> is the pressure at the outlet of the PRV (10</w:t>
            </w:r>
            <w:r w:rsidRPr="00E02FF3">
              <w:rPr>
                <w:rFonts w:cs="Arial"/>
                <w:color w:val="000000" w:themeColor="text1"/>
                <w:szCs w:val="18"/>
                <w:vertAlign w:val="superscript"/>
              </w:rPr>
              <w:t>5</w:t>
            </w:r>
            <w:r>
              <w:rPr>
                <w:rFonts w:cs="Arial"/>
                <w:color w:val="000000" w:themeColor="text1"/>
                <w:szCs w:val="18"/>
              </w:rPr>
              <w:t xml:space="preserve"> Pa); </w:t>
            </w:r>
            <m:oMath>
              <m:sSub>
                <m:sSubPr>
                  <m:ctrlPr>
                    <w:rPr>
                      <w:rFonts w:ascii="Cambria Math" w:hAnsi="Cambria Math"/>
                      <w:i/>
                      <w:color w:val="000000" w:themeColor="text1"/>
                      <w:szCs w:val="18"/>
                    </w:rPr>
                  </m:ctrlPr>
                </m:sSubPr>
                <m:e>
                  <m:r>
                    <w:rPr>
                      <w:rFonts w:ascii="Cambria Math" w:hAnsi="Cambria Math"/>
                      <w:color w:val="000000" w:themeColor="text1"/>
                      <w:szCs w:val="18"/>
                    </w:rPr>
                    <m:t>A</m:t>
                  </m:r>
                </m:e>
                <m:sub>
                  <m:r>
                    <w:rPr>
                      <w:rFonts w:ascii="Cambria Math" w:hAnsi="Cambria Math"/>
                      <w:color w:val="000000" w:themeColor="text1"/>
                      <w:szCs w:val="18"/>
                    </w:rPr>
                    <m:t>PRV</m:t>
                  </m:r>
                </m:sub>
              </m:sSub>
            </m:oMath>
            <w:r>
              <w:rPr>
                <w:rFonts w:cs="Arial"/>
                <w:color w:val="000000" w:themeColor="text1"/>
                <w:szCs w:val="18"/>
              </w:rPr>
              <w:t xml:space="preserve"> </w:t>
            </w:r>
            <w:r w:rsidR="00F37F68">
              <w:rPr>
                <w:rFonts w:cs="Arial"/>
                <w:color w:val="000000" w:themeColor="text1"/>
                <w:szCs w:val="18"/>
              </w:rPr>
              <w:t xml:space="preserve">is the </w:t>
            </w:r>
            <w:r>
              <w:rPr>
                <w:rFonts w:cs="Arial"/>
                <w:color w:val="000000" w:themeColor="text1"/>
                <w:szCs w:val="18"/>
              </w:rPr>
              <w:t>cros</w:t>
            </w:r>
            <w:r w:rsidR="00F37F68">
              <w:rPr>
                <w:rFonts w:cs="Arial"/>
                <w:color w:val="000000" w:themeColor="text1"/>
                <w:szCs w:val="18"/>
              </w:rPr>
              <w:t>s</w:t>
            </w:r>
            <w:r>
              <w:rPr>
                <w:rFonts w:cs="Arial"/>
                <w:color w:val="000000" w:themeColor="text1"/>
                <w:szCs w:val="18"/>
              </w:rPr>
              <w:t xml:space="preserve"> sectional area of the PRV (m</w:t>
            </w:r>
            <w:r w:rsidRPr="00B12DE8">
              <w:rPr>
                <w:rFonts w:cs="Arial"/>
                <w:color w:val="000000" w:themeColor="text1"/>
                <w:szCs w:val="18"/>
                <w:vertAlign w:val="superscript"/>
              </w:rPr>
              <w:t>2</w:t>
            </w:r>
            <w:r>
              <w:rPr>
                <w:rFonts w:cs="Arial"/>
                <w:color w:val="000000" w:themeColor="text1"/>
                <w:szCs w:val="18"/>
              </w:rPr>
              <w:t>)</w:t>
            </w:r>
            <w:r w:rsidR="00833E92">
              <w:rPr>
                <w:rFonts w:cs="Arial"/>
                <w:color w:val="000000" w:themeColor="text1"/>
                <w:szCs w:val="18"/>
              </w:rPr>
              <w:t xml:space="preserve">. </w:t>
            </w:r>
          </w:p>
          <w:p w14:paraId="743E5BA8" w14:textId="77777777" w:rsidR="00D84AAB" w:rsidRPr="002F663C" w:rsidRDefault="00D84AAB" w:rsidP="00F6322E">
            <w:pPr>
              <w:ind w:right="-1"/>
              <w:jc w:val="left"/>
              <w:rPr>
                <w:rFonts w:cs="Arial"/>
                <w:color w:val="1F497D" w:themeColor="text2"/>
                <w:szCs w:val="18"/>
              </w:rPr>
            </w:pPr>
            <w:r>
              <w:rPr>
                <w:color w:val="000000" w:themeColor="text1"/>
                <w:sz w:val="20"/>
                <w:szCs w:val="28"/>
                <w:vertAlign w:val="superscript"/>
              </w:rPr>
              <w:t xml:space="preserve">b </w:t>
            </w:r>
            <w:r>
              <w:rPr>
                <w:color w:val="000000" w:themeColor="text1"/>
                <w:szCs w:val="28"/>
              </w:rPr>
              <w:t>PRV</w:t>
            </w:r>
            <w:r w:rsidRPr="00095830">
              <w:rPr>
                <w:color w:val="000000" w:themeColor="text1"/>
                <w:szCs w:val="28"/>
              </w:rPr>
              <w:t xml:space="preserve"> remains closed until the pressure reaches </w:t>
            </w:r>
            <w:proofErr w:type="spellStart"/>
            <w:proofErr w:type="gramStart"/>
            <w:r w:rsidRPr="00095830">
              <w:rPr>
                <w:i/>
                <w:color w:val="000000" w:themeColor="text1"/>
                <w:szCs w:val="28"/>
              </w:rPr>
              <w:t>P</w:t>
            </w:r>
            <w:r w:rsidRPr="00095830">
              <w:rPr>
                <w:i/>
                <w:color w:val="000000" w:themeColor="text1"/>
                <w:szCs w:val="28"/>
                <w:vertAlign w:val="subscript"/>
              </w:rPr>
              <w:t>PRV,open</w:t>
            </w:r>
            <w:proofErr w:type="spellEnd"/>
            <w:proofErr w:type="gramEnd"/>
            <w:r w:rsidRPr="00095830">
              <w:rPr>
                <w:color w:val="000000" w:themeColor="text1"/>
                <w:szCs w:val="28"/>
              </w:rPr>
              <w:t xml:space="preserve">, and it remains so until the pressure below </w:t>
            </w:r>
            <w:proofErr w:type="spellStart"/>
            <w:r w:rsidRPr="00095830">
              <w:rPr>
                <w:i/>
                <w:color w:val="000000" w:themeColor="text1"/>
                <w:szCs w:val="28"/>
              </w:rPr>
              <w:t>P</w:t>
            </w:r>
            <w:r w:rsidRPr="00095830">
              <w:rPr>
                <w:i/>
                <w:color w:val="000000" w:themeColor="text1"/>
                <w:szCs w:val="28"/>
                <w:vertAlign w:val="subscript"/>
              </w:rPr>
              <w:t>PRV,close</w:t>
            </w:r>
            <w:proofErr w:type="spellEnd"/>
          </w:p>
        </w:tc>
      </w:tr>
    </w:tbl>
    <w:bookmarkEnd w:id="2"/>
    <w:p w14:paraId="2CBEBB27" w14:textId="2946F194" w:rsidR="002B65C6" w:rsidRPr="00A13AE6" w:rsidRDefault="002B65C6" w:rsidP="00523F7B">
      <w:pPr>
        <w:pStyle w:val="CETBodytext"/>
        <w:spacing w:before="240"/>
        <w:rPr>
          <w:rFonts w:cs="Arial"/>
          <w:color w:val="000000" w:themeColor="text1"/>
          <w:lang w:val="en-GB"/>
        </w:rPr>
      </w:pPr>
      <w:r w:rsidRPr="00537E03">
        <w:rPr>
          <w:color w:val="000000" w:themeColor="text1"/>
          <w:lang w:val="en-GB"/>
        </w:rPr>
        <w:t xml:space="preserve">A single-zone lumped equilibrium model is used to </w:t>
      </w:r>
      <w:r w:rsidR="002F47E8">
        <w:rPr>
          <w:color w:val="000000" w:themeColor="text1"/>
          <w:lang w:val="en-GB"/>
        </w:rPr>
        <w:t>calculate</w:t>
      </w:r>
      <w:r w:rsidR="002F47E8" w:rsidRPr="00537E03">
        <w:rPr>
          <w:color w:val="000000" w:themeColor="text1"/>
          <w:lang w:val="en-GB"/>
        </w:rPr>
        <w:t xml:space="preserve"> </w:t>
      </w:r>
      <w:r w:rsidRPr="00537E03">
        <w:rPr>
          <w:color w:val="000000" w:themeColor="text1"/>
          <w:lang w:val="en-GB"/>
        </w:rPr>
        <w:t xml:space="preserve">the pressurization and </w:t>
      </w:r>
      <w:r w:rsidR="00643001" w:rsidRPr="00537E03">
        <w:rPr>
          <w:color w:val="000000" w:themeColor="text1"/>
          <w:lang w:val="en-GB"/>
        </w:rPr>
        <w:t>temperature increase</w:t>
      </w:r>
      <w:r w:rsidRPr="00537E03">
        <w:rPr>
          <w:color w:val="000000" w:themeColor="text1"/>
          <w:lang w:val="en-GB"/>
        </w:rPr>
        <w:t xml:space="preserve"> within the tank. The fluid domain is represented </w:t>
      </w:r>
      <w:r w:rsidR="00537E03">
        <w:rPr>
          <w:color w:val="000000" w:themeColor="text1"/>
          <w:lang w:val="en-GB"/>
        </w:rPr>
        <w:t>by</w:t>
      </w:r>
      <w:r w:rsidRPr="00537E03">
        <w:rPr>
          <w:color w:val="000000" w:themeColor="text1"/>
          <w:lang w:val="en-GB"/>
        </w:rPr>
        <w:t xml:space="preserve"> a single thermal node (</w:t>
      </w:r>
      <w:r w:rsidR="00B14F1F">
        <w:rPr>
          <w:i/>
          <w:color w:val="000000" w:themeColor="text1"/>
          <w:lang w:val="en-GB"/>
        </w:rPr>
        <w:t>H2</w:t>
      </w:r>
      <w:r w:rsidRPr="00537E03">
        <w:rPr>
          <w:color w:val="000000" w:themeColor="text1"/>
          <w:lang w:val="en-GB"/>
        </w:rPr>
        <w:t xml:space="preserve">; see Figure 1), </w:t>
      </w:r>
      <w:r w:rsidR="00DA5AC0" w:rsidRPr="00537E03">
        <w:rPr>
          <w:color w:val="000000" w:themeColor="text1"/>
          <w:lang w:val="en-GB"/>
        </w:rPr>
        <w:t>for which</w:t>
      </w:r>
      <w:r w:rsidRPr="00537E03">
        <w:rPr>
          <w:color w:val="000000" w:themeColor="text1"/>
          <w:lang w:val="en-GB"/>
        </w:rPr>
        <w:t xml:space="preserve"> mass and thermal balances are </w:t>
      </w:r>
      <w:r w:rsidR="00DA5AC0" w:rsidRPr="00537E03">
        <w:rPr>
          <w:color w:val="000000" w:themeColor="text1"/>
          <w:lang w:val="en-GB"/>
        </w:rPr>
        <w:t>written (see</w:t>
      </w:r>
      <w:r w:rsidRPr="00537E03">
        <w:rPr>
          <w:color w:val="000000" w:themeColor="text1"/>
          <w:lang w:val="en-GB"/>
        </w:rPr>
        <w:t xml:space="preserve"> </w:t>
      </w:r>
      <w:proofErr w:type="spellStart"/>
      <w:r w:rsidRPr="00537E03">
        <w:rPr>
          <w:color w:val="000000" w:themeColor="text1"/>
          <w:lang w:val="en-GB"/>
        </w:rPr>
        <w:t>Eqs</w:t>
      </w:r>
      <w:proofErr w:type="spellEnd"/>
      <w:r w:rsidRPr="00537E03">
        <w:rPr>
          <w:color w:val="000000" w:themeColor="text1"/>
          <w:lang w:val="en-GB"/>
        </w:rPr>
        <w:t xml:space="preserve">. </w:t>
      </w:r>
      <w:r w:rsidR="00DA5AC0" w:rsidRPr="00537E03">
        <w:rPr>
          <w:color w:val="000000" w:themeColor="text1"/>
          <w:lang w:val="en-GB"/>
        </w:rPr>
        <w:t>(1) and (2)</w:t>
      </w:r>
      <w:r w:rsidR="00F6322E">
        <w:rPr>
          <w:color w:val="000000" w:themeColor="text1"/>
          <w:lang w:val="en-GB"/>
        </w:rPr>
        <w:t xml:space="preserve"> in Table 1</w:t>
      </w:r>
      <w:r w:rsidR="00DA5AC0" w:rsidRPr="00537E03">
        <w:rPr>
          <w:color w:val="000000" w:themeColor="text1"/>
          <w:lang w:val="en-GB"/>
        </w:rPr>
        <w:t>)</w:t>
      </w:r>
      <w:r w:rsidRPr="00537E03">
        <w:rPr>
          <w:color w:val="000000" w:themeColor="text1"/>
          <w:lang w:val="en-GB"/>
        </w:rPr>
        <w:t xml:space="preserve"> assuming thermodynamic equilibrium between the liquid and gaseous hydrogen phases (i.e., they share the same temperature, </w:t>
      </w:r>
      <w:r w:rsidRPr="00537E03">
        <w:rPr>
          <w:i/>
          <w:color w:val="000000" w:themeColor="text1"/>
          <w:lang w:val="en-GB"/>
        </w:rPr>
        <w:t>T</w:t>
      </w:r>
      <w:r w:rsidR="00B14F1F">
        <w:rPr>
          <w:i/>
          <w:color w:val="000000" w:themeColor="text1"/>
          <w:vertAlign w:val="subscript"/>
          <w:lang w:val="en-GB"/>
        </w:rPr>
        <w:t>H2</w:t>
      </w:r>
      <w:r w:rsidRPr="00537E03">
        <w:rPr>
          <w:color w:val="000000" w:themeColor="text1"/>
          <w:lang w:val="en-GB"/>
        </w:rPr>
        <w:t xml:space="preserve">). Both balance equations account for the effect of the pressure relief valve (PRV) through an activation factor, </w:t>
      </w:r>
      <m:oMath>
        <m:r>
          <w:rPr>
            <w:rFonts w:ascii="Cambria Math" w:hAnsi="Cambria Math"/>
            <w:color w:val="000000" w:themeColor="text1"/>
            <w:szCs w:val="18"/>
          </w:rPr>
          <m:t>ϕ</m:t>
        </m:r>
      </m:oMath>
      <w:r w:rsidRPr="00537E03">
        <w:rPr>
          <w:color w:val="000000" w:themeColor="text1"/>
          <w:lang w:val="en-GB"/>
        </w:rPr>
        <w:t>, which is 0 when the valve is closed and 1 when open</w:t>
      </w:r>
      <w:r w:rsidR="00DA5AC0" w:rsidRPr="00537E03">
        <w:rPr>
          <w:color w:val="000000" w:themeColor="text1"/>
          <w:lang w:val="en-GB"/>
        </w:rPr>
        <w:t>. The discharging mass flow and enthalpy (</w:t>
      </w:r>
      <m:oMath>
        <m:sSub>
          <m:sSubPr>
            <m:ctrlPr>
              <w:rPr>
                <w:rFonts w:ascii="Cambria Math" w:hAnsi="Cambria Math"/>
                <w:i/>
                <w:color w:val="000000" w:themeColor="text1"/>
                <w:szCs w:val="18"/>
                <w:lang w:val="it-IT"/>
              </w:rPr>
            </m:ctrlPr>
          </m:sSubPr>
          <m:e>
            <m:acc>
              <m:accPr>
                <m:chr m:val="̇"/>
                <m:ctrlPr>
                  <w:rPr>
                    <w:rFonts w:ascii="Cambria Math" w:hAnsi="Cambria Math"/>
                    <w:i/>
                    <w:color w:val="000000" w:themeColor="text1"/>
                    <w:szCs w:val="18"/>
                    <w:lang w:val="it-IT"/>
                  </w:rPr>
                </m:ctrlPr>
              </m:accPr>
              <m:e>
                <m:r>
                  <w:rPr>
                    <w:rFonts w:ascii="Cambria Math" w:hAnsi="Cambria Math"/>
                    <w:color w:val="000000" w:themeColor="text1"/>
                    <w:szCs w:val="18"/>
                    <w:lang w:val="it-IT"/>
                  </w:rPr>
                  <m:t>m</m:t>
                </m:r>
              </m:e>
            </m:acc>
          </m:e>
          <m:sub>
            <m:r>
              <w:rPr>
                <w:rFonts w:ascii="Cambria Math" w:hAnsi="Cambria Math"/>
                <w:color w:val="000000" w:themeColor="text1"/>
                <w:szCs w:val="18"/>
                <w:lang w:val="it-IT"/>
              </w:rPr>
              <m:t>PRV</m:t>
            </m:r>
          </m:sub>
        </m:sSub>
      </m:oMath>
      <w:r w:rsidR="00DA5AC0" w:rsidRPr="00537E03">
        <w:rPr>
          <w:color w:val="000000" w:themeColor="text1"/>
          <w:lang w:val="en-GB"/>
        </w:rPr>
        <w:t xml:space="preserve">, and </w:t>
      </w:r>
      <m:oMath>
        <m:sSub>
          <m:sSubPr>
            <m:ctrlPr>
              <w:rPr>
                <w:rFonts w:ascii="Cambria Math" w:hAnsi="Cambria Math" w:cs="Arial"/>
                <w:i/>
                <w:color w:val="000000" w:themeColor="text1"/>
                <w:szCs w:val="18"/>
                <w:lang w:val="it-IT"/>
              </w:rPr>
            </m:ctrlPr>
          </m:sSubPr>
          <m:e>
            <m:acc>
              <m:accPr>
                <m:ctrlPr>
                  <w:rPr>
                    <w:rFonts w:ascii="Cambria Math" w:hAnsi="Cambria Math" w:cs="Arial"/>
                    <w:i/>
                    <w:color w:val="000000" w:themeColor="text1"/>
                    <w:szCs w:val="18"/>
                    <w:lang w:val="it-IT"/>
                  </w:rPr>
                </m:ctrlPr>
              </m:accPr>
              <m:e>
                <m:r>
                  <w:rPr>
                    <w:rFonts w:ascii="Cambria Math" w:hAnsi="Cambria Math" w:cs="Arial"/>
                    <w:color w:val="000000" w:themeColor="text1"/>
                    <w:szCs w:val="18"/>
                    <w:lang w:val="it-IT"/>
                  </w:rPr>
                  <m:t>H</m:t>
                </m:r>
              </m:e>
            </m:acc>
          </m:e>
          <m:sub>
            <m:r>
              <w:rPr>
                <w:rFonts w:ascii="Cambria Math" w:hAnsi="Cambria Math" w:cs="Arial"/>
                <w:color w:val="000000" w:themeColor="text1"/>
                <w:szCs w:val="18"/>
                <w:lang w:val="it-IT"/>
              </w:rPr>
              <m:t>PRV</m:t>
            </m:r>
          </m:sub>
        </m:sSub>
      </m:oMath>
      <w:r w:rsidR="00DA5AC0" w:rsidRPr="00B77FD1">
        <w:rPr>
          <w:color w:val="000000" w:themeColor="text1"/>
          <w:szCs w:val="18"/>
          <w:lang w:val="en-GB"/>
        </w:rPr>
        <w:t>, respectively)</w:t>
      </w:r>
      <w:r w:rsidR="00DA5AC0" w:rsidRPr="00537E03">
        <w:rPr>
          <w:color w:val="000000" w:themeColor="text1"/>
          <w:lang w:val="en-GB"/>
        </w:rPr>
        <w:t>,</w:t>
      </w:r>
      <w:r w:rsidRPr="00537E03">
        <w:rPr>
          <w:color w:val="000000" w:themeColor="text1"/>
          <w:lang w:val="en-GB"/>
        </w:rPr>
        <w:t xml:space="preserve"> </w:t>
      </w:r>
      <w:r w:rsidR="00DA5AC0" w:rsidRPr="00537E03">
        <w:rPr>
          <w:color w:val="000000" w:themeColor="text1"/>
          <w:lang w:val="en-GB"/>
        </w:rPr>
        <w:t>are</w:t>
      </w:r>
      <w:r w:rsidRPr="00537E03">
        <w:rPr>
          <w:color w:val="000000" w:themeColor="text1"/>
          <w:lang w:val="en-GB"/>
        </w:rPr>
        <w:t xml:space="preserve"> calculated using Eq.</w:t>
      </w:r>
      <w:r w:rsidR="00DA5AC0" w:rsidRPr="00537E03">
        <w:rPr>
          <w:color w:val="000000" w:themeColor="text1"/>
          <w:lang w:val="en-GB"/>
        </w:rPr>
        <w:t xml:space="preserve"> (4)</w:t>
      </w:r>
      <w:r w:rsidRPr="00537E03">
        <w:rPr>
          <w:color w:val="000000" w:themeColor="text1"/>
          <w:lang w:val="en-GB"/>
        </w:rPr>
        <w:t xml:space="preserve"> </w:t>
      </w:r>
      <w:r w:rsidRPr="00537E03">
        <w:rPr>
          <w:noProof/>
          <w:color w:val="000000" w:themeColor="text1"/>
          <w:lang w:val="en-GB"/>
        </w:rPr>
        <w:t>(Van Den Bosh and Weterings, 2005)</w:t>
      </w:r>
      <w:r w:rsidRPr="00537E03">
        <w:rPr>
          <w:color w:val="000000" w:themeColor="text1"/>
          <w:lang w:val="en-GB"/>
        </w:rPr>
        <w:t>, assuming a vapor fraction of 1 in the outlet stream</w:t>
      </w:r>
      <w:r w:rsidR="00DA5AC0" w:rsidRPr="00537E03">
        <w:rPr>
          <w:color w:val="000000" w:themeColor="text1"/>
          <w:lang w:val="en-GB"/>
        </w:rPr>
        <w:t>.</w:t>
      </w:r>
      <w:r w:rsidR="00523F7B">
        <w:rPr>
          <w:color w:val="000000" w:themeColor="text1"/>
          <w:lang w:val="en-GB"/>
        </w:rPr>
        <w:t xml:space="preserve"> </w:t>
      </w:r>
      <w:r w:rsidRPr="002B65C6">
        <w:rPr>
          <w:color w:val="000000" w:themeColor="text1"/>
          <w:lang w:val="en-GB"/>
        </w:rPr>
        <w:t xml:space="preserve">The heat flux term </w:t>
      </w:r>
      <m:oMath>
        <m:sSub>
          <m:sSubPr>
            <m:ctrlPr>
              <w:rPr>
                <w:rFonts w:ascii="Cambria Math" w:hAnsi="Cambria Math"/>
                <w:i/>
                <w:color w:val="000000" w:themeColor="text1"/>
                <w:szCs w:val="18"/>
              </w:rPr>
            </m:ctrlPr>
          </m:sSubPr>
          <m:e>
            <m:r>
              <w:rPr>
                <w:rFonts w:ascii="Cambria Math" w:hAnsi="Cambria Math"/>
                <w:color w:val="000000" w:themeColor="text1"/>
                <w:szCs w:val="18"/>
              </w:rPr>
              <m:t>q</m:t>
            </m:r>
          </m:e>
          <m:sub>
            <m:r>
              <w:rPr>
                <w:rFonts w:ascii="Cambria Math" w:hAnsi="Cambria Math"/>
                <w:color w:val="000000" w:themeColor="text1"/>
                <w:szCs w:val="18"/>
              </w:rPr>
              <m:t>H2</m:t>
            </m:r>
          </m:sub>
        </m:sSub>
      </m:oMath>
      <w:r w:rsidR="002F47E8">
        <w:rPr>
          <w:rFonts w:ascii="Cambria Math" w:hAnsi="Cambria Math"/>
          <w:i/>
          <w:color w:val="000000" w:themeColor="text1"/>
          <w:szCs w:val="18"/>
        </w:rPr>
        <w:t xml:space="preserve"> </w:t>
      </w:r>
      <w:r w:rsidRPr="002B65C6">
        <w:rPr>
          <w:color w:val="000000" w:themeColor="text1"/>
          <w:lang w:val="en-GB"/>
        </w:rPr>
        <w:t xml:space="preserve">in the </w:t>
      </w:r>
      <w:r w:rsidRPr="00DA5AC0">
        <w:rPr>
          <w:color w:val="000000" w:themeColor="text1"/>
          <w:lang w:val="en-GB"/>
        </w:rPr>
        <w:t xml:space="preserve">energy balance (Eq. </w:t>
      </w:r>
      <w:r w:rsidR="00DA5AC0" w:rsidRPr="00DA5AC0">
        <w:rPr>
          <w:color w:val="000000" w:themeColor="text1"/>
          <w:lang w:val="en-GB"/>
        </w:rPr>
        <w:t>(2)</w:t>
      </w:r>
      <w:r w:rsidRPr="00DA5AC0">
        <w:rPr>
          <w:color w:val="000000" w:themeColor="text1"/>
          <w:lang w:val="en-GB"/>
        </w:rPr>
        <w:t xml:space="preserve">, Table 3) represents </w:t>
      </w:r>
      <w:r w:rsidRPr="002B65C6">
        <w:rPr>
          <w:color w:val="000000" w:themeColor="text1"/>
          <w:lang w:val="en-GB"/>
        </w:rPr>
        <w:t xml:space="preserve">the heat transfer from the inner shell and is calculated </w:t>
      </w:r>
      <w:r w:rsidRPr="00DA5AC0">
        <w:rPr>
          <w:color w:val="000000" w:themeColor="text1"/>
          <w:lang w:val="en-GB"/>
        </w:rPr>
        <w:t xml:space="preserve">using Eq. </w:t>
      </w:r>
      <w:r w:rsidR="00DA5AC0" w:rsidRPr="00DA5AC0">
        <w:rPr>
          <w:color w:val="000000" w:themeColor="text1"/>
          <w:lang w:val="en-GB"/>
        </w:rPr>
        <w:t>(6)</w:t>
      </w:r>
      <w:r w:rsidRPr="00DA5AC0">
        <w:rPr>
          <w:color w:val="000000" w:themeColor="text1"/>
          <w:lang w:val="en-GB"/>
        </w:rPr>
        <w:t xml:space="preserve"> (Table 3). </w:t>
      </w:r>
      <w:r w:rsidRPr="002B65C6">
        <w:rPr>
          <w:color w:val="000000" w:themeColor="text1"/>
          <w:lang w:val="en-GB"/>
        </w:rPr>
        <w:t xml:space="preserve">Here, </w:t>
      </w:r>
      <m:oMath>
        <m:sSub>
          <m:sSubPr>
            <m:ctrlPr>
              <w:rPr>
                <w:rFonts w:ascii="Cambria Math" w:hAnsi="Cambria Math"/>
                <w:i/>
                <w:color w:val="000000" w:themeColor="text1"/>
                <w:szCs w:val="18"/>
              </w:rPr>
            </m:ctrlPr>
          </m:sSubPr>
          <m:e>
            <m:r>
              <w:rPr>
                <w:rFonts w:ascii="Cambria Math" w:hAnsi="Cambria Math"/>
                <w:color w:val="000000" w:themeColor="text1"/>
                <w:szCs w:val="18"/>
              </w:rPr>
              <m:t>A</m:t>
            </m:r>
          </m:e>
          <m:sub>
            <m:r>
              <w:rPr>
                <w:rFonts w:ascii="Cambria Math" w:hAnsi="Cambria Math"/>
                <w:color w:val="000000" w:themeColor="text1"/>
                <w:szCs w:val="18"/>
              </w:rPr>
              <m:t>S</m:t>
            </m:r>
          </m:sub>
        </m:sSub>
      </m:oMath>
      <w:r w:rsidR="00643001">
        <w:rPr>
          <w:color w:val="000000" w:themeColor="text1"/>
          <w:lang w:val="en-GB"/>
        </w:rPr>
        <w:t xml:space="preserve"> and </w:t>
      </w:r>
      <m:oMath>
        <m:r>
          <w:rPr>
            <w:rFonts w:ascii="Cambria Math" w:hAnsi="Cambria Math"/>
            <w:color w:val="000000" w:themeColor="text1"/>
            <w:szCs w:val="18"/>
          </w:rPr>
          <m:t>h</m:t>
        </m:r>
      </m:oMath>
      <w:r w:rsidRPr="002B65C6">
        <w:rPr>
          <w:color w:val="000000" w:themeColor="text1"/>
          <w:lang w:val="en-GB"/>
        </w:rPr>
        <w:t xml:space="preserve"> represent the inner shell are</w:t>
      </w:r>
      <w:r w:rsidR="00643001">
        <w:rPr>
          <w:color w:val="000000" w:themeColor="text1"/>
          <w:lang w:val="en-GB"/>
        </w:rPr>
        <w:t>a</w:t>
      </w:r>
      <w:r w:rsidRPr="002B65C6">
        <w:rPr>
          <w:color w:val="000000" w:themeColor="text1"/>
          <w:lang w:val="en-GB"/>
        </w:rPr>
        <w:t xml:space="preserve"> and the heat transfer coefficient of the fluid in contact with the wall, respectively. </w:t>
      </w:r>
      <m:oMath>
        <m:r>
          <w:rPr>
            <w:rFonts w:ascii="Cambria Math" w:hAnsi="Cambria Math"/>
            <w:color w:val="000000" w:themeColor="text1"/>
            <w:szCs w:val="18"/>
          </w:rPr>
          <m:t>h</m:t>
        </m:r>
      </m:oMath>
      <w:r w:rsidRPr="002B65C6">
        <w:rPr>
          <w:color w:val="000000" w:themeColor="text1"/>
          <w:lang w:val="en-GB"/>
        </w:rPr>
        <w:t xml:space="preserve"> is </w:t>
      </w:r>
      <w:r w:rsidRPr="00DA5AC0">
        <w:rPr>
          <w:color w:val="000000" w:themeColor="text1"/>
          <w:lang w:val="en-GB"/>
        </w:rPr>
        <w:t xml:space="preserve">determined by Eq. </w:t>
      </w:r>
      <w:r w:rsidR="00DA5AC0" w:rsidRPr="00DA5AC0">
        <w:rPr>
          <w:color w:val="000000" w:themeColor="text1"/>
          <w:lang w:val="en-GB"/>
        </w:rPr>
        <w:t>(</w:t>
      </w:r>
      <w:r w:rsidR="00FA5B2C">
        <w:rPr>
          <w:color w:val="000000" w:themeColor="text1"/>
          <w:lang w:val="en-GB"/>
        </w:rPr>
        <w:t>6</w:t>
      </w:r>
      <w:r w:rsidR="00DA5AC0" w:rsidRPr="00DA5AC0">
        <w:rPr>
          <w:color w:val="000000" w:themeColor="text1"/>
          <w:lang w:val="en-GB"/>
        </w:rPr>
        <w:t>)</w:t>
      </w:r>
      <w:r w:rsidRPr="00DA5AC0">
        <w:rPr>
          <w:color w:val="000000" w:themeColor="text1"/>
          <w:lang w:val="en-GB"/>
        </w:rPr>
        <w:t xml:space="preserve"> (Table </w:t>
      </w:r>
      <w:r w:rsidR="00FA5B2C">
        <w:rPr>
          <w:color w:val="000000" w:themeColor="text1"/>
          <w:lang w:val="en-GB"/>
        </w:rPr>
        <w:t>1</w:t>
      </w:r>
      <w:r w:rsidRPr="00DA5AC0">
        <w:rPr>
          <w:color w:val="000000" w:themeColor="text1"/>
          <w:lang w:val="en-GB"/>
        </w:rPr>
        <w:t xml:space="preserve">) as </w:t>
      </w:r>
      <w:r w:rsidRPr="002B65C6">
        <w:rPr>
          <w:color w:val="000000" w:themeColor="text1"/>
          <w:lang w:val="en-GB"/>
        </w:rPr>
        <w:t xml:space="preserve">the </w:t>
      </w:r>
      <w:r w:rsidR="00206887">
        <w:rPr>
          <w:color w:val="000000" w:themeColor="text1"/>
          <w:lang w:val="en-GB"/>
        </w:rPr>
        <w:t xml:space="preserve">area-weighted </w:t>
      </w:r>
      <w:r w:rsidRPr="002B65C6">
        <w:rPr>
          <w:color w:val="000000" w:themeColor="text1"/>
          <w:lang w:val="en-GB"/>
        </w:rPr>
        <w:t>average</w:t>
      </w:r>
      <w:r w:rsidR="00DA5AC0">
        <w:rPr>
          <w:color w:val="000000" w:themeColor="text1"/>
          <w:lang w:val="en-GB"/>
        </w:rPr>
        <w:t xml:space="preserve"> value</w:t>
      </w:r>
      <w:r w:rsidRPr="002B65C6">
        <w:rPr>
          <w:color w:val="000000" w:themeColor="text1"/>
          <w:lang w:val="en-GB"/>
        </w:rPr>
        <w:t xml:space="preserve"> between the liquid hydrogen boiling heat transfer coefficient (</w:t>
      </w:r>
      <m:oMath>
        <m:sSub>
          <m:sSubPr>
            <m:ctrlPr>
              <w:rPr>
                <w:rFonts w:ascii="Cambria Math" w:hAnsi="Cambria Math"/>
                <w:i/>
                <w:color w:val="000000" w:themeColor="text1"/>
                <w:szCs w:val="18"/>
              </w:rPr>
            </m:ctrlPr>
          </m:sSubPr>
          <m:e>
            <m:r>
              <w:rPr>
                <w:rFonts w:ascii="Cambria Math" w:hAnsi="Cambria Math"/>
                <w:color w:val="000000" w:themeColor="text1"/>
                <w:szCs w:val="18"/>
              </w:rPr>
              <m:t>h</m:t>
            </m:r>
          </m:e>
          <m:sub>
            <m:r>
              <w:rPr>
                <w:rFonts w:ascii="Cambria Math" w:hAnsi="Cambria Math"/>
                <w:color w:val="000000" w:themeColor="text1"/>
                <w:szCs w:val="18"/>
              </w:rPr>
              <m:t>L</m:t>
            </m:r>
          </m:sub>
        </m:sSub>
      </m:oMath>
      <w:r w:rsidRPr="002B65C6">
        <w:rPr>
          <w:color w:val="000000" w:themeColor="text1"/>
          <w:lang w:val="en-GB"/>
        </w:rPr>
        <w:t>)</w:t>
      </w:r>
      <w:r w:rsidR="00643001">
        <w:rPr>
          <w:color w:val="000000" w:themeColor="text1"/>
          <w:lang w:val="en-GB"/>
        </w:rPr>
        <w:t xml:space="preserve"> </w:t>
      </w:r>
      <w:r w:rsidRPr="002B65C6">
        <w:rPr>
          <w:color w:val="000000" w:themeColor="text1"/>
          <w:lang w:val="en-GB"/>
        </w:rPr>
        <w:t>and the vapor-wall convective heat transfer coefficient (</w:t>
      </w:r>
      <m:oMath>
        <m:sSub>
          <m:sSubPr>
            <m:ctrlPr>
              <w:rPr>
                <w:rFonts w:ascii="Cambria Math" w:hAnsi="Cambria Math"/>
                <w:i/>
                <w:color w:val="000000" w:themeColor="text1"/>
                <w:szCs w:val="18"/>
              </w:rPr>
            </m:ctrlPr>
          </m:sSubPr>
          <m:e>
            <m:r>
              <w:rPr>
                <w:rFonts w:ascii="Cambria Math" w:hAnsi="Cambria Math"/>
                <w:color w:val="000000" w:themeColor="text1"/>
                <w:szCs w:val="18"/>
              </w:rPr>
              <m:t>h</m:t>
            </m:r>
          </m:e>
          <m:sub>
            <m:r>
              <w:rPr>
                <w:rFonts w:ascii="Cambria Math" w:hAnsi="Cambria Math"/>
                <w:color w:val="000000" w:themeColor="text1"/>
                <w:szCs w:val="18"/>
              </w:rPr>
              <m:t>V</m:t>
            </m:r>
          </m:sub>
        </m:sSub>
      </m:oMath>
      <w:r w:rsidRPr="002B65C6">
        <w:rPr>
          <w:color w:val="000000" w:themeColor="text1"/>
          <w:lang w:val="en-GB"/>
        </w:rPr>
        <w:t xml:space="preserve">). The value of </w:t>
      </w:r>
      <m:oMath>
        <m:sSub>
          <m:sSubPr>
            <m:ctrlPr>
              <w:rPr>
                <w:rFonts w:ascii="Cambria Math" w:hAnsi="Cambria Math"/>
                <w:i/>
                <w:color w:val="000000" w:themeColor="text1"/>
                <w:szCs w:val="18"/>
              </w:rPr>
            </m:ctrlPr>
          </m:sSubPr>
          <m:e>
            <m:r>
              <w:rPr>
                <w:rFonts w:ascii="Cambria Math" w:hAnsi="Cambria Math"/>
                <w:color w:val="000000" w:themeColor="text1"/>
                <w:szCs w:val="18"/>
              </w:rPr>
              <m:t>h</m:t>
            </m:r>
          </m:e>
          <m:sub>
            <m:r>
              <w:rPr>
                <w:rFonts w:ascii="Cambria Math" w:hAnsi="Cambria Math"/>
                <w:color w:val="000000" w:themeColor="text1"/>
                <w:szCs w:val="18"/>
              </w:rPr>
              <m:t>L</m:t>
            </m:r>
          </m:sub>
        </m:sSub>
      </m:oMath>
      <w:r w:rsidR="008109C4">
        <w:rPr>
          <w:color w:val="000000" w:themeColor="text1"/>
          <w:szCs w:val="18"/>
        </w:rPr>
        <w:t xml:space="preserve"> </w:t>
      </w:r>
      <w:r w:rsidRPr="002B65C6">
        <w:rPr>
          <w:color w:val="000000" w:themeColor="text1"/>
          <w:lang w:val="en-GB"/>
        </w:rPr>
        <w:t>is estimated from correlations by</w:t>
      </w:r>
      <w:r w:rsidR="00643001">
        <w:rPr>
          <w:color w:val="000000" w:themeColor="text1"/>
          <w:lang w:val="en-GB"/>
        </w:rPr>
        <w:t xml:space="preserve"> </w:t>
      </w:r>
      <w:r w:rsidR="00643001" w:rsidRPr="00643001">
        <w:rPr>
          <w:noProof/>
          <w:color w:val="000000" w:themeColor="text1"/>
          <w:lang w:val="en-GB"/>
        </w:rPr>
        <w:t xml:space="preserve">Wang et al. </w:t>
      </w:r>
      <w:r w:rsidR="00643001">
        <w:rPr>
          <w:noProof/>
          <w:color w:val="000000" w:themeColor="text1"/>
          <w:lang w:val="en-GB"/>
        </w:rPr>
        <w:t>(</w:t>
      </w:r>
      <w:r w:rsidR="00643001" w:rsidRPr="00643001">
        <w:rPr>
          <w:noProof/>
          <w:color w:val="000000" w:themeColor="text1"/>
          <w:lang w:val="en-GB"/>
        </w:rPr>
        <w:t>2016</w:t>
      </w:r>
      <w:r w:rsidR="00643001">
        <w:rPr>
          <w:color w:val="000000" w:themeColor="text1"/>
          <w:lang w:val="en-GB"/>
        </w:rPr>
        <w:t>)</w:t>
      </w:r>
      <w:r w:rsidRPr="002B65C6">
        <w:rPr>
          <w:color w:val="000000" w:themeColor="text1"/>
          <w:lang w:val="en-GB"/>
        </w:rPr>
        <w:t xml:space="preserve"> for different regions of the boiling curve, while </w:t>
      </w:r>
      <m:oMath>
        <m:sSub>
          <m:sSubPr>
            <m:ctrlPr>
              <w:rPr>
                <w:rFonts w:ascii="Cambria Math" w:hAnsi="Cambria Math"/>
                <w:i/>
                <w:color w:val="000000" w:themeColor="text1"/>
                <w:szCs w:val="18"/>
              </w:rPr>
            </m:ctrlPr>
          </m:sSubPr>
          <m:e>
            <m:r>
              <w:rPr>
                <w:rFonts w:ascii="Cambria Math" w:hAnsi="Cambria Math"/>
                <w:color w:val="000000" w:themeColor="text1"/>
                <w:szCs w:val="18"/>
              </w:rPr>
              <m:t>h</m:t>
            </m:r>
          </m:e>
          <m:sub>
            <m:r>
              <w:rPr>
                <w:rFonts w:ascii="Cambria Math" w:hAnsi="Cambria Math"/>
                <w:color w:val="000000" w:themeColor="text1"/>
                <w:szCs w:val="18"/>
              </w:rPr>
              <m:t>V</m:t>
            </m:r>
          </m:sub>
        </m:sSub>
      </m:oMath>
      <w:r w:rsidRPr="002B65C6">
        <w:rPr>
          <w:color w:val="000000" w:themeColor="text1"/>
          <w:lang w:val="en-GB"/>
        </w:rPr>
        <w:t xml:space="preserve"> is </w:t>
      </w:r>
      <w:r w:rsidR="00DA5AC0">
        <w:rPr>
          <w:color w:val="000000" w:themeColor="text1"/>
          <w:lang w:val="en-GB"/>
        </w:rPr>
        <w:t>retrieved</w:t>
      </w:r>
      <w:r w:rsidRPr="002B65C6">
        <w:rPr>
          <w:color w:val="000000" w:themeColor="text1"/>
          <w:lang w:val="en-GB"/>
        </w:rPr>
        <w:t xml:space="preserve"> </w:t>
      </w:r>
      <w:r w:rsidR="00DA5AC0">
        <w:rPr>
          <w:color w:val="000000" w:themeColor="text1"/>
          <w:lang w:val="en-GB"/>
        </w:rPr>
        <w:t>from</w:t>
      </w:r>
      <w:r w:rsidR="00643001">
        <w:rPr>
          <w:color w:val="000000" w:themeColor="text1"/>
          <w:lang w:val="en-GB"/>
        </w:rPr>
        <w:t xml:space="preserve"> </w:t>
      </w:r>
      <w:r w:rsidR="00643001" w:rsidRPr="00643001">
        <w:rPr>
          <w:noProof/>
          <w:color w:val="000000" w:themeColor="text1"/>
          <w:lang w:val="en-GB"/>
        </w:rPr>
        <w:t xml:space="preserve">Churchill and Usagi, </w:t>
      </w:r>
      <w:r w:rsidR="00DA5AC0">
        <w:rPr>
          <w:noProof/>
          <w:color w:val="000000" w:themeColor="text1"/>
          <w:lang w:val="en-GB"/>
        </w:rPr>
        <w:t>(</w:t>
      </w:r>
      <w:r w:rsidR="00643001" w:rsidRPr="00643001">
        <w:rPr>
          <w:noProof/>
          <w:color w:val="000000" w:themeColor="text1"/>
          <w:lang w:val="en-GB"/>
        </w:rPr>
        <w:t>1972)</w:t>
      </w:r>
      <w:r w:rsidRPr="002B65C6">
        <w:rPr>
          <w:color w:val="000000" w:themeColor="text1"/>
          <w:lang w:val="en-GB"/>
        </w:rPr>
        <w:t>.</w:t>
      </w:r>
      <w:r w:rsidR="00643001" w:rsidRPr="00643001">
        <w:rPr>
          <w:color w:val="000000" w:themeColor="text1"/>
          <w:lang w:val="en-GB"/>
        </w:rPr>
        <w:t xml:space="preserve"> </w:t>
      </w:r>
      <w:r w:rsidR="00643001" w:rsidRPr="002B65C6">
        <w:rPr>
          <w:color w:val="000000" w:themeColor="text1"/>
          <w:lang w:val="en-GB"/>
        </w:rPr>
        <w:t xml:space="preserve">These coefficients are weighted by the tank wall </w:t>
      </w:r>
      <w:r w:rsidR="00206887">
        <w:rPr>
          <w:color w:val="000000" w:themeColor="text1"/>
          <w:lang w:val="en-GB"/>
        </w:rPr>
        <w:t xml:space="preserve">surface </w:t>
      </w:r>
      <w:r w:rsidR="00643001" w:rsidRPr="002B65C6">
        <w:rPr>
          <w:color w:val="000000" w:themeColor="text1"/>
          <w:lang w:val="en-GB"/>
        </w:rPr>
        <w:t>areas in contact with liquid (</w:t>
      </w:r>
      <m:oMath>
        <m:sSub>
          <m:sSubPr>
            <m:ctrlPr>
              <w:rPr>
                <w:rFonts w:ascii="Cambria Math" w:hAnsi="Cambria Math"/>
                <w:i/>
                <w:color w:val="000000" w:themeColor="text1"/>
                <w:szCs w:val="18"/>
              </w:rPr>
            </m:ctrlPr>
          </m:sSubPr>
          <m:e>
            <m:r>
              <w:rPr>
                <w:rFonts w:ascii="Cambria Math" w:hAnsi="Cambria Math"/>
                <w:color w:val="000000" w:themeColor="text1"/>
                <w:szCs w:val="18"/>
              </w:rPr>
              <m:t>A</m:t>
            </m:r>
          </m:e>
          <m:sub>
            <m:r>
              <w:rPr>
                <w:rFonts w:ascii="Cambria Math" w:hAnsi="Cambria Math"/>
                <w:color w:val="000000" w:themeColor="text1"/>
                <w:szCs w:val="18"/>
              </w:rPr>
              <m:t>L</m:t>
            </m:r>
          </m:sub>
        </m:sSub>
      </m:oMath>
      <w:r w:rsidR="00643001" w:rsidRPr="002B65C6">
        <w:rPr>
          <w:color w:val="000000" w:themeColor="text1"/>
          <w:lang w:val="en-GB"/>
        </w:rPr>
        <w:t>) and vapor (</w:t>
      </w:r>
      <m:oMath>
        <m:sSub>
          <m:sSubPr>
            <m:ctrlPr>
              <w:rPr>
                <w:rFonts w:ascii="Cambria Math" w:hAnsi="Cambria Math"/>
                <w:i/>
                <w:color w:val="000000" w:themeColor="text1"/>
                <w:szCs w:val="18"/>
              </w:rPr>
            </m:ctrlPr>
          </m:sSubPr>
          <m:e>
            <m:r>
              <w:rPr>
                <w:rFonts w:ascii="Cambria Math" w:hAnsi="Cambria Math"/>
                <w:color w:val="000000" w:themeColor="text1"/>
                <w:szCs w:val="18"/>
              </w:rPr>
              <m:t>A</m:t>
            </m:r>
          </m:e>
          <m:sub>
            <m:r>
              <w:rPr>
                <w:rFonts w:ascii="Cambria Math" w:hAnsi="Cambria Math"/>
                <w:color w:val="000000" w:themeColor="text1"/>
                <w:szCs w:val="18"/>
              </w:rPr>
              <m:t>V</m:t>
            </m:r>
          </m:sub>
        </m:sSub>
      </m:oMath>
      <w:r w:rsidR="00643001" w:rsidRPr="002B65C6">
        <w:rPr>
          <w:color w:val="000000" w:themeColor="text1"/>
          <w:lang w:val="en-GB"/>
        </w:rPr>
        <w:t>) phases</w:t>
      </w:r>
      <w:r w:rsidR="00DA5AC0">
        <w:rPr>
          <w:color w:val="000000" w:themeColor="text1"/>
          <w:lang w:val="en-GB"/>
        </w:rPr>
        <w:t xml:space="preserve">, </w:t>
      </w:r>
      <w:r w:rsidR="00DA5AC0">
        <w:rPr>
          <w:color w:val="000000" w:themeColor="text1"/>
          <w:lang w:val="en-GB"/>
        </w:rPr>
        <w:lastRenderedPageBreak/>
        <w:t>respectively</w:t>
      </w:r>
      <w:r w:rsidR="00643001" w:rsidRPr="002B65C6">
        <w:rPr>
          <w:color w:val="000000" w:themeColor="text1"/>
          <w:lang w:val="en-GB"/>
        </w:rPr>
        <w:t>.</w:t>
      </w:r>
      <w:r w:rsidR="00DA5AC0">
        <w:rPr>
          <w:color w:val="000000" w:themeColor="text1"/>
          <w:lang w:val="en-GB"/>
        </w:rPr>
        <w:t xml:space="preserve"> </w:t>
      </w:r>
      <w:r w:rsidRPr="002B65C6">
        <w:rPr>
          <w:color w:val="000000" w:themeColor="text1"/>
          <w:lang w:val="en-GB"/>
        </w:rPr>
        <w:t>Hydrogen thermodynamic properties are obtained from the “</w:t>
      </w:r>
      <w:proofErr w:type="spellStart"/>
      <w:r w:rsidRPr="002B65C6">
        <w:rPr>
          <w:color w:val="000000" w:themeColor="text1"/>
          <w:lang w:val="en-GB"/>
        </w:rPr>
        <w:t>CoolProp</w:t>
      </w:r>
      <w:proofErr w:type="spellEnd"/>
      <w:r w:rsidRPr="002B65C6">
        <w:rPr>
          <w:color w:val="000000" w:themeColor="text1"/>
          <w:lang w:val="en-GB"/>
        </w:rPr>
        <w:t xml:space="preserve">” database </w:t>
      </w:r>
      <w:r w:rsidR="00643001" w:rsidRPr="00643001">
        <w:rPr>
          <w:noProof/>
          <w:color w:val="000000" w:themeColor="text1"/>
          <w:lang w:val="en-GB"/>
        </w:rPr>
        <w:t>(Bell et al., 2014)</w:t>
      </w:r>
      <w:r w:rsidRPr="002B65C6">
        <w:rPr>
          <w:color w:val="000000" w:themeColor="text1"/>
          <w:lang w:val="en-GB"/>
        </w:rPr>
        <w:t>. After determining the specific internal energy (</w:t>
      </w:r>
      <w:r w:rsidRPr="00643001">
        <w:rPr>
          <w:i/>
          <w:color w:val="000000" w:themeColor="text1"/>
          <w:lang w:val="en-GB"/>
        </w:rPr>
        <w:t>Û</w:t>
      </w:r>
      <w:r w:rsidRPr="00643001">
        <w:rPr>
          <w:i/>
          <w:color w:val="000000" w:themeColor="text1"/>
          <w:vertAlign w:val="subscript"/>
          <w:lang w:val="en-GB"/>
        </w:rPr>
        <w:t>H2</w:t>
      </w:r>
      <w:r w:rsidRPr="002B65C6">
        <w:rPr>
          <w:color w:val="000000" w:themeColor="text1"/>
          <w:lang w:val="en-GB"/>
        </w:rPr>
        <w:t>) and the hydrogen mass (</w:t>
      </w:r>
      <w:r w:rsidRPr="00643001">
        <w:rPr>
          <w:i/>
          <w:color w:val="000000" w:themeColor="text1"/>
          <w:lang w:val="en-GB"/>
        </w:rPr>
        <w:t>m</w:t>
      </w:r>
      <w:r w:rsidRPr="00643001">
        <w:rPr>
          <w:i/>
          <w:color w:val="000000" w:themeColor="text1"/>
          <w:vertAlign w:val="subscript"/>
          <w:lang w:val="en-GB"/>
        </w:rPr>
        <w:t>H2</w:t>
      </w:r>
      <w:r w:rsidRPr="002B65C6">
        <w:rPr>
          <w:color w:val="000000" w:themeColor="text1"/>
          <w:lang w:val="en-GB"/>
        </w:rPr>
        <w:t>) from the energy and mass balances, the tank pressure (</w:t>
      </w:r>
      <w:r w:rsidRPr="00643001">
        <w:rPr>
          <w:i/>
          <w:color w:val="000000" w:themeColor="text1"/>
          <w:lang w:val="en-GB"/>
        </w:rPr>
        <w:t>P</w:t>
      </w:r>
      <w:r w:rsidRPr="002B65C6">
        <w:rPr>
          <w:color w:val="000000" w:themeColor="text1"/>
          <w:lang w:val="en-GB"/>
        </w:rPr>
        <w:t>) is calculated based on an equation of state specifically developed for hydrogen and implemented in the database.</w:t>
      </w:r>
      <w:r w:rsidR="00523F7B">
        <w:rPr>
          <w:color w:val="000000" w:themeColor="text1"/>
          <w:lang w:val="en-GB"/>
        </w:rPr>
        <w:t xml:space="preserve"> </w:t>
      </w:r>
      <w:r w:rsidR="00A20CAE">
        <w:t>The fire boundary condition is defined assuming a full engulfment scenario. The heat flux entering the external w</w:t>
      </w:r>
      <w:r w:rsidR="00A20CAE" w:rsidRPr="00537E03">
        <w:t>all of the thank,</w:t>
      </w:r>
      <m:oMath>
        <m:r>
          <w:rPr>
            <w:rFonts w:ascii="Cambria Math" w:hAnsi="Cambria Math"/>
          </w:rPr>
          <m:t xml:space="preserve"> </m:t>
        </m:r>
        <m:sSub>
          <m:sSubPr>
            <m:ctrlPr>
              <w:rPr>
                <w:rFonts w:ascii="Cambria Math" w:hAnsi="Cambria Math"/>
              </w:rPr>
            </m:ctrlPr>
          </m:sSubPr>
          <m:e>
            <m:r>
              <w:rPr>
                <w:rFonts w:ascii="Cambria Math" w:hAnsi="Cambria Math"/>
              </w:rPr>
              <m:t>q</m:t>
            </m:r>
          </m:e>
          <m:sub>
            <m:r>
              <w:rPr>
                <w:rFonts w:ascii="Cambria Math" w:hAnsi="Cambria Math"/>
              </w:rPr>
              <m:t>f</m:t>
            </m:r>
          </m:sub>
        </m:sSub>
      </m:oMath>
      <w:r w:rsidR="00A20CAE" w:rsidRPr="00537E03">
        <w:rPr>
          <w:rFonts w:eastAsiaTheme="minorEastAsia"/>
        </w:rPr>
        <w:t xml:space="preserve">, is computed at each time step according to Eqs. </w:t>
      </w:r>
      <w:r w:rsidR="00DA5AC0" w:rsidRPr="00537E03">
        <w:rPr>
          <w:rFonts w:eastAsiaTheme="minorEastAsia"/>
        </w:rPr>
        <w:t>(8) to (10)</w:t>
      </w:r>
      <w:r w:rsidR="00A20CAE" w:rsidRPr="00537E03">
        <w:rPr>
          <w:rFonts w:eastAsiaTheme="minorEastAsia"/>
        </w:rPr>
        <w:t xml:space="preserve">, </w:t>
      </w:r>
      <w:r w:rsidR="00A20CAE" w:rsidRPr="00537E03">
        <w:t xml:space="preserve">where </w:t>
      </w:r>
      <m:oMath>
        <m:sSub>
          <m:sSubPr>
            <m:ctrlPr>
              <w:rPr>
                <w:rFonts w:ascii="Cambria Math" w:hAnsi="Cambria Math"/>
              </w:rPr>
            </m:ctrlPr>
          </m:sSubPr>
          <m:e>
            <m:r>
              <w:rPr>
                <w:rFonts w:ascii="Cambria Math" w:hAnsi="Cambria Math"/>
              </w:rPr>
              <m:t>q</m:t>
            </m:r>
          </m:e>
          <m:sub>
            <m:r>
              <w:rPr>
                <w:rFonts w:ascii="Cambria Math" w:hAnsi="Cambria Math"/>
              </w:rPr>
              <m:t>rad</m:t>
            </m:r>
            <m:r>
              <m:rPr>
                <m:sty m:val="p"/>
              </m:rPr>
              <w:rPr>
                <w:rFonts w:ascii="Cambria Math" w:hAnsi="Cambria Math"/>
              </w:rPr>
              <m:t>,</m:t>
            </m:r>
            <m:r>
              <w:rPr>
                <w:rFonts w:ascii="Cambria Math" w:hAnsi="Cambria Math"/>
              </w:rPr>
              <m:t>f</m:t>
            </m:r>
          </m:sub>
        </m:sSub>
      </m:oMath>
      <w:r w:rsidR="00A20CAE" w:rsidRPr="00537E03">
        <w:t xml:space="preserve"> and </w:t>
      </w:r>
      <m:oMath>
        <m:sSub>
          <m:sSubPr>
            <m:ctrlPr>
              <w:rPr>
                <w:rFonts w:ascii="Cambria Math" w:hAnsi="Cambria Math"/>
              </w:rPr>
            </m:ctrlPr>
          </m:sSubPr>
          <m:e>
            <m:r>
              <w:rPr>
                <w:rFonts w:ascii="Cambria Math" w:hAnsi="Cambria Math"/>
              </w:rPr>
              <m:t>q</m:t>
            </m:r>
          </m:e>
          <m:sub>
            <m:r>
              <w:rPr>
                <w:rFonts w:ascii="Cambria Math" w:hAnsi="Cambria Math"/>
              </w:rPr>
              <m:t>conv</m:t>
            </m:r>
            <m:r>
              <m:rPr>
                <m:sty m:val="p"/>
              </m:rPr>
              <w:rPr>
                <w:rFonts w:ascii="Cambria Math" w:hAnsi="Cambria Math"/>
              </w:rPr>
              <m:t>,</m:t>
            </m:r>
            <m:r>
              <w:rPr>
                <w:rFonts w:ascii="Cambria Math" w:hAnsi="Cambria Math"/>
              </w:rPr>
              <m:t>f</m:t>
            </m:r>
          </m:sub>
        </m:sSub>
      </m:oMath>
      <w:r w:rsidR="00A20CAE" w:rsidRPr="00537E03">
        <w:t xml:space="preserve"> represent the fire radiative and convective heat fluxes, </w:t>
      </w:r>
      <m:oMath>
        <m:sSub>
          <m:sSubPr>
            <m:ctrlPr>
              <w:rPr>
                <w:rFonts w:ascii="Cambria Math" w:hAnsi="Cambria Math"/>
              </w:rPr>
            </m:ctrlPr>
          </m:sSubPr>
          <m:e>
            <m:r>
              <w:rPr>
                <w:rFonts w:ascii="Cambria Math" w:hAnsi="Cambria Math"/>
              </w:rPr>
              <m:t>ε</m:t>
            </m:r>
          </m:e>
          <m:sub>
            <m:r>
              <w:rPr>
                <w:rFonts w:ascii="Cambria Math" w:hAnsi="Cambria Math"/>
              </w:rPr>
              <m:t>f</m:t>
            </m:r>
          </m:sub>
        </m:sSub>
      </m:oMath>
      <w:r w:rsidR="00A20CAE" w:rsidRPr="00537E03">
        <w:rPr>
          <w:rFonts w:eastAsiaTheme="minorEastAsia"/>
        </w:rPr>
        <w:t xml:space="preserve"> is</w:t>
      </w:r>
      <w:r w:rsidR="00A20CAE" w:rsidRPr="00537E03">
        <w:t xml:space="preserve"> the flame emissivity (here assumed equal to 1), </w:t>
      </w:r>
      <m:oMath>
        <m:sSub>
          <m:sSubPr>
            <m:ctrlPr>
              <w:rPr>
                <w:rFonts w:ascii="Cambria Math" w:hAnsi="Cambria Math"/>
              </w:rPr>
            </m:ctrlPr>
          </m:sSubPr>
          <m:e>
            <m:r>
              <w:rPr>
                <w:rFonts w:ascii="Cambria Math" w:eastAsia="Calibri" w:hAnsi="Cambria Math"/>
              </w:rPr>
              <m:t>T</m:t>
            </m:r>
          </m:e>
          <m:sub>
            <m:r>
              <w:rPr>
                <w:rFonts w:ascii="Cambria Math" w:eastAsia="Calibri" w:hAnsi="Cambria Math"/>
              </w:rPr>
              <m:t>f</m:t>
            </m:r>
          </m:sub>
        </m:sSub>
      </m:oMath>
      <w:r w:rsidR="00A20CAE" w:rsidRPr="00537E03">
        <w:t xml:space="preserve"> and </w:t>
      </w:r>
      <m:oMath>
        <m:sSub>
          <m:sSubPr>
            <m:ctrlPr>
              <w:rPr>
                <w:rFonts w:ascii="Cambria Math" w:hAnsi="Cambria Math"/>
              </w:rPr>
            </m:ctrlPr>
          </m:sSubPr>
          <m:e>
            <m:r>
              <w:rPr>
                <w:rFonts w:ascii="Cambria Math" w:eastAsia="Calibri" w:hAnsi="Cambria Math"/>
              </w:rPr>
              <m:t>T</m:t>
            </m:r>
          </m:e>
          <m:sub>
            <m:r>
              <w:rPr>
                <w:rFonts w:ascii="Cambria Math" w:eastAsia="Calibri" w:hAnsi="Cambria Math"/>
              </w:rPr>
              <m:t>Se</m:t>
            </m:r>
          </m:sub>
        </m:sSub>
      </m:oMath>
      <w:r w:rsidR="00A20CAE" w:rsidRPr="00537E03">
        <w:t xml:space="preserve"> are the flame and</w:t>
      </w:r>
      <w:r w:rsidR="00A20CAE" w:rsidRPr="00537E03">
        <w:rPr>
          <w:rFonts w:eastAsiaTheme="minorEastAsia"/>
        </w:rPr>
        <w:t xml:space="preserve"> external shell temperatures</w:t>
      </w:r>
      <w:r w:rsidR="00537E03">
        <w:rPr>
          <w:rFonts w:eastAsiaTheme="minorEastAsia"/>
        </w:rPr>
        <w:t>,</w:t>
      </w:r>
      <w:r w:rsidR="00A20CAE" w:rsidRPr="00537E03">
        <w:t xml:space="preserve"> </w:t>
      </w:r>
      <m:oMath>
        <m:sSub>
          <m:sSubPr>
            <m:ctrlPr>
              <w:rPr>
                <w:rFonts w:ascii="Cambria Math" w:hAnsi="Cambria Math"/>
              </w:rPr>
            </m:ctrlPr>
          </m:sSubPr>
          <m:e>
            <m:r>
              <w:rPr>
                <w:rFonts w:ascii="Cambria Math" w:eastAsia="Calibri" w:hAnsi="Cambria Math"/>
              </w:rPr>
              <m:t>ε</m:t>
            </m:r>
          </m:e>
          <m:sub>
            <m:r>
              <w:rPr>
                <w:rFonts w:ascii="Cambria Math" w:eastAsia="Calibri" w:hAnsi="Cambria Math"/>
              </w:rPr>
              <m:t>Se,out</m:t>
            </m:r>
          </m:sub>
        </m:sSub>
      </m:oMath>
      <w:r w:rsidR="00A20CAE" w:rsidRPr="00537E03">
        <w:t xml:space="preserve"> is the emissivity of the external wall on the side facing the fire</w:t>
      </w:r>
      <w:r w:rsidR="0076286F">
        <w:t xml:space="preserve"> (</w:t>
      </w:r>
      <w:r w:rsidR="00957561" w:rsidRPr="00537E03">
        <w:t xml:space="preserve">here assumed equal to </w:t>
      </w:r>
      <w:r w:rsidR="00957561">
        <w:t>0.9</w:t>
      </w:r>
      <w:r w:rsidR="0076286F">
        <w:t>)</w:t>
      </w:r>
      <w:r w:rsidR="00A20CAE" w:rsidRPr="00537E03">
        <w:t xml:space="preserve">, </w:t>
      </w:r>
      <m:oMath>
        <m:sSub>
          <m:sSubPr>
            <m:ctrlPr>
              <w:rPr>
                <w:rFonts w:ascii="Cambria Math" w:hAnsi="Cambria Math"/>
              </w:rPr>
            </m:ctrlPr>
          </m:sSubPr>
          <m:e>
            <m:r>
              <w:rPr>
                <w:rFonts w:ascii="Cambria Math" w:eastAsia="Calibri" w:hAnsi="Cambria Math"/>
              </w:rPr>
              <m:t>h</m:t>
            </m:r>
          </m:e>
          <m:sub>
            <m:r>
              <w:rPr>
                <w:rFonts w:ascii="Cambria Math" w:eastAsia="Calibri" w:hAnsi="Cambria Math"/>
              </w:rPr>
              <m:t>f</m:t>
            </m:r>
          </m:sub>
        </m:sSub>
      </m:oMath>
      <w:r w:rsidR="00A20CAE" w:rsidRPr="00537E03">
        <w:t xml:space="preserve"> is the fire convective heat transfer coefficient</w:t>
      </w:r>
      <w:r w:rsidR="0076286F">
        <w:t xml:space="preserve"> (assumed as equal to 10 W</w:t>
      </w:r>
      <w:r w:rsidR="00470B2C">
        <w:rPr>
          <w:rFonts w:ascii="Calibri" w:hAnsi="Calibri" w:cs="Calibri"/>
        </w:rPr>
        <w:t>·</w:t>
      </w:r>
      <w:r w:rsidR="0076286F">
        <w:t>m</w:t>
      </w:r>
      <w:r w:rsidR="00470B2C" w:rsidRPr="00470B2C">
        <w:rPr>
          <w:vertAlign w:val="superscript"/>
        </w:rPr>
        <w:t>-</w:t>
      </w:r>
      <w:r w:rsidR="0076286F" w:rsidRPr="0076286F">
        <w:rPr>
          <w:vertAlign w:val="superscript"/>
        </w:rPr>
        <w:t>2</w:t>
      </w:r>
      <w:r w:rsidR="0076286F">
        <w:rPr>
          <w:rFonts w:ascii="Calibri" w:hAnsi="Calibri" w:cs="Calibri"/>
        </w:rPr>
        <w:t>·</w:t>
      </w:r>
      <w:r w:rsidR="0076286F">
        <w:t>K</w:t>
      </w:r>
      <w:r w:rsidR="00470B2C">
        <w:rPr>
          <w:vertAlign w:val="superscript"/>
        </w:rPr>
        <w:t>-1</w:t>
      </w:r>
      <w:r w:rsidR="0076286F">
        <w:t>)</w:t>
      </w:r>
      <w:r w:rsidR="00470B2C">
        <w:t xml:space="preserve">, and </w:t>
      </w:r>
      <m:oMath>
        <m:r>
          <w:rPr>
            <w:rFonts w:ascii="Cambria Math" w:hAnsi="Cambria Math"/>
          </w:rPr>
          <m:t>σ</m:t>
        </m:r>
      </m:oMath>
      <w:r w:rsidR="00470B2C">
        <w:t xml:space="preserve"> is the Stefan-Boltzman</w:t>
      </w:r>
      <w:r w:rsidR="00A13AE6">
        <w:t>n</w:t>
      </w:r>
      <w:r w:rsidR="00470B2C">
        <w:t xml:space="preserve"> constant (5.67</w:t>
      </w:r>
      <w:r w:rsidR="00470B2C">
        <w:rPr>
          <w:rFonts w:ascii="Calibri" w:hAnsi="Calibri" w:cs="Calibri"/>
        </w:rPr>
        <w:t>·</w:t>
      </w:r>
      <w:r w:rsidR="00470B2C">
        <w:rPr>
          <w:rFonts w:cs="Arial"/>
        </w:rPr>
        <w:t>10</w:t>
      </w:r>
      <w:r w:rsidR="00A13AE6" w:rsidRPr="00A13AE6">
        <w:rPr>
          <w:rFonts w:cs="Arial"/>
          <w:vertAlign w:val="superscript"/>
        </w:rPr>
        <w:t>-8</w:t>
      </w:r>
      <w:r w:rsidR="00A13AE6">
        <w:rPr>
          <w:rFonts w:cs="Arial"/>
        </w:rPr>
        <w:t xml:space="preserve"> </w:t>
      </w:r>
      <w:r w:rsidR="00A13AE6">
        <w:t>W</w:t>
      </w:r>
      <w:r w:rsidR="00A13AE6">
        <w:rPr>
          <w:rFonts w:ascii="Calibri" w:hAnsi="Calibri" w:cs="Calibri"/>
        </w:rPr>
        <w:t>·</w:t>
      </w:r>
      <w:r w:rsidR="00A13AE6">
        <w:t>m</w:t>
      </w:r>
      <w:r w:rsidR="00A13AE6" w:rsidRPr="00470B2C">
        <w:rPr>
          <w:vertAlign w:val="superscript"/>
        </w:rPr>
        <w:t>-</w:t>
      </w:r>
      <w:r w:rsidR="00A13AE6" w:rsidRPr="0076286F">
        <w:rPr>
          <w:vertAlign w:val="superscript"/>
        </w:rPr>
        <w:t>2</w:t>
      </w:r>
      <w:r w:rsidR="00A13AE6">
        <w:rPr>
          <w:rFonts w:ascii="Calibri" w:hAnsi="Calibri" w:cs="Calibri"/>
        </w:rPr>
        <w:t>·</w:t>
      </w:r>
      <w:r w:rsidR="00A13AE6">
        <w:t>K</w:t>
      </w:r>
      <w:r w:rsidR="00A13AE6">
        <w:rPr>
          <w:vertAlign w:val="superscript"/>
        </w:rPr>
        <w:t>-4</w:t>
      </w:r>
      <w:r w:rsidR="00A13AE6">
        <w:t>).</w:t>
      </w: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7"/>
        <w:gridCol w:w="850"/>
      </w:tblGrid>
      <w:tr w:rsidR="00A20CAE" w:rsidRPr="00F6322E" w14:paraId="7018F441" w14:textId="77777777" w:rsidTr="00F6322E">
        <w:tc>
          <w:tcPr>
            <w:tcW w:w="8227" w:type="dxa"/>
            <w:hideMark/>
          </w:tcPr>
          <w:p w14:paraId="5F6C2D20" w14:textId="77777777" w:rsidR="00A20CAE" w:rsidRPr="00F6322E" w:rsidRDefault="00937153" w:rsidP="00F6322E">
            <w:pPr>
              <w:pStyle w:val="CETEquation"/>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rad</m:t>
                    </m:r>
                    <m:r>
                      <m:rPr>
                        <m:sty m:val="p"/>
                      </m:rPr>
                      <w:rPr>
                        <w:rFonts w:ascii="Cambria Math" w:hAnsi="Cambria Math"/>
                      </w:rPr>
                      <m:t>,</m:t>
                    </m:r>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conv</m:t>
                    </m:r>
                    <m:r>
                      <m:rPr>
                        <m:sty m:val="p"/>
                      </m:rPr>
                      <w:rPr>
                        <w:rFonts w:ascii="Cambria Math" w:hAnsi="Cambria Math"/>
                      </w:rPr>
                      <m:t>,</m:t>
                    </m:r>
                    <m:r>
                      <w:rPr>
                        <w:rFonts w:ascii="Cambria Math" w:hAnsi="Cambria Math"/>
                      </w:rPr>
                      <m:t>f</m:t>
                    </m:r>
                  </m:sub>
                </m:sSub>
              </m:oMath>
            </m:oMathPara>
          </w:p>
        </w:tc>
        <w:tc>
          <w:tcPr>
            <w:tcW w:w="850" w:type="dxa"/>
            <w:hideMark/>
          </w:tcPr>
          <w:p w14:paraId="540C1F48" w14:textId="5EE0E6C0" w:rsidR="00A20CAE" w:rsidRPr="00F6322E" w:rsidRDefault="00A20CAE" w:rsidP="00F6322E">
            <w:pPr>
              <w:pStyle w:val="CETEquation"/>
            </w:pPr>
            <w:r w:rsidRPr="00F6322E">
              <w:t>(</w:t>
            </w:r>
            <w:r w:rsidR="00AB7205">
              <w:t>7</w:t>
            </w:r>
            <w:r w:rsidRPr="00F6322E">
              <w:t>)</w:t>
            </w:r>
          </w:p>
        </w:tc>
      </w:tr>
      <w:tr w:rsidR="00A20CAE" w:rsidRPr="00F6322E" w14:paraId="1B144A58" w14:textId="77777777" w:rsidTr="00F6322E">
        <w:tc>
          <w:tcPr>
            <w:tcW w:w="8227" w:type="dxa"/>
            <w:hideMark/>
          </w:tcPr>
          <w:p w14:paraId="085F5F6C" w14:textId="77777777" w:rsidR="00A20CAE" w:rsidRPr="00F6322E" w:rsidRDefault="00937153" w:rsidP="00F6322E">
            <w:pPr>
              <w:pStyle w:val="CETEquation"/>
              <w:rPr>
                <w:rFonts w:eastAsia="Calibri"/>
              </w:rPr>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rad</m:t>
                    </m:r>
                    <m:r>
                      <m:rPr>
                        <m:sty m:val="p"/>
                      </m:rPr>
                      <w:rPr>
                        <w:rFonts w:ascii="Cambria Math" w:hAnsi="Cambria Math"/>
                      </w:rPr>
                      <m:t>,</m:t>
                    </m:r>
                    <m:r>
                      <w:rPr>
                        <w:rFonts w:ascii="Cambria Math" w:hAnsi="Cambria Math"/>
                      </w:rPr>
                      <m:t>f</m:t>
                    </m:r>
                  </m:sub>
                </m:sSub>
                <m:r>
                  <m:rPr>
                    <m:sty m:val="p"/>
                  </m:rPr>
                  <w:rPr>
                    <w:rFonts w:ascii="Cambria Math" w:hAnsi="Cambria Math"/>
                  </w:rPr>
                  <m:t>=</m:t>
                </m:r>
                <m:r>
                  <w:rPr>
                    <w:rFonts w:ascii="Cambria Math" w:hAnsi="Cambria Math"/>
                  </w:rPr>
                  <m:t>σ</m:t>
                </m:r>
                <m:sSub>
                  <m:sSubPr>
                    <m:ctrlPr>
                      <w:rPr>
                        <w:rFonts w:ascii="Cambria Math" w:hAnsi="Cambria Math"/>
                      </w:rPr>
                    </m:ctrlPr>
                  </m:sSubPr>
                  <m:e>
                    <m:r>
                      <w:rPr>
                        <w:rFonts w:ascii="Cambria Math" w:hAnsi="Cambria Math"/>
                      </w:rPr>
                      <m:t>ε</m:t>
                    </m:r>
                  </m:e>
                  <m:sub>
                    <m:r>
                      <w:rPr>
                        <w:rFonts w:ascii="Cambria Math" w:hAnsi="Cambria Math"/>
                      </w:rPr>
                      <m:t>Se</m:t>
                    </m:r>
                    <m:r>
                      <m:rPr>
                        <m:sty m:val="p"/>
                      </m:rPr>
                      <w:rPr>
                        <w:rFonts w:ascii="Cambria Math" w:hAnsi="Cambria Math"/>
                      </w:rPr>
                      <m:t>,</m:t>
                    </m:r>
                    <m:r>
                      <w:rPr>
                        <w:rFonts w:ascii="Cambria Math" w:hAnsi="Cambria Math"/>
                      </w:rPr>
                      <m:t>out</m:t>
                    </m:r>
                  </m:sub>
                </m:sSub>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ε</m:t>
                        </m:r>
                      </m:e>
                      <m:sub>
                        <m:r>
                          <w:rPr>
                            <w:rFonts w:ascii="Cambria Math" w:hAnsi="Cambria Math"/>
                          </w:rPr>
                          <m:t>f</m:t>
                        </m:r>
                      </m:sub>
                    </m:sSub>
                    <m:sSub>
                      <m:sSubPr>
                        <m:ctrlPr>
                          <w:rPr>
                            <w:rFonts w:ascii="Cambria Math" w:hAnsi="Cambria Math"/>
                          </w:rPr>
                        </m:ctrlPr>
                      </m:sSubPr>
                      <m:e>
                        <m:r>
                          <w:rPr>
                            <w:rFonts w:ascii="Cambria Math" w:hAnsi="Cambria Math"/>
                          </w:rPr>
                          <m:t>T</m:t>
                        </m:r>
                      </m:e>
                      <m:sub>
                        <m:r>
                          <w:rPr>
                            <w:rFonts w:ascii="Cambria Math" w:hAnsi="Cambria Math"/>
                          </w:rPr>
                          <m:t>f</m:t>
                        </m:r>
                      </m:sub>
                    </m:sSub>
                  </m:e>
                  <m:sup>
                    <m:r>
                      <m:rPr>
                        <m:sty m:val="p"/>
                      </m:rPr>
                      <w:rPr>
                        <w:rFonts w:ascii="Cambria Math" w:hAnsi="Cambria Math"/>
                      </w:rPr>
                      <m:t>4</m:t>
                    </m:r>
                  </m:sup>
                </m:sSup>
                <m:r>
                  <m:rPr>
                    <m:sty m:val="p"/>
                  </m:rPr>
                  <w:rPr>
                    <w:rFonts w:ascii="Cambria Math" w:eastAsia="Calibri" w:hAnsi="Cambria Math"/>
                  </w:rPr>
                  <m:t>-</m:t>
                </m:r>
                <m:sSup>
                  <m:sSupPr>
                    <m:ctrlPr>
                      <w:rPr>
                        <w:rFonts w:ascii="Cambria Math" w:hAnsi="Cambria Math"/>
                      </w:rPr>
                    </m:ctrlPr>
                  </m:sSupPr>
                  <m:e>
                    <m:sSub>
                      <m:sSubPr>
                        <m:ctrlPr>
                          <w:rPr>
                            <w:rFonts w:ascii="Cambria Math" w:hAnsi="Cambria Math"/>
                          </w:rPr>
                        </m:ctrlPr>
                      </m:sSubPr>
                      <m:e>
                        <m:r>
                          <w:rPr>
                            <w:rFonts w:ascii="Cambria Math" w:eastAsia="Calibri" w:hAnsi="Cambria Math"/>
                          </w:rPr>
                          <m:t>T</m:t>
                        </m:r>
                      </m:e>
                      <m:sub>
                        <m:r>
                          <w:rPr>
                            <w:rFonts w:ascii="Cambria Math" w:eastAsia="Calibri" w:hAnsi="Cambria Math"/>
                          </w:rPr>
                          <m:t>Se</m:t>
                        </m:r>
                      </m:sub>
                    </m:sSub>
                  </m:e>
                  <m:sup>
                    <m:r>
                      <m:rPr>
                        <m:sty m:val="p"/>
                      </m:rPr>
                      <w:rPr>
                        <w:rFonts w:ascii="Cambria Math" w:eastAsia="Calibri" w:hAnsi="Cambria Math"/>
                      </w:rPr>
                      <m:t>4</m:t>
                    </m:r>
                  </m:sup>
                </m:sSup>
                <m:r>
                  <m:rPr>
                    <m:sty m:val="p"/>
                  </m:rPr>
                  <w:rPr>
                    <w:rFonts w:ascii="Cambria Math" w:eastAsia="Calibri" w:hAnsi="Cambria Math"/>
                  </w:rPr>
                  <m:t>)</m:t>
                </m:r>
              </m:oMath>
            </m:oMathPara>
          </w:p>
        </w:tc>
        <w:tc>
          <w:tcPr>
            <w:tcW w:w="850" w:type="dxa"/>
            <w:hideMark/>
          </w:tcPr>
          <w:p w14:paraId="4DDC64CF" w14:textId="4E2F92A0" w:rsidR="00A20CAE" w:rsidRPr="00F6322E" w:rsidRDefault="00A20CAE" w:rsidP="00F6322E">
            <w:pPr>
              <w:pStyle w:val="CETEquation"/>
              <w:rPr>
                <w:rFonts w:eastAsiaTheme="minorHAnsi"/>
              </w:rPr>
            </w:pPr>
            <w:r w:rsidRPr="00F6322E">
              <w:t>(</w:t>
            </w:r>
            <w:r w:rsidR="00AB7205">
              <w:t>8</w:t>
            </w:r>
            <w:r w:rsidRPr="00F6322E">
              <w:t>)</w:t>
            </w:r>
          </w:p>
        </w:tc>
      </w:tr>
      <w:tr w:rsidR="00A20CAE" w:rsidRPr="00F6322E" w14:paraId="306579DB" w14:textId="77777777" w:rsidTr="00F6322E">
        <w:trPr>
          <w:trHeight w:val="326"/>
        </w:trPr>
        <w:tc>
          <w:tcPr>
            <w:tcW w:w="8227" w:type="dxa"/>
            <w:hideMark/>
          </w:tcPr>
          <w:p w14:paraId="7474D015" w14:textId="77777777" w:rsidR="00A20CAE" w:rsidRPr="00F6322E" w:rsidRDefault="00937153" w:rsidP="00F6322E">
            <w:pPr>
              <w:pStyle w:val="CETEquation"/>
              <w:rPr>
                <w:rFonts w:eastAsia="Calibri"/>
              </w:rPr>
            </w:pPr>
            <m:oMathPara>
              <m:oMathParaPr>
                <m:jc m:val="left"/>
              </m:oMathParaPr>
              <m:oMath>
                <m:sSub>
                  <m:sSubPr>
                    <m:ctrlPr>
                      <w:rPr>
                        <w:rFonts w:ascii="Cambria Math" w:hAnsi="Cambria Math"/>
                      </w:rPr>
                    </m:ctrlPr>
                  </m:sSubPr>
                  <m:e>
                    <m:r>
                      <w:rPr>
                        <w:rFonts w:ascii="Cambria Math" w:hAnsi="Cambria Math"/>
                      </w:rPr>
                      <m:t>q</m:t>
                    </m:r>
                  </m:e>
                  <m:sub>
                    <m:r>
                      <w:rPr>
                        <w:rFonts w:ascii="Cambria Math" w:hAnsi="Cambria Math"/>
                      </w:rPr>
                      <m:t>conv</m:t>
                    </m:r>
                    <m:r>
                      <m:rPr>
                        <m:sty m:val="p"/>
                      </m:rPr>
                      <w:rPr>
                        <w:rFonts w:ascii="Cambria Math" w:hAnsi="Cambria Math"/>
                      </w:rPr>
                      <m:t>,</m:t>
                    </m:r>
                    <m:r>
                      <w:rPr>
                        <w:rFonts w:ascii="Cambria Math" w:hAnsi="Cambria Math"/>
                      </w:rPr>
                      <m:t>f</m:t>
                    </m:r>
                  </m:sub>
                </m:sSub>
                <m:r>
                  <m:rPr>
                    <m:sty m:val="p"/>
                  </m:rPr>
                  <w:rPr>
                    <w:rFonts w:ascii="Cambria Math" w:eastAsia="Calibri" w:hAnsi="Cambria Math"/>
                  </w:rPr>
                  <m:t>=</m:t>
                </m:r>
                <m:sSub>
                  <m:sSubPr>
                    <m:ctrlPr>
                      <w:rPr>
                        <w:rFonts w:ascii="Cambria Math" w:hAnsi="Cambria Math"/>
                      </w:rPr>
                    </m:ctrlPr>
                  </m:sSubPr>
                  <m:e>
                    <m:r>
                      <w:rPr>
                        <w:rFonts w:ascii="Cambria Math" w:eastAsia="Calibri" w:hAnsi="Cambria Math"/>
                      </w:rPr>
                      <m:t>h</m:t>
                    </m:r>
                  </m:e>
                  <m:sub>
                    <m:r>
                      <w:rPr>
                        <w:rFonts w:ascii="Cambria Math" w:eastAsia="Calibri" w:hAnsi="Cambria Math"/>
                      </w:rPr>
                      <m:t>f</m:t>
                    </m:r>
                  </m:sub>
                </m:sSub>
                <m:r>
                  <m:rPr>
                    <m:sty m:val="p"/>
                  </m:rPr>
                  <w:rPr>
                    <w:rFonts w:ascii="Cambria Math" w:eastAsia="Calibri" w:hAnsi="Cambria Math"/>
                  </w:rPr>
                  <m:t>(</m:t>
                </m:r>
                <m:sSub>
                  <m:sSubPr>
                    <m:ctrlPr>
                      <w:rPr>
                        <w:rFonts w:ascii="Cambria Math" w:hAnsi="Cambria Math"/>
                      </w:rPr>
                    </m:ctrlPr>
                  </m:sSubPr>
                  <m:e>
                    <m:r>
                      <w:rPr>
                        <w:rFonts w:ascii="Cambria Math" w:eastAsia="Calibri" w:hAnsi="Cambria Math"/>
                      </w:rPr>
                      <m:t>T</m:t>
                    </m:r>
                  </m:e>
                  <m:sub>
                    <m:r>
                      <w:rPr>
                        <w:rFonts w:ascii="Cambria Math" w:eastAsia="Calibri" w:hAnsi="Cambria Math"/>
                      </w:rPr>
                      <m:t>f</m:t>
                    </m:r>
                  </m:sub>
                </m:sSub>
                <m:r>
                  <m:rPr>
                    <m:sty m:val="p"/>
                  </m:rPr>
                  <w:rPr>
                    <w:rFonts w:ascii="Cambria Math" w:eastAsia="Calibri" w:hAnsi="Cambria Math"/>
                  </w:rPr>
                  <m:t>-</m:t>
                </m:r>
                <m:sSub>
                  <m:sSubPr>
                    <m:ctrlPr>
                      <w:rPr>
                        <w:rFonts w:ascii="Cambria Math" w:hAnsi="Cambria Math"/>
                      </w:rPr>
                    </m:ctrlPr>
                  </m:sSubPr>
                  <m:e>
                    <m:r>
                      <w:rPr>
                        <w:rFonts w:ascii="Cambria Math" w:eastAsia="Calibri" w:hAnsi="Cambria Math"/>
                      </w:rPr>
                      <m:t>T</m:t>
                    </m:r>
                  </m:e>
                  <m:sub>
                    <m:r>
                      <w:rPr>
                        <w:rFonts w:ascii="Cambria Math" w:eastAsia="Calibri" w:hAnsi="Cambria Math"/>
                      </w:rPr>
                      <m:t>Se</m:t>
                    </m:r>
                  </m:sub>
                </m:sSub>
                <m:r>
                  <m:rPr>
                    <m:sty m:val="p"/>
                  </m:rPr>
                  <w:rPr>
                    <w:rFonts w:ascii="Cambria Math" w:eastAsia="Calibri" w:hAnsi="Cambria Math"/>
                  </w:rPr>
                  <m:t>)</m:t>
                </m:r>
              </m:oMath>
            </m:oMathPara>
          </w:p>
        </w:tc>
        <w:tc>
          <w:tcPr>
            <w:tcW w:w="850" w:type="dxa"/>
            <w:hideMark/>
          </w:tcPr>
          <w:p w14:paraId="405FA5B9" w14:textId="0701461E" w:rsidR="00A20CAE" w:rsidRPr="00F6322E" w:rsidRDefault="00A20CAE" w:rsidP="00F6322E">
            <w:pPr>
              <w:pStyle w:val="CETEquation"/>
              <w:rPr>
                <w:rFonts w:eastAsiaTheme="minorHAnsi"/>
              </w:rPr>
            </w:pPr>
            <w:r w:rsidRPr="00F6322E">
              <w:t>(</w:t>
            </w:r>
            <w:r w:rsidR="00AB7205">
              <w:t>9</w:t>
            </w:r>
            <w:r w:rsidRPr="00F6322E">
              <w:t xml:space="preserve">) </w:t>
            </w:r>
          </w:p>
        </w:tc>
      </w:tr>
    </w:tbl>
    <w:p w14:paraId="4D8A930B" w14:textId="1EE27D60" w:rsidR="00F20031" w:rsidRPr="008C4AE4" w:rsidRDefault="008C4AE4" w:rsidP="00F20031">
      <w:pPr>
        <w:pStyle w:val="CETCaption"/>
        <w:spacing w:before="120" w:after="120"/>
      </w:pPr>
      <w:bookmarkStart w:id="3" w:name="_Ref158822115"/>
      <w:r w:rsidRPr="008C4AE4">
        <w:rPr>
          <w:noProof/>
        </w:rPr>
        <w:drawing>
          <wp:inline distT="0" distB="0" distL="0" distR="0" wp14:anchorId="4C392A3D" wp14:editId="4330B90F">
            <wp:extent cx="5579745" cy="15830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1583026"/>
                    </a:xfrm>
                    <a:prstGeom prst="rect">
                      <a:avLst/>
                    </a:prstGeom>
                    <a:noFill/>
                    <a:ln>
                      <a:noFill/>
                    </a:ln>
                  </pic:spPr>
                </pic:pic>
              </a:graphicData>
            </a:graphic>
          </wp:inline>
        </w:drawing>
      </w:r>
      <w:r w:rsidR="00F20031" w:rsidRPr="00F20031">
        <w:rPr>
          <w:color w:val="1F497D" w:themeColor="text2"/>
        </w:rPr>
        <w:t xml:space="preserve"> </w:t>
      </w:r>
      <w:r w:rsidR="00F20031" w:rsidRPr="008C4AE4">
        <w:t>Figure 1</w:t>
      </w:r>
      <w:bookmarkEnd w:id="3"/>
      <w:r w:rsidR="00F20031" w:rsidRPr="008C4AE4">
        <w:t>. Schematic representation of the</w:t>
      </w:r>
      <w:r>
        <w:t xml:space="preserve"> failure</w:t>
      </w:r>
      <w:r w:rsidR="00F20031" w:rsidRPr="008C4AE4">
        <w:t xml:space="preserve"> </w:t>
      </w:r>
      <w:r w:rsidRPr="008C4AE4">
        <w:t>model</w:t>
      </w:r>
      <w:r w:rsidR="00F20031" w:rsidRPr="008C4AE4">
        <w:t>.</w:t>
      </w:r>
    </w:p>
    <w:p w14:paraId="100FB402" w14:textId="46C772A7" w:rsidR="008C4AE4" w:rsidRDefault="00537E03" w:rsidP="008C4AE4">
      <w:pPr>
        <w:pStyle w:val="CETBodytext"/>
        <w:rPr>
          <w:color w:val="000000" w:themeColor="text1"/>
        </w:rPr>
      </w:pPr>
      <w:r>
        <w:t xml:space="preserve">The MLI heat transfer model is applied </w:t>
      </w:r>
      <w:r w:rsidR="00206887">
        <w:t>to bridge the fire</w:t>
      </w:r>
      <w:r>
        <w:t xml:space="preserve"> boundary condition </w:t>
      </w:r>
      <w:r w:rsidR="00206887">
        <w:t xml:space="preserve">assigned at the outer wall and the </w:t>
      </w:r>
      <w:r>
        <w:t>heat flux that enters the inner shell of the tank</w:t>
      </w:r>
      <w:r w:rsidR="00206887">
        <w:t>.</w:t>
      </w:r>
      <w:r>
        <w:t xml:space="preserve"> This is</w:t>
      </w:r>
      <w:r w:rsidR="00DA5AC0">
        <w:t xml:space="preserve"> based on the approach proposed in previous works </w:t>
      </w:r>
      <w:r w:rsidR="00DA5AC0" w:rsidRPr="00915745">
        <w:rPr>
          <w:noProof/>
        </w:rPr>
        <w:t>(Camplese et al., 202</w:t>
      </w:r>
      <w:r w:rsidR="00645980">
        <w:rPr>
          <w:noProof/>
        </w:rPr>
        <w:t>4</w:t>
      </w:r>
      <w:r w:rsidR="00DA5AC0" w:rsidRPr="00915745">
        <w:rPr>
          <w:noProof/>
        </w:rPr>
        <w:t>)</w:t>
      </w:r>
      <w:r w:rsidR="00DA5AC0">
        <w:t xml:space="preserve"> </w:t>
      </w:r>
      <w:r>
        <w:t>and i</w:t>
      </w:r>
      <w:r w:rsidR="00DA5AC0">
        <w:t xml:space="preserve">t exploits a thermal node discretization in which the insulation system is divided into N+2 nodes. One node is assigned to each one of the reflective layers of the MLI, while two additional thermal nodes represent the external shell, </w:t>
      </w:r>
      <w:r w:rsidR="00DA5AC0" w:rsidRPr="002F663C">
        <w:rPr>
          <w:i/>
        </w:rPr>
        <w:t>S</w:t>
      </w:r>
      <w:r w:rsidR="00DA5AC0" w:rsidRPr="002F663C">
        <w:rPr>
          <w:i/>
          <w:vertAlign w:val="subscript"/>
        </w:rPr>
        <w:t>e</w:t>
      </w:r>
      <w:r w:rsidR="00DA5AC0">
        <w:t xml:space="preserve">, and the inner shell, </w:t>
      </w:r>
      <w:r w:rsidR="00DA5AC0" w:rsidRPr="002F663C">
        <w:rPr>
          <w:i/>
        </w:rPr>
        <w:t>S</w:t>
      </w:r>
      <w:r w:rsidR="00DA5AC0" w:rsidRPr="002F663C">
        <w:rPr>
          <w:i/>
          <w:vertAlign w:val="subscript"/>
        </w:rPr>
        <w:t>i</w:t>
      </w:r>
      <w:r w:rsidR="00DA5AC0">
        <w:t xml:space="preserve">, of the tank. A transient one-dimensional heat balance is written for each node and solved to obtain the temperature distribution </w:t>
      </w:r>
      <w:r>
        <w:t>of the insulation system and the tank shells over time. T</w:t>
      </w:r>
      <w:r w:rsidR="00DA5AC0">
        <w:t xml:space="preserve">he heat balance through the MLI layers is a modified version of the well-established McIntosh classical “layer-by-layer” model </w:t>
      </w:r>
      <w:r w:rsidR="00DA5AC0" w:rsidRPr="002F663C">
        <w:rPr>
          <w:noProof/>
        </w:rPr>
        <w:t>(McIntosh, 1994)</w:t>
      </w:r>
      <w:r w:rsidR="00DA5AC0">
        <w:t xml:space="preserve">, in which the net heat flux between any adjacent couple of layers is given by the sum of thermal radiation, spacer solid conduction, and the gas conduction/convection (depending on the vacuum pressure and fluid-dynamic regime). This allows the heat transfer model to account for vacuum losses within the insulation system. </w:t>
      </w:r>
      <w:r w:rsidR="00206887">
        <w:t xml:space="preserve">The </w:t>
      </w:r>
      <w:r w:rsidR="00DA5AC0">
        <w:t xml:space="preserve">equation system is reported </w:t>
      </w:r>
      <w:r w:rsidR="00206887">
        <w:t xml:space="preserve">and discussed in detail in </w:t>
      </w:r>
      <w:r w:rsidR="00206887" w:rsidRPr="002F663C">
        <w:rPr>
          <w:noProof/>
        </w:rPr>
        <w:t>Camplese et a</w:t>
      </w:r>
      <w:r w:rsidR="00206887">
        <w:rPr>
          <w:noProof/>
        </w:rPr>
        <w:t>l.</w:t>
      </w:r>
      <w:r w:rsidR="00DA5AC0" w:rsidRPr="002F663C">
        <w:rPr>
          <w:noProof/>
        </w:rPr>
        <w:t>(2024)</w:t>
      </w:r>
      <w:r w:rsidR="00DA5AC0">
        <w:t>.</w:t>
      </w:r>
      <w:r w:rsidR="00523F7B">
        <w:t xml:space="preserve"> </w:t>
      </w:r>
      <w:r w:rsidR="00DA5AC0" w:rsidRPr="002B65C6">
        <w:rPr>
          <w:color w:val="000000" w:themeColor="text1"/>
        </w:rPr>
        <w:t>In the simulation of high-temperature degradation of the MLI, it is assumed that each radiation layer is fully and instantaneously destroyed upon reaching a specified degradation temperature,</w:t>
      </w:r>
      <w:r w:rsidR="00DA5AC0">
        <w:rPr>
          <w:color w:val="000000" w:themeColor="text1"/>
        </w:rPr>
        <w:t xml:space="preserve"> </w:t>
      </w:r>
      <w:proofErr w:type="spellStart"/>
      <w:r w:rsidR="00DA5AC0" w:rsidRPr="002B65C6">
        <w:rPr>
          <w:i/>
          <w:color w:val="000000" w:themeColor="text1"/>
        </w:rPr>
        <w:t>T</w:t>
      </w:r>
      <w:r w:rsidR="00DA5AC0" w:rsidRPr="002B65C6">
        <w:rPr>
          <w:i/>
          <w:color w:val="000000" w:themeColor="text1"/>
          <w:vertAlign w:val="subscript"/>
        </w:rPr>
        <w:t>deg</w:t>
      </w:r>
      <w:proofErr w:type="spellEnd"/>
      <w:r w:rsidR="00206887">
        <w:rPr>
          <w:color w:val="000000" w:themeColor="text1"/>
        </w:rPr>
        <w:t xml:space="preserve"> (see Section 2.3).</w:t>
      </w:r>
      <w:r w:rsidR="00DA5AC0">
        <w:rPr>
          <w:color w:val="000000" w:themeColor="text1"/>
        </w:rPr>
        <w:t xml:space="preserve"> </w:t>
      </w:r>
      <w:r w:rsidR="00DA5AC0" w:rsidRPr="002B65C6">
        <w:rPr>
          <w:color w:val="000000" w:themeColor="text1"/>
        </w:rPr>
        <w:t>Following this degradation, the affected layer is replaced by a vacuum gap of equivalent thickness, allowing only radiation</w:t>
      </w:r>
      <w:r w:rsidR="00DA5AC0">
        <w:rPr>
          <w:color w:val="000000" w:themeColor="text1"/>
        </w:rPr>
        <w:t xml:space="preserve"> and </w:t>
      </w:r>
      <w:r w:rsidR="00DA5AC0" w:rsidRPr="002B65C6">
        <w:rPr>
          <w:color w:val="000000" w:themeColor="text1"/>
        </w:rPr>
        <w:t>gas conduction</w:t>
      </w:r>
      <w:r w:rsidR="00DA5AC0">
        <w:rPr>
          <w:color w:val="000000" w:themeColor="text1"/>
        </w:rPr>
        <w:t>/convection</w:t>
      </w:r>
      <w:r w:rsidR="00DA5AC0" w:rsidRPr="002B65C6">
        <w:rPr>
          <w:color w:val="000000" w:themeColor="text1"/>
        </w:rPr>
        <w:t xml:space="preserve"> to occur between the first undamaged layer and the external shell</w:t>
      </w:r>
      <w:r w:rsidR="00523F7B">
        <w:rPr>
          <w:color w:val="000000" w:themeColor="text1"/>
        </w:rPr>
        <w:t>, as further detailed in</w:t>
      </w:r>
      <w:r w:rsidR="00DA5AC0" w:rsidRPr="002B65C6">
        <w:rPr>
          <w:color w:val="000000" w:themeColor="text1"/>
        </w:rPr>
        <w:t xml:space="preserve"> </w:t>
      </w:r>
      <w:r w:rsidR="00DA5AC0" w:rsidRPr="002F663C">
        <w:rPr>
          <w:color w:val="000000" w:themeColor="text1"/>
        </w:rPr>
        <w:t xml:space="preserve">Camplese et al. </w:t>
      </w:r>
      <w:r w:rsidR="00523F7B">
        <w:rPr>
          <w:color w:val="000000" w:themeColor="text1"/>
        </w:rPr>
        <w:t>(</w:t>
      </w:r>
      <w:r w:rsidR="00DA5AC0" w:rsidRPr="002F663C">
        <w:rPr>
          <w:color w:val="000000" w:themeColor="text1"/>
        </w:rPr>
        <w:t>202</w:t>
      </w:r>
      <w:r w:rsidR="009F315D">
        <w:rPr>
          <w:color w:val="000000" w:themeColor="text1"/>
        </w:rPr>
        <w:t>4</w:t>
      </w:r>
      <w:r w:rsidR="00DA5AC0" w:rsidRPr="002F663C">
        <w:rPr>
          <w:color w:val="000000" w:themeColor="text1"/>
        </w:rPr>
        <w:t>).</w:t>
      </w:r>
    </w:p>
    <w:p w14:paraId="6498EDC4" w14:textId="32696335" w:rsidR="00854D5A" w:rsidRPr="000E7068" w:rsidRDefault="001F7434" w:rsidP="008C4AE4">
      <w:pPr>
        <w:pStyle w:val="CETheadingx"/>
      </w:pPr>
      <w:r>
        <w:t>Failure criterion</w:t>
      </w:r>
    </w:p>
    <w:p w14:paraId="6D710A7A" w14:textId="623CF6B5" w:rsidR="00802FBB" w:rsidRPr="00537E03" w:rsidRDefault="00095830" w:rsidP="00537E03">
      <w:pPr>
        <w:pStyle w:val="CETBodytext"/>
      </w:pPr>
      <w:r w:rsidRPr="00537E03">
        <w:t xml:space="preserve">The integrity of the tank is </w:t>
      </w:r>
      <w:r w:rsidR="00206887">
        <w:t>checked</w:t>
      </w:r>
      <w:r w:rsidR="00206887" w:rsidRPr="00537E03">
        <w:t xml:space="preserve"> </w:t>
      </w:r>
      <w:r w:rsidRPr="00537E03">
        <w:t>at each timestep by the</w:t>
      </w:r>
      <w:r w:rsidR="00802FBB" w:rsidRPr="00537E03">
        <w:t xml:space="preserve"> Von Mises yield (maximum distortion energy)</w:t>
      </w:r>
      <w:r w:rsidRPr="00537E03">
        <w:t xml:space="preserve"> criterion</w:t>
      </w:r>
      <w:r w:rsidR="00802FBB" w:rsidRPr="00537E03">
        <w:t xml:space="preserve">. </w:t>
      </w:r>
      <w:r w:rsidRPr="00537E03">
        <w:t>Inner vessel rupture is assumed to occur when the equivalent mechanical stress caused by pressure buildup</w:t>
      </w:r>
      <w:r w:rsidR="00802FBB" w:rsidRPr="00537E03">
        <w:t xml:space="preserve"> (</w:t>
      </w:r>
      <m:oMath>
        <m:sSub>
          <m:sSubPr>
            <m:ctrlPr>
              <w:rPr>
                <w:rFonts w:ascii="Cambria Math" w:hAnsi="Cambria Math"/>
              </w:rPr>
            </m:ctrlPr>
          </m:sSubPr>
          <m:e>
            <m:r>
              <w:rPr>
                <w:rFonts w:ascii="Cambria Math" w:hAnsi="Cambria Math"/>
              </w:rPr>
              <m:t>σ</m:t>
            </m:r>
          </m:e>
          <m:sub>
            <m:r>
              <w:rPr>
                <w:rFonts w:ascii="Cambria Math" w:hAnsi="Cambria Math"/>
              </w:rPr>
              <m:t>V</m:t>
            </m:r>
          </m:sub>
        </m:sSub>
      </m:oMath>
      <w:r w:rsidR="00802FBB" w:rsidRPr="00537E03">
        <w:t>) equals the yield strength of the shell material (</w:t>
      </w:r>
      <m:oMath>
        <m:sSub>
          <m:sSubPr>
            <m:ctrlPr>
              <w:rPr>
                <w:rFonts w:ascii="Cambria Math" w:hAnsi="Cambria Math"/>
              </w:rPr>
            </m:ctrlPr>
          </m:sSubPr>
          <m:e>
            <m:r>
              <w:rPr>
                <w:rFonts w:ascii="Cambria Math" w:hAnsi="Cambria Math"/>
              </w:rPr>
              <m:t>σ</m:t>
            </m:r>
          </m:e>
          <m:sub>
            <m:r>
              <w:rPr>
                <w:rFonts w:ascii="Cambria Math" w:hAnsi="Cambria Math"/>
              </w:rPr>
              <m:t>y</m:t>
            </m:r>
          </m:sub>
        </m:sSub>
      </m:oMath>
      <w:r w:rsidR="00802FBB" w:rsidRPr="00537E03">
        <w:rPr>
          <w:rFonts w:eastAsiaTheme="minorEastAsia"/>
        </w:rPr>
        <w:t xml:space="preserve">), as described by </w:t>
      </w:r>
      <w:r w:rsidR="00802FBB" w:rsidRPr="00537E03">
        <w:t>Eq. (</w:t>
      </w:r>
      <w:r w:rsidR="00537E03" w:rsidRPr="00537E03">
        <w:t>11</w:t>
      </w:r>
      <w:r w:rsidR="00802FBB" w:rsidRPr="00537E03">
        <w:t>).</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709"/>
      </w:tblGrid>
      <w:tr w:rsidR="00802FBB" w14:paraId="79C6843E" w14:textId="77777777" w:rsidTr="00537E03">
        <w:trPr>
          <w:trHeight w:val="614"/>
        </w:trPr>
        <w:tc>
          <w:tcPr>
            <w:tcW w:w="8080" w:type="dxa"/>
            <w:vAlign w:val="center"/>
            <w:hideMark/>
          </w:tcPr>
          <w:p w14:paraId="24ABE4C1" w14:textId="77777777" w:rsidR="00802FBB" w:rsidRPr="00095830" w:rsidRDefault="00937153" w:rsidP="008C4AE4">
            <w:pPr>
              <w:pStyle w:val="CETEquation"/>
              <w:spacing w:before="0" w:after="0"/>
              <w:rPr>
                <w:rFonts w:cs="Arial"/>
                <w:szCs w:val="18"/>
              </w:rPr>
            </w:pPr>
            <m:oMath>
              <m:sSub>
                <m:sSubPr>
                  <m:ctrlPr>
                    <w:rPr>
                      <w:rFonts w:ascii="Cambria Math" w:hAnsi="Cambria Math" w:cs="Arial"/>
                      <w:szCs w:val="18"/>
                    </w:rPr>
                  </m:ctrlPr>
                </m:sSubPr>
                <m:e>
                  <m:r>
                    <w:rPr>
                      <w:rFonts w:ascii="Cambria Math" w:hAnsi="Cambria Math" w:cs="Arial"/>
                      <w:szCs w:val="18"/>
                    </w:rPr>
                    <m:t>σ</m:t>
                  </m:r>
                </m:e>
                <m:sub>
                  <m:r>
                    <w:rPr>
                      <w:rFonts w:ascii="Cambria Math" w:hAnsi="Cambria Math" w:cs="Arial"/>
                      <w:szCs w:val="18"/>
                    </w:rPr>
                    <m:t>V</m:t>
                  </m:r>
                </m:sub>
              </m:sSub>
            </m:oMath>
            <w:r w:rsidR="00802FBB" w:rsidRPr="00095830">
              <w:rPr>
                <w:rFonts w:eastAsiaTheme="minorEastAsia" w:cs="Arial"/>
                <w:szCs w:val="18"/>
              </w:rPr>
              <w:t>=</w:t>
            </w:r>
            <m:oMath>
              <m:sSub>
                <m:sSubPr>
                  <m:ctrlPr>
                    <w:rPr>
                      <w:rFonts w:ascii="Cambria Math" w:hAnsi="Cambria Math" w:cs="Arial"/>
                      <w:szCs w:val="18"/>
                    </w:rPr>
                  </m:ctrlPr>
                </m:sSubPr>
                <m:e>
                  <m:r>
                    <w:rPr>
                      <w:rFonts w:ascii="Cambria Math" w:hAnsi="Cambria Math" w:cs="Arial"/>
                      <w:szCs w:val="18"/>
                    </w:rPr>
                    <m:t>σ</m:t>
                  </m:r>
                </m:e>
                <m:sub>
                  <m:r>
                    <w:rPr>
                      <w:rFonts w:ascii="Cambria Math" w:hAnsi="Cambria Math" w:cs="Arial"/>
                      <w:szCs w:val="18"/>
                    </w:rPr>
                    <m:t>y</m:t>
                  </m:r>
                </m:sub>
              </m:sSub>
            </m:oMath>
          </w:p>
        </w:tc>
        <w:tc>
          <w:tcPr>
            <w:tcW w:w="709" w:type="dxa"/>
            <w:vAlign w:val="center"/>
            <w:hideMark/>
          </w:tcPr>
          <w:p w14:paraId="71739275" w14:textId="3AD7D54B" w:rsidR="00802FBB" w:rsidRDefault="00802FBB" w:rsidP="008C4AE4">
            <w:pPr>
              <w:spacing w:line="240" w:lineRule="auto"/>
              <w:jc w:val="center"/>
            </w:pPr>
            <w:r w:rsidRPr="00537E03">
              <w:rPr>
                <w:color w:val="000000" w:themeColor="text1"/>
                <w:szCs w:val="28"/>
              </w:rPr>
              <w:t>(</w:t>
            </w:r>
            <w:r w:rsidR="00537E03" w:rsidRPr="00537E03">
              <w:rPr>
                <w:color w:val="000000" w:themeColor="text1"/>
                <w:szCs w:val="28"/>
              </w:rPr>
              <w:t>11</w:t>
            </w:r>
            <w:r w:rsidRPr="00537E03">
              <w:rPr>
                <w:color w:val="000000" w:themeColor="text1"/>
                <w:szCs w:val="28"/>
              </w:rPr>
              <w:t>)</w:t>
            </w:r>
          </w:p>
        </w:tc>
      </w:tr>
    </w:tbl>
    <w:p w14:paraId="4FCC3489" w14:textId="25774811" w:rsidR="00802FBB" w:rsidRPr="00537E03" w:rsidRDefault="00802FBB" w:rsidP="00537E03">
      <w:pPr>
        <w:pStyle w:val="CETBodytext"/>
        <w:rPr>
          <w:rFonts w:eastAsiaTheme="minorEastAsia"/>
        </w:rPr>
      </w:pPr>
      <w:r w:rsidRPr="00537E03">
        <w:t>The first term (</w:t>
      </w:r>
      <m:oMath>
        <m:sSub>
          <m:sSubPr>
            <m:ctrlPr>
              <w:rPr>
                <w:rFonts w:ascii="Cambria Math" w:hAnsi="Cambria Math"/>
              </w:rPr>
            </m:ctrlPr>
          </m:sSubPr>
          <m:e>
            <m:r>
              <w:rPr>
                <w:rFonts w:ascii="Cambria Math" w:hAnsi="Cambria Math"/>
              </w:rPr>
              <m:t>σ</m:t>
            </m:r>
          </m:e>
          <m:sub>
            <m:r>
              <w:rPr>
                <w:rFonts w:ascii="Cambria Math" w:hAnsi="Cambria Math"/>
              </w:rPr>
              <m:t>V</m:t>
            </m:r>
          </m:sub>
        </m:sSub>
        <m:r>
          <m:rPr>
            <m:sty m:val="p"/>
          </m:rPr>
          <w:rPr>
            <w:rFonts w:ascii="Cambria Math" w:hAnsi="Cambria Math"/>
          </w:rPr>
          <m:t>)</m:t>
        </m:r>
      </m:oMath>
      <w:r w:rsidRPr="00537E03">
        <w:rPr>
          <w:rFonts w:eastAsiaTheme="minorEastAsia"/>
        </w:rPr>
        <w:t xml:space="preserve"> is given by using Eq. </w:t>
      </w:r>
      <w:r w:rsidR="00537E03" w:rsidRPr="00537E03">
        <w:rPr>
          <w:rFonts w:eastAsiaTheme="minorEastAsia"/>
        </w:rPr>
        <w:t>(12)</w:t>
      </w:r>
      <w:r w:rsidRPr="00537E03">
        <w:rPr>
          <w:rFonts w:eastAsiaTheme="minorEastAsia"/>
        </w:rPr>
        <w:t xml:space="preserve">, where </w:t>
      </w:r>
      <m:oMath>
        <m:sSub>
          <m:sSubPr>
            <m:ctrlPr>
              <w:rPr>
                <w:rFonts w:ascii="Cambria Math" w:hAnsi="Cambria Math"/>
              </w:rPr>
            </m:ctrlPr>
          </m:sSubPr>
          <m:e>
            <m:r>
              <w:rPr>
                <w:rFonts w:ascii="Cambria Math" w:hAnsi="Cambria Math"/>
              </w:rPr>
              <m:t>σ</m:t>
            </m:r>
          </m:e>
          <m:sub>
            <m:r>
              <w:rPr>
                <w:rFonts w:ascii="Cambria Math" w:hAnsi="Cambria Math"/>
              </w:rPr>
              <m:t>l</m:t>
            </m:r>
          </m:sub>
        </m:sSub>
      </m:oMath>
      <w:r w:rsidRPr="00537E03">
        <w:rPr>
          <w:rFonts w:eastAsiaTheme="minorEastAsia"/>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σ</m:t>
            </m:r>
          </m:e>
          <m:sub>
            <m:r>
              <w:rPr>
                <w:rFonts w:ascii="Cambria Math" w:hAnsi="Cambria Math"/>
              </w:rPr>
              <m:t>h</m:t>
            </m:r>
          </m:sub>
        </m:sSub>
      </m:oMath>
      <w:r w:rsidRPr="00537E03">
        <w:rPr>
          <w:rFonts w:eastAsiaTheme="minorEastAsia"/>
        </w:rPr>
        <w:t xml:space="preserve">, and </w:t>
      </w:r>
      <m:oMath>
        <m:sSub>
          <m:sSubPr>
            <m:ctrlPr>
              <w:rPr>
                <w:rFonts w:ascii="Cambria Math" w:hAnsi="Cambria Math"/>
              </w:rPr>
            </m:ctrlPr>
          </m:sSubPr>
          <m:e>
            <m:r>
              <w:rPr>
                <w:rFonts w:ascii="Cambria Math" w:hAnsi="Cambria Math"/>
              </w:rPr>
              <m:t>σ</m:t>
            </m:r>
          </m:e>
          <m:sub>
            <m:r>
              <w:rPr>
                <w:rFonts w:ascii="Cambria Math" w:hAnsi="Cambria Math"/>
              </w:rPr>
              <m:t>r</m:t>
            </m:r>
          </m:sub>
        </m:sSub>
      </m:oMath>
      <w:r w:rsidRPr="00537E03">
        <w:rPr>
          <w:rFonts w:eastAsiaTheme="minorEastAsia"/>
        </w:rPr>
        <w:t xml:space="preserve"> are the longitudinal, circumferential, and radial primary stresse</w:t>
      </w:r>
      <w:r w:rsidR="00537E03" w:rsidRPr="00537E03">
        <w:rPr>
          <w:rFonts w:eastAsiaTheme="minorEastAsia"/>
        </w:rPr>
        <w:t>s</w:t>
      </w:r>
      <w:r w:rsidRPr="00537E03">
        <w:rPr>
          <w:rFonts w:eastAsiaTheme="minorEastAsia"/>
        </w:rPr>
        <w:t xml:space="preserve">, </w:t>
      </w:r>
      <m:oMath>
        <m:r>
          <w:rPr>
            <w:rFonts w:ascii="Cambria Math" w:hAnsi="Cambria Math"/>
          </w:rPr>
          <m:t>r</m:t>
        </m:r>
      </m:oMath>
      <w:r w:rsidRPr="00537E03">
        <w:rPr>
          <w:rFonts w:eastAsiaTheme="minorEastAsia"/>
        </w:rPr>
        <w:t xml:space="preserve"> and </w:t>
      </w:r>
      <m:oMath>
        <m:sSub>
          <m:sSubPr>
            <m:ctrlPr>
              <w:rPr>
                <w:rFonts w:ascii="Cambria Math" w:hAnsi="Cambria Math"/>
              </w:rPr>
            </m:ctrlPr>
          </m:sSubPr>
          <m:e>
            <m:r>
              <w:rPr>
                <w:rFonts w:ascii="Cambria Math" w:hAnsi="Cambria Math"/>
              </w:rPr>
              <m:t>δ</m:t>
            </m:r>
          </m:e>
          <m:sub>
            <m:sSub>
              <m:sSubPr>
                <m:ctrlPr>
                  <w:rPr>
                    <w:rFonts w:ascii="Cambria Math" w:hAnsi="Cambria Math"/>
                  </w:rPr>
                </m:ctrlPr>
              </m:sSubPr>
              <m:e>
                <m:r>
                  <w:rPr>
                    <w:rFonts w:ascii="Cambria Math" w:hAnsi="Cambria Math"/>
                  </w:rPr>
                  <m:t>S</m:t>
                </m:r>
              </m:e>
              <m:sub>
                <m:r>
                  <w:rPr>
                    <w:rFonts w:ascii="Cambria Math" w:hAnsi="Cambria Math"/>
                  </w:rPr>
                  <m:t>i</m:t>
                </m:r>
              </m:sub>
            </m:sSub>
          </m:sub>
        </m:sSub>
      </m:oMath>
      <w:r w:rsidRPr="00537E03">
        <w:rPr>
          <w:rFonts w:eastAsiaTheme="minorEastAsia"/>
        </w:rPr>
        <w:t xml:space="preserve"> represent the inner shell radius and thickness, and </w:t>
      </w:r>
      <m:oMath>
        <m:sSub>
          <m:sSubPr>
            <m:ctrlPr>
              <w:rPr>
                <w:rFonts w:ascii="Cambria Math" w:hAnsi="Cambria Math"/>
              </w:rPr>
            </m:ctrlPr>
          </m:sSubPr>
          <m:e>
            <m:r>
              <w:rPr>
                <w:rFonts w:ascii="Cambria Math" w:hAnsi="Cambria Math"/>
              </w:rPr>
              <m:t>P</m:t>
            </m:r>
          </m:e>
          <m:sub>
            <m:r>
              <w:rPr>
                <w:rFonts w:ascii="Cambria Math" w:hAnsi="Cambria Math"/>
              </w:rPr>
              <m:t>g</m:t>
            </m:r>
          </m:sub>
        </m:sSub>
      </m:oMath>
      <w:r w:rsidRPr="00537E03">
        <w:rPr>
          <w:rFonts w:eastAsiaTheme="minorEastAsia"/>
        </w:rPr>
        <w:t xml:space="preserve"> is the inner tank gauge pressure.</w:t>
      </w:r>
      <w:r w:rsidR="00DE60EB" w:rsidRPr="00DE60EB">
        <w:t xml:space="preserve"> </w:t>
      </w:r>
      <w:r w:rsidR="00DE60EB" w:rsidRPr="00B0194D">
        <w:t>The yield strength of the shell material (</w:t>
      </w:r>
      <m:oMath>
        <m:sSub>
          <m:sSubPr>
            <m:ctrlPr>
              <w:rPr>
                <w:rFonts w:ascii="Cambria Math" w:hAnsi="Cambria Math"/>
              </w:rPr>
            </m:ctrlPr>
          </m:sSubPr>
          <m:e>
            <m:r>
              <w:rPr>
                <w:rFonts w:ascii="Cambria Math" w:hAnsi="Cambria Math"/>
              </w:rPr>
              <m:t>σ</m:t>
            </m:r>
          </m:e>
          <m:sub>
            <m:r>
              <w:rPr>
                <w:rFonts w:ascii="Cambria Math" w:hAnsi="Cambria Math"/>
              </w:rPr>
              <m:t>y</m:t>
            </m:r>
          </m:sub>
        </m:sSub>
        <m:r>
          <m:rPr>
            <m:sty m:val="p"/>
          </m:rPr>
          <w:rPr>
            <w:rFonts w:ascii="Cambria Math" w:hAnsi="Cambria Math"/>
          </w:rPr>
          <m:t xml:space="preserve">) </m:t>
        </m:r>
      </m:oMath>
      <w:r w:rsidR="00DE60EB" w:rsidRPr="00B0194D">
        <w:rPr>
          <w:rFonts w:eastAsiaTheme="minorEastAsia"/>
        </w:rPr>
        <w:t xml:space="preserve">varies with the shell temperature through the strength reduction coefficients provided by </w:t>
      </w:r>
      <w:r w:rsidR="00DE60EB" w:rsidRPr="00B0194D">
        <w:t>EN 1993-1-2:2024.</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559"/>
        <w:gridCol w:w="1134"/>
        <w:gridCol w:w="1843"/>
        <w:gridCol w:w="709"/>
      </w:tblGrid>
      <w:tr w:rsidR="00537E03" w14:paraId="0F35938D" w14:textId="77777777" w:rsidTr="00537E03">
        <w:trPr>
          <w:trHeight w:val="737"/>
        </w:trPr>
        <w:tc>
          <w:tcPr>
            <w:tcW w:w="3539" w:type="dxa"/>
            <w:vAlign w:val="center"/>
            <w:hideMark/>
          </w:tcPr>
          <w:p w14:paraId="29C59925" w14:textId="09EC67F7" w:rsidR="00537E03" w:rsidRPr="00095830" w:rsidRDefault="00937153" w:rsidP="00537E03">
            <w:pPr>
              <w:pStyle w:val="CETBodytext"/>
              <w:rPr>
                <w:rFonts w:eastAsiaTheme="minorEastAsia"/>
              </w:rPr>
            </w:pPr>
            <m:oMath>
              <m:sSub>
                <m:sSubPr>
                  <m:ctrlPr>
                    <w:rPr>
                      <w:rFonts w:ascii="Cambria Math" w:hAnsi="Cambria Math"/>
                    </w:rPr>
                  </m:ctrlPr>
                </m:sSubPr>
                <m:e>
                  <m:r>
                    <w:rPr>
                      <w:rFonts w:ascii="Cambria Math" w:hAnsi="Cambria Math"/>
                    </w:rPr>
                    <m:t>σ</m:t>
                  </m:r>
                </m:e>
                <m:sub>
                  <m:r>
                    <w:rPr>
                      <w:rFonts w:ascii="Cambria Math" w:hAnsi="Cambria Math"/>
                    </w:rPr>
                    <m:t>V</m:t>
                  </m:r>
                </m:sub>
              </m:sSub>
              <m:r>
                <m:rPr>
                  <m:sty m:val="p"/>
                </m:rPr>
                <w:rPr>
                  <w:rFonts w:ascii="Cambria Math" w:eastAsiaTheme="minorEastAsia" w:hAnsi="Cambria Math"/>
                </w:rPr>
                <m:t>=</m:t>
              </m:r>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σ</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h</m:t>
                                  </m:r>
                                </m:sub>
                              </m:sSub>
                            </m:e>
                          </m:d>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σ</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r</m:t>
                                  </m:r>
                                </m:sub>
                              </m:sSub>
                            </m:e>
                          </m:d>
                        </m:e>
                        <m:sup>
                          <m:r>
                            <m:rPr>
                              <m:sty m:val="p"/>
                            </m:rPr>
                            <w:rPr>
                              <w:rFonts w:ascii="Cambria Math" w:eastAsiaTheme="minorEastAsia" w:hAnsi="Cambria Math"/>
                            </w:rPr>
                            <m:t>2</m:t>
                          </m:r>
                        </m:sup>
                      </m:sSup>
                      <m:r>
                        <m:rPr>
                          <m:sty m:val="p"/>
                        </m:rPr>
                        <w:rPr>
                          <w:rFonts w:ascii="Cambria Math" w:eastAsiaTheme="minorEastAsia"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σ</m:t>
                                  </m:r>
                                </m:e>
                                <m:sub>
                                  <m:r>
                                    <w:rPr>
                                      <w:rFonts w:ascii="Cambria Math" w:hAnsi="Cambria Math"/>
                                    </w:rPr>
                                    <m:t>l</m:t>
                                  </m:r>
                                </m:sub>
                              </m:sSub>
                              <m:r>
                                <m:rPr>
                                  <m:sty m:val="p"/>
                                </m:rP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r</m:t>
                                  </m:r>
                                </m:sub>
                              </m:sSub>
                            </m:e>
                          </m:d>
                        </m:e>
                        <m:sup>
                          <m:r>
                            <m:rPr>
                              <m:sty m:val="p"/>
                            </m:rPr>
                            <w:rPr>
                              <w:rFonts w:ascii="Cambria Math" w:eastAsiaTheme="minorEastAsia" w:hAnsi="Cambria Math"/>
                            </w:rPr>
                            <m:t>2</m:t>
                          </m:r>
                        </m:sup>
                      </m:sSup>
                    </m:num>
                    <m:den>
                      <m:r>
                        <m:rPr>
                          <m:sty m:val="p"/>
                        </m:rPr>
                        <w:rPr>
                          <w:rFonts w:ascii="Cambria Math" w:eastAsiaTheme="minorEastAsia" w:hAnsi="Cambria Math"/>
                        </w:rPr>
                        <m:t>2</m:t>
                      </m:r>
                    </m:den>
                  </m:f>
                </m:e>
              </m:rad>
            </m:oMath>
            <w:r w:rsidR="00537E03">
              <w:rPr>
                <w:rFonts w:eastAsiaTheme="minorEastAsia"/>
              </w:rPr>
              <w:t xml:space="preserve">     ;</w:t>
            </w:r>
          </w:p>
        </w:tc>
        <w:tc>
          <w:tcPr>
            <w:tcW w:w="1559" w:type="dxa"/>
            <w:vAlign w:val="center"/>
          </w:tcPr>
          <w:p w14:paraId="1C90F809" w14:textId="3D607809" w:rsidR="00537E03" w:rsidRPr="00095830" w:rsidRDefault="00937153" w:rsidP="00537E03">
            <w:pPr>
              <w:pStyle w:val="CETBodytext"/>
              <w:rPr>
                <w:rFonts w:eastAsiaTheme="minorEastAsia"/>
              </w:rPr>
            </w:pPr>
            <m:oMath>
              <m:sSub>
                <m:sSubPr>
                  <m:ctrlPr>
                    <w:rPr>
                      <w:rFonts w:ascii="Cambria Math" w:hAnsi="Cambria Math"/>
                    </w:rPr>
                  </m:ctrlPr>
                </m:sSubPr>
                <m:e>
                  <m:r>
                    <w:rPr>
                      <w:rFonts w:ascii="Cambria Math" w:hAnsi="Cambria Math"/>
                    </w:rPr>
                    <m:t>σ</m:t>
                  </m:r>
                </m:e>
                <m:sub>
                  <m:r>
                    <w:rPr>
                      <w:rFonts w:ascii="Cambria Math" w:hAnsi="Cambria Math"/>
                    </w:rPr>
                    <m:t>l</m:t>
                  </m:r>
                </m:sub>
              </m:sSub>
              <m:r>
                <m:rPr>
                  <m:sty m:val="p"/>
                </m:rPr>
                <w:rPr>
                  <w:rFonts w:ascii="Cambria Math" w:hAnsi="Cambria Math"/>
                </w:rPr>
                <m:t>=</m:t>
              </m:r>
              <m:f>
                <m:fPr>
                  <m:ctrlPr>
                    <w:rPr>
                      <w:rFonts w:ascii="Cambria Math" w:hAnsi="Cambria Math"/>
                    </w:rPr>
                  </m:ctrlPr>
                </m:fPr>
                <m:num>
                  <m:sSub>
                    <m:sSubPr>
                      <m:ctrlPr>
                        <w:rPr>
                          <w:rFonts w:ascii="Cambria Math" w:hAnsi="Cambria Math"/>
                          <w:i/>
                          <w:iCs/>
                        </w:rPr>
                      </m:ctrlPr>
                    </m:sSubPr>
                    <m:e>
                      <m:r>
                        <w:rPr>
                          <w:rFonts w:ascii="Cambria Math" w:hAnsi="Cambria Math"/>
                        </w:rPr>
                        <m:t>P</m:t>
                      </m:r>
                    </m:e>
                    <m:sub>
                      <m:r>
                        <w:rPr>
                          <w:rFonts w:ascii="Cambria Math" w:hAnsi="Cambria Math"/>
                        </w:rPr>
                        <m:t>g</m:t>
                      </m:r>
                    </m:sub>
                  </m:sSub>
                  <m:r>
                    <m:rPr>
                      <m:sty m:val="p"/>
                    </m:rPr>
                    <w:rPr>
                      <w:rFonts w:ascii="Cambria Math" w:hAnsi="Cambria Math"/>
                    </w:rPr>
                    <m:t>∙</m:t>
                  </m:r>
                  <m:r>
                    <w:rPr>
                      <w:rFonts w:ascii="Cambria Math" w:hAnsi="Cambria Math"/>
                    </w:rPr>
                    <m:t>r</m:t>
                  </m:r>
                </m:num>
                <m:den>
                  <m:r>
                    <m:rPr>
                      <m:sty m:val="p"/>
                    </m:rPr>
                    <w:rPr>
                      <w:rFonts w:ascii="Cambria Math" w:hAnsi="Cambria Math"/>
                    </w:rPr>
                    <m:t>2</m:t>
                  </m:r>
                  <m:sSub>
                    <m:sSubPr>
                      <m:ctrlPr>
                        <w:rPr>
                          <w:rFonts w:ascii="Cambria Math" w:hAnsi="Cambria Math"/>
                        </w:rPr>
                      </m:ctrlPr>
                    </m:sSubPr>
                    <m:e>
                      <m:r>
                        <w:rPr>
                          <w:rFonts w:ascii="Cambria Math" w:hAnsi="Cambria Math"/>
                        </w:rPr>
                        <m:t>δ</m:t>
                      </m:r>
                    </m:e>
                    <m:sub>
                      <m:sSub>
                        <m:sSubPr>
                          <m:ctrlPr>
                            <w:rPr>
                              <w:rFonts w:ascii="Cambria Math" w:hAnsi="Cambria Math"/>
                            </w:rPr>
                          </m:ctrlPr>
                        </m:sSubPr>
                        <m:e>
                          <m:r>
                            <w:rPr>
                              <w:rFonts w:ascii="Cambria Math" w:hAnsi="Cambria Math"/>
                            </w:rPr>
                            <m:t>S</m:t>
                          </m:r>
                        </m:e>
                        <m:sub>
                          <m:r>
                            <w:rPr>
                              <w:rFonts w:ascii="Cambria Math" w:hAnsi="Cambria Math"/>
                            </w:rPr>
                            <m:t>i</m:t>
                          </m:r>
                        </m:sub>
                      </m:sSub>
                    </m:sub>
                  </m:sSub>
                </m:den>
              </m:f>
            </m:oMath>
            <w:r w:rsidR="00537E03">
              <w:rPr>
                <w:rFonts w:eastAsiaTheme="minorEastAsia"/>
              </w:rPr>
              <w:t xml:space="preserve">     ;</w:t>
            </w:r>
          </w:p>
        </w:tc>
        <w:tc>
          <w:tcPr>
            <w:tcW w:w="1134" w:type="dxa"/>
            <w:vAlign w:val="center"/>
          </w:tcPr>
          <w:p w14:paraId="008831B6" w14:textId="24499026" w:rsidR="00537E03" w:rsidRPr="00095830" w:rsidRDefault="00937153" w:rsidP="00537E03">
            <w:pPr>
              <w:pStyle w:val="CETBodytext"/>
              <w:rPr>
                <w:rFonts w:eastAsiaTheme="minorEastAsia"/>
              </w:rPr>
            </w:pPr>
            <m:oMath>
              <m:sSub>
                <m:sSubPr>
                  <m:ctrlPr>
                    <w:rPr>
                      <w:rFonts w:ascii="Cambria Math" w:hAnsi="Cambria Math"/>
                    </w:rPr>
                  </m:ctrlPr>
                </m:sSubPr>
                <m:e>
                  <m:r>
                    <w:rPr>
                      <w:rFonts w:ascii="Cambria Math" w:hAnsi="Cambria Math"/>
                    </w:rPr>
                    <m:t>σ</m:t>
                  </m:r>
                </m:e>
                <m:sub>
                  <m:r>
                    <w:rPr>
                      <w:rFonts w:ascii="Cambria Math" w:hAnsi="Cambria Math"/>
                    </w:rPr>
                    <m:t>h</m:t>
                  </m:r>
                </m:sub>
              </m:sSub>
              <m:r>
                <m:rPr>
                  <m:sty m:val="p"/>
                </m:rPr>
                <w:rPr>
                  <w:rFonts w:ascii="Cambria Math" w:hAnsi="Cambria Math"/>
                </w:rPr>
                <m:t>=</m:t>
              </m:r>
              <m:f>
                <m:fPr>
                  <m:ctrlPr>
                    <w:rPr>
                      <w:rFonts w:ascii="Cambria Math" w:hAnsi="Cambria Math"/>
                    </w:rPr>
                  </m:ctrlPr>
                </m:fPr>
                <m:num>
                  <m:sSub>
                    <m:sSubPr>
                      <m:ctrlPr>
                        <w:rPr>
                          <w:rFonts w:ascii="Cambria Math" w:hAnsi="Cambria Math"/>
                          <w:i/>
                          <w:iCs/>
                        </w:rPr>
                      </m:ctrlPr>
                    </m:sSubPr>
                    <m:e>
                      <m:r>
                        <w:rPr>
                          <w:rFonts w:ascii="Cambria Math" w:hAnsi="Cambria Math"/>
                        </w:rPr>
                        <m:t>P</m:t>
                      </m:r>
                    </m:e>
                    <m:sub>
                      <m:r>
                        <w:rPr>
                          <w:rFonts w:ascii="Cambria Math" w:hAnsi="Cambria Math"/>
                        </w:rPr>
                        <m:t>g</m:t>
                      </m:r>
                    </m:sub>
                  </m:sSub>
                  <m:r>
                    <m:rPr>
                      <m:sty m:val="p"/>
                    </m:rPr>
                    <w:rPr>
                      <w:rFonts w:ascii="Cambria Math" w:hAnsi="Cambria Math"/>
                    </w:rPr>
                    <m:t>∙</m:t>
                  </m:r>
                  <m:r>
                    <w:rPr>
                      <w:rFonts w:ascii="Cambria Math" w:hAnsi="Cambria Math"/>
                    </w:rPr>
                    <m:t>r</m:t>
                  </m:r>
                </m:num>
                <m:den>
                  <m:sSub>
                    <m:sSubPr>
                      <m:ctrlPr>
                        <w:rPr>
                          <w:rFonts w:ascii="Cambria Math" w:hAnsi="Cambria Math"/>
                        </w:rPr>
                      </m:ctrlPr>
                    </m:sSubPr>
                    <m:e>
                      <m:r>
                        <w:rPr>
                          <w:rFonts w:ascii="Cambria Math" w:hAnsi="Cambria Math"/>
                        </w:rPr>
                        <m:t>δ</m:t>
                      </m:r>
                    </m:e>
                    <m:sub>
                      <m:sSub>
                        <m:sSubPr>
                          <m:ctrlPr>
                            <w:rPr>
                              <w:rFonts w:ascii="Cambria Math" w:hAnsi="Cambria Math"/>
                            </w:rPr>
                          </m:ctrlPr>
                        </m:sSubPr>
                        <m:e>
                          <m:r>
                            <w:rPr>
                              <w:rFonts w:ascii="Cambria Math" w:hAnsi="Cambria Math"/>
                            </w:rPr>
                            <m:t>S</m:t>
                          </m:r>
                        </m:e>
                        <m:sub>
                          <m:r>
                            <w:rPr>
                              <w:rFonts w:ascii="Cambria Math" w:hAnsi="Cambria Math"/>
                            </w:rPr>
                            <m:t>i</m:t>
                          </m:r>
                        </m:sub>
                      </m:sSub>
                    </m:sub>
                  </m:sSub>
                </m:den>
              </m:f>
            </m:oMath>
            <w:r w:rsidR="00537E03">
              <w:rPr>
                <w:rFonts w:eastAsiaTheme="minorEastAsia"/>
              </w:rPr>
              <w:t xml:space="preserve">     ;</w:t>
            </w:r>
          </w:p>
        </w:tc>
        <w:tc>
          <w:tcPr>
            <w:tcW w:w="1843" w:type="dxa"/>
            <w:vAlign w:val="center"/>
          </w:tcPr>
          <w:p w14:paraId="680848E7" w14:textId="476590B0" w:rsidR="00537E03" w:rsidRPr="00095830" w:rsidRDefault="00937153" w:rsidP="00537E03">
            <w:pPr>
              <w:pStyle w:val="CETBodytext"/>
              <w:rPr>
                <w:rFonts w:eastAsiaTheme="minorEastAsia"/>
              </w:rPr>
            </w:pPr>
            <m:oMathPara>
              <m:oMathParaPr>
                <m:jc m:val="left"/>
              </m:oMathParaPr>
              <m:oMath>
                <m:sSub>
                  <m:sSubPr>
                    <m:ctrlPr>
                      <w:rPr>
                        <w:rFonts w:ascii="Cambria Math" w:hAnsi="Cambria Math"/>
                      </w:rPr>
                    </m:ctrlPr>
                  </m:sSubPr>
                  <m:e>
                    <m:r>
                      <w:rPr>
                        <w:rFonts w:ascii="Cambria Math" w:hAnsi="Cambria Math"/>
                      </w:rPr>
                      <m:t>σ</m:t>
                    </m:r>
                  </m:e>
                  <m:sub>
                    <m:r>
                      <w:rPr>
                        <w:rFonts w:ascii="Cambria Math" w:hAnsi="Cambria Math"/>
                      </w:rPr>
                      <m:t>r</m:t>
                    </m:r>
                  </m:sub>
                </m:sSub>
                <m:r>
                  <m:rPr>
                    <m:sty m:val="p"/>
                  </m:rP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g</m:t>
                    </m:r>
                  </m:sub>
                </m:sSub>
              </m:oMath>
            </m:oMathPara>
          </w:p>
        </w:tc>
        <w:tc>
          <w:tcPr>
            <w:tcW w:w="709" w:type="dxa"/>
            <w:vAlign w:val="center"/>
            <w:hideMark/>
          </w:tcPr>
          <w:p w14:paraId="20E1BDA8" w14:textId="0BCB8AF1" w:rsidR="00537E03" w:rsidRDefault="00537E03" w:rsidP="00537E03">
            <w:pPr>
              <w:pStyle w:val="CETBodytext"/>
              <w:jc w:val="center"/>
              <w:rPr>
                <w:color w:val="000000" w:themeColor="text1"/>
                <w:szCs w:val="28"/>
              </w:rPr>
            </w:pPr>
            <w:r w:rsidRPr="00537E03">
              <w:rPr>
                <w:color w:val="000000" w:themeColor="text1"/>
                <w:szCs w:val="28"/>
              </w:rPr>
              <w:t>(12)</w:t>
            </w:r>
          </w:p>
        </w:tc>
      </w:tr>
    </w:tbl>
    <w:p w14:paraId="03328DEE" w14:textId="60923AE9" w:rsidR="00802FBB" w:rsidRPr="00B0194D" w:rsidRDefault="00095830" w:rsidP="00B0194D">
      <w:pPr>
        <w:pStyle w:val="CETBodytext"/>
        <w:rPr>
          <w:rFonts w:eastAsiaTheme="minorHAnsi"/>
        </w:rPr>
      </w:pPr>
      <w:r w:rsidRPr="00B0194D">
        <w:t>As a conservative estimation of the TTF, t</w:t>
      </w:r>
      <w:r w:rsidR="00802FBB" w:rsidRPr="00B0194D">
        <w:t xml:space="preserve">he </w:t>
      </w:r>
      <w:r w:rsidR="00802FBB" w:rsidRPr="00B0194D">
        <w:rPr>
          <w:rFonts w:eastAsiaTheme="minorEastAsia"/>
        </w:rPr>
        <w:t>maximum inner shell temperature (</w:t>
      </w:r>
      <w:proofErr w:type="spellStart"/>
      <w:r w:rsidR="00802FBB" w:rsidRPr="00774EA9">
        <w:rPr>
          <w:i/>
        </w:rPr>
        <w:t>T</w:t>
      </w:r>
      <w:r w:rsidR="00802FBB" w:rsidRPr="00774EA9">
        <w:rPr>
          <w:i/>
          <w:vertAlign w:val="subscript"/>
        </w:rPr>
        <w:t>Si,max</w:t>
      </w:r>
      <w:proofErr w:type="spellEnd"/>
      <w:r w:rsidR="00802FBB" w:rsidRPr="00B0194D">
        <w:t>)</w:t>
      </w:r>
      <w:r w:rsidR="00802FBB" w:rsidRPr="00B0194D">
        <w:rPr>
          <w:rFonts w:eastAsiaTheme="minorEastAsia"/>
        </w:rPr>
        <w:t xml:space="preserve"> is </w:t>
      </w:r>
      <w:r w:rsidRPr="00B0194D">
        <w:rPr>
          <w:rFonts w:eastAsiaTheme="minorEastAsia"/>
        </w:rPr>
        <w:t xml:space="preserve">used for the analysis. This is calculated </w:t>
      </w:r>
      <w:r w:rsidR="00B0194D" w:rsidRPr="00B0194D">
        <w:rPr>
          <w:rFonts w:eastAsiaTheme="minorEastAsia"/>
        </w:rPr>
        <w:t xml:space="preserve">by Eq. (13), </w:t>
      </w:r>
      <w:r w:rsidR="00B0194D" w:rsidRPr="00B0194D">
        <w:t xml:space="preserve">neglecting the heat transferred from the shell to the fluid in the tank (i.e. </w:t>
      </w:r>
      <m:oMath>
        <m:sSub>
          <m:sSubPr>
            <m:ctrlPr>
              <w:rPr>
                <w:rFonts w:ascii="Cambria Math" w:hAnsi="Cambria Math"/>
              </w:rPr>
            </m:ctrlPr>
          </m:sSubPr>
          <m:e>
            <m:r>
              <w:rPr>
                <w:rFonts w:ascii="Cambria Math" w:hAnsi="Cambria Math"/>
              </w:rPr>
              <m:t>q</m:t>
            </m:r>
          </m:e>
          <m:sub>
            <m:r>
              <w:rPr>
                <w:rFonts w:ascii="Cambria Math" w:hAnsi="Cambria Math"/>
              </w:rPr>
              <m:t>H</m:t>
            </m:r>
            <m:r>
              <m:rPr>
                <m:sty m:val="p"/>
              </m:rPr>
              <w:rPr>
                <w:rFonts w:ascii="Cambria Math" w:hAnsi="Cambria Math"/>
              </w:rPr>
              <m:t>2</m:t>
            </m:r>
          </m:sub>
        </m:sSub>
      </m:oMath>
      <w:r w:rsidR="00B0194D" w:rsidRPr="00B0194D">
        <w:rPr>
          <w:rFonts w:eastAsiaTheme="minorEastAsia"/>
        </w:rPr>
        <w:t xml:space="preserve"> = 0)</w:t>
      </w:r>
      <w:r w:rsidR="00B0194D" w:rsidRPr="00B0194D">
        <w:t>.</w:t>
      </w:r>
      <w:r w:rsidR="00B0194D" w:rsidRPr="00B0194D">
        <w:rPr>
          <w:rFonts w:eastAsiaTheme="minorEastAsia"/>
        </w:rPr>
        <w:t xml:space="preserve"> </w:t>
      </w:r>
      <m:oMath>
        <m:sSub>
          <m:sSubPr>
            <m:ctrlPr>
              <w:rPr>
                <w:rFonts w:ascii="Cambria Math" w:hAnsi="Cambria Math"/>
              </w:rPr>
            </m:ctrlPr>
          </m:sSubPr>
          <m:e>
            <m:r>
              <w:rPr>
                <w:rFonts w:ascii="Cambria Math" w:hAnsi="Cambria Math"/>
              </w:rPr>
              <m:t>δ</m:t>
            </m:r>
          </m:e>
          <m:sub>
            <m:sSub>
              <m:sSubPr>
                <m:ctrlPr>
                  <w:rPr>
                    <w:rFonts w:ascii="Cambria Math" w:hAnsi="Cambria Math"/>
                  </w:rPr>
                </m:ctrlPr>
              </m:sSubPr>
              <m:e>
                <m:r>
                  <w:rPr>
                    <w:rFonts w:ascii="Cambria Math" w:hAnsi="Cambria Math"/>
                  </w:rPr>
                  <m:t>S</m:t>
                </m:r>
              </m:e>
              <m:sub>
                <m:r>
                  <w:rPr>
                    <w:rFonts w:ascii="Cambria Math" w:hAnsi="Cambria Math"/>
                  </w:rPr>
                  <m:t>i</m:t>
                </m:r>
              </m:sub>
            </m:sSub>
          </m:sub>
        </m:sSub>
      </m:oMath>
      <w:r w:rsidR="00802FBB" w:rsidRPr="00B0194D">
        <w:rPr>
          <w:rFonts w:eastAsiaTheme="minorEastAsia"/>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rPr>
              <m:t>Si</m:t>
            </m:r>
          </m:sub>
        </m:sSub>
      </m:oMath>
      <w:r w:rsidR="00B0194D" w:rsidRPr="00B0194D">
        <w:rPr>
          <w:rFonts w:eastAsiaTheme="minorEastAsia"/>
        </w:rPr>
        <w:t xml:space="preserve">, </w:t>
      </w:r>
      <m:oMath>
        <m:sSub>
          <m:sSubPr>
            <m:ctrlPr>
              <w:rPr>
                <w:rFonts w:ascii="Cambria Math" w:hAnsi="Cambria Math"/>
              </w:rPr>
            </m:ctrlPr>
          </m:sSubPr>
          <m:e>
            <m:r>
              <w:rPr>
                <w:rFonts w:ascii="Cambria Math" w:hAnsi="Cambria Math"/>
              </w:rPr>
              <m:t>c</m:t>
            </m:r>
          </m:e>
          <m:sub>
            <m:r>
              <w:rPr>
                <w:rFonts w:ascii="Cambria Math" w:hAnsi="Cambria Math"/>
              </w:rPr>
              <m:t>p</m:t>
            </m:r>
            <m:r>
              <m:rPr>
                <m:sty m:val="p"/>
              </m:rPr>
              <w:rPr>
                <w:rFonts w:ascii="Cambria Math" w:hAnsi="Cambria Math"/>
              </w:rPr>
              <m:t>,</m:t>
            </m:r>
            <m:r>
              <w:rPr>
                <w:rFonts w:ascii="Cambria Math" w:hAnsi="Cambria Math"/>
              </w:rPr>
              <m:t>Si</m:t>
            </m:r>
          </m:sub>
        </m:sSub>
      </m:oMath>
      <w:r w:rsidR="00B0194D" w:rsidRPr="00B0194D">
        <w:rPr>
          <w:rFonts w:eastAsiaTheme="minorEastAsia"/>
        </w:rPr>
        <w:t xml:space="preserve"> are the thickness, density, and the specific heat capacity of the inner shell wall, while </w:t>
      </w:r>
      <m:oMath>
        <m:sSub>
          <m:sSubPr>
            <m:ctrlPr>
              <w:rPr>
                <w:rFonts w:ascii="Cambria Math" w:hAnsi="Cambria Math"/>
              </w:rPr>
            </m:ctrlPr>
          </m:sSubPr>
          <m:e>
            <m:r>
              <w:rPr>
                <w:rFonts w:ascii="Cambria Math" w:hAnsi="Cambria Math"/>
              </w:rPr>
              <m:t>q</m:t>
            </m:r>
          </m:e>
          <m:sub>
            <m:r>
              <w:rPr>
                <w:rFonts w:ascii="Cambria Math" w:hAnsi="Cambria Math"/>
              </w:rPr>
              <m:t>MLI</m:t>
            </m:r>
          </m:sub>
        </m:sSub>
      </m:oMath>
      <w:r w:rsidR="00802FBB" w:rsidRPr="00B0194D">
        <w:rPr>
          <w:rFonts w:eastAsiaTheme="minorEastAsia"/>
        </w:rPr>
        <w:t xml:space="preserve"> </w:t>
      </w:r>
      <w:r w:rsidR="00B0194D" w:rsidRPr="00B0194D">
        <w:rPr>
          <w:rFonts w:eastAsiaTheme="minorEastAsia"/>
        </w:rPr>
        <w:t xml:space="preserve">is the heat flux coming from the first intact MLI layer or the external shell wall in case MLI </w:t>
      </w:r>
      <w:r w:rsidR="00774EA9">
        <w:rPr>
          <w:rFonts w:eastAsiaTheme="minorEastAsia"/>
        </w:rPr>
        <w:t xml:space="preserve">is </w:t>
      </w:r>
      <w:r w:rsidR="00B0194D" w:rsidRPr="00B0194D">
        <w:rPr>
          <w:rFonts w:eastAsiaTheme="minorEastAsia"/>
        </w:rPr>
        <w:t>completely degraded.</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709"/>
      </w:tblGrid>
      <w:tr w:rsidR="00802FBB" w14:paraId="4FC26D0E" w14:textId="77777777" w:rsidTr="00537E03">
        <w:trPr>
          <w:trHeight w:val="614"/>
        </w:trPr>
        <w:tc>
          <w:tcPr>
            <w:tcW w:w="8080" w:type="dxa"/>
            <w:vAlign w:val="center"/>
            <w:hideMark/>
          </w:tcPr>
          <w:p w14:paraId="457B936A" w14:textId="40448A72" w:rsidR="00802FBB" w:rsidRPr="00802FBB" w:rsidRDefault="00937153" w:rsidP="00802FBB">
            <w:pPr>
              <w:pStyle w:val="CETEquation"/>
            </w:pPr>
            <m:oMathPara>
              <m:oMathParaPr>
                <m:jc m:val="left"/>
              </m:oMathParaPr>
              <m:oMath>
                <m:sSub>
                  <m:sSubPr>
                    <m:ctrlPr>
                      <w:rPr>
                        <w:rFonts w:ascii="Cambria Math" w:hAnsi="Cambria Math"/>
                        <w:sz w:val="24"/>
                      </w:rPr>
                    </m:ctrlPr>
                  </m:sSubPr>
                  <m:e>
                    <m:r>
                      <w:rPr>
                        <w:rFonts w:ascii="Cambria Math" w:hAnsi="Cambria Math"/>
                      </w:rPr>
                      <m:t>q</m:t>
                    </m:r>
                  </m:e>
                  <m:sub>
                    <m:r>
                      <w:rPr>
                        <w:rFonts w:ascii="Cambria Math" w:hAnsi="Cambria Math"/>
                      </w:rPr>
                      <m:t>MLI</m:t>
                    </m:r>
                  </m:sub>
                </m:sSub>
                <m:r>
                  <m:rPr>
                    <m:sty m:val="p"/>
                  </m:rPr>
                  <w:rPr>
                    <w:rFonts w:ascii="Cambria Math" w:hAnsi="Cambria Math"/>
                  </w:rPr>
                  <m:t>=</m:t>
                </m:r>
                <m:sSub>
                  <m:sSubPr>
                    <m:ctrlPr>
                      <w:rPr>
                        <w:rFonts w:ascii="Cambria Math" w:hAnsi="Cambria Math"/>
                        <w:sz w:val="24"/>
                      </w:rPr>
                    </m:ctrlPr>
                  </m:sSubPr>
                  <m:e>
                    <m:r>
                      <w:rPr>
                        <w:rFonts w:ascii="Cambria Math" w:hAnsi="Cambria Math"/>
                      </w:rPr>
                      <m:t>δ</m:t>
                    </m:r>
                  </m:e>
                  <m:sub>
                    <m:sSub>
                      <m:sSubPr>
                        <m:ctrlPr>
                          <w:rPr>
                            <w:rFonts w:ascii="Cambria Math" w:hAnsi="Cambria Math"/>
                            <w:sz w:val="24"/>
                          </w:rPr>
                        </m:ctrlPr>
                      </m:sSubPr>
                      <m:e>
                        <m:r>
                          <w:rPr>
                            <w:rFonts w:ascii="Cambria Math" w:hAnsi="Cambria Math"/>
                          </w:rPr>
                          <m:t>S</m:t>
                        </m:r>
                      </m:e>
                      <m:sub>
                        <m:r>
                          <w:rPr>
                            <w:rFonts w:ascii="Cambria Math" w:hAnsi="Cambria Math"/>
                          </w:rPr>
                          <m:t>i</m:t>
                        </m:r>
                      </m:sub>
                    </m:sSub>
                  </m:sub>
                </m:sSub>
                <m:sSub>
                  <m:sSubPr>
                    <m:ctrlPr>
                      <w:rPr>
                        <w:rFonts w:ascii="Cambria Math" w:hAnsi="Cambria Math"/>
                        <w:i/>
                      </w:rPr>
                    </m:ctrlPr>
                  </m:sSubPr>
                  <m:e>
                    <m:r>
                      <w:rPr>
                        <w:rFonts w:ascii="Cambria Math" w:hAnsi="Cambria Math"/>
                      </w:rPr>
                      <m:t>ρ</m:t>
                    </m:r>
                  </m:e>
                  <m:sub>
                    <m:r>
                      <w:rPr>
                        <w:rFonts w:ascii="Cambria Math" w:hAnsi="Cambria Math"/>
                      </w:rPr>
                      <m:t>Si</m:t>
                    </m:r>
                  </m:sub>
                </m:sSub>
                <m:sSub>
                  <m:sSubPr>
                    <m:ctrlPr>
                      <w:rPr>
                        <w:rFonts w:ascii="Cambria Math" w:hAnsi="Cambria Math"/>
                        <w:sz w:val="24"/>
                      </w:rPr>
                    </m:ctrlPr>
                  </m:sSubPr>
                  <m:e>
                    <m:r>
                      <w:rPr>
                        <w:rFonts w:ascii="Cambria Math" w:hAnsi="Cambria Math"/>
                      </w:rPr>
                      <m:t>c</m:t>
                    </m:r>
                  </m:e>
                  <m:sub>
                    <m:r>
                      <w:rPr>
                        <w:rFonts w:ascii="Cambria Math" w:hAnsi="Cambria Math"/>
                      </w:rPr>
                      <m:t>p</m:t>
                    </m:r>
                    <m:r>
                      <m:rPr>
                        <m:sty m:val="p"/>
                      </m:rPr>
                      <w:rPr>
                        <w:rFonts w:ascii="Cambria Math" w:hAnsi="Cambria Math"/>
                      </w:rPr>
                      <m:t>,</m:t>
                    </m:r>
                    <m:sSub>
                      <m:sSubPr>
                        <m:ctrlPr>
                          <w:rPr>
                            <w:rFonts w:ascii="Cambria Math" w:hAnsi="Cambria Math"/>
                            <w:sz w:val="24"/>
                          </w:rPr>
                        </m:ctrlPr>
                      </m:sSubPr>
                      <m:e>
                        <m:r>
                          <w:rPr>
                            <w:rFonts w:ascii="Cambria Math" w:hAnsi="Cambria Math"/>
                          </w:rPr>
                          <m:t>S</m:t>
                        </m:r>
                      </m:e>
                      <m:sub>
                        <m:r>
                          <w:rPr>
                            <w:rFonts w:ascii="Cambria Math" w:hAnsi="Cambria Math"/>
                          </w:rPr>
                          <m:t>i</m:t>
                        </m:r>
                      </m:sub>
                    </m:sSub>
                  </m:sub>
                </m:sSub>
                <m:f>
                  <m:fPr>
                    <m:ctrlPr>
                      <w:rPr>
                        <w:rFonts w:ascii="Cambria Math" w:hAnsi="Cambria Math"/>
                        <w:sz w:val="24"/>
                      </w:rPr>
                    </m:ctrlPr>
                  </m:fPr>
                  <m:num>
                    <m:r>
                      <w:rPr>
                        <w:rFonts w:ascii="Cambria Math" w:hAnsi="Cambria Math"/>
                      </w:rPr>
                      <m:t>d</m:t>
                    </m:r>
                    <m:sSub>
                      <m:sSubPr>
                        <m:ctrlPr>
                          <w:rPr>
                            <w:rFonts w:ascii="Cambria Math" w:hAnsi="Cambria Math"/>
                            <w:sz w:val="24"/>
                          </w:rPr>
                        </m:ctrlPr>
                      </m:sSubPr>
                      <m:e>
                        <m:r>
                          <w:rPr>
                            <w:rFonts w:ascii="Cambria Math" w:hAnsi="Cambria Math"/>
                          </w:rPr>
                          <m:t>T</m:t>
                        </m:r>
                      </m:e>
                      <m:sub>
                        <m:sSub>
                          <m:sSubPr>
                            <m:ctrlPr>
                              <w:rPr>
                                <w:rFonts w:ascii="Cambria Math" w:hAnsi="Cambria Math"/>
                                <w:sz w:val="24"/>
                              </w:rPr>
                            </m:ctrlPr>
                          </m:sSubPr>
                          <m:e>
                            <m:r>
                              <w:rPr>
                                <w:rFonts w:ascii="Cambria Math" w:hAnsi="Cambria Math"/>
                              </w:rPr>
                              <m:t>S</m:t>
                            </m:r>
                          </m:e>
                          <m:sub>
                            <m:r>
                              <w:rPr>
                                <w:rFonts w:ascii="Cambria Math" w:hAnsi="Cambria Math"/>
                              </w:rPr>
                              <m:t>i</m:t>
                            </m:r>
                          </m:sub>
                        </m:sSub>
                        <m:r>
                          <m:rPr>
                            <m:sty m:val="p"/>
                          </m:rPr>
                          <w:rPr>
                            <w:rFonts w:ascii="Cambria Math" w:hAnsi="Cambria Math"/>
                          </w:rPr>
                          <m:t>,</m:t>
                        </m:r>
                        <m:r>
                          <w:rPr>
                            <w:rFonts w:ascii="Cambria Math" w:hAnsi="Cambria Math"/>
                          </w:rPr>
                          <m:t>max</m:t>
                        </m:r>
                      </m:sub>
                    </m:sSub>
                  </m:num>
                  <m:den>
                    <m:r>
                      <w:rPr>
                        <w:rFonts w:ascii="Cambria Math" w:hAnsi="Cambria Math"/>
                      </w:rPr>
                      <m:t>dt</m:t>
                    </m:r>
                  </m:den>
                </m:f>
                <m:r>
                  <m:rPr>
                    <m:sty m:val="p"/>
                  </m:rPr>
                  <w:rPr>
                    <w:rFonts w:ascii="Cambria Math" w:hAnsi="Cambria Math"/>
                  </w:rPr>
                  <m:t xml:space="preserve"> </m:t>
                </m:r>
              </m:oMath>
            </m:oMathPara>
          </w:p>
        </w:tc>
        <w:tc>
          <w:tcPr>
            <w:tcW w:w="709" w:type="dxa"/>
            <w:vAlign w:val="center"/>
            <w:hideMark/>
          </w:tcPr>
          <w:p w14:paraId="306FE574" w14:textId="3C36D3D8" w:rsidR="00802FBB" w:rsidRPr="00537E03" w:rsidRDefault="00802FBB" w:rsidP="00802FBB">
            <w:pPr>
              <w:spacing w:line="240" w:lineRule="auto"/>
              <w:jc w:val="center"/>
              <w:rPr>
                <w:rFonts w:eastAsiaTheme="minorHAnsi" w:cstheme="minorBidi"/>
                <w:color w:val="000000" w:themeColor="text1"/>
                <w:szCs w:val="22"/>
              </w:rPr>
            </w:pPr>
            <w:r w:rsidRPr="00537E03">
              <w:rPr>
                <w:color w:val="000000" w:themeColor="text1"/>
                <w:szCs w:val="28"/>
              </w:rPr>
              <w:t>(</w:t>
            </w:r>
            <w:r w:rsidR="00537E03">
              <w:rPr>
                <w:color w:val="000000" w:themeColor="text1"/>
                <w:szCs w:val="28"/>
              </w:rPr>
              <w:t>13</w:t>
            </w:r>
            <w:r w:rsidRPr="00537E03">
              <w:rPr>
                <w:color w:val="000000" w:themeColor="text1"/>
                <w:szCs w:val="28"/>
              </w:rPr>
              <w:t>)</w:t>
            </w:r>
          </w:p>
        </w:tc>
      </w:tr>
    </w:tbl>
    <w:p w14:paraId="48A3CAB8" w14:textId="7EF42CA7" w:rsidR="004E7E55" w:rsidRDefault="004E7E55" w:rsidP="008C4AE4">
      <w:pPr>
        <w:pStyle w:val="CETheadingx"/>
      </w:pPr>
      <w:bookmarkStart w:id="4" w:name="_Ref158985805"/>
      <w:r>
        <w:t>Case studies</w:t>
      </w:r>
      <w:bookmarkEnd w:id="4"/>
      <w:r>
        <w:t xml:space="preserve"> </w:t>
      </w:r>
    </w:p>
    <w:p w14:paraId="296524ED" w14:textId="5F246930" w:rsidR="00F63174" w:rsidRPr="002E0DAA" w:rsidRDefault="00BF3470" w:rsidP="00537E03">
      <w:pPr>
        <w:pStyle w:val="CETBodytext"/>
        <w:rPr>
          <w:color w:val="000000" w:themeColor="text1"/>
        </w:rPr>
      </w:pPr>
      <w:r w:rsidRPr="002E0DAA">
        <w:rPr>
          <w:color w:val="000000" w:themeColor="text1"/>
        </w:rPr>
        <w:t>The</w:t>
      </w:r>
      <w:r w:rsidR="00111BB8" w:rsidRPr="002E0DAA">
        <w:rPr>
          <w:color w:val="000000" w:themeColor="text1"/>
        </w:rPr>
        <w:t xml:space="preserve"> </w:t>
      </w:r>
      <w:r w:rsidRPr="002E0DAA">
        <w:rPr>
          <w:color w:val="000000" w:themeColor="text1"/>
        </w:rPr>
        <w:t>modeling approach</w:t>
      </w:r>
      <w:r w:rsidR="00940D58" w:rsidRPr="002E0DAA">
        <w:rPr>
          <w:color w:val="000000" w:themeColor="text1"/>
        </w:rPr>
        <w:t xml:space="preserve"> </w:t>
      </w:r>
      <w:r w:rsidR="00122B2E" w:rsidRPr="002E0DAA">
        <w:rPr>
          <w:color w:val="000000" w:themeColor="text1"/>
        </w:rPr>
        <w:t>presented in Section</w:t>
      </w:r>
      <w:r w:rsidR="008314CF" w:rsidRPr="002E0DAA">
        <w:rPr>
          <w:color w:val="000000" w:themeColor="text1"/>
        </w:rPr>
        <w:t>s</w:t>
      </w:r>
      <w:r w:rsidR="00122B2E" w:rsidRPr="002E0DAA">
        <w:rPr>
          <w:color w:val="000000" w:themeColor="text1"/>
        </w:rPr>
        <w:t xml:space="preserve"> 2.1</w:t>
      </w:r>
      <w:r w:rsidR="008314CF" w:rsidRPr="002E0DAA">
        <w:rPr>
          <w:color w:val="000000" w:themeColor="text1"/>
        </w:rPr>
        <w:t xml:space="preserve"> and 2.2</w:t>
      </w:r>
      <w:r w:rsidR="00217C59" w:rsidRPr="002E0DAA">
        <w:rPr>
          <w:color w:val="000000" w:themeColor="text1"/>
        </w:rPr>
        <w:t xml:space="preserve"> </w:t>
      </w:r>
      <w:r w:rsidRPr="002E0DAA">
        <w:rPr>
          <w:color w:val="000000" w:themeColor="text1"/>
        </w:rPr>
        <w:t>was applied to</w:t>
      </w:r>
      <w:r w:rsidR="002E0D96" w:rsidRPr="002E0DAA">
        <w:rPr>
          <w:color w:val="000000" w:themeColor="text1"/>
        </w:rPr>
        <w:t xml:space="preserve"> a set of case stud</w:t>
      </w:r>
      <w:r w:rsidR="002C05E4" w:rsidRPr="002E0DAA">
        <w:rPr>
          <w:color w:val="000000" w:themeColor="text1"/>
        </w:rPr>
        <w:t>ies</w:t>
      </w:r>
      <w:r w:rsidR="002E0D96" w:rsidRPr="002E0DAA">
        <w:rPr>
          <w:color w:val="000000" w:themeColor="text1"/>
        </w:rPr>
        <w:t xml:space="preserve"> </w:t>
      </w:r>
      <w:r w:rsidR="00D449EE" w:rsidRPr="002E0DAA">
        <w:rPr>
          <w:color w:val="000000" w:themeColor="text1"/>
        </w:rPr>
        <w:t xml:space="preserve">to assess the </w:t>
      </w:r>
      <w:r w:rsidR="00323862" w:rsidRPr="002E0DAA">
        <w:rPr>
          <w:color w:val="000000" w:themeColor="text1"/>
        </w:rPr>
        <w:t xml:space="preserve">impact of </w:t>
      </w:r>
      <w:r w:rsidR="00340CDE" w:rsidRPr="002E0DAA">
        <w:rPr>
          <w:color w:val="000000" w:themeColor="text1"/>
        </w:rPr>
        <w:t xml:space="preserve">MLI </w:t>
      </w:r>
      <w:r w:rsidR="00A20CAE" w:rsidRPr="002E0DAA">
        <w:rPr>
          <w:color w:val="000000" w:themeColor="text1"/>
        </w:rPr>
        <w:t>system properties and working conditions on the time to failure of the vessel.</w:t>
      </w:r>
      <w:r w:rsidR="00ED2561">
        <w:rPr>
          <w:color w:val="000000" w:themeColor="text1"/>
        </w:rPr>
        <w:t xml:space="preserve"> </w:t>
      </w:r>
      <w:r w:rsidR="00A20CAE" w:rsidRPr="002E0DAA">
        <w:rPr>
          <w:color w:val="000000" w:themeColor="text1"/>
        </w:rPr>
        <w:t xml:space="preserve">The tank chosen for the present study has a </w:t>
      </w:r>
      <w:r w:rsidR="00D449EE" w:rsidRPr="002E0DAA">
        <w:rPr>
          <w:color w:val="000000" w:themeColor="text1"/>
        </w:rPr>
        <w:t>h</w:t>
      </w:r>
      <w:r w:rsidR="00A20CAE" w:rsidRPr="002E0DAA">
        <w:rPr>
          <w:color w:val="000000" w:themeColor="text1"/>
        </w:rPr>
        <w:t>orizontal orientation, with an inner tank of a length of 1.</w:t>
      </w:r>
      <w:r w:rsidR="00A65F2F">
        <w:rPr>
          <w:color w:val="000000" w:themeColor="text1"/>
        </w:rPr>
        <w:t>75</w:t>
      </w:r>
      <w:r w:rsidR="00A20CAE" w:rsidRPr="002E0DAA">
        <w:rPr>
          <w:color w:val="000000" w:themeColor="text1"/>
        </w:rPr>
        <w:t xml:space="preserve"> m and a diameter of 0.</w:t>
      </w:r>
      <w:r w:rsidR="00A65F2F">
        <w:rPr>
          <w:color w:val="000000" w:themeColor="text1"/>
        </w:rPr>
        <w:t>5</w:t>
      </w:r>
      <w:r w:rsidR="00480F49">
        <w:rPr>
          <w:color w:val="000000" w:themeColor="text1"/>
        </w:rPr>
        <w:t>5</w:t>
      </w:r>
      <w:r w:rsidR="00A20CAE" w:rsidRPr="002E0DAA">
        <w:rPr>
          <w:color w:val="000000" w:themeColor="text1"/>
        </w:rPr>
        <w:t xml:space="preserve"> m, resulting in a volume of </w:t>
      </w:r>
      <w:r w:rsidR="00480F49">
        <w:rPr>
          <w:color w:val="000000" w:themeColor="text1"/>
        </w:rPr>
        <w:t>0.4</w:t>
      </w:r>
      <w:r w:rsidR="00A20CAE" w:rsidRPr="002E0DAA">
        <w:rPr>
          <w:color w:val="000000" w:themeColor="text1"/>
        </w:rPr>
        <w:t xml:space="preserve"> m</w:t>
      </w:r>
      <w:r w:rsidR="00A20CAE" w:rsidRPr="002E0DAA">
        <w:rPr>
          <w:color w:val="000000" w:themeColor="text1"/>
          <w:vertAlign w:val="superscript"/>
        </w:rPr>
        <w:t>3</w:t>
      </w:r>
      <w:r w:rsidR="00A20CAE" w:rsidRPr="002E0DAA">
        <w:rPr>
          <w:color w:val="000000" w:themeColor="text1"/>
        </w:rPr>
        <w:t>. Such dimensions are</w:t>
      </w:r>
      <w:r w:rsidR="00111BB8" w:rsidRPr="002E0DAA">
        <w:rPr>
          <w:color w:val="000000" w:themeColor="text1"/>
        </w:rPr>
        <w:t xml:space="preserve"> </w:t>
      </w:r>
      <w:r w:rsidR="007D245C" w:rsidRPr="002E0DAA">
        <w:rPr>
          <w:color w:val="000000" w:themeColor="text1"/>
        </w:rPr>
        <w:t>representative o</w:t>
      </w:r>
      <w:r w:rsidR="00A20CAE" w:rsidRPr="002E0DAA">
        <w:rPr>
          <w:color w:val="000000" w:themeColor="text1"/>
        </w:rPr>
        <w:t>f</w:t>
      </w:r>
      <w:r w:rsidR="007157C8" w:rsidRPr="002E0DAA">
        <w:rPr>
          <w:color w:val="000000" w:themeColor="text1"/>
        </w:rPr>
        <w:t xml:space="preserve"> </w:t>
      </w:r>
      <w:r w:rsidR="007D245C" w:rsidRPr="002E0DAA">
        <w:rPr>
          <w:color w:val="000000" w:themeColor="text1"/>
        </w:rPr>
        <w:t xml:space="preserve">storage tanks used for cryogenic hydrogen-powered </w:t>
      </w:r>
      <w:r w:rsidR="00A20CAE" w:rsidRPr="002E0DAA">
        <w:rPr>
          <w:color w:val="000000" w:themeColor="text1"/>
        </w:rPr>
        <w:t>heavy</w:t>
      </w:r>
      <w:r w:rsidR="00D449EE" w:rsidRPr="002E0DAA">
        <w:rPr>
          <w:color w:val="000000" w:themeColor="text1"/>
        </w:rPr>
        <w:t>-</w:t>
      </w:r>
      <w:r w:rsidR="00A20CAE" w:rsidRPr="002E0DAA">
        <w:rPr>
          <w:color w:val="000000" w:themeColor="text1"/>
        </w:rPr>
        <w:t xml:space="preserve">duty trucks. </w:t>
      </w:r>
      <w:r w:rsidR="00D449EE" w:rsidRPr="002E0DAA">
        <w:rPr>
          <w:color w:val="000000" w:themeColor="text1"/>
        </w:rPr>
        <w:t>The tank is equipped with a pressure-relief valve having an opening section (</w:t>
      </w:r>
      <w:r w:rsidR="00D449EE" w:rsidRPr="002E0DAA">
        <w:rPr>
          <w:i/>
          <w:color w:val="000000" w:themeColor="text1"/>
        </w:rPr>
        <w:t>A</w:t>
      </w:r>
      <w:r w:rsidR="00D449EE" w:rsidRPr="002E0DAA">
        <w:rPr>
          <w:i/>
          <w:color w:val="000000" w:themeColor="text1"/>
          <w:vertAlign w:val="subscript"/>
        </w:rPr>
        <w:t>PRV</w:t>
      </w:r>
      <w:r w:rsidR="00D449EE" w:rsidRPr="002E0DAA">
        <w:rPr>
          <w:color w:val="000000" w:themeColor="text1"/>
        </w:rPr>
        <w:t>) of 5.1</w:t>
      </w:r>
      <w:r w:rsidR="00D449EE" w:rsidRPr="002E0DAA">
        <w:rPr>
          <w:rFonts w:ascii="Calibri" w:hAnsi="Calibri" w:cs="Calibri"/>
          <w:color w:val="000000" w:themeColor="text1"/>
        </w:rPr>
        <w:t>·</w:t>
      </w:r>
      <w:r w:rsidR="00D449EE" w:rsidRPr="002E0DAA">
        <w:rPr>
          <w:color w:val="000000" w:themeColor="text1"/>
        </w:rPr>
        <w:t>10</w:t>
      </w:r>
      <w:r w:rsidR="00D449EE" w:rsidRPr="002E0DAA">
        <w:rPr>
          <w:color w:val="000000" w:themeColor="text1"/>
          <w:vertAlign w:val="superscript"/>
        </w:rPr>
        <w:t>-4</w:t>
      </w:r>
      <w:r w:rsidR="00D449EE" w:rsidRPr="002E0DAA">
        <w:rPr>
          <w:color w:val="000000" w:themeColor="text1"/>
        </w:rPr>
        <w:t xml:space="preserve"> m</w:t>
      </w:r>
      <w:r w:rsidR="00D449EE" w:rsidRPr="002E0DAA">
        <w:rPr>
          <w:color w:val="000000" w:themeColor="text1"/>
          <w:vertAlign w:val="superscript"/>
        </w:rPr>
        <w:t>2</w:t>
      </w:r>
      <w:r w:rsidR="00D449EE" w:rsidRPr="002E0DAA">
        <w:rPr>
          <w:color w:val="000000" w:themeColor="text1"/>
        </w:rPr>
        <w:t>, which opens when the pressure inside the tank reaches 4.7 bar (</w:t>
      </w:r>
      <w:proofErr w:type="spellStart"/>
      <w:r w:rsidR="00D449EE" w:rsidRPr="002E0DAA">
        <w:rPr>
          <w:i/>
          <w:color w:val="000000" w:themeColor="text1"/>
        </w:rPr>
        <w:t>P</w:t>
      </w:r>
      <w:r w:rsidR="00D449EE" w:rsidRPr="002E0DAA">
        <w:rPr>
          <w:i/>
          <w:color w:val="000000" w:themeColor="text1"/>
          <w:vertAlign w:val="subscript"/>
        </w:rPr>
        <w:t>PRV,open</w:t>
      </w:r>
      <w:proofErr w:type="spellEnd"/>
      <w:r w:rsidR="00D449EE" w:rsidRPr="002E0DAA">
        <w:rPr>
          <w:color w:val="000000" w:themeColor="text1"/>
        </w:rPr>
        <w:t>) and closes for pressure</w:t>
      </w:r>
      <w:r w:rsidR="00206887">
        <w:rPr>
          <w:color w:val="000000" w:themeColor="text1"/>
        </w:rPr>
        <w:t>s</w:t>
      </w:r>
      <w:r w:rsidR="00D449EE" w:rsidRPr="002E0DAA">
        <w:rPr>
          <w:color w:val="000000" w:themeColor="text1"/>
        </w:rPr>
        <w:t xml:space="preserve"> below 4.2 bar (</w:t>
      </w:r>
      <w:proofErr w:type="spellStart"/>
      <w:r w:rsidR="00D449EE" w:rsidRPr="002E0DAA">
        <w:rPr>
          <w:i/>
          <w:color w:val="000000" w:themeColor="text1"/>
        </w:rPr>
        <w:t>P</w:t>
      </w:r>
      <w:r w:rsidR="00D449EE" w:rsidRPr="002E0DAA">
        <w:rPr>
          <w:i/>
          <w:color w:val="000000" w:themeColor="text1"/>
          <w:vertAlign w:val="subscript"/>
        </w:rPr>
        <w:t>PRV,open</w:t>
      </w:r>
      <w:proofErr w:type="spellEnd"/>
      <w:r w:rsidR="00D449EE" w:rsidRPr="002E0DAA">
        <w:rPr>
          <w:color w:val="000000" w:themeColor="text1"/>
        </w:rPr>
        <w:t>).</w:t>
      </w:r>
      <w:r w:rsidR="00AB7205">
        <w:rPr>
          <w:color w:val="000000" w:themeColor="text1"/>
        </w:rPr>
        <w:t xml:space="preserve"> </w:t>
      </w:r>
      <w:r w:rsidR="00B5134A" w:rsidRPr="002E0DAA">
        <w:rPr>
          <w:color w:val="000000" w:themeColor="text1"/>
        </w:rPr>
        <w:t>T</w:t>
      </w:r>
      <w:r w:rsidRPr="002E0DAA">
        <w:rPr>
          <w:color w:val="000000" w:themeColor="text1"/>
        </w:rPr>
        <w:t xml:space="preserve">he tank </w:t>
      </w:r>
      <w:r w:rsidR="00D449EE" w:rsidRPr="002E0DAA">
        <w:rPr>
          <w:color w:val="000000" w:themeColor="text1"/>
        </w:rPr>
        <w:t>is</w:t>
      </w:r>
      <w:r w:rsidRPr="002E0DAA">
        <w:rPr>
          <w:color w:val="000000" w:themeColor="text1"/>
        </w:rPr>
        <w:t xml:space="preserve"> filled with liquid hydrogen </w:t>
      </w:r>
      <w:r w:rsidR="00431FCE">
        <w:rPr>
          <w:color w:val="000000" w:themeColor="text1"/>
        </w:rPr>
        <w:t>up to</w:t>
      </w:r>
      <w:r w:rsidR="00B5134A" w:rsidRPr="002E0DAA">
        <w:rPr>
          <w:color w:val="000000" w:themeColor="text1"/>
        </w:rPr>
        <w:t xml:space="preserve"> 5</w:t>
      </w:r>
      <w:r w:rsidR="00AB7205">
        <w:rPr>
          <w:color w:val="000000" w:themeColor="text1"/>
        </w:rPr>
        <w:t>5</w:t>
      </w:r>
      <w:r w:rsidR="00B5134A" w:rsidRPr="002E0DAA">
        <w:rPr>
          <w:color w:val="000000" w:themeColor="text1"/>
        </w:rPr>
        <w:t>% of the inner tank volume</w:t>
      </w:r>
      <w:r w:rsidR="00AB7205">
        <w:rPr>
          <w:color w:val="000000" w:themeColor="text1"/>
        </w:rPr>
        <w:t xml:space="preserve"> as in the real-scale fire test conducted by </w:t>
      </w:r>
      <w:r w:rsidR="00AB7205" w:rsidRPr="00AB7205">
        <w:rPr>
          <w:noProof/>
          <w:color w:val="000000" w:themeColor="text1"/>
        </w:rPr>
        <w:t xml:space="preserve">Pehr, </w:t>
      </w:r>
      <w:r w:rsidR="00AB7205">
        <w:rPr>
          <w:noProof/>
          <w:color w:val="000000" w:themeColor="text1"/>
        </w:rPr>
        <w:t>(</w:t>
      </w:r>
      <w:r w:rsidR="00AB7205" w:rsidRPr="00AB7205">
        <w:rPr>
          <w:noProof/>
          <w:color w:val="000000" w:themeColor="text1"/>
        </w:rPr>
        <w:t>1996)</w:t>
      </w:r>
      <w:r w:rsidR="0043048F" w:rsidRPr="002E0DAA">
        <w:rPr>
          <w:color w:val="000000" w:themeColor="text1"/>
        </w:rPr>
        <w:t xml:space="preserve">. </w:t>
      </w:r>
      <w:r w:rsidR="0004220C" w:rsidRPr="002E0DAA">
        <w:rPr>
          <w:color w:val="000000" w:themeColor="text1"/>
        </w:rPr>
        <w:t xml:space="preserve">Both </w:t>
      </w:r>
      <w:r w:rsidR="00D449EE" w:rsidRPr="002E0DAA">
        <w:rPr>
          <w:color w:val="000000" w:themeColor="text1"/>
        </w:rPr>
        <w:t>the</w:t>
      </w:r>
      <w:r w:rsidRPr="002E0DAA">
        <w:rPr>
          <w:color w:val="000000" w:themeColor="text1"/>
        </w:rPr>
        <w:t xml:space="preserve"> </w:t>
      </w:r>
      <w:r w:rsidR="0089366B" w:rsidRPr="002E0DAA">
        <w:rPr>
          <w:color w:val="000000" w:themeColor="text1"/>
        </w:rPr>
        <w:t xml:space="preserve">external </w:t>
      </w:r>
      <w:r w:rsidR="00D449EE" w:rsidRPr="002E0DAA">
        <w:rPr>
          <w:color w:val="000000" w:themeColor="text1"/>
        </w:rPr>
        <w:t xml:space="preserve">and internal </w:t>
      </w:r>
      <w:r w:rsidR="0089366B" w:rsidRPr="002E0DAA">
        <w:rPr>
          <w:color w:val="000000" w:themeColor="text1"/>
        </w:rPr>
        <w:t>shel</w:t>
      </w:r>
      <w:r w:rsidR="00D449EE" w:rsidRPr="002E0DAA">
        <w:rPr>
          <w:color w:val="000000" w:themeColor="text1"/>
        </w:rPr>
        <w:t>ls</w:t>
      </w:r>
      <w:r w:rsidR="0089366B" w:rsidRPr="002E0DAA">
        <w:rPr>
          <w:color w:val="000000" w:themeColor="text1"/>
        </w:rPr>
        <w:t xml:space="preserve"> </w:t>
      </w:r>
      <w:r w:rsidR="0004220C" w:rsidRPr="002E0DAA">
        <w:rPr>
          <w:color w:val="000000" w:themeColor="text1"/>
        </w:rPr>
        <w:t>consist</w:t>
      </w:r>
      <w:r w:rsidR="00D449EE" w:rsidRPr="002E0DAA">
        <w:rPr>
          <w:color w:val="000000" w:themeColor="text1"/>
        </w:rPr>
        <w:t xml:space="preserve"> of AISI</w:t>
      </w:r>
      <w:r w:rsidR="0089366B" w:rsidRPr="002E0DAA">
        <w:rPr>
          <w:color w:val="000000" w:themeColor="text1"/>
        </w:rPr>
        <w:t xml:space="preserve"> 316L</w:t>
      </w:r>
      <w:r w:rsidR="00B5134A" w:rsidRPr="002E0DAA">
        <w:rPr>
          <w:color w:val="000000" w:themeColor="text1"/>
        </w:rPr>
        <w:t>, each having</w:t>
      </w:r>
      <w:r w:rsidR="0004220C" w:rsidRPr="002E0DAA">
        <w:rPr>
          <w:color w:val="000000" w:themeColor="text1"/>
        </w:rPr>
        <w:t xml:space="preserve"> a </w:t>
      </w:r>
      <w:r w:rsidRPr="002E0DAA">
        <w:rPr>
          <w:color w:val="000000" w:themeColor="text1"/>
        </w:rPr>
        <w:t>thickness</w:t>
      </w:r>
      <w:r w:rsidR="0004220C" w:rsidRPr="002E0DAA">
        <w:rPr>
          <w:color w:val="000000" w:themeColor="text1"/>
        </w:rPr>
        <w:t xml:space="preserve"> of</w:t>
      </w:r>
      <w:r w:rsidRPr="002E0DAA">
        <w:rPr>
          <w:color w:val="000000" w:themeColor="text1"/>
        </w:rPr>
        <w:t xml:space="preserve"> 0.002 m.</w:t>
      </w:r>
      <w:r w:rsidR="0089366B" w:rsidRPr="002E0DAA">
        <w:rPr>
          <w:color w:val="000000" w:themeColor="text1"/>
        </w:rPr>
        <w:t xml:space="preserve"> </w:t>
      </w:r>
      <w:r w:rsidRPr="002E0DAA">
        <w:rPr>
          <w:color w:val="000000" w:themeColor="text1"/>
        </w:rPr>
        <w:t>The tank</w:t>
      </w:r>
      <w:r w:rsidR="007D245C" w:rsidRPr="002E0DAA">
        <w:rPr>
          <w:color w:val="000000" w:themeColor="text1"/>
        </w:rPr>
        <w:t>s</w:t>
      </w:r>
      <w:r w:rsidRPr="002E0DAA">
        <w:rPr>
          <w:color w:val="000000" w:themeColor="text1"/>
        </w:rPr>
        <w:t xml:space="preserve"> feature</w:t>
      </w:r>
      <w:r w:rsidR="00940D58" w:rsidRPr="002E0DAA">
        <w:rPr>
          <w:color w:val="000000" w:themeColor="text1"/>
        </w:rPr>
        <w:t>d</w:t>
      </w:r>
      <w:r w:rsidRPr="002E0DAA">
        <w:rPr>
          <w:color w:val="000000" w:themeColor="text1"/>
        </w:rPr>
        <w:t xml:space="preserve"> a typical commercial uniform-density MLI composed of pure aluminum r</w:t>
      </w:r>
      <w:r w:rsidR="00B5134A" w:rsidRPr="002E0DAA">
        <w:rPr>
          <w:color w:val="000000" w:themeColor="text1"/>
        </w:rPr>
        <w:t>eflective</w:t>
      </w:r>
      <w:r w:rsidRPr="002E0DAA">
        <w:rPr>
          <w:color w:val="000000" w:themeColor="text1"/>
        </w:rPr>
        <w:t xml:space="preserve"> layers and glass fiber fleece spacers. </w:t>
      </w:r>
      <w:r w:rsidR="00085264" w:rsidRPr="002E0DAA">
        <w:rPr>
          <w:color w:val="000000" w:themeColor="text1"/>
        </w:rPr>
        <w:t>The vacuum gap ha</w:t>
      </w:r>
      <w:r w:rsidR="00537E03">
        <w:rPr>
          <w:color w:val="000000" w:themeColor="text1"/>
        </w:rPr>
        <w:t>s</w:t>
      </w:r>
      <w:r w:rsidR="00085264" w:rsidRPr="002E0DAA">
        <w:rPr>
          <w:color w:val="000000" w:themeColor="text1"/>
        </w:rPr>
        <w:t xml:space="preserve"> a thickness of 0.0</w:t>
      </w:r>
      <w:r w:rsidR="00A20CAE" w:rsidRPr="002E0DAA">
        <w:rPr>
          <w:color w:val="000000" w:themeColor="text1"/>
        </w:rPr>
        <w:t>5</w:t>
      </w:r>
      <w:r w:rsidR="00085264" w:rsidRPr="002E0DAA">
        <w:rPr>
          <w:color w:val="000000" w:themeColor="text1"/>
        </w:rPr>
        <w:t xml:space="preserve"> m </w:t>
      </w:r>
      <w:r w:rsidR="00B5134A" w:rsidRPr="002E0DAA">
        <w:rPr>
          <w:color w:val="000000" w:themeColor="text1"/>
        </w:rPr>
        <w:t xml:space="preserve">and air is </w:t>
      </w:r>
      <w:r w:rsidR="00206887">
        <w:rPr>
          <w:color w:val="000000" w:themeColor="text1"/>
        </w:rPr>
        <w:t>considered</w:t>
      </w:r>
      <w:r w:rsidR="00206887" w:rsidRPr="002E0DAA">
        <w:rPr>
          <w:color w:val="000000" w:themeColor="text1"/>
        </w:rPr>
        <w:t xml:space="preserve"> </w:t>
      </w:r>
      <w:r w:rsidR="00B5134A" w:rsidRPr="002E0DAA">
        <w:rPr>
          <w:color w:val="000000" w:themeColor="text1"/>
        </w:rPr>
        <w:t>as</w:t>
      </w:r>
      <w:r w:rsidR="00085264" w:rsidRPr="002E0DAA">
        <w:rPr>
          <w:color w:val="000000" w:themeColor="text1"/>
        </w:rPr>
        <w:t xml:space="preserve"> the residual gas. </w:t>
      </w:r>
      <w:r w:rsidR="00ED2561">
        <w:rPr>
          <w:color w:val="000000" w:themeColor="text1"/>
        </w:rPr>
        <w:t>T</w:t>
      </w:r>
      <w:r w:rsidR="00686F4B" w:rsidRPr="002E0DAA">
        <w:rPr>
          <w:color w:val="000000" w:themeColor="text1"/>
        </w:rPr>
        <w:t>he degradation temperature (</w:t>
      </w:r>
      <w:proofErr w:type="spellStart"/>
      <w:r w:rsidR="00686F4B" w:rsidRPr="002E0DAA">
        <w:rPr>
          <w:i/>
          <w:color w:val="000000" w:themeColor="text1"/>
        </w:rPr>
        <w:t>T</w:t>
      </w:r>
      <w:r w:rsidR="00686F4B" w:rsidRPr="002E0DAA">
        <w:rPr>
          <w:i/>
          <w:color w:val="000000" w:themeColor="text1"/>
          <w:vertAlign w:val="subscript"/>
        </w:rPr>
        <w:t>deg</w:t>
      </w:r>
      <w:proofErr w:type="spellEnd"/>
      <w:r w:rsidR="00686F4B" w:rsidRPr="002E0DAA">
        <w:rPr>
          <w:color w:val="000000" w:themeColor="text1"/>
        </w:rPr>
        <w:t>) was defined as 660 °C</w:t>
      </w:r>
      <w:r w:rsidR="00206887">
        <w:rPr>
          <w:color w:val="000000" w:themeColor="text1"/>
        </w:rPr>
        <w:t xml:space="preserve"> (</w:t>
      </w:r>
      <w:proofErr w:type="gramStart"/>
      <w:r w:rsidR="00206887">
        <w:rPr>
          <w:color w:val="000000" w:themeColor="text1"/>
        </w:rPr>
        <w:t>i.e..</w:t>
      </w:r>
      <w:proofErr w:type="gramEnd"/>
      <w:r w:rsidR="00206887">
        <w:rPr>
          <w:color w:val="000000" w:themeColor="text1"/>
        </w:rPr>
        <w:t xml:space="preserve"> </w:t>
      </w:r>
      <w:r w:rsidR="00686F4B" w:rsidRPr="002E0DAA">
        <w:rPr>
          <w:color w:val="000000" w:themeColor="text1"/>
        </w:rPr>
        <w:t xml:space="preserve"> the melting point of aluminum</w:t>
      </w:r>
      <w:r w:rsidR="00206887">
        <w:rPr>
          <w:color w:val="000000" w:themeColor="text1"/>
        </w:rPr>
        <w:t>)</w:t>
      </w:r>
      <w:r w:rsidR="00686F4B" w:rsidRPr="002E0DAA">
        <w:rPr>
          <w:color w:val="000000" w:themeColor="text1"/>
        </w:rPr>
        <w:t xml:space="preserve">. </w:t>
      </w:r>
      <w:r w:rsidRPr="002E0DAA">
        <w:rPr>
          <w:color w:val="000000" w:themeColor="text1"/>
        </w:rPr>
        <w:t>All the other data needed to close the model set of equations for the specific MLI considered are</w:t>
      </w:r>
      <w:r w:rsidR="00A20CAE" w:rsidRPr="002E0DAA">
        <w:rPr>
          <w:color w:val="000000" w:themeColor="text1"/>
        </w:rPr>
        <w:t xml:space="preserve"> assumed from previous works and </w:t>
      </w:r>
      <w:r w:rsidR="00206887">
        <w:rPr>
          <w:color w:val="000000" w:themeColor="text1"/>
        </w:rPr>
        <w:t>can be found</w:t>
      </w:r>
      <w:r w:rsidRPr="002E0DAA">
        <w:rPr>
          <w:color w:val="000000" w:themeColor="text1"/>
        </w:rPr>
        <w:t xml:space="preserve"> </w:t>
      </w:r>
      <w:r w:rsidR="00A20CAE" w:rsidRPr="002E0DAA">
        <w:rPr>
          <w:color w:val="000000" w:themeColor="text1"/>
        </w:rPr>
        <w:t xml:space="preserve">elsewhere </w:t>
      </w:r>
      <w:r w:rsidR="00A20CAE" w:rsidRPr="002E0DAA">
        <w:rPr>
          <w:noProof/>
          <w:color w:val="000000" w:themeColor="text1"/>
        </w:rPr>
        <w:t>(Camplese et al., 2024)</w:t>
      </w:r>
      <w:r w:rsidRPr="002E0DAA">
        <w:rPr>
          <w:color w:val="000000" w:themeColor="text1"/>
        </w:rPr>
        <w:t xml:space="preserve">. </w:t>
      </w:r>
      <w:r w:rsidR="00686F4B" w:rsidRPr="002E0DAA">
        <w:rPr>
          <w:color w:val="000000" w:themeColor="text1"/>
        </w:rPr>
        <w:t xml:space="preserve">In each simulation run, the MLI parameters were kept constant except for the number of layers (N), which ranged from 20 to 80 to encompass typical commercial applications, and the pressure within the insulation system, which varied between 0.001 Pa (representative of typical high-vacuum conditions) and atmospheric value. </w:t>
      </w:r>
      <w:r w:rsidR="00B5134A" w:rsidRPr="002E0DAA">
        <w:rPr>
          <w:color w:val="000000" w:themeColor="text1"/>
        </w:rPr>
        <w:t>It is worth mentioning that the</w:t>
      </w:r>
      <w:r w:rsidR="00686F4B" w:rsidRPr="002E0DAA">
        <w:rPr>
          <w:color w:val="000000" w:themeColor="text1"/>
        </w:rPr>
        <w:t xml:space="preserve"> value</w:t>
      </w:r>
      <w:r w:rsidR="00B5134A" w:rsidRPr="002E0DAA">
        <w:rPr>
          <w:color w:val="000000" w:themeColor="text1"/>
        </w:rPr>
        <w:t xml:space="preserve"> of pressure</w:t>
      </w:r>
      <w:r w:rsidR="00686F4B" w:rsidRPr="002E0DAA">
        <w:rPr>
          <w:color w:val="000000" w:themeColor="text1"/>
        </w:rPr>
        <w:t xml:space="preserve"> within the MLI system has a critical impact on the insulation performa</w:t>
      </w:r>
      <w:r w:rsidR="00F6322E">
        <w:rPr>
          <w:color w:val="000000" w:themeColor="text1"/>
        </w:rPr>
        <w:t>n</w:t>
      </w:r>
      <w:r w:rsidR="00686F4B" w:rsidRPr="002E0DAA">
        <w:rPr>
          <w:color w:val="000000" w:themeColor="text1"/>
        </w:rPr>
        <w:t>ce</w:t>
      </w:r>
      <w:r w:rsidR="00B67CE0">
        <w:rPr>
          <w:color w:val="000000" w:themeColor="text1"/>
        </w:rPr>
        <w:t xml:space="preserve"> </w:t>
      </w:r>
      <w:r w:rsidR="00206887">
        <w:rPr>
          <w:color w:val="000000" w:themeColor="text1"/>
        </w:rPr>
        <w:t xml:space="preserve">at </w:t>
      </w:r>
      <w:r w:rsidR="00B67CE0">
        <w:rPr>
          <w:color w:val="000000" w:themeColor="text1"/>
        </w:rPr>
        <w:t>room temperatures</w:t>
      </w:r>
      <w:r w:rsidR="00686F4B" w:rsidRPr="002E0DAA">
        <w:rPr>
          <w:color w:val="000000" w:themeColor="text1"/>
        </w:rPr>
        <w:t xml:space="preserve"> </w:t>
      </w:r>
      <w:r w:rsidR="00F6322E" w:rsidRPr="00F6322E">
        <w:rPr>
          <w:noProof/>
          <w:color w:val="000000" w:themeColor="text1"/>
        </w:rPr>
        <w:t>(Edward and Filip, 2018)</w:t>
      </w:r>
      <w:r w:rsidR="00686F4B" w:rsidRPr="002E0DAA">
        <w:rPr>
          <w:color w:val="000000" w:themeColor="text1"/>
        </w:rPr>
        <w:t xml:space="preserve">, as loss of vacuum has been demonstrated to reduce the insulation effectiveness by a factor of 100 and 1000 times compared to high-vacuum. Such vacuum loss is </w:t>
      </w:r>
      <w:r w:rsidR="00206887">
        <w:rPr>
          <w:color w:val="000000" w:themeColor="text1"/>
        </w:rPr>
        <w:t>to occur in fire scenarios</w:t>
      </w:r>
      <w:r w:rsidR="00B67CE0">
        <w:rPr>
          <w:color w:val="000000" w:themeColor="text1"/>
        </w:rPr>
        <w:t xml:space="preserve"> </w:t>
      </w:r>
      <w:r w:rsidR="00B67CE0" w:rsidRPr="00B67CE0">
        <w:rPr>
          <w:noProof/>
          <w:color w:val="000000" w:themeColor="text1"/>
        </w:rPr>
        <w:t>(van Wingerden et al., 2022)</w:t>
      </w:r>
      <w:r w:rsidR="00686F4B" w:rsidRPr="002E0DAA">
        <w:rPr>
          <w:color w:val="000000" w:themeColor="text1"/>
        </w:rPr>
        <w:t xml:space="preserve">; however, its direct impact on </w:t>
      </w:r>
      <w:r w:rsidR="00B67CE0">
        <w:rPr>
          <w:color w:val="000000" w:themeColor="text1"/>
        </w:rPr>
        <w:t xml:space="preserve">insulation properties in </w:t>
      </w:r>
      <w:r w:rsidR="00206887">
        <w:rPr>
          <w:color w:val="000000" w:themeColor="text1"/>
        </w:rPr>
        <w:t xml:space="preserve">these </w:t>
      </w:r>
      <w:r w:rsidR="00B67CE0">
        <w:rPr>
          <w:color w:val="000000" w:themeColor="text1"/>
        </w:rPr>
        <w:t>conditions</w:t>
      </w:r>
      <w:r w:rsidR="00686F4B" w:rsidRPr="002E0DAA">
        <w:rPr>
          <w:color w:val="000000" w:themeColor="text1"/>
        </w:rPr>
        <w:t xml:space="preserve"> has been scarcely investigated</w:t>
      </w:r>
      <w:r w:rsidR="00B67CE0">
        <w:rPr>
          <w:color w:val="000000" w:themeColor="text1"/>
        </w:rPr>
        <w:t xml:space="preserve"> in the past</w:t>
      </w:r>
      <w:r w:rsidR="00686F4B" w:rsidRPr="002E0DAA">
        <w:rPr>
          <w:color w:val="000000" w:themeColor="text1"/>
        </w:rPr>
        <w:t>.</w:t>
      </w:r>
      <w:r w:rsidR="00B67CE0">
        <w:rPr>
          <w:color w:val="000000" w:themeColor="text1"/>
        </w:rPr>
        <w:t xml:space="preserve"> </w:t>
      </w:r>
      <w:r w:rsidR="006B5B21" w:rsidRPr="002E0DAA">
        <w:rPr>
          <w:color w:val="000000" w:themeColor="text1"/>
        </w:rPr>
        <w:t>The reference scenario selected for the analysis is a full engulfment</w:t>
      </w:r>
      <w:r w:rsidR="00431FCE">
        <w:rPr>
          <w:color w:val="000000" w:themeColor="text1"/>
        </w:rPr>
        <w:t xml:space="preserve"> </w:t>
      </w:r>
      <w:r w:rsidR="006B5B21" w:rsidRPr="002E0DAA">
        <w:rPr>
          <w:color w:val="000000" w:themeColor="text1"/>
        </w:rPr>
        <w:t>pool</w:t>
      </w:r>
      <w:r w:rsidR="00671CEC">
        <w:rPr>
          <w:color w:val="000000" w:themeColor="text1"/>
        </w:rPr>
        <w:t xml:space="preserve"> </w:t>
      </w:r>
      <w:r w:rsidR="006B5B21" w:rsidRPr="002E0DAA">
        <w:rPr>
          <w:color w:val="000000" w:themeColor="text1"/>
        </w:rPr>
        <w:t>fire, with a flame temperature (</w:t>
      </w:r>
      <w:proofErr w:type="spellStart"/>
      <w:r w:rsidR="006B5B21" w:rsidRPr="00B67CE0">
        <w:rPr>
          <w:i/>
          <w:color w:val="000000" w:themeColor="text1"/>
        </w:rPr>
        <w:t>T</w:t>
      </w:r>
      <w:r w:rsidR="006B5B21" w:rsidRPr="00B67CE0">
        <w:rPr>
          <w:i/>
          <w:color w:val="000000" w:themeColor="text1"/>
          <w:vertAlign w:val="subscript"/>
        </w:rPr>
        <w:t>f</w:t>
      </w:r>
      <w:proofErr w:type="spellEnd"/>
      <w:r w:rsidR="006B5B21" w:rsidRPr="002E0DAA">
        <w:rPr>
          <w:color w:val="000000" w:themeColor="text1"/>
        </w:rPr>
        <w:t xml:space="preserve">) defined </w:t>
      </w:r>
      <w:r w:rsidR="000C374B">
        <w:rPr>
          <w:color w:val="000000" w:themeColor="text1"/>
        </w:rPr>
        <w:t>through</w:t>
      </w:r>
      <w:r w:rsidR="0061294C" w:rsidRPr="002E0DAA">
        <w:rPr>
          <w:color w:val="000000" w:themeColor="text1"/>
        </w:rPr>
        <w:t xml:space="preserve"> </w:t>
      </w:r>
      <w:r w:rsidR="006B5B21" w:rsidRPr="002E0DAA">
        <w:rPr>
          <w:color w:val="000000" w:themeColor="text1"/>
        </w:rPr>
        <w:t xml:space="preserve">a standard hydrocarbon flame curve </w:t>
      </w:r>
      <w:r w:rsidR="006B5B21" w:rsidRPr="000C374B">
        <w:rPr>
          <w:color w:val="000000" w:themeColor="text1"/>
        </w:rPr>
        <w:t>(</w:t>
      </w:r>
      <w:r w:rsidR="000C374B" w:rsidRPr="000C374B">
        <w:rPr>
          <w:color w:val="000000" w:themeColor="text1"/>
        </w:rPr>
        <w:t>EN 1993-1-4:2006</w:t>
      </w:r>
      <w:r w:rsidR="006B5B21" w:rsidRPr="002E0DAA">
        <w:rPr>
          <w:color w:val="000000" w:themeColor="text1"/>
        </w:rPr>
        <w:t>)</w:t>
      </w:r>
      <w:r w:rsidR="0061294C" w:rsidRPr="002E0DAA">
        <w:rPr>
          <w:color w:val="000000" w:themeColor="text1"/>
        </w:rPr>
        <w:t xml:space="preserve">. This </w:t>
      </w:r>
      <w:r w:rsidR="00206887">
        <w:rPr>
          <w:color w:val="000000" w:themeColor="text1"/>
        </w:rPr>
        <w:t>presents</w:t>
      </w:r>
      <w:r w:rsidR="006B5B21" w:rsidRPr="002E0DAA">
        <w:rPr>
          <w:color w:val="000000" w:themeColor="text1"/>
        </w:rPr>
        <w:t xml:space="preserve"> a maximum flame temperature of 1100°C</w:t>
      </w:r>
      <w:r w:rsidR="00626CBD" w:rsidRPr="002E0DAA">
        <w:rPr>
          <w:color w:val="000000" w:themeColor="text1"/>
        </w:rPr>
        <w:t>.</w:t>
      </w:r>
      <w:r w:rsidR="00DF3D00">
        <w:rPr>
          <w:color w:val="000000" w:themeColor="text1"/>
        </w:rPr>
        <w:t xml:space="preserve"> </w:t>
      </w:r>
      <w:r w:rsidR="00076345" w:rsidRPr="002E0DAA">
        <w:rPr>
          <w:color w:val="000000" w:themeColor="text1"/>
        </w:rPr>
        <w:t>The initial temperature profile at each node reflects the steady-state solution derived from constant boundary temperatures: a liquid temperature of -252.75 °C</w:t>
      </w:r>
      <w:r w:rsidR="00B67CE0">
        <w:rPr>
          <w:color w:val="000000" w:themeColor="text1"/>
        </w:rPr>
        <w:t>,</w:t>
      </w:r>
      <w:r w:rsidR="00076345" w:rsidRPr="002E0DAA">
        <w:rPr>
          <w:color w:val="000000" w:themeColor="text1"/>
        </w:rPr>
        <w:t xml:space="preserve"> an outer shell temperature of 25 °C</w:t>
      </w:r>
      <w:r w:rsidR="002E0DAA">
        <w:rPr>
          <w:color w:val="000000" w:themeColor="text1"/>
        </w:rPr>
        <w:t>, and high-vacuum pressure within the MLI system (i.e., 0.001 Pa)</w:t>
      </w:r>
      <w:r w:rsidR="00076345" w:rsidRPr="002E0DAA">
        <w:rPr>
          <w:color w:val="000000" w:themeColor="text1"/>
        </w:rPr>
        <w:t>. This setup represents the system</w:t>
      </w:r>
      <w:r w:rsidR="00537E03">
        <w:rPr>
          <w:color w:val="000000" w:themeColor="text1"/>
        </w:rPr>
        <w:t xml:space="preserve"> </w:t>
      </w:r>
      <w:r w:rsidR="00076345" w:rsidRPr="002E0DAA">
        <w:rPr>
          <w:color w:val="000000" w:themeColor="text1"/>
        </w:rPr>
        <w:t>condition before exposure to fire.</w:t>
      </w:r>
      <w:r w:rsidR="00DF3D00">
        <w:rPr>
          <w:color w:val="000000" w:themeColor="text1"/>
        </w:rPr>
        <w:t xml:space="preserve"> </w:t>
      </w:r>
      <w:r w:rsidR="00431FCE">
        <w:rPr>
          <w:color w:val="000000" w:themeColor="text1"/>
        </w:rPr>
        <w:t>At t=0 s</w:t>
      </w:r>
      <w:r w:rsidR="00DF3D00">
        <w:rPr>
          <w:color w:val="000000" w:themeColor="text1"/>
        </w:rPr>
        <w:t xml:space="preserve"> </w:t>
      </w:r>
      <w:r w:rsidR="00431FCE">
        <w:rPr>
          <w:color w:val="000000" w:themeColor="text1"/>
        </w:rPr>
        <w:t>fire is ignited</w:t>
      </w:r>
      <w:r w:rsidR="00DF3D00">
        <w:rPr>
          <w:color w:val="000000" w:themeColor="text1"/>
        </w:rPr>
        <w:t xml:space="preserve"> and the simulation run</w:t>
      </w:r>
      <w:r w:rsidR="00B67CE0">
        <w:rPr>
          <w:color w:val="000000" w:themeColor="text1"/>
        </w:rPr>
        <w:t>s</w:t>
      </w:r>
      <w:r w:rsidR="00DF3D00">
        <w:rPr>
          <w:color w:val="000000" w:themeColor="text1"/>
        </w:rPr>
        <w:t xml:space="preserve"> up to the minimum value between TTF and 60 min</w:t>
      </w:r>
      <w:r w:rsidR="00206887">
        <w:rPr>
          <w:color w:val="000000" w:themeColor="text1"/>
        </w:rPr>
        <w:t>,</w:t>
      </w:r>
      <w:r w:rsidR="00DF3D00">
        <w:rPr>
          <w:color w:val="000000" w:themeColor="text1"/>
        </w:rPr>
        <w:t xml:space="preserve"> with a timestep of 0.05 s.</w:t>
      </w:r>
    </w:p>
    <w:p w14:paraId="73D9241A" w14:textId="2EEC55D6" w:rsidR="00F63174" w:rsidRDefault="00F63174" w:rsidP="00F63174">
      <w:pPr>
        <w:pStyle w:val="CETHeading1"/>
      </w:pPr>
      <w:r>
        <w:t>Results and discussion</w:t>
      </w:r>
    </w:p>
    <w:p w14:paraId="60A4342C" w14:textId="0E22FDC2" w:rsidR="00D84AAB" w:rsidRDefault="000C23EA" w:rsidP="00D84AAB">
      <w:pPr>
        <w:pStyle w:val="CETBodytext"/>
        <w:rPr>
          <w:color w:val="000000" w:themeColor="text1"/>
        </w:rPr>
      </w:pPr>
      <w:r w:rsidRPr="000C374B">
        <w:rPr>
          <w:color w:val="000000" w:themeColor="text1"/>
        </w:rPr>
        <w:t xml:space="preserve">Figure </w:t>
      </w:r>
      <w:r w:rsidRPr="000C374B">
        <w:rPr>
          <w:noProof/>
          <w:color w:val="000000" w:themeColor="text1"/>
        </w:rPr>
        <w:t>2</w:t>
      </w:r>
      <w:r w:rsidRPr="000C374B">
        <w:rPr>
          <w:color w:val="000000" w:themeColor="text1"/>
        </w:rPr>
        <w:t xml:space="preserve">a </w:t>
      </w:r>
      <w:r>
        <w:rPr>
          <w:color w:val="000000" w:themeColor="text1"/>
        </w:rPr>
        <w:t xml:space="preserve">presents </w:t>
      </w:r>
      <w:r w:rsidRPr="002E0DAA">
        <w:rPr>
          <w:color w:val="000000" w:themeColor="text1"/>
        </w:rPr>
        <w:t>the</w:t>
      </w:r>
      <w:r>
        <w:rPr>
          <w:color w:val="000000" w:themeColor="text1"/>
        </w:rPr>
        <w:t xml:space="preserve"> </w:t>
      </w:r>
      <w:r w:rsidRPr="002E0DAA">
        <w:rPr>
          <w:color w:val="000000" w:themeColor="text1"/>
        </w:rPr>
        <w:t>estimated</w:t>
      </w:r>
      <w:r>
        <w:rPr>
          <w:color w:val="000000" w:themeColor="text1"/>
        </w:rPr>
        <w:t xml:space="preserve"> time to failure (TTF) as a function of the number of MLI layers and the working pressure within the insulation system. In the specific fire scenario under investigation, mechanical failure of the tank occurred for all the MLI configurations considered, showing that intense fire conditions can severely threaten the integrity of MLI-equipped LH</w:t>
      </w:r>
      <w:r w:rsidRPr="001C4104">
        <w:rPr>
          <w:color w:val="000000" w:themeColor="text1"/>
          <w:vertAlign w:val="subscript"/>
        </w:rPr>
        <w:t>2</w:t>
      </w:r>
      <w:r>
        <w:rPr>
          <w:color w:val="000000" w:themeColor="text1"/>
        </w:rPr>
        <w:t xml:space="preserve"> tanks. Increasing the number of layers has a limited beneficial effect on TTF, with failure delayed by 1 min 40 s to 3 min </w:t>
      </w:r>
      <w:r w:rsidR="00567BE5">
        <w:rPr>
          <w:color w:val="000000" w:themeColor="text1"/>
        </w:rPr>
        <w:t xml:space="preserve">regarding </w:t>
      </w:r>
      <w:r>
        <w:rPr>
          <w:color w:val="000000" w:themeColor="text1"/>
        </w:rPr>
        <w:t xml:space="preserve">80 layers </w:t>
      </w:r>
      <w:r w:rsidR="00567BE5">
        <w:rPr>
          <w:color w:val="000000" w:themeColor="text1"/>
        </w:rPr>
        <w:t xml:space="preserve">compared to 20 layers, </w:t>
      </w:r>
      <w:r>
        <w:rPr>
          <w:color w:val="000000" w:themeColor="text1"/>
        </w:rPr>
        <w:t xml:space="preserve">at a constant insulation pressure. On the contrary, the insulation pressure has a substantial impact on TTF: shifting from high-vacuum (i.e., 0.001, 0.1, and 1 Pa, according to standards definitions </w:t>
      </w:r>
      <w:r w:rsidR="00C2228E" w:rsidRPr="00C2228E">
        <w:rPr>
          <w:noProof/>
          <w:color w:val="000000" w:themeColor="text1"/>
        </w:rPr>
        <w:t>(American Society for Testing and Materials, 2019)</w:t>
      </w:r>
      <w:r>
        <w:rPr>
          <w:color w:val="000000" w:themeColor="text1"/>
        </w:rPr>
        <w:t xml:space="preserve"> to no vacuum (i.e.,10</w:t>
      </w:r>
      <w:r w:rsidRPr="00DF3D00">
        <w:rPr>
          <w:color w:val="000000" w:themeColor="text1"/>
          <w:vertAlign w:val="superscript"/>
        </w:rPr>
        <w:t>3</w:t>
      </w:r>
      <w:r>
        <w:rPr>
          <w:color w:val="000000" w:themeColor="text1"/>
        </w:rPr>
        <w:t xml:space="preserve"> and 10</w:t>
      </w:r>
      <w:r w:rsidRPr="00DF3D00">
        <w:rPr>
          <w:color w:val="000000" w:themeColor="text1"/>
          <w:vertAlign w:val="superscript"/>
        </w:rPr>
        <w:t>5</w:t>
      </w:r>
      <w:r>
        <w:rPr>
          <w:color w:val="000000" w:themeColor="text1"/>
        </w:rPr>
        <w:t xml:space="preserve"> Pa) condition</w:t>
      </w:r>
      <w:r w:rsidR="00206887">
        <w:rPr>
          <w:color w:val="000000" w:themeColor="text1"/>
        </w:rPr>
        <w:t>s</w:t>
      </w:r>
      <w:r>
        <w:rPr>
          <w:color w:val="000000" w:themeColor="text1"/>
        </w:rPr>
        <w:t xml:space="preserve"> increases the TTF about 3</w:t>
      </w:r>
      <w:r w:rsidR="00206887">
        <w:rPr>
          <w:color w:val="000000" w:themeColor="text1"/>
        </w:rPr>
        <w:t xml:space="preserve"> times</w:t>
      </w:r>
      <w:r>
        <w:rPr>
          <w:color w:val="000000" w:themeColor="text1"/>
        </w:rPr>
        <w:t>. The longest failure resistance was achieved for the tank equipped with an 80-layer MLI under complete loss of vacuum (TTF= 3</w:t>
      </w:r>
      <w:r w:rsidR="003D55CB">
        <w:rPr>
          <w:color w:val="000000" w:themeColor="text1"/>
        </w:rPr>
        <w:t>0</w:t>
      </w:r>
      <w:r>
        <w:rPr>
          <w:color w:val="000000" w:themeColor="text1"/>
        </w:rPr>
        <w:t xml:space="preserve"> min </w:t>
      </w:r>
      <w:r w:rsidR="003D55CB">
        <w:rPr>
          <w:color w:val="000000" w:themeColor="text1"/>
        </w:rPr>
        <w:t>4</w:t>
      </w:r>
      <w:r>
        <w:rPr>
          <w:color w:val="000000" w:themeColor="text1"/>
        </w:rPr>
        <w:t>0 s). In comparison, the shortest TTF (</w:t>
      </w:r>
      <w:r w:rsidR="003D55CB">
        <w:rPr>
          <w:color w:val="000000" w:themeColor="text1"/>
        </w:rPr>
        <w:t>10 min</w:t>
      </w:r>
      <w:r>
        <w:rPr>
          <w:color w:val="000000" w:themeColor="text1"/>
        </w:rPr>
        <w:t xml:space="preserve">) was observed for a 20-layer MLI </w:t>
      </w:r>
      <w:r w:rsidR="003D55CB">
        <w:rPr>
          <w:color w:val="000000" w:themeColor="text1"/>
        </w:rPr>
        <w:t xml:space="preserve">at high vacuum conditions </w:t>
      </w:r>
      <w:r>
        <w:rPr>
          <w:color w:val="000000" w:themeColor="text1"/>
        </w:rPr>
        <w:t xml:space="preserve">(i.e., </w:t>
      </w:r>
      <w:r w:rsidR="003D55CB">
        <w:rPr>
          <w:color w:val="000000" w:themeColor="text1"/>
        </w:rPr>
        <w:t>0.00</w:t>
      </w:r>
      <w:r>
        <w:rPr>
          <w:color w:val="000000" w:themeColor="text1"/>
        </w:rPr>
        <w:t>1 Pa).</w:t>
      </w:r>
      <w:r w:rsidR="00ED2561">
        <w:rPr>
          <w:color w:val="000000" w:themeColor="text1"/>
        </w:rPr>
        <w:t xml:space="preserve"> </w:t>
      </w:r>
      <w:r>
        <w:rPr>
          <w:color w:val="000000" w:themeColor="text1"/>
        </w:rPr>
        <w:t xml:space="preserve">Although vacuum loss </w:t>
      </w:r>
      <w:r w:rsidR="00206887">
        <w:rPr>
          <w:color w:val="000000" w:themeColor="text1"/>
        </w:rPr>
        <w:t>must be prevented in normal operating</w:t>
      </w:r>
      <w:r>
        <w:rPr>
          <w:color w:val="000000" w:themeColor="text1"/>
        </w:rPr>
        <w:t xml:space="preserve"> conditions </w:t>
      </w:r>
      <w:r w:rsidR="00206887">
        <w:rPr>
          <w:color w:val="000000" w:themeColor="text1"/>
        </w:rPr>
        <w:t xml:space="preserve">(it causes a severe drop in </w:t>
      </w:r>
      <w:r>
        <w:rPr>
          <w:color w:val="000000" w:themeColor="text1"/>
        </w:rPr>
        <w:t>insulation performances</w:t>
      </w:r>
      <w:r w:rsidR="00206887">
        <w:rPr>
          <w:color w:val="000000" w:themeColor="text1"/>
        </w:rPr>
        <w:t>)</w:t>
      </w:r>
      <w:r>
        <w:rPr>
          <w:color w:val="000000" w:themeColor="text1"/>
        </w:rPr>
        <w:t xml:space="preserve">, simulations </w:t>
      </w:r>
      <w:r w:rsidR="00206887">
        <w:rPr>
          <w:color w:val="000000" w:themeColor="text1"/>
        </w:rPr>
        <w:t xml:space="preserve">of </w:t>
      </w:r>
      <w:r>
        <w:rPr>
          <w:color w:val="000000" w:themeColor="text1"/>
        </w:rPr>
        <w:t xml:space="preserve">fire scenarios indicate </w:t>
      </w:r>
      <w:r w:rsidR="00206887">
        <w:rPr>
          <w:color w:val="000000" w:themeColor="text1"/>
        </w:rPr>
        <w:t>an i</w:t>
      </w:r>
      <w:r w:rsidR="005749F7">
        <w:rPr>
          <w:color w:val="000000" w:themeColor="text1"/>
        </w:rPr>
        <w:t>n</w:t>
      </w:r>
      <w:r w:rsidR="00206887">
        <w:rPr>
          <w:color w:val="000000" w:themeColor="text1"/>
        </w:rPr>
        <w:t>crease of pressure in the gap</w:t>
      </w:r>
      <w:r>
        <w:rPr>
          <w:color w:val="000000" w:themeColor="text1"/>
        </w:rPr>
        <w:t xml:space="preserve"> may </w:t>
      </w:r>
      <w:r w:rsidR="00206887">
        <w:rPr>
          <w:color w:val="000000" w:themeColor="text1"/>
        </w:rPr>
        <w:t>improve</w:t>
      </w:r>
      <w:r>
        <w:rPr>
          <w:color w:val="000000" w:themeColor="text1"/>
        </w:rPr>
        <w:t xml:space="preserve"> the fire </w:t>
      </w:r>
      <w:r w:rsidR="00206887">
        <w:rPr>
          <w:color w:val="000000" w:themeColor="text1"/>
        </w:rPr>
        <w:t xml:space="preserve">resistance </w:t>
      </w:r>
      <w:r>
        <w:rPr>
          <w:color w:val="000000" w:themeColor="text1"/>
        </w:rPr>
        <w:t>of LH</w:t>
      </w:r>
      <w:r w:rsidRPr="00DF3D00">
        <w:rPr>
          <w:color w:val="000000" w:themeColor="text1"/>
          <w:vertAlign w:val="subscript"/>
        </w:rPr>
        <w:t>2</w:t>
      </w:r>
      <w:r>
        <w:rPr>
          <w:color w:val="000000" w:themeColor="text1"/>
        </w:rPr>
        <w:t xml:space="preserve"> tanks featuring MLI systems</w:t>
      </w:r>
      <w:r w:rsidR="00E548C1">
        <w:rPr>
          <w:color w:val="000000" w:themeColor="text1"/>
        </w:rPr>
        <w:t>.</w:t>
      </w:r>
      <w:r w:rsidR="005D79E5">
        <w:rPr>
          <w:color w:val="000000" w:themeColor="text1"/>
        </w:rPr>
        <w:t xml:space="preserve"> </w:t>
      </w:r>
      <w:r w:rsidR="005D79E5" w:rsidRPr="007A154F">
        <w:rPr>
          <w:color w:val="000000" w:themeColor="text1"/>
        </w:rPr>
        <w:t xml:space="preserve">Such results are in line with what observed experimentally by </w:t>
      </w:r>
      <w:r w:rsidR="005D79E5" w:rsidRPr="007A154F">
        <w:rPr>
          <w:color w:val="000000" w:themeColor="text1"/>
        </w:rPr>
        <w:fldChar w:fldCharType="begin" w:fldLock="1"/>
      </w:r>
      <w:r w:rsidR="004D0E0C" w:rsidRPr="007A154F">
        <w:rPr>
          <w:color w:val="000000" w:themeColor="text1"/>
        </w:rPr>
        <w:instrText>ADDIN CSL_CITATION {"citationItems":[{"id":"ITEM-1","itemData":{"DOI":"10.5281/zenodo.12621001","author":[{"dropping-particle":"","family":"Eberwein","given":"Robert","non-dropping-particle":"","parse-names":false,"suffix":""},{"dropping-particle":"","family":"Hajhariri","given":"Aliasghar","non-dropping-particle":"","parse-names":false,"suffix":""},{"dropping-particle":"","family":"Camplese","given":"Davide","non-dropping-particle":"","parse-names":false,"suffix":""},{"dropping-particle":"","family":"Scarponi","given":"Giordano Emrys","non-dropping-particle":"","parse-names":false,"suffix":""},{"dropping-particle":"","family":"Cozzani","given":"Valerio","non-dropping-particle":"","parse-names":false,"suffix":""},{"dropping-particle":"","family":"Otremba","given":"Frank","non-dropping-particle":"","parse-names":false,"suffix":""}],"container-title":"15th ISHPMIE","id":"ITEM-1","issued":{"date-parts":[["2024"]]},"publisher-place":"Naples","title":"Experimental Research Of A Tank For A Cryogenic Fluid With A Wall Rupture In A Fire Scenario","type":"paper-conference"},"uris":["http://www.mendeley.com/documents/?uuid=45502d67-e535-4285-9c16-73dbcb051231"]}],"mendeley":{"formattedCitation":"(Eberwein et al., 2024)","manualFormatting":"Eberwein et al. (2024b)","plainTextFormattedCitation":"(Eberwein et al., 2024)","previouslyFormattedCitation":"(Eberwein et al., 2024)"},"properties":{"noteIndex":0},"schema":"https://github.com/citation-style-language/schema/raw/master/csl-citation.json"}</w:instrText>
      </w:r>
      <w:r w:rsidR="005D79E5" w:rsidRPr="007A154F">
        <w:rPr>
          <w:color w:val="000000" w:themeColor="text1"/>
        </w:rPr>
        <w:fldChar w:fldCharType="separate"/>
      </w:r>
      <w:r w:rsidR="005D79E5" w:rsidRPr="007A154F">
        <w:rPr>
          <w:noProof/>
          <w:color w:val="000000" w:themeColor="text1"/>
        </w:rPr>
        <w:t>Eberwein et al. (2024</w:t>
      </w:r>
      <w:r w:rsidR="004D0E0C" w:rsidRPr="007A154F">
        <w:rPr>
          <w:noProof/>
          <w:color w:val="000000" w:themeColor="text1"/>
        </w:rPr>
        <w:t>b</w:t>
      </w:r>
      <w:r w:rsidR="005D79E5" w:rsidRPr="007A154F">
        <w:rPr>
          <w:noProof/>
          <w:color w:val="000000" w:themeColor="text1"/>
        </w:rPr>
        <w:t>)</w:t>
      </w:r>
      <w:r w:rsidR="005D79E5" w:rsidRPr="007A154F">
        <w:rPr>
          <w:color w:val="000000" w:themeColor="text1"/>
        </w:rPr>
        <w:fldChar w:fldCharType="end"/>
      </w:r>
      <w:r w:rsidR="005D79E5" w:rsidRPr="007A154F">
        <w:rPr>
          <w:color w:val="000000" w:themeColor="text1"/>
        </w:rPr>
        <w:t xml:space="preserve"> on a </w:t>
      </w:r>
      <w:r w:rsidR="002465A8" w:rsidRPr="007A154F">
        <w:rPr>
          <w:color w:val="000000" w:themeColor="text1"/>
        </w:rPr>
        <w:t xml:space="preserve">combustible </w:t>
      </w:r>
      <w:r w:rsidR="005D79E5" w:rsidRPr="007A154F">
        <w:rPr>
          <w:color w:val="000000" w:themeColor="text1"/>
        </w:rPr>
        <w:t>MLI.</w:t>
      </w:r>
    </w:p>
    <w:p w14:paraId="694FE74D" w14:textId="39695C99" w:rsidR="00D84AAB" w:rsidRPr="00D84AAB" w:rsidRDefault="000C23EA" w:rsidP="00D84AAB">
      <w:pPr>
        <w:pStyle w:val="CETBodytext"/>
      </w:pPr>
      <w:r>
        <w:rPr>
          <w:color w:val="000000" w:themeColor="text1"/>
        </w:rPr>
        <w:t xml:space="preserve">The reasons for this effect </w:t>
      </w:r>
      <w:r w:rsidR="00206887">
        <w:rPr>
          <w:color w:val="000000" w:themeColor="text1"/>
        </w:rPr>
        <w:t>can be understood by analyzing t</w:t>
      </w:r>
      <w:r w:rsidR="004E77CF">
        <w:rPr>
          <w:color w:val="000000" w:themeColor="text1"/>
        </w:rPr>
        <w:t>w</w:t>
      </w:r>
      <w:r w:rsidR="00206887">
        <w:rPr>
          <w:color w:val="000000" w:themeColor="text1"/>
        </w:rPr>
        <w:t xml:space="preserve">o reference cases: </w:t>
      </w:r>
      <w:r w:rsidR="00206887">
        <w:t>Case A, where the tank features a 20-layer MLI that operates at 0.001 Pa, and Case B, where the 20-layer MLI operates at 10</w:t>
      </w:r>
      <w:r w:rsidR="00206887" w:rsidRPr="00F20031">
        <w:rPr>
          <w:vertAlign w:val="superscript"/>
        </w:rPr>
        <w:t>5</w:t>
      </w:r>
      <w:r w:rsidR="00206887">
        <w:t xml:space="preserve"> Pa</w:t>
      </w:r>
      <w:r w:rsidR="00AB7205">
        <w:t>.</w:t>
      </w:r>
    </w:p>
    <w:p w14:paraId="46340C90" w14:textId="1B4B4C84" w:rsidR="00B67CE0" w:rsidRDefault="004751E5" w:rsidP="00B67CE0">
      <w:pPr>
        <w:pStyle w:val="CETBodytext"/>
        <w:keepNext/>
      </w:pPr>
      <w:r>
        <w:rPr>
          <w:noProof/>
        </w:rPr>
        <w:lastRenderedPageBreak/>
        <w:drawing>
          <wp:inline distT="0" distB="0" distL="0" distR="0" wp14:anchorId="32C321B2" wp14:editId="1BE11DA8">
            <wp:extent cx="5578475" cy="380032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ure_effect.emf"/>
                    <pic:cNvPicPr/>
                  </pic:nvPicPr>
                  <pic:blipFill rotWithShape="1">
                    <a:blip r:embed="rId14"/>
                    <a:srcRect t="3546" b="2258"/>
                    <a:stretch/>
                  </pic:blipFill>
                  <pic:spPr bwMode="auto">
                    <a:xfrm>
                      <a:off x="0" y="0"/>
                      <a:ext cx="5579745" cy="3801194"/>
                    </a:xfrm>
                    <a:prstGeom prst="rect">
                      <a:avLst/>
                    </a:prstGeom>
                    <a:ln>
                      <a:noFill/>
                    </a:ln>
                    <a:extLst>
                      <a:ext uri="{53640926-AAD7-44D8-BBD7-CCE9431645EC}">
                        <a14:shadowObscured xmlns:a14="http://schemas.microsoft.com/office/drawing/2010/main"/>
                      </a:ext>
                    </a:extLst>
                  </pic:spPr>
                </pic:pic>
              </a:graphicData>
            </a:graphic>
          </wp:inline>
        </w:drawing>
      </w:r>
    </w:p>
    <w:p w14:paraId="55D2D6AA" w14:textId="49557D4E" w:rsidR="00B67CE0" w:rsidRPr="000C374B" w:rsidRDefault="00B67CE0" w:rsidP="00C8717B">
      <w:pPr>
        <w:pStyle w:val="CETCaption"/>
        <w:spacing w:before="0"/>
      </w:pPr>
      <w:r w:rsidRPr="000C374B">
        <w:t xml:space="preserve">Figure </w:t>
      </w:r>
      <w:r w:rsidR="00206887">
        <w:t>2</w:t>
      </w:r>
      <w:r w:rsidR="008C4AE4" w:rsidRPr="000C374B">
        <w:t xml:space="preserve">. Results of the case studies. TTF: time to mechanical failure; P: tank pressure; </w:t>
      </w:r>
      <w:proofErr w:type="spellStart"/>
      <w:r w:rsidR="008C4AE4" w:rsidRPr="000C374B">
        <w:t>Tsi.max</w:t>
      </w:r>
      <w:proofErr w:type="spellEnd"/>
      <w:r w:rsidR="008C4AE4" w:rsidRPr="000C374B">
        <w:t>: maximum inner shell temperature; T</w:t>
      </w:r>
      <w:r w:rsidR="008C4AE4" w:rsidRPr="005749F7">
        <w:rPr>
          <w:vertAlign w:val="subscript"/>
        </w:rPr>
        <w:t>1</w:t>
      </w:r>
      <w:r w:rsidR="008C4AE4" w:rsidRPr="000C374B">
        <w:t>: temperature of the MLI layer facing the inner shell wall; T</w:t>
      </w:r>
      <w:r w:rsidR="008C4AE4" w:rsidRPr="005749F7">
        <w:rPr>
          <w:vertAlign w:val="subscript"/>
        </w:rPr>
        <w:t>20</w:t>
      </w:r>
      <w:r w:rsidR="008C4AE4" w:rsidRPr="000C374B">
        <w:t>: temperature of the MLI layer facing the external shell. Case A is referred to a 20-layer MLI operating under 0.001 Pa (blue curves) and Case B to the same MLI but operating at 10</w:t>
      </w:r>
      <w:r w:rsidR="008C4AE4" w:rsidRPr="005749F7">
        <w:rPr>
          <w:vertAlign w:val="superscript"/>
        </w:rPr>
        <w:t>5</w:t>
      </w:r>
      <w:r w:rsidR="008C4AE4" w:rsidRPr="000C374B">
        <w:t xml:space="preserve"> Pa (red curves).</w:t>
      </w:r>
      <w:r w:rsidR="000C374B" w:rsidRPr="000C374B">
        <w:t xml:space="preserve"> </w:t>
      </w:r>
      <w:r w:rsidR="0045000B">
        <w:t>The crosses indicate</w:t>
      </w:r>
      <w:r w:rsidR="000C374B" w:rsidRPr="000C374B">
        <w:t xml:space="preserve"> the</w:t>
      </w:r>
      <w:r w:rsidR="0045000B">
        <w:t xml:space="preserve"> moment of</w:t>
      </w:r>
      <w:r w:rsidR="000C374B" w:rsidRPr="000C374B">
        <w:t xml:space="preserve"> tank failure</w:t>
      </w:r>
      <w:r w:rsidR="0045000B">
        <w:t>.</w:t>
      </w:r>
    </w:p>
    <w:p w14:paraId="4147917F" w14:textId="64F12275" w:rsidR="00206887" w:rsidRDefault="000C23EA" w:rsidP="004E77CF">
      <w:pPr>
        <w:pStyle w:val="CETBodytext"/>
        <w:rPr>
          <w:color w:val="000000" w:themeColor="text1"/>
        </w:rPr>
      </w:pPr>
      <w:r>
        <w:t xml:space="preserve">Figure </w:t>
      </w:r>
      <w:r w:rsidR="00AB7205">
        <w:t>2</w:t>
      </w:r>
      <w:r w:rsidR="00206887">
        <w:t>b</w:t>
      </w:r>
      <w:r>
        <w:t xml:space="preserve"> shows the pressure</w:t>
      </w:r>
      <w:r w:rsidR="00F20031">
        <w:t xml:space="preserve"> (</w:t>
      </w:r>
      <w:r w:rsidR="00F20031" w:rsidRPr="00F20031">
        <w:rPr>
          <w:i/>
        </w:rPr>
        <w:t>P</w:t>
      </w:r>
      <w:r w:rsidR="00F20031">
        <w:t>)</w:t>
      </w:r>
      <w:r>
        <w:t xml:space="preserve"> within the inner tank (left axis) and the increase in maximum shell temperature (</w:t>
      </w:r>
      <w:proofErr w:type="spellStart"/>
      <w:r w:rsidRPr="000C23EA">
        <w:rPr>
          <w:i/>
          <w:iCs/>
        </w:rPr>
        <w:t>T</w:t>
      </w:r>
      <w:r w:rsidRPr="000C23EA">
        <w:rPr>
          <w:i/>
          <w:iCs/>
          <w:vertAlign w:val="subscript"/>
        </w:rPr>
        <w:t>Si,max</w:t>
      </w:r>
      <w:proofErr w:type="spellEnd"/>
      <w:r>
        <w:t xml:space="preserve">, right axis) for </w:t>
      </w:r>
      <w:r w:rsidR="00206887">
        <w:t xml:space="preserve">the </w:t>
      </w:r>
      <w:r>
        <w:t>two cases</w:t>
      </w:r>
      <w:r w:rsidR="00AB7205">
        <w:t xml:space="preserve">. In </w:t>
      </w:r>
      <w:r>
        <w:t xml:space="preserve">Case </w:t>
      </w:r>
      <w:r w:rsidR="00F20031">
        <w:t>B</w:t>
      </w:r>
      <w:r>
        <w:t xml:space="preserve">, the inner shell temperature and pressure rise after an induction time of 2 min 30 s. In Case </w:t>
      </w:r>
      <w:r w:rsidR="00F20031">
        <w:t>A</w:t>
      </w:r>
      <w:r>
        <w:t xml:space="preserve">, </w:t>
      </w:r>
      <w:proofErr w:type="spellStart"/>
      <w:r w:rsidRPr="00431FCE">
        <w:rPr>
          <w:i/>
        </w:rPr>
        <w:t>T</w:t>
      </w:r>
      <w:r w:rsidRPr="00431FCE">
        <w:rPr>
          <w:i/>
          <w:vertAlign w:val="subscript"/>
        </w:rPr>
        <w:t>Si,max</w:t>
      </w:r>
      <w:proofErr w:type="spellEnd"/>
      <w:r w:rsidR="00431FCE">
        <w:t xml:space="preserve"> </w:t>
      </w:r>
      <w:r>
        <w:t xml:space="preserve">and </w:t>
      </w:r>
      <w:r w:rsidR="00F20031" w:rsidRPr="00F20031">
        <w:rPr>
          <w:i/>
        </w:rPr>
        <w:t>P</w:t>
      </w:r>
      <w:r w:rsidR="00F20031">
        <w:t xml:space="preserve"> </w:t>
      </w:r>
      <w:r>
        <w:t xml:space="preserve">remain at initial values for </w:t>
      </w:r>
      <w:r w:rsidR="00F20031">
        <w:t xml:space="preserve">a longer time after fire ignition (i.e., </w:t>
      </w:r>
      <w:r>
        <w:t>5 min</w:t>
      </w:r>
      <w:r w:rsidR="00F20031">
        <w:t>)</w:t>
      </w:r>
      <w:r>
        <w:t xml:space="preserve"> due to higher insulation effectiveness determined by high-vacuum conditions.</w:t>
      </w:r>
      <w:r w:rsidRPr="000C23EA">
        <w:rPr>
          <w:color w:val="000000" w:themeColor="text1"/>
        </w:rPr>
        <w:t xml:space="preserve"> After this initial </w:t>
      </w:r>
      <w:r w:rsidR="00206887">
        <w:rPr>
          <w:color w:val="000000" w:themeColor="text1"/>
        </w:rPr>
        <w:t>phase</w:t>
      </w:r>
      <w:r w:rsidRPr="000C23EA">
        <w:rPr>
          <w:color w:val="000000" w:themeColor="text1"/>
        </w:rPr>
        <w:t xml:space="preserve">, </w:t>
      </w:r>
      <w:r w:rsidR="00AB7205">
        <w:rPr>
          <w:color w:val="000000" w:themeColor="text1"/>
        </w:rPr>
        <w:t>C</w:t>
      </w:r>
      <w:r w:rsidRPr="000C23EA">
        <w:rPr>
          <w:color w:val="000000" w:themeColor="text1"/>
        </w:rPr>
        <w:t xml:space="preserve">ase A presents an abrupt increase in both </w:t>
      </w:r>
      <w:r w:rsidRPr="000C23EA">
        <w:rPr>
          <w:i/>
          <w:color w:val="000000" w:themeColor="text1"/>
        </w:rPr>
        <w:t>P</w:t>
      </w:r>
      <w:r w:rsidRPr="000C23EA">
        <w:rPr>
          <w:color w:val="000000" w:themeColor="text1"/>
        </w:rPr>
        <w:t xml:space="preserve"> and </w:t>
      </w:r>
      <w:proofErr w:type="spellStart"/>
      <w:r w:rsidRPr="000C23EA">
        <w:rPr>
          <w:i/>
          <w:color w:val="000000" w:themeColor="text1"/>
        </w:rPr>
        <w:t>T</w:t>
      </w:r>
      <w:r w:rsidRPr="000C23EA">
        <w:rPr>
          <w:i/>
          <w:color w:val="000000" w:themeColor="text1"/>
          <w:vertAlign w:val="subscript"/>
        </w:rPr>
        <w:t>Si,max</w:t>
      </w:r>
      <w:proofErr w:type="spellEnd"/>
      <w:r w:rsidRPr="000C23EA">
        <w:rPr>
          <w:color w:val="000000" w:themeColor="text1"/>
        </w:rPr>
        <w:t xml:space="preserve">, </w:t>
      </w:r>
      <w:r>
        <w:t>leading to early PRV activation compared to Case B</w:t>
      </w:r>
      <w:r w:rsidRPr="000C23EA">
        <w:rPr>
          <w:color w:val="000000" w:themeColor="text1"/>
        </w:rPr>
        <w:t xml:space="preserve">. From this moment onwards, the PRV chattering occurs together with a constant increase in shell temperature in </w:t>
      </w:r>
      <w:r w:rsidR="00F20031">
        <w:rPr>
          <w:color w:val="000000" w:themeColor="text1"/>
        </w:rPr>
        <w:t>C</w:t>
      </w:r>
      <w:r w:rsidRPr="000C23EA">
        <w:rPr>
          <w:color w:val="000000" w:themeColor="text1"/>
        </w:rPr>
        <w:t>ase</w:t>
      </w:r>
      <w:r w:rsidR="00E548C1">
        <w:rPr>
          <w:color w:val="000000" w:themeColor="text1"/>
        </w:rPr>
        <w:t xml:space="preserve"> </w:t>
      </w:r>
      <w:r w:rsidRPr="000C23EA">
        <w:rPr>
          <w:color w:val="000000" w:themeColor="text1"/>
        </w:rPr>
        <w:t>A, culminating with the tank failure at a</w:t>
      </w:r>
      <w:r w:rsidR="00431FCE">
        <w:rPr>
          <w:color w:val="000000" w:themeColor="text1"/>
        </w:rPr>
        <w:t xml:space="preserve"> </w:t>
      </w:r>
      <w:r w:rsidRPr="000C23EA">
        <w:rPr>
          <w:color w:val="000000" w:themeColor="text1"/>
        </w:rPr>
        <w:t xml:space="preserve">total exposure time of </w:t>
      </w:r>
      <w:r w:rsidR="000C374B">
        <w:rPr>
          <w:color w:val="000000" w:themeColor="text1"/>
        </w:rPr>
        <w:t>10</w:t>
      </w:r>
      <w:r w:rsidRPr="000C374B">
        <w:rPr>
          <w:color w:val="000000" w:themeColor="text1"/>
        </w:rPr>
        <w:t xml:space="preserve"> min</w:t>
      </w:r>
      <w:r w:rsidR="000C374B">
        <w:rPr>
          <w:color w:val="000000" w:themeColor="text1"/>
        </w:rPr>
        <w:t>.</w:t>
      </w:r>
      <w:r w:rsidRPr="000C374B">
        <w:rPr>
          <w:color w:val="000000" w:themeColor="text1"/>
        </w:rPr>
        <w:t xml:space="preserve"> </w:t>
      </w:r>
      <w:r w:rsidRPr="000C23EA">
        <w:rPr>
          <w:color w:val="000000" w:themeColor="text1"/>
        </w:rPr>
        <w:t xml:space="preserve">On the contrary, </w:t>
      </w:r>
      <w:r w:rsidR="00AB7205">
        <w:rPr>
          <w:color w:val="000000" w:themeColor="text1"/>
        </w:rPr>
        <w:t>C</w:t>
      </w:r>
      <w:r w:rsidRPr="000C23EA">
        <w:rPr>
          <w:color w:val="000000" w:themeColor="text1"/>
        </w:rPr>
        <w:t>ase B presents a slower temperature and pressure increase in the same period, resulting in a delayed failure of the equipment (</w:t>
      </w:r>
      <w:r w:rsidR="000C374B" w:rsidRPr="000C374B">
        <w:rPr>
          <w:color w:val="000000" w:themeColor="text1"/>
        </w:rPr>
        <w:t>3</w:t>
      </w:r>
      <w:r w:rsidR="00486325">
        <w:rPr>
          <w:color w:val="000000" w:themeColor="text1"/>
        </w:rPr>
        <w:t>0</w:t>
      </w:r>
      <w:r w:rsidR="000C374B" w:rsidRPr="000C374B">
        <w:rPr>
          <w:color w:val="000000" w:themeColor="text1"/>
        </w:rPr>
        <w:t xml:space="preserve"> min </w:t>
      </w:r>
      <w:r w:rsidR="00486325">
        <w:rPr>
          <w:color w:val="000000" w:themeColor="text1"/>
        </w:rPr>
        <w:t>54</w:t>
      </w:r>
      <w:r w:rsidR="000C374B" w:rsidRPr="000C374B">
        <w:rPr>
          <w:color w:val="000000" w:themeColor="text1"/>
        </w:rPr>
        <w:t xml:space="preserve"> s</w:t>
      </w:r>
      <w:r w:rsidRPr="000C23EA">
        <w:rPr>
          <w:color w:val="000000" w:themeColor="text1"/>
        </w:rPr>
        <w:t xml:space="preserve">). Such a different behavior arises because the degradation of the MLI layer occurs earlier in </w:t>
      </w:r>
      <w:r w:rsidR="00AB7205">
        <w:rPr>
          <w:color w:val="000000" w:themeColor="text1"/>
        </w:rPr>
        <w:t>C</w:t>
      </w:r>
      <w:r w:rsidRPr="000C23EA">
        <w:rPr>
          <w:color w:val="000000" w:themeColor="text1"/>
        </w:rPr>
        <w:t xml:space="preserve">ase A than in </w:t>
      </w:r>
      <w:r w:rsidR="00AB7205">
        <w:rPr>
          <w:color w:val="000000" w:themeColor="text1"/>
        </w:rPr>
        <w:t>C</w:t>
      </w:r>
      <w:r w:rsidRPr="000C23EA">
        <w:rPr>
          <w:color w:val="000000" w:themeColor="text1"/>
        </w:rPr>
        <w:t xml:space="preserve">ase B. This can be observed in </w:t>
      </w:r>
      <w:r w:rsidR="000C374B">
        <w:rPr>
          <w:color w:val="000000" w:themeColor="text1"/>
        </w:rPr>
        <w:t>F</w:t>
      </w:r>
      <w:r w:rsidRPr="000C23EA">
        <w:rPr>
          <w:color w:val="000000" w:themeColor="text1"/>
        </w:rPr>
        <w:t xml:space="preserve">igure </w:t>
      </w:r>
      <w:r w:rsidR="00206887">
        <w:rPr>
          <w:color w:val="000000" w:themeColor="text1"/>
        </w:rPr>
        <w:t>2</w:t>
      </w:r>
      <w:r w:rsidR="000C374B">
        <w:rPr>
          <w:color w:val="000000" w:themeColor="text1"/>
        </w:rPr>
        <w:t>c</w:t>
      </w:r>
      <w:r w:rsidRPr="000C23EA">
        <w:rPr>
          <w:color w:val="000000" w:themeColor="text1"/>
        </w:rPr>
        <w:t xml:space="preserve">, which shows the remaining intact layers (left axis) and the heat fluxes to the inner wall of the tank (right axes) over time for both cases. In </w:t>
      </w:r>
      <w:r w:rsidR="00AB7205">
        <w:rPr>
          <w:color w:val="000000" w:themeColor="text1"/>
        </w:rPr>
        <w:t>C</w:t>
      </w:r>
      <w:r w:rsidRPr="000C23EA">
        <w:rPr>
          <w:color w:val="000000" w:themeColor="text1"/>
        </w:rPr>
        <w:t>ase A, all the MLI layers degrade after 5 min of exposure</w:t>
      </w:r>
      <w:r w:rsidR="004E77CF">
        <w:rPr>
          <w:color w:val="000000" w:themeColor="text1"/>
        </w:rPr>
        <w:t xml:space="preserve"> and the heat flux increases abruptly.</w:t>
      </w:r>
      <w:r w:rsidR="00AB7205">
        <w:rPr>
          <w:color w:val="000000" w:themeColor="text1"/>
        </w:rPr>
        <w:t xml:space="preserve"> </w:t>
      </w:r>
      <w:r w:rsidR="004E77CF">
        <w:rPr>
          <w:color w:val="000000" w:themeColor="text1"/>
        </w:rPr>
        <w:t>I</w:t>
      </w:r>
      <w:r w:rsidRPr="000C23EA">
        <w:rPr>
          <w:color w:val="000000" w:themeColor="text1"/>
        </w:rPr>
        <w:t xml:space="preserve">n </w:t>
      </w:r>
      <w:r w:rsidR="00AB7205">
        <w:rPr>
          <w:color w:val="000000" w:themeColor="text1"/>
        </w:rPr>
        <w:t>C</w:t>
      </w:r>
      <w:r w:rsidRPr="000C23EA">
        <w:rPr>
          <w:color w:val="000000" w:themeColor="text1"/>
        </w:rPr>
        <w:t>ase B</w:t>
      </w:r>
      <w:r w:rsidR="004E77CF">
        <w:rPr>
          <w:color w:val="000000" w:themeColor="text1"/>
        </w:rPr>
        <w:t>, the</w:t>
      </w:r>
      <w:r w:rsidRPr="000C23EA">
        <w:rPr>
          <w:color w:val="000000" w:themeColor="text1"/>
        </w:rPr>
        <w:t xml:space="preserve"> degradation progresses more gradually (the complete degradation of the MLI occurs </w:t>
      </w:r>
      <w:r w:rsidRPr="000C374B">
        <w:rPr>
          <w:color w:val="000000" w:themeColor="text1"/>
        </w:rPr>
        <w:t>after</w:t>
      </w:r>
      <w:r w:rsidR="000C374B" w:rsidRPr="000C374B">
        <w:rPr>
          <w:color w:val="000000" w:themeColor="text1"/>
        </w:rPr>
        <w:t xml:space="preserve"> </w:t>
      </w:r>
      <w:r w:rsidR="00486325">
        <w:rPr>
          <w:color w:val="000000" w:themeColor="text1"/>
        </w:rPr>
        <w:t>28 min)</w:t>
      </w:r>
      <w:r w:rsidR="004E77CF">
        <w:rPr>
          <w:color w:val="000000" w:themeColor="text1"/>
        </w:rPr>
        <w:t xml:space="preserve"> </w:t>
      </w:r>
      <w:r w:rsidR="004E77CF" w:rsidRPr="000C23EA">
        <w:rPr>
          <w:color w:val="000000" w:themeColor="text1"/>
        </w:rPr>
        <w:t>determin</w:t>
      </w:r>
      <w:r w:rsidR="00AB7205">
        <w:rPr>
          <w:color w:val="000000" w:themeColor="text1"/>
        </w:rPr>
        <w:t>ing</w:t>
      </w:r>
      <w:r w:rsidR="004E77CF" w:rsidRPr="000C23EA">
        <w:rPr>
          <w:color w:val="000000" w:themeColor="text1"/>
        </w:rPr>
        <w:t xml:space="preserve"> a slower rise of the layer temperature</w:t>
      </w:r>
      <w:r w:rsidR="004E77CF">
        <w:rPr>
          <w:color w:val="000000" w:themeColor="text1"/>
        </w:rPr>
        <w:t xml:space="preserve"> (especially of </w:t>
      </w:r>
      <w:r w:rsidR="004E77CF" w:rsidRPr="000C23EA">
        <w:rPr>
          <w:color w:val="000000" w:themeColor="text1"/>
        </w:rPr>
        <w:t>t</w:t>
      </w:r>
      <w:r w:rsidR="004E77CF">
        <w:rPr>
          <w:color w:val="000000" w:themeColor="text1"/>
        </w:rPr>
        <w:t>hose</w:t>
      </w:r>
      <w:r w:rsidR="004E77CF" w:rsidRPr="000C23EA">
        <w:rPr>
          <w:color w:val="000000" w:themeColor="text1"/>
        </w:rPr>
        <w:t xml:space="preserve"> closer to the inner shell</w:t>
      </w:r>
      <w:r w:rsidR="004E77CF">
        <w:rPr>
          <w:color w:val="000000" w:themeColor="text1"/>
        </w:rPr>
        <w:t xml:space="preserve">) as </w:t>
      </w:r>
      <w:r w:rsidR="0014644E">
        <w:t xml:space="preserve">can be observed in Figure </w:t>
      </w:r>
      <w:r w:rsidR="00206887">
        <w:t>2</w:t>
      </w:r>
      <w:r w:rsidR="0014644E">
        <w:t>d</w:t>
      </w:r>
      <w:r w:rsidR="004E77CF">
        <w:t xml:space="preserve">. </w:t>
      </w:r>
      <w:r w:rsidR="00206887">
        <w:rPr>
          <w:color w:val="000000" w:themeColor="text1"/>
        </w:rPr>
        <w:t>T</w:t>
      </w:r>
      <w:r w:rsidR="0014644E">
        <w:t xml:space="preserve">his </w:t>
      </w:r>
      <w:r>
        <w:t xml:space="preserve">is </w:t>
      </w:r>
      <w:r w:rsidR="004E77CF">
        <w:t>caused by the</w:t>
      </w:r>
      <w:r>
        <w:t xml:space="preserve"> increased gaseous heat transfer</w:t>
      </w:r>
      <w:r w:rsidR="0014644E">
        <w:t xml:space="preserve"> </w:t>
      </w:r>
      <w:r w:rsidR="004E77CF">
        <w:t xml:space="preserve">when </w:t>
      </w:r>
      <w:r w:rsidR="00420F1E">
        <w:t xml:space="preserve">the </w:t>
      </w:r>
      <w:r w:rsidR="0014644E">
        <w:t xml:space="preserve">vacuum </w:t>
      </w:r>
      <w:r w:rsidR="004E77CF">
        <w:t>is lost</w:t>
      </w:r>
      <w:r>
        <w:t xml:space="preserve">, </w:t>
      </w:r>
      <w:r w:rsidR="0014644E">
        <w:t>which allows</w:t>
      </w:r>
      <w:r>
        <w:t xml:space="preserve"> each reflective layer to dissipate more heat to the next layer compared to vacuum conditions</w:t>
      </w:r>
      <w:r w:rsidR="00F20031">
        <w:rPr>
          <w:color w:val="000000" w:themeColor="text1"/>
        </w:rPr>
        <w:t xml:space="preserve">. </w:t>
      </w:r>
    </w:p>
    <w:p w14:paraId="57C64EF9" w14:textId="333E096B" w:rsidR="0089583C" w:rsidRPr="000C23EA" w:rsidRDefault="000C23EA" w:rsidP="000C23EA">
      <w:pPr>
        <w:pStyle w:val="CETBodytext"/>
        <w:rPr>
          <w:color w:val="000000" w:themeColor="text1"/>
        </w:rPr>
      </w:pPr>
      <w:r w:rsidRPr="000C23EA">
        <w:rPr>
          <w:color w:val="000000" w:themeColor="text1"/>
        </w:rPr>
        <w:t>Overall, the simulations demonstrate that</w:t>
      </w:r>
      <w:r w:rsidR="00206887">
        <w:rPr>
          <w:color w:val="000000" w:themeColor="text1"/>
        </w:rPr>
        <w:t>,</w:t>
      </w:r>
      <w:r w:rsidRPr="000C23EA">
        <w:rPr>
          <w:color w:val="000000" w:themeColor="text1"/>
        </w:rPr>
        <w:t xml:space="preserve"> although vacuum loss anticipates the instant of time at which temperature and pressure start to rise within the tank, these increase at a slower rate compared to cases in which the vacuum is preserved, with beneficial effects on the time to failure. </w:t>
      </w:r>
      <w:r w:rsidR="00206887">
        <w:rPr>
          <w:color w:val="000000" w:themeColor="text1"/>
        </w:rPr>
        <w:t>This suggests that breaking the vacuum could be considered a mitigating action in case of fire exposure.</w:t>
      </w:r>
    </w:p>
    <w:p w14:paraId="16331B6F" w14:textId="0E3AF911" w:rsidR="00B1489E" w:rsidRDefault="00B1489E" w:rsidP="00453E24">
      <w:pPr>
        <w:pStyle w:val="CETHeading1"/>
      </w:pPr>
      <w:r>
        <w:t>Conclusions</w:t>
      </w:r>
    </w:p>
    <w:p w14:paraId="23BAA8EE" w14:textId="7291145F" w:rsidR="000C23EA" w:rsidRPr="000C23EA" w:rsidRDefault="000C23EA" w:rsidP="000C23EA">
      <w:pPr>
        <w:pStyle w:val="NormalWeb"/>
        <w:rPr>
          <w:sz w:val="18"/>
          <w:lang w:val="en-US"/>
        </w:rPr>
      </w:pPr>
      <w:r w:rsidRPr="000C23EA">
        <w:rPr>
          <w:sz w:val="18"/>
          <w:lang w:val="en-US"/>
        </w:rPr>
        <w:t xml:space="preserve">This study </w:t>
      </w:r>
      <w:r w:rsidR="006D3759">
        <w:rPr>
          <w:sz w:val="18"/>
          <w:lang w:val="en-US"/>
        </w:rPr>
        <w:t>presents</w:t>
      </w:r>
      <w:r w:rsidR="006D3759" w:rsidRPr="000C23EA">
        <w:rPr>
          <w:sz w:val="18"/>
          <w:lang w:val="en-US"/>
        </w:rPr>
        <w:t xml:space="preserve"> </w:t>
      </w:r>
      <w:r w:rsidRPr="000C23EA">
        <w:rPr>
          <w:sz w:val="18"/>
          <w:lang w:val="en-US"/>
        </w:rPr>
        <w:t xml:space="preserve">an innovative model </w:t>
      </w:r>
      <w:r w:rsidR="006D3759">
        <w:rPr>
          <w:sz w:val="18"/>
          <w:lang w:val="en-US"/>
        </w:rPr>
        <w:t>for</w:t>
      </w:r>
      <w:r w:rsidR="006D3759" w:rsidRPr="000C23EA">
        <w:rPr>
          <w:sz w:val="18"/>
          <w:lang w:val="en-US"/>
        </w:rPr>
        <w:t xml:space="preserve"> </w:t>
      </w:r>
      <w:r w:rsidRPr="000C23EA">
        <w:rPr>
          <w:sz w:val="18"/>
          <w:lang w:val="en-US"/>
        </w:rPr>
        <w:t>estimat</w:t>
      </w:r>
      <w:r w:rsidR="006D3759">
        <w:rPr>
          <w:sz w:val="18"/>
          <w:lang w:val="en-US"/>
        </w:rPr>
        <w:t>ing</w:t>
      </w:r>
      <w:r w:rsidRPr="000C23EA">
        <w:rPr>
          <w:sz w:val="18"/>
          <w:lang w:val="en-US"/>
        </w:rPr>
        <w:t xml:space="preserve"> the time to failure (TTF) of</w:t>
      </w:r>
      <w:r w:rsidR="006D3759">
        <w:rPr>
          <w:sz w:val="18"/>
          <w:lang w:val="en-US"/>
        </w:rPr>
        <w:t xml:space="preserve"> </w:t>
      </w:r>
      <w:r w:rsidRPr="000C23EA">
        <w:rPr>
          <w:sz w:val="18"/>
          <w:lang w:val="en-US"/>
        </w:rPr>
        <w:t>MLI</w:t>
      </w:r>
      <w:r w:rsidR="006D3759">
        <w:rPr>
          <w:sz w:val="18"/>
          <w:lang w:val="en-US"/>
        </w:rPr>
        <w:t xml:space="preserve"> thermally insulated</w:t>
      </w:r>
      <w:r w:rsidRPr="000C23EA">
        <w:rPr>
          <w:sz w:val="18"/>
          <w:lang w:val="en-US"/>
        </w:rPr>
        <w:t xml:space="preserve"> LH</w:t>
      </w:r>
      <w:r w:rsidRPr="000C23EA">
        <w:rPr>
          <w:sz w:val="18"/>
          <w:vertAlign w:val="subscript"/>
          <w:lang w:val="en-US"/>
        </w:rPr>
        <w:t>2</w:t>
      </w:r>
      <w:r w:rsidRPr="000C23EA">
        <w:rPr>
          <w:sz w:val="18"/>
          <w:lang w:val="en-US"/>
        </w:rPr>
        <w:t xml:space="preserve"> tanks under fire exposure, incorporating MLI </w:t>
      </w:r>
      <w:r w:rsidR="00206887">
        <w:rPr>
          <w:sz w:val="18"/>
          <w:lang w:val="en-US"/>
        </w:rPr>
        <w:t>thermal degradation mechanisms</w:t>
      </w:r>
      <w:r w:rsidRPr="000C23EA">
        <w:rPr>
          <w:sz w:val="18"/>
          <w:lang w:val="en-US"/>
        </w:rPr>
        <w:t xml:space="preserve">, PRV </w:t>
      </w:r>
      <w:r w:rsidR="00206887">
        <w:rPr>
          <w:sz w:val="18"/>
          <w:lang w:val="en-US"/>
        </w:rPr>
        <w:t>action</w:t>
      </w:r>
      <w:r w:rsidRPr="000C23EA">
        <w:rPr>
          <w:sz w:val="18"/>
          <w:lang w:val="en-US"/>
        </w:rPr>
        <w:t xml:space="preserve">, and </w:t>
      </w:r>
      <w:r w:rsidR="00206887">
        <w:rPr>
          <w:sz w:val="18"/>
          <w:lang w:val="en-US"/>
        </w:rPr>
        <w:t>a simpl</w:t>
      </w:r>
      <w:r w:rsidR="00AB7205">
        <w:rPr>
          <w:sz w:val="18"/>
          <w:lang w:val="en-US"/>
        </w:rPr>
        <w:t>i</w:t>
      </w:r>
      <w:r w:rsidR="00206887">
        <w:rPr>
          <w:sz w:val="18"/>
          <w:lang w:val="en-US"/>
        </w:rPr>
        <w:t xml:space="preserve">fied </w:t>
      </w:r>
      <w:r w:rsidR="00206887" w:rsidRPr="000C23EA">
        <w:rPr>
          <w:sz w:val="18"/>
          <w:lang w:val="en-US"/>
        </w:rPr>
        <w:t>stress</w:t>
      </w:r>
      <w:r w:rsidR="00206887">
        <w:rPr>
          <w:sz w:val="18"/>
          <w:lang w:val="en-US"/>
        </w:rPr>
        <w:t xml:space="preserve"> analysis</w:t>
      </w:r>
      <w:r w:rsidRPr="000C23EA">
        <w:rPr>
          <w:sz w:val="18"/>
          <w:lang w:val="en-US"/>
        </w:rPr>
        <w:t xml:space="preserve">. A series of case studies set up to assess the impact of the insulation pressure and the number of MLI layers </w:t>
      </w:r>
      <w:r w:rsidR="007B356E">
        <w:rPr>
          <w:sz w:val="18"/>
          <w:lang w:val="en-US"/>
        </w:rPr>
        <w:t>on</w:t>
      </w:r>
      <w:r w:rsidRPr="000C23EA">
        <w:rPr>
          <w:sz w:val="18"/>
          <w:lang w:val="en-US"/>
        </w:rPr>
        <w:t xml:space="preserve"> the TTF </w:t>
      </w:r>
      <w:r w:rsidR="007B356E">
        <w:rPr>
          <w:sz w:val="18"/>
          <w:lang w:val="en-US"/>
        </w:rPr>
        <w:t xml:space="preserve">of typical vehicle-scale tanks </w:t>
      </w:r>
      <w:r w:rsidRPr="000C23EA">
        <w:rPr>
          <w:sz w:val="18"/>
          <w:lang w:val="en-US"/>
        </w:rPr>
        <w:t>revealed</w:t>
      </w:r>
      <w:r w:rsidR="00206887">
        <w:rPr>
          <w:sz w:val="18"/>
          <w:lang w:val="en-US"/>
        </w:rPr>
        <w:t xml:space="preserve"> that</w:t>
      </w:r>
      <w:r w:rsidRPr="000C23EA">
        <w:rPr>
          <w:sz w:val="18"/>
          <w:lang w:val="en-US"/>
        </w:rPr>
        <w:t xml:space="preserve"> such systems can be sever</w:t>
      </w:r>
      <w:r w:rsidR="007B356E">
        <w:rPr>
          <w:sz w:val="18"/>
          <w:lang w:val="en-US"/>
        </w:rPr>
        <w:t>e</w:t>
      </w:r>
      <w:r w:rsidRPr="000C23EA">
        <w:rPr>
          <w:sz w:val="18"/>
          <w:lang w:val="en-US"/>
        </w:rPr>
        <w:t>ly threatened by fire</w:t>
      </w:r>
      <w:r w:rsidR="007B356E">
        <w:rPr>
          <w:sz w:val="18"/>
          <w:lang w:val="en-US"/>
        </w:rPr>
        <w:t>. The m</w:t>
      </w:r>
      <w:r w:rsidRPr="000C23EA">
        <w:rPr>
          <w:sz w:val="18"/>
          <w:lang w:val="en-US"/>
        </w:rPr>
        <w:t xml:space="preserve">echanical failure occurred in all the cases analyzed within </w:t>
      </w:r>
      <w:r w:rsidR="00A77DE9">
        <w:rPr>
          <w:sz w:val="18"/>
          <w:lang w:val="en-US"/>
        </w:rPr>
        <w:t>10</w:t>
      </w:r>
      <w:r w:rsidRPr="000C23EA">
        <w:rPr>
          <w:sz w:val="18"/>
          <w:lang w:val="en-US"/>
        </w:rPr>
        <w:t xml:space="preserve"> </w:t>
      </w:r>
      <w:r w:rsidR="00206887">
        <w:rPr>
          <w:sz w:val="18"/>
          <w:lang w:val="en-US"/>
        </w:rPr>
        <w:t>to</w:t>
      </w:r>
      <w:r w:rsidR="00206887" w:rsidRPr="000C23EA">
        <w:rPr>
          <w:sz w:val="18"/>
          <w:lang w:val="en-US"/>
        </w:rPr>
        <w:t xml:space="preserve"> </w:t>
      </w:r>
      <w:r w:rsidRPr="000C23EA">
        <w:rPr>
          <w:sz w:val="18"/>
          <w:lang w:val="en-US"/>
        </w:rPr>
        <w:t>3</w:t>
      </w:r>
      <w:r w:rsidR="00A77DE9">
        <w:rPr>
          <w:sz w:val="18"/>
          <w:lang w:val="en-US"/>
        </w:rPr>
        <w:t>1</w:t>
      </w:r>
      <w:r w:rsidRPr="000C23EA">
        <w:rPr>
          <w:sz w:val="18"/>
          <w:lang w:val="en-US"/>
        </w:rPr>
        <w:t xml:space="preserve"> minutes </w:t>
      </w:r>
      <w:r w:rsidR="007B356E">
        <w:rPr>
          <w:sz w:val="18"/>
          <w:lang w:val="en-US"/>
        </w:rPr>
        <w:t>of</w:t>
      </w:r>
      <w:r w:rsidRPr="000C23EA">
        <w:rPr>
          <w:sz w:val="18"/>
          <w:lang w:val="en-US"/>
        </w:rPr>
        <w:t xml:space="preserve"> exposure to a </w:t>
      </w:r>
      <w:r w:rsidR="007B356E">
        <w:rPr>
          <w:sz w:val="18"/>
          <w:lang w:val="en-US"/>
        </w:rPr>
        <w:lastRenderedPageBreak/>
        <w:t>hydrocarbon pool</w:t>
      </w:r>
      <w:r w:rsidR="00671CEC">
        <w:rPr>
          <w:sz w:val="18"/>
          <w:lang w:val="en-US"/>
        </w:rPr>
        <w:t xml:space="preserve"> </w:t>
      </w:r>
      <w:r w:rsidR="007B356E">
        <w:rPr>
          <w:sz w:val="18"/>
          <w:lang w:val="en-US"/>
        </w:rPr>
        <w:t xml:space="preserve">fire with a maximum </w:t>
      </w:r>
      <w:r w:rsidRPr="000C23EA">
        <w:rPr>
          <w:sz w:val="18"/>
          <w:lang w:val="en-US"/>
        </w:rPr>
        <w:t>flame temperature of 1100 °C</w:t>
      </w:r>
      <w:r w:rsidR="007B356E">
        <w:rPr>
          <w:sz w:val="18"/>
          <w:lang w:val="en-US"/>
        </w:rPr>
        <w:t>, highlighting a significant challenge in ensuring the integrity of these tanks in such conditions.</w:t>
      </w:r>
      <w:r w:rsidRPr="000C23EA">
        <w:rPr>
          <w:sz w:val="18"/>
          <w:lang w:val="en-US"/>
        </w:rPr>
        <w:t xml:space="preserve"> A comprehensive analys</w:t>
      </w:r>
      <w:r w:rsidR="007B356E">
        <w:rPr>
          <w:sz w:val="18"/>
          <w:lang w:val="en-US"/>
        </w:rPr>
        <w:t>i</w:t>
      </w:r>
      <w:r w:rsidRPr="000C23EA">
        <w:rPr>
          <w:sz w:val="18"/>
          <w:lang w:val="en-US"/>
        </w:rPr>
        <w:t xml:space="preserve">s of the results </w:t>
      </w:r>
      <w:r w:rsidR="007B356E">
        <w:rPr>
          <w:sz w:val="18"/>
          <w:lang w:val="en-US"/>
        </w:rPr>
        <w:t>demonstrate</w:t>
      </w:r>
      <w:r w:rsidRPr="000C23EA">
        <w:rPr>
          <w:sz w:val="18"/>
          <w:lang w:val="en-US"/>
        </w:rPr>
        <w:t xml:space="preserve">d that increasing the number of MLI layers from 20 to 80 </w:t>
      </w:r>
      <w:r w:rsidR="00206887">
        <w:rPr>
          <w:sz w:val="18"/>
          <w:lang w:val="en-US"/>
        </w:rPr>
        <w:t>prolongs</w:t>
      </w:r>
      <w:r w:rsidR="00206887" w:rsidRPr="000C23EA">
        <w:rPr>
          <w:sz w:val="18"/>
          <w:lang w:val="en-US"/>
        </w:rPr>
        <w:t xml:space="preserve"> </w:t>
      </w:r>
      <w:r w:rsidRPr="000C23EA">
        <w:rPr>
          <w:sz w:val="18"/>
          <w:lang w:val="en-US"/>
        </w:rPr>
        <w:t xml:space="preserve">failure resistance </w:t>
      </w:r>
      <w:r w:rsidR="000C374B">
        <w:rPr>
          <w:sz w:val="18"/>
          <w:lang w:val="en-US"/>
        </w:rPr>
        <w:t>by</w:t>
      </w:r>
      <w:r w:rsidRPr="000C23EA">
        <w:rPr>
          <w:sz w:val="18"/>
          <w:lang w:val="en-US"/>
        </w:rPr>
        <w:t xml:space="preserve"> </w:t>
      </w:r>
      <w:r w:rsidR="007B356E">
        <w:rPr>
          <w:sz w:val="18"/>
          <w:lang w:val="en-US"/>
        </w:rPr>
        <w:t xml:space="preserve">only a </w:t>
      </w:r>
      <w:r w:rsidRPr="000C23EA">
        <w:rPr>
          <w:sz w:val="18"/>
          <w:lang w:val="en-US"/>
        </w:rPr>
        <w:t>few minutes (from 1 to 3 min)</w:t>
      </w:r>
      <w:r w:rsidR="007B356E">
        <w:rPr>
          <w:sz w:val="18"/>
          <w:lang w:val="en-US"/>
        </w:rPr>
        <w:t>. In contrast,</w:t>
      </w:r>
      <w:r w:rsidRPr="000C23EA">
        <w:rPr>
          <w:sz w:val="18"/>
          <w:lang w:val="en-US"/>
        </w:rPr>
        <w:t xml:space="preserve"> </w:t>
      </w:r>
      <w:r w:rsidR="007B356E">
        <w:rPr>
          <w:sz w:val="18"/>
          <w:lang w:val="en-US"/>
        </w:rPr>
        <w:t xml:space="preserve">pressure within the insulation has a significant impact on the TTF. </w:t>
      </w:r>
      <w:r w:rsidR="00206887">
        <w:rPr>
          <w:sz w:val="18"/>
          <w:lang w:val="en-US"/>
        </w:rPr>
        <w:t>Going f</w:t>
      </w:r>
      <w:r w:rsidR="007B356E">
        <w:rPr>
          <w:sz w:val="18"/>
          <w:lang w:val="en-US"/>
        </w:rPr>
        <w:t>rom high-vacuum to atmospheric</w:t>
      </w:r>
      <w:r w:rsidR="00206887">
        <w:rPr>
          <w:sz w:val="18"/>
          <w:lang w:val="en-US"/>
        </w:rPr>
        <w:t xml:space="preserve"> pressure</w:t>
      </w:r>
      <w:r w:rsidR="007B356E">
        <w:rPr>
          <w:sz w:val="18"/>
          <w:lang w:val="en-US"/>
        </w:rPr>
        <w:t xml:space="preserve"> the </w:t>
      </w:r>
      <w:r w:rsidRPr="000C23EA">
        <w:rPr>
          <w:sz w:val="18"/>
          <w:lang w:val="en-US"/>
        </w:rPr>
        <w:t>TTF</w:t>
      </w:r>
      <w:r w:rsidR="007B356E">
        <w:rPr>
          <w:sz w:val="18"/>
          <w:lang w:val="en-US"/>
        </w:rPr>
        <w:t xml:space="preserve"> increases from 10</w:t>
      </w:r>
      <w:r w:rsidR="00A77DE9">
        <w:rPr>
          <w:sz w:val="18"/>
          <w:lang w:val="en-US"/>
        </w:rPr>
        <w:t xml:space="preserve"> min</w:t>
      </w:r>
      <w:r w:rsidR="007B356E">
        <w:rPr>
          <w:sz w:val="18"/>
          <w:lang w:val="en-US"/>
        </w:rPr>
        <w:t xml:space="preserve"> to 3</w:t>
      </w:r>
      <w:r w:rsidR="001A28AC">
        <w:rPr>
          <w:sz w:val="18"/>
          <w:lang w:val="en-US"/>
        </w:rPr>
        <w:t>0</w:t>
      </w:r>
      <w:r w:rsidR="007B356E">
        <w:rPr>
          <w:sz w:val="18"/>
          <w:lang w:val="en-US"/>
        </w:rPr>
        <w:t xml:space="preserve"> min</w:t>
      </w:r>
      <w:r w:rsidR="00A77DE9">
        <w:rPr>
          <w:sz w:val="18"/>
          <w:lang w:val="en-US"/>
        </w:rPr>
        <w:t xml:space="preserve"> 40 s</w:t>
      </w:r>
      <w:r w:rsidR="007B356E">
        <w:rPr>
          <w:sz w:val="18"/>
          <w:lang w:val="en-US"/>
        </w:rPr>
        <w:t xml:space="preserve"> for an MLI with 20 reflective layer</w:t>
      </w:r>
      <w:r w:rsidR="000C374B">
        <w:rPr>
          <w:sz w:val="18"/>
          <w:lang w:val="en-US"/>
        </w:rPr>
        <w:t>s</w:t>
      </w:r>
      <w:r w:rsidR="007B356E">
        <w:rPr>
          <w:sz w:val="18"/>
          <w:lang w:val="en-US"/>
        </w:rPr>
        <w:t xml:space="preserve">, due to slower MLI degradation from increased gaseous heat transfer. </w:t>
      </w:r>
      <w:r w:rsidR="00206887">
        <w:rPr>
          <w:sz w:val="18"/>
          <w:lang w:val="en-US"/>
        </w:rPr>
        <w:t xml:space="preserve">Thus, </w:t>
      </w:r>
      <w:r w:rsidR="00206887" w:rsidRPr="00206887">
        <w:rPr>
          <w:sz w:val="18"/>
          <w:lang w:val="en-US"/>
        </w:rPr>
        <w:t>in case of fire exposure</w:t>
      </w:r>
      <w:r w:rsidR="00206887">
        <w:rPr>
          <w:sz w:val="18"/>
          <w:lang w:val="en-US"/>
        </w:rPr>
        <w:t>,</w:t>
      </w:r>
      <w:r w:rsidR="00206887" w:rsidRPr="00206887">
        <w:rPr>
          <w:sz w:val="18"/>
          <w:lang w:val="en-US"/>
        </w:rPr>
        <w:t xml:space="preserve"> breaking the vacuum could </w:t>
      </w:r>
      <w:r w:rsidR="00206887">
        <w:rPr>
          <w:sz w:val="18"/>
          <w:lang w:val="en-US"/>
        </w:rPr>
        <w:t>represent an effective</w:t>
      </w:r>
      <w:r w:rsidR="00206887" w:rsidRPr="00206887">
        <w:rPr>
          <w:sz w:val="18"/>
          <w:lang w:val="en-US"/>
        </w:rPr>
        <w:t xml:space="preserve"> mitigat</w:t>
      </w:r>
      <w:r w:rsidR="00206887">
        <w:rPr>
          <w:sz w:val="18"/>
          <w:lang w:val="en-US"/>
        </w:rPr>
        <w:t>ion</w:t>
      </w:r>
      <w:r w:rsidR="00206887" w:rsidRPr="00206887">
        <w:rPr>
          <w:sz w:val="18"/>
          <w:lang w:val="en-US"/>
        </w:rPr>
        <w:t xml:space="preserve"> </w:t>
      </w:r>
      <w:r w:rsidR="00206887">
        <w:rPr>
          <w:sz w:val="18"/>
          <w:lang w:val="en-US"/>
        </w:rPr>
        <w:t>measure to delay tank failure</w:t>
      </w:r>
      <w:r w:rsidR="00206887" w:rsidRPr="00206887">
        <w:rPr>
          <w:sz w:val="18"/>
          <w:lang w:val="en-US"/>
        </w:rPr>
        <w:t>.</w:t>
      </w:r>
      <w:r w:rsidR="00206887">
        <w:rPr>
          <w:sz w:val="18"/>
          <w:lang w:val="en-US"/>
        </w:rPr>
        <w:t xml:space="preserve"> Overall, the </w:t>
      </w:r>
      <w:r w:rsidR="007B356E" w:rsidRPr="007B356E">
        <w:rPr>
          <w:sz w:val="18"/>
          <w:lang w:val="en-US"/>
        </w:rPr>
        <w:t xml:space="preserve">findings </w:t>
      </w:r>
      <w:r w:rsidR="00206887">
        <w:rPr>
          <w:sz w:val="18"/>
          <w:lang w:val="en-US"/>
        </w:rPr>
        <w:t xml:space="preserve">of the present study </w:t>
      </w:r>
      <w:r w:rsidR="007B356E" w:rsidRPr="007B356E">
        <w:rPr>
          <w:sz w:val="18"/>
          <w:lang w:val="en-US"/>
        </w:rPr>
        <w:t xml:space="preserve">provide key insights for optimizing MLI configurations and guiding </w:t>
      </w:r>
      <w:r w:rsidR="007B356E">
        <w:rPr>
          <w:sz w:val="18"/>
          <w:lang w:val="en-US"/>
        </w:rPr>
        <w:t xml:space="preserve">fire </w:t>
      </w:r>
      <w:r w:rsidR="007B356E" w:rsidRPr="007B356E">
        <w:rPr>
          <w:sz w:val="18"/>
          <w:lang w:val="en-US"/>
        </w:rPr>
        <w:t>safety standards for hydrogen storage systems</w:t>
      </w:r>
      <w:r w:rsidRPr="000C23EA">
        <w:rPr>
          <w:sz w:val="18"/>
          <w:lang w:val="en-US"/>
        </w:rPr>
        <w:t>.</w:t>
      </w:r>
    </w:p>
    <w:p w14:paraId="43B64ED9" w14:textId="55A397A8" w:rsidR="004F7B84" w:rsidRDefault="004F7B84" w:rsidP="005909FC">
      <w:pPr>
        <w:pStyle w:val="CETHeading1"/>
        <w:numPr>
          <w:ilvl w:val="0"/>
          <w:numId w:val="0"/>
        </w:numPr>
      </w:pPr>
      <w:r>
        <w:t>Acknowledgments</w:t>
      </w:r>
    </w:p>
    <w:p w14:paraId="34E36637" w14:textId="3C0D598D" w:rsidR="004F7B84" w:rsidRPr="004E7E55" w:rsidRDefault="004F7B84" w:rsidP="004F7B84">
      <w:pPr>
        <w:pStyle w:val="CETBodytext"/>
      </w:pPr>
      <w:r>
        <w:t xml:space="preserve">This work is part of the </w:t>
      </w:r>
      <w:proofErr w:type="spellStart"/>
      <w:r>
        <w:t>NICOLHy</w:t>
      </w:r>
      <w:proofErr w:type="spellEnd"/>
      <w:r>
        <w:t xml:space="preserve"> project (No. 101137629) funded by the EU and Clean Hydrogen Partnership. Views and opinions expressed are however those of the authors only and do not necessarily reflect those of the EU or Clean Hydrogen JU. Neither the EU nor the granting authority can be held responsible for them.</w:t>
      </w:r>
    </w:p>
    <w:p w14:paraId="4F1327F8" w14:textId="198A8329" w:rsidR="00600535" w:rsidRDefault="00600535" w:rsidP="00600535">
      <w:pPr>
        <w:pStyle w:val="CETReference"/>
      </w:pPr>
      <w:r w:rsidRPr="00B57B36">
        <w:t>References</w:t>
      </w:r>
    </w:p>
    <w:p w14:paraId="4C2A8DC9" w14:textId="77777777" w:rsidR="004D0E0C" w:rsidRPr="008525C6" w:rsidRDefault="004D0E0C" w:rsidP="008525C6">
      <w:pPr>
        <w:pStyle w:val="CETReferencetext"/>
      </w:pPr>
      <w:r w:rsidRPr="008525C6">
        <w:t xml:space="preserve">American Society for Testing and Materials, 2019. Standard Guide for Evacuated Reflective Insulation </w:t>
      </w:r>
      <w:proofErr w:type="gramStart"/>
      <w:r w:rsidRPr="008525C6">
        <w:t>In</w:t>
      </w:r>
      <w:proofErr w:type="gramEnd"/>
      <w:r w:rsidRPr="008525C6">
        <w:t xml:space="preserve"> Cryogenic Service (ASTM C740/740M-13).</w:t>
      </w:r>
    </w:p>
    <w:p w14:paraId="178E2D11" w14:textId="77777777" w:rsidR="004D0E0C" w:rsidRPr="008525C6" w:rsidRDefault="004D0E0C" w:rsidP="008525C6">
      <w:pPr>
        <w:pStyle w:val="CETReferencetext"/>
      </w:pPr>
      <w:r w:rsidRPr="008525C6">
        <w:t xml:space="preserve">Bell, I.H., </w:t>
      </w:r>
      <w:proofErr w:type="spellStart"/>
      <w:r w:rsidRPr="008525C6">
        <w:t>Wronski</w:t>
      </w:r>
      <w:proofErr w:type="spellEnd"/>
      <w:r w:rsidRPr="008525C6">
        <w:t xml:space="preserve">, J., </w:t>
      </w:r>
      <w:proofErr w:type="spellStart"/>
      <w:r w:rsidRPr="008525C6">
        <w:t>Quoilin</w:t>
      </w:r>
      <w:proofErr w:type="spellEnd"/>
      <w:r w:rsidRPr="008525C6">
        <w:t xml:space="preserve">, S., </w:t>
      </w:r>
      <w:proofErr w:type="spellStart"/>
      <w:r w:rsidRPr="008525C6">
        <w:t>Lemort</w:t>
      </w:r>
      <w:proofErr w:type="spellEnd"/>
      <w:r w:rsidRPr="008525C6">
        <w:t xml:space="preserve">, V., 2014. Pure and Pseudo-pure Fluid Thermophysical Property Evaluation and the Open-Source Thermophysical Property Library </w:t>
      </w:r>
      <w:proofErr w:type="spellStart"/>
      <w:r w:rsidRPr="008525C6">
        <w:t>CoolProp</w:t>
      </w:r>
      <w:proofErr w:type="spellEnd"/>
      <w:r w:rsidRPr="008525C6">
        <w:t>. Ind. \&amp; Eng. Chem. Res. 53, 2498–2508. https://doi.org/10.1021/ie4033999</w:t>
      </w:r>
    </w:p>
    <w:p w14:paraId="3CD2A59B" w14:textId="77777777" w:rsidR="004D0E0C" w:rsidRPr="008525C6" w:rsidRDefault="004D0E0C" w:rsidP="008525C6">
      <w:pPr>
        <w:pStyle w:val="CETReferencetext"/>
      </w:pPr>
      <w:r w:rsidRPr="008525C6">
        <w:t xml:space="preserve">Camplese, D., Scarponi, G.E., </w:t>
      </w:r>
      <w:proofErr w:type="spellStart"/>
      <w:r w:rsidRPr="008525C6">
        <w:t>Chianese</w:t>
      </w:r>
      <w:proofErr w:type="spellEnd"/>
      <w:r w:rsidRPr="008525C6">
        <w:t xml:space="preserve">, C., </w:t>
      </w:r>
      <w:proofErr w:type="spellStart"/>
      <w:r w:rsidRPr="008525C6">
        <w:t>Hajhariri</w:t>
      </w:r>
      <w:proofErr w:type="spellEnd"/>
      <w:r w:rsidRPr="008525C6">
        <w:t xml:space="preserve">, A., </w:t>
      </w:r>
      <w:proofErr w:type="spellStart"/>
      <w:r w:rsidRPr="008525C6">
        <w:t>Eberwein</w:t>
      </w:r>
      <w:proofErr w:type="spellEnd"/>
      <w:r w:rsidRPr="008525C6">
        <w:t xml:space="preserve">, R., </w:t>
      </w:r>
      <w:proofErr w:type="spellStart"/>
      <w:r w:rsidRPr="008525C6">
        <w:t>Otremba</w:t>
      </w:r>
      <w:proofErr w:type="spellEnd"/>
      <w:r w:rsidRPr="008525C6">
        <w:t xml:space="preserve">, F., </w:t>
      </w:r>
      <w:proofErr w:type="spellStart"/>
      <w:r w:rsidRPr="008525C6">
        <w:t>Cozzani</w:t>
      </w:r>
      <w:proofErr w:type="spellEnd"/>
      <w:r w:rsidRPr="008525C6">
        <w:t xml:space="preserve">, V., 2024. </w:t>
      </w:r>
      <w:proofErr w:type="spellStart"/>
      <w:r w:rsidRPr="008525C6">
        <w:t>Modeling</w:t>
      </w:r>
      <w:proofErr w:type="spellEnd"/>
      <w:r w:rsidRPr="008525C6">
        <w:t xml:space="preserve"> the performance of multilayer insulation in cryogenic tanks undergoing external fire scenarios. Process </w:t>
      </w:r>
      <w:proofErr w:type="spellStart"/>
      <w:r w:rsidRPr="008525C6">
        <w:t>Saf</w:t>
      </w:r>
      <w:proofErr w:type="spellEnd"/>
      <w:r w:rsidRPr="008525C6">
        <w:t>. Environ. Prot. 186, 1169–1182. https://doi.org/10.1016/j.psep.2024.04.061</w:t>
      </w:r>
    </w:p>
    <w:p w14:paraId="782807EB" w14:textId="77777777" w:rsidR="004D0E0C" w:rsidRPr="00B77FD1" w:rsidRDefault="004D0E0C" w:rsidP="008525C6">
      <w:pPr>
        <w:pStyle w:val="CETReferencetext"/>
        <w:rPr>
          <w:lang w:val="it-IT"/>
        </w:rPr>
      </w:pPr>
      <w:r w:rsidRPr="008525C6">
        <w:t xml:space="preserve">Churchill, S.W., Usagi, R., 1972. A general expression for the correlation of rates of transfer and other phenomena. </w:t>
      </w:r>
      <w:proofErr w:type="spellStart"/>
      <w:r w:rsidRPr="00B77FD1">
        <w:rPr>
          <w:lang w:val="it-IT"/>
        </w:rPr>
        <w:t>AIChE</w:t>
      </w:r>
      <w:proofErr w:type="spellEnd"/>
      <w:r w:rsidRPr="00B77FD1">
        <w:rPr>
          <w:lang w:val="it-IT"/>
        </w:rPr>
        <w:t xml:space="preserve"> J. 18, 1121–1128.</w:t>
      </w:r>
    </w:p>
    <w:p w14:paraId="32C4AFB1" w14:textId="25CCAFD1" w:rsidR="004D0E0C" w:rsidRPr="008525C6" w:rsidRDefault="004D0E0C" w:rsidP="008525C6">
      <w:pPr>
        <w:pStyle w:val="CETReferencetext"/>
      </w:pPr>
      <w:proofErr w:type="spellStart"/>
      <w:r w:rsidRPr="00B77FD1">
        <w:rPr>
          <w:lang w:val="it-IT"/>
        </w:rPr>
        <w:t>Eberwein</w:t>
      </w:r>
      <w:proofErr w:type="spellEnd"/>
      <w:r w:rsidRPr="00B77FD1">
        <w:rPr>
          <w:lang w:val="it-IT"/>
        </w:rPr>
        <w:t xml:space="preserve">, R., </w:t>
      </w:r>
      <w:proofErr w:type="spellStart"/>
      <w:r w:rsidRPr="00B77FD1">
        <w:rPr>
          <w:lang w:val="it-IT"/>
        </w:rPr>
        <w:t>Hajhariri</w:t>
      </w:r>
      <w:proofErr w:type="spellEnd"/>
      <w:r w:rsidRPr="00B77FD1">
        <w:rPr>
          <w:lang w:val="it-IT"/>
        </w:rPr>
        <w:t xml:space="preserve">, A., Camplese, D., Scarponi, G.E., </w:t>
      </w:r>
      <w:proofErr w:type="spellStart"/>
      <w:r w:rsidRPr="00B77FD1">
        <w:rPr>
          <w:lang w:val="it-IT"/>
        </w:rPr>
        <w:t>Cozzani</w:t>
      </w:r>
      <w:proofErr w:type="spellEnd"/>
      <w:r w:rsidRPr="00B77FD1">
        <w:rPr>
          <w:lang w:val="it-IT"/>
        </w:rPr>
        <w:t xml:space="preserve">, V., </w:t>
      </w:r>
      <w:proofErr w:type="spellStart"/>
      <w:r w:rsidRPr="00B77FD1">
        <w:rPr>
          <w:lang w:val="it-IT"/>
        </w:rPr>
        <w:t>Otremba</w:t>
      </w:r>
      <w:proofErr w:type="spellEnd"/>
      <w:r w:rsidRPr="00B77FD1">
        <w:rPr>
          <w:lang w:val="it-IT"/>
        </w:rPr>
        <w:t xml:space="preserve">, F., 2024a. </w:t>
      </w:r>
      <w:r w:rsidRPr="008525C6">
        <w:t xml:space="preserve">Experimental investigation on the </w:t>
      </w:r>
      <w:proofErr w:type="spellStart"/>
      <w:r w:rsidRPr="008525C6">
        <w:t>behavior</w:t>
      </w:r>
      <w:proofErr w:type="spellEnd"/>
      <w:r w:rsidRPr="008525C6">
        <w:t xml:space="preserve"> of thermal super insulation materials for cryogenic storage tanks in fire incidents. Process </w:t>
      </w:r>
      <w:proofErr w:type="spellStart"/>
      <w:r w:rsidRPr="008525C6">
        <w:t>Saf</w:t>
      </w:r>
      <w:proofErr w:type="spellEnd"/>
      <w:r w:rsidRPr="008525C6">
        <w:t>. Environ. Prot. 187, 240–248. https://doi.org/10.1016/j.psep.2024.04.131</w:t>
      </w:r>
    </w:p>
    <w:p w14:paraId="14DAB7DF" w14:textId="3881BB8B" w:rsidR="004D0E0C" w:rsidRPr="008525C6" w:rsidRDefault="004D0E0C" w:rsidP="008525C6">
      <w:pPr>
        <w:pStyle w:val="CETReferencetext"/>
      </w:pPr>
      <w:proofErr w:type="spellStart"/>
      <w:r w:rsidRPr="00B77FD1">
        <w:rPr>
          <w:lang w:val="it-IT"/>
        </w:rPr>
        <w:t>Eberwein</w:t>
      </w:r>
      <w:proofErr w:type="spellEnd"/>
      <w:r w:rsidRPr="00B77FD1">
        <w:rPr>
          <w:lang w:val="it-IT"/>
        </w:rPr>
        <w:t xml:space="preserve">, R., </w:t>
      </w:r>
      <w:proofErr w:type="spellStart"/>
      <w:r w:rsidRPr="00B77FD1">
        <w:rPr>
          <w:lang w:val="it-IT"/>
        </w:rPr>
        <w:t>Hajhariri</w:t>
      </w:r>
      <w:proofErr w:type="spellEnd"/>
      <w:r w:rsidRPr="00B77FD1">
        <w:rPr>
          <w:lang w:val="it-IT"/>
        </w:rPr>
        <w:t xml:space="preserve">, A., Camplese, D., Scarponi, G.E., </w:t>
      </w:r>
      <w:proofErr w:type="spellStart"/>
      <w:r w:rsidRPr="00B77FD1">
        <w:rPr>
          <w:lang w:val="it-IT"/>
        </w:rPr>
        <w:t>Cozzani</w:t>
      </w:r>
      <w:proofErr w:type="spellEnd"/>
      <w:r w:rsidRPr="00B77FD1">
        <w:rPr>
          <w:lang w:val="it-IT"/>
        </w:rPr>
        <w:t xml:space="preserve">, V., </w:t>
      </w:r>
      <w:proofErr w:type="spellStart"/>
      <w:r w:rsidRPr="00B77FD1">
        <w:rPr>
          <w:lang w:val="it-IT"/>
        </w:rPr>
        <w:t>Otremba</w:t>
      </w:r>
      <w:proofErr w:type="spellEnd"/>
      <w:r w:rsidRPr="00B77FD1">
        <w:rPr>
          <w:lang w:val="it-IT"/>
        </w:rPr>
        <w:t xml:space="preserve">, F., 2024b. </w:t>
      </w:r>
      <w:r w:rsidRPr="008525C6">
        <w:t>Experimental Research Of A Tank For A Cryogenic Fluid With A Wall Rupture In A Fire Scenario, in: 15th ISHPMIE. Naples. https://doi.org/10.5281/zenodo.12621001</w:t>
      </w:r>
    </w:p>
    <w:p w14:paraId="1CDAD147" w14:textId="77777777" w:rsidR="002C2F07" w:rsidRPr="008525C6" w:rsidRDefault="004D0E0C" w:rsidP="008525C6">
      <w:pPr>
        <w:pStyle w:val="CETReferencetext"/>
      </w:pPr>
      <w:r w:rsidRPr="008525C6">
        <w:t>Edward, L., Filip, L., 2018. Influence of vacuum level on insulation thermal performance for LNG cryogenic road tankers, in: MATEC Web of Conferences. EDP Sciences, p. 1019.</w:t>
      </w:r>
    </w:p>
    <w:p w14:paraId="18CC69A5" w14:textId="3D6F9A4F" w:rsidR="002C2F07" w:rsidRPr="008525C6" w:rsidRDefault="002C2F07" w:rsidP="008525C6">
      <w:pPr>
        <w:pStyle w:val="CETReferencetext"/>
      </w:pPr>
      <w:r w:rsidRPr="008525C6">
        <w:t>EN 1993-1-2, 2024, Eurocode 3: Design of steel structures. Part 1-2: Structural fire design</w:t>
      </w:r>
    </w:p>
    <w:p w14:paraId="3E94F3BD" w14:textId="1EBEE99A" w:rsidR="004D0E0C" w:rsidRPr="008525C6" w:rsidRDefault="002C2F07" w:rsidP="008525C6">
      <w:pPr>
        <w:pStyle w:val="CETReferencetext"/>
      </w:pPr>
      <w:r w:rsidRPr="008525C6">
        <w:t>EN 1993-1-4, 2006, Eurocode 3: Design of steel structures - General rules. Supplementary rules for stainless steels</w:t>
      </w:r>
    </w:p>
    <w:p w14:paraId="1D147B7C" w14:textId="0A158944" w:rsidR="007A154F" w:rsidRPr="008525C6" w:rsidRDefault="007A154F" w:rsidP="008525C6">
      <w:pPr>
        <w:pStyle w:val="CETReferencetext"/>
      </w:pPr>
      <w:r w:rsidRPr="008525C6">
        <w:t>ISO 21013-3, 2016, Cryogenic vessels – Pressure-relief accessories for cryogenic service – Part 3: Sizing and capacity determination</w:t>
      </w:r>
    </w:p>
    <w:p w14:paraId="73577CB6" w14:textId="77777777" w:rsidR="004D0E0C" w:rsidRPr="008525C6" w:rsidRDefault="004D0E0C" w:rsidP="008525C6">
      <w:pPr>
        <w:pStyle w:val="CETReferencetext"/>
      </w:pPr>
      <w:r w:rsidRPr="008525C6">
        <w:t>Kunze, K., Kircher, O., 2012. Cryo-compressed hydrogen storage cryogenic cluster day. Oxford, Sept. 28, 2012.</w:t>
      </w:r>
    </w:p>
    <w:p w14:paraId="7E585743" w14:textId="77777777" w:rsidR="004D0E0C" w:rsidRPr="008525C6" w:rsidRDefault="004D0E0C" w:rsidP="008525C6">
      <w:pPr>
        <w:pStyle w:val="CETReferencetext"/>
      </w:pPr>
      <w:r w:rsidRPr="008525C6">
        <w:t>McIntosh, G.E., 1994. Layer by Layer MLI Calculation Using a Separated Mode Equation Advances in Cryogenic Engineering, in: Kittel, P. (Ed.), Advances in Cryogenic Engineering. Springer US, Boston, MA, pp. 1683–1690. https://doi.org/10.1007/978-1-4615-2522-6_206</w:t>
      </w:r>
    </w:p>
    <w:p w14:paraId="1E189D01" w14:textId="77777777" w:rsidR="004D0E0C" w:rsidRPr="008525C6" w:rsidRDefault="004D0E0C" w:rsidP="008525C6">
      <w:pPr>
        <w:pStyle w:val="CETReferencetext"/>
      </w:pPr>
      <w:proofErr w:type="spellStart"/>
      <w:r w:rsidRPr="008525C6">
        <w:t>Pehr</w:t>
      </w:r>
      <w:proofErr w:type="spellEnd"/>
      <w:r w:rsidRPr="008525C6">
        <w:t xml:space="preserve">, K., 1996. Experimental Examinations on the Worst Case </w:t>
      </w:r>
      <w:proofErr w:type="spellStart"/>
      <w:r w:rsidRPr="008525C6">
        <w:t>Behavior</w:t>
      </w:r>
      <w:proofErr w:type="spellEnd"/>
      <w:r w:rsidRPr="008525C6">
        <w:t xml:space="preserve"> of LH2/LNG Tanks for Passenger Cars, in: Proceedings of the 11th World Hydrogen Energy Conference, Stuttgart, Germany. pp. 2169–2186.</w:t>
      </w:r>
    </w:p>
    <w:p w14:paraId="314BE5FD" w14:textId="77777777" w:rsidR="004D0E0C" w:rsidRPr="008525C6" w:rsidRDefault="004D0E0C" w:rsidP="008525C6">
      <w:pPr>
        <w:pStyle w:val="CETReferencetext"/>
      </w:pPr>
      <w:proofErr w:type="spellStart"/>
      <w:r w:rsidRPr="008525C6">
        <w:t>Preuster</w:t>
      </w:r>
      <w:proofErr w:type="spellEnd"/>
      <w:r w:rsidRPr="008525C6">
        <w:t xml:space="preserve">, P., Alekseev, A., </w:t>
      </w:r>
      <w:proofErr w:type="spellStart"/>
      <w:r w:rsidRPr="008525C6">
        <w:t>Wasserscheid</w:t>
      </w:r>
      <w:proofErr w:type="spellEnd"/>
      <w:r w:rsidRPr="008525C6">
        <w:t xml:space="preserve">, P., 2017. Hydrogen Storage Technologies for Future Energy Systems. </w:t>
      </w:r>
      <w:proofErr w:type="spellStart"/>
      <w:r w:rsidRPr="008525C6">
        <w:t>Annu</w:t>
      </w:r>
      <w:proofErr w:type="spellEnd"/>
      <w:r w:rsidRPr="008525C6">
        <w:t xml:space="preserve">. Rev. Chem. </w:t>
      </w:r>
      <w:proofErr w:type="spellStart"/>
      <w:r w:rsidRPr="008525C6">
        <w:t>Biomol</w:t>
      </w:r>
      <w:proofErr w:type="spellEnd"/>
      <w:r w:rsidRPr="008525C6">
        <w:t>. Eng. 8, 445–471. https://doi.org/10.1146/annurev-chembioeng-060816-101334</w:t>
      </w:r>
    </w:p>
    <w:p w14:paraId="47C2DE58" w14:textId="77777777" w:rsidR="004D0E0C" w:rsidRPr="008525C6" w:rsidRDefault="004D0E0C" w:rsidP="008525C6">
      <w:pPr>
        <w:pStyle w:val="CETReferencetext"/>
      </w:pPr>
      <w:proofErr w:type="spellStart"/>
      <w:r w:rsidRPr="00B77FD1">
        <w:rPr>
          <w:lang w:val="it-IT"/>
        </w:rPr>
        <w:t>Schiaroli</w:t>
      </w:r>
      <w:proofErr w:type="spellEnd"/>
      <w:r w:rsidRPr="00B77FD1">
        <w:rPr>
          <w:lang w:val="it-IT"/>
        </w:rPr>
        <w:t xml:space="preserve">, A., Scarponi, G.E., Antonioni, G., </w:t>
      </w:r>
      <w:proofErr w:type="spellStart"/>
      <w:r w:rsidRPr="00B77FD1">
        <w:rPr>
          <w:lang w:val="it-IT"/>
        </w:rPr>
        <w:t>Cozzani</w:t>
      </w:r>
      <w:proofErr w:type="spellEnd"/>
      <w:r w:rsidRPr="00B77FD1">
        <w:rPr>
          <w:lang w:val="it-IT"/>
        </w:rPr>
        <w:t xml:space="preserve">, V., 2024. </w:t>
      </w:r>
      <w:r w:rsidRPr="008525C6">
        <w:t>Hazard footprint of alternative fuel storage concepts for hydrogen-powered urban buses. Int. J. Hydrogen Energy 50, 1430–1442. https://doi.org/10.1016/j.ijhydene.2023.11.104</w:t>
      </w:r>
    </w:p>
    <w:p w14:paraId="19D8C218" w14:textId="77777777" w:rsidR="004D0E0C" w:rsidRPr="008525C6" w:rsidRDefault="004D0E0C" w:rsidP="008525C6">
      <w:pPr>
        <w:pStyle w:val="CETReferencetext"/>
      </w:pPr>
      <w:r w:rsidRPr="008525C6">
        <w:t xml:space="preserve">Van Den Bosh, C.J.H., </w:t>
      </w:r>
      <w:proofErr w:type="spellStart"/>
      <w:r w:rsidRPr="008525C6">
        <w:t>Weterings</w:t>
      </w:r>
      <w:proofErr w:type="spellEnd"/>
      <w:r w:rsidRPr="008525C6">
        <w:t xml:space="preserve">, R., 2005. TNO Yellow Book, Methods for the calculation of physical effects, </w:t>
      </w:r>
      <w:proofErr w:type="spellStart"/>
      <w:r w:rsidRPr="008525C6">
        <w:t>Sdu</w:t>
      </w:r>
      <w:proofErr w:type="spellEnd"/>
      <w:r w:rsidRPr="008525C6">
        <w:t xml:space="preserve"> </w:t>
      </w:r>
      <w:proofErr w:type="spellStart"/>
      <w:r w:rsidRPr="008525C6">
        <w:t>Uitgevers</w:t>
      </w:r>
      <w:proofErr w:type="spellEnd"/>
      <w:r w:rsidRPr="008525C6">
        <w:t>.</w:t>
      </w:r>
    </w:p>
    <w:p w14:paraId="2B9ACA51" w14:textId="77777777" w:rsidR="004D0E0C" w:rsidRPr="008525C6" w:rsidRDefault="004D0E0C" w:rsidP="008525C6">
      <w:pPr>
        <w:pStyle w:val="CETReferencetext"/>
      </w:pPr>
      <w:r w:rsidRPr="008525C6">
        <w:t xml:space="preserve">van </w:t>
      </w:r>
      <w:proofErr w:type="spellStart"/>
      <w:r w:rsidRPr="008525C6">
        <w:t>Wingerden</w:t>
      </w:r>
      <w:proofErr w:type="spellEnd"/>
      <w:r w:rsidRPr="008525C6">
        <w:t xml:space="preserve">, K., Kluge, M., Habib, A.K., </w:t>
      </w:r>
      <w:proofErr w:type="spellStart"/>
      <w:r w:rsidRPr="008525C6">
        <w:t>Ustolin</w:t>
      </w:r>
      <w:proofErr w:type="spellEnd"/>
      <w:r w:rsidRPr="008525C6">
        <w:t>, F., Paltrinieri, N., 2022. Medium-scale Tests to Investigate the Possibility and Effects of BLEVEs of Storage Vessels Containing Liquified Hydrogen. Chem. Eng. Trans. 90, 547–552. https://doi.org/10.3303/CET2290092</w:t>
      </w:r>
    </w:p>
    <w:p w14:paraId="6C5056B8" w14:textId="77777777" w:rsidR="004D0E0C" w:rsidRPr="008525C6" w:rsidRDefault="004D0E0C" w:rsidP="008525C6">
      <w:pPr>
        <w:pStyle w:val="CETReferencetext"/>
      </w:pPr>
      <w:r w:rsidRPr="008525C6">
        <w:t xml:space="preserve">Wang, L., Li, Y., Zhang, F., </w:t>
      </w:r>
      <w:proofErr w:type="spellStart"/>
      <w:r w:rsidRPr="008525C6">
        <w:t>Xie</w:t>
      </w:r>
      <w:proofErr w:type="spellEnd"/>
      <w:r w:rsidRPr="008525C6">
        <w:t>, F., Ma, Y., 2016. Correlations for calculating heat transfer of hydrogen pool boiling. Int. J. Hydrogen Energy 41, 17118–17131. https://doi.org/10.1016/j.ijhydene.2016.06.254</w:t>
      </w:r>
    </w:p>
    <w:sectPr w:rsidR="004D0E0C" w:rsidRPr="008525C6"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832B9" w16cex:dateUtc="2024-11-08T05:48:00Z"/>
  <w16cex:commentExtensible w16cex:durableId="2ADC2683" w16cex:dateUtc="2024-11-11T05:45:00Z"/>
  <w16cex:commentExtensible w16cex:durableId="2ADC2F22" w16cex:dateUtc="2024-11-11T06:22:00Z"/>
  <w16cex:commentExtensible w16cex:durableId="2ADD6E63" w16cex:dateUtc="2024-11-12T05:04:00Z"/>
  <w16cex:commentExtensible w16cex:durableId="2ADC29A1" w16cex:dateUtc="2024-11-11T05:58:00Z"/>
  <w16cex:commentExtensible w16cex:durableId="2ADC2ED6" w16cex:dateUtc="2024-11-11T06:20:00Z"/>
  <w16cex:commentExtensible w16cex:durableId="2ADC5D96" w16cex:dateUtc="2024-11-11T09:40:00Z"/>
  <w16cex:commentExtensible w16cex:durableId="2ADD7435" w16cex:dateUtc="2024-11-12T05:29:00Z"/>
  <w16cex:commentExtensible w16cex:durableId="2ADC61DA" w16cex:dateUtc="2024-11-11T09: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77BB3" w14:textId="77777777" w:rsidR="001E510C" w:rsidRDefault="001E510C" w:rsidP="004F5E36">
      <w:r>
        <w:separator/>
      </w:r>
    </w:p>
  </w:endnote>
  <w:endnote w:type="continuationSeparator" w:id="0">
    <w:p w14:paraId="6B4D32B6" w14:textId="77777777" w:rsidR="001E510C" w:rsidRDefault="001E510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489AE" w14:textId="77777777" w:rsidR="001E510C" w:rsidRDefault="001E510C" w:rsidP="004F5E36">
      <w:r>
        <w:separator/>
      </w:r>
    </w:p>
  </w:footnote>
  <w:footnote w:type="continuationSeparator" w:id="0">
    <w:p w14:paraId="27E31735" w14:textId="77777777" w:rsidR="001E510C" w:rsidRDefault="001E510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9B8C66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qsFAIIcO8ktAAAA"/>
  </w:docVars>
  <w:rsids>
    <w:rsidRoot w:val="000E414A"/>
    <w:rsid w:val="000027C0"/>
    <w:rsid w:val="000052FB"/>
    <w:rsid w:val="00006037"/>
    <w:rsid w:val="0000659C"/>
    <w:rsid w:val="000102BD"/>
    <w:rsid w:val="000117CB"/>
    <w:rsid w:val="0003148D"/>
    <w:rsid w:val="00031EEC"/>
    <w:rsid w:val="0003243C"/>
    <w:rsid w:val="0004220C"/>
    <w:rsid w:val="00042CF2"/>
    <w:rsid w:val="000476E4"/>
    <w:rsid w:val="00050B25"/>
    <w:rsid w:val="00051566"/>
    <w:rsid w:val="000556FD"/>
    <w:rsid w:val="00062277"/>
    <w:rsid w:val="00062A9A"/>
    <w:rsid w:val="00065058"/>
    <w:rsid w:val="00076345"/>
    <w:rsid w:val="00082CCC"/>
    <w:rsid w:val="00085264"/>
    <w:rsid w:val="00086C39"/>
    <w:rsid w:val="00095830"/>
    <w:rsid w:val="000A03B2"/>
    <w:rsid w:val="000A07B8"/>
    <w:rsid w:val="000A0BB8"/>
    <w:rsid w:val="000A1998"/>
    <w:rsid w:val="000C0A8F"/>
    <w:rsid w:val="000C0CA5"/>
    <w:rsid w:val="000C23EA"/>
    <w:rsid w:val="000C2977"/>
    <w:rsid w:val="000C374B"/>
    <w:rsid w:val="000C53E9"/>
    <w:rsid w:val="000D0268"/>
    <w:rsid w:val="000D34BE"/>
    <w:rsid w:val="000E102F"/>
    <w:rsid w:val="000E16A7"/>
    <w:rsid w:val="000E36F1"/>
    <w:rsid w:val="000E3A73"/>
    <w:rsid w:val="000E414A"/>
    <w:rsid w:val="000E7068"/>
    <w:rsid w:val="000F093C"/>
    <w:rsid w:val="000F787B"/>
    <w:rsid w:val="001037BE"/>
    <w:rsid w:val="00106B28"/>
    <w:rsid w:val="00111BB8"/>
    <w:rsid w:val="0012008F"/>
    <w:rsid w:val="0012091F"/>
    <w:rsid w:val="0012186F"/>
    <w:rsid w:val="00122B2E"/>
    <w:rsid w:val="00124F37"/>
    <w:rsid w:val="00126BC2"/>
    <w:rsid w:val="00126F6C"/>
    <w:rsid w:val="001308B6"/>
    <w:rsid w:val="0013121F"/>
    <w:rsid w:val="00131FE6"/>
    <w:rsid w:val="0013263F"/>
    <w:rsid w:val="001331DF"/>
    <w:rsid w:val="00134DE4"/>
    <w:rsid w:val="0014034D"/>
    <w:rsid w:val="00144685"/>
    <w:rsid w:val="00144D16"/>
    <w:rsid w:val="0014644E"/>
    <w:rsid w:val="00150E59"/>
    <w:rsid w:val="00152DE3"/>
    <w:rsid w:val="001545BB"/>
    <w:rsid w:val="0015462B"/>
    <w:rsid w:val="001569AF"/>
    <w:rsid w:val="00157C05"/>
    <w:rsid w:val="001628FE"/>
    <w:rsid w:val="00164CF9"/>
    <w:rsid w:val="001667A6"/>
    <w:rsid w:val="00182477"/>
    <w:rsid w:val="00183748"/>
    <w:rsid w:val="001842A7"/>
    <w:rsid w:val="00184A09"/>
    <w:rsid w:val="00184AD6"/>
    <w:rsid w:val="001971DF"/>
    <w:rsid w:val="001A082F"/>
    <w:rsid w:val="001A28AC"/>
    <w:rsid w:val="001A4AF7"/>
    <w:rsid w:val="001B0349"/>
    <w:rsid w:val="001B1E93"/>
    <w:rsid w:val="001B1F91"/>
    <w:rsid w:val="001B1FD9"/>
    <w:rsid w:val="001B5464"/>
    <w:rsid w:val="001B65C1"/>
    <w:rsid w:val="001B6E85"/>
    <w:rsid w:val="001C684B"/>
    <w:rsid w:val="001D0CFB"/>
    <w:rsid w:val="001D4D22"/>
    <w:rsid w:val="001D53FC"/>
    <w:rsid w:val="001E510C"/>
    <w:rsid w:val="001E7C69"/>
    <w:rsid w:val="001F42A5"/>
    <w:rsid w:val="001F475B"/>
    <w:rsid w:val="001F7434"/>
    <w:rsid w:val="001F7B9D"/>
    <w:rsid w:val="00201C93"/>
    <w:rsid w:val="00206887"/>
    <w:rsid w:val="00217C59"/>
    <w:rsid w:val="002224B4"/>
    <w:rsid w:val="0023411B"/>
    <w:rsid w:val="0024024B"/>
    <w:rsid w:val="00241249"/>
    <w:rsid w:val="002447EF"/>
    <w:rsid w:val="002465A8"/>
    <w:rsid w:val="00251550"/>
    <w:rsid w:val="00251E3D"/>
    <w:rsid w:val="00263B05"/>
    <w:rsid w:val="00264B3A"/>
    <w:rsid w:val="0027221A"/>
    <w:rsid w:val="002727CE"/>
    <w:rsid w:val="00275B61"/>
    <w:rsid w:val="00280FAF"/>
    <w:rsid w:val="00281964"/>
    <w:rsid w:val="00282656"/>
    <w:rsid w:val="00296B83"/>
    <w:rsid w:val="002B4015"/>
    <w:rsid w:val="002B65C6"/>
    <w:rsid w:val="002B78CE"/>
    <w:rsid w:val="002C05E4"/>
    <w:rsid w:val="002C2F07"/>
    <w:rsid w:val="002C2FB6"/>
    <w:rsid w:val="002D3205"/>
    <w:rsid w:val="002E0D96"/>
    <w:rsid w:val="002E0DAA"/>
    <w:rsid w:val="002E5FA7"/>
    <w:rsid w:val="002F3309"/>
    <w:rsid w:val="002F47E8"/>
    <w:rsid w:val="002F663C"/>
    <w:rsid w:val="003008CE"/>
    <w:rsid w:val="003009B7"/>
    <w:rsid w:val="00300E56"/>
    <w:rsid w:val="0030469C"/>
    <w:rsid w:val="00321CA6"/>
    <w:rsid w:val="00323763"/>
    <w:rsid w:val="00323862"/>
    <w:rsid w:val="003303B4"/>
    <w:rsid w:val="00331F21"/>
    <w:rsid w:val="00334C09"/>
    <w:rsid w:val="00340CDE"/>
    <w:rsid w:val="0034542A"/>
    <w:rsid w:val="0034599F"/>
    <w:rsid w:val="00346EF0"/>
    <w:rsid w:val="00353B3A"/>
    <w:rsid w:val="00365E95"/>
    <w:rsid w:val="00366BF1"/>
    <w:rsid w:val="003723D4"/>
    <w:rsid w:val="003732FF"/>
    <w:rsid w:val="00381905"/>
    <w:rsid w:val="00384CC8"/>
    <w:rsid w:val="003871FD"/>
    <w:rsid w:val="00394766"/>
    <w:rsid w:val="00396A7D"/>
    <w:rsid w:val="003A1E30"/>
    <w:rsid w:val="003A2829"/>
    <w:rsid w:val="003A7D1C"/>
    <w:rsid w:val="003B11C5"/>
    <w:rsid w:val="003B304B"/>
    <w:rsid w:val="003B3146"/>
    <w:rsid w:val="003C16F7"/>
    <w:rsid w:val="003D42ED"/>
    <w:rsid w:val="003D55CB"/>
    <w:rsid w:val="003D58F4"/>
    <w:rsid w:val="003E4DD0"/>
    <w:rsid w:val="003F015E"/>
    <w:rsid w:val="003F6AB1"/>
    <w:rsid w:val="003F7A76"/>
    <w:rsid w:val="00400414"/>
    <w:rsid w:val="0041446B"/>
    <w:rsid w:val="00414D8E"/>
    <w:rsid w:val="004154AD"/>
    <w:rsid w:val="00420F1E"/>
    <w:rsid w:val="004276CD"/>
    <w:rsid w:val="0043048F"/>
    <w:rsid w:val="00431FCE"/>
    <w:rsid w:val="00434F25"/>
    <w:rsid w:val="00440C79"/>
    <w:rsid w:val="0044329C"/>
    <w:rsid w:val="0045000B"/>
    <w:rsid w:val="00453E24"/>
    <w:rsid w:val="00457456"/>
    <w:rsid w:val="004577FE"/>
    <w:rsid w:val="00457B9C"/>
    <w:rsid w:val="0046164A"/>
    <w:rsid w:val="004628D2"/>
    <w:rsid w:val="00462DCD"/>
    <w:rsid w:val="004648AD"/>
    <w:rsid w:val="004703A9"/>
    <w:rsid w:val="00470B2C"/>
    <w:rsid w:val="004751E5"/>
    <w:rsid w:val="004760DE"/>
    <w:rsid w:val="004763D7"/>
    <w:rsid w:val="00480F49"/>
    <w:rsid w:val="00486325"/>
    <w:rsid w:val="00487097"/>
    <w:rsid w:val="0049083E"/>
    <w:rsid w:val="0049512E"/>
    <w:rsid w:val="004A004E"/>
    <w:rsid w:val="004A24CF"/>
    <w:rsid w:val="004B070B"/>
    <w:rsid w:val="004C0D8B"/>
    <w:rsid w:val="004C2268"/>
    <w:rsid w:val="004C3D1D"/>
    <w:rsid w:val="004C4769"/>
    <w:rsid w:val="004C7913"/>
    <w:rsid w:val="004D0E0C"/>
    <w:rsid w:val="004E4DD6"/>
    <w:rsid w:val="004E71E9"/>
    <w:rsid w:val="004E77CF"/>
    <w:rsid w:val="004E7E55"/>
    <w:rsid w:val="004F3E67"/>
    <w:rsid w:val="004F44BC"/>
    <w:rsid w:val="004F5E36"/>
    <w:rsid w:val="004F6EED"/>
    <w:rsid w:val="004F7148"/>
    <w:rsid w:val="004F7B84"/>
    <w:rsid w:val="00507B47"/>
    <w:rsid w:val="00507BEF"/>
    <w:rsid w:val="00507CC9"/>
    <w:rsid w:val="00507DD7"/>
    <w:rsid w:val="005119A5"/>
    <w:rsid w:val="00511D6F"/>
    <w:rsid w:val="00513892"/>
    <w:rsid w:val="00523F7B"/>
    <w:rsid w:val="005278B7"/>
    <w:rsid w:val="00532016"/>
    <w:rsid w:val="00533F30"/>
    <w:rsid w:val="005346C8"/>
    <w:rsid w:val="00537E03"/>
    <w:rsid w:val="00541027"/>
    <w:rsid w:val="00543E7D"/>
    <w:rsid w:val="00547A68"/>
    <w:rsid w:val="005520B0"/>
    <w:rsid w:val="00553183"/>
    <w:rsid w:val="005531C9"/>
    <w:rsid w:val="00555A55"/>
    <w:rsid w:val="00555DDE"/>
    <w:rsid w:val="00564CDE"/>
    <w:rsid w:val="00567BE5"/>
    <w:rsid w:val="00570C43"/>
    <w:rsid w:val="005749F7"/>
    <w:rsid w:val="005826BD"/>
    <w:rsid w:val="005841B4"/>
    <w:rsid w:val="005909FC"/>
    <w:rsid w:val="0059193D"/>
    <w:rsid w:val="005A5F31"/>
    <w:rsid w:val="005B2110"/>
    <w:rsid w:val="005B61E6"/>
    <w:rsid w:val="005C5963"/>
    <w:rsid w:val="005C77E1"/>
    <w:rsid w:val="005C7C5C"/>
    <w:rsid w:val="005D668A"/>
    <w:rsid w:val="005D6A2F"/>
    <w:rsid w:val="005D79E5"/>
    <w:rsid w:val="005E0EE7"/>
    <w:rsid w:val="005E1A82"/>
    <w:rsid w:val="005E794C"/>
    <w:rsid w:val="005F02B6"/>
    <w:rsid w:val="005F0A28"/>
    <w:rsid w:val="005F0E5E"/>
    <w:rsid w:val="005F4661"/>
    <w:rsid w:val="00600535"/>
    <w:rsid w:val="00610CD6"/>
    <w:rsid w:val="006118CB"/>
    <w:rsid w:val="0061294C"/>
    <w:rsid w:val="00620DEE"/>
    <w:rsid w:val="00621F92"/>
    <w:rsid w:val="0062280A"/>
    <w:rsid w:val="00625639"/>
    <w:rsid w:val="00626CBD"/>
    <w:rsid w:val="00631B33"/>
    <w:rsid w:val="00635522"/>
    <w:rsid w:val="0064184D"/>
    <w:rsid w:val="006422CC"/>
    <w:rsid w:val="00643001"/>
    <w:rsid w:val="00645980"/>
    <w:rsid w:val="00646FB8"/>
    <w:rsid w:val="0065222F"/>
    <w:rsid w:val="00656211"/>
    <w:rsid w:val="00660E3E"/>
    <w:rsid w:val="00662E74"/>
    <w:rsid w:val="00663BCB"/>
    <w:rsid w:val="00665323"/>
    <w:rsid w:val="00671CEC"/>
    <w:rsid w:val="0067221B"/>
    <w:rsid w:val="00680C23"/>
    <w:rsid w:val="0068168E"/>
    <w:rsid w:val="0068554E"/>
    <w:rsid w:val="00686F4B"/>
    <w:rsid w:val="0069374B"/>
    <w:rsid w:val="00693766"/>
    <w:rsid w:val="00697BF4"/>
    <w:rsid w:val="00697F6B"/>
    <w:rsid w:val="006A3281"/>
    <w:rsid w:val="006B04FE"/>
    <w:rsid w:val="006B1A53"/>
    <w:rsid w:val="006B3131"/>
    <w:rsid w:val="006B4888"/>
    <w:rsid w:val="006B5B21"/>
    <w:rsid w:val="006C2E45"/>
    <w:rsid w:val="006C359C"/>
    <w:rsid w:val="006C5579"/>
    <w:rsid w:val="006C6753"/>
    <w:rsid w:val="006D3759"/>
    <w:rsid w:val="006D6E8B"/>
    <w:rsid w:val="006E5A17"/>
    <w:rsid w:val="006E737D"/>
    <w:rsid w:val="006F50D4"/>
    <w:rsid w:val="007101A1"/>
    <w:rsid w:val="00713973"/>
    <w:rsid w:val="007157C8"/>
    <w:rsid w:val="00720A24"/>
    <w:rsid w:val="00731BDD"/>
    <w:rsid w:val="00731D45"/>
    <w:rsid w:val="00732386"/>
    <w:rsid w:val="0073514D"/>
    <w:rsid w:val="007369FC"/>
    <w:rsid w:val="00742EAC"/>
    <w:rsid w:val="007434C6"/>
    <w:rsid w:val="00743F35"/>
    <w:rsid w:val="007447F3"/>
    <w:rsid w:val="00747FC7"/>
    <w:rsid w:val="0075499F"/>
    <w:rsid w:val="0076286F"/>
    <w:rsid w:val="007661C8"/>
    <w:rsid w:val="00770638"/>
    <w:rsid w:val="0077098D"/>
    <w:rsid w:val="00774EA9"/>
    <w:rsid w:val="0077680C"/>
    <w:rsid w:val="00782EAA"/>
    <w:rsid w:val="00791D84"/>
    <w:rsid w:val="007931FA"/>
    <w:rsid w:val="00793270"/>
    <w:rsid w:val="007A056D"/>
    <w:rsid w:val="007A154F"/>
    <w:rsid w:val="007A4861"/>
    <w:rsid w:val="007A6053"/>
    <w:rsid w:val="007A7BBA"/>
    <w:rsid w:val="007B0C50"/>
    <w:rsid w:val="007B2DB8"/>
    <w:rsid w:val="007B356E"/>
    <w:rsid w:val="007B48F9"/>
    <w:rsid w:val="007B7B9F"/>
    <w:rsid w:val="007C1629"/>
    <w:rsid w:val="007C1A43"/>
    <w:rsid w:val="007D245C"/>
    <w:rsid w:val="0080013E"/>
    <w:rsid w:val="00802C7E"/>
    <w:rsid w:val="00802FBB"/>
    <w:rsid w:val="00803E54"/>
    <w:rsid w:val="0080440A"/>
    <w:rsid w:val="00804B2E"/>
    <w:rsid w:val="00806870"/>
    <w:rsid w:val="008109C4"/>
    <w:rsid w:val="00810DA1"/>
    <w:rsid w:val="00813288"/>
    <w:rsid w:val="00814017"/>
    <w:rsid w:val="008168FC"/>
    <w:rsid w:val="00825DD9"/>
    <w:rsid w:val="00830996"/>
    <w:rsid w:val="008314CF"/>
    <w:rsid w:val="00833E92"/>
    <w:rsid w:val="008345F1"/>
    <w:rsid w:val="0083727B"/>
    <w:rsid w:val="00840646"/>
    <w:rsid w:val="0085055B"/>
    <w:rsid w:val="008525C6"/>
    <w:rsid w:val="00854D5A"/>
    <w:rsid w:val="00865B07"/>
    <w:rsid w:val="008667EA"/>
    <w:rsid w:val="0087637F"/>
    <w:rsid w:val="00892AD5"/>
    <w:rsid w:val="0089366B"/>
    <w:rsid w:val="0089583C"/>
    <w:rsid w:val="008A1512"/>
    <w:rsid w:val="008A1B50"/>
    <w:rsid w:val="008C4AE4"/>
    <w:rsid w:val="008C4C14"/>
    <w:rsid w:val="008D04E2"/>
    <w:rsid w:val="008D32B9"/>
    <w:rsid w:val="008D433B"/>
    <w:rsid w:val="008D70B8"/>
    <w:rsid w:val="008E086A"/>
    <w:rsid w:val="008E1BE0"/>
    <w:rsid w:val="008E566E"/>
    <w:rsid w:val="008F109F"/>
    <w:rsid w:val="008F1995"/>
    <w:rsid w:val="008F7B49"/>
    <w:rsid w:val="009001A4"/>
    <w:rsid w:val="0090161A"/>
    <w:rsid w:val="00901BB3"/>
    <w:rsid w:val="00901EB6"/>
    <w:rsid w:val="00902190"/>
    <w:rsid w:val="00904C62"/>
    <w:rsid w:val="0091037A"/>
    <w:rsid w:val="00911E23"/>
    <w:rsid w:val="00915745"/>
    <w:rsid w:val="00922BA8"/>
    <w:rsid w:val="00924A89"/>
    <w:rsid w:val="00924DAC"/>
    <w:rsid w:val="00927058"/>
    <w:rsid w:val="0093064D"/>
    <w:rsid w:val="00937153"/>
    <w:rsid w:val="00940574"/>
    <w:rsid w:val="00940D58"/>
    <w:rsid w:val="00942750"/>
    <w:rsid w:val="009447CF"/>
    <w:rsid w:val="009450CE"/>
    <w:rsid w:val="00947179"/>
    <w:rsid w:val="009508A4"/>
    <w:rsid w:val="0095164B"/>
    <w:rsid w:val="00954090"/>
    <w:rsid w:val="009573E7"/>
    <w:rsid w:val="00957561"/>
    <w:rsid w:val="00963E05"/>
    <w:rsid w:val="00967843"/>
    <w:rsid w:val="00967D54"/>
    <w:rsid w:val="00967E3C"/>
    <w:rsid w:val="00971028"/>
    <w:rsid w:val="00986AD5"/>
    <w:rsid w:val="00990DFE"/>
    <w:rsid w:val="00993AEC"/>
    <w:rsid w:val="00993B84"/>
    <w:rsid w:val="00996483"/>
    <w:rsid w:val="00996F5A"/>
    <w:rsid w:val="009B041A"/>
    <w:rsid w:val="009B59E7"/>
    <w:rsid w:val="009C37C3"/>
    <w:rsid w:val="009C7C86"/>
    <w:rsid w:val="009D2FF7"/>
    <w:rsid w:val="009D473D"/>
    <w:rsid w:val="009D4F60"/>
    <w:rsid w:val="009E7884"/>
    <w:rsid w:val="009E788A"/>
    <w:rsid w:val="009F0E08"/>
    <w:rsid w:val="009F1E98"/>
    <w:rsid w:val="009F315D"/>
    <w:rsid w:val="009F597F"/>
    <w:rsid w:val="00A03A16"/>
    <w:rsid w:val="00A0592A"/>
    <w:rsid w:val="00A12DB8"/>
    <w:rsid w:val="00A13AE6"/>
    <w:rsid w:val="00A1763D"/>
    <w:rsid w:val="00A17CEC"/>
    <w:rsid w:val="00A20CAE"/>
    <w:rsid w:val="00A21A2F"/>
    <w:rsid w:val="00A24309"/>
    <w:rsid w:val="00A27EF0"/>
    <w:rsid w:val="00A37CC3"/>
    <w:rsid w:val="00A42361"/>
    <w:rsid w:val="00A454AB"/>
    <w:rsid w:val="00A50B20"/>
    <w:rsid w:val="00A51390"/>
    <w:rsid w:val="00A54F71"/>
    <w:rsid w:val="00A5755B"/>
    <w:rsid w:val="00A57B54"/>
    <w:rsid w:val="00A60D13"/>
    <w:rsid w:val="00A610F1"/>
    <w:rsid w:val="00A63469"/>
    <w:rsid w:val="00A65F2F"/>
    <w:rsid w:val="00A72745"/>
    <w:rsid w:val="00A76EFC"/>
    <w:rsid w:val="00A77DE9"/>
    <w:rsid w:val="00A82C29"/>
    <w:rsid w:val="00A834BC"/>
    <w:rsid w:val="00A91010"/>
    <w:rsid w:val="00A917CD"/>
    <w:rsid w:val="00A97F29"/>
    <w:rsid w:val="00AA702E"/>
    <w:rsid w:val="00AB0964"/>
    <w:rsid w:val="00AB0A17"/>
    <w:rsid w:val="00AB5011"/>
    <w:rsid w:val="00AB7205"/>
    <w:rsid w:val="00AC2C55"/>
    <w:rsid w:val="00AC7368"/>
    <w:rsid w:val="00AD16B9"/>
    <w:rsid w:val="00AE0F52"/>
    <w:rsid w:val="00AE1BF9"/>
    <w:rsid w:val="00AE377D"/>
    <w:rsid w:val="00AE645B"/>
    <w:rsid w:val="00AE6EB4"/>
    <w:rsid w:val="00AF0EBA"/>
    <w:rsid w:val="00AF207D"/>
    <w:rsid w:val="00AF4DB9"/>
    <w:rsid w:val="00B0194D"/>
    <w:rsid w:val="00B02C8A"/>
    <w:rsid w:val="00B12DE8"/>
    <w:rsid w:val="00B1489E"/>
    <w:rsid w:val="00B14F1F"/>
    <w:rsid w:val="00B17FBD"/>
    <w:rsid w:val="00B22129"/>
    <w:rsid w:val="00B27E71"/>
    <w:rsid w:val="00B315A6"/>
    <w:rsid w:val="00B31813"/>
    <w:rsid w:val="00B33365"/>
    <w:rsid w:val="00B3689E"/>
    <w:rsid w:val="00B44F60"/>
    <w:rsid w:val="00B5134A"/>
    <w:rsid w:val="00B57B36"/>
    <w:rsid w:val="00B57E6F"/>
    <w:rsid w:val="00B6051A"/>
    <w:rsid w:val="00B637D5"/>
    <w:rsid w:val="00B669CD"/>
    <w:rsid w:val="00B67CE0"/>
    <w:rsid w:val="00B70960"/>
    <w:rsid w:val="00B719AD"/>
    <w:rsid w:val="00B71C0A"/>
    <w:rsid w:val="00B77FD1"/>
    <w:rsid w:val="00B83DC5"/>
    <w:rsid w:val="00B8686D"/>
    <w:rsid w:val="00B93F69"/>
    <w:rsid w:val="00B96420"/>
    <w:rsid w:val="00BA04D1"/>
    <w:rsid w:val="00BA3B59"/>
    <w:rsid w:val="00BA56A3"/>
    <w:rsid w:val="00BB1DDC"/>
    <w:rsid w:val="00BB36C7"/>
    <w:rsid w:val="00BB5F08"/>
    <w:rsid w:val="00BB79C8"/>
    <w:rsid w:val="00BC03B4"/>
    <w:rsid w:val="00BC0FB9"/>
    <w:rsid w:val="00BC30C9"/>
    <w:rsid w:val="00BC3E0D"/>
    <w:rsid w:val="00BD077D"/>
    <w:rsid w:val="00BD5D3F"/>
    <w:rsid w:val="00BE3E58"/>
    <w:rsid w:val="00BE4447"/>
    <w:rsid w:val="00BF3470"/>
    <w:rsid w:val="00C01616"/>
    <w:rsid w:val="00C0162B"/>
    <w:rsid w:val="00C068ED"/>
    <w:rsid w:val="00C103FC"/>
    <w:rsid w:val="00C160DB"/>
    <w:rsid w:val="00C2228E"/>
    <w:rsid w:val="00C22E0C"/>
    <w:rsid w:val="00C3296C"/>
    <w:rsid w:val="00C345B1"/>
    <w:rsid w:val="00C40142"/>
    <w:rsid w:val="00C52C3C"/>
    <w:rsid w:val="00C55297"/>
    <w:rsid w:val="00C57182"/>
    <w:rsid w:val="00C57863"/>
    <w:rsid w:val="00C622F8"/>
    <w:rsid w:val="00C62651"/>
    <w:rsid w:val="00C655FD"/>
    <w:rsid w:val="00C66A2C"/>
    <w:rsid w:val="00C75407"/>
    <w:rsid w:val="00C83EA6"/>
    <w:rsid w:val="00C870A8"/>
    <w:rsid w:val="00C8717B"/>
    <w:rsid w:val="00C94434"/>
    <w:rsid w:val="00C94FB2"/>
    <w:rsid w:val="00CA0D75"/>
    <w:rsid w:val="00CA1C95"/>
    <w:rsid w:val="00CA3789"/>
    <w:rsid w:val="00CA48E9"/>
    <w:rsid w:val="00CA5A9C"/>
    <w:rsid w:val="00CA6223"/>
    <w:rsid w:val="00CA6A77"/>
    <w:rsid w:val="00CC4C20"/>
    <w:rsid w:val="00CC6797"/>
    <w:rsid w:val="00CD3517"/>
    <w:rsid w:val="00CD5FE2"/>
    <w:rsid w:val="00CD61BF"/>
    <w:rsid w:val="00CE7C68"/>
    <w:rsid w:val="00CF2E6B"/>
    <w:rsid w:val="00D02B4C"/>
    <w:rsid w:val="00D040C4"/>
    <w:rsid w:val="00D04488"/>
    <w:rsid w:val="00D15793"/>
    <w:rsid w:val="00D17362"/>
    <w:rsid w:val="00D17C10"/>
    <w:rsid w:val="00D3267C"/>
    <w:rsid w:val="00D449EE"/>
    <w:rsid w:val="00D46B7E"/>
    <w:rsid w:val="00D556C2"/>
    <w:rsid w:val="00D57C84"/>
    <w:rsid w:val="00D6057D"/>
    <w:rsid w:val="00D644E2"/>
    <w:rsid w:val="00D660AC"/>
    <w:rsid w:val="00D735B2"/>
    <w:rsid w:val="00D80393"/>
    <w:rsid w:val="00D836C5"/>
    <w:rsid w:val="00D84576"/>
    <w:rsid w:val="00D84AAB"/>
    <w:rsid w:val="00D95DC8"/>
    <w:rsid w:val="00D967EC"/>
    <w:rsid w:val="00DA1399"/>
    <w:rsid w:val="00DA24C6"/>
    <w:rsid w:val="00DA2BD3"/>
    <w:rsid w:val="00DA4D7B"/>
    <w:rsid w:val="00DA5AC0"/>
    <w:rsid w:val="00DB05F7"/>
    <w:rsid w:val="00DB3019"/>
    <w:rsid w:val="00DC0183"/>
    <w:rsid w:val="00DC21E7"/>
    <w:rsid w:val="00DD5410"/>
    <w:rsid w:val="00DE264A"/>
    <w:rsid w:val="00DE60EB"/>
    <w:rsid w:val="00DE6220"/>
    <w:rsid w:val="00DF3BF6"/>
    <w:rsid w:val="00DF3D00"/>
    <w:rsid w:val="00DF5072"/>
    <w:rsid w:val="00E02D18"/>
    <w:rsid w:val="00E02FF3"/>
    <w:rsid w:val="00E041E7"/>
    <w:rsid w:val="00E05E3B"/>
    <w:rsid w:val="00E22DD0"/>
    <w:rsid w:val="00E23CA1"/>
    <w:rsid w:val="00E409A8"/>
    <w:rsid w:val="00E50C12"/>
    <w:rsid w:val="00E548C1"/>
    <w:rsid w:val="00E65B91"/>
    <w:rsid w:val="00E710CA"/>
    <w:rsid w:val="00E7209D"/>
    <w:rsid w:val="00E72EAD"/>
    <w:rsid w:val="00E77223"/>
    <w:rsid w:val="00E80D41"/>
    <w:rsid w:val="00E84B5A"/>
    <w:rsid w:val="00E8528B"/>
    <w:rsid w:val="00E85B94"/>
    <w:rsid w:val="00E94E80"/>
    <w:rsid w:val="00E972A2"/>
    <w:rsid w:val="00E978D0"/>
    <w:rsid w:val="00EA4613"/>
    <w:rsid w:val="00EA59E4"/>
    <w:rsid w:val="00EA7F91"/>
    <w:rsid w:val="00EB1523"/>
    <w:rsid w:val="00EB32EC"/>
    <w:rsid w:val="00EB3602"/>
    <w:rsid w:val="00EC0E49"/>
    <w:rsid w:val="00EC101F"/>
    <w:rsid w:val="00EC1D9F"/>
    <w:rsid w:val="00ED019F"/>
    <w:rsid w:val="00ED2561"/>
    <w:rsid w:val="00ED6441"/>
    <w:rsid w:val="00EE0131"/>
    <w:rsid w:val="00EE17B0"/>
    <w:rsid w:val="00EE3091"/>
    <w:rsid w:val="00EF06D9"/>
    <w:rsid w:val="00EF347E"/>
    <w:rsid w:val="00EF5609"/>
    <w:rsid w:val="00F01911"/>
    <w:rsid w:val="00F1132A"/>
    <w:rsid w:val="00F13609"/>
    <w:rsid w:val="00F1467F"/>
    <w:rsid w:val="00F20031"/>
    <w:rsid w:val="00F20306"/>
    <w:rsid w:val="00F22772"/>
    <w:rsid w:val="00F30C64"/>
    <w:rsid w:val="00F32BA2"/>
    <w:rsid w:val="00F32CDB"/>
    <w:rsid w:val="00F36607"/>
    <w:rsid w:val="00F37F68"/>
    <w:rsid w:val="00F47A90"/>
    <w:rsid w:val="00F565FE"/>
    <w:rsid w:val="00F63174"/>
    <w:rsid w:val="00F6322E"/>
    <w:rsid w:val="00F63A70"/>
    <w:rsid w:val="00F7534E"/>
    <w:rsid w:val="00F833B5"/>
    <w:rsid w:val="00F924CA"/>
    <w:rsid w:val="00F97B2C"/>
    <w:rsid w:val="00FA21D0"/>
    <w:rsid w:val="00FA5B2C"/>
    <w:rsid w:val="00FA5F5F"/>
    <w:rsid w:val="00FA7142"/>
    <w:rsid w:val="00FB14A2"/>
    <w:rsid w:val="00FB2896"/>
    <w:rsid w:val="00FB730C"/>
    <w:rsid w:val="00FC2695"/>
    <w:rsid w:val="00FC3E03"/>
    <w:rsid w:val="00FC3FC1"/>
    <w:rsid w:val="00FD3342"/>
    <w:rsid w:val="00FE7F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C4AE4"/>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C4AE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4E7E55"/>
    <w:rPr>
      <w:color w:val="605E5C"/>
      <w:shd w:val="clear" w:color="auto" w:fill="E1DFDD"/>
    </w:rPr>
  </w:style>
  <w:style w:type="paragraph" w:styleId="NoSpacing">
    <w:name w:val="No Spacing"/>
    <w:basedOn w:val="Normal"/>
    <w:uiPriority w:val="1"/>
    <w:qFormat/>
    <w:rsid w:val="004E7E55"/>
    <w:pPr>
      <w:tabs>
        <w:tab w:val="clear" w:pos="7100"/>
      </w:tabs>
      <w:spacing w:line="288" w:lineRule="auto"/>
    </w:pPr>
    <w:rPr>
      <w:rFonts w:eastAsiaTheme="minorHAnsi" w:cstheme="minorBidi"/>
      <w:sz w:val="22"/>
      <w:szCs w:val="22"/>
      <w:lang w:val="it-IT"/>
    </w:rPr>
  </w:style>
  <w:style w:type="character" w:styleId="PlaceholderText">
    <w:name w:val="Placeholder Text"/>
    <w:basedOn w:val="DefaultParagraphFont"/>
    <w:uiPriority w:val="99"/>
    <w:semiHidden/>
    <w:rsid w:val="00BC03B4"/>
    <w:rPr>
      <w:color w:val="808080"/>
    </w:rPr>
  </w:style>
  <w:style w:type="paragraph" w:styleId="Revision">
    <w:name w:val="Revision"/>
    <w:hidden/>
    <w:uiPriority w:val="99"/>
    <w:semiHidden/>
    <w:rsid w:val="008D70B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92439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6316">
      <w:bodyDiv w:val="1"/>
      <w:marLeft w:val="0"/>
      <w:marRight w:val="0"/>
      <w:marTop w:val="0"/>
      <w:marBottom w:val="0"/>
      <w:divBdr>
        <w:top w:val="none" w:sz="0" w:space="0" w:color="auto"/>
        <w:left w:val="none" w:sz="0" w:space="0" w:color="auto"/>
        <w:bottom w:val="none" w:sz="0" w:space="0" w:color="auto"/>
        <w:right w:val="none" w:sz="0" w:space="0" w:color="auto"/>
      </w:divBdr>
    </w:div>
    <w:div w:id="133052673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627">
      <w:bodyDiv w:val="1"/>
      <w:marLeft w:val="0"/>
      <w:marRight w:val="0"/>
      <w:marTop w:val="0"/>
      <w:marBottom w:val="0"/>
      <w:divBdr>
        <w:top w:val="none" w:sz="0" w:space="0" w:color="auto"/>
        <w:left w:val="none" w:sz="0" w:space="0" w:color="auto"/>
        <w:bottom w:val="none" w:sz="0" w:space="0" w:color="auto"/>
        <w:right w:val="none" w:sz="0" w:space="0" w:color="auto"/>
      </w:divBdr>
    </w:div>
    <w:div w:id="197625463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037C793AF8641AD5887B608C535BC" ma:contentTypeVersion="18" ma:contentTypeDescription="Create a new document." ma:contentTypeScope="" ma:versionID="294786a855e1d13637922c2ff6f19d0d">
  <xsd:schema xmlns:xsd="http://www.w3.org/2001/XMLSchema" xmlns:xs="http://www.w3.org/2001/XMLSchema" xmlns:p="http://schemas.microsoft.com/office/2006/metadata/properties" xmlns:ns3="c0485fdc-4386-4abf-92e8-01cffdfdc47b" xmlns:ns4="e9b0bac9-a1f2-4fcf-91d4-8be7934ce34f" targetNamespace="http://schemas.microsoft.com/office/2006/metadata/properties" ma:root="true" ma:fieldsID="d43b708224a7941daf6fe7351df8f1a3" ns3:_="" ns4:_="">
    <xsd:import namespace="c0485fdc-4386-4abf-92e8-01cffdfdc47b"/>
    <xsd:import namespace="e9b0bac9-a1f2-4fcf-91d4-8be7934ce3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85fdc-4386-4abf-92e8-01cffdfdc4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0bac9-a1f2-4fcf-91d4-8be7934ce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b0bac9-a1f2-4fcf-91d4-8be7934ce3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D330-CF07-424B-8C3B-FAE27609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85fdc-4386-4abf-92e8-01cffdfdc47b"/>
    <ds:schemaRef ds:uri="e9b0bac9-a1f2-4fcf-91d4-8be7934ce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D5AF3-F248-4513-B3C0-90954C6BC21F}">
  <ds:schemaRefs>
    <ds:schemaRef ds:uri="http://schemas.microsoft.com/sharepoint/v3/contenttype/forms"/>
  </ds:schemaRefs>
</ds:datastoreItem>
</file>

<file path=customXml/itemProps3.xml><?xml version="1.0" encoding="utf-8"?>
<ds:datastoreItem xmlns:ds="http://schemas.openxmlformats.org/officeDocument/2006/customXml" ds:itemID="{3DD89E8C-34AF-4FB7-B9F7-350E8FF38833}">
  <ds:schemaRefs>
    <ds:schemaRef ds:uri="http://schemas.microsoft.com/office/2006/documentManagement/types"/>
    <ds:schemaRef ds:uri="e9b0bac9-a1f2-4fcf-91d4-8be7934ce34f"/>
    <ds:schemaRef ds:uri="http://purl.org/dc/elements/1.1/"/>
    <ds:schemaRef ds:uri="http://schemas.microsoft.com/office/infopath/2007/PartnerControls"/>
    <ds:schemaRef ds:uri="http://purl.org/dc/terms/"/>
    <ds:schemaRef ds:uri="http://schemas.microsoft.com/office/2006/metadata/properties"/>
    <ds:schemaRef ds:uri="c0485fdc-4386-4abf-92e8-01cffdfdc47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7BEF85-2276-49E8-864D-CB4BE2ED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4070</Words>
  <Characters>23201</Characters>
  <Application>Microsoft Office Word</Application>
  <DocSecurity>0</DocSecurity>
  <Lines>193</Lines>
  <Paragraphs>54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Davide Camplese</cp:lastModifiedBy>
  <cp:revision>2</cp:revision>
  <cp:lastPrinted>2024-03-13T10:23:00Z</cp:lastPrinted>
  <dcterms:created xsi:type="dcterms:W3CDTF">2024-12-15T15:41:00Z</dcterms:created>
  <dcterms:modified xsi:type="dcterms:W3CDTF">2024-12-15T15:41:00Z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0x01010040A037C793AF8641AD5887B608C535BC</vt:lpwstr>
  </property>
  <property fmtid="{D5CDD505-2E9C-101B-9397-08002B2CF9AE}" pid="5" name="Mendeley Document_1">
    <vt:lpwstr>True</vt:lpwstr>
  </property>
  <property fmtid="{D5CDD505-2E9C-101B-9397-08002B2CF9AE}" pid="6" name="Mendeley Unique User Id_1">
    <vt:lpwstr>604268a2-568e-3489-b3c1-2cacb0e21d2f</vt:lpwstr>
  </property>
  <property fmtid="{D5CDD505-2E9C-101B-9397-08002B2CF9AE}" pid="7" name="Mendeley Citation Style_1">
    <vt:lpwstr>http://www.zotero.org/styles/process-safety-and-environmental-protection</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http://www.zotero.org/styles/ieee</vt:lpwstr>
  </property>
  <property fmtid="{D5CDD505-2E9C-101B-9397-08002B2CF9AE}" pid="17" name="Mendeley Recent Style Name 4_1">
    <vt:lpwstr>IEEE</vt:lpwstr>
  </property>
  <property fmtid="{D5CDD505-2E9C-101B-9397-08002B2CF9AE}" pid="18" name="Mendeley Recent Style Id 5_1">
    <vt:lpwstr>http://www.zotero.org/styles/international-journal-of-hydrogen-energy</vt:lpwstr>
  </property>
  <property fmtid="{D5CDD505-2E9C-101B-9397-08002B2CF9AE}" pid="19" name="Mendeley Recent Style Name 5_1">
    <vt:lpwstr>International Journal of Hydrogen Energy</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9th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http://www.zotero.org/styles/process-safety-and-environmental-protection</vt:lpwstr>
  </property>
  <property fmtid="{D5CDD505-2E9C-101B-9397-08002B2CF9AE}" pid="27" name="Mendeley Recent Style Name 9_1">
    <vt:lpwstr>Process Safety and Environmental Protection</vt:lpwstr>
  </property>
  <property fmtid="{D5CDD505-2E9C-101B-9397-08002B2CF9AE}" pid="28" name="GrammarlyDocumentId">
    <vt:lpwstr>26c93fbe114b367c1530906b0e3f63f40f3000286c2d1029c3f3add5de35b0e8</vt:lpwstr>
  </property>
</Properties>
</file>