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342E2AD5" w:rsidR="005C1A57" w:rsidRPr="00A91C30" w:rsidRDefault="00DA41A3" w:rsidP="00591C6C">
      <w:pPr>
        <w:pStyle w:val="BOATitle"/>
        <w:rPr>
          <w:rFonts w:eastAsia="MS PGothic"/>
        </w:rPr>
      </w:pPr>
      <w:r>
        <w:rPr>
          <w:rFonts w:eastAsia="MS PGothic"/>
        </w:rPr>
        <w:t>S</w:t>
      </w:r>
      <w:r w:rsidR="00EC507A" w:rsidRPr="00A91C30">
        <w:rPr>
          <w:rFonts w:eastAsia="MS PGothic"/>
        </w:rPr>
        <w:t>afety risk management of ammonia fuelled ships</w:t>
      </w:r>
    </w:p>
    <w:p w14:paraId="29E2E91E" w14:textId="0B6D6147" w:rsidR="005C1A57" w:rsidRPr="008B5460" w:rsidRDefault="00EC507A" w:rsidP="00591C6C">
      <w:pPr>
        <w:pStyle w:val="BOAAuthors"/>
        <w:rPr>
          <w:rFonts w:eastAsia="MS PGothic"/>
          <w:noProof w:val="0"/>
          <w:lang w:val="it-IT"/>
        </w:rPr>
      </w:pPr>
      <w:r w:rsidRPr="008B5460">
        <w:rPr>
          <w:rFonts w:eastAsia="SimSun"/>
          <w:noProof w:val="0"/>
          <w:lang w:val="it-IT"/>
        </w:rPr>
        <w:t>Marta Bucelli</w:t>
      </w:r>
      <w:r w:rsidRPr="008B5460">
        <w:rPr>
          <w:rFonts w:eastAsia="SimSun"/>
          <w:noProof w:val="0"/>
          <w:vertAlign w:val="superscript"/>
          <w:lang w:val="it-IT"/>
        </w:rPr>
        <w:t>1,*</w:t>
      </w:r>
      <w:r w:rsidRPr="008B5460">
        <w:rPr>
          <w:rFonts w:eastAsia="SimSun"/>
          <w:noProof w:val="0"/>
          <w:lang w:val="it-IT"/>
        </w:rPr>
        <w:t>, Simon Gant</w:t>
      </w:r>
      <w:r w:rsidRPr="008B5460">
        <w:rPr>
          <w:rFonts w:eastAsia="SimSun"/>
          <w:noProof w:val="0"/>
          <w:vertAlign w:val="superscript"/>
          <w:lang w:val="it-IT"/>
        </w:rPr>
        <w:t>2</w:t>
      </w:r>
      <w:r w:rsidRPr="008B5460">
        <w:rPr>
          <w:rFonts w:eastAsia="SimSun"/>
          <w:noProof w:val="0"/>
          <w:lang w:val="it-IT"/>
        </w:rPr>
        <w:t>, Valerio Cozzani</w:t>
      </w:r>
      <w:r w:rsidRPr="008B5460">
        <w:rPr>
          <w:rFonts w:eastAsia="SimSun"/>
          <w:noProof w:val="0"/>
          <w:vertAlign w:val="superscript"/>
          <w:lang w:val="it-IT"/>
        </w:rPr>
        <w:t>3</w:t>
      </w:r>
    </w:p>
    <w:p w14:paraId="0115F7AC" w14:textId="79E73A48" w:rsidR="005C1A57" w:rsidRPr="00A91C30" w:rsidRDefault="005C1A57" w:rsidP="00591C6C">
      <w:pPr>
        <w:pStyle w:val="BOAAddress"/>
        <w:rPr>
          <w:rFonts w:eastAsia="MS PGothic"/>
          <w:noProof w:val="0"/>
        </w:rPr>
      </w:pPr>
      <w:r w:rsidRPr="00A91C30">
        <w:rPr>
          <w:rFonts w:eastAsia="MS PGothic"/>
          <w:noProof w:val="0"/>
          <w:vertAlign w:val="superscript"/>
        </w:rPr>
        <w:t>1</w:t>
      </w:r>
      <w:r w:rsidRPr="00A91C30">
        <w:rPr>
          <w:rFonts w:eastAsia="MS PGothic"/>
          <w:noProof w:val="0"/>
        </w:rPr>
        <w:t xml:space="preserve"> </w:t>
      </w:r>
      <w:r w:rsidR="00EC507A" w:rsidRPr="00A91C30">
        <w:rPr>
          <w:rFonts w:eastAsia="MS PGothic"/>
          <w:noProof w:val="0"/>
        </w:rPr>
        <w:t>SINTEF Energy Research, Norway</w:t>
      </w:r>
    </w:p>
    <w:p w14:paraId="3C52D35E" w14:textId="4C256A9E" w:rsidR="00EC507A" w:rsidRPr="00A91C30" w:rsidRDefault="00EC507A" w:rsidP="00591C6C">
      <w:pPr>
        <w:pStyle w:val="BOAAddress"/>
        <w:rPr>
          <w:rFonts w:eastAsia="MS PGothic"/>
          <w:noProof w:val="0"/>
        </w:rPr>
      </w:pPr>
      <w:r w:rsidRPr="00A91C30">
        <w:rPr>
          <w:rFonts w:eastAsia="MS PGothic"/>
          <w:noProof w:val="0"/>
          <w:vertAlign w:val="superscript"/>
        </w:rPr>
        <w:t>2</w:t>
      </w:r>
      <w:r w:rsidRPr="00A91C30">
        <w:rPr>
          <w:rFonts w:eastAsia="MS PGothic"/>
          <w:noProof w:val="0"/>
        </w:rPr>
        <w:t xml:space="preserve"> Health and Safety Executive, United Kingdom</w:t>
      </w:r>
    </w:p>
    <w:p w14:paraId="2BA997B9" w14:textId="6014C07C" w:rsidR="00EC507A" w:rsidRPr="00A91C30" w:rsidRDefault="00EC507A" w:rsidP="00591C6C">
      <w:pPr>
        <w:pStyle w:val="BOAAddress"/>
        <w:rPr>
          <w:rFonts w:eastAsia="MS PGothic"/>
          <w:i w:val="0"/>
          <w:noProof w:val="0"/>
        </w:rPr>
      </w:pPr>
      <w:r w:rsidRPr="00A91C30">
        <w:rPr>
          <w:rFonts w:eastAsia="MS PGothic"/>
          <w:noProof w:val="0"/>
          <w:vertAlign w:val="superscript"/>
        </w:rPr>
        <w:t>3</w:t>
      </w:r>
      <w:r w:rsidRPr="00A91C30">
        <w:rPr>
          <w:rFonts w:eastAsia="MS PGothic"/>
          <w:noProof w:val="0"/>
        </w:rPr>
        <w:t xml:space="preserve"> Un</w:t>
      </w:r>
      <w:r w:rsidR="00EA0DD2">
        <w:rPr>
          <w:rFonts w:eastAsia="MS PGothic"/>
          <w:noProof w:val="0"/>
        </w:rPr>
        <w:t>i</w:t>
      </w:r>
      <w:r w:rsidRPr="00A91C30">
        <w:rPr>
          <w:rFonts w:eastAsia="MS PGothic"/>
          <w:noProof w:val="0"/>
        </w:rPr>
        <w:t>versity of Bologna, Italy</w:t>
      </w:r>
    </w:p>
    <w:p w14:paraId="42CB37CF" w14:textId="252DA520" w:rsidR="005C1A57" w:rsidRPr="00A91C30" w:rsidRDefault="005C1A57" w:rsidP="00591C6C">
      <w:pPr>
        <w:pStyle w:val="BOAemail"/>
        <w:rPr>
          <w:rFonts w:eastAsia="MS PGothic"/>
        </w:rPr>
      </w:pPr>
      <w:r w:rsidRPr="00A91C30">
        <w:rPr>
          <w:rFonts w:eastAsia="MS PGothic"/>
        </w:rPr>
        <w:t>*Corresponding author</w:t>
      </w:r>
      <w:r w:rsidRPr="00A91C30">
        <w:rPr>
          <w:rFonts w:eastAsia="MS PGothic"/>
          <w:lang w:eastAsia="ko-KR"/>
        </w:rPr>
        <w:t xml:space="preserve"> E-Mail: </w:t>
      </w:r>
      <w:r w:rsidRPr="00A91C30">
        <w:rPr>
          <w:rFonts w:eastAsia="MS PGothic"/>
        </w:rPr>
        <w:t xml:space="preserve"> </w:t>
      </w:r>
      <w:hyperlink r:id="rId11" w:history="1">
        <w:r w:rsidR="00EC507A" w:rsidRPr="00A91C30">
          <w:rPr>
            <w:rStyle w:val="Hyperlink"/>
            <w:rFonts w:eastAsia="MS PGothic"/>
          </w:rPr>
          <w:t>marta.bucelli@sintef.no</w:t>
        </w:r>
      </w:hyperlink>
    </w:p>
    <w:p w14:paraId="7D788354" w14:textId="77777777" w:rsidR="005C1A57" w:rsidRPr="00A91C30" w:rsidRDefault="005C1A57" w:rsidP="00EC507A">
      <w:pPr>
        <w:pStyle w:val="BOAHeading"/>
        <w:rPr>
          <w:lang w:val="en-GB"/>
        </w:rPr>
      </w:pPr>
      <w:r w:rsidRPr="00A91C30">
        <w:rPr>
          <w:lang w:val="en-GB"/>
        </w:rPr>
        <w:t>1. Introduction</w:t>
      </w:r>
    </w:p>
    <w:p w14:paraId="022A6CE7" w14:textId="78858806" w:rsidR="00EC507A" w:rsidRPr="00A91C30" w:rsidRDefault="00EC507A" w:rsidP="00EC507A">
      <w:pPr>
        <w:pStyle w:val="BOAHeading"/>
        <w:rPr>
          <w:lang w:val="en-GB"/>
        </w:rPr>
      </w:pPr>
      <w:r w:rsidRPr="00A91C30">
        <w:rPr>
          <w:lang w:val="en-GB"/>
        </w:rPr>
        <w:t xml:space="preserve">Ammonia is deemed to be a promising fuel to reduce carbon emissions from shipping as well as a viable alternative solution as a global hydrogen carrier. Several initiatives are ongoing to demonstrate the use of ammonia in fuel cells and internal combustion engines for use on offshore vessels. While the interest in ammonia increases, so do the concerns regarding its safety. Ammonia is toxic to </w:t>
      </w:r>
      <w:r w:rsidR="00FA7D33" w:rsidRPr="00A91C30">
        <w:rPr>
          <w:lang w:val="en-GB"/>
        </w:rPr>
        <w:t>humans</w:t>
      </w:r>
      <w:r w:rsidRPr="00A91C30">
        <w:rPr>
          <w:lang w:val="en-GB"/>
        </w:rPr>
        <w:t xml:space="preserve"> and to marine life, and, at certain concentrations, when mixed with air, could </w:t>
      </w:r>
      <w:r w:rsidR="00A96C32" w:rsidRPr="00A91C30">
        <w:rPr>
          <w:lang w:val="en-GB"/>
        </w:rPr>
        <w:t xml:space="preserve">ignite resulting in </w:t>
      </w:r>
      <w:r w:rsidR="00FA7D33" w:rsidRPr="00A91C30">
        <w:rPr>
          <w:lang w:val="en-GB"/>
        </w:rPr>
        <w:t xml:space="preserve">explosions. </w:t>
      </w:r>
      <w:r w:rsidRPr="00A91C30">
        <w:rPr>
          <w:lang w:val="en-GB"/>
        </w:rPr>
        <w:t xml:space="preserve">Although safely transported as a chemical and fertilizer for decades, ammonia has </w:t>
      </w:r>
      <w:r w:rsidR="00E91C32" w:rsidRPr="00A91C30">
        <w:rPr>
          <w:lang w:val="en-GB"/>
        </w:rPr>
        <w:t xml:space="preserve">always </w:t>
      </w:r>
      <w:r w:rsidRPr="00A91C30">
        <w:rPr>
          <w:lang w:val="en-GB"/>
        </w:rPr>
        <w:t>been stored in dedicated carriers</w:t>
      </w:r>
      <w:r w:rsidR="00E91C32" w:rsidRPr="00A91C30">
        <w:rPr>
          <w:lang w:val="en-GB"/>
        </w:rPr>
        <w:t xml:space="preserve"> and handled by highly skilled personnel, crews and operators.</w:t>
      </w:r>
      <w:r w:rsidRPr="00A91C30">
        <w:rPr>
          <w:lang w:val="en-GB"/>
        </w:rPr>
        <w:t xml:space="preserve"> The potential large-scale implementation of ammonia </w:t>
      </w:r>
      <w:r w:rsidR="000C44DC" w:rsidRPr="00A91C30">
        <w:rPr>
          <w:lang w:val="en-GB"/>
        </w:rPr>
        <w:t xml:space="preserve">as a fuel </w:t>
      </w:r>
      <w:r w:rsidRPr="00A91C30">
        <w:rPr>
          <w:lang w:val="en-GB"/>
        </w:rPr>
        <w:t>in the maritime environment and its handling by different users introduce</w:t>
      </w:r>
      <w:r w:rsidR="00247B1F">
        <w:rPr>
          <w:lang w:val="en-GB"/>
        </w:rPr>
        <w:t>s</w:t>
      </w:r>
      <w:r w:rsidRPr="00A91C30">
        <w:rPr>
          <w:lang w:val="en-GB"/>
        </w:rPr>
        <w:t xml:space="preserve"> emerging risks and a potential </w:t>
      </w:r>
      <w:r w:rsidR="00247B1F">
        <w:rPr>
          <w:lang w:val="en-GB"/>
        </w:rPr>
        <w:t xml:space="preserve">need </w:t>
      </w:r>
      <w:r w:rsidRPr="00A91C30">
        <w:rPr>
          <w:lang w:val="en-GB"/>
        </w:rPr>
        <w:t xml:space="preserve">for </w:t>
      </w:r>
      <w:r w:rsidR="007B2692">
        <w:rPr>
          <w:lang w:val="en-GB"/>
        </w:rPr>
        <w:t>further guidance</w:t>
      </w:r>
      <w:r w:rsidRPr="00A91C30">
        <w:rPr>
          <w:lang w:val="en-GB"/>
        </w:rPr>
        <w:t xml:space="preserve">. This work presents a bibliographic approach for the definition of accidental scenarios for safety risk management of ammonia </w:t>
      </w:r>
      <w:r w:rsidR="00B275EA" w:rsidRPr="00A91C30">
        <w:rPr>
          <w:lang w:val="en-GB"/>
        </w:rPr>
        <w:t>fuelled</w:t>
      </w:r>
      <w:r w:rsidRPr="00A91C30">
        <w:rPr>
          <w:lang w:val="en-GB"/>
        </w:rPr>
        <w:t xml:space="preserve"> offshore vessels and ammonia carriers. A screening of historical accidental events potentially resulting in ammonia released to sea is performed</w:t>
      </w:r>
      <w:r w:rsidR="00B275EA">
        <w:rPr>
          <w:lang w:val="en-GB"/>
        </w:rPr>
        <w:t xml:space="preserve"> to identify key safety risk management aspects</w:t>
      </w:r>
      <w:r w:rsidRPr="00A91C30">
        <w:rPr>
          <w:lang w:val="en-GB"/>
        </w:rPr>
        <w:t xml:space="preserve">. </w:t>
      </w:r>
    </w:p>
    <w:p w14:paraId="783EC6E6" w14:textId="2076A1D0" w:rsidR="005C1A57" w:rsidRPr="00A91C30" w:rsidRDefault="005C1A57" w:rsidP="00EC507A">
      <w:pPr>
        <w:pStyle w:val="BOAHeading"/>
        <w:rPr>
          <w:lang w:val="en-GB"/>
        </w:rPr>
      </w:pPr>
      <w:r w:rsidRPr="00A91C30">
        <w:rPr>
          <w:lang w:val="en-GB"/>
        </w:rPr>
        <w:t>2. Methods</w:t>
      </w:r>
    </w:p>
    <w:p w14:paraId="1B616217" w14:textId="1782BEF4" w:rsidR="005C1A57" w:rsidRPr="00113138" w:rsidRDefault="00085A1F" w:rsidP="008B5460">
      <w:pPr>
        <w:pStyle w:val="BOAAbstractBody"/>
      </w:pPr>
      <w:r w:rsidRPr="00113138">
        <w:t>This analysis was conducted a</w:t>
      </w:r>
      <w:r w:rsidR="00673D1A" w:rsidRPr="00113138">
        <w:t>s a</w:t>
      </w:r>
      <w:r w:rsidRPr="00113138">
        <w:t xml:space="preserve"> bibliographic literature review of past accident</w:t>
      </w:r>
      <w:r w:rsidR="00673D1A" w:rsidRPr="00113138">
        <w:t xml:space="preserve">s involving refrigerated liquid ammonia. Both storage and transfer operations were considered as well as </w:t>
      </w:r>
      <w:r w:rsidR="00587205" w:rsidRPr="00113138">
        <w:t>different industrial domains, such as fertilizer</w:t>
      </w:r>
      <w:r w:rsidR="00EA3B3C" w:rsidRPr="00113138">
        <w:t xml:space="preserve"> industry, </w:t>
      </w:r>
      <w:r w:rsidR="00587205" w:rsidRPr="00113138">
        <w:t xml:space="preserve">process industry </w:t>
      </w:r>
      <w:r w:rsidR="00EA3B3C" w:rsidRPr="00113138">
        <w:t>and</w:t>
      </w:r>
      <w:r w:rsidR="00587205" w:rsidRPr="00113138">
        <w:t xml:space="preserve"> food industry</w:t>
      </w:r>
      <w:r w:rsidR="00EA3B3C" w:rsidRPr="00113138">
        <w:t xml:space="preserve">, including also </w:t>
      </w:r>
      <w:r w:rsidR="00602AC4" w:rsidRPr="00113138">
        <w:t>fishing vessels</w:t>
      </w:r>
      <w:r w:rsidR="00EA3B3C" w:rsidRPr="00113138">
        <w:t xml:space="preserve"> which use ammonia as a refrigerant.</w:t>
      </w:r>
      <w:r w:rsidR="00803A70" w:rsidRPr="00113138">
        <w:t xml:space="preserve"> The study focuses on storage conditions and operations that can </w:t>
      </w:r>
      <w:r w:rsidR="0091025E" w:rsidRPr="00113138">
        <w:t xml:space="preserve">provide valuable insight </w:t>
      </w:r>
      <w:r w:rsidR="006213A0" w:rsidRPr="00113138">
        <w:t>into</w:t>
      </w:r>
      <w:r w:rsidR="0091025E" w:rsidRPr="00113138">
        <w:t xml:space="preserve"> the use of ammonia as </w:t>
      </w:r>
      <w:r w:rsidR="006213A0" w:rsidRPr="00113138">
        <w:t>ship</w:t>
      </w:r>
      <w:r w:rsidR="0091025E" w:rsidRPr="00113138">
        <w:t xml:space="preserve"> fuel. </w:t>
      </w:r>
    </w:p>
    <w:p w14:paraId="0FFA5323" w14:textId="77777777" w:rsidR="009B5655" w:rsidRPr="00A91C30" w:rsidRDefault="005C1A57" w:rsidP="009B5655">
      <w:pPr>
        <w:pStyle w:val="BOAHeading"/>
        <w:rPr>
          <w:lang w:val="en-GB"/>
        </w:rPr>
      </w:pPr>
      <w:r w:rsidRPr="00A91C30">
        <w:rPr>
          <w:lang w:val="en-GB"/>
        </w:rPr>
        <w:t>3. Results and discussion</w:t>
      </w:r>
    </w:p>
    <w:p w14:paraId="73C880D8" w14:textId="62AB3C33" w:rsidR="000C44DC" w:rsidRDefault="009B5655" w:rsidP="009B5655">
      <w:pPr>
        <w:pStyle w:val="BOAHeading"/>
        <w:rPr>
          <w:lang w:val="en-GB"/>
        </w:rPr>
      </w:pPr>
      <w:r w:rsidRPr="00A91C30">
        <w:rPr>
          <w:lang w:val="en-GB"/>
        </w:rPr>
        <w:t xml:space="preserve">Ammonia as a ship fuel is </w:t>
      </w:r>
      <w:r w:rsidR="00635755">
        <w:rPr>
          <w:lang w:val="en-GB"/>
        </w:rPr>
        <w:t>likely</w:t>
      </w:r>
      <w:r w:rsidR="00382936">
        <w:rPr>
          <w:lang w:val="en-GB"/>
        </w:rPr>
        <w:t xml:space="preserve"> to be </w:t>
      </w:r>
      <w:r w:rsidRPr="00A91C30">
        <w:rPr>
          <w:lang w:val="en-GB"/>
        </w:rPr>
        <w:t>stored on board a</w:t>
      </w:r>
      <w:r w:rsidR="00492E30">
        <w:rPr>
          <w:lang w:val="en-GB"/>
        </w:rPr>
        <w:t>s</w:t>
      </w:r>
      <w:r w:rsidRPr="00A91C30">
        <w:rPr>
          <w:lang w:val="en-GB"/>
        </w:rPr>
        <w:t xml:space="preserve"> refrigerated liquid, slightly pressurize</w:t>
      </w:r>
      <w:r w:rsidR="006213A0" w:rsidRPr="00A91C30">
        <w:rPr>
          <w:lang w:val="en-GB"/>
        </w:rPr>
        <w:t>d</w:t>
      </w:r>
      <w:r w:rsidR="00A61797" w:rsidRPr="00A91C30">
        <w:rPr>
          <w:lang w:val="en-GB"/>
        </w:rPr>
        <w:t xml:space="preserve"> above atmospheric pressure. </w:t>
      </w:r>
      <w:r w:rsidR="00D74526" w:rsidRPr="00A91C30">
        <w:rPr>
          <w:lang w:val="en-GB"/>
        </w:rPr>
        <w:t xml:space="preserve">Compared to ammonia </w:t>
      </w:r>
      <w:r w:rsidR="00CE5DA7" w:rsidRPr="00A91C30">
        <w:rPr>
          <w:lang w:val="en-GB"/>
        </w:rPr>
        <w:t>as cargo, guidelines and procedures for the use of ammonia as a fuel are still un</w:t>
      </w:r>
      <w:r w:rsidR="00CE5DA7" w:rsidRPr="00E10DAF">
        <w:rPr>
          <w:lang w:val="en-GB"/>
        </w:rPr>
        <w:t>der development</w:t>
      </w:r>
      <w:r w:rsidR="00D34D81" w:rsidRPr="00E10DAF">
        <w:rPr>
          <w:lang w:val="en-GB"/>
        </w:rPr>
        <w:t xml:space="preserve"> (IMO, </w:t>
      </w:r>
      <w:r w:rsidR="00E10DAF" w:rsidRPr="00E10DAF">
        <w:rPr>
          <w:lang w:val="en-GB"/>
        </w:rPr>
        <w:t>2024</w:t>
      </w:r>
      <w:r w:rsidR="00D34D81" w:rsidRPr="00E10DAF">
        <w:rPr>
          <w:lang w:val="en-GB"/>
        </w:rPr>
        <w:t xml:space="preserve">; DNV, </w:t>
      </w:r>
      <w:r w:rsidR="00E10DAF" w:rsidRPr="00E10DAF">
        <w:rPr>
          <w:lang w:val="en-GB"/>
        </w:rPr>
        <w:t>2024</w:t>
      </w:r>
      <w:r w:rsidR="00D34D81" w:rsidRPr="00E10DAF">
        <w:rPr>
          <w:lang w:val="en-GB"/>
        </w:rPr>
        <w:t>)</w:t>
      </w:r>
      <w:r w:rsidR="00CE5DA7" w:rsidRPr="00E10DAF">
        <w:rPr>
          <w:lang w:val="en-GB"/>
        </w:rPr>
        <w:t xml:space="preserve">. </w:t>
      </w:r>
      <w:r w:rsidR="00437DE3" w:rsidRPr="00E10DAF">
        <w:rPr>
          <w:lang w:val="en-GB"/>
        </w:rPr>
        <w:t xml:space="preserve">Furthermore, </w:t>
      </w:r>
      <w:r w:rsidR="003D0D29" w:rsidRPr="00E10DAF">
        <w:rPr>
          <w:lang w:val="en-GB"/>
        </w:rPr>
        <w:t xml:space="preserve">the operational experience with </w:t>
      </w:r>
      <w:r w:rsidR="00437DE3" w:rsidRPr="00E10DAF">
        <w:rPr>
          <w:lang w:val="en-GB"/>
        </w:rPr>
        <w:t xml:space="preserve">ammonia as ship fuel </w:t>
      </w:r>
      <w:r w:rsidR="003D0D29" w:rsidRPr="00E10DAF">
        <w:rPr>
          <w:lang w:val="en-GB"/>
        </w:rPr>
        <w:t>is limited and not established</w:t>
      </w:r>
      <w:r w:rsidR="005E7374" w:rsidRPr="00E10DAF">
        <w:rPr>
          <w:lang w:val="en-GB"/>
        </w:rPr>
        <w:t xml:space="preserve"> (ABS, 2024)</w:t>
      </w:r>
      <w:r w:rsidR="006A0595" w:rsidRPr="00E10DAF">
        <w:rPr>
          <w:lang w:val="en-GB"/>
        </w:rPr>
        <w:t>. Mitigation measures are therefore of foremost importance.</w:t>
      </w:r>
      <w:r w:rsidR="006A0595" w:rsidRPr="00A91C30">
        <w:rPr>
          <w:lang w:val="en-GB"/>
        </w:rPr>
        <w:t xml:space="preserve"> Compared to </w:t>
      </w:r>
      <w:r w:rsidR="00287222" w:rsidRPr="00A91C30">
        <w:rPr>
          <w:lang w:val="en-GB"/>
        </w:rPr>
        <w:t xml:space="preserve">Liquefied Natural Gas (LNG), for which the requirements are set by the </w:t>
      </w:r>
      <w:r w:rsidR="006A0595" w:rsidRPr="00A91C30">
        <w:rPr>
          <w:lang w:val="en-GB"/>
        </w:rPr>
        <w:t xml:space="preserve">IGF code, </w:t>
      </w:r>
      <w:r w:rsidR="00287222" w:rsidRPr="00A91C30">
        <w:rPr>
          <w:lang w:val="en-GB"/>
        </w:rPr>
        <w:t xml:space="preserve">when ammonia is used as ship fuel, a comprehensive risk assessment is required. Therefore, the definition of risk assessment scenarios for the quantitative analysis of risk for ammonia as ship fuel is of outmost importance. </w:t>
      </w:r>
    </w:p>
    <w:p w14:paraId="7213DEE1" w14:textId="72629C9B" w:rsidR="008D382D" w:rsidRPr="008B5460" w:rsidRDefault="008D382D" w:rsidP="008B5460">
      <w:pPr>
        <w:pStyle w:val="BOAAbstractBody"/>
      </w:pPr>
      <w:r w:rsidRPr="008B5460">
        <w:t xml:space="preserve">Three </w:t>
      </w:r>
      <w:r w:rsidR="003D6A20" w:rsidRPr="008B5460">
        <w:t xml:space="preserve">incident tiers can be </w:t>
      </w:r>
      <w:r w:rsidR="008B5460" w:rsidRPr="008B5460">
        <w:t>considered</w:t>
      </w:r>
      <w:r w:rsidR="003D6A20" w:rsidRPr="008B5460">
        <w:t xml:space="preserve"> to define the safety risk management and emergency preparedness strategy </w:t>
      </w:r>
      <w:r w:rsidR="0084585D" w:rsidRPr="008B5460">
        <w:t>for ammonia releases</w:t>
      </w:r>
      <w:r w:rsidR="00B8433D" w:rsidRPr="008B5460">
        <w:t xml:space="preserve"> </w:t>
      </w:r>
      <w:r w:rsidR="00B8433D" w:rsidRPr="008B5460">
        <w:rPr>
          <w:i/>
          <w:iCs/>
        </w:rPr>
        <w:t>at sea</w:t>
      </w:r>
      <w:r w:rsidR="00366071" w:rsidRPr="008B5460">
        <w:rPr>
          <w:i/>
          <w:iCs/>
        </w:rPr>
        <w:t xml:space="preserve"> </w:t>
      </w:r>
      <w:r w:rsidR="00366071" w:rsidRPr="008B5460">
        <w:t>(GCMD, 2024)</w:t>
      </w:r>
      <w:r w:rsidR="0084585D" w:rsidRPr="008B5460">
        <w:t xml:space="preserve">: </w:t>
      </w:r>
    </w:p>
    <w:p w14:paraId="10FB8B00" w14:textId="333F0643" w:rsidR="0084585D" w:rsidRDefault="0084585D" w:rsidP="008B5460">
      <w:pPr>
        <w:pStyle w:val="BOAAbstractBody"/>
        <w:numPr>
          <w:ilvl w:val="0"/>
          <w:numId w:val="25"/>
        </w:numPr>
      </w:pPr>
      <w:r>
        <w:lastRenderedPageBreak/>
        <w:t xml:space="preserve">First tier </w:t>
      </w:r>
      <w:r w:rsidR="00D03E99">
        <w:t xml:space="preserve">incidents: </w:t>
      </w:r>
      <w:r w:rsidR="00B8433D">
        <w:t>releases from connection and flanges, contained on board</w:t>
      </w:r>
      <w:r w:rsidR="00AD0339">
        <w:t xml:space="preserve">. These are releases that are </w:t>
      </w:r>
      <w:r w:rsidR="009B437B">
        <w:t xml:space="preserve">contained within a specific </w:t>
      </w:r>
      <w:proofErr w:type="gramStart"/>
      <w:r w:rsidR="009B437B">
        <w:t>area</w:t>
      </w:r>
      <w:r w:rsidR="00DD5FEB">
        <w:t>;</w:t>
      </w:r>
      <w:proofErr w:type="gramEnd"/>
      <w:r w:rsidR="00DD5FEB">
        <w:t xml:space="preserve"> </w:t>
      </w:r>
    </w:p>
    <w:p w14:paraId="20D0CFD2" w14:textId="1CBCEC4C" w:rsidR="00D03E99" w:rsidRDefault="00D03E99" w:rsidP="008B5460">
      <w:pPr>
        <w:pStyle w:val="BOAAbstractBody"/>
        <w:numPr>
          <w:ilvl w:val="0"/>
          <w:numId w:val="25"/>
        </w:numPr>
      </w:pPr>
      <w:r>
        <w:t xml:space="preserve">Second tier incidents: </w:t>
      </w:r>
      <w:r w:rsidR="0019484B">
        <w:t xml:space="preserve">medium and large </w:t>
      </w:r>
      <w:r w:rsidR="00DD5FEB">
        <w:t xml:space="preserve">releases </w:t>
      </w:r>
      <w:r w:rsidR="0019484B">
        <w:t>of ammonia</w:t>
      </w:r>
      <w:r w:rsidR="00F84F9A">
        <w:t>, potentially spreading beyond operational area and activating</w:t>
      </w:r>
      <w:r w:rsidR="00DD5FEB">
        <w:t xml:space="preserve"> the emergency release system that might cause overboard spillage; and </w:t>
      </w:r>
    </w:p>
    <w:p w14:paraId="754579A5" w14:textId="0F46441D" w:rsidR="00D03E99" w:rsidRDefault="00D03E99" w:rsidP="008B5460">
      <w:pPr>
        <w:pStyle w:val="BOAAbstractBody"/>
        <w:numPr>
          <w:ilvl w:val="0"/>
          <w:numId w:val="25"/>
        </w:numPr>
      </w:pPr>
      <w:r>
        <w:t xml:space="preserve">Third tier incidents: </w:t>
      </w:r>
      <w:r w:rsidR="00D14BB2">
        <w:t xml:space="preserve">catastrophic releases resulting in </w:t>
      </w:r>
      <w:r w:rsidR="00EB6DE8">
        <w:t xml:space="preserve">overboard leaks, including hose rupture. </w:t>
      </w:r>
    </w:p>
    <w:p w14:paraId="0DC51639" w14:textId="283995DD" w:rsidR="00D977AD" w:rsidRDefault="00EB6DE8" w:rsidP="008B5460">
      <w:pPr>
        <w:pStyle w:val="BOAAbstractBody"/>
      </w:pPr>
      <w:r>
        <w:t>From th</w:t>
      </w:r>
      <w:r w:rsidR="007F66A1">
        <w:t>is categorization as well as from th</w:t>
      </w:r>
      <w:r>
        <w:t>e analysis of the reported ammonia accidents</w:t>
      </w:r>
      <w:r w:rsidR="009B437B">
        <w:t xml:space="preserve"> from different </w:t>
      </w:r>
      <w:r w:rsidR="007F66A1">
        <w:t xml:space="preserve">databases </w:t>
      </w:r>
      <w:r w:rsidR="009B437B">
        <w:t xml:space="preserve">sources </w:t>
      </w:r>
      <w:r w:rsidR="009B437B" w:rsidRPr="00AF68B3">
        <w:t>(</w:t>
      </w:r>
      <w:r w:rsidR="00B173BF">
        <w:t xml:space="preserve">such as the analyses presented by </w:t>
      </w:r>
      <w:r w:rsidR="008A190E" w:rsidRPr="00AF68B3">
        <w:t xml:space="preserve">Gant et al. 2024, </w:t>
      </w:r>
      <w:r w:rsidR="00D14BB2" w:rsidRPr="00AF68B3">
        <w:t>Bucelli et al., 2025)</w:t>
      </w:r>
      <w:r>
        <w:t xml:space="preserve">, </w:t>
      </w:r>
      <w:r w:rsidR="00B173BF">
        <w:t>two</w:t>
      </w:r>
      <w:r w:rsidR="00931FD9">
        <w:t xml:space="preserve"> key consideration</w:t>
      </w:r>
      <w:r w:rsidR="00B173BF">
        <w:t>s</w:t>
      </w:r>
      <w:r w:rsidR="00931FD9">
        <w:t xml:space="preserve"> </w:t>
      </w:r>
      <w:r w:rsidR="00D977AD">
        <w:t xml:space="preserve">are to be made. </w:t>
      </w:r>
    </w:p>
    <w:p w14:paraId="6C42E9C5" w14:textId="642FB5ED" w:rsidR="00DD3AA3" w:rsidRDefault="00D977AD" w:rsidP="008B5460">
      <w:pPr>
        <w:pStyle w:val="BOAAbstractBody"/>
      </w:pPr>
      <w:r>
        <w:t xml:space="preserve">Firstly, </w:t>
      </w:r>
      <w:r w:rsidR="005631AC">
        <w:t xml:space="preserve">the operational conditions and the </w:t>
      </w:r>
      <w:r w:rsidR="007F66A1">
        <w:t>release scenario</w:t>
      </w:r>
      <w:r w:rsidR="005631AC">
        <w:t xml:space="preserve"> should be </w:t>
      </w:r>
      <w:r w:rsidR="00D57559">
        <w:t>considered</w:t>
      </w:r>
      <w:r w:rsidR="001415C5">
        <w:t>, and especially the rate, duration and location</w:t>
      </w:r>
      <w:r w:rsidR="00A00BB9">
        <w:t>.</w:t>
      </w:r>
      <w:r w:rsidR="008D7309">
        <w:t xml:space="preserve"> Secondly, the potential impact and effects of the ammonia release should be assessed. Ammonia is toxic </w:t>
      </w:r>
      <w:r w:rsidR="00AB525B">
        <w:t>to human and its dispersion can result in clouds within dangerous thresholds</w:t>
      </w:r>
      <w:r w:rsidR="00967862">
        <w:t xml:space="preserve"> in the atmosphere</w:t>
      </w:r>
      <w:r w:rsidR="00AB525B">
        <w:t xml:space="preserve">. </w:t>
      </w:r>
      <w:r w:rsidR="00DD3AA3">
        <w:t>Dispersion studies should be carried out to identify mitigation measure</w:t>
      </w:r>
      <w:r w:rsidR="00063F30">
        <w:t>s</w:t>
      </w:r>
      <w:r w:rsidR="00DD3AA3">
        <w:t xml:space="preserve"> for different stakeholders. </w:t>
      </w:r>
    </w:p>
    <w:p w14:paraId="7C6105F0" w14:textId="52BFBBFF" w:rsidR="00201BC9" w:rsidRDefault="00201BC9" w:rsidP="008B5460">
      <w:pPr>
        <w:pStyle w:val="BOAAbstractBody"/>
      </w:pPr>
      <w:r>
        <w:t xml:space="preserve">Different </w:t>
      </w:r>
      <w:r w:rsidR="009C76EC">
        <w:t xml:space="preserve">ammonia </w:t>
      </w:r>
      <w:r>
        <w:t xml:space="preserve">storage conditions </w:t>
      </w:r>
      <w:r w:rsidR="00005793">
        <w:t xml:space="preserve">on the ship </w:t>
      </w:r>
      <w:r>
        <w:t>can also play a significant role in the fate of ammonia upon release</w:t>
      </w:r>
      <w:r w:rsidR="003A0AFD">
        <w:t xml:space="preserve">. </w:t>
      </w:r>
      <w:r w:rsidR="00A12F94">
        <w:t xml:space="preserve">Releases from </w:t>
      </w:r>
      <w:r w:rsidR="00361960">
        <w:t>d</w:t>
      </w:r>
      <w:r w:rsidR="003A0AFD">
        <w:t>eck</w:t>
      </w:r>
      <w:r w:rsidR="00361960">
        <w:t xml:space="preserve">-mounted tanks and hull-located tanks have some differences </w:t>
      </w:r>
      <w:r w:rsidR="00D520EE">
        <w:t xml:space="preserve">that need to be </w:t>
      </w:r>
      <w:r w:rsidR="005F194D">
        <w:t>considered</w:t>
      </w:r>
      <w:r w:rsidR="00923E3E">
        <w:t xml:space="preserve"> (</w:t>
      </w:r>
      <w:r w:rsidR="00D520EE">
        <w:t xml:space="preserve">see </w:t>
      </w:r>
      <w:r w:rsidR="00923E3E">
        <w:t>Masia et al., 2024)</w:t>
      </w:r>
      <w:r w:rsidR="00BC251D">
        <w:t xml:space="preserve">. These </w:t>
      </w:r>
      <w:r w:rsidR="006718E7">
        <w:t xml:space="preserve">two cases may require </w:t>
      </w:r>
      <w:r w:rsidR="00BC251D">
        <w:t xml:space="preserve">different </w:t>
      </w:r>
      <w:r w:rsidR="00255EB0">
        <w:t xml:space="preserve">containment and integrity management. </w:t>
      </w:r>
    </w:p>
    <w:p w14:paraId="69AB2AF6" w14:textId="3F4289D2" w:rsidR="002B64E7" w:rsidRDefault="008000F5" w:rsidP="00B076F4">
      <w:r w:rsidRPr="00CB65FB">
        <w:rPr>
          <w:rFonts w:eastAsia="MS PGothic"/>
          <w:sz w:val="22"/>
        </w:rPr>
        <w:t>For the case of ammonia onboard ship</w:t>
      </w:r>
      <w:r w:rsidR="004A3130">
        <w:rPr>
          <w:rFonts w:eastAsia="MS PGothic"/>
          <w:sz w:val="22"/>
        </w:rPr>
        <w:t>s</w:t>
      </w:r>
      <w:r w:rsidRPr="00CB65FB">
        <w:rPr>
          <w:rFonts w:eastAsia="MS PGothic"/>
          <w:sz w:val="22"/>
        </w:rPr>
        <w:t xml:space="preserve"> as marine fuel, </w:t>
      </w:r>
      <w:r w:rsidR="002854EE">
        <w:rPr>
          <w:rFonts w:eastAsia="MS PGothic"/>
          <w:sz w:val="22"/>
        </w:rPr>
        <w:t xml:space="preserve">safety </w:t>
      </w:r>
      <w:r w:rsidR="009F386B">
        <w:rPr>
          <w:rFonts w:eastAsia="MS PGothic"/>
          <w:sz w:val="22"/>
        </w:rPr>
        <w:t xml:space="preserve">assessments should consider </w:t>
      </w:r>
      <w:r w:rsidR="00E82812">
        <w:rPr>
          <w:rFonts w:eastAsia="MS PGothic"/>
          <w:sz w:val="22"/>
        </w:rPr>
        <w:t xml:space="preserve">dispersion of </w:t>
      </w:r>
      <w:r w:rsidR="005A2F33">
        <w:rPr>
          <w:rFonts w:eastAsia="MS PGothic"/>
          <w:sz w:val="22"/>
        </w:rPr>
        <w:t>ammonia</w:t>
      </w:r>
      <w:r w:rsidR="00E82812">
        <w:rPr>
          <w:rFonts w:eastAsia="MS PGothic"/>
          <w:sz w:val="22"/>
        </w:rPr>
        <w:t xml:space="preserve">, both </w:t>
      </w:r>
      <w:r w:rsidR="00180E96">
        <w:rPr>
          <w:rFonts w:eastAsia="MS PGothic"/>
          <w:sz w:val="22"/>
        </w:rPr>
        <w:t>in terms of</w:t>
      </w:r>
      <w:r w:rsidR="00E82812">
        <w:rPr>
          <w:rFonts w:eastAsia="MS PGothic"/>
          <w:sz w:val="22"/>
        </w:rPr>
        <w:t xml:space="preserve"> toxic and flammable hazards</w:t>
      </w:r>
      <w:r w:rsidR="005A2F33">
        <w:rPr>
          <w:rFonts w:eastAsia="MS PGothic"/>
          <w:sz w:val="22"/>
        </w:rPr>
        <w:t xml:space="preserve"> (including the potential for </w:t>
      </w:r>
      <w:r w:rsidRPr="00CB65FB">
        <w:rPr>
          <w:rFonts w:eastAsia="MS PGothic"/>
          <w:sz w:val="22"/>
        </w:rPr>
        <w:t>confined explosion</w:t>
      </w:r>
      <w:r w:rsidR="009F386B">
        <w:rPr>
          <w:rFonts w:eastAsia="MS PGothic"/>
          <w:sz w:val="22"/>
        </w:rPr>
        <w:t>s</w:t>
      </w:r>
      <w:r w:rsidR="0059010F">
        <w:rPr>
          <w:rFonts w:eastAsia="MS PGothic"/>
          <w:sz w:val="22"/>
        </w:rPr>
        <w:t xml:space="preserve"> in some areas</w:t>
      </w:r>
      <w:r w:rsidR="005A2F33">
        <w:rPr>
          <w:rFonts w:eastAsia="MS PGothic"/>
          <w:sz w:val="22"/>
        </w:rPr>
        <w:t>)</w:t>
      </w:r>
      <w:r w:rsidR="00365E81">
        <w:rPr>
          <w:rFonts w:eastAsia="MS PGothic"/>
          <w:sz w:val="22"/>
        </w:rPr>
        <w:t xml:space="preserve">. Also, </w:t>
      </w:r>
      <w:r w:rsidR="001F03CB">
        <w:rPr>
          <w:rFonts w:eastAsia="MS PGothic"/>
          <w:sz w:val="22"/>
        </w:rPr>
        <w:t>releases of ammonia onto the deck</w:t>
      </w:r>
      <w:r w:rsidR="00365E81">
        <w:rPr>
          <w:rFonts w:eastAsia="MS PGothic"/>
          <w:sz w:val="22"/>
        </w:rPr>
        <w:t xml:space="preserve">, </w:t>
      </w:r>
      <w:r w:rsidR="00C27DB1">
        <w:rPr>
          <w:rFonts w:eastAsia="MS PGothic"/>
          <w:sz w:val="22"/>
        </w:rPr>
        <w:t>onto the sea</w:t>
      </w:r>
      <w:r w:rsidR="006C4CF1">
        <w:rPr>
          <w:rFonts w:eastAsia="MS PGothic"/>
          <w:sz w:val="22"/>
        </w:rPr>
        <w:t>, and below the sea (e.g., from a ship collision)</w:t>
      </w:r>
      <w:r w:rsidR="00FA0EC5" w:rsidRPr="00CB65FB">
        <w:rPr>
          <w:rFonts w:eastAsia="MS PGothic"/>
          <w:sz w:val="22"/>
        </w:rPr>
        <w:t xml:space="preserve">. </w:t>
      </w:r>
      <w:r w:rsidR="00080A2F">
        <w:rPr>
          <w:rFonts w:eastAsia="MS PGothic"/>
          <w:sz w:val="22"/>
        </w:rPr>
        <w:t xml:space="preserve">These </w:t>
      </w:r>
      <w:r w:rsidR="007B4491">
        <w:rPr>
          <w:rFonts w:eastAsia="MS PGothic"/>
          <w:sz w:val="22"/>
        </w:rPr>
        <w:t xml:space="preserve">can </w:t>
      </w:r>
      <w:r w:rsidR="00080A2F">
        <w:rPr>
          <w:rFonts w:eastAsia="MS PGothic"/>
          <w:sz w:val="22"/>
        </w:rPr>
        <w:t>potential</w:t>
      </w:r>
      <w:r w:rsidR="007B4491">
        <w:rPr>
          <w:rFonts w:eastAsia="MS PGothic"/>
          <w:sz w:val="22"/>
        </w:rPr>
        <w:t>ly</w:t>
      </w:r>
      <w:r w:rsidR="00080A2F">
        <w:rPr>
          <w:rFonts w:eastAsia="MS PGothic"/>
          <w:sz w:val="22"/>
        </w:rPr>
        <w:t xml:space="preserve"> impact both human health and the environment. </w:t>
      </w:r>
      <w:r w:rsidR="00CB65FB">
        <w:rPr>
          <w:rFonts w:eastAsia="MS PGothic"/>
          <w:sz w:val="22"/>
        </w:rPr>
        <w:t>From the investigation by Bucelli et al. (2024)</w:t>
      </w:r>
      <w:r w:rsidR="00CB65FB" w:rsidRPr="00CB65FB">
        <w:rPr>
          <w:rFonts w:eastAsia="MS PGothic"/>
          <w:sz w:val="22"/>
        </w:rPr>
        <w:t>,</w:t>
      </w:r>
      <w:r w:rsidR="00523370">
        <w:rPr>
          <w:rFonts w:eastAsia="MS PGothic"/>
          <w:sz w:val="22"/>
        </w:rPr>
        <w:t xml:space="preserve"> based on the ARIA database, </w:t>
      </w:r>
      <w:r w:rsidR="00CB65FB" w:rsidRPr="00CB65FB">
        <w:rPr>
          <w:rFonts w:eastAsia="MS PGothic"/>
          <w:sz w:val="22"/>
        </w:rPr>
        <w:t>10% of documented incidents</w:t>
      </w:r>
      <w:r w:rsidR="00523370">
        <w:rPr>
          <w:rFonts w:eastAsia="MS PGothic"/>
          <w:sz w:val="22"/>
        </w:rPr>
        <w:t xml:space="preserve"> resulted in environmental impact including effects on veg</w:t>
      </w:r>
      <w:r w:rsidR="00CB65FB" w:rsidRPr="00CB65FB">
        <w:rPr>
          <w:rFonts w:eastAsia="MS PGothic"/>
          <w:sz w:val="22"/>
        </w:rPr>
        <w:t>etation</w:t>
      </w:r>
      <w:r w:rsidR="00523370">
        <w:rPr>
          <w:rFonts w:eastAsia="MS PGothic"/>
          <w:sz w:val="22"/>
        </w:rPr>
        <w:t xml:space="preserve">, </w:t>
      </w:r>
      <w:r w:rsidR="00CB65FB" w:rsidRPr="00CB65FB">
        <w:rPr>
          <w:rFonts w:eastAsia="MS PGothic"/>
          <w:sz w:val="22"/>
        </w:rPr>
        <w:t>water contamination, and aquatic species</w:t>
      </w:r>
      <w:r w:rsidR="00523370">
        <w:rPr>
          <w:rFonts w:eastAsia="MS PGothic"/>
          <w:sz w:val="22"/>
        </w:rPr>
        <w:t xml:space="preserve">. This is of </w:t>
      </w:r>
      <w:r w:rsidR="00B076F4">
        <w:rPr>
          <w:rFonts w:eastAsia="MS PGothic"/>
          <w:sz w:val="22"/>
        </w:rPr>
        <w:t xml:space="preserve">concern when </w:t>
      </w:r>
      <w:r w:rsidR="00B076F4">
        <w:rPr>
          <w:rFonts w:eastAsia="MS PGothic"/>
          <w:i/>
          <w:iCs/>
          <w:sz w:val="22"/>
        </w:rPr>
        <w:t xml:space="preserve">directly </w:t>
      </w:r>
      <w:r w:rsidR="00B076F4">
        <w:rPr>
          <w:rFonts w:eastAsia="MS PGothic"/>
          <w:sz w:val="22"/>
        </w:rPr>
        <w:t xml:space="preserve">using and transferring ammonia over water. </w:t>
      </w:r>
    </w:p>
    <w:p w14:paraId="656C5517" w14:textId="2C11B7C6" w:rsidR="002B64E7" w:rsidRDefault="00651D38" w:rsidP="00651D38">
      <w:pPr>
        <w:pStyle w:val="BOAAbstractBody"/>
      </w:pPr>
      <w:r>
        <w:t xml:space="preserve">It should </w:t>
      </w:r>
      <w:r w:rsidRPr="001E655A">
        <w:t>also be noted that fires and explosions are less frequent</w:t>
      </w:r>
      <w:r w:rsidR="001E655A">
        <w:t xml:space="preserve"> outcomes of ammonia releases</w:t>
      </w:r>
      <w:r w:rsidRPr="001E655A">
        <w:t xml:space="preserve"> </w:t>
      </w:r>
      <w:r w:rsidR="00AB7728" w:rsidRPr="001E655A">
        <w:t>(Bucelli et al., 2025</w:t>
      </w:r>
      <w:proofErr w:type="gramStart"/>
      <w:r w:rsidR="00AB7728" w:rsidRPr="001E655A">
        <w:t>)</w:t>
      </w:r>
      <w:r w:rsidRPr="001E655A">
        <w:t>,</w:t>
      </w:r>
      <w:r w:rsidR="001E655A">
        <w:t xml:space="preserve"> </w:t>
      </w:r>
      <w:r w:rsidR="00C13F86" w:rsidRPr="001E655A">
        <w:t>but</w:t>
      </w:r>
      <w:proofErr w:type="gramEnd"/>
      <w:r w:rsidR="00C13F86" w:rsidRPr="001E655A">
        <w:t xml:space="preserve"> could represent a risk when </w:t>
      </w:r>
      <w:r w:rsidR="00133378" w:rsidRPr="001E655A">
        <w:t xml:space="preserve">the ammonia gas is </w:t>
      </w:r>
      <w:r w:rsidR="00F544DB">
        <w:t>indoor</w:t>
      </w:r>
      <w:r w:rsidR="00F378E7">
        <w:t>s</w:t>
      </w:r>
      <w:r w:rsidR="00F544DB">
        <w:t xml:space="preserve"> and </w:t>
      </w:r>
      <w:r w:rsidR="00133378" w:rsidRPr="001E655A">
        <w:t>confined and exposed to ignition sources (e.g.</w:t>
      </w:r>
      <w:r w:rsidR="00F378E7">
        <w:t>,</w:t>
      </w:r>
      <w:r w:rsidR="00133378" w:rsidRPr="001E655A">
        <w:t xml:space="preserve"> hot surfaces)</w:t>
      </w:r>
      <w:r w:rsidR="00F544DB">
        <w:t xml:space="preserve">, </w:t>
      </w:r>
      <w:r w:rsidR="00133378" w:rsidRPr="001E655A">
        <w:t xml:space="preserve">as </w:t>
      </w:r>
      <w:r w:rsidR="004A257C">
        <w:t xml:space="preserve">is potentially </w:t>
      </w:r>
      <w:r w:rsidR="00133378" w:rsidRPr="001E655A">
        <w:t xml:space="preserve">the case </w:t>
      </w:r>
      <w:r w:rsidR="004A257C">
        <w:t>in</w:t>
      </w:r>
      <w:r w:rsidR="004A257C" w:rsidRPr="001E655A">
        <w:t xml:space="preserve"> </w:t>
      </w:r>
      <w:r w:rsidR="00F70BF9" w:rsidRPr="001E655A">
        <w:t xml:space="preserve">engine rooms for maritime applications. </w:t>
      </w:r>
    </w:p>
    <w:p w14:paraId="2E69C437" w14:textId="77777777" w:rsidR="00C13F86" w:rsidRPr="001E655A" w:rsidRDefault="00C13F86" w:rsidP="00651D38">
      <w:pPr>
        <w:pStyle w:val="BOAAbstractBody"/>
      </w:pPr>
    </w:p>
    <w:p w14:paraId="1F46950F" w14:textId="2699DCC2" w:rsidR="00A97FEA" w:rsidRDefault="00862A3D" w:rsidP="008B5460">
      <w:pPr>
        <w:pStyle w:val="BOAAbstractBody"/>
      </w:pPr>
      <w:r w:rsidRPr="006078B9">
        <w:t xml:space="preserve">The lesson learnt from the </w:t>
      </w:r>
      <w:r w:rsidR="00C1593A" w:rsidRPr="006078B9">
        <w:t xml:space="preserve">analysed </w:t>
      </w:r>
      <w:r w:rsidRPr="006078B9">
        <w:t xml:space="preserve">incidents and accidents </w:t>
      </w:r>
      <w:r w:rsidR="00C1593A" w:rsidRPr="006078B9">
        <w:t xml:space="preserve">involving refrigerated liquid ammonia that can be relevant in the context of using it as ship fuel can be summarised as: </w:t>
      </w:r>
    </w:p>
    <w:p w14:paraId="7121EA9F" w14:textId="77777777" w:rsidR="00C43DFA" w:rsidRDefault="00C43DFA" w:rsidP="008B5460">
      <w:pPr>
        <w:pStyle w:val="BOAAbstractBody"/>
      </w:pP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6095"/>
      </w:tblGrid>
      <w:tr w:rsidR="00FE0F18" w:rsidRPr="00C43DFA" w14:paraId="319A5C76" w14:textId="0E4D20FD" w:rsidTr="00F93DC2">
        <w:trPr>
          <w:tblHeader/>
          <w:jc w:val="center"/>
        </w:trPr>
        <w:tc>
          <w:tcPr>
            <w:tcW w:w="1843" w:type="dxa"/>
            <w:tcBorders>
              <w:top w:val="single" w:sz="12" w:space="0" w:color="008000"/>
              <w:bottom w:val="single" w:sz="6" w:space="0" w:color="008000"/>
            </w:tcBorders>
            <w:shd w:val="clear" w:color="auto" w:fill="FFFFFF"/>
          </w:tcPr>
          <w:p w14:paraId="47086E05" w14:textId="395B1CB0" w:rsidR="00FE0F18" w:rsidRPr="00C43DFA" w:rsidRDefault="00FE0F18" w:rsidP="007E7311">
            <w:pPr>
              <w:jc w:val="left"/>
              <w:rPr>
                <w:b/>
                <w:bCs/>
                <w:szCs w:val="18"/>
              </w:rPr>
            </w:pPr>
            <w:r w:rsidRPr="00C43DFA">
              <w:rPr>
                <w:b/>
                <w:bCs/>
                <w:szCs w:val="18"/>
              </w:rPr>
              <w:t xml:space="preserve">Key safety aspect  </w:t>
            </w:r>
          </w:p>
        </w:tc>
        <w:tc>
          <w:tcPr>
            <w:tcW w:w="6095" w:type="dxa"/>
            <w:tcBorders>
              <w:top w:val="single" w:sz="12" w:space="0" w:color="008000"/>
              <w:bottom w:val="single" w:sz="6" w:space="0" w:color="008000"/>
            </w:tcBorders>
            <w:shd w:val="clear" w:color="auto" w:fill="FFFFFF"/>
          </w:tcPr>
          <w:p w14:paraId="3FF7439B" w14:textId="24BEB25D" w:rsidR="00FE0F18" w:rsidRPr="008B0EE3" w:rsidRDefault="00FE0F18" w:rsidP="00D050BE">
            <w:pPr>
              <w:rPr>
                <w:b/>
                <w:bCs/>
                <w:szCs w:val="18"/>
              </w:rPr>
            </w:pPr>
            <w:r w:rsidRPr="008B0EE3">
              <w:rPr>
                <w:b/>
                <w:bCs/>
                <w:szCs w:val="18"/>
              </w:rPr>
              <w:t xml:space="preserve">Description </w:t>
            </w:r>
          </w:p>
        </w:tc>
      </w:tr>
      <w:tr w:rsidR="00FE0F18" w:rsidRPr="00C43DFA" w14:paraId="11DC582C" w14:textId="0C4DC75E" w:rsidTr="00F93DC2">
        <w:trPr>
          <w:jc w:val="center"/>
        </w:trPr>
        <w:tc>
          <w:tcPr>
            <w:tcW w:w="1843" w:type="dxa"/>
            <w:shd w:val="clear" w:color="auto" w:fill="FFFFFF"/>
          </w:tcPr>
          <w:p w14:paraId="09D9F5D5" w14:textId="6F3C8CD9" w:rsidR="00FE0F18" w:rsidRPr="00C43DFA" w:rsidRDefault="00FE0F18" w:rsidP="007E7311">
            <w:pPr>
              <w:jc w:val="left"/>
              <w:rPr>
                <w:szCs w:val="18"/>
              </w:rPr>
            </w:pPr>
            <w:r w:rsidRPr="00C43DFA">
              <w:rPr>
                <w:szCs w:val="18"/>
              </w:rPr>
              <w:t xml:space="preserve">Material selection </w:t>
            </w:r>
          </w:p>
        </w:tc>
        <w:tc>
          <w:tcPr>
            <w:tcW w:w="6095" w:type="dxa"/>
            <w:shd w:val="clear" w:color="auto" w:fill="FFFFFF"/>
          </w:tcPr>
          <w:p w14:paraId="3A660C4D" w14:textId="77777777" w:rsidR="00FE0F18" w:rsidRDefault="00494150" w:rsidP="00D050BE">
            <w:pPr>
              <w:rPr>
                <w:szCs w:val="18"/>
              </w:rPr>
            </w:pPr>
            <w:r w:rsidRPr="008B0EE3">
              <w:rPr>
                <w:szCs w:val="18"/>
              </w:rPr>
              <w:t>Materials used in presence of ammonia should be compatible and suitable. Th</w:t>
            </w:r>
            <w:r w:rsidR="008B0EE3" w:rsidRPr="008B0EE3">
              <w:rPr>
                <w:szCs w:val="18"/>
              </w:rPr>
              <w:t>eir compatibility s</w:t>
            </w:r>
            <w:r w:rsidR="00D014CE" w:rsidRPr="008B0EE3">
              <w:rPr>
                <w:szCs w:val="18"/>
              </w:rPr>
              <w:t>hould be considered for both new</w:t>
            </w:r>
            <w:r w:rsidR="008B0EE3" w:rsidRPr="008B0EE3">
              <w:rPr>
                <w:szCs w:val="18"/>
              </w:rPr>
              <w:t>-</w:t>
            </w:r>
            <w:r w:rsidR="00D014CE" w:rsidRPr="008B0EE3">
              <w:rPr>
                <w:szCs w:val="18"/>
              </w:rPr>
              <w:t>built and retrofit</w:t>
            </w:r>
            <w:r w:rsidR="008B0EE3" w:rsidRPr="008B0EE3">
              <w:rPr>
                <w:szCs w:val="18"/>
              </w:rPr>
              <w:t>s</w:t>
            </w:r>
            <w:r w:rsidR="00D014CE" w:rsidRPr="008B0EE3">
              <w:rPr>
                <w:szCs w:val="18"/>
              </w:rPr>
              <w:t xml:space="preserve">. </w:t>
            </w:r>
          </w:p>
          <w:p w14:paraId="1EE61527" w14:textId="18A668CB" w:rsidR="003C0DA4" w:rsidRPr="008B0EE3" w:rsidRDefault="003C0DA4" w:rsidP="00D050BE">
            <w:pPr>
              <w:rPr>
                <w:szCs w:val="18"/>
              </w:rPr>
            </w:pPr>
          </w:p>
        </w:tc>
      </w:tr>
      <w:tr w:rsidR="00FE0F18" w:rsidRPr="00C43DFA" w14:paraId="5153D541" w14:textId="47BED425" w:rsidTr="00F93DC2">
        <w:trPr>
          <w:jc w:val="center"/>
        </w:trPr>
        <w:tc>
          <w:tcPr>
            <w:tcW w:w="1843" w:type="dxa"/>
            <w:shd w:val="clear" w:color="auto" w:fill="FFFFFF"/>
          </w:tcPr>
          <w:p w14:paraId="22D802FD" w14:textId="74038433" w:rsidR="00FE0F18" w:rsidRPr="008B0EE3" w:rsidRDefault="00FE0F18" w:rsidP="007E7311">
            <w:pPr>
              <w:jc w:val="left"/>
              <w:rPr>
                <w:szCs w:val="18"/>
              </w:rPr>
            </w:pPr>
            <w:r w:rsidRPr="008B0EE3">
              <w:rPr>
                <w:szCs w:val="18"/>
              </w:rPr>
              <w:t xml:space="preserve">Equipment integrity </w:t>
            </w:r>
          </w:p>
        </w:tc>
        <w:tc>
          <w:tcPr>
            <w:tcW w:w="6095" w:type="dxa"/>
            <w:shd w:val="clear" w:color="auto" w:fill="FFFFFF"/>
          </w:tcPr>
          <w:p w14:paraId="35A44C85" w14:textId="78EF2E54" w:rsidR="00FE0F18" w:rsidRDefault="003C2593" w:rsidP="00D050BE">
            <w:pPr>
              <w:rPr>
                <w:szCs w:val="18"/>
              </w:rPr>
            </w:pPr>
            <w:r>
              <w:rPr>
                <w:szCs w:val="18"/>
              </w:rPr>
              <w:t xml:space="preserve">In addition to </w:t>
            </w:r>
            <w:r w:rsidR="00CC29F6">
              <w:rPr>
                <w:szCs w:val="18"/>
              </w:rPr>
              <w:t>standard equipment integrity issues, the potential for s</w:t>
            </w:r>
            <w:r w:rsidR="00602854">
              <w:rPr>
                <w:szCs w:val="18"/>
              </w:rPr>
              <w:t>tress corrosion cracking and c</w:t>
            </w:r>
            <w:r w:rsidR="00602854" w:rsidRPr="008B0EE3">
              <w:rPr>
                <w:szCs w:val="18"/>
              </w:rPr>
              <w:t xml:space="preserve">orrosion </w:t>
            </w:r>
            <w:r w:rsidR="00602854">
              <w:rPr>
                <w:szCs w:val="18"/>
              </w:rPr>
              <w:t>u</w:t>
            </w:r>
            <w:r w:rsidR="00602854" w:rsidRPr="008B0EE3">
              <w:rPr>
                <w:szCs w:val="18"/>
              </w:rPr>
              <w:t xml:space="preserve">nder </w:t>
            </w:r>
            <w:r w:rsidR="00602854">
              <w:rPr>
                <w:szCs w:val="18"/>
              </w:rPr>
              <w:t>i</w:t>
            </w:r>
            <w:r w:rsidR="00602854" w:rsidRPr="008B0EE3">
              <w:rPr>
                <w:szCs w:val="18"/>
              </w:rPr>
              <w:t xml:space="preserve">nsulation </w:t>
            </w:r>
            <w:r w:rsidR="008B0EE3">
              <w:rPr>
                <w:szCs w:val="18"/>
              </w:rPr>
              <w:t xml:space="preserve">should be </w:t>
            </w:r>
            <w:r w:rsidR="008B0EE3" w:rsidRPr="008B0EE3">
              <w:rPr>
                <w:szCs w:val="18"/>
              </w:rPr>
              <w:t>address</w:t>
            </w:r>
            <w:r w:rsidR="008B0EE3">
              <w:rPr>
                <w:szCs w:val="18"/>
              </w:rPr>
              <w:t>ed</w:t>
            </w:r>
            <w:r w:rsidR="008B0EE3" w:rsidRPr="008B0EE3">
              <w:rPr>
                <w:szCs w:val="18"/>
              </w:rPr>
              <w:t xml:space="preserve"> when handling ammonia</w:t>
            </w:r>
            <w:r w:rsidR="00367BB3">
              <w:rPr>
                <w:szCs w:val="18"/>
              </w:rPr>
              <w:t>,</w:t>
            </w:r>
            <w:r w:rsidR="008B0EE3" w:rsidRPr="008B0EE3">
              <w:rPr>
                <w:szCs w:val="18"/>
              </w:rPr>
              <w:t xml:space="preserve"> </w:t>
            </w:r>
            <w:r w:rsidR="001A7DA6">
              <w:rPr>
                <w:szCs w:val="18"/>
              </w:rPr>
              <w:t xml:space="preserve">with </w:t>
            </w:r>
            <w:r w:rsidR="008B0EE3" w:rsidRPr="008B0EE3">
              <w:rPr>
                <w:szCs w:val="18"/>
              </w:rPr>
              <w:t>suitable procedure</w:t>
            </w:r>
            <w:r w:rsidR="00C2608E">
              <w:rPr>
                <w:szCs w:val="18"/>
              </w:rPr>
              <w:t xml:space="preserve">s </w:t>
            </w:r>
            <w:r w:rsidR="008B0EE3" w:rsidRPr="008B0EE3">
              <w:rPr>
                <w:szCs w:val="18"/>
              </w:rPr>
              <w:t xml:space="preserve">for inspection and maintenance </w:t>
            </w:r>
            <w:r w:rsidR="001A7DA6">
              <w:rPr>
                <w:szCs w:val="18"/>
              </w:rPr>
              <w:t xml:space="preserve">to </w:t>
            </w:r>
            <w:r w:rsidR="008B0EE3" w:rsidRPr="008B0EE3">
              <w:rPr>
                <w:szCs w:val="18"/>
              </w:rPr>
              <w:t>reduc</w:t>
            </w:r>
            <w:r w:rsidR="001A7DA6">
              <w:rPr>
                <w:szCs w:val="18"/>
              </w:rPr>
              <w:t>e</w:t>
            </w:r>
            <w:r w:rsidR="008B0EE3" w:rsidRPr="008B0EE3">
              <w:rPr>
                <w:szCs w:val="18"/>
              </w:rPr>
              <w:t xml:space="preserve"> the </w:t>
            </w:r>
            <w:r w:rsidR="001A7DA6">
              <w:rPr>
                <w:szCs w:val="18"/>
              </w:rPr>
              <w:t xml:space="preserve">potential for </w:t>
            </w:r>
            <w:r w:rsidR="008B0EE3" w:rsidRPr="008B0EE3">
              <w:rPr>
                <w:szCs w:val="18"/>
              </w:rPr>
              <w:t>loss of integrity.</w:t>
            </w:r>
            <w:r w:rsidR="00CA4503">
              <w:rPr>
                <w:szCs w:val="18"/>
              </w:rPr>
              <w:t xml:space="preserve"> Cold spill protection may also need to be considered in some areas.</w:t>
            </w:r>
            <w:r w:rsidR="00885B3B">
              <w:rPr>
                <w:szCs w:val="18"/>
              </w:rPr>
              <w:t xml:space="preserve"> </w:t>
            </w:r>
          </w:p>
          <w:p w14:paraId="7EDD68FA" w14:textId="00F02ACB" w:rsidR="003C0DA4" w:rsidRPr="008B0EE3" w:rsidRDefault="003C0DA4" w:rsidP="00D050BE">
            <w:pPr>
              <w:rPr>
                <w:szCs w:val="18"/>
              </w:rPr>
            </w:pPr>
          </w:p>
        </w:tc>
      </w:tr>
      <w:tr w:rsidR="00CD35F6" w:rsidRPr="00C43DFA" w14:paraId="0AE3948A" w14:textId="77777777" w:rsidTr="00822AB6">
        <w:trPr>
          <w:jc w:val="center"/>
        </w:trPr>
        <w:tc>
          <w:tcPr>
            <w:tcW w:w="1843" w:type="dxa"/>
            <w:shd w:val="clear" w:color="auto" w:fill="FFFFFF"/>
          </w:tcPr>
          <w:p w14:paraId="04313065" w14:textId="77777777" w:rsidR="00CD35F6" w:rsidRPr="004A789C" w:rsidRDefault="00CD35F6" w:rsidP="00822AB6">
            <w:pPr>
              <w:jc w:val="left"/>
              <w:rPr>
                <w:szCs w:val="18"/>
              </w:rPr>
            </w:pPr>
            <w:r w:rsidRPr="00CD35F6">
              <w:rPr>
                <w:szCs w:val="18"/>
              </w:rPr>
              <w:t xml:space="preserve">Maintenance </w:t>
            </w:r>
          </w:p>
        </w:tc>
        <w:tc>
          <w:tcPr>
            <w:tcW w:w="6095" w:type="dxa"/>
            <w:shd w:val="clear" w:color="auto" w:fill="FFFFFF"/>
          </w:tcPr>
          <w:p w14:paraId="7FAF808D" w14:textId="774B9291" w:rsidR="00CD35F6" w:rsidRPr="004A789C" w:rsidRDefault="00CD35F6" w:rsidP="004A789C">
            <w:pPr>
              <w:pStyle w:val="BOAAbstractBody"/>
              <w:rPr>
                <w:rFonts w:eastAsia="Times New Roman"/>
                <w:sz w:val="18"/>
                <w:szCs w:val="18"/>
              </w:rPr>
            </w:pPr>
            <w:r w:rsidRPr="004A789C">
              <w:rPr>
                <w:rFonts w:eastAsia="Times New Roman"/>
                <w:sz w:val="18"/>
                <w:szCs w:val="18"/>
              </w:rPr>
              <w:t xml:space="preserve">Maintenance errors and component failures </w:t>
            </w:r>
            <w:r w:rsidR="004A789C" w:rsidRPr="004A789C">
              <w:rPr>
                <w:rFonts w:eastAsia="Times New Roman"/>
                <w:sz w:val="18"/>
                <w:szCs w:val="18"/>
              </w:rPr>
              <w:t xml:space="preserve">are </w:t>
            </w:r>
            <w:r w:rsidR="004A789C">
              <w:rPr>
                <w:rFonts w:eastAsia="Times New Roman"/>
                <w:sz w:val="18"/>
                <w:szCs w:val="18"/>
              </w:rPr>
              <w:t>one</w:t>
            </w:r>
            <w:r w:rsidR="004A789C" w:rsidRPr="004A789C">
              <w:rPr>
                <w:rFonts w:eastAsia="Times New Roman"/>
                <w:sz w:val="18"/>
                <w:szCs w:val="18"/>
              </w:rPr>
              <w:t xml:space="preserve"> of the drivers for ammonia accidents and incidents. Protocols, procedures and training for maintenance and inspection </w:t>
            </w:r>
            <w:r w:rsidR="001A7DA6">
              <w:rPr>
                <w:rFonts w:eastAsia="Times New Roman"/>
                <w:sz w:val="18"/>
                <w:szCs w:val="18"/>
              </w:rPr>
              <w:t>sh</w:t>
            </w:r>
            <w:r w:rsidR="001A7DA6" w:rsidRPr="004A789C">
              <w:rPr>
                <w:rFonts w:eastAsia="Times New Roman"/>
                <w:sz w:val="18"/>
                <w:szCs w:val="18"/>
              </w:rPr>
              <w:t xml:space="preserve">ould </w:t>
            </w:r>
            <w:r w:rsidR="004A789C" w:rsidRPr="004A789C">
              <w:rPr>
                <w:rFonts w:eastAsia="Times New Roman"/>
                <w:sz w:val="18"/>
                <w:szCs w:val="18"/>
              </w:rPr>
              <w:t xml:space="preserve">reduce the risk and the potential exposure to ammonia gas. </w:t>
            </w:r>
          </w:p>
        </w:tc>
      </w:tr>
      <w:tr w:rsidR="00CD35F6" w:rsidRPr="00C43DFA" w14:paraId="0AF2158B" w14:textId="77777777" w:rsidTr="00F93DC2">
        <w:trPr>
          <w:jc w:val="center"/>
        </w:trPr>
        <w:tc>
          <w:tcPr>
            <w:tcW w:w="1843" w:type="dxa"/>
            <w:shd w:val="clear" w:color="auto" w:fill="FFFFFF"/>
          </w:tcPr>
          <w:p w14:paraId="6BD2BABA" w14:textId="77777777" w:rsidR="00CD35F6" w:rsidRPr="008B0EE3" w:rsidRDefault="00CD35F6" w:rsidP="007E7311">
            <w:pPr>
              <w:jc w:val="left"/>
              <w:rPr>
                <w:szCs w:val="18"/>
              </w:rPr>
            </w:pPr>
          </w:p>
        </w:tc>
        <w:tc>
          <w:tcPr>
            <w:tcW w:w="6095" w:type="dxa"/>
            <w:shd w:val="clear" w:color="auto" w:fill="FFFFFF"/>
          </w:tcPr>
          <w:p w14:paraId="0E526B7B" w14:textId="77777777" w:rsidR="00CD35F6" w:rsidRPr="008B0EE3" w:rsidRDefault="00CD35F6" w:rsidP="00D050BE">
            <w:pPr>
              <w:rPr>
                <w:szCs w:val="18"/>
              </w:rPr>
            </w:pPr>
          </w:p>
        </w:tc>
      </w:tr>
      <w:tr w:rsidR="00FF7132" w:rsidRPr="00C43DFA" w14:paraId="6690FE01" w14:textId="77777777" w:rsidTr="00F93DC2">
        <w:trPr>
          <w:jc w:val="center"/>
        </w:trPr>
        <w:tc>
          <w:tcPr>
            <w:tcW w:w="1843" w:type="dxa"/>
            <w:shd w:val="clear" w:color="auto" w:fill="FFFFFF"/>
          </w:tcPr>
          <w:p w14:paraId="42FBBDE3" w14:textId="5323379B" w:rsidR="00FF7132" w:rsidRPr="008B0EE3" w:rsidRDefault="00FF7132" w:rsidP="007E7311">
            <w:pPr>
              <w:jc w:val="left"/>
              <w:rPr>
                <w:szCs w:val="18"/>
              </w:rPr>
            </w:pPr>
            <w:r>
              <w:rPr>
                <w:szCs w:val="18"/>
              </w:rPr>
              <w:t xml:space="preserve">Gas detection systems </w:t>
            </w:r>
          </w:p>
        </w:tc>
        <w:tc>
          <w:tcPr>
            <w:tcW w:w="6095" w:type="dxa"/>
            <w:shd w:val="clear" w:color="auto" w:fill="FFFFFF"/>
          </w:tcPr>
          <w:p w14:paraId="51745751" w14:textId="6E35F441" w:rsidR="00FF7132" w:rsidRPr="007E34F1" w:rsidRDefault="009B3496" w:rsidP="00D050BE">
            <w:pPr>
              <w:rPr>
                <w:szCs w:val="18"/>
              </w:rPr>
            </w:pPr>
            <w:r>
              <w:rPr>
                <w:szCs w:val="18"/>
              </w:rPr>
              <w:t>Suitable gas detection systems for ammonia should be in place</w:t>
            </w:r>
            <w:r w:rsidR="00FD1370">
              <w:rPr>
                <w:szCs w:val="18"/>
              </w:rPr>
              <w:t xml:space="preserve">. </w:t>
            </w:r>
            <w:r w:rsidR="005D4C01">
              <w:rPr>
                <w:szCs w:val="18"/>
              </w:rPr>
              <w:t xml:space="preserve">The gas detection system can be a </w:t>
            </w:r>
            <w:r w:rsidR="000122E7">
              <w:rPr>
                <w:szCs w:val="18"/>
              </w:rPr>
              <w:t xml:space="preserve">part of the leakage detection system, together with low temperature measurements and other operational monitoring parameters </w:t>
            </w:r>
            <w:r w:rsidR="000122E7">
              <w:rPr>
                <w:szCs w:val="18"/>
              </w:rPr>
              <w:lastRenderedPageBreak/>
              <w:t xml:space="preserve">(such as temperature and pressure on lines and storage vessels). </w:t>
            </w:r>
            <w:r w:rsidR="007E34F1">
              <w:rPr>
                <w:szCs w:val="18"/>
              </w:rPr>
              <w:t xml:space="preserve">The ammonia gas detection system should provide quick and reliable detection of ammonia releases, issue warnings and </w:t>
            </w:r>
            <w:r w:rsidR="007E34F1">
              <w:rPr>
                <w:i/>
                <w:iCs/>
                <w:szCs w:val="18"/>
              </w:rPr>
              <w:t xml:space="preserve">automatically </w:t>
            </w:r>
            <w:r w:rsidR="007E34F1">
              <w:rPr>
                <w:szCs w:val="18"/>
              </w:rPr>
              <w:t>initiate safety actions</w:t>
            </w:r>
            <w:r w:rsidR="001977AD">
              <w:rPr>
                <w:szCs w:val="18"/>
              </w:rPr>
              <w:t xml:space="preserve"> (such as emergency shut down and automatic isolation of leakages to reduce their consequences).</w:t>
            </w:r>
            <w:r w:rsidR="00542E9E">
              <w:rPr>
                <w:szCs w:val="18"/>
              </w:rPr>
              <w:t xml:space="preserve"> (Green Shipping Program, 2023). </w:t>
            </w:r>
            <w:r w:rsidR="001977AD">
              <w:rPr>
                <w:szCs w:val="18"/>
              </w:rPr>
              <w:t xml:space="preserve"> </w:t>
            </w:r>
          </w:p>
          <w:p w14:paraId="4EB08FFF" w14:textId="6B3CD84B" w:rsidR="000122E7" w:rsidRPr="008B0EE3" w:rsidRDefault="000122E7" w:rsidP="00D050BE">
            <w:pPr>
              <w:rPr>
                <w:szCs w:val="18"/>
              </w:rPr>
            </w:pPr>
          </w:p>
        </w:tc>
      </w:tr>
      <w:tr w:rsidR="00FA04BA" w:rsidRPr="00C43DFA" w14:paraId="094696AB" w14:textId="77777777" w:rsidTr="00F93DC2">
        <w:trPr>
          <w:jc w:val="center"/>
        </w:trPr>
        <w:tc>
          <w:tcPr>
            <w:tcW w:w="1843" w:type="dxa"/>
            <w:shd w:val="clear" w:color="auto" w:fill="FFFFFF"/>
          </w:tcPr>
          <w:p w14:paraId="66C532E3" w14:textId="58FD0642" w:rsidR="00FA04BA" w:rsidRPr="00C43DFA" w:rsidRDefault="00FA04BA" w:rsidP="007E7311">
            <w:pPr>
              <w:jc w:val="left"/>
              <w:rPr>
                <w:szCs w:val="18"/>
              </w:rPr>
            </w:pPr>
            <w:r>
              <w:rPr>
                <w:szCs w:val="18"/>
              </w:rPr>
              <w:lastRenderedPageBreak/>
              <w:t xml:space="preserve">Ammonia tank </w:t>
            </w:r>
            <w:r w:rsidR="007E7311">
              <w:rPr>
                <w:szCs w:val="18"/>
              </w:rPr>
              <w:t>location onboard</w:t>
            </w:r>
          </w:p>
        </w:tc>
        <w:tc>
          <w:tcPr>
            <w:tcW w:w="6095" w:type="dxa"/>
            <w:shd w:val="clear" w:color="auto" w:fill="FFFFFF"/>
          </w:tcPr>
          <w:p w14:paraId="72E69745" w14:textId="77777777" w:rsidR="00FA04BA" w:rsidRDefault="001470A5" w:rsidP="00D050BE">
            <w:pPr>
              <w:rPr>
                <w:szCs w:val="18"/>
              </w:rPr>
            </w:pPr>
            <w:r w:rsidRPr="00055DDA">
              <w:rPr>
                <w:szCs w:val="18"/>
              </w:rPr>
              <w:t xml:space="preserve">The location of the tank on board is </w:t>
            </w:r>
            <w:r w:rsidR="009E1E7F" w:rsidRPr="00055DDA">
              <w:rPr>
                <w:szCs w:val="18"/>
              </w:rPr>
              <w:t>proven to be critical for different tier release scenarios. Hull-located tanks are</w:t>
            </w:r>
            <w:r w:rsidR="00323295" w:rsidRPr="00055DDA">
              <w:rPr>
                <w:szCs w:val="18"/>
              </w:rPr>
              <w:t xml:space="preserve"> less prone to </w:t>
            </w:r>
            <w:r w:rsidR="00055DDA" w:rsidRPr="00055DDA">
              <w:rPr>
                <w:szCs w:val="18"/>
              </w:rPr>
              <w:t xml:space="preserve">catastrophic release scenarios upon collision. </w:t>
            </w:r>
          </w:p>
          <w:p w14:paraId="363E260D" w14:textId="1B65B1BA" w:rsidR="003C0DA4" w:rsidRPr="00C43DFA" w:rsidRDefault="003C0DA4" w:rsidP="00D050BE">
            <w:pPr>
              <w:rPr>
                <w:szCs w:val="18"/>
                <w:highlight w:val="yellow"/>
              </w:rPr>
            </w:pPr>
          </w:p>
        </w:tc>
      </w:tr>
      <w:tr w:rsidR="00FE0F18" w:rsidRPr="00C43DFA" w14:paraId="4BF64043" w14:textId="63ED08EF" w:rsidTr="00F93DC2">
        <w:trPr>
          <w:jc w:val="center"/>
        </w:trPr>
        <w:tc>
          <w:tcPr>
            <w:tcW w:w="1843" w:type="dxa"/>
            <w:shd w:val="clear" w:color="auto" w:fill="FFFFFF"/>
          </w:tcPr>
          <w:p w14:paraId="7AFC7B0D" w14:textId="773A1F1B" w:rsidR="00FE0F18" w:rsidRPr="00055DDA" w:rsidRDefault="00D014CE" w:rsidP="007E7311">
            <w:pPr>
              <w:jc w:val="left"/>
              <w:rPr>
                <w:szCs w:val="18"/>
              </w:rPr>
            </w:pPr>
            <w:r w:rsidRPr="00055DDA">
              <w:rPr>
                <w:szCs w:val="18"/>
              </w:rPr>
              <w:t>P</w:t>
            </w:r>
            <w:r w:rsidR="00055DDA" w:rsidRPr="00055DDA">
              <w:rPr>
                <w:szCs w:val="18"/>
              </w:rPr>
              <w:t xml:space="preserve">ersonal </w:t>
            </w:r>
            <w:r w:rsidRPr="00055DDA">
              <w:rPr>
                <w:szCs w:val="18"/>
              </w:rPr>
              <w:t>P</w:t>
            </w:r>
            <w:r w:rsidR="00055DDA" w:rsidRPr="00055DDA">
              <w:rPr>
                <w:szCs w:val="18"/>
              </w:rPr>
              <w:t xml:space="preserve">rotection </w:t>
            </w:r>
            <w:r w:rsidRPr="00055DDA">
              <w:rPr>
                <w:szCs w:val="18"/>
              </w:rPr>
              <w:t>E</w:t>
            </w:r>
            <w:r w:rsidR="00055DDA" w:rsidRPr="00055DDA">
              <w:rPr>
                <w:szCs w:val="18"/>
              </w:rPr>
              <w:t>quipment (PPE)</w:t>
            </w:r>
          </w:p>
        </w:tc>
        <w:tc>
          <w:tcPr>
            <w:tcW w:w="6095" w:type="dxa"/>
            <w:shd w:val="clear" w:color="auto" w:fill="FFFFFF"/>
          </w:tcPr>
          <w:p w14:paraId="02B3847A" w14:textId="314B4505" w:rsidR="003C0DA4" w:rsidRDefault="00055DDA" w:rsidP="00D050BE">
            <w:pPr>
              <w:rPr>
                <w:szCs w:val="18"/>
              </w:rPr>
            </w:pPr>
            <w:r>
              <w:rPr>
                <w:szCs w:val="18"/>
              </w:rPr>
              <w:t>Different PPE should be planned for operations, maintenance and emergency response</w:t>
            </w:r>
            <w:r w:rsidR="00307B9F">
              <w:rPr>
                <w:szCs w:val="18"/>
              </w:rPr>
              <w:t>,</w:t>
            </w:r>
            <w:r>
              <w:rPr>
                <w:szCs w:val="18"/>
              </w:rPr>
              <w:t xml:space="preserve"> </w:t>
            </w:r>
            <w:r w:rsidR="003E0A21">
              <w:rPr>
                <w:szCs w:val="18"/>
              </w:rPr>
              <w:t xml:space="preserve">based on the type and amount of </w:t>
            </w:r>
            <w:r w:rsidR="00DE7EAA">
              <w:rPr>
                <w:szCs w:val="18"/>
              </w:rPr>
              <w:t xml:space="preserve">potential </w:t>
            </w:r>
            <w:r w:rsidR="003E0A21">
              <w:rPr>
                <w:szCs w:val="18"/>
              </w:rPr>
              <w:t>exposure to ammonia</w:t>
            </w:r>
            <w:r w:rsidR="001A1D10">
              <w:rPr>
                <w:szCs w:val="18"/>
              </w:rPr>
              <w:t>.</w:t>
            </w:r>
            <w:r w:rsidR="00DC3960">
              <w:rPr>
                <w:szCs w:val="18"/>
              </w:rPr>
              <w:t xml:space="preserve"> </w:t>
            </w:r>
            <w:r w:rsidR="00A41DEB">
              <w:rPr>
                <w:szCs w:val="18"/>
              </w:rPr>
              <w:t xml:space="preserve">Consideration should be given to </w:t>
            </w:r>
            <w:r w:rsidR="007A668D">
              <w:rPr>
                <w:szCs w:val="18"/>
              </w:rPr>
              <w:t xml:space="preserve">toxic inhalation protection, </w:t>
            </w:r>
            <w:r w:rsidR="00A41DEB">
              <w:rPr>
                <w:szCs w:val="18"/>
              </w:rPr>
              <w:t>thermal protection</w:t>
            </w:r>
            <w:r w:rsidR="00A20CA9">
              <w:rPr>
                <w:szCs w:val="18"/>
              </w:rPr>
              <w:t xml:space="preserve"> (cold spills and fire) and </w:t>
            </w:r>
            <w:r w:rsidR="00A4081B">
              <w:rPr>
                <w:szCs w:val="18"/>
              </w:rPr>
              <w:t xml:space="preserve">protection from </w:t>
            </w:r>
            <w:r w:rsidR="0037521A">
              <w:rPr>
                <w:szCs w:val="18"/>
              </w:rPr>
              <w:t xml:space="preserve">corrosive </w:t>
            </w:r>
            <w:r w:rsidR="00A4081B">
              <w:rPr>
                <w:szCs w:val="18"/>
              </w:rPr>
              <w:t>burns.</w:t>
            </w:r>
            <w:r w:rsidR="00A20CA9">
              <w:rPr>
                <w:szCs w:val="18"/>
              </w:rPr>
              <w:t xml:space="preserve"> </w:t>
            </w:r>
            <w:r w:rsidR="00AE4F3C">
              <w:rPr>
                <w:szCs w:val="18"/>
              </w:rPr>
              <w:t xml:space="preserve"> </w:t>
            </w:r>
            <w:r w:rsidR="002C3684">
              <w:rPr>
                <w:szCs w:val="18"/>
              </w:rPr>
              <w:t xml:space="preserve"> </w:t>
            </w:r>
          </w:p>
          <w:p w14:paraId="177CB0CA" w14:textId="13461580" w:rsidR="00FE0F18" w:rsidRPr="00055DDA" w:rsidRDefault="003E0A21" w:rsidP="00D050BE">
            <w:pPr>
              <w:rPr>
                <w:szCs w:val="18"/>
              </w:rPr>
            </w:pPr>
            <w:r>
              <w:rPr>
                <w:szCs w:val="18"/>
              </w:rPr>
              <w:t xml:space="preserve"> </w:t>
            </w:r>
          </w:p>
        </w:tc>
      </w:tr>
      <w:tr w:rsidR="00FE0F18" w:rsidRPr="00C43DFA" w14:paraId="1C2BBDE7" w14:textId="2F4ACC82" w:rsidTr="00F93DC2">
        <w:trPr>
          <w:jc w:val="center"/>
        </w:trPr>
        <w:tc>
          <w:tcPr>
            <w:tcW w:w="1843" w:type="dxa"/>
            <w:shd w:val="clear" w:color="auto" w:fill="FFFFFF"/>
          </w:tcPr>
          <w:p w14:paraId="4092FFBA" w14:textId="2FA3906F" w:rsidR="00FE0F18" w:rsidRPr="003820D3" w:rsidRDefault="00636F1A" w:rsidP="007E7311">
            <w:pPr>
              <w:jc w:val="left"/>
              <w:rPr>
                <w:szCs w:val="18"/>
              </w:rPr>
            </w:pPr>
            <w:r>
              <w:rPr>
                <w:szCs w:val="18"/>
              </w:rPr>
              <w:t>Effect</w:t>
            </w:r>
            <w:r w:rsidRPr="003820D3">
              <w:rPr>
                <w:szCs w:val="18"/>
              </w:rPr>
              <w:t xml:space="preserve"> </w:t>
            </w:r>
            <w:r w:rsidR="00C43DFA" w:rsidRPr="003820D3">
              <w:rPr>
                <w:szCs w:val="18"/>
              </w:rPr>
              <w:t>distances</w:t>
            </w:r>
          </w:p>
        </w:tc>
        <w:tc>
          <w:tcPr>
            <w:tcW w:w="6095" w:type="dxa"/>
            <w:shd w:val="clear" w:color="auto" w:fill="FFFFFF"/>
          </w:tcPr>
          <w:p w14:paraId="347F3AFB" w14:textId="4BED1090" w:rsidR="00FE0F18" w:rsidRDefault="00C43DFA" w:rsidP="00D050BE">
            <w:pPr>
              <w:rPr>
                <w:szCs w:val="18"/>
              </w:rPr>
            </w:pPr>
            <w:r w:rsidRPr="003820D3">
              <w:rPr>
                <w:szCs w:val="18"/>
              </w:rPr>
              <w:tab/>
            </w:r>
            <w:r w:rsidR="00530AC1">
              <w:rPr>
                <w:szCs w:val="18"/>
              </w:rPr>
              <w:t>U</w:t>
            </w:r>
            <w:r w:rsidRPr="003820D3">
              <w:rPr>
                <w:szCs w:val="18"/>
              </w:rPr>
              <w:t xml:space="preserve">nderstanding the potential extent of ammonia </w:t>
            </w:r>
            <w:r w:rsidR="00530AC1">
              <w:rPr>
                <w:szCs w:val="18"/>
              </w:rPr>
              <w:t xml:space="preserve">effect </w:t>
            </w:r>
            <w:r w:rsidRPr="003820D3">
              <w:rPr>
                <w:szCs w:val="18"/>
              </w:rPr>
              <w:t xml:space="preserve">distances can support the development of dedicated </w:t>
            </w:r>
            <w:r w:rsidR="003820D3" w:rsidRPr="003820D3">
              <w:rPr>
                <w:szCs w:val="18"/>
              </w:rPr>
              <w:t xml:space="preserve">handling procedures and </w:t>
            </w:r>
            <w:r w:rsidRPr="003820D3">
              <w:rPr>
                <w:szCs w:val="18"/>
              </w:rPr>
              <w:t xml:space="preserve">emergency response. </w:t>
            </w:r>
            <w:r w:rsidR="00211785">
              <w:rPr>
                <w:szCs w:val="18"/>
              </w:rPr>
              <w:t xml:space="preserve">Consideration should be given to whether </w:t>
            </w:r>
            <w:r w:rsidR="002F3348">
              <w:rPr>
                <w:szCs w:val="18"/>
              </w:rPr>
              <w:t xml:space="preserve">the ammonia release will impact trained and equipped operators or </w:t>
            </w:r>
            <w:r w:rsidR="007D28E7">
              <w:rPr>
                <w:szCs w:val="18"/>
              </w:rPr>
              <w:t xml:space="preserve">third parties and </w:t>
            </w:r>
            <w:r w:rsidR="002F3348">
              <w:rPr>
                <w:szCs w:val="18"/>
              </w:rPr>
              <w:t>members of the public</w:t>
            </w:r>
            <w:r w:rsidRPr="003820D3">
              <w:rPr>
                <w:szCs w:val="18"/>
              </w:rPr>
              <w:t xml:space="preserve">. </w:t>
            </w:r>
            <w:r w:rsidR="007D28E7">
              <w:rPr>
                <w:szCs w:val="18"/>
              </w:rPr>
              <w:t xml:space="preserve">Several </w:t>
            </w:r>
            <w:r w:rsidRPr="003820D3">
              <w:rPr>
                <w:szCs w:val="18"/>
              </w:rPr>
              <w:t xml:space="preserve">stakeholders </w:t>
            </w:r>
            <w:r w:rsidR="007D28E7">
              <w:rPr>
                <w:szCs w:val="18"/>
              </w:rPr>
              <w:t xml:space="preserve">may be involved in the case of </w:t>
            </w:r>
            <w:r w:rsidR="00555947">
              <w:rPr>
                <w:szCs w:val="18"/>
              </w:rPr>
              <w:t>refuelling operations at ports</w:t>
            </w:r>
            <w:r w:rsidRPr="003820D3">
              <w:rPr>
                <w:szCs w:val="18"/>
              </w:rPr>
              <w:t xml:space="preserve">. </w:t>
            </w:r>
            <w:r w:rsidR="00555947">
              <w:rPr>
                <w:szCs w:val="18"/>
              </w:rPr>
              <w:t>R</w:t>
            </w:r>
            <w:r w:rsidRPr="003820D3">
              <w:rPr>
                <w:szCs w:val="18"/>
              </w:rPr>
              <w:t xml:space="preserve">isk analysis and quantification can support the identification of </w:t>
            </w:r>
            <w:r w:rsidR="00032965">
              <w:rPr>
                <w:szCs w:val="18"/>
              </w:rPr>
              <w:t xml:space="preserve">access-controlled </w:t>
            </w:r>
            <w:r w:rsidRPr="003820D3">
              <w:rPr>
                <w:szCs w:val="18"/>
              </w:rPr>
              <w:t>zones.</w:t>
            </w:r>
          </w:p>
          <w:p w14:paraId="7B60BEED" w14:textId="23E2FAF7" w:rsidR="003820D3" w:rsidRPr="003820D3" w:rsidRDefault="001954EE" w:rsidP="00D050BE">
            <w:pPr>
              <w:rPr>
                <w:szCs w:val="18"/>
              </w:rPr>
            </w:pPr>
            <w:r>
              <w:rPr>
                <w:szCs w:val="18"/>
              </w:rPr>
              <w:t xml:space="preserve">Tools </w:t>
            </w:r>
            <w:r w:rsidR="00032965">
              <w:rPr>
                <w:szCs w:val="18"/>
              </w:rPr>
              <w:t xml:space="preserve">that can </w:t>
            </w:r>
            <w:r>
              <w:rPr>
                <w:szCs w:val="18"/>
              </w:rPr>
              <w:t xml:space="preserve">dynamically estimate the </w:t>
            </w:r>
            <w:r w:rsidR="00032965">
              <w:rPr>
                <w:szCs w:val="18"/>
              </w:rPr>
              <w:t xml:space="preserve">ammonia effect </w:t>
            </w:r>
            <w:r>
              <w:rPr>
                <w:szCs w:val="18"/>
              </w:rPr>
              <w:t xml:space="preserve">distances could support the evacuation and </w:t>
            </w:r>
            <w:r w:rsidR="00FF7434">
              <w:rPr>
                <w:szCs w:val="18"/>
              </w:rPr>
              <w:t xml:space="preserve">mitigation procedures in case of </w:t>
            </w:r>
            <w:r w:rsidR="00890C9E">
              <w:rPr>
                <w:szCs w:val="18"/>
              </w:rPr>
              <w:t xml:space="preserve">large ammonia </w:t>
            </w:r>
            <w:r w:rsidR="00FF7434">
              <w:rPr>
                <w:szCs w:val="18"/>
              </w:rPr>
              <w:t xml:space="preserve">releases, considering also the wind direction and speed. </w:t>
            </w:r>
          </w:p>
          <w:p w14:paraId="639454F7" w14:textId="60B5C198" w:rsidR="003C0DA4" w:rsidRPr="003820D3" w:rsidRDefault="003C0DA4" w:rsidP="00D050BE">
            <w:pPr>
              <w:rPr>
                <w:szCs w:val="18"/>
              </w:rPr>
            </w:pPr>
          </w:p>
        </w:tc>
      </w:tr>
      <w:tr w:rsidR="00FE0F18" w:rsidRPr="00C43DFA" w14:paraId="4300F644" w14:textId="68A23CE5" w:rsidTr="00F93DC2">
        <w:trPr>
          <w:jc w:val="center"/>
        </w:trPr>
        <w:tc>
          <w:tcPr>
            <w:tcW w:w="1843" w:type="dxa"/>
            <w:shd w:val="clear" w:color="auto" w:fill="FFFFFF"/>
          </w:tcPr>
          <w:p w14:paraId="78BD661A" w14:textId="081E90F9" w:rsidR="00FE0F18" w:rsidRPr="00FC6C35" w:rsidRDefault="00C43DFA" w:rsidP="007E7311">
            <w:pPr>
              <w:jc w:val="left"/>
              <w:rPr>
                <w:szCs w:val="18"/>
              </w:rPr>
            </w:pPr>
            <w:r w:rsidRPr="00FC6C35">
              <w:rPr>
                <w:szCs w:val="18"/>
              </w:rPr>
              <w:t xml:space="preserve">Emergency preparedness </w:t>
            </w:r>
          </w:p>
        </w:tc>
        <w:tc>
          <w:tcPr>
            <w:tcW w:w="6095" w:type="dxa"/>
            <w:shd w:val="clear" w:color="auto" w:fill="FFFFFF"/>
          </w:tcPr>
          <w:p w14:paraId="7B27F9D0" w14:textId="2A5163CE" w:rsidR="003C0DA4" w:rsidRPr="00FC6C35" w:rsidRDefault="00890C9E" w:rsidP="00FC6C35">
            <w:pPr>
              <w:rPr>
                <w:szCs w:val="18"/>
              </w:rPr>
            </w:pPr>
            <w:r>
              <w:rPr>
                <w:szCs w:val="18"/>
              </w:rPr>
              <w:t>Emergency response to a</w:t>
            </w:r>
            <w:r w:rsidR="00C43DFA" w:rsidRPr="00FC6C35">
              <w:rPr>
                <w:szCs w:val="18"/>
              </w:rPr>
              <w:t>mmonia release</w:t>
            </w:r>
            <w:r>
              <w:rPr>
                <w:szCs w:val="18"/>
              </w:rPr>
              <w:t>s</w:t>
            </w:r>
            <w:r w:rsidR="00C43DFA" w:rsidRPr="00FC6C35">
              <w:rPr>
                <w:szCs w:val="18"/>
              </w:rPr>
              <w:t xml:space="preserve"> at sea </w:t>
            </w:r>
            <w:r w:rsidR="00FD2207" w:rsidRPr="00FC6C35">
              <w:rPr>
                <w:szCs w:val="18"/>
              </w:rPr>
              <w:t xml:space="preserve">requires modification of </w:t>
            </w:r>
            <w:r w:rsidR="004A789C" w:rsidRPr="00FC6C35">
              <w:rPr>
                <w:szCs w:val="18"/>
              </w:rPr>
              <w:t>the conventional</w:t>
            </w:r>
            <w:r w:rsidR="00C43DFA" w:rsidRPr="00FC6C35">
              <w:rPr>
                <w:szCs w:val="18"/>
              </w:rPr>
              <w:t xml:space="preserve"> chemical spill emergency response plans (ERPs)</w:t>
            </w:r>
            <w:r w:rsidR="00FC6C35" w:rsidRPr="00FC6C35">
              <w:rPr>
                <w:szCs w:val="18"/>
              </w:rPr>
              <w:t xml:space="preserve">, mostly related to its toxicity. </w:t>
            </w:r>
          </w:p>
          <w:p w14:paraId="3306F934" w14:textId="182C45F6" w:rsidR="00FC6C35" w:rsidRPr="00FC6C35" w:rsidRDefault="00FC6C35" w:rsidP="00FC6C35">
            <w:pPr>
              <w:rPr>
                <w:szCs w:val="18"/>
              </w:rPr>
            </w:pPr>
          </w:p>
        </w:tc>
      </w:tr>
      <w:tr w:rsidR="00FE0F18" w:rsidRPr="00C43DFA" w14:paraId="77890D5A" w14:textId="218B64A4" w:rsidTr="00F93DC2">
        <w:trPr>
          <w:jc w:val="center"/>
        </w:trPr>
        <w:tc>
          <w:tcPr>
            <w:tcW w:w="1843" w:type="dxa"/>
            <w:shd w:val="clear" w:color="auto" w:fill="FFFFFF"/>
          </w:tcPr>
          <w:p w14:paraId="0FDD9ED1" w14:textId="21EA59F6" w:rsidR="00FE0F18" w:rsidRPr="00FC6C35" w:rsidRDefault="00C43DFA" w:rsidP="007E7311">
            <w:pPr>
              <w:jc w:val="left"/>
              <w:rPr>
                <w:szCs w:val="18"/>
              </w:rPr>
            </w:pPr>
            <w:r w:rsidRPr="00FC6C35">
              <w:rPr>
                <w:szCs w:val="18"/>
              </w:rPr>
              <w:t>Environmental damage</w:t>
            </w:r>
          </w:p>
        </w:tc>
        <w:tc>
          <w:tcPr>
            <w:tcW w:w="6095" w:type="dxa"/>
            <w:shd w:val="clear" w:color="auto" w:fill="FFFFFF"/>
          </w:tcPr>
          <w:p w14:paraId="6BD6A4E4" w14:textId="0F6EA929" w:rsidR="00FE0F18" w:rsidRPr="00FC6C35" w:rsidRDefault="00704B16" w:rsidP="00D050BE">
            <w:r>
              <w:t xml:space="preserve">The environmental effects of ammonia on the marine life </w:t>
            </w:r>
            <w:r w:rsidR="00D3557E">
              <w:t xml:space="preserve">should </w:t>
            </w:r>
            <w:r>
              <w:t xml:space="preserve">be understood and handled accordingly. </w:t>
            </w:r>
            <w:r w:rsidR="00CD35F6">
              <w:t xml:space="preserve">Ammonia can be a threat to fish, vegetation and marine life. </w:t>
            </w:r>
          </w:p>
          <w:p w14:paraId="7BA09A00" w14:textId="6B64500B" w:rsidR="003C0DA4" w:rsidRPr="00FC6C35" w:rsidRDefault="003C0DA4" w:rsidP="00D050BE">
            <w:pPr>
              <w:rPr>
                <w:szCs w:val="18"/>
              </w:rPr>
            </w:pPr>
          </w:p>
        </w:tc>
      </w:tr>
      <w:tr w:rsidR="00FE0F18" w:rsidRPr="00C43DFA" w14:paraId="35CD5393" w14:textId="7FD0D008" w:rsidTr="00F93DC2">
        <w:trPr>
          <w:jc w:val="center"/>
        </w:trPr>
        <w:tc>
          <w:tcPr>
            <w:tcW w:w="1843" w:type="dxa"/>
            <w:shd w:val="clear" w:color="auto" w:fill="FFFFFF"/>
          </w:tcPr>
          <w:p w14:paraId="4347E0CA" w14:textId="0E661A2D" w:rsidR="00FE0F18" w:rsidRPr="00FF7434" w:rsidRDefault="00C43DFA" w:rsidP="007E7311">
            <w:pPr>
              <w:jc w:val="left"/>
              <w:rPr>
                <w:szCs w:val="18"/>
              </w:rPr>
            </w:pPr>
            <w:r w:rsidRPr="00FF7434">
              <w:rPr>
                <w:szCs w:val="18"/>
              </w:rPr>
              <w:t xml:space="preserve">Regulation and certification </w:t>
            </w:r>
          </w:p>
        </w:tc>
        <w:tc>
          <w:tcPr>
            <w:tcW w:w="6095" w:type="dxa"/>
            <w:shd w:val="clear" w:color="auto" w:fill="FFFFFF"/>
          </w:tcPr>
          <w:p w14:paraId="3FA927EB" w14:textId="0B86DBC1" w:rsidR="00FE0F18" w:rsidRDefault="001702BE" w:rsidP="00D050BE">
            <w:r>
              <w:t>The ongoing development of r</w:t>
            </w:r>
            <w:r w:rsidRPr="00FF7434">
              <w:t xml:space="preserve">egulations </w:t>
            </w:r>
            <w:r w:rsidR="00C43DFA" w:rsidRPr="00FF7434">
              <w:t xml:space="preserve">and certification </w:t>
            </w:r>
            <w:r w:rsidR="00777736">
              <w:t xml:space="preserve">requirements </w:t>
            </w:r>
            <w:r w:rsidR="004F73E0">
              <w:t xml:space="preserve">should </w:t>
            </w:r>
            <w:r w:rsidR="00C43DFA" w:rsidRPr="00FF7434">
              <w:t xml:space="preserve">support the </w:t>
            </w:r>
            <w:r w:rsidR="000F4FE8">
              <w:t xml:space="preserve">safe </w:t>
            </w:r>
            <w:r w:rsidR="00C43DFA" w:rsidRPr="00FF7434">
              <w:t xml:space="preserve">introduction of ammonia </w:t>
            </w:r>
            <w:r w:rsidR="004F73E0" w:rsidRPr="00FF7434">
              <w:t>as an alternative marine fuel for decarbonization</w:t>
            </w:r>
            <w:r w:rsidR="00C43DFA" w:rsidRPr="00FF7434">
              <w:t xml:space="preserve">. </w:t>
            </w:r>
            <w:r w:rsidR="00F86566">
              <w:t xml:space="preserve">There are many stakeholders involved in this process: </w:t>
            </w:r>
            <w:r w:rsidR="00445508">
              <w:t>ship designers, operators, port authorities, regulators</w:t>
            </w:r>
            <w:r w:rsidR="00D97F20">
              <w:t xml:space="preserve"> and</w:t>
            </w:r>
            <w:r w:rsidR="00445508">
              <w:t xml:space="preserve"> certification bodies</w:t>
            </w:r>
            <w:r w:rsidR="003C142F">
              <w:t>. Collaboration is key to successful implementation.</w:t>
            </w:r>
            <w:r w:rsidR="00CB65FB">
              <w:t xml:space="preserve"> </w:t>
            </w:r>
          </w:p>
          <w:p w14:paraId="08C9BFF7" w14:textId="755FE8C1" w:rsidR="00CB65FB" w:rsidRPr="00CB65FB" w:rsidRDefault="00CB65FB" w:rsidP="00D050BE">
            <w:pPr>
              <w:rPr>
                <w:szCs w:val="18"/>
              </w:rPr>
            </w:pPr>
          </w:p>
        </w:tc>
      </w:tr>
    </w:tbl>
    <w:p w14:paraId="7407D455" w14:textId="386FD608" w:rsidR="00E1280C" w:rsidRPr="00C43DFA" w:rsidRDefault="00EF4F9B" w:rsidP="00E1280C">
      <w:pPr>
        <w:pStyle w:val="BOACaption"/>
      </w:pPr>
      <w:r>
        <w:t xml:space="preserve">Table </w:t>
      </w:r>
      <w:r w:rsidR="00C43DFA" w:rsidRPr="00C43DFA">
        <w:t xml:space="preserve">1. Key safety aspects in implementing ammonia as </w:t>
      </w:r>
      <w:r w:rsidR="00C43DFA">
        <w:t>ship</w:t>
      </w:r>
      <w:r w:rsidR="00C43DFA" w:rsidRPr="00C43DFA">
        <w:t xml:space="preserve"> fuel. </w:t>
      </w:r>
    </w:p>
    <w:p w14:paraId="311252DF" w14:textId="77777777" w:rsidR="005C1A57" w:rsidRPr="00CB65FB" w:rsidRDefault="005C1A57" w:rsidP="00EC507A">
      <w:pPr>
        <w:pStyle w:val="BOAHeading"/>
        <w:rPr>
          <w:lang w:val="en-GB" w:eastAsia="ko-KR"/>
        </w:rPr>
      </w:pPr>
      <w:r w:rsidRPr="00CB65FB">
        <w:rPr>
          <w:lang w:val="en-GB"/>
        </w:rPr>
        <w:t>4. Conclusion</w:t>
      </w:r>
      <w:r w:rsidRPr="00CB65FB">
        <w:rPr>
          <w:lang w:val="en-GB" w:eastAsia="ko-KR"/>
        </w:rPr>
        <w:t>s</w:t>
      </w:r>
    </w:p>
    <w:p w14:paraId="713E6F6B" w14:textId="22B1C3B4" w:rsidR="000E03D9" w:rsidRPr="00A91C30" w:rsidRDefault="00E1239C" w:rsidP="008B5460">
      <w:pPr>
        <w:pStyle w:val="BOAAbstractBody"/>
      </w:pPr>
      <w:r>
        <w:t xml:space="preserve">This study presents </w:t>
      </w:r>
      <w:r w:rsidR="000E03D9">
        <w:t>a series of</w:t>
      </w:r>
      <w:r>
        <w:t xml:space="preserve"> key factors </w:t>
      </w:r>
      <w:r w:rsidR="000E03D9">
        <w:t>for</w:t>
      </w:r>
      <w:r>
        <w:t xml:space="preserve"> the safety risk management of ammonia </w:t>
      </w:r>
      <w:r w:rsidR="000E03D9">
        <w:t xml:space="preserve">used </w:t>
      </w:r>
      <w:r>
        <w:t>onboard ships</w:t>
      </w:r>
      <w:r w:rsidR="000E03D9">
        <w:t xml:space="preserve"> as </w:t>
      </w:r>
      <w:r w:rsidR="000E03D9">
        <w:rPr>
          <w:i/>
          <w:iCs/>
        </w:rPr>
        <w:t xml:space="preserve">decarbonised </w:t>
      </w:r>
      <w:r w:rsidR="000E03D9">
        <w:t>fuel</w:t>
      </w:r>
      <w:r>
        <w:t xml:space="preserve">. </w:t>
      </w:r>
      <w:r w:rsidR="000E03D9">
        <w:t xml:space="preserve">The study is based on a </w:t>
      </w:r>
      <w:r w:rsidR="00CC74BD">
        <w:t xml:space="preserve">literature reviews and </w:t>
      </w:r>
      <w:r w:rsidR="00D4707F">
        <w:t>findings from incident investigations</w:t>
      </w:r>
      <w:r w:rsidR="00BA3BF7">
        <w:t xml:space="preserve">. A total of </w:t>
      </w:r>
      <w:r w:rsidR="00F53F81">
        <w:t>nine</w:t>
      </w:r>
      <w:r w:rsidR="00BA3BF7">
        <w:t xml:space="preserve"> factors were identified</w:t>
      </w:r>
      <w:r w:rsidR="00CD0608">
        <w:t xml:space="preserve"> as being important safety considerations</w:t>
      </w:r>
      <w:r w:rsidR="00BA3BF7">
        <w:t xml:space="preserve">. </w:t>
      </w:r>
      <w:r w:rsidR="00A51353">
        <w:t xml:space="preserve">These included maintenance </w:t>
      </w:r>
      <w:r w:rsidR="00BA3BF7">
        <w:t>and emergency response procedures, as well as operational procedures for carrying out critical operations</w:t>
      </w:r>
      <w:r w:rsidR="003A1619">
        <w:t>,</w:t>
      </w:r>
      <w:r w:rsidR="00BA3BF7">
        <w:t xml:space="preserve"> such as, bunkering</w:t>
      </w:r>
      <w:r w:rsidR="003A1619">
        <w:t xml:space="preserve">. </w:t>
      </w:r>
      <w:r w:rsidR="004D40E1">
        <w:t xml:space="preserve">Some of these topics, notably effect distances, are the subject of ongoing research </w:t>
      </w:r>
      <w:r w:rsidR="00805417">
        <w:t>projects</w:t>
      </w:r>
      <w:r w:rsidR="00F53F81">
        <w:t xml:space="preserve">. </w:t>
      </w:r>
      <w:r w:rsidR="00BA3BF7">
        <w:t xml:space="preserve"> </w:t>
      </w:r>
    </w:p>
    <w:p w14:paraId="714DF323" w14:textId="77777777" w:rsidR="00E1280C" w:rsidRPr="00A91C30" w:rsidRDefault="00E1280C" w:rsidP="00E1280C">
      <w:pPr>
        <w:pStyle w:val="BOAReference"/>
      </w:pPr>
      <w:r w:rsidRPr="00A91C30">
        <w:t>Acknowledgments</w:t>
      </w:r>
    </w:p>
    <w:p w14:paraId="2A128D2D" w14:textId="2AFBA176" w:rsidR="00EC507A" w:rsidRPr="00A81E12" w:rsidRDefault="00EC507A" w:rsidP="00A81E12">
      <w:pPr>
        <w:pStyle w:val="BOAReference"/>
        <w:jc w:val="both"/>
        <w:rPr>
          <w:rFonts w:eastAsia="MS PGothic"/>
          <w:b w:val="0"/>
          <w:bCs/>
        </w:rPr>
      </w:pPr>
      <w:r w:rsidRPr="00A81E12">
        <w:rPr>
          <w:rFonts w:eastAsia="MS PGothic"/>
          <w:b w:val="0"/>
          <w:bCs/>
        </w:rPr>
        <w:t xml:space="preserve">The work presented in this article was </w:t>
      </w:r>
      <w:r w:rsidR="005545A2">
        <w:rPr>
          <w:rFonts w:eastAsia="MS PGothic"/>
          <w:b w:val="0"/>
          <w:bCs/>
        </w:rPr>
        <w:t>financed</w:t>
      </w:r>
      <w:r w:rsidRPr="00A81E12">
        <w:rPr>
          <w:rFonts w:eastAsia="MS PGothic"/>
          <w:b w:val="0"/>
          <w:bCs/>
        </w:rPr>
        <w:t xml:space="preserve"> by the </w:t>
      </w:r>
      <w:proofErr w:type="spellStart"/>
      <w:r w:rsidRPr="00A81E12">
        <w:rPr>
          <w:rFonts w:eastAsia="MS PGothic"/>
          <w:b w:val="0"/>
          <w:bCs/>
          <w:i/>
          <w:iCs/>
        </w:rPr>
        <w:t>SafeAm</w:t>
      </w:r>
      <w:proofErr w:type="spellEnd"/>
      <w:r w:rsidRPr="00A81E12">
        <w:rPr>
          <w:rFonts w:eastAsia="MS PGothic"/>
          <w:b w:val="0"/>
          <w:bCs/>
        </w:rPr>
        <w:t xml:space="preserve"> project, funded by the Research Council of Norway (project no. 344210) and its industrial partners. Views and opinions expressed are those of the authors only and do not necessarily reflect those of the Research Council nor the </w:t>
      </w:r>
      <w:r w:rsidRPr="00A81E12">
        <w:rPr>
          <w:rFonts w:eastAsia="MS PGothic"/>
          <w:b w:val="0"/>
          <w:bCs/>
        </w:rPr>
        <w:lastRenderedPageBreak/>
        <w:t xml:space="preserve">industrial partners. </w:t>
      </w:r>
      <w:r w:rsidR="00AF194D">
        <w:rPr>
          <w:rFonts w:eastAsia="MS PGothic"/>
          <w:b w:val="0"/>
          <w:bCs/>
        </w:rPr>
        <w:t>T</w:t>
      </w:r>
      <w:r w:rsidR="00AF194D" w:rsidRPr="00AF194D">
        <w:rPr>
          <w:rFonts w:eastAsia="MS PGothic"/>
          <w:b w:val="0"/>
          <w:bCs/>
        </w:rPr>
        <w:t xml:space="preserve">he </w:t>
      </w:r>
      <w:r w:rsidR="00283F74">
        <w:rPr>
          <w:rFonts w:eastAsia="MS PGothic"/>
          <w:b w:val="0"/>
          <w:bCs/>
        </w:rPr>
        <w:t xml:space="preserve">contents of </w:t>
      </w:r>
      <w:r w:rsidR="001B7D05">
        <w:rPr>
          <w:rFonts w:eastAsia="MS PGothic"/>
          <w:b w:val="0"/>
          <w:bCs/>
        </w:rPr>
        <w:t>this article</w:t>
      </w:r>
      <w:r w:rsidR="00AF194D" w:rsidRPr="00AF194D">
        <w:rPr>
          <w:rFonts w:eastAsia="MS PGothic"/>
          <w:b w:val="0"/>
          <w:bCs/>
        </w:rPr>
        <w:t xml:space="preserve">, including any opinions and/or conclusions expressed, </w:t>
      </w:r>
      <w:r w:rsidR="001B7D05">
        <w:rPr>
          <w:rFonts w:eastAsia="MS PGothic"/>
          <w:b w:val="0"/>
          <w:bCs/>
        </w:rPr>
        <w:t xml:space="preserve">are those </w:t>
      </w:r>
      <w:r w:rsidR="00AF194D" w:rsidRPr="00AF194D">
        <w:rPr>
          <w:rFonts w:eastAsia="MS PGothic"/>
          <w:b w:val="0"/>
          <w:bCs/>
        </w:rPr>
        <w:t xml:space="preserve">of </w:t>
      </w:r>
      <w:r w:rsidR="00A36244">
        <w:rPr>
          <w:rFonts w:eastAsia="MS PGothic"/>
          <w:b w:val="0"/>
          <w:bCs/>
        </w:rPr>
        <w:t xml:space="preserve">the authors </w:t>
      </w:r>
      <w:r w:rsidR="0081687B">
        <w:rPr>
          <w:rFonts w:eastAsia="MS PGothic"/>
          <w:b w:val="0"/>
          <w:bCs/>
        </w:rPr>
        <w:t>alone</w:t>
      </w:r>
      <w:r w:rsidR="00AF194D" w:rsidRPr="00AF194D">
        <w:rPr>
          <w:rFonts w:eastAsia="MS PGothic"/>
          <w:b w:val="0"/>
          <w:bCs/>
        </w:rPr>
        <w:t xml:space="preserve"> and do not necessarily reflect HSE policy</w:t>
      </w:r>
    </w:p>
    <w:p w14:paraId="11D31778" w14:textId="77777777" w:rsidR="005C1A57" w:rsidRDefault="005C1A57" w:rsidP="00302C82">
      <w:pPr>
        <w:pStyle w:val="BOAReference"/>
        <w:rPr>
          <w:rFonts w:eastAsia="MS PGothic"/>
        </w:rPr>
      </w:pPr>
      <w:r w:rsidRPr="00A91C30">
        <w:rPr>
          <w:rFonts w:eastAsia="MS PGothic"/>
        </w:rPr>
        <w:t xml:space="preserve">References </w:t>
      </w:r>
    </w:p>
    <w:p w14:paraId="548F3236" w14:textId="18AD9A93" w:rsidR="00737803" w:rsidRDefault="00737803" w:rsidP="007F48B3">
      <w:pPr>
        <w:pStyle w:val="BOAReference"/>
        <w:rPr>
          <w:rFonts w:eastAsia="MS PGothic"/>
          <w:b w:val="0"/>
          <w:bCs/>
        </w:rPr>
      </w:pPr>
      <w:r>
        <w:rPr>
          <w:rFonts w:eastAsia="MS PGothic"/>
          <w:b w:val="0"/>
          <w:bCs/>
        </w:rPr>
        <w:t>ABS</w:t>
      </w:r>
      <w:r w:rsidR="005E7374">
        <w:rPr>
          <w:rFonts w:eastAsia="MS PGothic"/>
          <w:b w:val="0"/>
          <w:bCs/>
        </w:rPr>
        <w:t>. 2024. Ammonia bunkering: Technical and Operational Advisory</w:t>
      </w:r>
      <w:r w:rsidR="005B34EC">
        <w:rPr>
          <w:rFonts w:eastAsia="MS PGothic"/>
          <w:b w:val="0"/>
          <w:bCs/>
        </w:rPr>
        <w:t xml:space="preserve">, </w:t>
      </w:r>
      <w:hyperlink r:id="rId12" w:history="1">
        <w:r w:rsidR="00E723AE" w:rsidRPr="00E4347D">
          <w:rPr>
            <w:rStyle w:val="Hyperlink"/>
            <w:rFonts w:eastAsia="MS PGothic"/>
            <w:b w:val="0"/>
            <w:bCs/>
          </w:rPr>
          <w:t>https://ww2.eagle.org/content/dam/eagle/advisories-and-debriefs/ammonia-bunkering-advisory.pdf</w:t>
        </w:r>
      </w:hyperlink>
      <w:r w:rsidR="00E723AE">
        <w:rPr>
          <w:rFonts w:eastAsia="MS PGothic"/>
          <w:b w:val="0"/>
          <w:bCs/>
        </w:rPr>
        <w:t xml:space="preserve"> </w:t>
      </w:r>
      <w:r w:rsidR="005E7374">
        <w:rPr>
          <w:rFonts w:eastAsia="MS PGothic"/>
          <w:b w:val="0"/>
          <w:bCs/>
        </w:rPr>
        <w:t xml:space="preserve"> </w:t>
      </w:r>
    </w:p>
    <w:p w14:paraId="49794E51" w14:textId="585B7A81" w:rsidR="00AF68B3" w:rsidRDefault="00AF68B3" w:rsidP="00A81E12">
      <w:pPr>
        <w:pStyle w:val="BOAReference"/>
        <w:jc w:val="both"/>
        <w:rPr>
          <w:rFonts w:eastAsia="MS PGothic"/>
          <w:b w:val="0"/>
          <w:bCs/>
          <w:i/>
          <w:iCs/>
        </w:rPr>
      </w:pPr>
      <w:r w:rsidRPr="00DA41A3">
        <w:rPr>
          <w:rFonts w:eastAsia="MS PGothic"/>
          <w:b w:val="0"/>
          <w:bCs/>
        </w:rPr>
        <w:t xml:space="preserve">Bucelli, M., </w:t>
      </w:r>
      <w:proofErr w:type="spellStart"/>
      <w:r w:rsidRPr="00DA41A3">
        <w:rPr>
          <w:rFonts w:eastAsia="MS PGothic"/>
          <w:b w:val="0"/>
          <w:bCs/>
        </w:rPr>
        <w:t>Zanobetti</w:t>
      </w:r>
      <w:proofErr w:type="spellEnd"/>
      <w:r w:rsidRPr="00DA41A3">
        <w:rPr>
          <w:rFonts w:eastAsia="MS PGothic"/>
          <w:b w:val="0"/>
          <w:bCs/>
        </w:rPr>
        <w:t xml:space="preserve">, F., </w:t>
      </w:r>
      <w:proofErr w:type="spellStart"/>
      <w:r w:rsidR="00DA41A3" w:rsidRPr="00DA41A3">
        <w:rPr>
          <w:rFonts w:eastAsia="MS PGothic"/>
          <w:b w:val="0"/>
          <w:bCs/>
        </w:rPr>
        <w:t>Schiaroli</w:t>
      </w:r>
      <w:proofErr w:type="spellEnd"/>
      <w:r w:rsidR="00DA41A3" w:rsidRPr="00DA41A3">
        <w:rPr>
          <w:rFonts w:eastAsia="MS PGothic"/>
          <w:b w:val="0"/>
          <w:bCs/>
        </w:rPr>
        <w:t xml:space="preserve">, </w:t>
      </w:r>
      <w:proofErr w:type="spellStart"/>
      <w:proofErr w:type="gramStart"/>
      <w:r w:rsidR="00DA41A3" w:rsidRPr="00DA41A3">
        <w:rPr>
          <w:rFonts w:eastAsia="MS PGothic"/>
          <w:b w:val="0"/>
          <w:bCs/>
        </w:rPr>
        <w:t>A.,</w:t>
      </w:r>
      <w:r w:rsidRPr="00DA41A3">
        <w:rPr>
          <w:rFonts w:eastAsia="MS PGothic"/>
          <w:b w:val="0"/>
          <w:bCs/>
        </w:rPr>
        <w:t>Cozzani</w:t>
      </w:r>
      <w:proofErr w:type="spellEnd"/>
      <w:proofErr w:type="gramEnd"/>
      <w:r w:rsidRPr="00DA41A3">
        <w:rPr>
          <w:rFonts w:eastAsia="MS PGothic"/>
          <w:b w:val="0"/>
          <w:bCs/>
        </w:rPr>
        <w:t xml:space="preserve">, V. </w:t>
      </w:r>
      <w:r w:rsidR="00DA41A3" w:rsidRPr="00DA41A3">
        <w:rPr>
          <w:rFonts w:eastAsia="MS PGothic"/>
          <w:b w:val="0"/>
          <w:bCs/>
        </w:rPr>
        <w:t>Accident scenarios for safety risk management of ammonia fuelled ships</w:t>
      </w:r>
      <w:r w:rsidR="00DA41A3">
        <w:rPr>
          <w:rFonts w:eastAsia="MS PGothic"/>
          <w:b w:val="0"/>
          <w:bCs/>
        </w:rPr>
        <w:t xml:space="preserve">. In proceedings of </w:t>
      </w:r>
      <w:r w:rsidR="00822547">
        <w:rPr>
          <w:rFonts w:eastAsia="MS PGothic"/>
          <w:b w:val="0"/>
          <w:bCs/>
        </w:rPr>
        <w:t xml:space="preserve">the European Safety </w:t>
      </w:r>
      <w:proofErr w:type="gramStart"/>
      <w:r w:rsidR="00822547">
        <w:rPr>
          <w:rFonts w:eastAsia="MS PGothic"/>
          <w:b w:val="0"/>
          <w:bCs/>
        </w:rPr>
        <w:t>And</w:t>
      </w:r>
      <w:proofErr w:type="gramEnd"/>
      <w:r w:rsidR="00822547">
        <w:rPr>
          <w:rFonts w:eastAsia="MS PGothic"/>
          <w:b w:val="0"/>
          <w:bCs/>
        </w:rPr>
        <w:t xml:space="preserve"> Reliability Conference ESREL. Stavanger, Norway. 15-19 June 2025. </w:t>
      </w:r>
      <w:r w:rsidR="00822547">
        <w:rPr>
          <w:rFonts w:eastAsia="MS PGothic"/>
          <w:b w:val="0"/>
          <w:bCs/>
          <w:i/>
          <w:iCs/>
        </w:rPr>
        <w:t xml:space="preserve">In Press. </w:t>
      </w:r>
    </w:p>
    <w:p w14:paraId="436BA02F" w14:textId="570FA622" w:rsidR="007973BA" w:rsidRPr="007973BA" w:rsidRDefault="007973BA" w:rsidP="007973BA">
      <w:pPr>
        <w:pStyle w:val="BOAReference"/>
        <w:rPr>
          <w:rFonts w:eastAsia="MS PGothic"/>
          <w:b w:val="0"/>
          <w:bCs/>
        </w:rPr>
      </w:pPr>
      <w:r w:rsidRPr="007973BA">
        <w:rPr>
          <w:rFonts w:eastAsia="MS PGothic"/>
          <w:b w:val="0"/>
          <w:bCs/>
        </w:rPr>
        <w:t>Yang, M., &amp; Lam, J. S. L.</w:t>
      </w:r>
      <w:r>
        <w:rPr>
          <w:rFonts w:eastAsia="MS PGothic"/>
          <w:b w:val="0"/>
          <w:bCs/>
        </w:rPr>
        <w:t xml:space="preserve"> </w:t>
      </w:r>
      <w:r w:rsidRPr="007973BA">
        <w:rPr>
          <w:rFonts w:eastAsia="MS PGothic"/>
          <w:b w:val="0"/>
          <w:bCs/>
        </w:rPr>
        <w:t>2024. Risk assessment of ammonia bunkering operations: Perspectives on different</w:t>
      </w:r>
      <w:r>
        <w:rPr>
          <w:rFonts w:eastAsia="MS PGothic"/>
          <w:b w:val="0"/>
          <w:bCs/>
        </w:rPr>
        <w:t xml:space="preserve"> </w:t>
      </w:r>
      <w:r w:rsidRPr="007973BA">
        <w:rPr>
          <w:rFonts w:eastAsia="MS PGothic"/>
          <w:b w:val="0"/>
          <w:bCs/>
        </w:rPr>
        <w:t>release scales. Journal of Hazardous Materials, 468, Article 133757</w:t>
      </w:r>
      <w:r w:rsidR="00A31DD8">
        <w:rPr>
          <w:rFonts w:eastAsia="MS PGothic"/>
          <w:b w:val="0"/>
          <w:bCs/>
        </w:rPr>
        <w:t>,</w:t>
      </w:r>
      <w:r>
        <w:rPr>
          <w:rFonts w:eastAsia="MS PGothic"/>
          <w:b w:val="0"/>
          <w:bCs/>
        </w:rPr>
        <w:t xml:space="preserve"> </w:t>
      </w:r>
      <w:hyperlink r:id="rId13" w:history="1">
        <w:r w:rsidRPr="001C44F8">
          <w:rPr>
            <w:rStyle w:val="Hyperlink"/>
            <w:rFonts w:eastAsia="MS PGothic"/>
            <w:b w:val="0"/>
            <w:bCs/>
          </w:rPr>
          <w:t>https://doi.org/10.1016/j.jhazmat.2024.133757</w:t>
        </w:r>
      </w:hyperlink>
      <w:r>
        <w:rPr>
          <w:rFonts w:eastAsia="MS PGothic"/>
          <w:b w:val="0"/>
          <w:bCs/>
        </w:rPr>
        <w:t xml:space="preserve"> </w:t>
      </w:r>
    </w:p>
    <w:p w14:paraId="3C6C8674" w14:textId="0E65510E" w:rsidR="00EC620A" w:rsidRDefault="008A190E" w:rsidP="00A81E12">
      <w:pPr>
        <w:pStyle w:val="BOAReference"/>
        <w:jc w:val="both"/>
        <w:rPr>
          <w:rFonts w:eastAsia="MS PGothic"/>
          <w:b w:val="0"/>
          <w:bCs/>
        </w:rPr>
      </w:pPr>
      <w:r w:rsidRPr="00DA41A3">
        <w:rPr>
          <w:rFonts w:eastAsia="MS PGothic"/>
          <w:b w:val="0"/>
          <w:bCs/>
        </w:rPr>
        <w:t>Gant, S</w:t>
      </w:r>
      <w:r w:rsidR="00A1495E" w:rsidRPr="00DA41A3">
        <w:rPr>
          <w:rFonts w:eastAsia="MS PGothic"/>
          <w:b w:val="0"/>
          <w:bCs/>
        </w:rPr>
        <w:t xml:space="preserve">., Pearson, A., Sullivan, E. 2024. </w:t>
      </w:r>
      <w:r w:rsidR="00A1495E">
        <w:rPr>
          <w:rFonts w:eastAsia="MS PGothic"/>
          <w:b w:val="0"/>
          <w:bCs/>
        </w:rPr>
        <w:t xml:space="preserve">Review of ammonia incidents and update on ongoing research activities on ammonia safety. Presented at FABIG </w:t>
      </w:r>
      <w:r w:rsidR="00EC620A">
        <w:rPr>
          <w:rFonts w:eastAsia="MS PGothic"/>
          <w:b w:val="0"/>
          <w:bCs/>
        </w:rPr>
        <w:t>Technical Meeting on “Harnessing history: safe design and operation of future energy systems”. London, UK. 23-24 October 2024</w:t>
      </w:r>
      <w:r w:rsidR="00E04511">
        <w:rPr>
          <w:rFonts w:eastAsia="MS PGothic"/>
          <w:b w:val="0"/>
          <w:bCs/>
        </w:rPr>
        <w:t xml:space="preserve">, </w:t>
      </w:r>
      <w:hyperlink r:id="rId14" w:history="1">
        <w:r w:rsidR="00E04511" w:rsidRPr="00E4347D">
          <w:rPr>
            <w:rStyle w:val="Hyperlink"/>
            <w:rFonts w:eastAsia="MS PGothic"/>
            <w:b w:val="0"/>
            <w:bCs/>
          </w:rPr>
          <w:t>https://www.gant.org.uk/research/241023%20HSE%20at%20FABIG%20ammonia%20v9.pdf</w:t>
        </w:r>
      </w:hyperlink>
      <w:r w:rsidR="00E04511">
        <w:rPr>
          <w:rFonts w:eastAsia="MS PGothic"/>
          <w:b w:val="0"/>
          <w:bCs/>
        </w:rPr>
        <w:t xml:space="preserve"> </w:t>
      </w:r>
      <w:r w:rsidR="00EC620A">
        <w:rPr>
          <w:rFonts w:eastAsia="MS PGothic"/>
          <w:b w:val="0"/>
          <w:bCs/>
        </w:rPr>
        <w:t xml:space="preserve"> </w:t>
      </w:r>
    </w:p>
    <w:p w14:paraId="02904C3C" w14:textId="3B45AB57" w:rsidR="00D03E99" w:rsidRDefault="00D03E99" w:rsidP="00A81E12">
      <w:pPr>
        <w:pStyle w:val="BOAReference"/>
        <w:jc w:val="both"/>
        <w:rPr>
          <w:rFonts w:eastAsia="MS PGothic"/>
          <w:b w:val="0"/>
          <w:bCs/>
        </w:rPr>
      </w:pPr>
      <w:r>
        <w:rPr>
          <w:rFonts w:eastAsia="MS PGothic"/>
          <w:b w:val="0"/>
          <w:bCs/>
        </w:rPr>
        <w:t>Global Centre for Maritime Decarbonization</w:t>
      </w:r>
      <w:r w:rsidR="00366071">
        <w:rPr>
          <w:rFonts w:eastAsia="MS PGothic"/>
          <w:b w:val="0"/>
          <w:bCs/>
        </w:rPr>
        <w:t xml:space="preserve"> GCMD</w:t>
      </w:r>
      <w:r>
        <w:rPr>
          <w:rFonts w:eastAsia="MS PGothic"/>
          <w:b w:val="0"/>
          <w:bCs/>
        </w:rPr>
        <w:t xml:space="preserve">. 2024. How do we </w:t>
      </w:r>
      <w:r w:rsidR="00A81E12">
        <w:rPr>
          <w:rFonts w:eastAsia="MS PGothic"/>
          <w:b w:val="0"/>
          <w:bCs/>
        </w:rPr>
        <w:t>respond</w:t>
      </w:r>
      <w:r>
        <w:rPr>
          <w:rFonts w:eastAsia="MS PGothic"/>
          <w:b w:val="0"/>
          <w:bCs/>
        </w:rPr>
        <w:t xml:space="preserve"> to an ammonia release at se</w:t>
      </w:r>
      <w:r w:rsidR="00A81E12">
        <w:rPr>
          <w:rFonts w:eastAsia="MS PGothic"/>
          <w:b w:val="0"/>
          <w:bCs/>
        </w:rPr>
        <w:t>a?</w:t>
      </w:r>
      <w:r w:rsidR="008E7955" w:rsidRPr="008E7955">
        <w:t xml:space="preserve"> </w:t>
      </w:r>
      <w:hyperlink r:id="rId15" w:history="1">
        <w:r w:rsidR="00A31DD8" w:rsidRPr="00E4347D">
          <w:rPr>
            <w:rStyle w:val="Hyperlink"/>
            <w:rFonts w:eastAsia="MS PGothic"/>
            <w:b w:val="0"/>
            <w:bCs/>
          </w:rPr>
          <w:t>https://www.gcformd.org/how-do-we-respond-to-an-ammonia-release-at-sea/</w:t>
        </w:r>
      </w:hyperlink>
      <w:r w:rsidR="00A31DD8">
        <w:rPr>
          <w:rFonts w:eastAsia="MS PGothic"/>
          <w:b w:val="0"/>
          <w:bCs/>
        </w:rPr>
        <w:t xml:space="preserve"> </w:t>
      </w:r>
    </w:p>
    <w:p w14:paraId="39683E6B" w14:textId="716A958C" w:rsidR="00542E9E" w:rsidRPr="00D66441" w:rsidRDefault="00542E9E" w:rsidP="00A81E12">
      <w:pPr>
        <w:pStyle w:val="BOAReference"/>
        <w:jc w:val="both"/>
        <w:rPr>
          <w:rFonts w:eastAsia="MS PGothic"/>
          <w:b w:val="0"/>
          <w:bCs/>
          <w:lang w:val="en-US"/>
        </w:rPr>
      </w:pPr>
      <w:r>
        <w:rPr>
          <w:rFonts w:eastAsia="MS PGothic"/>
          <w:b w:val="0"/>
          <w:bCs/>
        </w:rPr>
        <w:t>Green Shipping Program. 202</w:t>
      </w:r>
      <w:r w:rsidR="00D66441">
        <w:rPr>
          <w:rFonts w:eastAsia="MS PGothic"/>
          <w:b w:val="0"/>
          <w:bCs/>
        </w:rPr>
        <w:t xml:space="preserve">3. </w:t>
      </w:r>
      <w:r w:rsidR="00D66441" w:rsidRPr="00D66441">
        <w:rPr>
          <w:rFonts w:eastAsia="MS PGothic"/>
          <w:b w:val="0"/>
          <w:bCs/>
          <w:lang w:val="en-US"/>
        </w:rPr>
        <w:t>Ammonia as a marine fuel safety h</w:t>
      </w:r>
      <w:r w:rsidR="00D66441">
        <w:rPr>
          <w:rFonts w:eastAsia="MS PGothic"/>
          <w:b w:val="0"/>
          <w:bCs/>
          <w:lang w:val="en-US"/>
        </w:rPr>
        <w:t xml:space="preserve">andbook. Accessed: 24.03.2025. Available at: </w:t>
      </w:r>
      <w:hyperlink r:id="rId16" w:history="1">
        <w:r w:rsidR="00D66441" w:rsidRPr="00A01169">
          <w:rPr>
            <w:rStyle w:val="Hyperlink"/>
            <w:rFonts w:eastAsia="MS PGothic"/>
            <w:b w:val="0"/>
            <w:bCs/>
            <w:lang w:val="en-US"/>
          </w:rPr>
          <w:t>https://grontskipsfartsprogram.no/wp-content/uploads/2023/06/Ammonia-as-a-Marine-Fuel-Safety-Handbook-Rev.02-1.pdf</w:t>
        </w:r>
      </w:hyperlink>
      <w:r w:rsidR="00D66441">
        <w:rPr>
          <w:rFonts w:eastAsia="MS PGothic"/>
          <w:b w:val="0"/>
          <w:bCs/>
          <w:lang w:val="en-US"/>
        </w:rPr>
        <w:t xml:space="preserve"> </w:t>
      </w:r>
    </w:p>
    <w:p w14:paraId="741B83D5" w14:textId="2AA836CC" w:rsidR="00D34D81" w:rsidRPr="00E10DAF" w:rsidRDefault="006E3EB6" w:rsidP="00155B46">
      <w:pPr>
        <w:pStyle w:val="BOAReference"/>
        <w:rPr>
          <w:rFonts w:eastAsia="MS PGothic"/>
          <w:b w:val="0"/>
        </w:rPr>
      </w:pPr>
      <w:r w:rsidRPr="00D66441">
        <w:rPr>
          <w:rFonts w:eastAsia="MS PGothic"/>
          <w:b w:val="0"/>
          <w:lang w:val="en-US"/>
        </w:rPr>
        <w:t xml:space="preserve">IMO. 2024. </w:t>
      </w:r>
      <w:r w:rsidRPr="006E3EB6">
        <w:rPr>
          <w:rFonts w:eastAsia="MS PGothic"/>
          <w:b w:val="0"/>
        </w:rPr>
        <w:t>Sub-Committee on Carriage of Cargoes and Containers, 10th session (CCC 10), 16-20 September 2024</w:t>
      </w:r>
      <w:r>
        <w:rPr>
          <w:rFonts w:eastAsia="MS PGothic"/>
          <w:b w:val="0"/>
        </w:rPr>
        <w:t>. Accessed: 24.03.2025.</w:t>
      </w:r>
      <w:r w:rsidR="00E10DAF">
        <w:rPr>
          <w:rFonts w:eastAsia="MS PGothic"/>
          <w:b w:val="0"/>
        </w:rPr>
        <w:t xml:space="preserve"> </w:t>
      </w:r>
      <w:hyperlink r:id="rId17" w:history="1">
        <w:r w:rsidR="00E10DAF" w:rsidRPr="00E10DAF">
          <w:rPr>
            <w:rStyle w:val="Hyperlink"/>
            <w:rFonts w:eastAsia="MS PGothic"/>
            <w:b w:val="0"/>
          </w:rPr>
          <w:t>https://www.imo.org/en/MediaCentre/MeetingSummaries/Pages/ccc-10th-session.aspx</w:t>
        </w:r>
      </w:hyperlink>
    </w:p>
    <w:p w14:paraId="5E9D789D" w14:textId="171FDF21" w:rsidR="00D34D81" w:rsidRPr="00E10DAF" w:rsidRDefault="00B0702F" w:rsidP="00D34D81">
      <w:pPr>
        <w:pStyle w:val="BOAReference"/>
        <w:jc w:val="both"/>
        <w:rPr>
          <w:rFonts w:eastAsia="MS PGothic"/>
          <w:b w:val="0"/>
          <w:lang w:val="en-US"/>
        </w:rPr>
      </w:pPr>
      <w:r w:rsidRPr="00B0702F">
        <w:rPr>
          <w:rFonts w:eastAsia="MS PGothic"/>
          <w:b w:val="0"/>
          <w:lang w:val="en-US"/>
        </w:rPr>
        <w:t xml:space="preserve">DNV. </w:t>
      </w:r>
      <w:r>
        <w:rPr>
          <w:rFonts w:eastAsia="MS PGothic"/>
          <w:b w:val="0"/>
          <w:lang w:val="en-US"/>
        </w:rPr>
        <w:t xml:space="preserve">2024. </w:t>
      </w:r>
      <w:r w:rsidRPr="00B0702F">
        <w:rPr>
          <w:rFonts w:eastAsia="MS PGothic"/>
          <w:b w:val="0"/>
          <w:lang w:val="en-US"/>
        </w:rPr>
        <w:t>IMO CCC 10: Interim guidelines for ammonia and hydrogen as fuel</w:t>
      </w:r>
      <w:r>
        <w:rPr>
          <w:rFonts w:eastAsia="MS PGothic"/>
          <w:b w:val="0"/>
          <w:lang w:val="en-US"/>
        </w:rPr>
        <w:t xml:space="preserve">. Accessed: 24.03.2025. </w:t>
      </w:r>
      <w:hyperlink r:id="rId18" w:history="1">
        <w:r w:rsidR="006E3EB6" w:rsidRPr="00E10DAF">
          <w:rPr>
            <w:rStyle w:val="Hyperlink"/>
            <w:rFonts w:eastAsia="MS PGothic"/>
            <w:b w:val="0"/>
            <w:lang w:val="en-US"/>
          </w:rPr>
          <w:t>https://www.dnv.com/news/imo-ccc-10-interim-guidelines-for-ammonia-and-hydrogen-as-fuel/</w:t>
        </w:r>
      </w:hyperlink>
    </w:p>
    <w:p w14:paraId="5852858E" w14:textId="296D8235" w:rsidR="00923E3E" w:rsidRPr="00FA04BA" w:rsidRDefault="00923E3E" w:rsidP="00A81E12">
      <w:pPr>
        <w:pStyle w:val="BOAReference"/>
        <w:jc w:val="both"/>
        <w:rPr>
          <w:rFonts w:eastAsia="SimSun"/>
          <w:b w:val="0"/>
          <w:bCs/>
          <w:lang w:val="en-US" w:eastAsia="zh-CN"/>
        </w:rPr>
      </w:pPr>
      <w:r w:rsidRPr="00923E3E">
        <w:rPr>
          <w:rFonts w:eastAsia="MS PGothic"/>
          <w:b w:val="0"/>
          <w:bCs/>
          <w:lang w:val="it-IT"/>
        </w:rPr>
        <w:t>Masia, B., Yang, M., Cozzani,</w:t>
      </w:r>
      <w:r>
        <w:rPr>
          <w:rFonts w:eastAsia="MS PGothic"/>
          <w:b w:val="0"/>
          <w:bCs/>
          <w:lang w:val="it-IT"/>
        </w:rPr>
        <w:t xml:space="preserve"> V. 2024. </w:t>
      </w:r>
      <w:r w:rsidR="00FA04BA" w:rsidRPr="00FA04BA">
        <w:rPr>
          <w:rFonts w:eastAsia="MS PGothic"/>
          <w:b w:val="0"/>
          <w:bCs/>
          <w:lang w:val="en-US"/>
        </w:rPr>
        <w:t>Risk Assessment of ammonia fueled s</w:t>
      </w:r>
      <w:r w:rsidR="00FA04BA">
        <w:rPr>
          <w:rFonts w:eastAsia="MS PGothic"/>
          <w:b w:val="0"/>
          <w:bCs/>
          <w:lang w:val="en-US"/>
        </w:rPr>
        <w:t>hips: consequences on human health of ammonia releases from damaged fuel storage tanks</w:t>
      </w:r>
      <w:r w:rsidR="002F01F6">
        <w:rPr>
          <w:rFonts w:eastAsia="MS PGothic"/>
          <w:b w:val="0"/>
          <w:bCs/>
          <w:lang w:val="en-US"/>
        </w:rPr>
        <w:t>, ACS Chemical Health and Safety</w:t>
      </w:r>
      <w:r w:rsidR="00DF7C26">
        <w:rPr>
          <w:rFonts w:eastAsia="MS PGothic"/>
          <w:b w:val="0"/>
          <w:bCs/>
          <w:lang w:val="en-US"/>
        </w:rPr>
        <w:t>, 31</w:t>
      </w:r>
      <w:r w:rsidR="007C2E6B">
        <w:rPr>
          <w:rFonts w:eastAsia="MS PGothic"/>
          <w:b w:val="0"/>
          <w:bCs/>
          <w:lang w:val="en-US"/>
        </w:rPr>
        <w:t>(6)</w:t>
      </w:r>
      <w:r w:rsidR="00DF7C26">
        <w:rPr>
          <w:rFonts w:eastAsia="MS PGothic"/>
          <w:b w:val="0"/>
          <w:bCs/>
          <w:lang w:val="en-US"/>
        </w:rPr>
        <w:t>, p502-520,</w:t>
      </w:r>
      <w:r w:rsidR="007C2E6B" w:rsidRPr="007C2E6B">
        <w:t xml:space="preserve"> </w:t>
      </w:r>
      <w:hyperlink r:id="rId19" w:history="1">
        <w:r w:rsidR="00A31DD8" w:rsidRPr="00E4347D">
          <w:rPr>
            <w:rStyle w:val="Hyperlink"/>
            <w:rFonts w:eastAsia="MS PGothic"/>
            <w:b w:val="0"/>
            <w:bCs/>
            <w:lang w:val="en-US"/>
          </w:rPr>
          <w:t>https://doi.org/10.1021/acs.chas.4c00044</w:t>
        </w:r>
      </w:hyperlink>
      <w:r w:rsidR="00FA04BA">
        <w:rPr>
          <w:rFonts w:eastAsia="MS PGothic"/>
          <w:b w:val="0"/>
          <w:bCs/>
          <w:lang w:val="en-US"/>
        </w:rPr>
        <w:t xml:space="preserve"> </w:t>
      </w:r>
    </w:p>
    <w:sectPr w:rsidR="00923E3E" w:rsidRPr="00FA04BA" w:rsidSect="00F879FE">
      <w:headerReference w:type="default" r:id="rId20"/>
      <w:headerReference w:type="first" r:id="rId21"/>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930ED" w14:textId="77777777" w:rsidR="00F07C9A" w:rsidRPr="00A91C30" w:rsidRDefault="00F07C9A" w:rsidP="004F5E36">
      <w:r w:rsidRPr="00A91C30">
        <w:separator/>
      </w:r>
    </w:p>
  </w:endnote>
  <w:endnote w:type="continuationSeparator" w:id="0">
    <w:p w14:paraId="0AC89DF1" w14:textId="77777777" w:rsidR="00F07C9A" w:rsidRPr="00A91C30" w:rsidRDefault="00F07C9A" w:rsidP="004F5E36">
      <w:r w:rsidRPr="00A91C30">
        <w:continuationSeparator/>
      </w:r>
    </w:p>
  </w:endnote>
  <w:endnote w:type="continuationNotice" w:id="1">
    <w:p w14:paraId="73F3B0EA" w14:textId="77777777" w:rsidR="00F07C9A" w:rsidRPr="00A91C30" w:rsidRDefault="00F07C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8CBFE" w14:textId="77777777" w:rsidR="00F07C9A" w:rsidRPr="00A91C30" w:rsidRDefault="00F07C9A" w:rsidP="004F5E36">
      <w:r w:rsidRPr="00A91C30">
        <w:separator/>
      </w:r>
    </w:p>
  </w:footnote>
  <w:footnote w:type="continuationSeparator" w:id="0">
    <w:p w14:paraId="1966BD09" w14:textId="77777777" w:rsidR="00F07C9A" w:rsidRPr="00A91C30" w:rsidRDefault="00F07C9A" w:rsidP="004F5E36">
      <w:r w:rsidRPr="00A91C30">
        <w:continuationSeparator/>
      </w:r>
    </w:p>
  </w:footnote>
  <w:footnote w:type="continuationNotice" w:id="1">
    <w:p w14:paraId="5264BBE3" w14:textId="77777777" w:rsidR="00F07C9A" w:rsidRPr="00A91C30" w:rsidRDefault="00F07C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A91C30" w:rsidRDefault="00426BD4" w:rsidP="00EC507A">
    <w:pPr>
      <w:pStyle w:val="Heading1"/>
    </w:pPr>
    <w:r w:rsidRPr="00A91C30">
      <w:t>LOSS PREVENTION 2025</w:t>
    </w:r>
    <w:r w:rsidR="009047CF" w:rsidRPr="00A91C30">
      <w:t xml:space="preserve">, </w:t>
    </w:r>
    <w:r w:rsidRPr="00A91C30">
      <w:t>Bologna</w:t>
    </w:r>
    <w:r w:rsidR="009047CF" w:rsidRPr="00A91C30">
      <w:t xml:space="preserve"> (Italy)</w:t>
    </w:r>
    <w:r w:rsidRPr="00A91C30">
      <w:t>, 8-11 June</w:t>
    </w:r>
    <w:r w:rsidR="009047CF" w:rsidRPr="00A91C30">
      <w:t xml:space="preserve"> 202</w:t>
    </w:r>
    <w:r w:rsidRPr="00A91C30">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Pr="00A91C30" w:rsidRDefault="00621A1B">
    <w:r w:rsidRPr="00A91C30">
      <w:rPr>
        <w:noProof/>
      </w:rPr>
      <w:drawing>
        <wp:anchor distT="0" distB="0" distL="114300" distR="114300" simplePos="0" relativeHeight="251658240"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Pr="00A91C30" w:rsidRDefault="00591C6C"/>
  <w:p w14:paraId="6729447D" w14:textId="1087F0ED" w:rsidR="00591C6C" w:rsidRPr="00A91C30" w:rsidRDefault="00591C6C"/>
  <w:p w14:paraId="4F4256FC" w14:textId="0AC917B5" w:rsidR="00591C6C" w:rsidRPr="00A91C30"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06BD9"/>
    <w:multiLevelType w:val="hybridMultilevel"/>
    <w:tmpl w:val="467EC256"/>
    <w:lvl w:ilvl="0" w:tplc="284AE97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0904592"/>
    <w:multiLevelType w:val="hybridMultilevel"/>
    <w:tmpl w:val="200CCB4C"/>
    <w:lvl w:ilvl="0" w:tplc="C72C8F9E">
      <w:start w:val="3"/>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791C30"/>
    <w:multiLevelType w:val="hybridMultilevel"/>
    <w:tmpl w:val="FBC8ED0E"/>
    <w:lvl w:ilvl="0" w:tplc="6EB69C2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4"/>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9"/>
  </w:num>
  <w:num w:numId="13" w16cid:durableId="634725585">
    <w:abstractNumId w:val="16"/>
  </w:num>
  <w:num w:numId="14" w16cid:durableId="191119089">
    <w:abstractNumId w:val="20"/>
  </w:num>
  <w:num w:numId="15" w16cid:durableId="1966620109">
    <w:abstractNumId w:val="22"/>
  </w:num>
  <w:num w:numId="16" w16cid:durableId="695279686">
    <w:abstractNumId w:val="24"/>
  </w:num>
  <w:num w:numId="17" w16cid:durableId="158927901">
    <w:abstractNumId w:val="11"/>
  </w:num>
  <w:num w:numId="18" w16cid:durableId="119997729">
    <w:abstractNumId w:val="23"/>
  </w:num>
  <w:num w:numId="19" w16cid:durableId="79841364">
    <w:abstractNumId w:val="17"/>
  </w:num>
  <w:num w:numId="20" w16cid:durableId="1843427198">
    <w:abstractNumId w:val="12"/>
  </w:num>
  <w:num w:numId="21" w16cid:durableId="1378311685">
    <w:abstractNumId w:val="13"/>
  </w:num>
  <w:num w:numId="22" w16cid:durableId="1977102699">
    <w:abstractNumId w:val="21"/>
  </w:num>
  <w:num w:numId="23" w16cid:durableId="934172970">
    <w:abstractNumId w:val="15"/>
  </w:num>
  <w:num w:numId="24" w16cid:durableId="500973686">
    <w:abstractNumId w:val="18"/>
  </w:num>
  <w:num w:numId="25" w16cid:durableId="56168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05793"/>
    <w:rsid w:val="000117CB"/>
    <w:rsid w:val="000122E7"/>
    <w:rsid w:val="0003148D"/>
    <w:rsid w:val="00032965"/>
    <w:rsid w:val="00055DDA"/>
    <w:rsid w:val="00062A9A"/>
    <w:rsid w:val="00063F30"/>
    <w:rsid w:val="00080A2F"/>
    <w:rsid w:val="00085A1F"/>
    <w:rsid w:val="000A03B2"/>
    <w:rsid w:val="000A6AB3"/>
    <w:rsid w:val="000C44DC"/>
    <w:rsid w:val="000D34BE"/>
    <w:rsid w:val="000E03D9"/>
    <w:rsid w:val="000E36F1"/>
    <w:rsid w:val="000E3A73"/>
    <w:rsid w:val="000E414A"/>
    <w:rsid w:val="000E54B2"/>
    <w:rsid w:val="000F4FE8"/>
    <w:rsid w:val="00103A41"/>
    <w:rsid w:val="00106D27"/>
    <w:rsid w:val="001075A1"/>
    <w:rsid w:val="00113138"/>
    <w:rsid w:val="0013121F"/>
    <w:rsid w:val="00133378"/>
    <w:rsid w:val="00134DE4"/>
    <w:rsid w:val="001415C5"/>
    <w:rsid w:val="001470A5"/>
    <w:rsid w:val="00150E59"/>
    <w:rsid w:val="00155B46"/>
    <w:rsid w:val="001702BE"/>
    <w:rsid w:val="00180E96"/>
    <w:rsid w:val="00184AD6"/>
    <w:rsid w:val="0018795B"/>
    <w:rsid w:val="0019484B"/>
    <w:rsid w:val="001954EE"/>
    <w:rsid w:val="001977AD"/>
    <w:rsid w:val="001A1D10"/>
    <w:rsid w:val="001A7DA6"/>
    <w:rsid w:val="001B62A0"/>
    <w:rsid w:val="001B65C1"/>
    <w:rsid w:val="001B7D05"/>
    <w:rsid w:val="001C2556"/>
    <w:rsid w:val="001C2E8A"/>
    <w:rsid w:val="001C684B"/>
    <w:rsid w:val="001D53FC"/>
    <w:rsid w:val="001E0F0B"/>
    <w:rsid w:val="001E36B7"/>
    <w:rsid w:val="001E3858"/>
    <w:rsid w:val="001E655A"/>
    <w:rsid w:val="001F03CB"/>
    <w:rsid w:val="001F2EC7"/>
    <w:rsid w:val="001F4CB6"/>
    <w:rsid w:val="00201BC9"/>
    <w:rsid w:val="00203DA9"/>
    <w:rsid w:val="002065DB"/>
    <w:rsid w:val="00211785"/>
    <w:rsid w:val="00234833"/>
    <w:rsid w:val="002447EF"/>
    <w:rsid w:val="002461FE"/>
    <w:rsid w:val="00247B1F"/>
    <w:rsid w:val="00251550"/>
    <w:rsid w:val="00255EB0"/>
    <w:rsid w:val="002626FE"/>
    <w:rsid w:val="00267303"/>
    <w:rsid w:val="0027221A"/>
    <w:rsid w:val="00275B61"/>
    <w:rsid w:val="00283F74"/>
    <w:rsid w:val="002854EE"/>
    <w:rsid w:val="00287222"/>
    <w:rsid w:val="002B622D"/>
    <w:rsid w:val="002B64E7"/>
    <w:rsid w:val="002C3684"/>
    <w:rsid w:val="002C633D"/>
    <w:rsid w:val="002D1F12"/>
    <w:rsid w:val="002D3443"/>
    <w:rsid w:val="002F01F6"/>
    <w:rsid w:val="002F3348"/>
    <w:rsid w:val="002F3D97"/>
    <w:rsid w:val="003009B7"/>
    <w:rsid w:val="00302C82"/>
    <w:rsid w:val="0030469C"/>
    <w:rsid w:val="00307B9F"/>
    <w:rsid w:val="00320987"/>
    <w:rsid w:val="00321806"/>
    <w:rsid w:val="00323295"/>
    <w:rsid w:val="00361960"/>
    <w:rsid w:val="00365E81"/>
    <w:rsid w:val="00366071"/>
    <w:rsid w:val="00367BB3"/>
    <w:rsid w:val="00371135"/>
    <w:rsid w:val="003723D4"/>
    <w:rsid w:val="0037521A"/>
    <w:rsid w:val="003820D3"/>
    <w:rsid w:val="00382936"/>
    <w:rsid w:val="003A0AFD"/>
    <w:rsid w:val="003A1619"/>
    <w:rsid w:val="003A188C"/>
    <w:rsid w:val="003A7D1C"/>
    <w:rsid w:val="003B61C3"/>
    <w:rsid w:val="003B6A01"/>
    <w:rsid w:val="003C0DA4"/>
    <w:rsid w:val="003C142F"/>
    <w:rsid w:val="003C2593"/>
    <w:rsid w:val="003D0D29"/>
    <w:rsid w:val="003D4A5F"/>
    <w:rsid w:val="003D6A20"/>
    <w:rsid w:val="003E0A21"/>
    <w:rsid w:val="0042639A"/>
    <w:rsid w:val="00426BD4"/>
    <w:rsid w:val="00435501"/>
    <w:rsid w:val="00437DE3"/>
    <w:rsid w:val="00445508"/>
    <w:rsid w:val="0045332A"/>
    <w:rsid w:val="0046164A"/>
    <w:rsid w:val="00462DCD"/>
    <w:rsid w:val="0046419A"/>
    <w:rsid w:val="00492E30"/>
    <w:rsid w:val="00494150"/>
    <w:rsid w:val="004A0609"/>
    <w:rsid w:val="004A257C"/>
    <w:rsid w:val="004A3130"/>
    <w:rsid w:val="004A789C"/>
    <w:rsid w:val="004C2084"/>
    <w:rsid w:val="004D1162"/>
    <w:rsid w:val="004D40E1"/>
    <w:rsid w:val="004D4B5C"/>
    <w:rsid w:val="004E0FFD"/>
    <w:rsid w:val="004E4DD6"/>
    <w:rsid w:val="004F5E36"/>
    <w:rsid w:val="004F73E0"/>
    <w:rsid w:val="005115EB"/>
    <w:rsid w:val="005117C7"/>
    <w:rsid w:val="005119A5"/>
    <w:rsid w:val="00523370"/>
    <w:rsid w:val="005278B7"/>
    <w:rsid w:val="00530AC1"/>
    <w:rsid w:val="005346C8"/>
    <w:rsid w:val="00537CCB"/>
    <w:rsid w:val="00542E9E"/>
    <w:rsid w:val="005502D9"/>
    <w:rsid w:val="005545A2"/>
    <w:rsid w:val="00555770"/>
    <w:rsid w:val="00555947"/>
    <w:rsid w:val="005631AC"/>
    <w:rsid w:val="00564127"/>
    <w:rsid w:val="005757AD"/>
    <w:rsid w:val="00581815"/>
    <w:rsid w:val="00583510"/>
    <w:rsid w:val="00587205"/>
    <w:rsid w:val="0059010F"/>
    <w:rsid w:val="00591C6C"/>
    <w:rsid w:val="00594E9F"/>
    <w:rsid w:val="005A1D3A"/>
    <w:rsid w:val="005A2F33"/>
    <w:rsid w:val="005A30C3"/>
    <w:rsid w:val="005B34EC"/>
    <w:rsid w:val="005B4AB7"/>
    <w:rsid w:val="005B61E6"/>
    <w:rsid w:val="005C1A57"/>
    <w:rsid w:val="005C29DB"/>
    <w:rsid w:val="005C648D"/>
    <w:rsid w:val="005C77E1"/>
    <w:rsid w:val="005D4C01"/>
    <w:rsid w:val="005D6A2F"/>
    <w:rsid w:val="005E1A82"/>
    <w:rsid w:val="005E7374"/>
    <w:rsid w:val="005F0A28"/>
    <w:rsid w:val="005F0E5E"/>
    <w:rsid w:val="005F194D"/>
    <w:rsid w:val="00602854"/>
    <w:rsid w:val="00602AC4"/>
    <w:rsid w:val="006078B9"/>
    <w:rsid w:val="00616011"/>
    <w:rsid w:val="00620DEE"/>
    <w:rsid w:val="006213A0"/>
    <w:rsid w:val="00621A1B"/>
    <w:rsid w:val="00623D69"/>
    <w:rsid w:val="00625639"/>
    <w:rsid w:val="00635755"/>
    <w:rsid w:val="00636F1A"/>
    <w:rsid w:val="0064184D"/>
    <w:rsid w:val="00643488"/>
    <w:rsid w:val="00651D38"/>
    <w:rsid w:val="00657006"/>
    <w:rsid w:val="00660E3E"/>
    <w:rsid w:val="00662E74"/>
    <w:rsid w:val="006718E7"/>
    <w:rsid w:val="00673D1A"/>
    <w:rsid w:val="00695259"/>
    <w:rsid w:val="006A0595"/>
    <w:rsid w:val="006A58D2"/>
    <w:rsid w:val="006B16C4"/>
    <w:rsid w:val="006C4CF1"/>
    <w:rsid w:val="006C5579"/>
    <w:rsid w:val="006E3EB6"/>
    <w:rsid w:val="00704B16"/>
    <w:rsid w:val="00704BDF"/>
    <w:rsid w:val="00720C17"/>
    <w:rsid w:val="007308A3"/>
    <w:rsid w:val="00736B13"/>
    <w:rsid w:val="00737803"/>
    <w:rsid w:val="007447F3"/>
    <w:rsid w:val="00753D71"/>
    <w:rsid w:val="007661C8"/>
    <w:rsid w:val="00777736"/>
    <w:rsid w:val="0078281F"/>
    <w:rsid w:val="007973BA"/>
    <w:rsid w:val="007977BC"/>
    <w:rsid w:val="007A668D"/>
    <w:rsid w:val="007B2692"/>
    <w:rsid w:val="007B4491"/>
    <w:rsid w:val="007C2E6B"/>
    <w:rsid w:val="007D28E7"/>
    <w:rsid w:val="007D52CD"/>
    <w:rsid w:val="007E34F1"/>
    <w:rsid w:val="007E551C"/>
    <w:rsid w:val="007E7311"/>
    <w:rsid w:val="007F48B3"/>
    <w:rsid w:val="007F66A1"/>
    <w:rsid w:val="008000F5"/>
    <w:rsid w:val="00803A70"/>
    <w:rsid w:val="00805417"/>
    <w:rsid w:val="00813288"/>
    <w:rsid w:val="0081687B"/>
    <w:rsid w:val="008168FC"/>
    <w:rsid w:val="00822547"/>
    <w:rsid w:val="008225F8"/>
    <w:rsid w:val="00833B98"/>
    <w:rsid w:val="00841BAF"/>
    <w:rsid w:val="0084585D"/>
    <w:rsid w:val="008479A2"/>
    <w:rsid w:val="00847F7A"/>
    <w:rsid w:val="00857A8E"/>
    <w:rsid w:val="00862A3D"/>
    <w:rsid w:val="0087637F"/>
    <w:rsid w:val="00877AC2"/>
    <w:rsid w:val="0088573E"/>
    <w:rsid w:val="00885B3B"/>
    <w:rsid w:val="00890C9E"/>
    <w:rsid w:val="008A1512"/>
    <w:rsid w:val="008A190E"/>
    <w:rsid w:val="008A3B95"/>
    <w:rsid w:val="008B0EE3"/>
    <w:rsid w:val="008B5460"/>
    <w:rsid w:val="008C779C"/>
    <w:rsid w:val="008D0BEB"/>
    <w:rsid w:val="008D382D"/>
    <w:rsid w:val="008D7309"/>
    <w:rsid w:val="008E13D2"/>
    <w:rsid w:val="008E2695"/>
    <w:rsid w:val="008E566E"/>
    <w:rsid w:val="008E7955"/>
    <w:rsid w:val="00901EB6"/>
    <w:rsid w:val="009047CF"/>
    <w:rsid w:val="0091025E"/>
    <w:rsid w:val="00911C8E"/>
    <w:rsid w:val="00920782"/>
    <w:rsid w:val="00922992"/>
    <w:rsid w:val="00923E3E"/>
    <w:rsid w:val="00931FD9"/>
    <w:rsid w:val="009423CD"/>
    <w:rsid w:val="009425B4"/>
    <w:rsid w:val="009450CE"/>
    <w:rsid w:val="0095164B"/>
    <w:rsid w:val="00952A55"/>
    <w:rsid w:val="009626CB"/>
    <w:rsid w:val="00967862"/>
    <w:rsid w:val="0097652B"/>
    <w:rsid w:val="00981624"/>
    <w:rsid w:val="00996483"/>
    <w:rsid w:val="009A3330"/>
    <w:rsid w:val="009B3496"/>
    <w:rsid w:val="009B437B"/>
    <w:rsid w:val="009B5142"/>
    <w:rsid w:val="009B5655"/>
    <w:rsid w:val="009B60FA"/>
    <w:rsid w:val="009C32E4"/>
    <w:rsid w:val="009C76EC"/>
    <w:rsid w:val="009D5E8E"/>
    <w:rsid w:val="009E1E7F"/>
    <w:rsid w:val="009E788A"/>
    <w:rsid w:val="009F386B"/>
    <w:rsid w:val="00A002BD"/>
    <w:rsid w:val="00A00BB9"/>
    <w:rsid w:val="00A02E95"/>
    <w:rsid w:val="00A049C6"/>
    <w:rsid w:val="00A05A15"/>
    <w:rsid w:val="00A07E93"/>
    <w:rsid w:val="00A12F94"/>
    <w:rsid w:val="00A1495E"/>
    <w:rsid w:val="00A1763D"/>
    <w:rsid w:val="00A17673"/>
    <w:rsid w:val="00A17CEC"/>
    <w:rsid w:val="00A20CA9"/>
    <w:rsid w:val="00A27EF0"/>
    <w:rsid w:val="00A31DD8"/>
    <w:rsid w:val="00A36244"/>
    <w:rsid w:val="00A36398"/>
    <w:rsid w:val="00A4081B"/>
    <w:rsid w:val="00A4186C"/>
    <w:rsid w:val="00A41DEB"/>
    <w:rsid w:val="00A51353"/>
    <w:rsid w:val="00A52A7E"/>
    <w:rsid w:val="00A61797"/>
    <w:rsid w:val="00A6255A"/>
    <w:rsid w:val="00A66B9C"/>
    <w:rsid w:val="00A76EFC"/>
    <w:rsid w:val="00A81E12"/>
    <w:rsid w:val="00A91C30"/>
    <w:rsid w:val="00A9626B"/>
    <w:rsid w:val="00A96C32"/>
    <w:rsid w:val="00A970E6"/>
    <w:rsid w:val="00A97F29"/>
    <w:rsid w:val="00A97FEA"/>
    <w:rsid w:val="00AB0964"/>
    <w:rsid w:val="00AB525B"/>
    <w:rsid w:val="00AB7728"/>
    <w:rsid w:val="00AB7B7F"/>
    <w:rsid w:val="00AC5F71"/>
    <w:rsid w:val="00AD0339"/>
    <w:rsid w:val="00AD2088"/>
    <w:rsid w:val="00AE377D"/>
    <w:rsid w:val="00AE4F3C"/>
    <w:rsid w:val="00AF194D"/>
    <w:rsid w:val="00AF68B3"/>
    <w:rsid w:val="00B0702F"/>
    <w:rsid w:val="00B076F4"/>
    <w:rsid w:val="00B13C67"/>
    <w:rsid w:val="00B173BF"/>
    <w:rsid w:val="00B2597F"/>
    <w:rsid w:val="00B275EA"/>
    <w:rsid w:val="00B31173"/>
    <w:rsid w:val="00B333EB"/>
    <w:rsid w:val="00B430A4"/>
    <w:rsid w:val="00B5734D"/>
    <w:rsid w:val="00B61DBF"/>
    <w:rsid w:val="00B8433D"/>
    <w:rsid w:val="00BA38A6"/>
    <w:rsid w:val="00BA3BF7"/>
    <w:rsid w:val="00BB6185"/>
    <w:rsid w:val="00BB6F9B"/>
    <w:rsid w:val="00BC251D"/>
    <w:rsid w:val="00BC30C9"/>
    <w:rsid w:val="00BC5D8E"/>
    <w:rsid w:val="00BC5F52"/>
    <w:rsid w:val="00BE3E58"/>
    <w:rsid w:val="00C01616"/>
    <w:rsid w:val="00C0162B"/>
    <w:rsid w:val="00C02259"/>
    <w:rsid w:val="00C04AE2"/>
    <w:rsid w:val="00C1157E"/>
    <w:rsid w:val="00C13F86"/>
    <w:rsid w:val="00C1593A"/>
    <w:rsid w:val="00C21D0D"/>
    <w:rsid w:val="00C2608E"/>
    <w:rsid w:val="00C27DB1"/>
    <w:rsid w:val="00C345B1"/>
    <w:rsid w:val="00C40142"/>
    <w:rsid w:val="00C43DFA"/>
    <w:rsid w:val="00C57182"/>
    <w:rsid w:val="00C655FD"/>
    <w:rsid w:val="00C867B1"/>
    <w:rsid w:val="00C94434"/>
    <w:rsid w:val="00CA1C95"/>
    <w:rsid w:val="00CA4503"/>
    <w:rsid w:val="00CA54AA"/>
    <w:rsid w:val="00CA5A9C"/>
    <w:rsid w:val="00CB63D4"/>
    <w:rsid w:val="00CB65FB"/>
    <w:rsid w:val="00CC043F"/>
    <w:rsid w:val="00CC29F6"/>
    <w:rsid w:val="00CC2D8D"/>
    <w:rsid w:val="00CC74BD"/>
    <w:rsid w:val="00CD0608"/>
    <w:rsid w:val="00CD35F6"/>
    <w:rsid w:val="00CD5FE2"/>
    <w:rsid w:val="00CE5DA7"/>
    <w:rsid w:val="00D014CE"/>
    <w:rsid w:val="00D02B4C"/>
    <w:rsid w:val="00D03E99"/>
    <w:rsid w:val="00D14BB2"/>
    <w:rsid w:val="00D31B8D"/>
    <w:rsid w:val="00D34D81"/>
    <w:rsid w:val="00D3557E"/>
    <w:rsid w:val="00D44A9E"/>
    <w:rsid w:val="00D4707F"/>
    <w:rsid w:val="00D520EE"/>
    <w:rsid w:val="00D57559"/>
    <w:rsid w:val="00D66441"/>
    <w:rsid w:val="00D7255C"/>
    <w:rsid w:val="00D74526"/>
    <w:rsid w:val="00D801F0"/>
    <w:rsid w:val="00D80CED"/>
    <w:rsid w:val="00D84576"/>
    <w:rsid w:val="00D948AD"/>
    <w:rsid w:val="00D977AD"/>
    <w:rsid w:val="00D97F20"/>
    <w:rsid w:val="00DA41A3"/>
    <w:rsid w:val="00DB2FB0"/>
    <w:rsid w:val="00DC3960"/>
    <w:rsid w:val="00DD3AA3"/>
    <w:rsid w:val="00DD5FEB"/>
    <w:rsid w:val="00DE0019"/>
    <w:rsid w:val="00DE264A"/>
    <w:rsid w:val="00DE313A"/>
    <w:rsid w:val="00DE7EAA"/>
    <w:rsid w:val="00DF7C26"/>
    <w:rsid w:val="00E0251A"/>
    <w:rsid w:val="00E041E7"/>
    <w:rsid w:val="00E04511"/>
    <w:rsid w:val="00E04682"/>
    <w:rsid w:val="00E10DAF"/>
    <w:rsid w:val="00E1239C"/>
    <w:rsid w:val="00E1280C"/>
    <w:rsid w:val="00E23CA1"/>
    <w:rsid w:val="00E26B01"/>
    <w:rsid w:val="00E409A8"/>
    <w:rsid w:val="00E431A8"/>
    <w:rsid w:val="00E44D69"/>
    <w:rsid w:val="00E461F5"/>
    <w:rsid w:val="00E466CB"/>
    <w:rsid w:val="00E57D83"/>
    <w:rsid w:val="00E7209D"/>
    <w:rsid w:val="00E723AE"/>
    <w:rsid w:val="00E82812"/>
    <w:rsid w:val="00E91C32"/>
    <w:rsid w:val="00EA0DD2"/>
    <w:rsid w:val="00EA3B3C"/>
    <w:rsid w:val="00EA50E1"/>
    <w:rsid w:val="00EB1CDA"/>
    <w:rsid w:val="00EB6DE8"/>
    <w:rsid w:val="00EC507A"/>
    <w:rsid w:val="00EC620A"/>
    <w:rsid w:val="00EE0131"/>
    <w:rsid w:val="00EF3557"/>
    <w:rsid w:val="00EF4F9B"/>
    <w:rsid w:val="00F023A1"/>
    <w:rsid w:val="00F07C9A"/>
    <w:rsid w:val="00F21D59"/>
    <w:rsid w:val="00F30C64"/>
    <w:rsid w:val="00F378E7"/>
    <w:rsid w:val="00F41467"/>
    <w:rsid w:val="00F53F81"/>
    <w:rsid w:val="00F544DB"/>
    <w:rsid w:val="00F6294B"/>
    <w:rsid w:val="00F63803"/>
    <w:rsid w:val="00F67B79"/>
    <w:rsid w:val="00F70BF9"/>
    <w:rsid w:val="00F72C4F"/>
    <w:rsid w:val="00F84F9A"/>
    <w:rsid w:val="00F86566"/>
    <w:rsid w:val="00F879FE"/>
    <w:rsid w:val="00F93DC2"/>
    <w:rsid w:val="00FA04BA"/>
    <w:rsid w:val="00FA0EC5"/>
    <w:rsid w:val="00FA7D33"/>
    <w:rsid w:val="00FB730C"/>
    <w:rsid w:val="00FC2171"/>
    <w:rsid w:val="00FC2695"/>
    <w:rsid w:val="00FC3E03"/>
    <w:rsid w:val="00FC6C35"/>
    <w:rsid w:val="00FD1370"/>
    <w:rsid w:val="00FD2207"/>
    <w:rsid w:val="00FE0F18"/>
    <w:rsid w:val="00FE6A2D"/>
    <w:rsid w:val="00FF7132"/>
    <w:rsid w:val="00FF7434"/>
    <w:rsid w:val="00FF7A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BOAHeading"/>
    <w:next w:val="Normal"/>
    <w:link w:val="Heading1Char"/>
    <w:uiPriority w:val="9"/>
    <w:locked/>
    <w:rsid w:val="004F5E36"/>
    <w:pPr>
      <w:tabs>
        <w:tab w:val="right" w:pos="7100"/>
      </w:tabs>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EC507A"/>
    <w:pPr>
      <w:keepNext/>
      <w:suppressAutoHyphens/>
      <w:spacing w:before="240" w:after="120" w:line="240" w:lineRule="auto"/>
      <w:jc w:val="both"/>
    </w:pPr>
    <w:rPr>
      <w:rFonts w:ascii="Arial" w:eastAsia="MS PGothic" w:hAnsi="Arial" w:cs="Times New Roman"/>
      <w:bCs/>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unhideWhenUsed/>
    <w:lock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character" w:customStyle="1" w:styleId="BOAAddressCarattere">
    <w:name w:val="BOA Address Carattere"/>
    <w:basedOn w:val="DefaultParagraphFont"/>
    <w:link w:val="BOAAddress"/>
    <w:rsid w:val="00591C6C"/>
    <w:rPr>
      <w:rFonts w:ascii="Arial" w:eastAsia="Times New Roman" w:hAnsi="Arial" w:cs="Times New Roman"/>
      <w:i/>
      <w:noProof/>
      <w:sz w:val="20"/>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
    <w:autoRedefine/>
    <w:qFormat/>
    <w:rsid w:val="008B5460"/>
    <w:pPr>
      <w:tabs>
        <w:tab w:val="clear" w:pos="7100"/>
      </w:tabs>
      <w:spacing w:line="240" w:lineRule="atLeast"/>
      <w:ind w:right="-1"/>
    </w:pPr>
    <w:rPr>
      <w:rFonts w:eastAsia="MS PGothic"/>
      <w:sz w:val="22"/>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Hyperlink">
    <w:name w:val="Hyperlink"/>
    <w:basedOn w:val="DefaultParagraphFont"/>
    <w:uiPriority w:val="99"/>
    <w:unhideWhenUsed/>
    <w:locked/>
    <w:rsid w:val="00EC507A"/>
    <w:rPr>
      <w:color w:val="0000FF" w:themeColor="hyperlink"/>
      <w:u w:val="single"/>
    </w:rPr>
  </w:style>
  <w:style w:type="character" w:styleId="UnresolvedMention">
    <w:name w:val="Unresolved Mention"/>
    <w:basedOn w:val="DefaultParagraphFont"/>
    <w:uiPriority w:val="99"/>
    <w:semiHidden/>
    <w:unhideWhenUsed/>
    <w:rsid w:val="00EC507A"/>
    <w:rPr>
      <w:color w:val="605E5C"/>
      <w:shd w:val="clear" w:color="auto" w:fill="E1DFDD"/>
    </w:rPr>
  </w:style>
  <w:style w:type="paragraph" w:styleId="Header">
    <w:name w:val="header"/>
    <w:basedOn w:val="Normal"/>
    <w:link w:val="HeaderChar"/>
    <w:semiHidden/>
    <w:unhideWhenUsed/>
    <w:rsid w:val="006B16C4"/>
    <w:pPr>
      <w:tabs>
        <w:tab w:val="clear" w:pos="7100"/>
        <w:tab w:val="center" w:pos="4536"/>
        <w:tab w:val="right" w:pos="9072"/>
      </w:tabs>
      <w:spacing w:line="240" w:lineRule="auto"/>
    </w:pPr>
  </w:style>
  <w:style w:type="character" w:customStyle="1" w:styleId="HeaderChar">
    <w:name w:val="Header Char"/>
    <w:basedOn w:val="DefaultParagraphFont"/>
    <w:link w:val="Header"/>
    <w:semiHidden/>
    <w:rsid w:val="006B16C4"/>
    <w:rPr>
      <w:rFonts w:ascii="Arial" w:eastAsia="Times New Roman" w:hAnsi="Arial" w:cs="Times New Roman"/>
      <w:sz w:val="18"/>
      <w:szCs w:val="20"/>
      <w:lang w:val="en-GB"/>
    </w:rPr>
  </w:style>
  <w:style w:type="paragraph" w:styleId="Footer">
    <w:name w:val="footer"/>
    <w:basedOn w:val="Normal"/>
    <w:link w:val="FooterChar"/>
    <w:uiPriority w:val="99"/>
    <w:semiHidden/>
    <w:unhideWhenUsed/>
    <w:rsid w:val="006B16C4"/>
    <w:pPr>
      <w:tabs>
        <w:tab w:val="clear" w:pos="7100"/>
        <w:tab w:val="center" w:pos="4536"/>
        <w:tab w:val="right" w:pos="9072"/>
      </w:tabs>
      <w:spacing w:line="240" w:lineRule="auto"/>
    </w:pPr>
  </w:style>
  <w:style w:type="character" w:customStyle="1" w:styleId="FooterChar">
    <w:name w:val="Footer Char"/>
    <w:basedOn w:val="DefaultParagraphFont"/>
    <w:link w:val="Footer"/>
    <w:uiPriority w:val="99"/>
    <w:semiHidden/>
    <w:rsid w:val="006B16C4"/>
    <w:rPr>
      <w:rFonts w:ascii="Arial" w:eastAsia="Times New Roman" w:hAnsi="Arial" w:cs="Times New Roman"/>
      <w:sz w:val="18"/>
      <w:szCs w:val="20"/>
      <w:lang w:val="en-GB"/>
    </w:rPr>
  </w:style>
  <w:style w:type="character" w:styleId="CommentReference">
    <w:name w:val="annotation reference"/>
    <w:basedOn w:val="DefaultParagraphFont"/>
    <w:uiPriority w:val="99"/>
    <w:semiHidden/>
    <w:unhideWhenUsed/>
    <w:locked/>
    <w:rsid w:val="00C02259"/>
    <w:rPr>
      <w:sz w:val="16"/>
      <w:szCs w:val="16"/>
    </w:rPr>
  </w:style>
  <w:style w:type="paragraph" w:styleId="Revision">
    <w:name w:val="Revision"/>
    <w:hidden/>
    <w:uiPriority w:val="99"/>
    <w:semiHidden/>
    <w:rsid w:val="00EA0DD2"/>
    <w:pPr>
      <w:spacing w:after="0" w:line="240" w:lineRule="auto"/>
    </w:pPr>
    <w:rPr>
      <w:rFonts w:ascii="Arial" w:eastAsia="Times New Roman" w:hAnsi="Arial" w:cs="Times New Roman"/>
      <w:sz w:val="18"/>
      <w:szCs w:val="20"/>
      <w:lang w:val="en-GB"/>
    </w:rPr>
  </w:style>
  <w:style w:type="character" w:styleId="FootnoteReference">
    <w:name w:val="footnote reference"/>
    <w:basedOn w:val="DefaultParagraphFont"/>
    <w:uiPriority w:val="99"/>
    <w:semiHidden/>
    <w:unhideWhenUsed/>
    <w:locked/>
    <w:rsid w:val="00DB2FB0"/>
    <w:rPr>
      <w:vertAlign w:val="superscript"/>
    </w:rPr>
  </w:style>
  <w:style w:type="character" w:styleId="FollowedHyperlink">
    <w:name w:val="FollowedHyperlink"/>
    <w:basedOn w:val="DefaultParagraphFont"/>
    <w:uiPriority w:val="99"/>
    <w:semiHidden/>
    <w:unhideWhenUsed/>
    <w:locked/>
    <w:rsid w:val="00B07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211">
      <w:bodyDiv w:val="1"/>
      <w:marLeft w:val="0"/>
      <w:marRight w:val="0"/>
      <w:marTop w:val="0"/>
      <w:marBottom w:val="0"/>
      <w:divBdr>
        <w:top w:val="none" w:sz="0" w:space="0" w:color="auto"/>
        <w:left w:val="none" w:sz="0" w:space="0" w:color="auto"/>
        <w:bottom w:val="none" w:sz="0" w:space="0" w:color="auto"/>
        <w:right w:val="none" w:sz="0" w:space="0" w:color="auto"/>
      </w:divBdr>
    </w:div>
    <w:div w:id="230234573">
      <w:bodyDiv w:val="1"/>
      <w:marLeft w:val="0"/>
      <w:marRight w:val="0"/>
      <w:marTop w:val="0"/>
      <w:marBottom w:val="0"/>
      <w:divBdr>
        <w:top w:val="none" w:sz="0" w:space="0" w:color="auto"/>
        <w:left w:val="none" w:sz="0" w:space="0" w:color="auto"/>
        <w:bottom w:val="none" w:sz="0" w:space="0" w:color="auto"/>
        <w:right w:val="none" w:sz="0" w:space="0" w:color="auto"/>
      </w:divBdr>
    </w:div>
    <w:div w:id="784235979">
      <w:bodyDiv w:val="1"/>
      <w:marLeft w:val="0"/>
      <w:marRight w:val="0"/>
      <w:marTop w:val="0"/>
      <w:marBottom w:val="0"/>
      <w:divBdr>
        <w:top w:val="none" w:sz="0" w:space="0" w:color="auto"/>
        <w:left w:val="none" w:sz="0" w:space="0" w:color="auto"/>
        <w:bottom w:val="none" w:sz="0" w:space="0" w:color="auto"/>
        <w:right w:val="none" w:sz="0" w:space="0" w:color="auto"/>
      </w:divBdr>
    </w:div>
    <w:div w:id="952785245">
      <w:bodyDiv w:val="1"/>
      <w:marLeft w:val="0"/>
      <w:marRight w:val="0"/>
      <w:marTop w:val="0"/>
      <w:marBottom w:val="0"/>
      <w:divBdr>
        <w:top w:val="none" w:sz="0" w:space="0" w:color="auto"/>
        <w:left w:val="none" w:sz="0" w:space="0" w:color="auto"/>
        <w:bottom w:val="none" w:sz="0" w:space="0" w:color="auto"/>
        <w:right w:val="none" w:sz="0" w:space="0" w:color="auto"/>
      </w:divBdr>
    </w:div>
    <w:div w:id="1959137114">
      <w:bodyDiv w:val="1"/>
      <w:marLeft w:val="0"/>
      <w:marRight w:val="0"/>
      <w:marTop w:val="0"/>
      <w:marBottom w:val="0"/>
      <w:divBdr>
        <w:top w:val="none" w:sz="0" w:space="0" w:color="auto"/>
        <w:left w:val="none" w:sz="0" w:space="0" w:color="auto"/>
        <w:bottom w:val="none" w:sz="0" w:space="0" w:color="auto"/>
        <w:right w:val="none" w:sz="0" w:space="0" w:color="auto"/>
      </w:divBdr>
    </w:div>
    <w:div w:id="19671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jhazmat.2024.133757" TargetMode="External"/><Relationship Id="rId18" Type="http://schemas.openxmlformats.org/officeDocument/2006/relationships/hyperlink" Target="https://www.dnv.com/news/imo-ccc-10-interim-guidelines-for-ammonia-and-hydrogen-as-fue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2.eagle.org/content/dam/eagle/advisories-and-debriefs/ammonia-bunkering-advisory.pdf" TargetMode="External"/><Relationship Id="rId17" Type="http://schemas.openxmlformats.org/officeDocument/2006/relationships/hyperlink" Target="https://www.imo.org/en/MediaCentre/MeetingSummaries/Pages/ccc-10th-session.aspx" TargetMode="External"/><Relationship Id="rId2" Type="http://schemas.openxmlformats.org/officeDocument/2006/relationships/customXml" Target="../customXml/item2.xml"/><Relationship Id="rId16" Type="http://schemas.openxmlformats.org/officeDocument/2006/relationships/hyperlink" Target="https://grontskipsfartsprogram.no/wp-content/uploads/2023/06/Ammonia-as-a-Marine-Fuel-Safety-Handbook-Rev.0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a.bucelli@sintef.no" TargetMode="External"/><Relationship Id="rId5" Type="http://schemas.openxmlformats.org/officeDocument/2006/relationships/numbering" Target="numbering.xml"/><Relationship Id="rId15" Type="http://schemas.openxmlformats.org/officeDocument/2006/relationships/hyperlink" Target="https://www.gcformd.org/how-do-we-respond-to-an-ammonia-release-at-se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21/acs.chas.4c000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nt.org.uk/research/241023%20HSE%20at%20FABIG%20ammonia%20v9.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D7BC344E2A119B48B7547EF83832FF44" ma:contentTypeVersion="51" ma:contentTypeDescription="Opprett et nytt dokument." ma:contentTypeScope="" ma:versionID="b967b4bace40901405546930868aa22b">
  <xsd:schema xmlns:xsd="http://www.w3.org/2001/XMLSchema" xmlns:xs="http://www.w3.org/2001/XMLSchema" xmlns:p="http://schemas.microsoft.com/office/2006/metadata/properties" xmlns:ns2="8bbd4995-53b7-43e2-b62f-10947586ac31" xmlns:ns3="eb08110c-9e89-4484-9c15-8640bee3a960" xmlns:ns4="c933fef9-ae48-480c-b970-11d259b1b867" targetNamespace="http://schemas.microsoft.com/office/2006/metadata/properties" ma:root="true" ma:fieldsID="506726efaaa23e6709902f8a02b56c81" ns2:_="" ns3:_="" ns4:_="">
    <xsd:import namespace="8bbd4995-53b7-43e2-b62f-10947586ac31"/>
    <xsd:import namespace="eb08110c-9e89-4484-9c15-8640bee3a960"/>
    <xsd:import namespace="c933fef9-ae48-480c-b970-11d259b1b867"/>
    <xsd:element name="properties">
      <xsd:complexType>
        <xsd:sequence>
          <xsd:element name="documentManagement">
            <xsd:complexType>
              <xsd:all>
                <xsd:element ref="ns2:CorpSiteSubTitle" minOccurs="0"/>
                <xsd:element ref="ns2:CorpSiteAccess" minOccurs="0"/>
                <xsd:element ref="ns2:CorpSiteClassification" minOccurs="0"/>
                <xsd:element ref="ns2:CorpSiteTags" minOccurs="0"/>
                <xsd:element ref="ns2:CorpSiteReportNumber" minOccurs="0"/>
                <xsd:element ref="ns2:CorpSiteISBN" minOccurs="0"/>
                <xsd:element ref="ns2:CorpSiteMainAuthors" minOccurs="0"/>
                <xsd:element ref="ns2:CorpSiteCoAuthors" minOccurs="0"/>
                <xsd:element ref="ns2:CorpSiteRecipientCompany" minOccurs="0"/>
                <xsd:element ref="ns2:CorpSiteRecipientPerson" minOccurs="0"/>
                <xsd:element ref="ns2:CorpSiteOurRef"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2:CorpSiteDocumentAuthor" minOccurs="0"/>
                <xsd:element ref="ns2:CorpSiteProjectQA" minOccurs="0"/>
                <xsd:element ref="ns2:CorpSiteProjectOwner" minOccurs="0"/>
                <xsd:element ref="ns2:CorpSiteProjectLeader" minOccurs="0"/>
                <xsd:element ref="ns2:ArchiveStatus" minOccurs="0"/>
                <xsd:element ref="ns2:CorpWorkflowFeedback" minOccurs="0"/>
                <xsd:element ref="ns2:CorpSiteProjectNumber" minOccurs="0"/>
                <xsd:element ref="ns2:CorpSiteProjectName"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2:CorpWorkflowApprova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CorpSiteSubTitle" ma:index="3" nillable="true" ma:displayName="Undertittel" ma:internalName="CorpSiteSubTitle">
      <xsd:simpleType>
        <xsd:restriction base="dms:Text">
          <xsd:maxLength value="255"/>
        </xsd:restriction>
      </xsd:simpleType>
    </xsd:element>
    <xsd:element name="CorpSiteAccess" ma:index="4"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5" nillable="true" ma:displayName="Grad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6" nillable="true" ma:displayName="Tags" ma:internalName="CorpSiteTags">
      <xsd:simpleType>
        <xsd:restriction base="dms:Text">
          <xsd:maxLength value="255"/>
        </xsd:restriction>
      </xsd:simpleType>
    </xsd:element>
    <xsd:element name="CorpSiteReportNumber" ma:index="7" nillable="true" ma:displayName="Rapport nummer" ma:internalName="CorpSiteReportNumber">
      <xsd:simpleType>
        <xsd:restriction base="dms:Text">
          <xsd:maxLength value="255"/>
        </xsd:restriction>
      </xsd:simpleType>
    </xsd:element>
    <xsd:element name="CorpSiteISBN" ma:index="8" nillable="true" ma:displayName="ISBN" ma:internalName="CorpSiteISBN">
      <xsd:simpleType>
        <xsd:restriction base="dms:Text">
          <xsd:maxLength value="255"/>
        </xsd:restriction>
      </xsd:simpleType>
    </xsd:element>
    <xsd:element name="CorpSiteMainAuthors" ma:index="9" nillable="true" ma:displayName="Hovedforfattere" ma:internalName="CorpSiteMainAuthors">
      <xsd:simpleType>
        <xsd:restriction base="dms:Text">
          <xsd:maxLength value="255"/>
        </xsd:restriction>
      </xsd:simpleType>
    </xsd:element>
    <xsd:element name="CorpSiteCoAuthors" ma:index="10" nillable="true" ma:displayName="Medforfattere" ma:internalName="CorpSiteCoAuthors">
      <xsd:simpleType>
        <xsd:restriction base="dms:Text">
          <xsd:maxLength value="255"/>
        </xsd:restriction>
      </xsd:simpleType>
    </xsd:element>
    <xsd:element name="CorpSiteRecipientCompany" ma:index="11" nillable="true" ma:displayName="Mottakende selskap" ma:internalName="CorpSiteRecipientCompany">
      <xsd:simpleType>
        <xsd:restriction base="dms:Text">
          <xsd:maxLength value="255"/>
        </xsd:restriction>
      </xsd:simpleType>
    </xsd:element>
    <xsd:element name="CorpSiteRecipientPerson" ma:index="12" nillable="true" ma:displayName="Mottakende person" ma:internalName="CorpSiteRecipientPerson">
      <xsd:simpleType>
        <xsd:restriction base="dms:Text">
          <xsd:maxLength value="255"/>
        </xsd:restriction>
      </xsd:simpleType>
    </xsd:element>
    <xsd:element name="CorpSiteOurRef" ma:index="13" nillable="true" ma:displayName="Vår ref" ma:internalName="CorpSiteOurRef">
      <xsd:simpleType>
        <xsd:restriction base="dms:Text">
          <xsd:maxLength value="255"/>
        </xsd:restriction>
      </xsd:simpleType>
    </xsd:element>
    <xsd:element name="CorpSiteZipAddress" ma:index="14" nillable="true" ma:displayName="Adresse" ma:internalName="CorpSiteZipAddress">
      <xsd:simpleType>
        <xsd:restriction base="dms:Note">
          <xsd:maxLength value="255"/>
        </xsd:restriction>
      </xsd:simpleType>
    </xsd:element>
    <xsd:element name="CorpSiteZipContact" ma:index="15" nillable="true" ma:displayName="Kontakt" ma:internalName="CorpSiteZipContact">
      <xsd:simpleType>
        <xsd:restriction base="dms:Note">
          <xsd:maxLength value="255"/>
        </xsd:restriction>
      </xsd:simpleType>
    </xsd:element>
    <xsd:element name="CorpSiteVATNumber" ma:index="16" nillable="true" ma:displayName="Foretaksnummer" ma:internalName="CorpSiteVATNumber">
      <xsd:simpleType>
        <xsd:restriction base="dms:Text">
          <xsd:maxLength value="255"/>
        </xsd:restriction>
      </xsd:simpleType>
    </xsd:element>
    <xsd:element name="CorpSiteInstituteEmail" ma:index="17" nillable="true" ma:displayName="E-post institutt" ma:internalName="CorpSiteInstituteEmail">
      <xsd:simpleType>
        <xsd:restriction base="dms:Text">
          <xsd:maxLength value="255"/>
        </xsd:restriction>
      </xsd:simpleType>
    </xsd:element>
    <xsd:element name="CorpDocPageClassificationNbNo" ma:index="18"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19"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20"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21"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22" nillable="true" ma:displayName="InstituteEng" ma:internalName="CorpSiteInstituteEnUs">
      <xsd:simpleType>
        <xsd:restriction base="dms:Text">
          <xsd:maxLength value="255"/>
        </xsd:restriction>
      </xsd:simpleType>
    </xsd:element>
    <xsd:element name="CorpSiteInstitutePhone" ma:index="23" nillable="true" ma:displayName="Institutt telefon" ma:internalName="CorpSiteInstitutePhone">
      <xsd:simpleType>
        <xsd:restriction base="dms:Text">
          <xsd:maxLength value="255"/>
        </xsd:restriction>
      </xsd:simpleType>
    </xsd:element>
    <xsd:element name="CorpSiteDocLanguage" ma:index="24" nillable="true" ma:displayName="Språk" ma:internalName="CorpSiteDocLanguage">
      <xsd:simpleType>
        <xsd:restriction base="dms:Text">
          <xsd:maxLength value="255"/>
        </xsd:restriction>
      </xsd:simpleType>
    </xsd:element>
    <xsd:element name="CorpDocInstitute" ma:index="25" nillable="true" ma:displayName="Institutt" ma:internalName="CorpDocInstitute">
      <xsd:simpleType>
        <xsd:restriction base="dms:Text">
          <xsd:maxLength value="255"/>
        </xsd:restriction>
      </xsd:simpleType>
    </xsd:element>
    <xsd:element name="CorpDocVersion" ma:index="26" nillable="true" ma:displayName="Versjon" ma:internalName="CorpDocVersion">
      <xsd:simpleType>
        <xsd:restriction base="dms:Text">
          <xsd:maxLength value="255"/>
        </xsd:restriction>
      </xsd:simpleType>
    </xsd:element>
    <xsd:element name="CorpSiteDocumentAuthor" ma:index="27" nillable="true" ma:displayName="Hovedforfatter" ma:hidden="true"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QA" ma:index="32"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33"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34"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Status" ma:index="36" nillable="true" ma:displayName="Arkivstatus" ma:internalName="ArchiveStatus">
      <xsd:simpleType>
        <xsd:restriction base="dms:Text">
          <xsd:maxLength value="255"/>
        </xsd:restriction>
      </xsd:simpleType>
    </xsd:element>
    <xsd:element name="CorpWorkflowFeedback" ma:index="37" nillable="true" ma:displayName="Status kvalitetssikring" ma:internalName="CorpWorkflowFeedback">
      <xsd:simpleType>
        <xsd:restriction base="dms:Text">
          <xsd:maxLength value="255"/>
        </xsd:restriction>
      </xsd:simpleType>
    </xsd:element>
    <xsd:element name="CorpSiteProjectNumber" ma:index="39" nillable="true" ma:displayName="Prosjektnummer" ma:default="" ma:internalName="CorpSiteProjectNumber">
      <xsd:simpleType>
        <xsd:restriction base="dms:Text">
          <xsd:maxLength value="255"/>
        </xsd:restriction>
      </xsd:simpleType>
    </xsd:element>
    <xsd:element name="CorpSiteProjectName" ma:index="40" nillable="true" ma:displayName="Prosjektnavn" ma:internalName="CorpSiteProjectName">
      <xsd:simpleType>
        <xsd:restriction base="dms:Text">
          <xsd:maxLength value="255"/>
        </xsd:restriction>
      </xsd:simpleType>
    </xsd:element>
    <xsd:element name="CorpWorkflowApproval" ma:index="55" nillable="true" ma:displayName="Status godkjenning" ma:internalName="CorpWorkflowApprov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08110c-9e89-4484-9c15-8640bee3a960"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lcf76f155ced4ddcb4097134ff3c332f" ma:index="48" nillable="true" ma:taxonomy="true" ma:internalName="lcf76f155ced4ddcb4097134ff3c332f" ma:taxonomyFieldName="MediaServiceImageTags" ma:displayName="Bildemerkelapper" ma:readOnly="false" ma:fieldId="{5cf76f15-5ced-4ddc-b409-7134ff3c332f}" ma:taxonomyMulti="true" ma:sspId="322a372c-f9c2-4fd8-9939-aea158435baa" ma:termSetId="09814cd3-568e-fe90-9814-8d621ff8fb84" ma:anchorId="fba54fb3-c3e1-fe81-a776-ca4b69148c4d" ma:open="true" ma:isKeyword="false">
      <xsd:complexType>
        <xsd:sequence>
          <xsd:element ref="pc:Terms" minOccurs="0" maxOccurs="1"/>
        </xsd:sequence>
      </xsd:complexType>
    </xsd:element>
    <xsd:element name="MediaServiceDateTaken" ma:index="50" nillable="true" ma:displayName="MediaServiceDateTaken" ma:hidden="true" ma:indexed="true" ma:internalName="MediaServiceDateTaken"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BillingMetadata" ma:index="5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3fef9-ae48-480c-b970-11d259b1b867" elementFormDefault="qualified">
    <xsd:import namespace="http://schemas.microsoft.com/office/2006/documentManagement/types"/>
    <xsd:import namespace="http://schemas.microsoft.com/office/infopath/2007/PartnerControls"/>
    <xsd:element name="SharedWithUsers" ma:index="4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Delingsdetaljer" ma:internalName="SharedWithDetails" ma:readOnly="true">
      <xsd:simpleType>
        <xsd:restriction base="dms:Note">
          <xsd:maxLength value="255"/>
        </xsd:restriction>
      </xsd:simpleType>
    </xsd:element>
    <xsd:element name="TaxCatchAll" ma:index="49" nillable="true" ma:displayName="Taxonomy Catch All Column" ma:hidden="true" ma:list="{174fb273-47f0-441d-a75a-a9910a295c48}" ma:internalName="TaxCatchAll" ma:showField="CatchAllData" ma:web="c933fef9-ae48-480c-b970-11d259b1b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TaxCatchAll xmlns="c933fef9-ae48-480c-b970-11d259b1b867" xsi:nil="true"/>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lcf76f155ced4ddcb4097134ff3c332f xmlns="eb08110c-9e89-4484-9c15-8640bee3a960">
      <Terms xmlns="http://schemas.microsoft.com/office/infopath/2007/PartnerControls"/>
    </lcf76f155ced4ddcb4097134ff3c332f>
    <CorpSiteMainAuthors xmlns="8bbd4995-53b7-43e2-b62f-10947586ac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0356-9607-42A0-8120-6E528DE90611}">
  <ds:schemaRefs>
    <ds:schemaRef ds:uri="http://schemas.microsoft.com/sharepoint/v3/contenttype/forms"/>
  </ds:schemaRefs>
</ds:datastoreItem>
</file>

<file path=customXml/itemProps2.xml><?xml version="1.0" encoding="utf-8"?>
<ds:datastoreItem xmlns:ds="http://schemas.openxmlformats.org/officeDocument/2006/customXml" ds:itemID="{0E8F9980-0CEF-4F61-AC52-9E489E1A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eb08110c-9e89-4484-9c15-8640bee3a960"/>
    <ds:schemaRef ds:uri="c933fef9-ae48-480c-b970-11d259b1b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AECCA-5F73-4F80-A519-5BA7917D5AF0}">
  <ds:schemaRefs>
    <ds:schemaRef ds:uri="http://schemas.microsoft.com/office/2006/metadata/properties"/>
    <ds:schemaRef ds:uri="http://schemas.microsoft.com/office/infopath/2007/PartnerControls"/>
    <ds:schemaRef ds:uri="8bbd4995-53b7-43e2-b62f-10947586ac31"/>
    <ds:schemaRef ds:uri="c933fef9-ae48-480c-b970-11d259b1b867"/>
    <ds:schemaRef ds:uri="eb08110c-9e89-4484-9c15-8640bee3a960"/>
  </ds:schemaRefs>
</ds:datastoreItem>
</file>

<file path=customXml/itemProps4.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2049</Words>
  <Characters>10861</Characters>
  <Application>Microsoft Office Word</Application>
  <DocSecurity>0</DocSecurity>
  <Lines>152</Lines>
  <Paragraphs>55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Dipartimento CMIC - Politecnico di Milano</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Marta Bucelli</cp:lastModifiedBy>
  <cp:revision>13</cp:revision>
  <cp:lastPrinted>2015-05-12T18:31:00Z</cp:lastPrinted>
  <dcterms:created xsi:type="dcterms:W3CDTF">2025-03-26T10:15:00Z</dcterms:created>
  <dcterms:modified xsi:type="dcterms:W3CDTF">2025-03-26T11:44:00Z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0x01010031B82B69D2361148B4D8F7EC156802130800D7BC344E2A119B48B7547EF83832FF44</vt:lpwstr>
  </property>
  <property fmtid="{D5CDD505-2E9C-101B-9397-08002B2CF9AE}" pid="3" name="MediaServiceImageTags">
    <vt:lpwstr/>
  </property>
</Properties>
</file>