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1FE2ED48" w:rsidR="005C1A57" w:rsidRPr="005C1A57" w:rsidRDefault="0038420F" w:rsidP="00591C6C">
      <w:pPr>
        <w:pStyle w:val="BOATitle"/>
        <w:rPr>
          <w:rFonts w:eastAsia="MS PGothic"/>
        </w:rPr>
      </w:pPr>
      <w:r>
        <w:rPr>
          <w:rFonts w:eastAsia="MS PGothic"/>
        </w:rPr>
        <w:t xml:space="preserve">On the </w:t>
      </w:r>
      <w:r w:rsidR="00EE1D21" w:rsidRPr="00EE1D21">
        <w:rPr>
          <w:rFonts w:eastAsia="MS PGothic"/>
        </w:rPr>
        <w:t>NO</w:t>
      </w:r>
      <w:r w:rsidR="00EE1D21" w:rsidRPr="00EE1D21">
        <w:rPr>
          <w:rFonts w:eastAsia="MS PGothic"/>
          <w:vertAlign w:val="subscript"/>
        </w:rPr>
        <w:t>x</w:t>
      </w:r>
      <w:r w:rsidR="00EE1D21" w:rsidRPr="00EE1D21">
        <w:rPr>
          <w:rFonts w:eastAsia="MS PGothic"/>
        </w:rPr>
        <w:t xml:space="preserve"> production of ammonia, hydrogen and methanol fuels for shipping purposes</w:t>
      </w:r>
    </w:p>
    <w:p w14:paraId="29E2E91E" w14:textId="5F02E726" w:rsidR="005C1A57" w:rsidRPr="00B40418" w:rsidRDefault="00A916AC" w:rsidP="00591C6C">
      <w:pPr>
        <w:pStyle w:val="BOAAuthors"/>
        <w:rPr>
          <w:rFonts w:eastAsia="MS PGothic"/>
          <w:lang w:val="it-IT"/>
        </w:rPr>
      </w:pPr>
      <w:r w:rsidRPr="00B40418">
        <w:rPr>
          <w:rFonts w:eastAsia="SimSun"/>
          <w:lang w:val="it-IT"/>
        </w:rPr>
        <w:t>Gianmaria Pio</w:t>
      </w:r>
      <w:r w:rsidR="005C1A57" w:rsidRPr="00B40418">
        <w:rPr>
          <w:rFonts w:eastAsia="SimSun"/>
          <w:vertAlign w:val="superscript"/>
          <w:lang w:val="it-IT"/>
        </w:rPr>
        <w:t>1</w:t>
      </w:r>
      <w:r w:rsidR="005C1A57" w:rsidRPr="00B40418">
        <w:rPr>
          <w:rFonts w:eastAsia="SimSun"/>
          <w:lang w:val="it-IT"/>
        </w:rPr>
        <w:t xml:space="preserve">, </w:t>
      </w:r>
      <w:r w:rsidRPr="00B40418">
        <w:rPr>
          <w:rFonts w:eastAsia="MS PGothic"/>
          <w:lang w:val="it-IT"/>
        </w:rPr>
        <w:t>Olga Aneziris</w:t>
      </w:r>
      <w:r w:rsidRPr="00B40418">
        <w:rPr>
          <w:rFonts w:eastAsia="MS PGothic"/>
          <w:vertAlign w:val="superscript"/>
          <w:lang w:val="it-IT"/>
        </w:rPr>
        <w:t>2</w:t>
      </w:r>
      <w:r w:rsidRPr="00B40418">
        <w:rPr>
          <w:rFonts w:eastAsia="MS PGothic"/>
          <w:lang w:val="it-IT"/>
        </w:rPr>
        <w:t>, David Levovnik</w:t>
      </w:r>
      <w:r w:rsidRPr="00B40418">
        <w:rPr>
          <w:rFonts w:eastAsia="MS PGothic"/>
          <w:vertAlign w:val="superscript"/>
          <w:lang w:val="it-IT"/>
        </w:rPr>
        <w:t>3</w:t>
      </w:r>
      <w:r w:rsidRPr="00B40418">
        <w:rPr>
          <w:rFonts w:eastAsia="MS PGothic"/>
          <w:lang w:val="it-IT"/>
        </w:rPr>
        <w:t>, Vladislav Maras</w:t>
      </w:r>
      <w:r w:rsidRPr="00B40418">
        <w:rPr>
          <w:rFonts w:eastAsia="MS PGothic"/>
          <w:vertAlign w:val="superscript"/>
          <w:lang w:val="it-IT"/>
        </w:rPr>
        <w:t>4</w:t>
      </w:r>
      <w:r w:rsidRPr="00B40418">
        <w:rPr>
          <w:rFonts w:eastAsia="MS PGothic"/>
          <w:lang w:val="it-IT"/>
        </w:rPr>
        <w:t>, Ernesto Salzano</w:t>
      </w:r>
      <w:r w:rsidRPr="00B40418">
        <w:rPr>
          <w:rFonts w:eastAsia="MS PGothic"/>
          <w:vertAlign w:val="superscript"/>
          <w:lang w:val="it-IT"/>
        </w:rPr>
        <w:t>1</w:t>
      </w:r>
      <w:r w:rsidR="00BD5B3D">
        <w:rPr>
          <w:rFonts w:eastAsia="MS PGothic"/>
          <w:vertAlign w:val="superscript"/>
          <w:lang w:val="it-IT"/>
        </w:rPr>
        <w:t>,</w:t>
      </w:r>
      <w:r w:rsidR="005C1A57" w:rsidRPr="00B40418">
        <w:rPr>
          <w:rFonts w:eastAsia="SimSun"/>
          <w:lang w:val="it-IT"/>
        </w:rPr>
        <w:t>*</w:t>
      </w:r>
    </w:p>
    <w:p w14:paraId="3DF8B3F1" w14:textId="77777777" w:rsidR="00A916AC" w:rsidRDefault="00A916AC" w:rsidP="00A916AC">
      <w:pPr>
        <w:pStyle w:val="BOAAddress"/>
        <w:rPr>
          <w:rFonts w:eastAsia="MS PGothic"/>
          <w:i w:val="0"/>
        </w:rPr>
      </w:pPr>
      <w:r>
        <w:rPr>
          <w:rFonts w:eastAsia="MS PGothic"/>
          <w:i w:val="0"/>
        </w:rPr>
        <w:t xml:space="preserve">1 </w:t>
      </w:r>
      <w:r w:rsidRPr="00A916AC">
        <w:rPr>
          <w:rFonts w:eastAsia="MS PGothic"/>
          <w:i w:val="0"/>
        </w:rPr>
        <w:t>Dep</w:t>
      </w:r>
      <w:r>
        <w:rPr>
          <w:rFonts w:eastAsia="MS PGothic"/>
          <w:i w:val="0"/>
        </w:rPr>
        <w:t>.</w:t>
      </w:r>
      <w:r w:rsidRPr="00A916AC">
        <w:rPr>
          <w:rFonts w:eastAsia="MS PGothic"/>
          <w:i w:val="0"/>
        </w:rPr>
        <w:t xml:space="preserve"> of Civil, Chemical, Environmental, and Materials Eng., University of Bologna, Bologna, Italy</w:t>
      </w:r>
      <w:r>
        <w:rPr>
          <w:rFonts w:eastAsia="MS PGothic"/>
          <w:i w:val="0"/>
        </w:rPr>
        <w:t xml:space="preserve">; </w:t>
      </w:r>
      <w:r w:rsidRPr="00A916AC">
        <w:rPr>
          <w:rFonts w:eastAsia="MS PGothic"/>
          <w:i w:val="0"/>
        </w:rPr>
        <w:t>2 NCSR “DEMOKRITOS”, Agia Paraskevi Attikis, Greece</w:t>
      </w:r>
      <w:r>
        <w:rPr>
          <w:rFonts w:eastAsia="MS PGothic"/>
          <w:i w:val="0"/>
        </w:rPr>
        <w:t xml:space="preserve">; </w:t>
      </w:r>
    </w:p>
    <w:p w14:paraId="05C6B34F" w14:textId="05378512" w:rsidR="00A916AC" w:rsidRPr="00A916AC" w:rsidRDefault="00A916AC" w:rsidP="00A916AC">
      <w:pPr>
        <w:pStyle w:val="BOAAddress"/>
        <w:rPr>
          <w:rFonts w:eastAsia="MS PGothic"/>
          <w:i w:val="0"/>
        </w:rPr>
      </w:pPr>
      <w:r w:rsidRPr="00A916AC">
        <w:rPr>
          <w:rFonts w:eastAsia="MS PGothic"/>
          <w:i w:val="0"/>
        </w:rPr>
        <w:t>3 Department for Inorganic Chemistry and Technology, Jozef Stefan Institute, Ljubljana, Slovenia</w:t>
      </w:r>
    </w:p>
    <w:p w14:paraId="576220F6" w14:textId="32D98C4E" w:rsidR="00A916AC" w:rsidRPr="00591C6C" w:rsidRDefault="00A916AC" w:rsidP="00A916AC">
      <w:pPr>
        <w:pStyle w:val="BOAAddress"/>
        <w:rPr>
          <w:rFonts w:eastAsia="MS PGothic"/>
          <w:i w:val="0"/>
        </w:rPr>
      </w:pPr>
      <w:r w:rsidRPr="00A916AC">
        <w:rPr>
          <w:rFonts w:eastAsia="MS PGothic"/>
          <w:i w:val="0"/>
        </w:rPr>
        <w:t>4 Faculty of Transport and Traffic Engineering, University of Belgrade, Belgrade, Serbia</w:t>
      </w:r>
    </w:p>
    <w:p w14:paraId="42CB37CF" w14:textId="41E0414D" w:rsidR="005C1A57" w:rsidRPr="00591C6C" w:rsidRDefault="005C1A57" w:rsidP="00591C6C">
      <w:pPr>
        <w:pStyle w:val="BOAemail"/>
        <w:rPr>
          <w:rFonts w:eastAsia="MS PGothic"/>
        </w:rPr>
      </w:pPr>
      <w:r w:rsidRPr="00591C6C">
        <w:rPr>
          <w:rFonts w:eastAsia="MS PGothic"/>
        </w:rPr>
        <w:t>*Corresponding author</w:t>
      </w:r>
      <w:r w:rsidRPr="00591C6C">
        <w:rPr>
          <w:rFonts w:eastAsia="MS PGothic"/>
          <w:lang w:eastAsia="ko-KR"/>
        </w:rPr>
        <w:t xml:space="preserve"> E-Mail: </w:t>
      </w:r>
      <w:r w:rsidRPr="00591C6C">
        <w:rPr>
          <w:rFonts w:eastAsia="MS PGothic"/>
        </w:rPr>
        <w:t xml:space="preserve"> </w:t>
      </w:r>
      <w:r w:rsidR="00A916AC">
        <w:rPr>
          <w:rFonts w:eastAsia="MS PGothic"/>
        </w:rPr>
        <w:t>ernesto.salzano</w:t>
      </w:r>
      <w:r w:rsidRPr="00591C6C">
        <w:rPr>
          <w:rFonts w:eastAsia="MS PGothic"/>
        </w:rPr>
        <w:t>@</w:t>
      </w:r>
      <w:r w:rsidR="00A916AC">
        <w:rPr>
          <w:rFonts w:eastAsia="MS PGothic"/>
        </w:rPr>
        <w:t>unibo.it</w:t>
      </w:r>
    </w:p>
    <w:p w14:paraId="7D788354" w14:textId="77777777" w:rsidR="005C1A57" w:rsidRPr="00621A1B" w:rsidRDefault="005C1A57" w:rsidP="00F879FE">
      <w:pPr>
        <w:pStyle w:val="BOAHeading"/>
      </w:pPr>
      <w:r w:rsidRPr="00621A1B">
        <w:t>1. Introduction</w:t>
      </w:r>
    </w:p>
    <w:p w14:paraId="13532853" w14:textId="1F724F1E" w:rsidR="005C1A57" w:rsidRPr="00F879FE" w:rsidRDefault="00A916AC" w:rsidP="00423B17">
      <w:pPr>
        <w:rPr>
          <w:rFonts w:eastAsia="MS PGothic"/>
          <w:bCs/>
        </w:rPr>
      </w:pPr>
      <w:r w:rsidRPr="00A916AC">
        <w:rPr>
          <w:rFonts w:eastAsia="MS PGothic"/>
        </w:rPr>
        <w:t>The International Maritime Organization (IMO) has adopted a strategy for reducing greenhouse gas (GHG) emissions from ships, proposing to reduce carbon emissions in the global shipping industry by 50% by 2050 and to achieve zero carbon emissions in the global shipping industry in the 21st century. To this aim, the transition toward cleaner fuels, particularly for short-distance routes, port operations and long-term docking in urban harbours is necessary. Possible candidates are ammonia</w:t>
      </w:r>
      <w:r w:rsidR="00BD5B3D">
        <w:rPr>
          <w:rFonts w:eastAsia="MS PGothic"/>
        </w:rPr>
        <w:t xml:space="preserve"> (NH</w:t>
      </w:r>
      <w:r w:rsidR="00BD5B3D" w:rsidRPr="00BD5B3D">
        <w:rPr>
          <w:rFonts w:eastAsia="MS PGothic"/>
          <w:vertAlign w:val="subscript"/>
        </w:rPr>
        <w:t>3</w:t>
      </w:r>
      <w:r w:rsidR="00BD5B3D">
        <w:rPr>
          <w:rFonts w:eastAsia="MS PGothic"/>
        </w:rPr>
        <w:t>)</w:t>
      </w:r>
      <w:r w:rsidRPr="00A916AC">
        <w:rPr>
          <w:rFonts w:eastAsia="MS PGothic"/>
        </w:rPr>
        <w:t xml:space="preserve">, hydrogen </w:t>
      </w:r>
      <w:r w:rsidR="00BD5B3D">
        <w:rPr>
          <w:rFonts w:eastAsia="MS PGothic"/>
        </w:rPr>
        <w:t>(H</w:t>
      </w:r>
      <w:r w:rsidR="00BD5B3D">
        <w:rPr>
          <w:rFonts w:eastAsia="MS PGothic"/>
          <w:vertAlign w:val="subscript"/>
        </w:rPr>
        <w:t>2</w:t>
      </w:r>
      <w:r w:rsidR="00BD5B3D">
        <w:rPr>
          <w:rFonts w:eastAsia="MS PGothic"/>
        </w:rPr>
        <w:t xml:space="preserve">) </w:t>
      </w:r>
      <w:r w:rsidRPr="00A916AC">
        <w:rPr>
          <w:rFonts w:eastAsia="MS PGothic"/>
        </w:rPr>
        <w:t>and methanol</w:t>
      </w:r>
      <w:r w:rsidR="00BD5B3D">
        <w:rPr>
          <w:rFonts w:eastAsia="MS PGothic"/>
        </w:rPr>
        <w:t xml:space="preserve"> (CH</w:t>
      </w:r>
      <w:r w:rsidR="00BD5B3D" w:rsidRPr="00BD5B3D">
        <w:rPr>
          <w:rFonts w:eastAsia="MS PGothic"/>
          <w:vertAlign w:val="subscript"/>
        </w:rPr>
        <w:t>3</w:t>
      </w:r>
      <w:r w:rsidR="00BD5B3D">
        <w:rPr>
          <w:rFonts w:eastAsia="MS PGothic"/>
        </w:rPr>
        <w:t>OH)</w:t>
      </w:r>
      <w:r w:rsidR="00407515">
        <w:rPr>
          <w:rFonts w:eastAsia="MS PGothic"/>
        </w:rPr>
        <w:t xml:space="preserve"> (</w:t>
      </w:r>
      <w:r w:rsidR="00B0625E">
        <w:rPr>
          <w:rFonts w:eastAsia="MS PGothic"/>
        </w:rPr>
        <w:t xml:space="preserve">if produced </w:t>
      </w:r>
      <w:r w:rsidRPr="00A916AC">
        <w:rPr>
          <w:rFonts w:eastAsia="MS PGothic"/>
        </w:rPr>
        <w:t>from renewable sources</w:t>
      </w:r>
      <w:r w:rsidR="00407515">
        <w:rPr>
          <w:rFonts w:eastAsia="MS PGothic"/>
        </w:rPr>
        <w:t>)</w:t>
      </w:r>
      <w:r w:rsidRPr="00A916AC">
        <w:rPr>
          <w:rFonts w:eastAsia="MS PGothic"/>
        </w:rPr>
        <w:t xml:space="preserve">. </w:t>
      </w:r>
      <w:r w:rsidR="00407515">
        <w:rPr>
          <w:rFonts w:eastAsia="MS PGothic"/>
        </w:rPr>
        <w:t xml:space="preserve">However, </w:t>
      </w:r>
      <w:r w:rsidRPr="00A916AC">
        <w:rPr>
          <w:rFonts w:eastAsia="MS PGothic"/>
        </w:rPr>
        <w:t xml:space="preserve">the transition to sustainable </w:t>
      </w:r>
      <w:r w:rsidR="00B0625E">
        <w:rPr>
          <w:rFonts w:eastAsia="MS PGothic"/>
        </w:rPr>
        <w:t>power</w:t>
      </w:r>
      <w:r w:rsidRPr="00A916AC">
        <w:rPr>
          <w:rFonts w:eastAsia="MS PGothic"/>
        </w:rPr>
        <w:t xml:space="preserve"> requires careful consideration of multiple factors to ensure successful implementation, including safety, economic and environmental aspects </w:t>
      </w:r>
      <w:r w:rsidR="00EE1D21">
        <w:rPr>
          <w:rFonts w:eastAsia="MS PGothic"/>
        </w:rPr>
        <w:t>(</w:t>
      </w:r>
      <w:r w:rsidR="00EE1D21" w:rsidRPr="00A916AC">
        <w:t>Aneziris</w:t>
      </w:r>
      <w:r w:rsidR="00EE1D21">
        <w:t xml:space="preserve"> et al., 2023; Zanobetti et al., 2023)</w:t>
      </w:r>
      <w:r w:rsidRPr="00A916AC">
        <w:rPr>
          <w:rFonts w:eastAsia="MS PGothic"/>
        </w:rPr>
        <w:t xml:space="preserve">. In the EU Adrion </w:t>
      </w:r>
      <w:r w:rsidR="00EE1D21" w:rsidRPr="00A916AC">
        <w:rPr>
          <w:rFonts w:eastAsia="MS PGothic"/>
        </w:rPr>
        <w:t>project</w:t>
      </w:r>
      <w:r w:rsidR="00EE1D21">
        <w:rPr>
          <w:rFonts w:eastAsia="MS PGothic"/>
        </w:rPr>
        <w:t xml:space="preserve"> </w:t>
      </w:r>
      <w:r w:rsidRPr="00A916AC">
        <w:rPr>
          <w:rFonts w:eastAsia="MS PGothic"/>
        </w:rPr>
        <w:t xml:space="preserve">SUPERALFUEL, Key Performance Indicators (KPI) for the quantitative assessment of the sustainability of the cited three fuels, in the specific framework of </w:t>
      </w:r>
      <w:r w:rsidR="00407515">
        <w:rPr>
          <w:rFonts w:eastAsia="MS PGothic"/>
        </w:rPr>
        <w:t>harbour system</w:t>
      </w:r>
      <w:r w:rsidRPr="00A916AC">
        <w:rPr>
          <w:rFonts w:eastAsia="MS PGothic"/>
        </w:rPr>
        <w:t xml:space="preserve">, will be developed. </w:t>
      </w:r>
      <w:r w:rsidR="00423B17">
        <w:rPr>
          <w:rFonts w:eastAsia="MS PGothic"/>
        </w:rPr>
        <w:t xml:space="preserve">For what concern the </w:t>
      </w:r>
      <w:r w:rsidRPr="00A916AC">
        <w:rPr>
          <w:rFonts w:eastAsia="MS PGothic"/>
        </w:rPr>
        <w:t>environmental indicator</w:t>
      </w:r>
      <w:r w:rsidR="00423B17">
        <w:rPr>
          <w:rFonts w:eastAsia="MS PGothic"/>
        </w:rPr>
        <w:t>s</w:t>
      </w:r>
      <w:r w:rsidRPr="00A916AC">
        <w:rPr>
          <w:rFonts w:eastAsia="MS PGothic"/>
        </w:rPr>
        <w:t xml:space="preserve"> </w:t>
      </w:r>
      <w:r w:rsidR="00423B17">
        <w:rPr>
          <w:rFonts w:eastAsia="MS PGothic"/>
        </w:rPr>
        <w:t xml:space="preserve">three main parameters </w:t>
      </w:r>
      <w:r w:rsidR="00BD5B3D">
        <w:rPr>
          <w:rFonts w:eastAsia="MS PGothic"/>
        </w:rPr>
        <w:t>should</w:t>
      </w:r>
      <w:r w:rsidR="00423B17">
        <w:rPr>
          <w:rFonts w:eastAsia="MS PGothic"/>
        </w:rPr>
        <w:t xml:space="preserve"> be considered. The first indicator is </w:t>
      </w:r>
      <w:r w:rsidRPr="00A916AC">
        <w:rPr>
          <w:rFonts w:eastAsia="MS PGothic"/>
        </w:rPr>
        <w:t xml:space="preserve">related to the </w:t>
      </w:r>
      <w:r w:rsidR="00423B17">
        <w:rPr>
          <w:rFonts w:eastAsia="MS PGothic"/>
        </w:rPr>
        <w:t xml:space="preserve">total </w:t>
      </w:r>
      <w:r w:rsidRPr="00A916AC">
        <w:rPr>
          <w:rFonts w:eastAsia="MS PGothic"/>
        </w:rPr>
        <w:t>amount of NO</w:t>
      </w:r>
      <w:r w:rsidRPr="00EE1D21">
        <w:rPr>
          <w:rFonts w:eastAsia="MS PGothic"/>
          <w:vertAlign w:val="subscript"/>
        </w:rPr>
        <w:t>x</w:t>
      </w:r>
      <w:r w:rsidRPr="00A916AC">
        <w:rPr>
          <w:rFonts w:eastAsia="MS PGothic"/>
        </w:rPr>
        <w:t xml:space="preserve"> produced by </w:t>
      </w:r>
      <w:r w:rsidR="00BD5B3D">
        <w:rPr>
          <w:rFonts w:eastAsia="MS PGothic"/>
        </w:rPr>
        <w:t>any fuel</w:t>
      </w:r>
      <w:r w:rsidRPr="00A916AC">
        <w:rPr>
          <w:rFonts w:eastAsia="MS PGothic"/>
        </w:rPr>
        <w:t xml:space="preserve"> per kWh</w:t>
      </w:r>
      <w:r w:rsidR="00423B17">
        <w:rPr>
          <w:rFonts w:eastAsia="MS PGothic"/>
        </w:rPr>
        <w:t xml:space="preserve"> of energy produced (KPI-ENV1), defined </w:t>
      </w:r>
      <w:r w:rsidR="00BD5B3D">
        <w:rPr>
          <w:rFonts w:eastAsia="MS PGothic"/>
        </w:rPr>
        <w:t xml:space="preserve">often </w:t>
      </w:r>
      <w:r w:rsidR="00423B17">
        <w:rPr>
          <w:rFonts w:eastAsia="MS PGothic"/>
        </w:rPr>
        <w:t>as the NO</w:t>
      </w:r>
      <w:r w:rsidR="00423B17" w:rsidRPr="00423B17">
        <w:rPr>
          <w:rFonts w:eastAsia="MS PGothic"/>
          <w:vertAlign w:val="subscript"/>
        </w:rPr>
        <w:t>x</w:t>
      </w:r>
      <w:r w:rsidR="00423B17">
        <w:rPr>
          <w:rFonts w:eastAsia="MS PGothic"/>
        </w:rPr>
        <w:t xml:space="preserve"> emission rate. This data</w:t>
      </w:r>
      <w:r w:rsidRPr="00A916AC">
        <w:rPr>
          <w:rFonts w:eastAsia="MS PGothic"/>
        </w:rPr>
        <w:t xml:space="preserve"> </w:t>
      </w:r>
      <w:r w:rsidR="00407515">
        <w:rPr>
          <w:rFonts w:eastAsia="MS PGothic"/>
        </w:rPr>
        <w:t>can be</w:t>
      </w:r>
      <w:r w:rsidRPr="00A916AC">
        <w:rPr>
          <w:rFonts w:eastAsia="MS PGothic"/>
        </w:rPr>
        <w:t xml:space="preserve"> compared with Nitrogen Oxides (NO</w:t>
      </w:r>
      <w:r w:rsidRPr="00440FB3">
        <w:rPr>
          <w:rFonts w:eastAsia="MS PGothic"/>
          <w:vertAlign w:val="subscript"/>
        </w:rPr>
        <w:t>x</w:t>
      </w:r>
      <w:r w:rsidRPr="00A916AC">
        <w:rPr>
          <w:rFonts w:eastAsia="MS PGothic"/>
        </w:rPr>
        <w:t xml:space="preserve">) – Regulation 13 - Tier III, which allows for a total weighted cycle emission limit of 2.0 g/KWh </w:t>
      </w:r>
      <w:r w:rsidR="00423B17">
        <w:rPr>
          <w:rFonts w:eastAsia="MS PGothic"/>
        </w:rPr>
        <w:t>(</w:t>
      </w:r>
      <w:r w:rsidRPr="00A916AC">
        <w:rPr>
          <w:rFonts w:eastAsia="MS PGothic"/>
        </w:rPr>
        <w:t xml:space="preserve">for diesel </w:t>
      </w:r>
      <w:r w:rsidR="00423B17">
        <w:rPr>
          <w:rFonts w:eastAsia="MS PGothic"/>
        </w:rPr>
        <w:t>ships)</w:t>
      </w:r>
      <w:r w:rsidR="00EE1D21">
        <w:rPr>
          <w:rFonts w:eastAsia="MS PGothic"/>
        </w:rPr>
        <w:t xml:space="preserve"> (</w:t>
      </w:r>
      <w:r w:rsidR="00407515">
        <w:rPr>
          <w:rFonts w:eastAsia="MS PGothic"/>
        </w:rPr>
        <w:t xml:space="preserve">Shaw &amp; </w:t>
      </w:r>
      <w:r w:rsidR="00EE1D21" w:rsidRPr="00A916AC">
        <w:t>Van Heyst, 2022</w:t>
      </w:r>
      <w:r w:rsidR="00EE1D21">
        <w:t>)</w:t>
      </w:r>
      <w:r w:rsidRPr="00A916AC">
        <w:rPr>
          <w:rFonts w:eastAsia="MS PGothic"/>
        </w:rPr>
        <w:t xml:space="preserve">. </w:t>
      </w:r>
      <w:r w:rsidR="00423B17">
        <w:rPr>
          <w:rFonts w:eastAsia="MS PGothic"/>
        </w:rPr>
        <w:t>The second parameter (KPI-ENV2) is related to the total amount of CO</w:t>
      </w:r>
      <w:r w:rsidR="00423B17" w:rsidRPr="00423B17">
        <w:rPr>
          <w:rFonts w:eastAsia="MS PGothic"/>
          <w:vertAlign w:val="subscript"/>
        </w:rPr>
        <w:t>2</w:t>
      </w:r>
      <w:r w:rsidR="00423B17">
        <w:rPr>
          <w:rFonts w:eastAsia="MS PGothic"/>
        </w:rPr>
        <w:t xml:space="preserve"> per kWh produced by the energy production</w:t>
      </w:r>
      <w:r w:rsidR="00407515">
        <w:rPr>
          <w:rFonts w:eastAsia="MS PGothic"/>
        </w:rPr>
        <w:t>,</w:t>
      </w:r>
      <w:r w:rsidR="00423B17">
        <w:rPr>
          <w:rFonts w:eastAsia="MS PGothic"/>
        </w:rPr>
        <w:t xml:space="preserve"> </w:t>
      </w:r>
      <w:r w:rsidR="00307024">
        <w:rPr>
          <w:rFonts w:eastAsia="MS PGothic"/>
        </w:rPr>
        <w:t>to</w:t>
      </w:r>
      <w:r w:rsidR="00423B17">
        <w:rPr>
          <w:rFonts w:eastAsia="MS PGothic"/>
        </w:rPr>
        <w:t xml:space="preserve"> evaluate the Global Warming Potential (GWP). In this regard, the N</w:t>
      </w:r>
      <w:r w:rsidR="00423B17" w:rsidRPr="00423B17">
        <w:rPr>
          <w:rFonts w:eastAsia="MS PGothic"/>
          <w:vertAlign w:val="subscript"/>
        </w:rPr>
        <w:t>2</w:t>
      </w:r>
      <w:r w:rsidR="00423B17">
        <w:rPr>
          <w:rFonts w:eastAsia="MS PGothic"/>
        </w:rPr>
        <w:t xml:space="preserve">O </w:t>
      </w:r>
      <w:r w:rsidR="00BD5B3D">
        <w:rPr>
          <w:rFonts w:eastAsia="MS PGothic"/>
        </w:rPr>
        <w:t>should</w:t>
      </w:r>
      <w:r w:rsidR="00423B17">
        <w:rPr>
          <w:rFonts w:eastAsia="MS PGothic"/>
        </w:rPr>
        <w:t xml:space="preserve"> be considered for comparison, as </w:t>
      </w:r>
      <w:r w:rsidR="00BD5B3D">
        <w:rPr>
          <w:rFonts w:eastAsia="MS PGothic"/>
        </w:rPr>
        <w:t>NH</w:t>
      </w:r>
      <w:r w:rsidR="00BD5B3D" w:rsidRPr="00BD5B3D">
        <w:rPr>
          <w:rFonts w:eastAsia="MS PGothic"/>
          <w:vertAlign w:val="subscript"/>
        </w:rPr>
        <w:t>3</w:t>
      </w:r>
      <w:r w:rsidR="00BD5B3D">
        <w:rPr>
          <w:rFonts w:eastAsia="MS PGothic"/>
        </w:rPr>
        <w:t xml:space="preserve">) </w:t>
      </w:r>
      <w:r w:rsidR="00423B17">
        <w:rPr>
          <w:rFonts w:eastAsia="MS PGothic"/>
        </w:rPr>
        <w:t xml:space="preserve">and </w:t>
      </w:r>
      <w:r w:rsidR="00BD5B3D">
        <w:rPr>
          <w:rFonts w:eastAsia="MS PGothic"/>
        </w:rPr>
        <w:t>H</w:t>
      </w:r>
      <w:r w:rsidR="00BD5B3D">
        <w:rPr>
          <w:rFonts w:eastAsia="MS PGothic"/>
          <w:vertAlign w:val="subscript"/>
        </w:rPr>
        <w:t>2</w:t>
      </w:r>
      <w:r w:rsidR="008455F7">
        <w:rPr>
          <w:rFonts w:eastAsia="MS PGothic"/>
          <w:vertAlign w:val="subscript"/>
        </w:rPr>
        <w:t xml:space="preserve"> </w:t>
      </w:r>
      <w:r w:rsidR="00423B17">
        <w:rPr>
          <w:rFonts w:eastAsia="MS PGothic"/>
        </w:rPr>
        <w:t>are intrinsically carbon-free</w:t>
      </w:r>
      <w:r w:rsidR="00BD5B3D">
        <w:rPr>
          <w:rFonts w:eastAsia="MS PGothic"/>
        </w:rPr>
        <w:t xml:space="preserve"> on a tank-to-wake basis rather </w:t>
      </w:r>
      <w:r w:rsidR="00407515">
        <w:rPr>
          <w:rFonts w:eastAsia="MS PGothic"/>
        </w:rPr>
        <w:t xml:space="preserve">than </w:t>
      </w:r>
      <w:r w:rsidR="00BD5B3D">
        <w:rPr>
          <w:rFonts w:eastAsia="MS PGothic"/>
        </w:rPr>
        <w:t xml:space="preserve">a </w:t>
      </w:r>
      <w:r w:rsidR="00407515">
        <w:rPr>
          <w:rFonts w:eastAsia="MS PGothic"/>
        </w:rPr>
        <w:t>well-to-wake</w:t>
      </w:r>
      <w:r w:rsidR="00423B17">
        <w:rPr>
          <w:rFonts w:eastAsia="MS PGothic"/>
        </w:rPr>
        <w:t>. For the calculation of the KPI</w:t>
      </w:r>
      <w:r w:rsidR="00307024">
        <w:rPr>
          <w:rFonts w:eastAsia="MS PGothic"/>
        </w:rPr>
        <w:t>s</w:t>
      </w:r>
      <w:r w:rsidR="00423B17">
        <w:rPr>
          <w:rFonts w:eastAsia="MS PGothic"/>
        </w:rPr>
        <w:t xml:space="preserve">, </w:t>
      </w:r>
      <w:r w:rsidRPr="00A916AC">
        <w:rPr>
          <w:rFonts w:eastAsia="MS PGothic"/>
        </w:rPr>
        <w:t xml:space="preserve">a detailed kinetic model KIBO </w:t>
      </w:r>
      <w:r w:rsidR="00EE1D21">
        <w:rPr>
          <w:rFonts w:eastAsia="MS PGothic"/>
        </w:rPr>
        <w:t>(</w:t>
      </w:r>
      <w:r w:rsidR="00EE1D21" w:rsidRPr="00EE1D21">
        <w:rPr>
          <w:rFonts w:eastAsia="MS PGothic"/>
        </w:rPr>
        <w:t>Pio</w:t>
      </w:r>
      <w:r w:rsidR="00EE1D21">
        <w:rPr>
          <w:rFonts w:eastAsia="MS PGothic"/>
        </w:rPr>
        <w:t xml:space="preserve"> et al., </w:t>
      </w:r>
      <w:r w:rsidR="00EE1D21" w:rsidRPr="00EE1D21">
        <w:rPr>
          <w:rFonts w:eastAsia="MS PGothic"/>
        </w:rPr>
        <w:t>2024</w:t>
      </w:r>
      <w:r w:rsidR="00EE1D21">
        <w:rPr>
          <w:rFonts w:eastAsia="MS PGothic"/>
        </w:rPr>
        <w:t xml:space="preserve">; Salzano et al., </w:t>
      </w:r>
      <w:r w:rsidR="00EE1D21" w:rsidRPr="00EE1D21">
        <w:rPr>
          <w:rFonts w:eastAsia="MS PGothic"/>
        </w:rPr>
        <w:t>2018</w:t>
      </w:r>
      <w:r w:rsidR="00EE1D21">
        <w:rPr>
          <w:rFonts w:eastAsia="MS PGothic"/>
        </w:rPr>
        <w:t xml:space="preserve">) </w:t>
      </w:r>
      <w:r w:rsidRPr="00A916AC">
        <w:rPr>
          <w:rFonts w:eastAsia="MS PGothic"/>
        </w:rPr>
        <w:t xml:space="preserve">developed at the University of Bologna has been adopted for the above-cited fuels after extensive validation. </w:t>
      </w:r>
    </w:p>
    <w:p w14:paraId="783EC6E6" w14:textId="77777777" w:rsidR="005C1A57" w:rsidRPr="00591C6C" w:rsidRDefault="005C1A57" w:rsidP="00F879FE">
      <w:pPr>
        <w:pStyle w:val="BOAHeading"/>
      </w:pPr>
      <w:r w:rsidRPr="00591C6C">
        <w:t>2. Methods</w:t>
      </w:r>
    </w:p>
    <w:p w14:paraId="1B4D3365" w14:textId="16DCA972" w:rsidR="00A916AC" w:rsidRDefault="00A916AC" w:rsidP="00535508">
      <w:pPr>
        <w:rPr>
          <w:rFonts w:eastAsia="MS PGothic"/>
        </w:rPr>
      </w:pPr>
      <w:r w:rsidRPr="00A916AC">
        <w:rPr>
          <w:rFonts w:eastAsia="MS PGothic"/>
        </w:rPr>
        <w:t xml:space="preserve">The detailed kinetic mechanism KIBO, which includes nitrogen-based chemistry was used. The adopted kinetic mechanism includes 172 species and 488 reactions. The design of KIBO prioritizes computational efficiency for practical implementation while maintaining accuracy, as evidenced by thorough validation documented in existing literature. A zero-dimensional reactor implemented in the open-source software Cantera </w:t>
      </w:r>
      <w:r w:rsidR="00EE1D21">
        <w:rPr>
          <w:rFonts w:eastAsia="MS PGothic"/>
        </w:rPr>
        <w:t>(Goodwin, 2009)</w:t>
      </w:r>
      <w:r w:rsidRPr="00A916AC">
        <w:rPr>
          <w:rFonts w:eastAsia="MS PGothic"/>
        </w:rPr>
        <w:t>, was utilized to represent the adiabatic conditions in a transient mode</w:t>
      </w:r>
      <w:r w:rsidR="00C219EF">
        <w:rPr>
          <w:rFonts w:eastAsia="MS PGothic"/>
        </w:rPr>
        <w:t xml:space="preserve"> and to evaluate </w:t>
      </w:r>
      <w:r w:rsidR="00002C09">
        <w:rPr>
          <w:rFonts w:eastAsia="MS PGothic"/>
        </w:rPr>
        <w:t xml:space="preserve">the composition of products either by using a pure thermodynamic approach </w:t>
      </w:r>
      <w:r w:rsidR="00B0625E">
        <w:rPr>
          <w:rFonts w:eastAsia="MS PGothic"/>
        </w:rPr>
        <w:t>based on</w:t>
      </w:r>
      <w:r w:rsidR="00002C09">
        <w:rPr>
          <w:rFonts w:eastAsia="MS PGothic"/>
        </w:rPr>
        <w:t xml:space="preserve"> </w:t>
      </w:r>
      <w:r w:rsidR="00B0625E">
        <w:rPr>
          <w:rFonts w:eastAsia="MS PGothic"/>
        </w:rPr>
        <w:t xml:space="preserve">the minimization of </w:t>
      </w:r>
      <w:r w:rsidR="00002C09">
        <w:rPr>
          <w:rFonts w:eastAsia="MS PGothic"/>
        </w:rPr>
        <w:t xml:space="preserve">Gibbs-free energy or by </w:t>
      </w:r>
      <w:r w:rsidR="00B0625E">
        <w:rPr>
          <w:rFonts w:eastAsia="MS PGothic"/>
        </w:rPr>
        <w:t xml:space="preserve">assessing the </w:t>
      </w:r>
      <w:r w:rsidR="00002C09">
        <w:rPr>
          <w:rFonts w:eastAsia="MS PGothic"/>
        </w:rPr>
        <w:t>laminar burning velocity</w:t>
      </w:r>
      <w:r w:rsidR="00C219EF">
        <w:rPr>
          <w:rFonts w:eastAsia="MS PGothic"/>
        </w:rPr>
        <w:t xml:space="preserve">. For details, the reader can refer to </w:t>
      </w:r>
      <w:r w:rsidR="00F6058E">
        <w:rPr>
          <w:rFonts w:eastAsia="MS PGothic"/>
        </w:rPr>
        <w:t>Pio et al. (2022)</w:t>
      </w:r>
      <w:r w:rsidRPr="00A916AC">
        <w:rPr>
          <w:rFonts w:eastAsia="MS PGothic"/>
        </w:rPr>
        <w:t xml:space="preserve">. Results are given in terms of </w:t>
      </w:r>
      <w:r w:rsidR="00B0625E">
        <w:rPr>
          <w:rFonts w:eastAsia="MS PGothic"/>
        </w:rPr>
        <w:t xml:space="preserve">the </w:t>
      </w:r>
      <w:r w:rsidRPr="00A916AC">
        <w:rPr>
          <w:rFonts w:eastAsia="MS PGothic"/>
        </w:rPr>
        <w:t>molar fraction (composition) of combustion products (NO, N</w:t>
      </w:r>
      <w:r w:rsidRPr="00EE1D21">
        <w:rPr>
          <w:rFonts w:eastAsia="MS PGothic"/>
          <w:vertAlign w:val="subscript"/>
        </w:rPr>
        <w:t>2</w:t>
      </w:r>
      <w:r w:rsidRPr="00A916AC">
        <w:rPr>
          <w:rFonts w:eastAsia="MS PGothic"/>
        </w:rPr>
        <w:t>O and NO</w:t>
      </w:r>
      <w:r w:rsidRPr="00EE1D21">
        <w:rPr>
          <w:rFonts w:eastAsia="MS PGothic"/>
          <w:vertAlign w:val="subscript"/>
        </w:rPr>
        <w:t>2</w:t>
      </w:r>
      <w:r w:rsidRPr="00A916AC">
        <w:rPr>
          <w:rFonts w:eastAsia="MS PGothic"/>
        </w:rPr>
        <w:t>) for the three fuels by varying the stoichiometric fraction φ:</w:t>
      </w:r>
      <w:r>
        <w:rPr>
          <w:rFonts w:eastAsia="MS PGothic"/>
        </w:rPr>
        <w:t xml:space="preserve"> </w:t>
      </w:r>
    </w:p>
    <w:p w14:paraId="703D3829" w14:textId="5EF48CE3" w:rsidR="00A916AC" w:rsidRDefault="00A916AC" w:rsidP="00A916AC">
      <w:pPr>
        <w:tabs>
          <w:tab w:val="clear" w:pos="7100"/>
          <w:tab w:val="left" w:pos="7938"/>
        </w:tabs>
        <w:spacing w:after="120"/>
        <w:jc w:val="left"/>
        <w:rPr>
          <w:rFonts w:eastAsiaTheme="minorEastAsia"/>
        </w:rPr>
      </w:pPr>
      <m:oMath>
        <m:r>
          <w:rPr>
            <w:rFonts w:ascii="Cambria Math" w:hAnsi="Cambria Math"/>
            <w:sz w:val="22"/>
            <w:szCs w:val="24"/>
          </w:rPr>
          <m:t>φ=</m:t>
        </m:r>
        <m:f>
          <m:fPr>
            <m:ctrlPr>
              <w:rPr>
                <w:rFonts w:ascii="Cambria Math" w:hAnsi="Cambria Math"/>
                <w:i/>
                <w:sz w:val="22"/>
                <w:szCs w:val="24"/>
              </w:rPr>
            </m:ctrlPr>
          </m:fPr>
          <m:num>
            <m:f>
              <m:fPr>
                <m:ctrlPr>
                  <w:rPr>
                    <w:rFonts w:ascii="Cambria Math" w:hAnsi="Cambria Math"/>
                    <w:i/>
                    <w:sz w:val="22"/>
                    <w:szCs w:val="24"/>
                  </w:rPr>
                </m:ctrlPr>
              </m:fPr>
              <m:num>
                <m:r>
                  <w:rPr>
                    <w:rFonts w:ascii="Cambria Math" w:hAnsi="Cambria Math"/>
                    <w:sz w:val="22"/>
                    <w:szCs w:val="24"/>
                  </w:rPr>
                  <m:t>fuel</m:t>
                </m:r>
              </m:num>
              <m:den>
                <m:sSub>
                  <m:sSubPr>
                    <m:ctrlPr>
                      <w:rPr>
                        <w:rFonts w:ascii="Cambria Math" w:hAnsi="Cambria Math"/>
                        <w:i/>
                        <w:sz w:val="22"/>
                        <w:szCs w:val="24"/>
                      </w:rPr>
                    </m:ctrlPr>
                  </m:sSubPr>
                  <m:e>
                    <m:r>
                      <w:rPr>
                        <w:rFonts w:ascii="Cambria Math" w:hAnsi="Cambria Math"/>
                        <w:sz w:val="22"/>
                        <w:szCs w:val="24"/>
                      </w:rPr>
                      <m:t>O</m:t>
                    </m:r>
                  </m:e>
                  <m:sub>
                    <m:r>
                      <w:rPr>
                        <w:rFonts w:ascii="Cambria Math" w:hAnsi="Cambria Math"/>
                        <w:sz w:val="22"/>
                        <w:szCs w:val="24"/>
                      </w:rPr>
                      <m:t>2</m:t>
                    </m:r>
                  </m:sub>
                </m:sSub>
              </m:den>
            </m:f>
          </m:num>
          <m:den>
            <m:sSub>
              <m:sSubPr>
                <m:ctrlPr>
                  <w:rPr>
                    <w:rFonts w:ascii="Cambria Math" w:hAnsi="Cambria Math"/>
                    <w:i/>
                    <w:sz w:val="22"/>
                    <w:szCs w:val="24"/>
                  </w:rPr>
                </m:ctrlPr>
              </m:sSubPr>
              <m:e>
                <m:d>
                  <m:dPr>
                    <m:ctrlPr>
                      <w:rPr>
                        <w:rFonts w:ascii="Cambria Math" w:hAnsi="Cambria Math"/>
                        <w:i/>
                        <w:sz w:val="22"/>
                        <w:szCs w:val="24"/>
                      </w:rPr>
                    </m:ctrlPr>
                  </m:dPr>
                  <m:e>
                    <m:f>
                      <m:fPr>
                        <m:ctrlPr>
                          <w:rPr>
                            <w:rFonts w:ascii="Cambria Math" w:hAnsi="Cambria Math"/>
                            <w:i/>
                            <w:sz w:val="22"/>
                            <w:szCs w:val="24"/>
                          </w:rPr>
                        </m:ctrlPr>
                      </m:fPr>
                      <m:num>
                        <m:r>
                          <w:rPr>
                            <w:rFonts w:ascii="Cambria Math" w:hAnsi="Cambria Math"/>
                            <w:sz w:val="22"/>
                            <w:szCs w:val="24"/>
                          </w:rPr>
                          <m:t>fuel</m:t>
                        </m:r>
                      </m:num>
                      <m:den>
                        <m:sSub>
                          <m:sSubPr>
                            <m:ctrlPr>
                              <w:rPr>
                                <w:rFonts w:ascii="Cambria Math" w:hAnsi="Cambria Math"/>
                                <w:i/>
                                <w:sz w:val="22"/>
                                <w:szCs w:val="24"/>
                              </w:rPr>
                            </m:ctrlPr>
                          </m:sSubPr>
                          <m:e>
                            <m:r>
                              <w:rPr>
                                <w:rFonts w:ascii="Cambria Math" w:hAnsi="Cambria Math"/>
                                <w:sz w:val="22"/>
                                <w:szCs w:val="24"/>
                              </w:rPr>
                              <m:t>O</m:t>
                            </m:r>
                          </m:e>
                          <m:sub>
                            <m:r>
                              <w:rPr>
                                <w:rFonts w:ascii="Cambria Math" w:hAnsi="Cambria Math"/>
                                <w:sz w:val="22"/>
                                <w:szCs w:val="24"/>
                              </w:rPr>
                              <m:t>2</m:t>
                            </m:r>
                          </m:sub>
                        </m:sSub>
                      </m:den>
                    </m:f>
                  </m:e>
                </m:d>
              </m:e>
              <m:sub>
                <m:r>
                  <w:rPr>
                    <w:rFonts w:ascii="Cambria Math" w:hAnsi="Cambria Math"/>
                    <w:sz w:val="22"/>
                    <w:szCs w:val="24"/>
                  </w:rPr>
                  <m:t>st</m:t>
                </m:r>
              </m:sub>
            </m:sSub>
          </m:den>
        </m:f>
      </m:oMath>
      <w:r>
        <w:rPr>
          <w:rFonts w:eastAsiaTheme="minorEastAsia"/>
        </w:rPr>
        <w:t xml:space="preserve"> </w:t>
      </w:r>
      <w:r>
        <w:rPr>
          <w:rFonts w:eastAsiaTheme="minorEastAsia"/>
        </w:rPr>
        <w:tab/>
        <w:t>(1)</w:t>
      </w:r>
    </w:p>
    <w:p w14:paraId="1AB7DCAF" w14:textId="373D817B" w:rsidR="00A916AC" w:rsidRDefault="00A916AC" w:rsidP="00A916AC">
      <w:pPr>
        <w:tabs>
          <w:tab w:val="center" w:pos="3969"/>
          <w:tab w:val="left" w:pos="7371"/>
        </w:tabs>
        <w:spacing w:after="120"/>
        <w:jc w:val="left"/>
        <w:rPr>
          <w:rFonts w:eastAsiaTheme="minorEastAsia"/>
        </w:rPr>
      </w:pPr>
      <w:r>
        <w:rPr>
          <w:rFonts w:eastAsiaTheme="minorEastAsia"/>
        </w:rPr>
        <w:t>Also, for each fuel, the amount of NO</w:t>
      </w:r>
      <w:r w:rsidRPr="00407515">
        <w:rPr>
          <w:rFonts w:eastAsiaTheme="minorEastAsia"/>
          <w:vertAlign w:val="subscript"/>
        </w:rPr>
        <w:t>x</w:t>
      </w:r>
      <w:r>
        <w:rPr>
          <w:rFonts w:eastAsiaTheme="minorEastAsia"/>
        </w:rPr>
        <w:t xml:space="preserve"> produced per kWh is given. Finally, </w:t>
      </w:r>
      <w:r w:rsidR="00407515">
        <w:rPr>
          <w:rFonts w:eastAsiaTheme="minorEastAsia"/>
        </w:rPr>
        <w:t xml:space="preserve">for the sake of comparison, </w:t>
      </w:r>
      <w:r>
        <w:rPr>
          <w:rFonts w:eastAsiaTheme="minorEastAsia"/>
        </w:rPr>
        <w:t xml:space="preserve">the emission index </w:t>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NO</m:t>
                </m:r>
              </m:e>
              <m:sub>
                <m:r>
                  <w:rPr>
                    <w:rFonts w:ascii="Cambria Math" w:hAnsi="Cambria Math"/>
                  </w:rPr>
                  <m:t>x</m:t>
                </m:r>
              </m:sub>
            </m:sSub>
            <m:r>
              <w:rPr>
                <w:rFonts w:ascii="Cambria Math" w:hAnsi="Cambria Math"/>
              </w:rPr>
              <m:t>,fuel</m:t>
            </m:r>
          </m:sub>
        </m:sSub>
      </m:oMath>
      <w:r>
        <w:rPr>
          <w:rFonts w:eastAsiaTheme="minorEastAsia"/>
        </w:rPr>
        <w:t>, for each fuel, was evaluated as the following ratio:</w:t>
      </w:r>
    </w:p>
    <w:p w14:paraId="4AC02E18" w14:textId="45CB025B" w:rsidR="00A916AC" w:rsidRPr="00516FAD" w:rsidRDefault="00000000" w:rsidP="00A916AC">
      <w:pPr>
        <w:tabs>
          <w:tab w:val="clear" w:pos="7100"/>
          <w:tab w:val="left" w:pos="7938"/>
        </w:tabs>
        <w:spacing w:after="120"/>
        <w:jc w:val="left"/>
        <w:rPr>
          <w:rFonts w:eastAsiaTheme="minorEastAsia"/>
        </w:rPr>
      </w:pPr>
      <m:oMath>
        <m:sSub>
          <m:sSubPr>
            <m:ctrlPr>
              <w:rPr>
                <w:rFonts w:ascii="Cambria Math" w:hAnsi="Cambria Math"/>
                <w:i/>
                <w:sz w:val="22"/>
                <w:szCs w:val="24"/>
              </w:rPr>
            </m:ctrlPr>
          </m:sSubPr>
          <m:e>
            <m:r>
              <w:rPr>
                <w:rFonts w:ascii="Cambria Math" w:hAnsi="Cambria Math"/>
                <w:sz w:val="22"/>
                <w:szCs w:val="24"/>
              </w:rPr>
              <m:t>EI</m:t>
            </m:r>
          </m:e>
          <m:sub>
            <m:sSub>
              <m:sSubPr>
                <m:ctrlPr>
                  <w:rPr>
                    <w:rFonts w:ascii="Cambria Math" w:hAnsi="Cambria Math"/>
                    <w:i/>
                    <w:sz w:val="22"/>
                    <w:szCs w:val="24"/>
                  </w:rPr>
                </m:ctrlPr>
              </m:sSubPr>
              <m:e>
                <m:r>
                  <w:rPr>
                    <w:rFonts w:ascii="Cambria Math" w:hAnsi="Cambria Math"/>
                    <w:sz w:val="22"/>
                    <w:szCs w:val="24"/>
                  </w:rPr>
                  <m:t>NO</m:t>
                </m:r>
              </m:e>
              <m:sub>
                <m:r>
                  <w:rPr>
                    <w:rFonts w:ascii="Cambria Math" w:hAnsi="Cambria Math"/>
                    <w:sz w:val="22"/>
                    <w:szCs w:val="24"/>
                  </w:rPr>
                  <m:t>x</m:t>
                </m:r>
              </m:sub>
            </m:sSub>
          </m:sub>
        </m:sSub>
        <m:r>
          <w:rPr>
            <w:rFonts w:ascii="Cambria Math" w:hAnsi="Cambria Math"/>
            <w:sz w:val="22"/>
            <w:szCs w:val="24"/>
          </w:rPr>
          <m:t>=</m:t>
        </m:r>
        <m:f>
          <m:fPr>
            <m:ctrlPr>
              <w:rPr>
                <w:rFonts w:ascii="Cambria Math" w:hAnsi="Cambria Math"/>
                <w:i/>
                <w:sz w:val="22"/>
                <w:szCs w:val="24"/>
              </w:rPr>
            </m:ctrlPr>
          </m:fPr>
          <m:num>
            <m:sSub>
              <m:sSubPr>
                <m:ctrlPr>
                  <w:rPr>
                    <w:rFonts w:ascii="Cambria Math" w:hAnsi="Cambria Math"/>
                    <w:i/>
                    <w:sz w:val="22"/>
                    <w:szCs w:val="24"/>
                  </w:rPr>
                </m:ctrlPr>
              </m:sSubPr>
              <m:e>
                <m:r>
                  <w:rPr>
                    <w:rFonts w:ascii="Cambria Math" w:hAnsi="Cambria Math"/>
                    <w:sz w:val="22"/>
                    <w:szCs w:val="24"/>
                  </w:rPr>
                  <m:t>g</m:t>
                </m:r>
              </m:e>
              <m:sub>
                <m:sSub>
                  <m:sSubPr>
                    <m:ctrlPr>
                      <w:rPr>
                        <w:rFonts w:ascii="Cambria Math" w:hAnsi="Cambria Math"/>
                        <w:i/>
                        <w:sz w:val="22"/>
                        <w:szCs w:val="24"/>
                      </w:rPr>
                    </m:ctrlPr>
                  </m:sSubPr>
                  <m:e>
                    <m:r>
                      <w:rPr>
                        <w:rFonts w:ascii="Cambria Math" w:hAnsi="Cambria Math"/>
                        <w:sz w:val="22"/>
                        <w:szCs w:val="24"/>
                      </w:rPr>
                      <m:t>NO</m:t>
                    </m:r>
                  </m:e>
                  <m:sub>
                    <m:r>
                      <w:rPr>
                        <w:rFonts w:ascii="Cambria Math" w:hAnsi="Cambria Math"/>
                        <w:sz w:val="22"/>
                        <w:szCs w:val="24"/>
                      </w:rPr>
                      <m:t>x</m:t>
                    </m:r>
                  </m:sub>
                </m:sSub>
              </m:sub>
            </m:sSub>
          </m:num>
          <m:den>
            <m:r>
              <w:rPr>
                <w:rFonts w:ascii="Cambria Math" w:hAnsi="Cambria Math"/>
                <w:sz w:val="22"/>
                <w:szCs w:val="24"/>
              </w:rPr>
              <m:t>k</m:t>
            </m:r>
            <m:sSub>
              <m:sSubPr>
                <m:ctrlPr>
                  <w:rPr>
                    <w:rFonts w:ascii="Cambria Math" w:hAnsi="Cambria Math"/>
                    <w:i/>
                    <w:sz w:val="22"/>
                    <w:szCs w:val="24"/>
                  </w:rPr>
                </m:ctrlPr>
              </m:sSubPr>
              <m:e>
                <m:r>
                  <w:rPr>
                    <w:rFonts w:ascii="Cambria Math" w:hAnsi="Cambria Math"/>
                    <w:sz w:val="22"/>
                    <w:szCs w:val="24"/>
                  </w:rPr>
                  <m:t>g</m:t>
                </m:r>
              </m:e>
              <m:sub>
                <m:r>
                  <w:rPr>
                    <w:rFonts w:ascii="Cambria Math" w:hAnsi="Cambria Math"/>
                    <w:sz w:val="22"/>
                    <w:szCs w:val="24"/>
                  </w:rPr>
                  <m:t>fuel</m:t>
                </m:r>
              </m:sub>
            </m:sSub>
          </m:den>
        </m:f>
      </m:oMath>
      <w:r w:rsidR="00A916AC">
        <w:rPr>
          <w:rFonts w:eastAsiaTheme="minorEastAsia"/>
          <w:sz w:val="22"/>
          <w:szCs w:val="24"/>
        </w:rPr>
        <w:tab/>
      </w:r>
      <w:r w:rsidR="00A916AC" w:rsidRPr="00516FAD">
        <w:rPr>
          <w:rFonts w:eastAsiaTheme="minorEastAsia"/>
        </w:rPr>
        <w:t>(2)</w:t>
      </w:r>
    </w:p>
    <w:p w14:paraId="444C79DB" w14:textId="188A5DE7" w:rsidR="00A916AC" w:rsidRDefault="00A916AC" w:rsidP="00A916AC">
      <w:pPr>
        <w:tabs>
          <w:tab w:val="center" w:pos="3969"/>
          <w:tab w:val="left" w:pos="7371"/>
        </w:tabs>
        <w:spacing w:after="120"/>
        <w:jc w:val="left"/>
        <w:rPr>
          <w:rFonts w:eastAsiaTheme="minorEastAsia"/>
        </w:rPr>
      </w:pPr>
      <w:r>
        <w:rPr>
          <w:rFonts w:eastAsiaTheme="minorEastAsia"/>
        </w:rPr>
        <w:t xml:space="preserve">The following Table 1 reports the three fuels' analysed composition and main properties. </w:t>
      </w:r>
    </w:p>
    <w:p w14:paraId="49D74DE2" w14:textId="1E6B2478" w:rsidR="00A916AC" w:rsidRPr="00B57B36" w:rsidRDefault="00A916AC" w:rsidP="00A916AC">
      <w:pPr>
        <w:pStyle w:val="BOACaption"/>
      </w:pPr>
      <w:r w:rsidRPr="00B57B36">
        <w:t xml:space="preserve">Table 1: </w:t>
      </w:r>
      <w:r w:rsidRPr="00A916AC">
        <w:t>Composition</w:t>
      </w:r>
      <w:r>
        <w:t>, heat of combustion,</w:t>
      </w:r>
      <w:r w:rsidRPr="00A916AC">
        <w:t xml:space="preserve"> </w:t>
      </w:r>
      <w:r>
        <w:t xml:space="preserve">storage (st) conditions </w:t>
      </w:r>
      <w:r w:rsidRPr="00A916AC">
        <w:t xml:space="preserve">of fuels analysed in this work. </w:t>
      </w:r>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28"/>
        <w:gridCol w:w="619"/>
        <w:gridCol w:w="722"/>
        <w:gridCol w:w="1399"/>
        <w:gridCol w:w="1278"/>
        <w:gridCol w:w="757"/>
        <w:gridCol w:w="928"/>
        <w:gridCol w:w="928"/>
        <w:gridCol w:w="928"/>
      </w:tblGrid>
      <w:tr w:rsidR="00A916AC" w:rsidRPr="00B57B36" w14:paraId="79D7DFE9" w14:textId="1380AA8C" w:rsidTr="00C82290">
        <w:trPr>
          <w:jc w:val="center"/>
        </w:trPr>
        <w:tc>
          <w:tcPr>
            <w:tcW w:w="699" w:type="pct"/>
            <w:tcBorders>
              <w:top w:val="single" w:sz="12" w:space="0" w:color="008000"/>
              <w:bottom w:val="single" w:sz="6" w:space="0" w:color="008000"/>
            </w:tcBorders>
            <w:shd w:val="clear" w:color="auto" w:fill="FFFFFF"/>
          </w:tcPr>
          <w:p w14:paraId="63D3B6B5" w14:textId="0F89F51B" w:rsidR="00A916AC" w:rsidRPr="00B57B36" w:rsidRDefault="00A916AC" w:rsidP="00A916AC">
            <w:pPr>
              <w:jc w:val="left"/>
            </w:pPr>
            <w:r w:rsidRPr="00E60B2C">
              <w:rPr>
                <w:b/>
                <w:bCs/>
              </w:rPr>
              <w:t>Fuel</w:t>
            </w:r>
          </w:p>
        </w:tc>
        <w:tc>
          <w:tcPr>
            <w:tcW w:w="352" w:type="pct"/>
            <w:tcBorders>
              <w:top w:val="single" w:sz="12" w:space="0" w:color="008000"/>
              <w:bottom w:val="single" w:sz="6" w:space="0" w:color="008000"/>
            </w:tcBorders>
            <w:shd w:val="clear" w:color="auto" w:fill="FFFFFF"/>
          </w:tcPr>
          <w:p w14:paraId="44F01FBC" w14:textId="180C789F" w:rsidR="00A916AC" w:rsidRPr="00E60B2C" w:rsidRDefault="00A916AC" w:rsidP="00A916AC">
            <w:pPr>
              <w:tabs>
                <w:tab w:val="center" w:pos="3969"/>
                <w:tab w:val="left" w:pos="7371"/>
              </w:tabs>
              <w:jc w:val="left"/>
              <w:rPr>
                <w:rFonts w:ascii="Cambria Math" w:eastAsia="Calibri" w:hAnsi="Cambria Math"/>
                <w:oMath/>
              </w:rPr>
            </w:pPr>
            <w:r>
              <w:rPr>
                <w:b/>
                <w:bCs/>
              </w:rPr>
              <w:t xml:space="preserve"> </w:t>
            </w:r>
            <m:oMath>
              <m:sSub>
                <m:sSubPr>
                  <m:ctrlPr>
                    <w:rPr>
                      <w:rFonts w:ascii="Cambria Math" w:eastAsia="Calibri" w:hAnsi="Cambria Math"/>
                      <w:b/>
                      <w:bCs/>
                      <w:i/>
                    </w:rPr>
                  </m:ctrlPr>
                </m:sSubPr>
                <m:e>
                  <m:r>
                    <m:rPr>
                      <m:sty m:val="bi"/>
                    </m:rPr>
                    <w:rPr>
                      <w:rFonts w:ascii="Cambria Math" w:eastAsia="Calibri" w:hAnsi="Cambria Math"/>
                    </w:rPr>
                    <m:t>T</m:t>
                  </m:r>
                </m:e>
                <m:sub>
                  <m:r>
                    <m:rPr>
                      <m:sty m:val="bi"/>
                    </m:rPr>
                    <w:rPr>
                      <w:rFonts w:ascii="Cambria Math" w:eastAsia="Calibri" w:hAnsi="Cambria Math"/>
                    </w:rPr>
                    <m:t>st</m:t>
                  </m:r>
                </m:sub>
              </m:sSub>
            </m:oMath>
          </w:p>
          <w:p w14:paraId="4C153544" w14:textId="317C181F" w:rsidR="00A916AC" w:rsidRPr="00B57B36" w:rsidRDefault="00A916AC" w:rsidP="00A916AC">
            <w:pPr>
              <w:jc w:val="left"/>
            </w:pPr>
            <w:r>
              <w:rPr>
                <w:b/>
              </w:rPr>
              <w:t xml:space="preserve"> </w:t>
            </w:r>
            <m:oMath>
              <m:r>
                <m:rPr>
                  <m:sty m:val="bi"/>
                </m:rPr>
                <w:rPr>
                  <w:rFonts w:ascii="Cambria Math" w:eastAsia="Calibri" w:hAnsi="Cambria Math"/>
                </w:rPr>
                <m:t>K</m:t>
              </m:r>
            </m:oMath>
          </w:p>
        </w:tc>
        <w:tc>
          <w:tcPr>
            <w:tcW w:w="411" w:type="pct"/>
            <w:tcBorders>
              <w:top w:val="single" w:sz="12" w:space="0" w:color="008000"/>
              <w:bottom w:val="single" w:sz="6" w:space="0" w:color="008000"/>
            </w:tcBorders>
            <w:shd w:val="clear" w:color="auto" w:fill="FFFFFF"/>
          </w:tcPr>
          <w:p w14:paraId="122AA54F" w14:textId="00B6251F" w:rsidR="00A916AC" w:rsidRPr="00E60B2C" w:rsidRDefault="00A916AC" w:rsidP="00A916AC">
            <w:pPr>
              <w:tabs>
                <w:tab w:val="center" w:pos="3969"/>
                <w:tab w:val="left" w:pos="7371"/>
              </w:tabs>
              <w:jc w:val="left"/>
              <w:rPr>
                <w:rFonts w:ascii="Cambria Math" w:eastAsia="Calibri" w:hAnsi="Cambria Math"/>
                <w:oMath/>
              </w:rPr>
            </w:pPr>
            <w:r>
              <w:rPr>
                <w:b/>
                <w:bCs/>
              </w:rPr>
              <w:t xml:space="preserve"> </w:t>
            </w:r>
            <m:oMath>
              <m:sSub>
                <m:sSubPr>
                  <m:ctrlPr>
                    <w:rPr>
                      <w:rFonts w:ascii="Cambria Math" w:eastAsia="Calibri" w:hAnsi="Cambria Math"/>
                      <w:b/>
                      <w:bCs/>
                      <w:i/>
                    </w:rPr>
                  </m:ctrlPr>
                </m:sSubPr>
                <m:e>
                  <m:r>
                    <m:rPr>
                      <m:sty m:val="bi"/>
                    </m:rPr>
                    <w:rPr>
                      <w:rFonts w:ascii="Cambria Math" w:eastAsia="Calibri" w:hAnsi="Cambria Math"/>
                    </w:rPr>
                    <m:t>P</m:t>
                  </m:r>
                </m:e>
                <m:sub>
                  <m:r>
                    <m:rPr>
                      <m:sty m:val="bi"/>
                    </m:rPr>
                    <w:rPr>
                      <w:rFonts w:ascii="Cambria Math" w:eastAsia="Calibri" w:hAnsi="Cambria Math"/>
                    </w:rPr>
                    <m:t>st</m:t>
                  </m:r>
                </m:sub>
              </m:sSub>
            </m:oMath>
          </w:p>
          <w:p w14:paraId="64A940AD" w14:textId="66BAD127" w:rsidR="00A916AC" w:rsidRPr="00B57B36" w:rsidRDefault="00A916AC" w:rsidP="00A916AC">
            <w:pPr>
              <w:jc w:val="left"/>
            </w:pPr>
            <w:r>
              <w:rPr>
                <w:b/>
              </w:rPr>
              <w:t xml:space="preserve"> </w:t>
            </w:r>
            <m:oMath>
              <m:r>
                <m:rPr>
                  <m:sty m:val="bi"/>
                </m:rPr>
                <w:rPr>
                  <w:rFonts w:ascii="Cambria Math" w:eastAsia="Calibri" w:hAnsi="Cambria Math"/>
                </w:rPr>
                <m:t>bar</m:t>
              </m:r>
            </m:oMath>
          </w:p>
        </w:tc>
        <w:tc>
          <w:tcPr>
            <w:tcW w:w="796" w:type="pct"/>
            <w:tcBorders>
              <w:top w:val="single" w:sz="12" w:space="0" w:color="008000"/>
              <w:bottom w:val="single" w:sz="6" w:space="0" w:color="008000"/>
            </w:tcBorders>
            <w:shd w:val="clear" w:color="auto" w:fill="FFFFFF"/>
          </w:tcPr>
          <w:p w14:paraId="7E7C4FEE" w14:textId="27F6BC88" w:rsidR="00A916AC" w:rsidRPr="00E60B2C" w:rsidRDefault="00A916AC" w:rsidP="00A916AC">
            <w:pPr>
              <w:tabs>
                <w:tab w:val="center" w:pos="3969"/>
                <w:tab w:val="left" w:pos="7371"/>
              </w:tabs>
              <w:jc w:val="left"/>
              <w:rPr>
                <w:rFonts w:eastAsiaTheme="minorEastAsia"/>
                <w:b/>
                <w:bCs/>
              </w:rPr>
            </w:pPr>
            <w:r>
              <w:rPr>
                <w:b/>
              </w:rPr>
              <w:t xml:space="preserve"> </w:t>
            </w:r>
            <m:oMath>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∆H</m:t>
                  </m:r>
                </m:e>
                <m:sub>
                  <m:r>
                    <m:rPr>
                      <m:sty m:val="bi"/>
                    </m:rPr>
                    <w:rPr>
                      <w:rFonts w:ascii="Cambria Math" w:hAnsi="Cambria Math"/>
                    </w:rPr>
                    <m:t>c,298 K</m:t>
                  </m:r>
                </m:sub>
                <m:sup>
                  <m:r>
                    <m:rPr>
                      <m:sty m:val="bi"/>
                    </m:rPr>
                    <w:rPr>
                      <w:rFonts w:ascii="Cambria Math" w:hAnsi="Cambria Math"/>
                    </w:rPr>
                    <m:t>o</m:t>
                  </m:r>
                </m:sup>
              </m:sSubSup>
            </m:oMath>
          </w:p>
          <w:p w14:paraId="4C2317EB" w14:textId="3FAB79E9" w:rsidR="00A916AC" w:rsidRPr="00B57B36" w:rsidRDefault="00A916AC" w:rsidP="00A916AC">
            <w:pPr>
              <w:ind w:right="-1"/>
              <w:jc w:val="left"/>
              <w:rPr>
                <w:rFonts w:cs="Arial"/>
                <w:szCs w:val="18"/>
              </w:rPr>
            </w:pPr>
            <w:r>
              <w:rPr>
                <w:rFonts w:eastAsiaTheme="minorEastAsia"/>
                <w:b/>
              </w:rPr>
              <w:t xml:space="preserve"> </w:t>
            </w:r>
            <m:oMath>
              <m:r>
                <m:rPr>
                  <m:sty m:val="bi"/>
                </m:rPr>
                <w:rPr>
                  <w:rFonts w:ascii="Cambria Math" w:hAnsi="Cambria Math"/>
                </w:rPr>
                <m:t>kJ/mol</m:t>
              </m:r>
            </m:oMath>
          </w:p>
        </w:tc>
        <w:tc>
          <w:tcPr>
            <w:tcW w:w="727" w:type="pct"/>
            <w:tcBorders>
              <w:top w:val="single" w:sz="12" w:space="0" w:color="008000"/>
              <w:bottom w:val="single" w:sz="6" w:space="0" w:color="008000"/>
            </w:tcBorders>
            <w:shd w:val="clear" w:color="auto" w:fill="FFFFFF"/>
          </w:tcPr>
          <w:p w14:paraId="2C5458A9" w14:textId="3070A494" w:rsidR="00A916AC" w:rsidRPr="00E60B2C" w:rsidRDefault="00A916AC" w:rsidP="00A916AC">
            <w:pPr>
              <w:tabs>
                <w:tab w:val="center" w:pos="3969"/>
                <w:tab w:val="left" w:pos="7371"/>
              </w:tabs>
              <w:jc w:val="left"/>
              <w:rPr>
                <w:rFonts w:eastAsiaTheme="minorEastAsia"/>
                <w:b/>
                <w:bCs/>
              </w:rPr>
            </w:pPr>
            <w:r>
              <w:rPr>
                <w:rFonts w:cs="Arial"/>
                <w:b/>
                <w:bCs/>
              </w:rPr>
              <w:t xml:space="preserve"> </w:t>
            </w:r>
            <m:oMath>
              <m:sSub>
                <m:sSubPr>
                  <m:ctrlPr>
                    <w:rPr>
                      <w:rFonts w:ascii="Cambria Math" w:hAnsi="Cambria Math"/>
                      <w:b/>
                      <w:bCs/>
                      <w:i/>
                    </w:rPr>
                  </m:ctrlPr>
                </m:sSubPr>
                <m:e>
                  <m:r>
                    <m:rPr>
                      <m:sty m:val="bi"/>
                    </m:rPr>
                    <w:rPr>
                      <w:rFonts w:ascii="Cambria Math" w:hAnsi="Cambria Math"/>
                    </w:rPr>
                    <m:t>ρ</m:t>
                  </m:r>
                </m:e>
                <m:sub>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sub>
              </m:sSub>
            </m:oMath>
          </w:p>
          <w:p w14:paraId="795981DC" w14:textId="0DF6DA69" w:rsidR="00A916AC" w:rsidRPr="00B57B36" w:rsidRDefault="00A916AC" w:rsidP="00A916AC">
            <w:pPr>
              <w:ind w:right="-1"/>
              <w:jc w:val="left"/>
              <w:rPr>
                <w:rFonts w:cs="Arial"/>
                <w:szCs w:val="18"/>
              </w:rPr>
            </w:pPr>
            <w:r>
              <w:rPr>
                <w:rFonts w:eastAsiaTheme="minorEastAsia"/>
                <w:b/>
              </w:rPr>
              <w:t xml:space="preserve"> </w:t>
            </w:r>
            <m:oMath>
              <m:r>
                <m:rPr>
                  <m:sty m:val="bi"/>
                </m:rPr>
                <w:rPr>
                  <w:rFonts w:ascii="Cambria Math" w:hAnsi="Cambria Math"/>
                </w:rPr>
                <m:t>kg/</m:t>
              </m:r>
              <m:sSup>
                <m:sSupPr>
                  <m:ctrlPr>
                    <w:rPr>
                      <w:rFonts w:ascii="Cambria Math" w:hAnsi="Cambria Math"/>
                      <w:b/>
                      <w:bCs/>
                      <w:i/>
                    </w:rPr>
                  </m:ctrlPr>
                </m:sSupPr>
                <m:e>
                  <m:r>
                    <m:rPr>
                      <m:sty m:val="bi"/>
                    </m:rPr>
                    <w:rPr>
                      <w:rFonts w:ascii="Cambria Math" w:hAnsi="Cambria Math"/>
                    </w:rPr>
                    <m:t>m</m:t>
                  </m:r>
                </m:e>
                <m:sup>
                  <m:r>
                    <m:rPr>
                      <m:sty m:val="bi"/>
                    </m:rPr>
                    <w:rPr>
                      <w:rFonts w:ascii="Cambria Math" w:hAnsi="Cambria Math"/>
                    </w:rPr>
                    <m:t>3</m:t>
                  </m:r>
                </m:sup>
              </m:sSup>
            </m:oMath>
          </w:p>
        </w:tc>
        <w:tc>
          <w:tcPr>
            <w:tcW w:w="431" w:type="pct"/>
            <w:tcBorders>
              <w:top w:val="single" w:sz="12" w:space="0" w:color="008000"/>
              <w:bottom w:val="single" w:sz="6" w:space="0" w:color="008000"/>
            </w:tcBorders>
            <w:shd w:val="clear" w:color="auto" w:fill="FFFFFF"/>
          </w:tcPr>
          <w:p w14:paraId="0312EBE5" w14:textId="5225B58D" w:rsidR="00A916AC" w:rsidRDefault="00A916AC" w:rsidP="00A916AC">
            <w:pPr>
              <w:tabs>
                <w:tab w:val="center" w:pos="3969"/>
                <w:tab w:val="left" w:pos="7371"/>
              </w:tabs>
              <w:jc w:val="left"/>
              <w:rPr>
                <w:rFonts w:eastAsia="MS PGothic"/>
                <w:b/>
                <w:bCs/>
              </w:rPr>
            </w:pPr>
            <w:r>
              <w:rPr>
                <w:rFonts w:cs="Arial"/>
                <w:b/>
              </w:rPr>
              <w:t xml:space="preserve"> </w:t>
            </w:r>
            <m:oMath>
              <m:r>
                <m:rPr>
                  <m:sty m:val="bi"/>
                </m:rPr>
                <w:rPr>
                  <w:rFonts w:ascii="Cambria Math" w:hAnsi="Cambria Math"/>
                </w:rPr>
                <m:t>φ</m:t>
              </m:r>
            </m:oMath>
          </w:p>
        </w:tc>
        <w:tc>
          <w:tcPr>
            <w:tcW w:w="528" w:type="pct"/>
            <w:tcBorders>
              <w:top w:val="single" w:sz="12" w:space="0" w:color="008000"/>
              <w:bottom w:val="single" w:sz="6" w:space="0" w:color="008000"/>
            </w:tcBorders>
            <w:shd w:val="clear" w:color="auto" w:fill="FFFFFF"/>
          </w:tcPr>
          <w:p w14:paraId="4E1FD9B5" w14:textId="0BB2CB8A" w:rsidR="00A916AC" w:rsidRDefault="00A916AC" w:rsidP="00A916AC">
            <w:pPr>
              <w:tabs>
                <w:tab w:val="center" w:pos="3969"/>
                <w:tab w:val="left" w:pos="7371"/>
              </w:tabs>
              <w:jc w:val="left"/>
              <w:rPr>
                <w:rFonts w:eastAsia="MS PGothic"/>
                <w:b/>
                <w:bCs/>
              </w:rPr>
            </w:pPr>
            <w:r>
              <w:rPr>
                <w:rFonts w:eastAsia="MS PGothic"/>
                <w:b/>
                <w:bCs/>
              </w:rPr>
              <w:t xml:space="preserve"> </w:t>
            </w:r>
            <m:oMath>
              <m:sSub>
                <m:sSubPr>
                  <m:ctrlPr>
                    <w:rPr>
                      <w:rFonts w:ascii="Cambria Math" w:eastAsia="Calibri" w:hAnsi="Cambria Math"/>
                      <w:b/>
                      <w:bCs/>
                      <w:i/>
                    </w:rPr>
                  </m:ctrlPr>
                </m:sSubPr>
                <m:e>
                  <m:r>
                    <m:rPr>
                      <m:sty m:val="bi"/>
                    </m:rPr>
                    <w:rPr>
                      <w:rFonts w:ascii="Cambria Math" w:eastAsia="Calibri" w:hAnsi="Cambria Math"/>
                    </w:rPr>
                    <m:t>x</m:t>
                  </m:r>
                </m:e>
                <m:sub>
                  <m:r>
                    <m:rPr>
                      <m:sty m:val="bi"/>
                    </m:rPr>
                    <w:rPr>
                      <w:rFonts w:ascii="Cambria Math" w:eastAsia="Calibri" w:hAnsi="Cambria Math"/>
                    </w:rPr>
                    <m:t>fuel</m:t>
                  </m:r>
                </m:sub>
              </m:sSub>
            </m:oMath>
          </w:p>
        </w:tc>
        <w:tc>
          <w:tcPr>
            <w:tcW w:w="528" w:type="pct"/>
            <w:tcBorders>
              <w:top w:val="single" w:sz="12" w:space="0" w:color="008000"/>
              <w:bottom w:val="single" w:sz="6" w:space="0" w:color="008000"/>
            </w:tcBorders>
            <w:shd w:val="clear" w:color="auto" w:fill="FFFFFF"/>
          </w:tcPr>
          <w:p w14:paraId="031C0657" w14:textId="653718BD" w:rsidR="00A916AC" w:rsidRDefault="00A916AC" w:rsidP="00A916AC">
            <w:pPr>
              <w:tabs>
                <w:tab w:val="center" w:pos="3969"/>
                <w:tab w:val="left" w:pos="7371"/>
              </w:tabs>
              <w:jc w:val="left"/>
              <w:rPr>
                <w:rFonts w:eastAsia="MS PGothic"/>
                <w:b/>
                <w:bCs/>
              </w:rPr>
            </w:pPr>
            <w:r>
              <w:rPr>
                <w:rFonts w:eastAsia="MS PGothic"/>
                <w:b/>
                <w:bCs/>
              </w:rPr>
              <w:t xml:space="preserve"> </w:t>
            </w:r>
            <m:oMath>
              <m:sSub>
                <m:sSubPr>
                  <m:ctrlPr>
                    <w:rPr>
                      <w:rFonts w:ascii="Cambria Math" w:eastAsia="Calibri" w:hAnsi="Cambria Math"/>
                      <w:b/>
                      <w:bCs/>
                      <w:i/>
                    </w:rPr>
                  </m:ctrlPr>
                </m:sSubPr>
                <m:e>
                  <m:r>
                    <m:rPr>
                      <m:sty m:val="bi"/>
                    </m:rPr>
                    <w:rPr>
                      <w:rFonts w:ascii="Cambria Math" w:eastAsia="Calibri" w:hAnsi="Cambria Math"/>
                    </w:rPr>
                    <m:t>x</m:t>
                  </m:r>
                </m:e>
                <m:sub>
                  <m:sSub>
                    <m:sSubPr>
                      <m:ctrlPr>
                        <w:rPr>
                          <w:rFonts w:ascii="Cambria Math" w:eastAsia="Calibri" w:hAnsi="Cambria Math"/>
                          <w:b/>
                          <w:bCs/>
                          <w:i/>
                        </w:rPr>
                      </m:ctrlPr>
                    </m:sSubPr>
                    <m:e>
                      <m:r>
                        <m:rPr>
                          <m:sty m:val="bi"/>
                        </m:rPr>
                        <w:rPr>
                          <w:rFonts w:ascii="Cambria Math" w:eastAsia="Calibri" w:hAnsi="Cambria Math"/>
                        </w:rPr>
                        <m:t>O</m:t>
                      </m:r>
                    </m:e>
                    <m:sub>
                      <m:r>
                        <m:rPr>
                          <m:sty m:val="bi"/>
                        </m:rPr>
                        <w:rPr>
                          <w:rFonts w:ascii="Cambria Math" w:eastAsia="Calibri" w:hAnsi="Cambria Math"/>
                        </w:rPr>
                        <m:t>2</m:t>
                      </m:r>
                    </m:sub>
                  </m:sSub>
                </m:sub>
              </m:sSub>
            </m:oMath>
          </w:p>
        </w:tc>
        <w:tc>
          <w:tcPr>
            <w:tcW w:w="528" w:type="pct"/>
            <w:tcBorders>
              <w:top w:val="single" w:sz="12" w:space="0" w:color="008000"/>
              <w:bottom w:val="single" w:sz="6" w:space="0" w:color="008000"/>
            </w:tcBorders>
            <w:shd w:val="clear" w:color="auto" w:fill="FFFFFF"/>
          </w:tcPr>
          <w:p w14:paraId="4A1B761B" w14:textId="0DBCFFED" w:rsidR="00A916AC" w:rsidRDefault="00A916AC" w:rsidP="00A916AC">
            <w:pPr>
              <w:tabs>
                <w:tab w:val="center" w:pos="3969"/>
                <w:tab w:val="left" w:pos="7371"/>
              </w:tabs>
              <w:jc w:val="left"/>
              <w:rPr>
                <w:rFonts w:eastAsia="MS PGothic"/>
                <w:b/>
                <w:bCs/>
              </w:rPr>
            </w:pPr>
            <w:r>
              <w:rPr>
                <w:rFonts w:eastAsia="MS PGothic"/>
                <w:b/>
                <w:bCs/>
              </w:rPr>
              <w:t xml:space="preserve"> </w:t>
            </w:r>
            <m:oMath>
              <m:sSub>
                <m:sSubPr>
                  <m:ctrlPr>
                    <w:rPr>
                      <w:rFonts w:ascii="Cambria Math" w:eastAsia="Calibri" w:hAnsi="Cambria Math"/>
                      <w:b/>
                      <w:bCs/>
                      <w:i/>
                    </w:rPr>
                  </m:ctrlPr>
                </m:sSubPr>
                <m:e>
                  <m:r>
                    <m:rPr>
                      <m:sty m:val="bi"/>
                    </m:rPr>
                    <w:rPr>
                      <w:rFonts w:ascii="Cambria Math" w:eastAsia="Calibri" w:hAnsi="Cambria Math"/>
                    </w:rPr>
                    <m:t>x</m:t>
                  </m:r>
                </m:e>
                <m:sub>
                  <m:sSub>
                    <m:sSubPr>
                      <m:ctrlPr>
                        <w:rPr>
                          <w:rFonts w:ascii="Cambria Math" w:eastAsia="Calibri" w:hAnsi="Cambria Math"/>
                          <w:b/>
                          <w:bCs/>
                          <w:i/>
                        </w:rPr>
                      </m:ctrlPr>
                    </m:sSubPr>
                    <m:e>
                      <m:r>
                        <m:rPr>
                          <m:sty m:val="bi"/>
                        </m:rPr>
                        <w:rPr>
                          <w:rFonts w:ascii="Cambria Math" w:eastAsia="Calibri" w:hAnsi="Cambria Math"/>
                        </w:rPr>
                        <m:t>N</m:t>
                      </m:r>
                    </m:e>
                    <m:sub>
                      <m:r>
                        <m:rPr>
                          <m:sty m:val="bi"/>
                        </m:rPr>
                        <w:rPr>
                          <w:rFonts w:ascii="Cambria Math" w:eastAsia="Calibri" w:hAnsi="Cambria Math"/>
                        </w:rPr>
                        <m:t>2</m:t>
                      </m:r>
                    </m:sub>
                  </m:sSub>
                </m:sub>
              </m:sSub>
            </m:oMath>
          </w:p>
        </w:tc>
      </w:tr>
      <w:tr w:rsidR="00A916AC" w:rsidRPr="00B57B36" w14:paraId="36D68130" w14:textId="1A8EBAF5" w:rsidTr="00C82290">
        <w:trPr>
          <w:jc w:val="center"/>
        </w:trPr>
        <w:tc>
          <w:tcPr>
            <w:tcW w:w="699" w:type="pct"/>
            <w:shd w:val="clear" w:color="auto" w:fill="FFFFFF"/>
          </w:tcPr>
          <w:p w14:paraId="69B5EBBF" w14:textId="5800DE73" w:rsidR="00A916AC" w:rsidRPr="00B57B36" w:rsidRDefault="00A916AC" w:rsidP="00A916AC">
            <w:pPr>
              <w:tabs>
                <w:tab w:val="center" w:pos="3969"/>
                <w:tab w:val="left" w:pos="7371"/>
              </w:tabs>
              <w:jc w:val="left"/>
            </w:pPr>
            <w:r w:rsidRPr="00E265B4">
              <w:rPr>
                <w:szCs w:val="18"/>
              </w:rPr>
              <w:t>H</w:t>
            </w:r>
            <w:r w:rsidRPr="00E265B4">
              <w:rPr>
                <w:szCs w:val="18"/>
                <w:vertAlign w:val="subscript"/>
              </w:rPr>
              <w:t>2</w:t>
            </w:r>
            <w:r>
              <w:rPr>
                <w:szCs w:val="18"/>
                <w:vertAlign w:val="subscript"/>
              </w:rPr>
              <w:t xml:space="preserve"> </w:t>
            </w:r>
            <w:r w:rsidRPr="00E265B4">
              <w:rPr>
                <w:szCs w:val="18"/>
              </w:rPr>
              <w:t>(liq)</w:t>
            </w:r>
          </w:p>
        </w:tc>
        <w:tc>
          <w:tcPr>
            <w:tcW w:w="352" w:type="pct"/>
            <w:shd w:val="clear" w:color="auto" w:fill="FFFFFF"/>
          </w:tcPr>
          <w:p w14:paraId="0321F334" w14:textId="70985522" w:rsidR="00A916AC" w:rsidRPr="00B57B36" w:rsidRDefault="00A916AC" w:rsidP="00A916AC">
            <w:pPr>
              <w:jc w:val="left"/>
            </w:pPr>
            <w:r w:rsidRPr="00E265B4">
              <w:rPr>
                <w:szCs w:val="18"/>
              </w:rPr>
              <w:t>298</w:t>
            </w:r>
          </w:p>
        </w:tc>
        <w:tc>
          <w:tcPr>
            <w:tcW w:w="411" w:type="pct"/>
            <w:shd w:val="clear" w:color="auto" w:fill="FFFFFF"/>
          </w:tcPr>
          <w:p w14:paraId="487BCC2F" w14:textId="1F06DE6F" w:rsidR="00A916AC" w:rsidRPr="00B57B36" w:rsidRDefault="00A916AC" w:rsidP="00A916AC">
            <w:pPr>
              <w:jc w:val="left"/>
            </w:pPr>
            <w:r w:rsidRPr="00E265B4">
              <w:rPr>
                <w:szCs w:val="18"/>
              </w:rPr>
              <w:t>700</w:t>
            </w:r>
          </w:p>
        </w:tc>
        <w:tc>
          <w:tcPr>
            <w:tcW w:w="796" w:type="pct"/>
            <w:shd w:val="clear" w:color="auto" w:fill="FFFFFF"/>
          </w:tcPr>
          <w:p w14:paraId="50550D0E" w14:textId="7DC953F6" w:rsidR="00A916AC" w:rsidRPr="00B57B36" w:rsidRDefault="00A916AC" w:rsidP="00A916AC">
            <w:pPr>
              <w:tabs>
                <w:tab w:val="center" w:pos="3969"/>
                <w:tab w:val="left" w:pos="7371"/>
              </w:tabs>
              <w:jc w:val="left"/>
              <w:rPr>
                <w:rFonts w:cs="Arial"/>
                <w:szCs w:val="18"/>
              </w:rPr>
            </w:pPr>
            <w:r w:rsidRPr="00E265B4">
              <w:rPr>
                <w:szCs w:val="18"/>
              </w:rPr>
              <w:t>285.8</w:t>
            </w:r>
            <w:r>
              <w:rPr>
                <w:szCs w:val="18"/>
              </w:rPr>
              <w:t xml:space="preserve"> </w:t>
            </w:r>
            <w:r w:rsidRPr="00E265B4">
              <w:rPr>
                <w:szCs w:val="18"/>
              </w:rPr>
              <w:t>(gas)</w:t>
            </w:r>
          </w:p>
        </w:tc>
        <w:tc>
          <w:tcPr>
            <w:tcW w:w="727" w:type="pct"/>
            <w:shd w:val="clear" w:color="auto" w:fill="FFFFFF"/>
          </w:tcPr>
          <w:p w14:paraId="69E2A4BB" w14:textId="00AE0BDE" w:rsidR="00A916AC" w:rsidRPr="00B57B36" w:rsidRDefault="00A916AC" w:rsidP="00A916AC">
            <w:pPr>
              <w:ind w:right="-1"/>
              <w:jc w:val="left"/>
              <w:rPr>
                <w:rFonts w:cs="Arial"/>
                <w:szCs w:val="18"/>
              </w:rPr>
            </w:pPr>
            <w:r w:rsidRPr="00E265B4">
              <w:rPr>
                <w:szCs w:val="18"/>
              </w:rPr>
              <w:t>39.6</w:t>
            </w:r>
          </w:p>
        </w:tc>
        <w:tc>
          <w:tcPr>
            <w:tcW w:w="431" w:type="pct"/>
            <w:shd w:val="clear" w:color="auto" w:fill="FFFFFF"/>
          </w:tcPr>
          <w:p w14:paraId="2B467325" w14:textId="3009F241" w:rsidR="00A916AC" w:rsidRPr="00B57B36" w:rsidRDefault="00A916AC" w:rsidP="00A916AC">
            <w:pPr>
              <w:ind w:right="-1"/>
              <w:jc w:val="left"/>
              <w:rPr>
                <w:rFonts w:cs="Arial"/>
                <w:szCs w:val="18"/>
              </w:rPr>
            </w:pPr>
            <w:r w:rsidRPr="00E265B4">
              <w:rPr>
                <w:szCs w:val="18"/>
              </w:rPr>
              <w:t>0.8</w:t>
            </w:r>
          </w:p>
        </w:tc>
        <w:tc>
          <w:tcPr>
            <w:tcW w:w="528" w:type="pct"/>
            <w:shd w:val="clear" w:color="auto" w:fill="FFFFFF"/>
          </w:tcPr>
          <w:p w14:paraId="2C08AA09" w14:textId="089F80B5" w:rsidR="00A916AC" w:rsidRPr="00B57B36" w:rsidRDefault="00A916AC" w:rsidP="00A916AC">
            <w:pPr>
              <w:ind w:right="-1"/>
              <w:jc w:val="left"/>
              <w:rPr>
                <w:rFonts w:cs="Arial"/>
                <w:szCs w:val="18"/>
              </w:rPr>
            </w:pPr>
            <w:r w:rsidRPr="00E265B4">
              <w:rPr>
                <w:szCs w:val="18"/>
              </w:rPr>
              <w:t>0.183</w:t>
            </w:r>
          </w:p>
        </w:tc>
        <w:tc>
          <w:tcPr>
            <w:tcW w:w="528" w:type="pct"/>
            <w:shd w:val="clear" w:color="auto" w:fill="FFFFFF"/>
          </w:tcPr>
          <w:p w14:paraId="6142522A" w14:textId="6A195D9B" w:rsidR="00A916AC" w:rsidRPr="00B57B36" w:rsidRDefault="00A916AC" w:rsidP="00A916AC">
            <w:pPr>
              <w:ind w:right="-1"/>
              <w:jc w:val="left"/>
              <w:rPr>
                <w:rFonts w:cs="Arial"/>
                <w:szCs w:val="18"/>
              </w:rPr>
            </w:pPr>
            <w:r w:rsidRPr="00E265B4">
              <w:rPr>
                <w:szCs w:val="18"/>
              </w:rPr>
              <w:t>0.172</w:t>
            </w:r>
          </w:p>
        </w:tc>
        <w:tc>
          <w:tcPr>
            <w:tcW w:w="528" w:type="pct"/>
            <w:shd w:val="clear" w:color="auto" w:fill="FFFFFF"/>
          </w:tcPr>
          <w:p w14:paraId="70A717FA" w14:textId="6A28EE31" w:rsidR="00A916AC" w:rsidRPr="00B57B36" w:rsidRDefault="00A916AC" w:rsidP="00A916AC">
            <w:pPr>
              <w:ind w:right="-1"/>
              <w:jc w:val="left"/>
              <w:rPr>
                <w:rFonts w:cs="Arial"/>
                <w:szCs w:val="18"/>
              </w:rPr>
            </w:pPr>
            <w:r w:rsidRPr="00E265B4">
              <w:rPr>
                <w:szCs w:val="18"/>
              </w:rPr>
              <w:t>0.645</w:t>
            </w:r>
          </w:p>
        </w:tc>
      </w:tr>
      <w:tr w:rsidR="00A916AC" w:rsidRPr="00B57B36" w14:paraId="423B51F9" w14:textId="554FBCE4" w:rsidTr="00C82290">
        <w:trPr>
          <w:jc w:val="center"/>
        </w:trPr>
        <w:tc>
          <w:tcPr>
            <w:tcW w:w="699" w:type="pct"/>
            <w:shd w:val="clear" w:color="auto" w:fill="FFFFFF"/>
          </w:tcPr>
          <w:p w14:paraId="5E26CD73" w14:textId="77777777" w:rsidR="00A916AC" w:rsidRPr="00B57B36" w:rsidRDefault="00A916AC" w:rsidP="00A916AC">
            <w:pPr>
              <w:ind w:right="-1"/>
              <w:jc w:val="left"/>
              <w:rPr>
                <w:rFonts w:cs="Arial"/>
                <w:szCs w:val="18"/>
              </w:rPr>
            </w:pPr>
          </w:p>
        </w:tc>
        <w:tc>
          <w:tcPr>
            <w:tcW w:w="352" w:type="pct"/>
            <w:shd w:val="clear" w:color="auto" w:fill="FFFFFF"/>
          </w:tcPr>
          <w:p w14:paraId="11A4ABC4" w14:textId="77777777" w:rsidR="00A916AC" w:rsidRPr="00B57B36" w:rsidRDefault="00A916AC" w:rsidP="00A916AC">
            <w:pPr>
              <w:ind w:right="-1"/>
              <w:jc w:val="left"/>
              <w:rPr>
                <w:rFonts w:cs="Arial"/>
                <w:szCs w:val="18"/>
              </w:rPr>
            </w:pPr>
          </w:p>
        </w:tc>
        <w:tc>
          <w:tcPr>
            <w:tcW w:w="411" w:type="pct"/>
            <w:shd w:val="clear" w:color="auto" w:fill="FFFFFF"/>
          </w:tcPr>
          <w:p w14:paraId="755E42C2" w14:textId="77777777" w:rsidR="00A916AC" w:rsidRPr="00B57B36" w:rsidRDefault="00A916AC" w:rsidP="00A916AC">
            <w:pPr>
              <w:ind w:right="-1"/>
              <w:jc w:val="left"/>
              <w:rPr>
                <w:rFonts w:cs="Arial"/>
                <w:szCs w:val="18"/>
              </w:rPr>
            </w:pPr>
          </w:p>
        </w:tc>
        <w:tc>
          <w:tcPr>
            <w:tcW w:w="796" w:type="pct"/>
            <w:shd w:val="clear" w:color="auto" w:fill="FFFFFF"/>
          </w:tcPr>
          <w:p w14:paraId="3C341466" w14:textId="77777777" w:rsidR="00A916AC" w:rsidRPr="00B57B36" w:rsidRDefault="00A916AC" w:rsidP="00A916AC">
            <w:pPr>
              <w:ind w:right="-1"/>
              <w:jc w:val="left"/>
              <w:rPr>
                <w:rFonts w:cs="Arial"/>
                <w:szCs w:val="18"/>
              </w:rPr>
            </w:pPr>
          </w:p>
        </w:tc>
        <w:tc>
          <w:tcPr>
            <w:tcW w:w="727" w:type="pct"/>
            <w:shd w:val="clear" w:color="auto" w:fill="FFFFFF"/>
          </w:tcPr>
          <w:p w14:paraId="34FF53B7" w14:textId="77777777" w:rsidR="00A916AC" w:rsidRPr="00B57B36" w:rsidRDefault="00A916AC" w:rsidP="00A916AC">
            <w:pPr>
              <w:ind w:right="-1"/>
              <w:jc w:val="left"/>
              <w:rPr>
                <w:rFonts w:cs="Arial"/>
                <w:szCs w:val="18"/>
              </w:rPr>
            </w:pPr>
          </w:p>
        </w:tc>
        <w:tc>
          <w:tcPr>
            <w:tcW w:w="431" w:type="pct"/>
            <w:shd w:val="clear" w:color="auto" w:fill="FFFFFF"/>
          </w:tcPr>
          <w:p w14:paraId="7146D20A" w14:textId="3F46BF18" w:rsidR="00A916AC" w:rsidRPr="00B57B36" w:rsidRDefault="00A916AC" w:rsidP="00A916AC">
            <w:pPr>
              <w:ind w:right="-1"/>
              <w:jc w:val="left"/>
              <w:rPr>
                <w:rFonts w:cs="Arial"/>
                <w:szCs w:val="18"/>
              </w:rPr>
            </w:pPr>
            <w:r w:rsidRPr="00E265B4">
              <w:rPr>
                <w:szCs w:val="18"/>
              </w:rPr>
              <w:t>1.0</w:t>
            </w:r>
          </w:p>
        </w:tc>
        <w:tc>
          <w:tcPr>
            <w:tcW w:w="528" w:type="pct"/>
            <w:shd w:val="clear" w:color="auto" w:fill="FFFFFF"/>
          </w:tcPr>
          <w:p w14:paraId="55804E5B" w14:textId="181DC7C6" w:rsidR="00A916AC" w:rsidRPr="00B57B36" w:rsidRDefault="00A916AC" w:rsidP="00A916AC">
            <w:pPr>
              <w:ind w:right="-1"/>
              <w:jc w:val="left"/>
              <w:rPr>
                <w:rFonts w:cs="Arial"/>
                <w:szCs w:val="18"/>
              </w:rPr>
            </w:pPr>
            <w:r w:rsidRPr="00E265B4">
              <w:rPr>
                <w:szCs w:val="18"/>
              </w:rPr>
              <w:t>0.251</w:t>
            </w:r>
          </w:p>
        </w:tc>
        <w:tc>
          <w:tcPr>
            <w:tcW w:w="528" w:type="pct"/>
            <w:shd w:val="clear" w:color="auto" w:fill="FFFFFF"/>
          </w:tcPr>
          <w:p w14:paraId="4AFCB9CC" w14:textId="4985B86B" w:rsidR="00A916AC" w:rsidRPr="00B57B36" w:rsidRDefault="00A916AC" w:rsidP="00A916AC">
            <w:pPr>
              <w:ind w:right="-1"/>
              <w:jc w:val="left"/>
              <w:rPr>
                <w:rFonts w:cs="Arial"/>
                <w:szCs w:val="18"/>
              </w:rPr>
            </w:pPr>
            <w:r w:rsidRPr="00E265B4">
              <w:rPr>
                <w:szCs w:val="18"/>
              </w:rPr>
              <w:t>0.157</w:t>
            </w:r>
          </w:p>
        </w:tc>
        <w:tc>
          <w:tcPr>
            <w:tcW w:w="528" w:type="pct"/>
            <w:shd w:val="clear" w:color="auto" w:fill="FFFFFF"/>
          </w:tcPr>
          <w:p w14:paraId="6F0E6665" w14:textId="2A00B145" w:rsidR="00A916AC" w:rsidRPr="00B57B36" w:rsidRDefault="00A916AC" w:rsidP="00A916AC">
            <w:pPr>
              <w:ind w:right="-1"/>
              <w:jc w:val="left"/>
              <w:rPr>
                <w:rFonts w:cs="Arial"/>
                <w:szCs w:val="18"/>
              </w:rPr>
            </w:pPr>
            <w:r w:rsidRPr="00E265B4">
              <w:rPr>
                <w:szCs w:val="18"/>
              </w:rPr>
              <w:t>0.591</w:t>
            </w:r>
          </w:p>
        </w:tc>
      </w:tr>
      <w:tr w:rsidR="00A916AC" w:rsidRPr="00B57B36" w14:paraId="78C0FF56" w14:textId="77777777" w:rsidTr="00C82290">
        <w:trPr>
          <w:jc w:val="center"/>
        </w:trPr>
        <w:tc>
          <w:tcPr>
            <w:tcW w:w="699" w:type="pct"/>
            <w:shd w:val="clear" w:color="auto" w:fill="FFFFFF"/>
          </w:tcPr>
          <w:p w14:paraId="15606008" w14:textId="77777777" w:rsidR="00A916AC" w:rsidRPr="00B57B36" w:rsidRDefault="00A916AC" w:rsidP="00A916AC">
            <w:pPr>
              <w:ind w:right="-1"/>
              <w:jc w:val="left"/>
              <w:rPr>
                <w:rFonts w:cs="Arial"/>
                <w:szCs w:val="18"/>
              </w:rPr>
            </w:pPr>
          </w:p>
        </w:tc>
        <w:tc>
          <w:tcPr>
            <w:tcW w:w="352" w:type="pct"/>
            <w:shd w:val="clear" w:color="auto" w:fill="FFFFFF"/>
          </w:tcPr>
          <w:p w14:paraId="2D50E0FC" w14:textId="77777777" w:rsidR="00A916AC" w:rsidRPr="00B57B36" w:rsidRDefault="00A916AC" w:rsidP="00A916AC">
            <w:pPr>
              <w:ind w:right="-1"/>
              <w:jc w:val="left"/>
              <w:rPr>
                <w:rFonts w:cs="Arial"/>
                <w:szCs w:val="18"/>
              </w:rPr>
            </w:pPr>
          </w:p>
        </w:tc>
        <w:tc>
          <w:tcPr>
            <w:tcW w:w="411" w:type="pct"/>
            <w:shd w:val="clear" w:color="auto" w:fill="FFFFFF"/>
          </w:tcPr>
          <w:p w14:paraId="12D3E15E" w14:textId="77777777" w:rsidR="00A916AC" w:rsidRPr="00B57B36" w:rsidRDefault="00A916AC" w:rsidP="00A916AC">
            <w:pPr>
              <w:ind w:right="-1"/>
              <w:jc w:val="left"/>
              <w:rPr>
                <w:rFonts w:cs="Arial"/>
                <w:szCs w:val="18"/>
              </w:rPr>
            </w:pPr>
          </w:p>
        </w:tc>
        <w:tc>
          <w:tcPr>
            <w:tcW w:w="796" w:type="pct"/>
            <w:shd w:val="clear" w:color="auto" w:fill="FFFFFF"/>
          </w:tcPr>
          <w:p w14:paraId="65798101" w14:textId="77777777" w:rsidR="00A916AC" w:rsidRPr="00B57B36" w:rsidRDefault="00A916AC" w:rsidP="00A916AC">
            <w:pPr>
              <w:ind w:right="-1"/>
              <w:jc w:val="left"/>
              <w:rPr>
                <w:rFonts w:cs="Arial"/>
                <w:szCs w:val="18"/>
              </w:rPr>
            </w:pPr>
          </w:p>
        </w:tc>
        <w:tc>
          <w:tcPr>
            <w:tcW w:w="727" w:type="pct"/>
            <w:shd w:val="clear" w:color="auto" w:fill="FFFFFF"/>
          </w:tcPr>
          <w:p w14:paraId="0156E380" w14:textId="77777777" w:rsidR="00A916AC" w:rsidRPr="00B57B36" w:rsidRDefault="00A916AC" w:rsidP="00A916AC">
            <w:pPr>
              <w:ind w:right="-1"/>
              <w:jc w:val="left"/>
              <w:rPr>
                <w:rFonts w:cs="Arial"/>
                <w:szCs w:val="18"/>
              </w:rPr>
            </w:pPr>
          </w:p>
        </w:tc>
        <w:tc>
          <w:tcPr>
            <w:tcW w:w="431" w:type="pct"/>
            <w:shd w:val="clear" w:color="auto" w:fill="FFFFFF"/>
          </w:tcPr>
          <w:p w14:paraId="7D625AB2" w14:textId="779D7A15" w:rsidR="00A916AC" w:rsidRPr="00B57B36" w:rsidRDefault="00A916AC" w:rsidP="00A916AC">
            <w:pPr>
              <w:ind w:right="-1"/>
              <w:jc w:val="left"/>
              <w:rPr>
                <w:rFonts w:cs="Arial"/>
                <w:szCs w:val="18"/>
              </w:rPr>
            </w:pPr>
            <w:r w:rsidRPr="00E265B4">
              <w:rPr>
                <w:szCs w:val="18"/>
              </w:rPr>
              <w:t>1.2</w:t>
            </w:r>
          </w:p>
        </w:tc>
        <w:tc>
          <w:tcPr>
            <w:tcW w:w="528" w:type="pct"/>
            <w:shd w:val="clear" w:color="auto" w:fill="FFFFFF"/>
          </w:tcPr>
          <w:p w14:paraId="413E5D85" w14:textId="6F61658C" w:rsidR="00A916AC" w:rsidRPr="00B57B36" w:rsidRDefault="00A916AC" w:rsidP="00A916AC">
            <w:pPr>
              <w:ind w:right="-1"/>
              <w:jc w:val="left"/>
              <w:rPr>
                <w:rFonts w:cs="Arial"/>
                <w:szCs w:val="18"/>
              </w:rPr>
            </w:pPr>
            <w:r w:rsidRPr="00E265B4">
              <w:rPr>
                <w:szCs w:val="18"/>
              </w:rPr>
              <w:t>0.101</w:t>
            </w:r>
          </w:p>
        </w:tc>
        <w:tc>
          <w:tcPr>
            <w:tcW w:w="528" w:type="pct"/>
            <w:shd w:val="clear" w:color="auto" w:fill="FFFFFF"/>
          </w:tcPr>
          <w:p w14:paraId="10968A44" w14:textId="068197AF" w:rsidR="00A916AC" w:rsidRPr="00B57B36" w:rsidRDefault="00A916AC" w:rsidP="00A916AC">
            <w:pPr>
              <w:ind w:right="-1"/>
              <w:jc w:val="left"/>
              <w:rPr>
                <w:rFonts w:cs="Arial"/>
                <w:szCs w:val="18"/>
              </w:rPr>
            </w:pPr>
            <w:r w:rsidRPr="00E265B4">
              <w:rPr>
                <w:szCs w:val="18"/>
              </w:rPr>
              <w:t>0.189</w:t>
            </w:r>
          </w:p>
        </w:tc>
        <w:tc>
          <w:tcPr>
            <w:tcW w:w="528" w:type="pct"/>
            <w:shd w:val="clear" w:color="auto" w:fill="FFFFFF"/>
          </w:tcPr>
          <w:p w14:paraId="7A430919" w14:textId="34A4D6BD" w:rsidR="00A916AC" w:rsidRPr="00B57B36" w:rsidRDefault="00A916AC" w:rsidP="00A916AC">
            <w:pPr>
              <w:ind w:right="-1"/>
              <w:jc w:val="left"/>
              <w:rPr>
                <w:rFonts w:cs="Arial"/>
                <w:szCs w:val="18"/>
              </w:rPr>
            </w:pPr>
            <w:r w:rsidRPr="00E265B4">
              <w:rPr>
                <w:szCs w:val="18"/>
              </w:rPr>
              <w:t>0.710</w:t>
            </w:r>
          </w:p>
        </w:tc>
      </w:tr>
      <w:tr w:rsidR="00A916AC" w:rsidRPr="00B57B36" w14:paraId="6B446078" w14:textId="77777777" w:rsidTr="00C82290">
        <w:trPr>
          <w:jc w:val="center"/>
        </w:trPr>
        <w:tc>
          <w:tcPr>
            <w:tcW w:w="699" w:type="pct"/>
            <w:shd w:val="clear" w:color="auto" w:fill="FFFFFF"/>
          </w:tcPr>
          <w:p w14:paraId="763317A5" w14:textId="3462BC84" w:rsidR="00A916AC" w:rsidRPr="00B57B36" w:rsidRDefault="00A916AC" w:rsidP="00A916AC">
            <w:pPr>
              <w:tabs>
                <w:tab w:val="center" w:pos="3969"/>
                <w:tab w:val="left" w:pos="7371"/>
              </w:tabs>
              <w:jc w:val="left"/>
              <w:rPr>
                <w:rFonts w:cs="Arial"/>
                <w:szCs w:val="18"/>
              </w:rPr>
            </w:pPr>
            <w:r w:rsidRPr="00E265B4">
              <w:rPr>
                <w:szCs w:val="18"/>
              </w:rPr>
              <w:t>NH</w:t>
            </w:r>
            <w:r w:rsidRPr="00E265B4">
              <w:rPr>
                <w:szCs w:val="18"/>
                <w:vertAlign w:val="subscript"/>
              </w:rPr>
              <w:t>3</w:t>
            </w:r>
            <w:r w:rsidRPr="00E265B4">
              <w:rPr>
                <w:szCs w:val="18"/>
              </w:rPr>
              <w:t xml:space="preserve"> (liq)</w:t>
            </w:r>
          </w:p>
        </w:tc>
        <w:tc>
          <w:tcPr>
            <w:tcW w:w="352" w:type="pct"/>
            <w:shd w:val="clear" w:color="auto" w:fill="FFFFFF"/>
          </w:tcPr>
          <w:p w14:paraId="211EFB72" w14:textId="1ED3B399" w:rsidR="00A916AC" w:rsidRPr="00B57B36" w:rsidRDefault="00A916AC" w:rsidP="00A916AC">
            <w:pPr>
              <w:ind w:right="-1"/>
              <w:jc w:val="left"/>
              <w:rPr>
                <w:rFonts w:cs="Arial"/>
                <w:szCs w:val="18"/>
              </w:rPr>
            </w:pPr>
            <w:r w:rsidRPr="00E265B4">
              <w:rPr>
                <w:szCs w:val="18"/>
              </w:rPr>
              <w:t>298</w:t>
            </w:r>
          </w:p>
        </w:tc>
        <w:tc>
          <w:tcPr>
            <w:tcW w:w="411" w:type="pct"/>
            <w:shd w:val="clear" w:color="auto" w:fill="FFFFFF"/>
          </w:tcPr>
          <w:p w14:paraId="3CA10A79" w14:textId="3A9DC0A3" w:rsidR="00A916AC" w:rsidRPr="00B57B36" w:rsidRDefault="00A916AC" w:rsidP="00A916AC">
            <w:pPr>
              <w:ind w:right="-1"/>
              <w:jc w:val="left"/>
              <w:rPr>
                <w:rFonts w:cs="Arial"/>
                <w:szCs w:val="18"/>
              </w:rPr>
            </w:pPr>
            <w:r w:rsidRPr="00E265B4">
              <w:rPr>
                <w:szCs w:val="18"/>
              </w:rPr>
              <w:t>10.0</w:t>
            </w:r>
          </w:p>
        </w:tc>
        <w:tc>
          <w:tcPr>
            <w:tcW w:w="796" w:type="pct"/>
            <w:shd w:val="clear" w:color="auto" w:fill="FFFFFF"/>
          </w:tcPr>
          <w:p w14:paraId="091B976E" w14:textId="364A3CA5" w:rsidR="00A916AC" w:rsidRPr="00B57B36" w:rsidRDefault="00A916AC" w:rsidP="00A916AC">
            <w:pPr>
              <w:tabs>
                <w:tab w:val="center" w:pos="3969"/>
                <w:tab w:val="left" w:pos="7371"/>
              </w:tabs>
              <w:jc w:val="left"/>
              <w:rPr>
                <w:rFonts w:cs="Arial"/>
                <w:szCs w:val="18"/>
              </w:rPr>
            </w:pPr>
            <w:r w:rsidRPr="00E265B4">
              <w:rPr>
                <w:szCs w:val="18"/>
              </w:rPr>
              <w:t>382</w:t>
            </w:r>
            <w:r>
              <w:rPr>
                <w:szCs w:val="18"/>
              </w:rPr>
              <w:t xml:space="preserve"> </w:t>
            </w:r>
            <w:r w:rsidRPr="00E265B4">
              <w:rPr>
                <w:szCs w:val="18"/>
              </w:rPr>
              <w:t>(gas)</w:t>
            </w:r>
          </w:p>
        </w:tc>
        <w:tc>
          <w:tcPr>
            <w:tcW w:w="727" w:type="pct"/>
            <w:shd w:val="clear" w:color="auto" w:fill="FFFFFF"/>
          </w:tcPr>
          <w:p w14:paraId="028D17C7" w14:textId="18B0FE67" w:rsidR="00A916AC" w:rsidRPr="00B57B36" w:rsidRDefault="00A916AC" w:rsidP="00A916AC">
            <w:pPr>
              <w:ind w:right="-1"/>
              <w:jc w:val="left"/>
              <w:rPr>
                <w:rFonts w:cs="Arial"/>
                <w:szCs w:val="18"/>
              </w:rPr>
            </w:pPr>
            <w:r w:rsidRPr="00E265B4">
              <w:rPr>
                <w:szCs w:val="18"/>
              </w:rPr>
              <w:t>609</w:t>
            </w:r>
          </w:p>
        </w:tc>
        <w:tc>
          <w:tcPr>
            <w:tcW w:w="431" w:type="pct"/>
            <w:shd w:val="clear" w:color="auto" w:fill="FFFFFF"/>
          </w:tcPr>
          <w:p w14:paraId="79D5E556" w14:textId="591C7CF9" w:rsidR="00A916AC" w:rsidRPr="00B57B36" w:rsidRDefault="00A916AC" w:rsidP="00A916AC">
            <w:pPr>
              <w:ind w:right="-1"/>
              <w:jc w:val="left"/>
              <w:rPr>
                <w:rFonts w:cs="Arial"/>
                <w:szCs w:val="18"/>
              </w:rPr>
            </w:pPr>
            <w:r w:rsidRPr="00E265B4">
              <w:rPr>
                <w:szCs w:val="18"/>
              </w:rPr>
              <w:t>0.8</w:t>
            </w:r>
          </w:p>
        </w:tc>
        <w:tc>
          <w:tcPr>
            <w:tcW w:w="528" w:type="pct"/>
            <w:shd w:val="clear" w:color="auto" w:fill="FFFFFF"/>
          </w:tcPr>
          <w:p w14:paraId="1DCC0F5B" w14:textId="34F34834" w:rsidR="00A916AC" w:rsidRPr="00B57B36" w:rsidRDefault="00A916AC" w:rsidP="00A916AC">
            <w:pPr>
              <w:ind w:right="-1"/>
              <w:jc w:val="left"/>
              <w:rPr>
                <w:rFonts w:cs="Arial"/>
                <w:szCs w:val="18"/>
              </w:rPr>
            </w:pPr>
            <w:r w:rsidRPr="00E265B4">
              <w:rPr>
                <w:szCs w:val="18"/>
              </w:rPr>
              <w:t>0.219</w:t>
            </w:r>
          </w:p>
        </w:tc>
        <w:tc>
          <w:tcPr>
            <w:tcW w:w="528" w:type="pct"/>
            <w:shd w:val="clear" w:color="auto" w:fill="FFFFFF"/>
          </w:tcPr>
          <w:p w14:paraId="3875CAE2" w14:textId="7425D45F" w:rsidR="00A916AC" w:rsidRPr="00B57B36" w:rsidRDefault="00A916AC" w:rsidP="00A916AC">
            <w:pPr>
              <w:ind w:right="-1"/>
              <w:jc w:val="left"/>
              <w:rPr>
                <w:rFonts w:cs="Arial"/>
                <w:szCs w:val="18"/>
              </w:rPr>
            </w:pPr>
            <w:r w:rsidRPr="00E265B4">
              <w:rPr>
                <w:szCs w:val="18"/>
              </w:rPr>
              <w:t>0.164</w:t>
            </w:r>
          </w:p>
        </w:tc>
        <w:tc>
          <w:tcPr>
            <w:tcW w:w="528" w:type="pct"/>
            <w:shd w:val="clear" w:color="auto" w:fill="FFFFFF"/>
          </w:tcPr>
          <w:p w14:paraId="19F51C1E" w14:textId="6A512669" w:rsidR="00A916AC" w:rsidRPr="00B57B36" w:rsidRDefault="00A916AC" w:rsidP="00A916AC">
            <w:pPr>
              <w:ind w:right="-1"/>
              <w:jc w:val="left"/>
              <w:rPr>
                <w:rFonts w:cs="Arial"/>
                <w:szCs w:val="18"/>
              </w:rPr>
            </w:pPr>
            <w:r w:rsidRPr="00E265B4">
              <w:rPr>
                <w:szCs w:val="18"/>
              </w:rPr>
              <w:t>0.617</w:t>
            </w:r>
          </w:p>
        </w:tc>
      </w:tr>
      <w:tr w:rsidR="00A916AC" w:rsidRPr="00B57B36" w14:paraId="266E9F2F" w14:textId="77777777" w:rsidTr="00C82290">
        <w:trPr>
          <w:jc w:val="center"/>
        </w:trPr>
        <w:tc>
          <w:tcPr>
            <w:tcW w:w="699" w:type="pct"/>
            <w:shd w:val="clear" w:color="auto" w:fill="FFFFFF"/>
          </w:tcPr>
          <w:p w14:paraId="2D00EAE3" w14:textId="77777777" w:rsidR="00A916AC" w:rsidRPr="00B57B36" w:rsidRDefault="00A916AC" w:rsidP="00A916AC">
            <w:pPr>
              <w:ind w:right="-1"/>
              <w:jc w:val="left"/>
              <w:rPr>
                <w:rFonts w:cs="Arial"/>
                <w:szCs w:val="18"/>
              </w:rPr>
            </w:pPr>
          </w:p>
        </w:tc>
        <w:tc>
          <w:tcPr>
            <w:tcW w:w="352" w:type="pct"/>
            <w:shd w:val="clear" w:color="auto" w:fill="FFFFFF"/>
          </w:tcPr>
          <w:p w14:paraId="173FD538" w14:textId="77777777" w:rsidR="00A916AC" w:rsidRPr="00B57B36" w:rsidRDefault="00A916AC" w:rsidP="00A916AC">
            <w:pPr>
              <w:ind w:right="-1"/>
              <w:jc w:val="left"/>
              <w:rPr>
                <w:rFonts w:cs="Arial"/>
                <w:szCs w:val="18"/>
              </w:rPr>
            </w:pPr>
          </w:p>
        </w:tc>
        <w:tc>
          <w:tcPr>
            <w:tcW w:w="411" w:type="pct"/>
            <w:shd w:val="clear" w:color="auto" w:fill="FFFFFF"/>
          </w:tcPr>
          <w:p w14:paraId="06E37527" w14:textId="77777777" w:rsidR="00A916AC" w:rsidRPr="00B57B36" w:rsidRDefault="00A916AC" w:rsidP="00A916AC">
            <w:pPr>
              <w:ind w:right="-1"/>
              <w:jc w:val="left"/>
              <w:rPr>
                <w:rFonts w:cs="Arial"/>
                <w:szCs w:val="18"/>
              </w:rPr>
            </w:pPr>
          </w:p>
        </w:tc>
        <w:tc>
          <w:tcPr>
            <w:tcW w:w="796" w:type="pct"/>
            <w:shd w:val="clear" w:color="auto" w:fill="FFFFFF"/>
          </w:tcPr>
          <w:p w14:paraId="5F12084C" w14:textId="77777777" w:rsidR="00A916AC" w:rsidRPr="00B57B36" w:rsidRDefault="00A916AC" w:rsidP="00A916AC">
            <w:pPr>
              <w:ind w:right="-1"/>
              <w:jc w:val="left"/>
              <w:rPr>
                <w:rFonts w:cs="Arial"/>
                <w:szCs w:val="18"/>
              </w:rPr>
            </w:pPr>
          </w:p>
        </w:tc>
        <w:tc>
          <w:tcPr>
            <w:tcW w:w="727" w:type="pct"/>
            <w:shd w:val="clear" w:color="auto" w:fill="FFFFFF"/>
          </w:tcPr>
          <w:p w14:paraId="51D52F1D" w14:textId="77777777" w:rsidR="00A916AC" w:rsidRPr="00B57B36" w:rsidRDefault="00A916AC" w:rsidP="00A916AC">
            <w:pPr>
              <w:ind w:right="-1"/>
              <w:jc w:val="left"/>
              <w:rPr>
                <w:rFonts w:cs="Arial"/>
                <w:szCs w:val="18"/>
              </w:rPr>
            </w:pPr>
          </w:p>
        </w:tc>
        <w:tc>
          <w:tcPr>
            <w:tcW w:w="431" w:type="pct"/>
            <w:shd w:val="clear" w:color="auto" w:fill="FFFFFF"/>
          </w:tcPr>
          <w:p w14:paraId="7A7D4DC3" w14:textId="463B8B8C" w:rsidR="00A916AC" w:rsidRPr="00B57B36" w:rsidRDefault="00A916AC" w:rsidP="00A916AC">
            <w:pPr>
              <w:ind w:right="-1"/>
              <w:jc w:val="left"/>
              <w:rPr>
                <w:rFonts w:cs="Arial"/>
                <w:szCs w:val="18"/>
              </w:rPr>
            </w:pPr>
            <w:r w:rsidRPr="00E265B4">
              <w:rPr>
                <w:szCs w:val="18"/>
              </w:rPr>
              <w:t>1.0</w:t>
            </w:r>
          </w:p>
        </w:tc>
        <w:tc>
          <w:tcPr>
            <w:tcW w:w="528" w:type="pct"/>
            <w:shd w:val="clear" w:color="auto" w:fill="FFFFFF"/>
          </w:tcPr>
          <w:p w14:paraId="341D3710" w14:textId="756547EF" w:rsidR="00A916AC" w:rsidRPr="00B57B36" w:rsidRDefault="00A916AC" w:rsidP="00A916AC">
            <w:pPr>
              <w:ind w:right="-1"/>
              <w:jc w:val="left"/>
              <w:rPr>
                <w:rFonts w:cs="Arial"/>
                <w:szCs w:val="18"/>
              </w:rPr>
            </w:pPr>
            <w:r w:rsidRPr="00E265B4">
              <w:rPr>
                <w:szCs w:val="18"/>
              </w:rPr>
              <w:t>0.296</w:t>
            </w:r>
          </w:p>
        </w:tc>
        <w:tc>
          <w:tcPr>
            <w:tcW w:w="528" w:type="pct"/>
            <w:shd w:val="clear" w:color="auto" w:fill="FFFFFF"/>
          </w:tcPr>
          <w:p w14:paraId="5FD63927" w14:textId="49858001" w:rsidR="00A916AC" w:rsidRPr="00B57B36" w:rsidRDefault="00A916AC" w:rsidP="00A916AC">
            <w:pPr>
              <w:ind w:right="-1"/>
              <w:jc w:val="left"/>
              <w:rPr>
                <w:rFonts w:cs="Arial"/>
                <w:szCs w:val="18"/>
              </w:rPr>
            </w:pPr>
            <w:r w:rsidRPr="00E265B4">
              <w:rPr>
                <w:szCs w:val="18"/>
              </w:rPr>
              <w:t>0.190</w:t>
            </w:r>
          </w:p>
        </w:tc>
        <w:tc>
          <w:tcPr>
            <w:tcW w:w="528" w:type="pct"/>
            <w:shd w:val="clear" w:color="auto" w:fill="FFFFFF"/>
          </w:tcPr>
          <w:p w14:paraId="385B6CED" w14:textId="218C7AA9" w:rsidR="00A916AC" w:rsidRPr="00B57B36" w:rsidRDefault="00A916AC" w:rsidP="00A916AC">
            <w:pPr>
              <w:ind w:right="-1"/>
              <w:jc w:val="left"/>
              <w:rPr>
                <w:rFonts w:cs="Arial"/>
                <w:szCs w:val="18"/>
              </w:rPr>
            </w:pPr>
            <w:r w:rsidRPr="00E265B4">
              <w:rPr>
                <w:szCs w:val="18"/>
              </w:rPr>
              <w:t>0.715</w:t>
            </w:r>
          </w:p>
        </w:tc>
      </w:tr>
      <w:tr w:rsidR="00A916AC" w:rsidRPr="00B57B36" w14:paraId="7F6B04F2" w14:textId="77777777" w:rsidTr="00C82290">
        <w:trPr>
          <w:jc w:val="center"/>
        </w:trPr>
        <w:tc>
          <w:tcPr>
            <w:tcW w:w="699" w:type="pct"/>
            <w:shd w:val="clear" w:color="auto" w:fill="FFFFFF"/>
          </w:tcPr>
          <w:p w14:paraId="15B941B4" w14:textId="77777777" w:rsidR="00A916AC" w:rsidRPr="00B57B36" w:rsidRDefault="00A916AC" w:rsidP="00A916AC">
            <w:pPr>
              <w:ind w:right="-1"/>
              <w:jc w:val="left"/>
              <w:rPr>
                <w:rFonts w:cs="Arial"/>
                <w:szCs w:val="18"/>
              </w:rPr>
            </w:pPr>
          </w:p>
        </w:tc>
        <w:tc>
          <w:tcPr>
            <w:tcW w:w="352" w:type="pct"/>
            <w:shd w:val="clear" w:color="auto" w:fill="FFFFFF"/>
          </w:tcPr>
          <w:p w14:paraId="7F1A64E9" w14:textId="77777777" w:rsidR="00A916AC" w:rsidRPr="00B57B36" w:rsidRDefault="00A916AC" w:rsidP="00A916AC">
            <w:pPr>
              <w:ind w:right="-1"/>
              <w:jc w:val="left"/>
              <w:rPr>
                <w:rFonts w:cs="Arial"/>
                <w:szCs w:val="18"/>
              </w:rPr>
            </w:pPr>
          </w:p>
        </w:tc>
        <w:tc>
          <w:tcPr>
            <w:tcW w:w="411" w:type="pct"/>
            <w:shd w:val="clear" w:color="auto" w:fill="FFFFFF"/>
          </w:tcPr>
          <w:p w14:paraId="329E4CA3" w14:textId="77777777" w:rsidR="00A916AC" w:rsidRPr="00B57B36" w:rsidRDefault="00A916AC" w:rsidP="00A916AC">
            <w:pPr>
              <w:ind w:right="-1"/>
              <w:jc w:val="left"/>
              <w:rPr>
                <w:rFonts w:cs="Arial"/>
                <w:szCs w:val="18"/>
              </w:rPr>
            </w:pPr>
          </w:p>
        </w:tc>
        <w:tc>
          <w:tcPr>
            <w:tcW w:w="796" w:type="pct"/>
            <w:shd w:val="clear" w:color="auto" w:fill="FFFFFF"/>
          </w:tcPr>
          <w:p w14:paraId="7DEEC4C8" w14:textId="77777777" w:rsidR="00A916AC" w:rsidRPr="00B57B36" w:rsidRDefault="00A916AC" w:rsidP="00A916AC">
            <w:pPr>
              <w:ind w:right="-1"/>
              <w:jc w:val="left"/>
              <w:rPr>
                <w:rFonts w:cs="Arial"/>
                <w:szCs w:val="18"/>
              </w:rPr>
            </w:pPr>
          </w:p>
        </w:tc>
        <w:tc>
          <w:tcPr>
            <w:tcW w:w="727" w:type="pct"/>
            <w:shd w:val="clear" w:color="auto" w:fill="FFFFFF"/>
          </w:tcPr>
          <w:p w14:paraId="4C001601" w14:textId="77777777" w:rsidR="00A916AC" w:rsidRPr="00B57B36" w:rsidRDefault="00A916AC" w:rsidP="00A916AC">
            <w:pPr>
              <w:ind w:right="-1"/>
              <w:jc w:val="left"/>
              <w:rPr>
                <w:rFonts w:cs="Arial"/>
                <w:szCs w:val="18"/>
              </w:rPr>
            </w:pPr>
          </w:p>
        </w:tc>
        <w:tc>
          <w:tcPr>
            <w:tcW w:w="431" w:type="pct"/>
            <w:shd w:val="clear" w:color="auto" w:fill="FFFFFF"/>
          </w:tcPr>
          <w:p w14:paraId="3A590D30" w14:textId="254A6622" w:rsidR="00A916AC" w:rsidRPr="00B57B36" w:rsidRDefault="00A916AC" w:rsidP="00A916AC">
            <w:pPr>
              <w:ind w:right="-1"/>
              <w:jc w:val="left"/>
              <w:rPr>
                <w:rFonts w:cs="Arial"/>
                <w:szCs w:val="18"/>
              </w:rPr>
            </w:pPr>
            <w:r w:rsidRPr="00E265B4">
              <w:rPr>
                <w:szCs w:val="18"/>
              </w:rPr>
              <w:t>1.2</w:t>
            </w:r>
          </w:p>
        </w:tc>
        <w:tc>
          <w:tcPr>
            <w:tcW w:w="528" w:type="pct"/>
            <w:shd w:val="clear" w:color="auto" w:fill="FFFFFF"/>
          </w:tcPr>
          <w:p w14:paraId="055BC8B4" w14:textId="323CFDCB" w:rsidR="00A916AC" w:rsidRPr="00B57B36" w:rsidRDefault="00A916AC" w:rsidP="00A916AC">
            <w:pPr>
              <w:ind w:right="-1"/>
              <w:jc w:val="left"/>
              <w:rPr>
                <w:rFonts w:cs="Arial"/>
                <w:szCs w:val="18"/>
              </w:rPr>
            </w:pPr>
            <w:r w:rsidRPr="00E265B4">
              <w:rPr>
                <w:szCs w:val="18"/>
              </w:rPr>
              <w:t>0.123</w:t>
            </w:r>
          </w:p>
        </w:tc>
        <w:tc>
          <w:tcPr>
            <w:tcW w:w="528" w:type="pct"/>
            <w:shd w:val="clear" w:color="auto" w:fill="FFFFFF"/>
          </w:tcPr>
          <w:p w14:paraId="2D2F41D6" w14:textId="68E12D9C" w:rsidR="00A916AC" w:rsidRPr="00B57B36" w:rsidRDefault="00A916AC" w:rsidP="00A916AC">
            <w:pPr>
              <w:ind w:right="-1"/>
              <w:jc w:val="left"/>
              <w:rPr>
                <w:rFonts w:cs="Arial"/>
                <w:szCs w:val="18"/>
              </w:rPr>
            </w:pPr>
            <w:r w:rsidRPr="00E265B4">
              <w:rPr>
                <w:szCs w:val="18"/>
              </w:rPr>
              <w:t>0.184</w:t>
            </w:r>
          </w:p>
        </w:tc>
        <w:tc>
          <w:tcPr>
            <w:tcW w:w="528" w:type="pct"/>
            <w:shd w:val="clear" w:color="auto" w:fill="FFFFFF"/>
          </w:tcPr>
          <w:p w14:paraId="08FD7B2C" w14:textId="219FA3D9" w:rsidR="00A916AC" w:rsidRPr="00B57B36" w:rsidRDefault="00A916AC" w:rsidP="00A916AC">
            <w:pPr>
              <w:ind w:right="-1"/>
              <w:jc w:val="left"/>
              <w:rPr>
                <w:rFonts w:cs="Arial"/>
                <w:szCs w:val="18"/>
              </w:rPr>
            </w:pPr>
            <w:r w:rsidRPr="00E265B4">
              <w:rPr>
                <w:szCs w:val="18"/>
              </w:rPr>
              <w:t>0.693</w:t>
            </w:r>
          </w:p>
        </w:tc>
      </w:tr>
      <w:tr w:rsidR="00A916AC" w:rsidRPr="00B57B36" w14:paraId="32B74F23" w14:textId="77777777" w:rsidTr="00C82290">
        <w:trPr>
          <w:jc w:val="center"/>
        </w:trPr>
        <w:tc>
          <w:tcPr>
            <w:tcW w:w="699" w:type="pct"/>
            <w:shd w:val="clear" w:color="auto" w:fill="FFFFFF"/>
          </w:tcPr>
          <w:p w14:paraId="5C207FB0" w14:textId="4AE6EC85" w:rsidR="00A916AC" w:rsidRPr="00B57B36" w:rsidRDefault="00A916AC" w:rsidP="00A916AC">
            <w:pPr>
              <w:tabs>
                <w:tab w:val="center" w:pos="3969"/>
                <w:tab w:val="left" w:pos="7371"/>
              </w:tabs>
              <w:jc w:val="left"/>
              <w:rPr>
                <w:rFonts w:cs="Arial"/>
                <w:szCs w:val="18"/>
              </w:rPr>
            </w:pPr>
            <w:r w:rsidRPr="00E265B4">
              <w:rPr>
                <w:szCs w:val="18"/>
              </w:rPr>
              <w:t>CH</w:t>
            </w:r>
            <w:r w:rsidRPr="00E265B4">
              <w:rPr>
                <w:szCs w:val="18"/>
                <w:vertAlign w:val="subscript"/>
              </w:rPr>
              <w:t>3</w:t>
            </w:r>
            <w:r w:rsidRPr="00E265B4">
              <w:rPr>
                <w:szCs w:val="18"/>
              </w:rPr>
              <w:t>OH (liq)</w:t>
            </w:r>
          </w:p>
        </w:tc>
        <w:tc>
          <w:tcPr>
            <w:tcW w:w="352" w:type="pct"/>
            <w:shd w:val="clear" w:color="auto" w:fill="FFFFFF"/>
          </w:tcPr>
          <w:p w14:paraId="65CF79D9" w14:textId="317EC15D" w:rsidR="00A916AC" w:rsidRPr="00B57B36" w:rsidRDefault="00A916AC" w:rsidP="00A916AC">
            <w:pPr>
              <w:ind w:right="-1"/>
              <w:jc w:val="left"/>
              <w:rPr>
                <w:rFonts w:cs="Arial"/>
                <w:szCs w:val="18"/>
              </w:rPr>
            </w:pPr>
            <w:r w:rsidRPr="00E265B4">
              <w:rPr>
                <w:szCs w:val="18"/>
              </w:rPr>
              <w:t>298</w:t>
            </w:r>
          </w:p>
        </w:tc>
        <w:tc>
          <w:tcPr>
            <w:tcW w:w="411" w:type="pct"/>
            <w:shd w:val="clear" w:color="auto" w:fill="FFFFFF"/>
          </w:tcPr>
          <w:p w14:paraId="63825DC9" w14:textId="66CCD816" w:rsidR="00A916AC" w:rsidRPr="00B57B36" w:rsidRDefault="00A916AC" w:rsidP="00A916AC">
            <w:pPr>
              <w:ind w:right="-1"/>
              <w:jc w:val="left"/>
              <w:rPr>
                <w:rFonts w:cs="Arial"/>
                <w:szCs w:val="18"/>
              </w:rPr>
            </w:pPr>
            <w:r w:rsidRPr="00E265B4">
              <w:rPr>
                <w:szCs w:val="18"/>
              </w:rPr>
              <w:t>1.13</w:t>
            </w:r>
          </w:p>
        </w:tc>
        <w:tc>
          <w:tcPr>
            <w:tcW w:w="796" w:type="pct"/>
            <w:shd w:val="clear" w:color="auto" w:fill="FFFFFF"/>
          </w:tcPr>
          <w:p w14:paraId="1B54CDB3" w14:textId="59055A9C" w:rsidR="00A916AC" w:rsidRPr="00B57B36" w:rsidRDefault="00A916AC" w:rsidP="00A916AC">
            <w:pPr>
              <w:tabs>
                <w:tab w:val="center" w:pos="3969"/>
                <w:tab w:val="left" w:pos="7371"/>
              </w:tabs>
              <w:jc w:val="left"/>
              <w:rPr>
                <w:rFonts w:cs="Arial"/>
                <w:szCs w:val="18"/>
              </w:rPr>
            </w:pPr>
            <w:r w:rsidRPr="00E265B4">
              <w:rPr>
                <w:szCs w:val="18"/>
              </w:rPr>
              <w:t>763.7 (gas)</w:t>
            </w:r>
          </w:p>
        </w:tc>
        <w:tc>
          <w:tcPr>
            <w:tcW w:w="727" w:type="pct"/>
            <w:shd w:val="clear" w:color="auto" w:fill="FFFFFF"/>
          </w:tcPr>
          <w:p w14:paraId="1F64122A" w14:textId="0265F564" w:rsidR="00A916AC" w:rsidRPr="00B57B36" w:rsidRDefault="00A916AC" w:rsidP="00A916AC">
            <w:pPr>
              <w:ind w:right="-1"/>
              <w:jc w:val="left"/>
              <w:rPr>
                <w:rFonts w:cs="Arial"/>
                <w:szCs w:val="18"/>
              </w:rPr>
            </w:pPr>
            <w:r w:rsidRPr="00E265B4">
              <w:rPr>
                <w:szCs w:val="18"/>
              </w:rPr>
              <w:t>792</w:t>
            </w:r>
          </w:p>
        </w:tc>
        <w:tc>
          <w:tcPr>
            <w:tcW w:w="431" w:type="pct"/>
            <w:shd w:val="clear" w:color="auto" w:fill="FFFFFF"/>
          </w:tcPr>
          <w:p w14:paraId="5D198955" w14:textId="1C83C1E4" w:rsidR="00A916AC" w:rsidRPr="00B57B36" w:rsidRDefault="00A916AC" w:rsidP="00A916AC">
            <w:pPr>
              <w:ind w:right="-1"/>
              <w:jc w:val="left"/>
              <w:rPr>
                <w:rFonts w:cs="Arial"/>
                <w:szCs w:val="18"/>
              </w:rPr>
            </w:pPr>
            <w:r w:rsidRPr="00E265B4">
              <w:rPr>
                <w:szCs w:val="18"/>
              </w:rPr>
              <w:t>0.8</w:t>
            </w:r>
          </w:p>
        </w:tc>
        <w:tc>
          <w:tcPr>
            <w:tcW w:w="528" w:type="pct"/>
            <w:shd w:val="clear" w:color="auto" w:fill="FFFFFF"/>
          </w:tcPr>
          <w:p w14:paraId="37B664EF" w14:textId="05B20307" w:rsidR="00A916AC" w:rsidRPr="00B57B36" w:rsidRDefault="00A916AC" w:rsidP="00A916AC">
            <w:pPr>
              <w:ind w:right="-1"/>
              <w:jc w:val="left"/>
              <w:rPr>
                <w:rFonts w:cs="Arial"/>
                <w:szCs w:val="18"/>
              </w:rPr>
            </w:pPr>
            <w:r w:rsidRPr="00E265B4">
              <w:rPr>
                <w:szCs w:val="18"/>
              </w:rPr>
              <w:t>0.251</w:t>
            </w:r>
          </w:p>
        </w:tc>
        <w:tc>
          <w:tcPr>
            <w:tcW w:w="528" w:type="pct"/>
            <w:shd w:val="clear" w:color="auto" w:fill="FFFFFF"/>
          </w:tcPr>
          <w:p w14:paraId="6B4B039B" w14:textId="192ADAB1" w:rsidR="00A916AC" w:rsidRPr="00B57B36" w:rsidRDefault="00A916AC" w:rsidP="00A916AC">
            <w:pPr>
              <w:ind w:right="-1"/>
              <w:jc w:val="left"/>
              <w:rPr>
                <w:rFonts w:cs="Arial"/>
                <w:szCs w:val="18"/>
              </w:rPr>
            </w:pPr>
            <w:r w:rsidRPr="00E265B4">
              <w:rPr>
                <w:szCs w:val="18"/>
              </w:rPr>
              <w:t>0.157</w:t>
            </w:r>
          </w:p>
        </w:tc>
        <w:tc>
          <w:tcPr>
            <w:tcW w:w="528" w:type="pct"/>
            <w:shd w:val="clear" w:color="auto" w:fill="FFFFFF"/>
          </w:tcPr>
          <w:p w14:paraId="37D648E5" w14:textId="1C148627" w:rsidR="00A916AC" w:rsidRPr="00B57B36" w:rsidRDefault="00A916AC" w:rsidP="00A916AC">
            <w:pPr>
              <w:ind w:right="-1"/>
              <w:jc w:val="left"/>
              <w:rPr>
                <w:rFonts w:cs="Arial"/>
                <w:szCs w:val="18"/>
              </w:rPr>
            </w:pPr>
            <w:r w:rsidRPr="00E265B4">
              <w:rPr>
                <w:szCs w:val="18"/>
              </w:rPr>
              <w:t>0.591</w:t>
            </w:r>
          </w:p>
        </w:tc>
      </w:tr>
      <w:tr w:rsidR="00A916AC" w:rsidRPr="00B57B36" w14:paraId="11A46122" w14:textId="77777777" w:rsidTr="00C82290">
        <w:trPr>
          <w:jc w:val="center"/>
        </w:trPr>
        <w:tc>
          <w:tcPr>
            <w:tcW w:w="699" w:type="pct"/>
            <w:shd w:val="clear" w:color="auto" w:fill="FFFFFF"/>
          </w:tcPr>
          <w:p w14:paraId="3BF6DCCD" w14:textId="77777777" w:rsidR="00A916AC" w:rsidRPr="00B57B36" w:rsidRDefault="00A916AC" w:rsidP="00A916AC">
            <w:pPr>
              <w:ind w:right="-1"/>
              <w:jc w:val="left"/>
              <w:rPr>
                <w:rFonts w:cs="Arial"/>
                <w:szCs w:val="18"/>
              </w:rPr>
            </w:pPr>
          </w:p>
        </w:tc>
        <w:tc>
          <w:tcPr>
            <w:tcW w:w="352" w:type="pct"/>
            <w:shd w:val="clear" w:color="auto" w:fill="FFFFFF"/>
          </w:tcPr>
          <w:p w14:paraId="08816703" w14:textId="77777777" w:rsidR="00A916AC" w:rsidRPr="00B57B36" w:rsidRDefault="00A916AC" w:rsidP="00A916AC">
            <w:pPr>
              <w:ind w:right="-1"/>
              <w:jc w:val="left"/>
              <w:rPr>
                <w:rFonts w:cs="Arial"/>
                <w:szCs w:val="18"/>
              </w:rPr>
            </w:pPr>
          </w:p>
        </w:tc>
        <w:tc>
          <w:tcPr>
            <w:tcW w:w="411" w:type="pct"/>
            <w:shd w:val="clear" w:color="auto" w:fill="FFFFFF"/>
          </w:tcPr>
          <w:p w14:paraId="67599CF4" w14:textId="77777777" w:rsidR="00A916AC" w:rsidRPr="00B57B36" w:rsidRDefault="00A916AC" w:rsidP="00A916AC">
            <w:pPr>
              <w:ind w:right="-1"/>
              <w:jc w:val="left"/>
              <w:rPr>
                <w:rFonts w:cs="Arial"/>
                <w:szCs w:val="18"/>
              </w:rPr>
            </w:pPr>
          </w:p>
        </w:tc>
        <w:tc>
          <w:tcPr>
            <w:tcW w:w="796" w:type="pct"/>
            <w:shd w:val="clear" w:color="auto" w:fill="FFFFFF"/>
          </w:tcPr>
          <w:p w14:paraId="73E725B0" w14:textId="77777777" w:rsidR="00A916AC" w:rsidRPr="00B57B36" w:rsidRDefault="00A916AC" w:rsidP="00A916AC">
            <w:pPr>
              <w:ind w:right="-1"/>
              <w:jc w:val="left"/>
              <w:rPr>
                <w:rFonts w:cs="Arial"/>
                <w:szCs w:val="18"/>
              </w:rPr>
            </w:pPr>
          </w:p>
        </w:tc>
        <w:tc>
          <w:tcPr>
            <w:tcW w:w="727" w:type="pct"/>
            <w:shd w:val="clear" w:color="auto" w:fill="FFFFFF"/>
          </w:tcPr>
          <w:p w14:paraId="059DC41B" w14:textId="77777777" w:rsidR="00A916AC" w:rsidRPr="00B57B36" w:rsidRDefault="00A916AC" w:rsidP="00A916AC">
            <w:pPr>
              <w:ind w:right="-1"/>
              <w:jc w:val="left"/>
              <w:rPr>
                <w:rFonts w:cs="Arial"/>
                <w:szCs w:val="18"/>
              </w:rPr>
            </w:pPr>
          </w:p>
        </w:tc>
        <w:tc>
          <w:tcPr>
            <w:tcW w:w="431" w:type="pct"/>
            <w:shd w:val="clear" w:color="auto" w:fill="FFFFFF"/>
          </w:tcPr>
          <w:p w14:paraId="1078FA55" w14:textId="5A6B5571" w:rsidR="00A916AC" w:rsidRPr="00B57B36" w:rsidRDefault="00A916AC" w:rsidP="00A916AC">
            <w:pPr>
              <w:ind w:right="-1"/>
              <w:jc w:val="left"/>
              <w:rPr>
                <w:rFonts w:cs="Arial"/>
                <w:szCs w:val="18"/>
              </w:rPr>
            </w:pPr>
            <w:r w:rsidRPr="00E265B4">
              <w:rPr>
                <w:szCs w:val="18"/>
              </w:rPr>
              <w:t>1.0</w:t>
            </w:r>
          </w:p>
        </w:tc>
        <w:tc>
          <w:tcPr>
            <w:tcW w:w="528" w:type="pct"/>
            <w:shd w:val="clear" w:color="auto" w:fill="FFFFFF"/>
          </w:tcPr>
          <w:p w14:paraId="0C283D0A" w14:textId="62B9B0A2" w:rsidR="00A916AC" w:rsidRPr="00B57B36" w:rsidRDefault="00A916AC" w:rsidP="00A916AC">
            <w:pPr>
              <w:ind w:right="-1"/>
              <w:jc w:val="left"/>
              <w:rPr>
                <w:rFonts w:cs="Arial"/>
                <w:szCs w:val="18"/>
              </w:rPr>
            </w:pPr>
            <w:r w:rsidRPr="00E265B4">
              <w:rPr>
                <w:szCs w:val="18"/>
              </w:rPr>
              <w:t>0.335</w:t>
            </w:r>
          </w:p>
        </w:tc>
        <w:tc>
          <w:tcPr>
            <w:tcW w:w="528" w:type="pct"/>
            <w:shd w:val="clear" w:color="auto" w:fill="FFFFFF"/>
          </w:tcPr>
          <w:p w14:paraId="7EBA57E9" w14:textId="08BA15DD" w:rsidR="00A916AC" w:rsidRPr="00B57B36" w:rsidRDefault="00A916AC" w:rsidP="00A916AC">
            <w:pPr>
              <w:ind w:right="-1"/>
              <w:jc w:val="left"/>
              <w:rPr>
                <w:rFonts w:cs="Arial"/>
                <w:szCs w:val="18"/>
              </w:rPr>
            </w:pPr>
            <w:r w:rsidRPr="00E265B4">
              <w:rPr>
                <w:szCs w:val="18"/>
              </w:rPr>
              <w:t>0.140</w:t>
            </w:r>
          </w:p>
        </w:tc>
        <w:tc>
          <w:tcPr>
            <w:tcW w:w="528" w:type="pct"/>
            <w:shd w:val="clear" w:color="auto" w:fill="FFFFFF"/>
          </w:tcPr>
          <w:p w14:paraId="4DCB7716" w14:textId="65E57F0C" w:rsidR="00A916AC" w:rsidRPr="00B57B36" w:rsidRDefault="00A916AC" w:rsidP="00A916AC">
            <w:pPr>
              <w:ind w:right="-1"/>
              <w:jc w:val="left"/>
              <w:rPr>
                <w:rFonts w:cs="Arial"/>
                <w:szCs w:val="18"/>
              </w:rPr>
            </w:pPr>
            <w:r w:rsidRPr="00E265B4">
              <w:rPr>
                <w:szCs w:val="18"/>
              </w:rPr>
              <w:t>0.525</w:t>
            </w:r>
          </w:p>
        </w:tc>
      </w:tr>
      <w:tr w:rsidR="00A916AC" w:rsidRPr="00B57B36" w14:paraId="2F8347DE" w14:textId="77777777" w:rsidTr="00C82290">
        <w:trPr>
          <w:jc w:val="center"/>
        </w:trPr>
        <w:tc>
          <w:tcPr>
            <w:tcW w:w="699" w:type="pct"/>
            <w:shd w:val="clear" w:color="auto" w:fill="FFFFFF"/>
          </w:tcPr>
          <w:p w14:paraId="4E3D7889" w14:textId="77777777" w:rsidR="00A916AC" w:rsidRPr="00B57B36" w:rsidRDefault="00A916AC" w:rsidP="00A916AC">
            <w:pPr>
              <w:ind w:right="-1"/>
              <w:jc w:val="left"/>
              <w:rPr>
                <w:rFonts w:cs="Arial"/>
                <w:szCs w:val="18"/>
              </w:rPr>
            </w:pPr>
          </w:p>
        </w:tc>
        <w:tc>
          <w:tcPr>
            <w:tcW w:w="352" w:type="pct"/>
            <w:shd w:val="clear" w:color="auto" w:fill="FFFFFF"/>
          </w:tcPr>
          <w:p w14:paraId="2746054D" w14:textId="77777777" w:rsidR="00A916AC" w:rsidRPr="00B57B36" w:rsidRDefault="00A916AC" w:rsidP="00A916AC">
            <w:pPr>
              <w:ind w:right="-1"/>
              <w:jc w:val="left"/>
              <w:rPr>
                <w:rFonts w:cs="Arial"/>
                <w:szCs w:val="18"/>
              </w:rPr>
            </w:pPr>
          </w:p>
        </w:tc>
        <w:tc>
          <w:tcPr>
            <w:tcW w:w="411" w:type="pct"/>
            <w:shd w:val="clear" w:color="auto" w:fill="FFFFFF"/>
          </w:tcPr>
          <w:p w14:paraId="4446132B" w14:textId="77777777" w:rsidR="00A916AC" w:rsidRPr="00B57B36" w:rsidRDefault="00A916AC" w:rsidP="00A916AC">
            <w:pPr>
              <w:ind w:right="-1"/>
              <w:jc w:val="left"/>
              <w:rPr>
                <w:rFonts w:cs="Arial"/>
                <w:szCs w:val="18"/>
              </w:rPr>
            </w:pPr>
          </w:p>
        </w:tc>
        <w:tc>
          <w:tcPr>
            <w:tcW w:w="796" w:type="pct"/>
            <w:shd w:val="clear" w:color="auto" w:fill="FFFFFF"/>
          </w:tcPr>
          <w:p w14:paraId="4F5A3B4D" w14:textId="77777777" w:rsidR="00A916AC" w:rsidRPr="00B57B36" w:rsidRDefault="00A916AC" w:rsidP="00A916AC">
            <w:pPr>
              <w:ind w:right="-1"/>
              <w:jc w:val="left"/>
              <w:rPr>
                <w:rFonts w:cs="Arial"/>
                <w:szCs w:val="18"/>
              </w:rPr>
            </w:pPr>
          </w:p>
        </w:tc>
        <w:tc>
          <w:tcPr>
            <w:tcW w:w="727" w:type="pct"/>
            <w:shd w:val="clear" w:color="auto" w:fill="FFFFFF"/>
          </w:tcPr>
          <w:p w14:paraId="53A1DB47" w14:textId="77777777" w:rsidR="00A916AC" w:rsidRPr="00B57B36" w:rsidRDefault="00A916AC" w:rsidP="00A916AC">
            <w:pPr>
              <w:ind w:right="-1"/>
              <w:jc w:val="left"/>
              <w:rPr>
                <w:rFonts w:cs="Arial"/>
                <w:szCs w:val="18"/>
              </w:rPr>
            </w:pPr>
          </w:p>
        </w:tc>
        <w:tc>
          <w:tcPr>
            <w:tcW w:w="431" w:type="pct"/>
            <w:shd w:val="clear" w:color="auto" w:fill="FFFFFF"/>
          </w:tcPr>
          <w:p w14:paraId="036618A0" w14:textId="3047DF4E" w:rsidR="00A916AC" w:rsidRPr="00B57B36" w:rsidRDefault="00A916AC" w:rsidP="00A916AC">
            <w:pPr>
              <w:ind w:right="-1"/>
              <w:jc w:val="left"/>
              <w:rPr>
                <w:rFonts w:cs="Arial"/>
                <w:szCs w:val="18"/>
              </w:rPr>
            </w:pPr>
            <w:r w:rsidRPr="00E265B4">
              <w:rPr>
                <w:szCs w:val="18"/>
              </w:rPr>
              <w:t>1.2</w:t>
            </w:r>
          </w:p>
        </w:tc>
        <w:tc>
          <w:tcPr>
            <w:tcW w:w="528" w:type="pct"/>
            <w:shd w:val="clear" w:color="auto" w:fill="FFFFFF"/>
          </w:tcPr>
          <w:p w14:paraId="7ECB5FD4" w14:textId="504E750C" w:rsidR="00A916AC" w:rsidRPr="00B57B36" w:rsidRDefault="00A916AC" w:rsidP="00A916AC">
            <w:pPr>
              <w:ind w:right="-1"/>
              <w:jc w:val="left"/>
              <w:rPr>
                <w:rFonts w:cs="Arial"/>
                <w:szCs w:val="18"/>
              </w:rPr>
            </w:pPr>
            <w:r w:rsidRPr="00E265B4">
              <w:rPr>
                <w:szCs w:val="18"/>
              </w:rPr>
              <w:t>0.144</w:t>
            </w:r>
          </w:p>
        </w:tc>
        <w:tc>
          <w:tcPr>
            <w:tcW w:w="528" w:type="pct"/>
            <w:shd w:val="clear" w:color="auto" w:fill="FFFFFF"/>
          </w:tcPr>
          <w:p w14:paraId="5B284093" w14:textId="6CED32A9" w:rsidR="00A916AC" w:rsidRPr="00B57B36" w:rsidRDefault="00A916AC" w:rsidP="00A916AC">
            <w:pPr>
              <w:ind w:right="-1"/>
              <w:jc w:val="left"/>
              <w:rPr>
                <w:rFonts w:cs="Arial"/>
                <w:szCs w:val="18"/>
              </w:rPr>
            </w:pPr>
            <w:r w:rsidRPr="00E265B4">
              <w:rPr>
                <w:szCs w:val="18"/>
              </w:rPr>
              <w:t>0.180</w:t>
            </w:r>
          </w:p>
        </w:tc>
        <w:tc>
          <w:tcPr>
            <w:tcW w:w="528" w:type="pct"/>
            <w:shd w:val="clear" w:color="auto" w:fill="FFFFFF"/>
          </w:tcPr>
          <w:p w14:paraId="32422B48" w14:textId="62BD6D69" w:rsidR="00A916AC" w:rsidRPr="00B57B36" w:rsidRDefault="00A916AC" w:rsidP="00A916AC">
            <w:pPr>
              <w:ind w:right="-1"/>
              <w:jc w:val="left"/>
              <w:rPr>
                <w:rFonts w:cs="Arial"/>
                <w:szCs w:val="18"/>
              </w:rPr>
            </w:pPr>
            <w:r w:rsidRPr="00E265B4">
              <w:rPr>
                <w:szCs w:val="18"/>
              </w:rPr>
              <w:t>0.676</w:t>
            </w:r>
          </w:p>
        </w:tc>
      </w:tr>
    </w:tbl>
    <w:p w14:paraId="01FCBBA4" w14:textId="13FD9274" w:rsidR="005C1A57" w:rsidRPr="00591C6C" w:rsidRDefault="00423B17" w:rsidP="00F879FE">
      <w:pPr>
        <w:pStyle w:val="BOAHeading"/>
      </w:pPr>
      <w:r>
        <w:t xml:space="preserve">3. </w:t>
      </w:r>
      <w:r w:rsidR="005C1A57" w:rsidRPr="00591C6C">
        <w:t>Results and discussion</w:t>
      </w:r>
    </w:p>
    <w:p w14:paraId="31E5012D" w14:textId="0C8CC8EA" w:rsidR="00F6058E" w:rsidRDefault="00A916AC" w:rsidP="008009AC">
      <w:pPr>
        <w:rPr>
          <w:rFonts w:eastAsia="MS PGothic"/>
        </w:rPr>
      </w:pPr>
      <w:r w:rsidRPr="00A916AC">
        <w:rPr>
          <w:rFonts w:eastAsia="MS PGothic"/>
        </w:rPr>
        <w:t>Figure 1 show</w:t>
      </w:r>
      <w:r w:rsidR="00F6058E">
        <w:rPr>
          <w:rFonts w:eastAsia="MS PGothic"/>
        </w:rPr>
        <w:t>s</w:t>
      </w:r>
      <w:r w:rsidRPr="00A916AC">
        <w:rPr>
          <w:rFonts w:eastAsia="MS PGothic"/>
        </w:rPr>
        <w:t xml:space="preserve"> the molar fraction of NO</w:t>
      </w:r>
      <w:r w:rsidRPr="00A9495A">
        <w:rPr>
          <w:rFonts w:eastAsia="MS PGothic"/>
          <w:vertAlign w:val="subscript"/>
        </w:rPr>
        <w:t>x</w:t>
      </w:r>
      <w:r w:rsidRPr="00A916AC">
        <w:rPr>
          <w:rFonts w:eastAsia="MS PGothic"/>
        </w:rPr>
        <w:t xml:space="preserve"> for the three fuels at stoichiometric</w:t>
      </w:r>
      <w:r w:rsidR="00B0625E">
        <w:rPr>
          <w:rFonts w:eastAsia="MS PGothic"/>
        </w:rPr>
        <w:t>,</w:t>
      </w:r>
      <w:r w:rsidRPr="00A916AC">
        <w:rPr>
          <w:rFonts w:eastAsia="MS PGothic"/>
        </w:rPr>
        <w:t xml:space="preserve"> rich</w:t>
      </w:r>
      <w:r w:rsidR="00B0625E">
        <w:rPr>
          <w:rFonts w:eastAsia="MS PGothic"/>
        </w:rPr>
        <w:t>,</w:t>
      </w:r>
      <w:r w:rsidRPr="00A916AC">
        <w:rPr>
          <w:rFonts w:eastAsia="MS PGothic"/>
        </w:rPr>
        <w:t xml:space="preserve"> and lean fuel </w:t>
      </w:r>
      <w:r w:rsidR="00B0625E">
        <w:rPr>
          <w:rFonts w:eastAsia="MS PGothic"/>
        </w:rPr>
        <w:t>compositions</w:t>
      </w:r>
      <w:r w:rsidRPr="00A916AC">
        <w:rPr>
          <w:rFonts w:eastAsia="MS PGothic"/>
        </w:rPr>
        <w:t>, as calculated by KIBO</w:t>
      </w:r>
      <w:r w:rsidR="00F6058E">
        <w:rPr>
          <w:rFonts w:eastAsia="MS PGothic"/>
        </w:rPr>
        <w:t xml:space="preserve"> by using the </w:t>
      </w:r>
      <w:r w:rsidR="00BD5B3D">
        <w:rPr>
          <w:rFonts w:eastAsia="MS PGothic"/>
        </w:rPr>
        <w:t xml:space="preserve">purely </w:t>
      </w:r>
      <w:r w:rsidR="00F6058E">
        <w:rPr>
          <w:rFonts w:eastAsia="MS PGothic"/>
        </w:rPr>
        <w:t>thermodynamic</w:t>
      </w:r>
      <w:r w:rsidR="00BD5B3D">
        <w:rPr>
          <w:rFonts w:eastAsia="MS PGothic"/>
        </w:rPr>
        <w:t>-based</w:t>
      </w:r>
      <w:r w:rsidR="00F6058E">
        <w:rPr>
          <w:rFonts w:eastAsia="MS PGothic"/>
        </w:rPr>
        <w:t xml:space="preserve"> </w:t>
      </w:r>
      <w:r w:rsidR="00BD5B3D">
        <w:rPr>
          <w:rFonts w:eastAsia="MS PGothic"/>
        </w:rPr>
        <w:t xml:space="preserve">approach </w:t>
      </w:r>
      <w:r w:rsidR="00B0625E">
        <w:rPr>
          <w:rFonts w:eastAsia="MS PGothic"/>
        </w:rPr>
        <w:t xml:space="preserve">and </w:t>
      </w:r>
      <w:r w:rsidR="00BD5B3D">
        <w:rPr>
          <w:rFonts w:eastAsia="MS PGothic"/>
        </w:rPr>
        <w:t xml:space="preserve">the </w:t>
      </w:r>
      <w:r w:rsidR="00B0625E">
        <w:rPr>
          <w:rFonts w:eastAsia="MS PGothic"/>
        </w:rPr>
        <w:t>kinetic</w:t>
      </w:r>
      <w:r w:rsidR="00BD5B3D">
        <w:rPr>
          <w:rFonts w:eastAsia="MS PGothic"/>
        </w:rPr>
        <w:t>-based</w:t>
      </w:r>
      <w:r w:rsidR="00B0625E">
        <w:rPr>
          <w:rFonts w:eastAsia="MS PGothic"/>
        </w:rPr>
        <w:t xml:space="preserve"> </w:t>
      </w:r>
      <w:r w:rsidR="00BD5B3D">
        <w:rPr>
          <w:rFonts w:eastAsia="MS PGothic"/>
        </w:rPr>
        <w:t>methodology</w:t>
      </w:r>
      <w:r w:rsidRPr="00A916AC">
        <w:rPr>
          <w:rFonts w:eastAsia="MS PGothic"/>
        </w:rPr>
        <w:t xml:space="preserve">. </w:t>
      </w:r>
    </w:p>
    <w:p w14:paraId="50983A91" w14:textId="7B0BA0F8" w:rsidR="00F6058E" w:rsidRDefault="00F6058E" w:rsidP="008009AC">
      <w:pPr>
        <w:rPr>
          <w:rFonts w:eastAsia="MS PGothic"/>
        </w:rPr>
      </w:pPr>
    </w:p>
    <w:p w14:paraId="5BE1DE43" w14:textId="6E3A818A" w:rsidR="00F6058E" w:rsidRDefault="00562ADE" w:rsidP="00C80A28">
      <w:pPr>
        <w:rPr>
          <w:rFonts w:eastAsia="MS PGothic"/>
          <w:b/>
        </w:rPr>
      </w:pPr>
      <w:r>
        <w:rPr>
          <w:rFonts w:eastAsia="MS PGothic"/>
          <w:b/>
          <w:noProof/>
        </w:rPr>
        <w:drawing>
          <wp:inline distT="0" distB="0" distL="0" distR="0" wp14:anchorId="74855B9D" wp14:editId="6B9C9165">
            <wp:extent cx="2592000" cy="1709049"/>
            <wp:effectExtent l="0" t="0" r="0" b="571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000" cy="1709049"/>
                    </a:xfrm>
                    <a:prstGeom prst="rect">
                      <a:avLst/>
                    </a:prstGeom>
                    <a:noFill/>
                  </pic:spPr>
                </pic:pic>
              </a:graphicData>
            </a:graphic>
          </wp:inline>
        </w:drawing>
      </w:r>
      <w:r w:rsidR="00F6058E">
        <w:rPr>
          <w:rFonts w:eastAsia="MS PGothic"/>
          <w:b/>
          <w:noProof/>
        </w:rPr>
        <w:drawing>
          <wp:inline distT="0" distB="0" distL="0" distR="0" wp14:anchorId="596C2844" wp14:editId="2939C46A">
            <wp:extent cx="2628000" cy="1725890"/>
            <wp:effectExtent l="0" t="0" r="127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6178"/>
                    <a:stretch/>
                  </pic:blipFill>
                  <pic:spPr bwMode="auto">
                    <a:xfrm>
                      <a:off x="0" y="0"/>
                      <a:ext cx="2628000" cy="1725890"/>
                    </a:xfrm>
                    <a:prstGeom prst="rect">
                      <a:avLst/>
                    </a:prstGeom>
                    <a:noFill/>
                    <a:ln>
                      <a:noFill/>
                    </a:ln>
                    <a:extLst>
                      <a:ext uri="{53640926-AAD7-44D8-BBD7-CCE9431645EC}">
                        <a14:shadowObscured xmlns:a14="http://schemas.microsoft.com/office/drawing/2010/main"/>
                      </a:ext>
                    </a:extLst>
                  </pic:spPr>
                </pic:pic>
              </a:graphicData>
            </a:graphic>
          </wp:inline>
        </w:drawing>
      </w:r>
    </w:p>
    <w:p w14:paraId="35D8EE69" w14:textId="1924B4B2" w:rsidR="005C1A57" w:rsidRDefault="005C1A57" w:rsidP="00516FAD">
      <w:pPr>
        <w:pStyle w:val="BOACaption"/>
      </w:pPr>
      <w:r w:rsidRPr="00F879FE">
        <w:t xml:space="preserve">Figure </w:t>
      </w:r>
      <w:r w:rsidR="00B0625E">
        <w:t>1</w:t>
      </w:r>
      <w:r w:rsidRPr="00F879FE">
        <w:rPr>
          <w:lang w:eastAsia="ko-KR"/>
        </w:rPr>
        <w:t>.</w:t>
      </w:r>
      <w:r w:rsidRPr="00F879FE">
        <w:t xml:space="preserve"> </w:t>
      </w:r>
      <w:r w:rsidR="00A916AC" w:rsidRPr="00A916AC">
        <w:t>Molar fraction of NO</w:t>
      </w:r>
      <w:r w:rsidR="00A916AC" w:rsidRPr="00440FB3">
        <w:rPr>
          <w:vertAlign w:val="subscript"/>
        </w:rPr>
        <w:t>x</w:t>
      </w:r>
      <w:r w:rsidR="00A916AC" w:rsidRPr="00A916AC">
        <w:t xml:space="preserve"> </w:t>
      </w:r>
      <w:r w:rsidR="00440FB3">
        <w:t xml:space="preserve">(NO </w:t>
      </w:r>
      <w:r w:rsidR="00CE6D8D">
        <w:t>–</w:t>
      </w:r>
      <w:r w:rsidR="00440FB3">
        <w:t xml:space="preserve"> </w:t>
      </w:r>
      <w:r w:rsidR="00F6058E">
        <w:rPr>
          <w:rFonts w:cs="Arial"/>
        </w:rPr>
        <w:t>Δ</w:t>
      </w:r>
      <w:r w:rsidR="00CE6D8D">
        <w:t>, dotted line;</w:t>
      </w:r>
      <w:r w:rsidR="00440FB3">
        <w:t xml:space="preserve"> N</w:t>
      </w:r>
      <w:r w:rsidR="00440FB3" w:rsidRPr="00440FB3">
        <w:rPr>
          <w:vertAlign w:val="subscript"/>
        </w:rPr>
        <w:t>2</w:t>
      </w:r>
      <w:r w:rsidR="00440FB3">
        <w:t xml:space="preserve">O </w:t>
      </w:r>
      <w:r w:rsidR="00CE6D8D">
        <w:t>–</w:t>
      </w:r>
      <w:r w:rsidR="00440FB3">
        <w:t xml:space="preserve"> </w:t>
      </w:r>
      <w:r w:rsidR="00F6058E">
        <w:rPr>
          <w:rFonts w:cs="Arial"/>
        </w:rPr>
        <w:t>O</w:t>
      </w:r>
      <w:r w:rsidR="00CE6D8D">
        <w:t xml:space="preserve">, dashed </w:t>
      </w:r>
      <w:r w:rsidR="00440FB3">
        <w:t>line, NO</w:t>
      </w:r>
      <w:r w:rsidR="00440FB3" w:rsidRPr="00440FB3">
        <w:rPr>
          <w:vertAlign w:val="subscript"/>
        </w:rPr>
        <w:t>2</w:t>
      </w:r>
      <w:r w:rsidR="00440FB3">
        <w:t xml:space="preserve"> – </w:t>
      </w:r>
      <w:r w:rsidR="00CE6D8D">
        <w:t xml:space="preserve">continuous </w:t>
      </w:r>
      <w:r w:rsidR="00440FB3">
        <w:t>line</w:t>
      </w:r>
      <w:r w:rsidR="00CE6D8D">
        <w:t xml:space="preserve">, </w:t>
      </w:r>
      <w:r w:rsidR="00F6058E">
        <w:t>square</w:t>
      </w:r>
      <w:r w:rsidR="00440FB3">
        <w:t xml:space="preserve">) </w:t>
      </w:r>
      <w:r w:rsidR="00A916AC" w:rsidRPr="00A916AC">
        <w:t>produced by NH</w:t>
      </w:r>
      <w:r w:rsidR="00A916AC" w:rsidRPr="008009AC">
        <w:rPr>
          <w:vertAlign w:val="subscript"/>
        </w:rPr>
        <w:t>3</w:t>
      </w:r>
      <w:r w:rsidR="00A916AC" w:rsidRPr="00A916AC">
        <w:t>, H</w:t>
      </w:r>
      <w:r w:rsidR="00A916AC" w:rsidRPr="008009AC">
        <w:rPr>
          <w:vertAlign w:val="subscript"/>
        </w:rPr>
        <w:t>2</w:t>
      </w:r>
      <w:r w:rsidR="00A916AC" w:rsidRPr="00A916AC">
        <w:t xml:space="preserve"> and CH</w:t>
      </w:r>
      <w:r w:rsidR="00A916AC" w:rsidRPr="008009AC">
        <w:rPr>
          <w:vertAlign w:val="subscript"/>
        </w:rPr>
        <w:t>3</w:t>
      </w:r>
      <w:r w:rsidR="00A916AC" w:rsidRPr="00A916AC">
        <w:t xml:space="preserve">OH </w:t>
      </w:r>
      <w:r w:rsidR="00F6058E">
        <w:t xml:space="preserve">by </w:t>
      </w:r>
      <w:r w:rsidR="00002C09">
        <w:t xml:space="preserve">a pure </w:t>
      </w:r>
      <w:r w:rsidR="00B0625E">
        <w:t xml:space="preserve">thermodynamic </w:t>
      </w:r>
      <w:r w:rsidR="00002C09" w:rsidRPr="00BD5B3D">
        <w:t>model (</w:t>
      </w:r>
      <w:r w:rsidR="00BD5B3D">
        <w:t>left</w:t>
      </w:r>
      <w:r w:rsidR="00002C09" w:rsidRPr="00BD5B3D">
        <w:t xml:space="preserve">) and by </w:t>
      </w:r>
      <w:r w:rsidR="00F6058E" w:rsidRPr="00BD5B3D">
        <w:t>the kinetic model (</w:t>
      </w:r>
      <w:r w:rsidR="00BD5B3D">
        <w:t>right</w:t>
      </w:r>
      <w:r w:rsidR="00F6058E" w:rsidRPr="00BD5B3D">
        <w:t xml:space="preserve">) </w:t>
      </w:r>
      <w:r w:rsidR="00A916AC" w:rsidRPr="00BD5B3D">
        <w:t>vs equivalence ratio φ</w:t>
      </w:r>
      <w:r w:rsidR="00BD5B3D">
        <w:t xml:space="preserve"> as calculated by the KIBO model.</w:t>
      </w:r>
      <w:r w:rsidR="00A916AC" w:rsidRPr="00A916AC">
        <w:t xml:space="preserve"> </w:t>
      </w:r>
    </w:p>
    <w:p w14:paraId="470C5EDD" w14:textId="23989952" w:rsidR="00A9495A" w:rsidRDefault="00BD5B3D" w:rsidP="00A9495A">
      <w:r>
        <w:rPr>
          <w:rFonts w:eastAsia="MS PGothic"/>
        </w:rPr>
        <w:t>Quite clearly, t</w:t>
      </w:r>
      <w:r w:rsidR="00F6058E" w:rsidRPr="00A916AC">
        <w:rPr>
          <w:rFonts w:eastAsia="MS PGothic"/>
        </w:rPr>
        <w:t>he molar fraction of nitrogen monoxide NO prevails over the other oxide</w:t>
      </w:r>
      <w:r w:rsidR="00002C09">
        <w:rPr>
          <w:rFonts w:eastAsia="MS PGothic"/>
        </w:rPr>
        <w:t xml:space="preserve">s, even if </w:t>
      </w:r>
      <w:r w:rsidR="00F6058E">
        <w:rPr>
          <w:rFonts w:eastAsia="MS PGothic"/>
        </w:rPr>
        <w:t>NO</w:t>
      </w:r>
      <w:r w:rsidR="00F6058E" w:rsidRPr="00CE6D8D">
        <w:rPr>
          <w:rFonts w:eastAsia="MS PGothic"/>
          <w:vertAlign w:val="subscript"/>
        </w:rPr>
        <w:t>2</w:t>
      </w:r>
      <w:r w:rsidR="00F6058E">
        <w:rPr>
          <w:rFonts w:eastAsia="MS PGothic"/>
        </w:rPr>
        <w:t xml:space="preserve"> </w:t>
      </w:r>
      <w:r w:rsidR="00002C09">
        <w:rPr>
          <w:rFonts w:eastAsia="MS PGothic"/>
        </w:rPr>
        <w:t xml:space="preserve">shows some relevance </w:t>
      </w:r>
      <w:r>
        <w:rPr>
          <w:rFonts w:eastAsia="MS PGothic"/>
        </w:rPr>
        <w:t>in</w:t>
      </w:r>
      <w:r w:rsidR="00002C09">
        <w:rPr>
          <w:rFonts w:eastAsia="MS PGothic"/>
        </w:rPr>
        <w:t xml:space="preserve"> lean conditions. Be</w:t>
      </w:r>
      <w:r w:rsidR="00B0625E">
        <w:rPr>
          <w:rFonts w:eastAsia="MS PGothic"/>
        </w:rPr>
        <w:t>s</w:t>
      </w:r>
      <w:r w:rsidR="00002C09">
        <w:rPr>
          <w:rFonts w:eastAsia="MS PGothic"/>
        </w:rPr>
        <w:t xml:space="preserve">ides, </w:t>
      </w:r>
      <w:r w:rsidR="00F6058E">
        <w:rPr>
          <w:rFonts w:eastAsia="MS PGothic"/>
        </w:rPr>
        <w:t>N</w:t>
      </w:r>
      <w:r w:rsidR="00F6058E" w:rsidRPr="00407515">
        <w:rPr>
          <w:rFonts w:eastAsia="MS PGothic"/>
          <w:vertAlign w:val="subscript"/>
        </w:rPr>
        <w:t>2</w:t>
      </w:r>
      <w:r w:rsidR="00F6058E">
        <w:rPr>
          <w:rFonts w:eastAsia="MS PGothic"/>
        </w:rPr>
        <w:t>O is almost negligible in all conditions, as expected</w:t>
      </w:r>
      <w:r w:rsidR="00F6058E" w:rsidRPr="00A916AC">
        <w:rPr>
          <w:rFonts w:eastAsia="MS PGothic"/>
        </w:rPr>
        <w:t xml:space="preserve">. </w:t>
      </w:r>
      <w:r w:rsidR="00BC29D1">
        <w:rPr>
          <w:rFonts w:eastAsia="MS PGothic"/>
        </w:rPr>
        <w:t xml:space="preserve">Once </w:t>
      </w:r>
      <w:r w:rsidR="00002C09">
        <w:rPr>
          <w:rFonts w:eastAsia="MS PGothic"/>
        </w:rPr>
        <w:t>the Gibbs-free energy model</w:t>
      </w:r>
      <w:r w:rsidR="00BC29D1">
        <w:rPr>
          <w:rFonts w:eastAsia="MS PGothic"/>
        </w:rPr>
        <w:t xml:space="preserve"> is considered</w:t>
      </w:r>
      <w:r w:rsidR="00002C09">
        <w:rPr>
          <w:rFonts w:eastAsia="MS PGothic"/>
        </w:rPr>
        <w:t>, NH</w:t>
      </w:r>
      <w:r w:rsidR="00002C09" w:rsidRPr="00002C09">
        <w:rPr>
          <w:rFonts w:eastAsia="MS PGothic"/>
          <w:vertAlign w:val="subscript"/>
        </w:rPr>
        <w:t>3</w:t>
      </w:r>
      <w:r w:rsidR="00BC29D1">
        <w:rPr>
          <w:rFonts w:eastAsia="MS PGothic"/>
        </w:rPr>
        <w:t>, H</w:t>
      </w:r>
      <w:r w:rsidR="00BC29D1" w:rsidRPr="00002C09">
        <w:rPr>
          <w:rFonts w:eastAsia="MS PGothic"/>
          <w:vertAlign w:val="subscript"/>
        </w:rPr>
        <w:t>2</w:t>
      </w:r>
      <w:r w:rsidR="00BC29D1">
        <w:rPr>
          <w:rFonts w:eastAsia="MS PGothic"/>
        </w:rPr>
        <w:t xml:space="preserve"> and CH</w:t>
      </w:r>
      <w:r w:rsidR="00BC29D1" w:rsidRPr="00002C09">
        <w:rPr>
          <w:rFonts w:eastAsia="MS PGothic"/>
          <w:vertAlign w:val="subscript"/>
        </w:rPr>
        <w:t>3</w:t>
      </w:r>
      <w:r w:rsidR="00BC29D1">
        <w:rPr>
          <w:rFonts w:eastAsia="MS PGothic"/>
        </w:rPr>
        <w:t xml:space="preserve">OH </w:t>
      </w:r>
      <w:r w:rsidR="00002C09">
        <w:rPr>
          <w:rFonts w:eastAsia="MS PGothic"/>
        </w:rPr>
        <w:t>produc</w:t>
      </w:r>
      <w:r w:rsidR="00BC29D1">
        <w:rPr>
          <w:rFonts w:eastAsia="MS PGothic"/>
        </w:rPr>
        <w:t>e</w:t>
      </w:r>
      <w:r w:rsidR="00002C09">
        <w:rPr>
          <w:rFonts w:eastAsia="MS PGothic"/>
        </w:rPr>
        <w:t xml:space="preserve"> a comparable amount of NO</w:t>
      </w:r>
      <w:r w:rsidR="00002C09" w:rsidRPr="00002C09">
        <w:rPr>
          <w:rFonts w:eastAsia="MS PGothic"/>
          <w:vertAlign w:val="subscript"/>
        </w:rPr>
        <w:t>x</w:t>
      </w:r>
      <w:r w:rsidR="00002C09">
        <w:rPr>
          <w:rFonts w:eastAsia="MS PGothic"/>
        </w:rPr>
        <w:t xml:space="preserve">, whereas the </w:t>
      </w:r>
      <w:r w:rsidR="00BC29D1">
        <w:rPr>
          <w:rFonts w:eastAsia="MS PGothic"/>
        </w:rPr>
        <w:t xml:space="preserve">adoption of the </w:t>
      </w:r>
      <w:r w:rsidR="00002C09">
        <w:rPr>
          <w:rFonts w:eastAsia="MS PGothic"/>
        </w:rPr>
        <w:t xml:space="preserve">kinetic model </w:t>
      </w:r>
      <w:r w:rsidR="00BC29D1">
        <w:rPr>
          <w:rFonts w:eastAsia="MS PGothic"/>
        </w:rPr>
        <w:t>results in a significantly larger content of NO</w:t>
      </w:r>
      <w:r w:rsidR="00BC29D1" w:rsidRPr="00BD5B3D">
        <w:rPr>
          <w:rFonts w:eastAsia="MS PGothic"/>
          <w:vertAlign w:val="subscript"/>
        </w:rPr>
        <w:t>x</w:t>
      </w:r>
      <w:r w:rsidR="00BC29D1">
        <w:rPr>
          <w:rFonts w:eastAsia="MS PGothic"/>
        </w:rPr>
        <w:t xml:space="preserve"> in the case of </w:t>
      </w:r>
      <w:r w:rsidR="00B0083D">
        <w:rPr>
          <w:rFonts w:eastAsia="MS PGothic"/>
        </w:rPr>
        <w:t>NH</w:t>
      </w:r>
      <w:r w:rsidR="00B0083D" w:rsidRPr="00002C09">
        <w:rPr>
          <w:rFonts w:eastAsia="MS PGothic"/>
          <w:vertAlign w:val="subscript"/>
        </w:rPr>
        <w:t>3</w:t>
      </w:r>
      <w:r w:rsidR="00002C09">
        <w:rPr>
          <w:rFonts w:eastAsia="MS PGothic"/>
        </w:rPr>
        <w:t xml:space="preserve">. </w:t>
      </w:r>
      <w:r w:rsidR="00BC29D1">
        <w:rPr>
          <w:rFonts w:eastAsia="MS PGothic"/>
        </w:rPr>
        <w:t xml:space="preserve">This trend can be attributed to the variation in nitrogen content due to the different stoichiometric coefficients, acting as a thermal and kinetic diluent. This aspect can have a significant impact on the overall reactivity, as well. Hence, meaningful considerations can be obtained </w:t>
      </w:r>
      <w:r>
        <w:rPr>
          <w:rFonts w:eastAsia="MS PGothic"/>
        </w:rPr>
        <w:t xml:space="preserve">by comparing the emissions per unit of energy </w:t>
      </w:r>
      <w:r w:rsidR="00A37891">
        <w:rPr>
          <w:rFonts w:eastAsia="MS PGothic"/>
        </w:rPr>
        <w:t xml:space="preserve">(in kWh) </w:t>
      </w:r>
      <w:r>
        <w:rPr>
          <w:rFonts w:eastAsia="MS PGothic"/>
        </w:rPr>
        <w:t>produced by combustion</w:t>
      </w:r>
      <w:r w:rsidR="00A37891">
        <w:rPr>
          <w:rFonts w:eastAsia="MS PGothic"/>
        </w:rPr>
        <w:t xml:space="preserve"> and the consumption rate, i.e. the total amount of fuel required to produce 1 kWh (</w:t>
      </w:r>
      <w:r w:rsidR="00A9495A" w:rsidRPr="00002C09">
        <w:t>Figure 2</w:t>
      </w:r>
      <w:r w:rsidR="00A37891">
        <w:t>)</w:t>
      </w:r>
      <w:r w:rsidR="00A9495A" w:rsidRPr="00002C09">
        <w:t xml:space="preserve">. </w:t>
      </w:r>
    </w:p>
    <w:p w14:paraId="79024F8E" w14:textId="77777777" w:rsidR="008F6A22" w:rsidRDefault="008F6A22" w:rsidP="00A9495A"/>
    <w:p w14:paraId="2107D8E2" w14:textId="0F986A3B" w:rsidR="003E3087" w:rsidRDefault="00002C09" w:rsidP="00516FAD">
      <w:pPr>
        <w:jc w:val="center"/>
      </w:pPr>
      <w:r>
        <w:rPr>
          <w:noProof/>
        </w:rPr>
        <w:lastRenderedPageBreak/>
        <w:drawing>
          <wp:inline distT="0" distB="0" distL="0" distR="0" wp14:anchorId="7487A479" wp14:editId="52621A0B">
            <wp:extent cx="4680000" cy="1998709"/>
            <wp:effectExtent l="0" t="0" r="6350" b="190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049"/>
                    <a:stretch/>
                  </pic:blipFill>
                  <pic:spPr bwMode="auto">
                    <a:xfrm>
                      <a:off x="0" y="0"/>
                      <a:ext cx="4680000" cy="1998709"/>
                    </a:xfrm>
                    <a:prstGeom prst="rect">
                      <a:avLst/>
                    </a:prstGeom>
                    <a:noFill/>
                    <a:ln>
                      <a:noFill/>
                    </a:ln>
                    <a:extLst>
                      <a:ext uri="{53640926-AAD7-44D8-BBD7-CCE9431645EC}">
                        <a14:shadowObscured xmlns:a14="http://schemas.microsoft.com/office/drawing/2010/main"/>
                      </a:ext>
                    </a:extLst>
                  </pic:spPr>
                </pic:pic>
              </a:graphicData>
            </a:graphic>
          </wp:inline>
        </w:drawing>
      </w:r>
    </w:p>
    <w:p w14:paraId="63D626AD" w14:textId="17E5049B" w:rsidR="00002C09" w:rsidRDefault="00002C09" w:rsidP="00516FAD">
      <w:pPr>
        <w:jc w:val="center"/>
      </w:pPr>
      <w:r>
        <w:rPr>
          <w:noProof/>
        </w:rPr>
        <w:drawing>
          <wp:inline distT="0" distB="0" distL="0" distR="0" wp14:anchorId="18B1412C" wp14:editId="45F28977">
            <wp:extent cx="4680000" cy="1791242"/>
            <wp:effectExtent l="0" t="0" r="635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44" r="6187"/>
                    <a:stretch/>
                  </pic:blipFill>
                  <pic:spPr bwMode="auto">
                    <a:xfrm>
                      <a:off x="0" y="0"/>
                      <a:ext cx="4680000" cy="1791242"/>
                    </a:xfrm>
                    <a:prstGeom prst="rect">
                      <a:avLst/>
                    </a:prstGeom>
                    <a:noFill/>
                    <a:ln>
                      <a:noFill/>
                    </a:ln>
                    <a:extLst>
                      <a:ext uri="{53640926-AAD7-44D8-BBD7-CCE9431645EC}">
                        <a14:shadowObscured xmlns:a14="http://schemas.microsoft.com/office/drawing/2010/main"/>
                      </a:ext>
                    </a:extLst>
                  </pic:spPr>
                </pic:pic>
              </a:graphicData>
            </a:graphic>
          </wp:inline>
        </w:drawing>
      </w:r>
    </w:p>
    <w:p w14:paraId="212BEC4B" w14:textId="77777777" w:rsidR="00002C09" w:rsidRDefault="00002C09" w:rsidP="00516FAD">
      <w:pPr>
        <w:jc w:val="center"/>
      </w:pPr>
    </w:p>
    <w:p w14:paraId="41657A92" w14:textId="64DDB833" w:rsidR="00A916AC" w:rsidRDefault="00A916AC" w:rsidP="00A916AC">
      <w:pPr>
        <w:pStyle w:val="BOACaption"/>
      </w:pPr>
      <w:r w:rsidRPr="00F879FE">
        <w:t xml:space="preserve">Figure </w:t>
      </w:r>
      <w:r>
        <w:t>2</w:t>
      </w:r>
      <w:r w:rsidRPr="00F879FE">
        <w:rPr>
          <w:lang w:eastAsia="ko-KR"/>
        </w:rPr>
        <w:t>.</w:t>
      </w:r>
      <w:r w:rsidRPr="00F879FE">
        <w:t xml:space="preserve"> </w:t>
      </w:r>
      <w:r w:rsidR="00BC29D1">
        <w:t xml:space="preserve">Mass of </w:t>
      </w:r>
      <w:r w:rsidR="00BC29D1" w:rsidRPr="00A916AC">
        <w:t>NO</w:t>
      </w:r>
      <w:r w:rsidR="00BC29D1" w:rsidRPr="00A9495A">
        <w:rPr>
          <w:vertAlign w:val="subscript"/>
        </w:rPr>
        <w:t>x</w:t>
      </w:r>
      <w:r w:rsidR="00BC29D1">
        <w:rPr>
          <w:vertAlign w:val="subscript"/>
        </w:rPr>
        <w:t xml:space="preserve"> </w:t>
      </w:r>
      <w:r w:rsidR="00BC29D1">
        <w:t xml:space="preserve">emitted per unit of energy (left) and mass of fuel </w:t>
      </w:r>
      <w:r w:rsidR="00A37891">
        <w:t xml:space="preserve">required for the production of 1 kWh of </w:t>
      </w:r>
      <w:r w:rsidR="00BC29D1">
        <w:t>energy (right</w:t>
      </w:r>
      <w:r w:rsidR="008F6A22">
        <w:t xml:space="preserve">) </w:t>
      </w:r>
      <w:r w:rsidR="006714D1">
        <w:t xml:space="preserve">for the investigated fuels </w:t>
      </w:r>
      <w:r w:rsidR="00A37891">
        <w:t xml:space="preserve">vs </w:t>
      </w:r>
      <w:r w:rsidR="006714D1">
        <w:t xml:space="preserve">the </w:t>
      </w:r>
      <w:r w:rsidRPr="00A916AC">
        <w:t>equivalence ratio φ</w:t>
      </w:r>
      <w:r w:rsidR="00A37891">
        <w:t>,</w:t>
      </w:r>
      <w:r w:rsidR="00BD5B3D">
        <w:t xml:space="preserve"> as calculated by the KIBO code</w:t>
      </w:r>
      <w:r w:rsidRPr="00A916AC">
        <w:t xml:space="preserve">. </w:t>
      </w:r>
      <w:r w:rsidR="00E12D0A">
        <w:t>Top: thermodynamic equilibrium, Bottom: kinetic model.</w:t>
      </w:r>
    </w:p>
    <w:p w14:paraId="31A636A0" w14:textId="77777777" w:rsidR="00A37891" w:rsidRDefault="00002C09" w:rsidP="00E12D0A">
      <w:r w:rsidRPr="00E12D0A">
        <w:t xml:space="preserve">The figure shows clearly that </w:t>
      </w:r>
      <w:r w:rsidR="00BD5B3D">
        <w:t xml:space="preserve">both </w:t>
      </w:r>
      <w:r w:rsidRPr="00E12D0A">
        <w:t xml:space="preserve">the amount of </w:t>
      </w:r>
      <w:r w:rsidR="00E12D0A" w:rsidRPr="00E12D0A">
        <w:t xml:space="preserve">fuel and the amount of </w:t>
      </w:r>
      <w:r w:rsidRPr="00E12D0A">
        <w:t>NO</w:t>
      </w:r>
      <w:r w:rsidRPr="00E12D0A">
        <w:rPr>
          <w:vertAlign w:val="subscript"/>
        </w:rPr>
        <w:t>x</w:t>
      </w:r>
      <w:r w:rsidRPr="00E12D0A">
        <w:t xml:space="preserve"> </w:t>
      </w:r>
      <w:r w:rsidR="00E12D0A" w:rsidRPr="00E12D0A">
        <w:t>per kWh are</w:t>
      </w:r>
      <w:r w:rsidRPr="00E12D0A">
        <w:t xml:space="preserve"> consistently </w:t>
      </w:r>
      <w:r w:rsidR="00A37891">
        <w:t>low</w:t>
      </w:r>
      <w:r w:rsidRPr="00E12D0A">
        <w:t xml:space="preserve"> in the case of </w:t>
      </w:r>
      <w:r w:rsidR="00E12D0A" w:rsidRPr="00E12D0A">
        <w:t>H</w:t>
      </w:r>
      <w:r w:rsidR="00E12D0A" w:rsidRPr="00E12D0A">
        <w:rPr>
          <w:vertAlign w:val="subscript"/>
        </w:rPr>
        <w:t xml:space="preserve">2 </w:t>
      </w:r>
      <w:r w:rsidR="00E12D0A" w:rsidRPr="00E12D0A">
        <w:t xml:space="preserve"> either thermodynamically or kinetically</w:t>
      </w:r>
      <w:r w:rsidRPr="00E12D0A">
        <w:t xml:space="preserve">. </w:t>
      </w:r>
      <w:r w:rsidR="00A37891">
        <w:t>Besides, t</w:t>
      </w:r>
      <w:r w:rsidR="00BD5B3D">
        <w:t xml:space="preserve">he </w:t>
      </w:r>
      <w:r w:rsidR="00E12D0A" w:rsidRPr="00E12D0A">
        <w:t>NH</w:t>
      </w:r>
      <w:r w:rsidR="00E12D0A" w:rsidRPr="00E12D0A">
        <w:rPr>
          <w:vertAlign w:val="subscript"/>
        </w:rPr>
        <w:t>3</w:t>
      </w:r>
      <w:r w:rsidR="00E12D0A" w:rsidRPr="00E12D0A">
        <w:t xml:space="preserve"> shows </w:t>
      </w:r>
      <w:r w:rsidR="00955D58">
        <w:t xml:space="preserve">a </w:t>
      </w:r>
      <w:r w:rsidR="00E12D0A" w:rsidRPr="00E12D0A">
        <w:t xml:space="preserve">very high consumption rate and </w:t>
      </w:r>
      <w:r w:rsidR="00955D58">
        <w:t xml:space="preserve">a </w:t>
      </w:r>
      <w:r w:rsidR="00E12D0A" w:rsidRPr="00E12D0A">
        <w:t>larger amount of NO</w:t>
      </w:r>
      <w:r w:rsidR="00E12D0A" w:rsidRPr="00E12D0A">
        <w:rPr>
          <w:vertAlign w:val="subscript"/>
        </w:rPr>
        <w:t>x</w:t>
      </w:r>
      <w:r w:rsidR="00E12D0A" w:rsidRPr="00E12D0A">
        <w:t xml:space="preserve"> if the detailed chemistry is considered</w:t>
      </w:r>
      <w:r w:rsidRPr="00E12D0A">
        <w:t xml:space="preserve">. </w:t>
      </w:r>
      <w:r w:rsidR="00A37891">
        <w:t xml:space="preserve">If considering the kinetic approach, </w:t>
      </w:r>
      <w:r w:rsidR="00E12D0A" w:rsidRPr="00E12D0A">
        <w:t>H</w:t>
      </w:r>
      <w:r w:rsidR="00E12D0A" w:rsidRPr="00E12D0A">
        <w:rPr>
          <w:vertAlign w:val="subscript"/>
        </w:rPr>
        <w:t>2</w:t>
      </w:r>
      <w:r w:rsidR="00E12D0A" w:rsidRPr="00E12D0A">
        <w:t xml:space="preserve"> and CH</w:t>
      </w:r>
      <w:r w:rsidR="00E12D0A" w:rsidRPr="00E12D0A">
        <w:rPr>
          <w:vertAlign w:val="subscript"/>
        </w:rPr>
        <w:t>3</w:t>
      </w:r>
      <w:r w:rsidR="00E12D0A" w:rsidRPr="00E12D0A">
        <w:t xml:space="preserve">OH </w:t>
      </w:r>
      <w:r w:rsidRPr="00E12D0A">
        <w:t>produce less NO</w:t>
      </w:r>
      <w:r w:rsidRPr="00E12D0A">
        <w:rPr>
          <w:vertAlign w:val="subscript"/>
        </w:rPr>
        <w:t>x</w:t>
      </w:r>
      <w:r w:rsidRPr="00E12D0A">
        <w:t xml:space="preserve">/kWh than </w:t>
      </w:r>
      <w:r w:rsidR="00955D58">
        <w:t>T</w:t>
      </w:r>
      <w:r w:rsidRPr="00E12D0A">
        <w:t>ier III – IMO</w:t>
      </w:r>
      <w:r w:rsidR="00A37891">
        <w:t>,</w:t>
      </w:r>
      <w:r w:rsidR="00E12D0A" w:rsidRPr="00E12D0A">
        <w:t xml:space="preserve"> at any condition</w:t>
      </w:r>
      <w:r w:rsidRPr="00E12D0A">
        <w:t>.</w:t>
      </w:r>
      <w:r w:rsidR="00955D58">
        <w:t xml:space="preserve"> </w:t>
      </w:r>
    </w:p>
    <w:p w14:paraId="05D2CB44" w14:textId="77777777" w:rsidR="00A37891" w:rsidRDefault="00955D58" w:rsidP="00E12D0A">
      <w:r>
        <w:t>T</w:t>
      </w:r>
      <w:r w:rsidR="003E3087">
        <w:t>he calculated emission index (Eq. 2), based on the grams of fuel and grams of NO</w:t>
      </w:r>
      <w:r w:rsidR="003E3087" w:rsidRPr="00A9495A">
        <w:rPr>
          <w:vertAlign w:val="subscript"/>
        </w:rPr>
        <w:t>x</w:t>
      </w:r>
      <w:r w:rsidR="003E3087">
        <w:t xml:space="preserve"> produced per kWh is shown in Figure 3. </w:t>
      </w:r>
      <w:r w:rsidR="00E12D0A">
        <w:t xml:space="preserve">In the figure, </w:t>
      </w:r>
      <w:r w:rsidR="00E12D0A" w:rsidRPr="00E12D0A">
        <w:t xml:space="preserve">the emission index </w:t>
      </w:r>
      <m:oMath>
        <m:sSub>
          <m:sSubPr>
            <m:ctrlPr>
              <w:rPr>
                <w:rFonts w:ascii="Cambria Math" w:hAnsi="Cambria Math"/>
                <w:i/>
              </w:rPr>
            </m:ctrlPr>
          </m:sSubPr>
          <m:e>
            <m:r>
              <w:rPr>
                <w:rFonts w:ascii="Cambria Math" w:hAnsi="Cambria Math"/>
              </w:rPr>
              <m:t>EI</m:t>
            </m:r>
          </m:e>
          <m:sub>
            <m:sSub>
              <m:sSubPr>
                <m:ctrlPr>
                  <w:rPr>
                    <w:rFonts w:ascii="Cambria Math" w:hAnsi="Cambria Math"/>
                    <w:i/>
                  </w:rPr>
                </m:ctrlPr>
              </m:sSubPr>
              <m:e>
                <m:r>
                  <w:rPr>
                    <w:rFonts w:ascii="Cambria Math" w:hAnsi="Cambria Math"/>
                  </w:rPr>
                  <m:t>NO</m:t>
                </m:r>
              </m:e>
              <m:sub>
                <m:r>
                  <w:rPr>
                    <w:rFonts w:ascii="Cambria Math" w:hAnsi="Cambria Math"/>
                  </w:rPr>
                  <m:t>x</m:t>
                </m:r>
              </m:sub>
            </m:sSub>
          </m:sub>
        </m:sSub>
      </m:oMath>
      <w:r w:rsidR="00E12D0A" w:rsidRPr="00E12D0A">
        <w:t xml:space="preserve"> </w:t>
      </w:r>
      <w:r w:rsidR="00E12D0A" w:rsidRPr="00E12D0A">
        <w:rPr>
          <w:rFonts w:eastAsiaTheme="minorEastAsia"/>
        </w:rPr>
        <w:t xml:space="preserve">decreases almost linearly with the equivalence ratio for </w:t>
      </w:r>
      <w:r w:rsidR="00B0083D">
        <w:rPr>
          <w:rFonts w:eastAsia="MS PGothic"/>
        </w:rPr>
        <w:t>NH</w:t>
      </w:r>
      <w:r w:rsidR="00B0083D" w:rsidRPr="00002C09">
        <w:rPr>
          <w:rFonts w:eastAsia="MS PGothic"/>
          <w:vertAlign w:val="subscript"/>
        </w:rPr>
        <w:t>3</w:t>
      </w:r>
      <w:r w:rsidR="00E12D0A" w:rsidRPr="00E12D0A">
        <w:rPr>
          <w:rFonts w:eastAsiaTheme="minorEastAsia"/>
        </w:rPr>
        <w:t xml:space="preserve">. That is quite important in the framework of advanced </w:t>
      </w:r>
      <w:r w:rsidR="00E12D0A" w:rsidRPr="00E12D0A">
        <w:t xml:space="preserve">combustion technologies, e.g. the MILD (Moderate or Intense Low oxygen Dilution) combustion or other ultra-lean </w:t>
      </w:r>
      <w:r>
        <w:t>conditions</w:t>
      </w:r>
      <w:r w:rsidR="00E12D0A" w:rsidRPr="00E12D0A">
        <w:t xml:space="preserve"> for Low-NO</w:t>
      </w:r>
      <w:r w:rsidR="00E12D0A" w:rsidRPr="00E12D0A">
        <w:rPr>
          <w:vertAlign w:val="subscript"/>
        </w:rPr>
        <w:t>x</w:t>
      </w:r>
      <w:r w:rsidR="00E12D0A" w:rsidRPr="00E12D0A">
        <w:t xml:space="preserve"> energy production, which uses recirculated heat and exhaust gases to reduce the flame temperature, thus reducing the amount of pollutants and increasing thermal efficiency. In this regard, it is worth mentioning that MILD combustion produces a dramatic decrease in NO</w:t>
      </w:r>
      <w:r w:rsidR="00E12D0A" w:rsidRPr="00E12D0A">
        <w:rPr>
          <w:vertAlign w:val="subscript"/>
        </w:rPr>
        <w:t>x</w:t>
      </w:r>
      <w:r w:rsidR="00E12D0A" w:rsidRPr="00E12D0A">
        <w:t xml:space="preserve"> emissions but is still far from being adopted for shipping purposes.</w:t>
      </w:r>
      <w:r w:rsidR="00E12D0A">
        <w:t xml:space="preserve"> </w:t>
      </w:r>
    </w:p>
    <w:p w14:paraId="4856E0A8" w14:textId="6CB94A77" w:rsidR="00A37891" w:rsidRDefault="00A37891" w:rsidP="00A37891">
      <w:r>
        <w:t>As for previous results, the thermodynamic approach shows a large difference with respect to the kinetic model; NH</w:t>
      </w:r>
      <w:r w:rsidRPr="00B0083D">
        <w:rPr>
          <w:vertAlign w:val="subscript"/>
        </w:rPr>
        <w:t>3</w:t>
      </w:r>
      <w:r>
        <w:t xml:space="preserve"> seems relevant in terms of NO</w:t>
      </w:r>
      <w:r w:rsidRPr="00B0083D">
        <w:rPr>
          <w:vertAlign w:val="subscript"/>
        </w:rPr>
        <w:t>x</w:t>
      </w:r>
      <w:r>
        <w:t xml:space="preserve"> emission with a dramatic increase at lean conditions if the kinetic model is considered</w:t>
      </w:r>
      <w:r w:rsidR="00567215">
        <w:t>.</w:t>
      </w:r>
    </w:p>
    <w:p w14:paraId="4C8379A0" w14:textId="77777777" w:rsidR="00E12D0A" w:rsidRDefault="00E12D0A" w:rsidP="003E3087"/>
    <w:p w14:paraId="4902E41B" w14:textId="738C032B" w:rsidR="003E3087" w:rsidRDefault="00E12D0A" w:rsidP="00A916AC">
      <w:pPr>
        <w:pStyle w:val="BOACaption"/>
      </w:pPr>
      <w:r>
        <w:rPr>
          <w:noProof/>
        </w:rPr>
        <w:lastRenderedPageBreak/>
        <w:drawing>
          <wp:inline distT="0" distB="0" distL="0" distR="0" wp14:anchorId="6D8D9CC2" wp14:editId="15F0F539">
            <wp:extent cx="5580000" cy="1759531"/>
            <wp:effectExtent l="0" t="0" r="190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0000" cy="1759531"/>
                    </a:xfrm>
                    <a:prstGeom prst="rect">
                      <a:avLst/>
                    </a:prstGeom>
                    <a:noFill/>
                  </pic:spPr>
                </pic:pic>
              </a:graphicData>
            </a:graphic>
          </wp:inline>
        </w:drawing>
      </w:r>
    </w:p>
    <w:p w14:paraId="552B34A7" w14:textId="5DB10BC5" w:rsidR="00D228E4" w:rsidRDefault="00A916AC" w:rsidP="00D228E4">
      <w:pPr>
        <w:pStyle w:val="BOACaption"/>
      </w:pPr>
      <w:r w:rsidRPr="00F879FE">
        <w:t xml:space="preserve">Figure </w:t>
      </w:r>
      <w:r>
        <w:t>3</w:t>
      </w:r>
      <w:r w:rsidRPr="00F879FE">
        <w:t xml:space="preserve">. </w:t>
      </w:r>
      <w:r w:rsidRPr="00A916AC">
        <w:t>Emission index (Eq. 2) based on NO</w:t>
      </w:r>
      <w:r w:rsidRPr="00A94238">
        <w:rPr>
          <w:vertAlign w:val="subscript"/>
        </w:rPr>
        <w:t>x</w:t>
      </w:r>
      <w:r w:rsidRPr="00A916AC">
        <w:t xml:space="preserve"> produced per kg of fuel vs equivalence ratio φ</w:t>
      </w:r>
      <w:r w:rsidR="00E12D0A">
        <w:t xml:space="preserve"> by using a Gibbs-free energy approach (left) and by using a kinetic approach (right)</w:t>
      </w:r>
      <w:r w:rsidRPr="00A916AC">
        <w:t xml:space="preserve">. </w:t>
      </w:r>
    </w:p>
    <w:p w14:paraId="21C4FC51" w14:textId="77777777" w:rsidR="00D228E4" w:rsidRDefault="00D228E4" w:rsidP="00D228E4"/>
    <w:p w14:paraId="67CB72E3" w14:textId="5A965AEE" w:rsidR="00D228E4" w:rsidRDefault="00D228E4" w:rsidP="00D228E4">
      <w:pPr>
        <w:rPr>
          <w:rFonts w:eastAsia="MS PGothic"/>
        </w:rPr>
      </w:pPr>
      <w:r>
        <w:rPr>
          <w:rFonts w:eastAsia="MS PGothic"/>
        </w:rPr>
        <w:t xml:space="preserve">The emission index </w:t>
      </w:r>
      <m:oMath>
        <m:sSub>
          <m:sSubPr>
            <m:ctrlPr>
              <w:rPr>
                <w:rFonts w:ascii="Cambria Math" w:eastAsia="MS PGothic" w:hAnsi="Cambria Math"/>
              </w:rPr>
            </m:ctrlPr>
          </m:sSubPr>
          <m:e>
            <m:r>
              <w:rPr>
                <w:rFonts w:ascii="Cambria Math" w:eastAsia="MS PGothic" w:hAnsi="Cambria Math"/>
              </w:rPr>
              <m:t>EI</m:t>
            </m:r>
          </m:e>
          <m:sub>
            <m:sSub>
              <m:sSubPr>
                <m:ctrlPr>
                  <w:rPr>
                    <w:rFonts w:ascii="Cambria Math" w:eastAsia="MS PGothic" w:hAnsi="Cambria Math"/>
                  </w:rPr>
                </m:ctrlPr>
              </m:sSubPr>
              <m:e>
                <m:r>
                  <w:rPr>
                    <w:rFonts w:ascii="Cambria Math" w:eastAsia="MS PGothic" w:hAnsi="Cambria Math"/>
                  </w:rPr>
                  <m:t>NO</m:t>
                </m:r>
              </m:e>
              <m:sub>
                <m:r>
                  <w:rPr>
                    <w:rFonts w:ascii="Cambria Math" w:eastAsia="MS PGothic" w:hAnsi="Cambria Math"/>
                  </w:rPr>
                  <m:t>x</m:t>
                </m:r>
              </m:sub>
            </m:sSub>
          </m:sub>
        </m:sSub>
      </m:oMath>
      <w:r w:rsidRPr="00A94238">
        <w:rPr>
          <w:rFonts w:eastAsia="MS PGothic"/>
        </w:rPr>
        <w:t xml:space="preserve"> </w:t>
      </w:r>
      <w:r>
        <w:rPr>
          <w:rFonts w:eastAsia="MS PGothic"/>
        </w:rPr>
        <w:t>shows that NH</w:t>
      </w:r>
      <w:r w:rsidRPr="00955D58">
        <w:rPr>
          <w:rFonts w:eastAsia="MS PGothic"/>
          <w:vertAlign w:val="subscript"/>
        </w:rPr>
        <w:t>3</w:t>
      </w:r>
      <w:r w:rsidRPr="00D228E4">
        <w:rPr>
          <w:rFonts w:eastAsia="MS PGothic"/>
        </w:rPr>
        <w:t xml:space="preserve"> </w:t>
      </w:r>
      <w:r w:rsidRPr="00A94238">
        <w:rPr>
          <w:rFonts w:eastAsia="MS PGothic"/>
        </w:rPr>
        <w:t>is the best option</w:t>
      </w:r>
      <w:r>
        <w:rPr>
          <w:rFonts w:eastAsia="MS PGothic"/>
        </w:rPr>
        <w:t xml:space="preserve"> if considering a pure thermodynamic analysis based on the Gibbs-free energy approach whereas a dramatic increase in the NO</w:t>
      </w:r>
      <w:r w:rsidRPr="00510789">
        <w:rPr>
          <w:rFonts w:eastAsia="MS PGothic"/>
          <w:vertAlign w:val="subscript"/>
        </w:rPr>
        <w:t>x</w:t>
      </w:r>
      <w:r>
        <w:rPr>
          <w:rFonts w:eastAsia="MS PGothic"/>
        </w:rPr>
        <w:t xml:space="preserve"> is shown if a kinetic model is adopted</w:t>
      </w:r>
      <w:r w:rsidRPr="00A94238">
        <w:rPr>
          <w:rFonts w:eastAsia="MS PGothic"/>
        </w:rPr>
        <w:t xml:space="preserve">. </w:t>
      </w:r>
    </w:p>
    <w:p w14:paraId="4AB0E122" w14:textId="77777777" w:rsidR="00516FAD" w:rsidRPr="00591C6C" w:rsidRDefault="00516FAD" w:rsidP="00516FAD">
      <w:pPr>
        <w:pStyle w:val="BOAHeading"/>
        <w:rPr>
          <w:lang w:eastAsia="ko-KR"/>
        </w:rPr>
      </w:pPr>
      <w:r w:rsidRPr="00591C6C">
        <w:t>4. Conclusion</w:t>
      </w:r>
      <w:r w:rsidRPr="00591C6C">
        <w:rPr>
          <w:lang w:eastAsia="ko-KR"/>
        </w:rPr>
        <w:t>s</w:t>
      </w:r>
    </w:p>
    <w:p w14:paraId="5592B36C" w14:textId="5A173B9D" w:rsidR="00B0083D" w:rsidRDefault="00516FAD" w:rsidP="00516FAD">
      <w:pPr>
        <w:rPr>
          <w:rFonts w:eastAsia="MS PGothic"/>
        </w:rPr>
      </w:pPr>
      <w:r w:rsidRPr="00A916AC">
        <w:rPr>
          <w:rFonts w:eastAsia="MS PGothic"/>
        </w:rPr>
        <w:t>The NO</w:t>
      </w:r>
      <w:r w:rsidRPr="008009AC">
        <w:rPr>
          <w:rFonts w:eastAsia="MS PGothic"/>
          <w:vertAlign w:val="subscript"/>
        </w:rPr>
        <w:t>x</w:t>
      </w:r>
      <w:r w:rsidRPr="00A916AC">
        <w:rPr>
          <w:rFonts w:eastAsia="MS PGothic"/>
        </w:rPr>
        <w:t xml:space="preserve"> emissions are over 95% from anthropogenic (mainly industrial and transportation) sources, so a key performance indicator for </w:t>
      </w:r>
      <w:r w:rsidR="00407515">
        <w:rPr>
          <w:rFonts w:eastAsia="MS PGothic"/>
        </w:rPr>
        <w:t xml:space="preserve">environmental </w:t>
      </w:r>
      <w:r w:rsidRPr="00A916AC">
        <w:rPr>
          <w:rFonts w:eastAsia="MS PGothic"/>
        </w:rPr>
        <w:t xml:space="preserve">sustainability based on these oxides is </w:t>
      </w:r>
      <w:r w:rsidR="00510789">
        <w:rPr>
          <w:rFonts w:eastAsia="MS PGothic"/>
        </w:rPr>
        <w:t>strongly recommended</w:t>
      </w:r>
      <w:r w:rsidRPr="00A916AC">
        <w:rPr>
          <w:rFonts w:eastAsia="MS PGothic"/>
        </w:rPr>
        <w:t>.</w:t>
      </w:r>
      <w:r w:rsidR="00510789">
        <w:rPr>
          <w:rFonts w:eastAsia="MS PGothic"/>
        </w:rPr>
        <w:t xml:space="preserve"> Nevertheless, a comprehensive database on the experimental characterization of this parameter is missing. Numerical analyses conducted in this work show the sensitivity to the implemented approach, suggesting the implementation of kinetic models within a simplified layout and geometry of real case </w:t>
      </w:r>
      <w:r w:rsidR="00A37891">
        <w:rPr>
          <w:rFonts w:eastAsia="MS PGothic"/>
        </w:rPr>
        <w:t>scenarios</w:t>
      </w:r>
      <w:r w:rsidR="00510789">
        <w:rPr>
          <w:rFonts w:eastAsia="MS PGothic"/>
        </w:rPr>
        <w:t xml:space="preserve"> of interest.</w:t>
      </w:r>
    </w:p>
    <w:p w14:paraId="714DF323" w14:textId="2FF864EF" w:rsidR="00E1280C" w:rsidRPr="00B57B36" w:rsidRDefault="00FC44C8" w:rsidP="00A916AC">
      <w:pPr>
        <w:pStyle w:val="BOAReference"/>
      </w:pPr>
      <w:r>
        <w:t>Acknowledgements</w:t>
      </w:r>
    </w:p>
    <w:p w14:paraId="4798EA5D" w14:textId="4CBA6826" w:rsidR="00B40418" w:rsidRPr="00485CFA" w:rsidRDefault="00B40418" w:rsidP="008009AC">
      <w:pPr>
        <w:rPr>
          <w:rFonts w:eastAsia="MS PGothic"/>
        </w:rPr>
      </w:pPr>
      <w:r w:rsidRPr="00B40418">
        <w:rPr>
          <w:rFonts w:eastAsia="MS PGothic"/>
          <w:lang w:val="en-US"/>
        </w:rPr>
        <w:t xml:space="preserve">The authors wish to thank the financial contribution of </w:t>
      </w:r>
      <w:r w:rsidR="00B9434C">
        <w:rPr>
          <w:rFonts w:eastAsia="MS PGothic"/>
          <w:lang w:val="en-US"/>
        </w:rPr>
        <w:t xml:space="preserve">the </w:t>
      </w:r>
      <w:r w:rsidRPr="00B40418">
        <w:rPr>
          <w:rFonts w:eastAsia="MS PGothic"/>
          <w:lang w:val="en-US"/>
        </w:rPr>
        <w:t>EU through the Interreg IPA ADRION program 2021-2027, project: IPA-ADRION073- Sustainability of Alternative Fuels in the ADRION area – SUPERALFUEL”</w:t>
      </w:r>
      <w:r>
        <w:rPr>
          <w:rFonts w:eastAsia="MS PGothic"/>
          <w:lang w:val="en-US"/>
        </w:rPr>
        <w:t>.</w:t>
      </w:r>
      <w:r w:rsidR="00727B4E">
        <w:rPr>
          <w:rFonts w:eastAsia="MS PGothic"/>
          <w:lang w:val="en-US"/>
        </w:rPr>
        <w:t xml:space="preserve"> </w:t>
      </w:r>
      <w:r w:rsidR="00727B4E" w:rsidRPr="00485CFA">
        <w:rPr>
          <w:rFonts w:eastAsia="MS PGothic"/>
        </w:rPr>
        <w:t>We also thank Nicoleta Pocitarenco for her useful support.</w:t>
      </w:r>
    </w:p>
    <w:p w14:paraId="11D31778" w14:textId="56E26DBE" w:rsidR="005C1A57" w:rsidRPr="004C2084" w:rsidRDefault="005C1A57" w:rsidP="00302C82">
      <w:pPr>
        <w:pStyle w:val="BOAReference"/>
        <w:rPr>
          <w:rFonts w:eastAsia="SimSun"/>
          <w:lang w:val="fr-FR" w:eastAsia="zh-CN"/>
        </w:rPr>
      </w:pPr>
      <w:r w:rsidRPr="004C2084">
        <w:rPr>
          <w:rFonts w:eastAsia="MS PGothic"/>
          <w:lang w:val="fr-FR"/>
        </w:rPr>
        <w:t xml:space="preserve">References </w:t>
      </w:r>
    </w:p>
    <w:p w14:paraId="07D2153A" w14:textId="382D0517" w:rsidR="00A916AC" w:rsidRPr="00A916AC" w:rsidRDefault="00A916AC" w:rsidP="00A916AC">
      <w:pPr>
        <w:pStyle w:val="BOAReference-text"/>
      </w:pPr>
      <w:r w:rsidRPr="00485CFA">
        <w:t>Aneziris,</w:t>
      </w:r>
      <w:r w:rsidR="00AB3E4B" w:rsidRPr="00485CFA">
        <w:t xml:space="preserve"> O., </w:t>
      </w:r>
      <w:r w:rsidRPr="00485CFA">
        <w:t xml:space="preserve">Koromila, </w:t>
      </w:r>
      <w:r w:rsidR="00AB3E4B" w:rsidRPr="00485CFA">
        <w:t xml:space="preserve">I.A., </w:t>
      </w:r>
      <w:r w:rsidRPr="00485CFA">
        <w:t xml:space="preserve">Gerbec, </w:t>
      </w:r>
      <w:r w:rsidR="00AB3E4B" w:rsidRPr="00485CFA">
        <w:t xml:space="preserve">M., </w:t>
      </w:r>
      <w:r w:rsidRPr="00485CFA">
        <w:t xml:space="preserve">Nivolianitou, </w:t>
      </w:r>
      <w:r w:rsidR="00AB3E4B" w:rsidRPr="00485CFA">
        <w:t xml:space="preserve">Z., </w:t>
      </w:r>
      <w:r w:rsidRPr="00485CFA">
        <w:t xml:space="preserve">Salzano, </w:t>
      </w:r>
      <w:r w:rsidR="00AB3E4B" w:rsidRPr="00485CFA">
        <w:t xml:space="preserve">E., 2023. </w:t>
      </w:r>
      <w:r w:rsidRPr="00A916AC">
        <w:t>A Comparison of Alternative Cryogenic Fuels for Regional Marine Transportation from the Perspective of Safety, Chemical Engineering Transactions</w:t>
      </w:r>
      <w:r w:rsidR="00AB3E4B">
        <w:t>,</w:t>
      </w:r>
      <w:r w:rsidRPr="00A916AC">
        <w:t xml:space="preserve"> </w:t>
      </w:r>
      <w:r w:rsidR="00AB3E4B">
        <w:t>1</w:t>
      </w:r>
      <w:r w:rsidRPr="00A916AC">
        <w:t>00</w:t>
      </w:r>
      <w:r w:rsidR="00AB3E4B">
        <w:t>,</w:t>
      </w:r>
      <w:r w:rsidRPr="00A916AC">
        <w:t xml:space="preserve"> 25-30.</w:t>
      </w:r>
    </w:p>
    <w:p w14:paraId="218502C7" w14:textId="4FD91077" w:rsidR="00A916AC" w:rsidRPr="00A916AC" w:rsidRDefault="00A916AC" w:rsidP="00A916AC">
      <w:pPr>
        <w:pStyle w:val="BOAReference-text"/>
      </w:pPr>
      <w:r w:rsidRPr="00B40418">
        <w:rPr>
          <w:lang w:val="it-IT"/>
        </w:rPr>
        <w:t xml:space="preserve">Zanobetti, F., Pio, G., Jafarzadeh, S., Ortiz, M.M., Cozzani, V., 2023. </w:t>
      </w:r>
      <w:r w:rsidRPr="00A916AC">
        <w:t>Inherent safety of clean fuels for maritime transport, Process Safety and Environmental Protection, 174, 1044-1055.</w:t>
      </w:r>
    </w:p>
    <w:p w14:paraId="06C84252" w14:textId="67B42CF5" w:rsidR="00A916AC" w:rsidRPr="00A916AC" w:rsidRDefault="00A916AC" w:rsidP="00A916AC">
      <w:pPr>
        <w:pStyle w:val="BOAReference-text"/>
      </w:pPr>
      <w:r w:rsidRPr="00B40418">
        <w:rPr>
          <w:lang w:val="it-IT"/>
        </w:rPr>
        <w:t xml:space="preserve">Pio, G., Dong, X., Salzano, E., Green, W.H., 2022. </w:t>
      </w:r>
      <w:r w:rsidRPr="00A916AC">
        <w:t>Automatically generated model for light alkene combustion. Combust Flame. 241, 112080.</w:t>
      </w:r>
    </w:p>
    <w:p w14:paraId="4BA4F5D7" w14:textId="1D8C601E" w:rsidR="00A916AC" w:rsidRPr="00A916AC" w:rsidRDefault="00A916AC" w:rsidP="00A916AC">
      <w:pPr>
        <w:pStyle w:val="BOAReference-text"/>
      </w:pPr>
      <w:r w:rsidRPr="00A916AC">
        <w:t>Pio, G., Eckart, S., Richter, A., Krause, H., Salzano, E., 2024. Detailed kinetic analysis of synthetic fuels containing ammonia. Fuel. 362, 130747.</w:t>
      </w:r>
    </w:p>
    <w:p w14:paraId="12781FD6" w14:textId="6CD38A09" w:rsidR="00A916AC" w:rsidRPr="00A916AC" w:rsidRDefault="00A916AC" w:rsidP="00A916AC">
      <w:pPr>
        <w:pStyle w:val="BOAReference-text"/>
      </w:pPr>
      <w:r w:rsidRPr="00440FB3">
        <w:t>Salzano, E., Pio, G., Ricca, A., Palma</w:t>
      </w:r>
      <w:r w:rsidR="00AB3E4B" w:rsidRPr="00440FB3">
        <w:t xml:space="preserve">, </w:t>
      </w:r>
      <w:r w:rsidRPr="00440FB3">
        <w:t xml:space="preserve">V., 2018. </w:t>
      </w:r>
      <w:r w:rsidRPr="00A916AC">
        <w:t>The effect of a hydrogen addition to the premixed flame structure of light alkanes. Fuel. 234, 1064-1070</w:t>
      </w:r>
      <w:r w:rsidR="00EE1D21">
        <w:t>.</w:t>
      </w:r>
    </w:p>
    <w:p w14:paraId="2E0E8D34" w14:textId="583D6A09" w:rsidR="00A916AC" w:rsidRPr="00A916AC" w:rsidRDefault="00A916AC" w:rsidP="00A916AC">
      <w:pPr>
        <w:pStyle w:val="BOAReference-text"/>
      </w:pPr>
      <w:r w:rsidRPr="00A916AC">
        <w:t>Goodwin, D.G.</w:t>
      </w:r>
      <w:r w:rsidR="0038420F">
        <w:t>,</w:t>
      </w:r>
      <w:r w:rsidRPr="00A916AC">
        <w:t xml:space="preserve"> 2009. Cantera: An object-oriented software toolkit for chemical kinetics, thermodynamics, and transport processes, Caltech, Pasadena.</w:t>
      </w:r>
    </w:p>
    <w:p w14:paraId="67360055" w14:textId="5C940311" w:rsidR="00A916AC" w:rsidRPr="00A916AC" w:rsidRDefault="00AB3E4B" w:rsidP="00A916AC">
      <w:pPr>
        <w:pStyle w:val="BOAReference-text"/>
      </w:pPr>
      <w:r>
        <w:t>Shaw</w:t>
      </w:r>
      <w:r w:rsidR="00A916AC" w:rsidRPr="00A916AC">
        <w:t>, S.B.,</w:t>
      </w:r>
      <w:r>
        <w:t xml:space="preserve"> </w:t>
      </w:r>
      <w:r w:rsidRPr="00AB3E4B">
        <w:t>Van Heyst</w:t>
      </w:r>
      <w:r>
        <w:t xml:space="preserve">, B., </w:t>
      </w:r>
      <w:r w:rsidR="00A916AC" w:rsidRPr="00A916AC">
        <w:t>2022. Nitrogen Oxide (NOx) emissions as an indicator for sustainability. Environmental and Sustainability Indicators. 15, 100188.</w:t>
      </w:r>
    </w:p>
    <w:sectPr w:rsidR="00A916AC" w:rsidRPr="00A916AC" w:rsidSect="00F879FE">
      <w:headerReference w:type="default" r:id="rId13"/>
      <w:headerReference w:type="first" r:id="rId14"/>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5254" w14:textId="77777777" w:rsidR="0073123B" w:rsidRDefault="0073123B" w:rsidP="004F5E36">
      <w:r>
        <w:separator/>
      </w:r>
    </w:p>
  </w:endnote>
  <w:endnote w:type="continuationSeparator" w:id="0">
    <w:p w14:paraId="2A86AF32" w14:textId="77777777" w:rsidR="0073123B" w:rsidRDefault="0073123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CF60E" w14:textId="77777777" w:rsidR="0073123B" w:rsidRDefault="0073123B" w:rsidP="004F5E36">
      <w:r>
        <w:separator/>
      </w:r>
    </w:p>
  </w:footnote>
  <w:footnote w:type="continuationSeparator" w:id="0">
    <w:p w14:paraId="5CF57C79" w14:textId="77777777" w:rsidR="0073123B" w:rsidRDefault="0073123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1897779">
    <w:abstractNumId w:val="13"/>
  </w:num>
  <w:num w:numId="2" w16cid:durableId="1908304120">
    <w:abstractNumId w:val="8"/>
  </w:num>
  <w:num w:numId="3" w16cid:durableId="1456368691">
    <w:abstractNumId w:val="3"/>
  </w:num>
  <w:num w:numId="4" w16cid:durableId="505217124">
    <w:abstractNumId w:val="2"/>
  </w:num>
  <w:num w:numId="5" w16cid:durableId="2040163436">
    <w:abstractNumId w:val="1"/>
  </w:num>
  <w:num w:numId="6" w16cid:durableId="2020497251">
    <w:abstractNumId w:val="0"/>
  </w:num>
  <w:num w:numId="7" w16cid:durableId="1720860611">
    <w:abstractNumId w:val="9"/>
  </w:num>
  <w:num w:numId="8" w16cid:durableId="361829345">
    <w:abstractNumId w:val="7"/>
  </w:num>
  <w:num w:numId="9" w16cid:durableId="646474283">
    <w:abstractNumId w:val="6"/>
  </w:num>
  <w:num w:numId="10" w16cid:durableId="1741899511">
    <w:abstractNumId w:val="5"/>
  </w:num>
  <w:num w:numId="11" w16cid:durableId="25107316">
    <w:abstractNumId w:val="4"/>
  </w:num>
  <w:num w:numId="12" w16cid:durableId="1901137684">
    <w:abstractNumId w:val="16"/>
  </w:num>
  <w:num w:numId="13" w16cid:durableId="1040327178">
    <w:abstractNumId w:val="14"/>
  </w:num>
  <w:num w:numId="14" w16cid:durableId="677779503">
    <w:abstractNumId w:val="17"/>
  </w:num>
  <w:num w:numId="15" w16cid:durableId="1577781293">
    <w:abstractNumId w:val="19"/>
  </w:num>
  <w:num w:numId="16" w16cid:durableId="1934314473">
    <w:abstractNumId w:val="21"/>
  </w:num>
  <w:num w:numId="17" w16cid:durableId="1037243685">
    <w:abstractNumId w:val="10"/>
  </w:num>
  <w:num w:numId="18" w16cid:durableId="1076704968">
    <w:abstractNumId w:val="20"/>
  </w:num>
  <w:num w:numId="19" w16cid:durableId="278225244">
    <w:abstractNumId w:val="15"/>
  </w:num>
  <w:num w:numId="20" w16cid:durableId="53429010">
    <w:abstractNumId w:val="11"/>
  </w:num>
  <w:num w:numId="21" w16cid:durableId="1577125167">
    <w:abstractNumId w:val="12"/>
  </w:num>
  <w:num w:numId="22" w16cid:durableId="2652344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3NjYwMrEAkiaWFko6SsGpxcWZ+XkgBYYmtQAddAg3LQAAAA=="/>
  </w:docVars>
  <w:rsids>
    <w:rsidRoot w:val="000E414A"/>
    <w:rsid w:val="000027C0"/>
    <w:rsid w:val="00002C09"/>
    <w:rsid w:val="000117CB"/>
    <w:rsid w:val="00016601"/>
    <w:rsid w:val="0002049B"/>
    <w:rsid w:val="0003148D"/>
    <w:rsid w:val="00062A9A"/>
    <w:rsid w:val="00072D53"/>
    <w:rsid w:val="000807A8"/>
    <w:rsid w:val="000A03B2"/>
    <w:rsid w:val="000A6294"/>
    <w:rsid w:val="000D34BE"/>
    <w:rsid w:val="000E36F1"/>
    <w:rsid w:val="000E3A73"/>
    <w:rsid w:val="000E414A"/>
    <w:rsid w:val="000E6760"/>
    <w:rsid w:val="0013121F"/>
    <w:rsid w:val="00134DE4"/>
    <w:rsid w:val="00142306"/>
    <w:rsid w:val="00150E59"/>
    <w:rsid w:val="00152BFE"/>
    <w:rsid w:val="001610E4"/>
    <w:rsid w:val="00184AD6"/>
    <w:rsid w:val="001B0F7E"/>
    <w:rsid w:val="001B3C30"/>
    <w:rsid w:val="001B65C1"/>
    <w:rsid w:val="001C684B"/>
    <w:rsid w:val="001D53FC"/>
    <w:rsid w:val="001F2EC7"/>
    <w:rsid w:val="00200C07"/>
    <w:rsid w:val="002065DB"/>
    <w:rsid w:val="002447EF"/>
    <w:rsid w:val="00251550"/>
    <w:rsid w:val="002626FE"/>
    <w:rsid w:val="0027221A"/>
    <w:rsid w:val="00275B61"/>
    <w:rsid w:val="002A2B1D"/>
    <w:rsid w:val="002B3446"/>
    <w:rsid w:val="002C3569"/>
    <w:rsid w:val="002C633D"/>
    <w:rsid w:val="002D1F12"/>
    <w:rsid w:val="003009B7"/>
    <w:rsid w:val="00302C82"/>
    <w:rsid w:val="0030469C"/>
    <w:rsid w:val="00307024"/>
    <w:rsid w:val="00320108"/>
    <w:rsid w:val="003505A5"/>
    <w:rsid w:val="00363DA0"/>
    <w:rsid w:val="003723D4"/>
    <w:rsid w:val="0038420F"/>
    <w:rsid w:val="003A7D1C"/>
    <w:rsid w:val="003B61C3"/>
    <w:rsid w:val="003E3087"/>
    <w:rsid w:val="00407515"/>
    <w:rsid w:val="00423B17"/>
    <w:rsid w:val="0042639A"/>
    <w:rsid w:val="00426BD4"/>
    <w:rsid w:val="00435501"/>
    <w:rsid w:val="00440FB3"/>
    <w:rsid w:val="0046164A"/>
    <w:rsid w:val="00462DCD"/>
    <w:rsid w:val="0046419A"/>
    <w:rsid w:val="00485CFA"/>
    <w:rsid w:val="004951BF"/>
    <w:rsid w:val="004C2084"/>
    <w:rsid w:val="004D1162"/>
    <w:rsid w:val="004E0FFD"/>
    <w:rsid w:val="004E4DD6"/>
    <w:rsid w:val="004F5E36"/>
    <w:rsid w:val="00510789"/>
    <w:rsid w:val="005119A5"/>
    <w:rsid w:val="00516FAD"/>
    <w:rsid w:val="005278B7"/>
    <w:rsid w:val="005346C8"/>
    <w:rsid w:val="00535508"/>
    <w:rsid w:val="00537CCB"/>
    <w:rsid w:val="005418F2"/>
    <w:rsid w:val="00544219"/>
    <w:rsid w:val="00562ADE"/>
    <w:rsid w:val="00567215"/>
    <w:rsid w:val="00581815"/>
    <w:rsid w:val="00591C6C"/>
    <w:rsid w:val="00594E9F"/>
    <w:rsid w:val="005B61E6"/>
    <w:rsid w:val="005C1A57"/>
    <w:rsid w:val="005C648D"/>
    <w:rsid w:val="005C77E1"/>
    <w:rsid w:val="005D53EE"/>
    <w:rsid w:val="005D6A2F"/>
    <w:rsid w:val="005E1A82"/>
    <w:rsid w:val="005F0A28"/>
    <w:rsid w:val="005F0E5E"/>
    <w:rsid w:val="00620DEE"/>
    <w:rsid w:val="00621A1B"/>
    <w:rsid w:val="00623D69"/>
    <w:rsid w:val="00625639"/>
    <w:rsid w:val="0064184D"/>
    <w:rsid w:val="00660E3E"/>
    <w:rsid w:val="00662E74"/>
    <w:rsid w:val="006714D1"/>
    <w:rsid w:val="006732CA"/>
    <w:rsid w:val="006A58D2"/>
    <w:rsid w:val="006C5579"/>
    <w:rsid w:val="006C7B9A"/>
    <w:rsid w:val="00704BDF"/>
    <w:rsid w:val="00720C17"/>
    <w:rsid w:val="00727B4E"/>
    <w:rsid w:val="0073123B"/>
    <w:rsid w:val="00736B13"/>
    <w:rsid w:val="007447F3"/>
    <w:rsid w:val="007661C8"/>
    <w:rsid w:val="007A4664"/>
    <w:rsid w:val="007D52CD"/>
    <w:rsid w:val="008009AC"/>
    <w:rsid w:val="00813288"/>
    <w:rsid w:val="008168FC"/>
    <w:rsid w:val="008346D8"/>
    <w:rsid w:val="008455F7"/>
    <w:rsid w:val="008479A2"/>
    <w:rsid w:val="0087637F"/>
    <w:rsid w:val="00894325"/>
    <w:rsid w:val="008A1512"/>
    <w:rsid w:val="008A57CB"/>
    <w:rsid w:val="008B1B74"/>
    <w:rsid w:val="008C779C"/>
    <w:rsid w:val="008D0BEB"/>
    <w:rsid w:val="008E566E"/>
    <w:rsid w:val="008F6A22"/>
    <w:rsid w:val="00901EB6"/>
    <w:rsid w:val="00903615"/>
    <w:rsid w:val="009047CF"/>
    <w:rsid w:val="009425B4"/>
    <w:rsid w:val="009450CE"/>
    <w:rsid w:val="0095164B"/>
    <w:rsid w:val="00955D58"/>
    <w:rsid w:val="00996483"/>
    <w:rsid w:val="009C1858"/>
    <w:rsid w:val="009C32E4"/>
    <w:rsid w:val="009D7A3B"/>
    <w:rsid w:val="009E788A"/>
    <w:rsid w:val="00A05A15"/>
    <w:rsid w:val="00A07E93"/>
    <w:rsid w:val="00A1763D"/>
    <w:rsid w:val="00A17CEC"/>
    <w:rsid w:val="00A27EF0"/>
    <w:rsid w:val="00A37891"/>
    <w:rsid w:val="00A6255A"/>
    <w:rsid w:val="00A66B9C"/>
    <w:rsid w:val="00A6794C"/>
    <w:rsid w:val="00A76EFC"/>
    <w:rsid w:val="00A916AC"/>
    <w:rsid w:val="00A94238"/>
    <w:rsid w:val="00A9495A"/>
    <w:rsid w:val="00A9626B"/>
    <w:rsid w:val="00A97F29"/>
    <w:rsid w:val="00AA3639"/>
    <w:rsid w:val="00AB0964"/>
    <w:rsid w:val="00AB3E4B"/>
    <w:rsid w:val="00AB4B34"/>
    <w:rsid w:val="00AC5F71"/>
    <w:rsid w:val="00AE377D"/>
    <w:rsid w:val="00B0083D"/>
    <w:rsid w:val="00B0625E"/>
    <w:rsid w:val="00B31173"/>
    <w:rsid w:val="00B40418"/>
    <w:rsid w:val="00B430A4"/>
    <w:rsid w:val="00B55836"/>
    <w:rsid w:val="00B61DBF"/>
    <w:rsid w:val="00B9434C"/>
    <w:rsid w:val="00BB6185"/>
    <w:rsid w:val="00BB6F9B"/>
    <w:rsid w:val="00BC29D1"/>
    <w:rsid w:val="00BC30C9"/>
    <w:rsid w:val="00BD5B3D"/>
    <w:rsid w:val="00BE3E58"/>
    <w:rsid w:val="00BE41A2"/>
    <w:rsid w:val="00C01616"/>
    <w:rsid w:val="00C0162B"/>
    <w:rsid w:val="00C219EF"/>
    <w:rsid w:val="00C30B87"/>
    <w:rsid w:val="00C345B1"/>
    <w:rsid w:val="00C40142"/>
    <w:rsid w:val="00C551FF"/>
    <w:rsid w:val="00C57182"/>
    <w:rsid w:val="00C655FD"/>
    <w:rsid w:val="00C700D2"/>
    <w:rsid w:val="00C80A28"/>
    <w:rsid w:val="00C82290"/>
    <w:rsid w:val="00C867B1"/>
    <w:rsid w:val="00C94434"/>
    <w:rsid w:val="00CA1C95"/>
    <w:rsid w:val="00CA54AA"/>
    <w:rsid w:val="00CA5A9C"/>
    <w:rsid w:val="00CD5FE2"/>
    <w:rsid w:val="00CE6D8D"/>
    <w:rsid w:val="00D02B4C"/>
    <w:rsid w:val="00D1119B"/>
    <w:rsid w:val="00D149CA"/>
    <w:rsid w:val="00D228E4"/>
    <w:rsid w:val="00D42F45"/>
    <w:rsid w:val="00D628A6"/>
    <w:rsid w:val="00D801F0"/>
    <w:rsid w:val="00D84576"/>
    <w:rsid w:val="00D948AD"/>
    <w:rsid w:val="00DE0019"/>
    <w:rsid w:val="00DE264A"/>
    <w:rsid w:val="00DF7F72"/>
    <w:rsid w:val="00E041E7"/>
    <w:rsid w:val="00E05BEA"/>
    <w:rsid w:val="00E1280C"/>
    <w:rsid w:val="00E12D0A"/>
    <w:rsid w:val="00E23CA1"/>
    <w:rsid w:val="00E409A8"/>
    <w:rsid w:val="00E431A8"/>
    <w:rsid w:val="00E466CB"/>
    <w:rsid w:val="00E7209D"/>
    <w:rsid w:val="00EA50E1"/>
    <w:rsid w:val="00EE0131"/>
    <w:rsid w:val="00EE1D21"/>
    <w:rsid w:val="00EF3557"/>
    <w:rsid w:val="00F21D59"/>
    <w:rsid w:val="00F30C64"/>
    <w:rsid w:val="00F411F3"/>
    <w:rsid w:val="00F6058E"/>
    <w:rsid w:val="00F6252E"/>
    <w:rsid w:val="00F72C4F"/>
    <w:rsid w:val="00F879FE"/>
    <w:rsid w:val="00F96ACF"/>
    <w:rsid w:val="00FB730C"/>
    <w:rsid w:val="00FC2171"/>
    <w:rsid w:val="00FC2695"/>
    <w:rsid w:val="00FC3E03"/>
    <w:rsid w:val="00FC44C8"/>
    <w:rsid w:val="00FD5D61"/>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qFormat/>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8009AC"/>
    <w:pPr>
      <w:tabs>
        <w:tab w:val="clear" w:pos="7100"/>
      </w:tabs>
      <w:spacing w:line="240" w:lineRule="atLeast"/>
      <w:ind w:right="-1"/>
      <w:jc w:val="center"/>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Rimandocommento">
    <w:name w:val="annotation reference"/>
    <w:basedOn w:val="Carpredefinitoparagrafo"/>
    <w:uiPriority w:val="99"/>
    <w:semiHidden/>
    <w:unhideWhenUsed/>
    <w:locked/>
    <w:rsid w:val="00B0625E"/>
    <w:rPr>
      <w:sz w:val="16"/>
      <w:szCs w:val="16"/>
    </w:rPr>
  </w:style>
  <w:style w:type="paragraph" w:styleId="Revisione">
    <w:name w:val="Revision"/>
    <w:hidden/>
    <w:uiPriority w:val="99"/>
    <w:semiHidden/>
    <w:rsid w:val="005418F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B4A31-0BB1-4B9F-93F2-2BDEF98F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8508</Characters>
  <Application>Microsoft Office Word</Application>
  <DocSecurity>0</DocSecurity>
  <Lines>70</Lines>
  <Paragraphs>19</Paragraphs>
  <ScaleCrop>false</ScaleCrop>
  <HeadingPairs>
    <vt:vector size="6" baseType="variant">
      <vt:variant>
        <vt:lpstr>Naslov</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2025-01-21T10:14:00Z</dcterms:created>
  <dcterms:modified xsi:type="dcterms:W3CDTF">2025-01-21T10:14:00Z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b0dfbf7c13eb8b7dc2767bbfe6143d9f4852677a7dbc46cde8ee8a7eab1b523b</vt:lpwstr>
  </property>
</Properties>
</file>