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B48C" w14:textId="724C3E25" w:rsidR="005C1A57" w:rsidRPr="005C1A57" w:rsidRDefault="008024F8" w:rsidP="00591C6C">
      <w:pPr>
        <w:pStyle w:val="BOATitle"/>
        <w:rPr>
          <w:rFonts w:eastAsia="MS PGothic"/>
        </w:rPr>
      </w:pPr>
      <w:r w:rsidRPr="008024F8">
        <w:rPr>
          <w:rFonts w:eastAsia="MS PGothic"/>
        </w:rPr>
        <w:t>Simulation of Decomposition Reactions considering the Residual Cooling Capacity of Industrial Reactors</w:t>
      </w:r>
    </w:p>
    <w:p w14:paraId="004DEA09" w14:textId="0C2598CB" w:rsidR="00CD4746" w:rsidRPr="00CD4746" w:rsidRDefault="00CD4746" w:rsidP="00CD4746">
      <w:pPr>
        <w:pStyle w:val="BOAAuthors"/>
        <w:rPr>
          <w:rFonts w:eastAsia="SimSun"/>
          <w:lang w:val="en-US"/>
        </w:rPr>
      </w:pPr>
      <w:r w:rsidRPr="00CD4746">
        <w:rPr>
          <w:rFonts w:eastAsia="SimSun"/>
          <w:u w:val="single"/>
          <w:lang w:val="en-US"/>
        </w:rPr>
        <w:t>Adrian Zentel</w:t>
      </w:r>
      <w:r w:rsidR="00174209">
        <w:rPr>
          <w:rFonts w:eastAsia="SimSun"/>
          <w:u w:val="single"/>
          <w:lang w:val="en-US"/>
        </w:rPr>
        <w:t>*</w:t>
      </w:r>
      <w:r w:rsidRPr="00CD4746">
        <w:rPr>
          <w:rFonts w:eastAsia="SimSun"/>
          <w:vertAlign w:val="superscript"/>
          <w:lang w:val="en-US"/>
        </w:rPr>
        <w:t>a)</w:t>
      </w:r>
      <w:r w:rsidRPr="00CD4746">
        <w:rPr>
          <w:rFonts w:eastAsia="SimSun"/>
          <w:lang w:val="en-US"/>
        </w:rPr>
        <w:t>, Marc-André Serrer</w:t>
      </w:r>
      <w:r w:rsidRPr="00CD4746">
        <w:rPr>
          <w:rFonts w:eastAsia="SimSun"/>
          <w:vertAlign w:val="superscript"/>
          <w:lang w:val="en-US"/>
        </w:rPr>
        <w:t>a)</w:t>
      </w:r>
      <w:r w:rsidRPr="00CD4746">
        <w:rPr>
          <w:rFonts w:eastAsia="SimSun"/>
          <w:lang w:val="en-US"/>
        </w:rPr>
        <w:t>, Steffen Salg</w:t>
      </w:r>
      <w:r w:rsidRPr="00CD4746">
        <w:rPr>
          <w:rFonts w:eastAsia="SimSun"/>
          <w:vertAlign w:val="superscript"/>
          <w:lang w:val="en-US"/>
        </w:rPr>
        <w:t>b)</w:t>
      </w:r>
      <w:r w:rsidRPr="00CD4746">
        <w:rPr>
          <w:rFonts w:eastAsia="SimSun"/>
          <w:lang w:val="en-US"/>
        </w:rPr>
        <w:t>,</w:t>
      </w:r>
      <w:r w:rsidRPr="00CD4746">
        <w:rPr>
          <w:rFonts w:eastAsia="SimSun"/>
          <w:vertAlign w:val="superscript"/>
          <w:lang w:val="en-US"/>
        </w:rPr>
        <w:t>)</w:t>
      </w:r>
      <w:r w:rsidRPr="00CD4746">
        <w:rPr>
          <w:rFonts w:eastAsia="SimSun"/>
          <w:lang w:val="en-US"/>
        </w:rPr>
        <w:t xml:space="preserve"> Markus Gödde</w:t>
      </w:r>
      <w:r w:rsidRPr="00CD4746">
        <w:rPr>
          <w:rFonts w:eastAsia="SimSun"/>
          <w:vertAlign w:val="superscript"/>
          <w:lang w:val="en-US"/>
        </w:rPr>
        <w:t>c)</w:t>
      </w:r>
      <w:r w:rsidRPr="00CD4746">
        <w:rPr>
          <w:rFonts w:eastAsia="SimSun"/>
          <w:lang w:val="en-US"/>
        </w:rPr>
        <w:t>, Johannes Schröder</w:t>
      </w:r>
      <w:r w:rsidRPr="00CD4746">
        <w:rPr>
          <w:rFonts w:eastAsia="SimSun"/>
          <w:vertAlign w:val="superscript"/>
          <w:lang w:val="en-US"/>
        </w:rPr>
        <w:t>a)</w:t>
      </w:r>
      <w:r w:rsidRPr="00CD4746">
        <w:rPr>
          <w:rFonts w:eastAsia="SimSun"/>
          <w:lang w:val="en-US"/>
        </w:rPr>
        <w:t>, Robert John Blanchard</w:t>
      </w:r>
      <w:r w:rsidRPr="00CD4746">
        <w:rPr>
          <w:rFonts w:eastAsia="SimSun"/>
          <w:vertAlign w:val="superscript"/>
          <w:lang w:val="en-US"/>
        </w:rPr>
        <w:t>a</w:t>
      </w:r>
    </w:p>
    <w:p w14:paraId="29E2E91E" w14:textId="614DCA11" w:rsidR="005C1A57" w:rsidRPr="00591C6C" w:rsidRDefault="005C1A57" w:rsidP="00591C6C">
      <w:pPr>
        <w:pStyle w:val="BOAAuthors"/>
        <w:rPr>
          <w:rFonts w:eastAsia="MS PGothic"/>
        </w:rPr>
      </w:pPr>
    </w:p>
    <w:p w14:paraId="5E5EDAB6" w14:textId="57CD6606" w:rsidR="00713B9F" w:rsidRPr="00713B9F" w:rsidRDefault="00713B9F" w:rsidP="00204277">
      <w:pPr>
        <w:pStyle w:val="BOAemail"/>
        <w:spacing w:before="0"/>
        <w:rPr>
          <w:rFonts w:eastAsia="MS PGothic"/>
          <w:noProof/>
        </w:rPr>
      </w:pPr>
      <w:r w:rsidRPr="00713B9F">
        <w:rPr>
          <w:rFonts w:eastAsia="MS PGothic"/>
          <w:noProof/>
          <w:vertAlign w:val="superscript"/>
        </w:rPr>
        <w:t>a</w:t>
      </w:r>
      <w:r w:rsidRPr="00713B9F">
        <w:rPr>
          <w:rFonts w:eastAsia="MS PGothic"/>
          <w:noProof/>
        </w:rPr>
        <w:t xml:space="preserve"> </w:t>
      </w:r>
      <w:r w:rsidRPr="00713B9F">
        <w:rPr>
          <w:rFonts w:eastAsia="MS PGothic"/>
          <w:iCs/>
          <w:noProof/>
          <w:lang w:val="en-US"/>
        </w:rPr>
        <w:t xml:space="preserve">Safety Assessment </w:t>
      </w:r>
      <w:r>
        <w:rPr>
          <w:rFonts w:eastAsia="MS PGothic"/>
          <w:iCs/>
          <w:noProof/>
          <w:lang w:val="en-US"/>
        </w:rPr>
        <w:t>&amp;</w:t>
      </w:r>
      <w:r w:rsidRPr="00713B9F">
        <w:rPr>
          <w:rFonts w:eastAsia="MS PGothic"/>
          <w:iCs/>
          <w:noProof/>
          <w:lang w:val="en-US"/>
        </w:rPr>
        <w:t xml:space="preserve"> Testing </w:t>
      </w:r>
      <w:r w:rsidRPr="00713B9F">
        <w:rPr>
          <w:rFonts w:eastAsia="MS PGothic"/>
          <w:noProof/>
          <w:lang w:val="en-US"/>
        </w:rPr>
        <w:t>(</w:t>
      </w:r>
      <w:r w:rsidRPr="00713B9F">
        <w:rPr>
          <w:rFonts w:eastAsia="MS PGothic"/>
          <w:iCs/>
          <w:noProof/>
          <w:lang w:val="en-US"/>
        </w:rPr>
        <w:t>BASF SE</w:t>
      </w:r>
      <w:r w:rsidRPr="00713B9F">
        <w:rPr>
          <w:rFonts w:eastAsia="MS PGothic"/>
          <w:noProof/>
          <w:lang w:val="en-US"/>
        </w:rPr>
        <w:t>, Carl-Bosch-Straße 38, 67056 Ludwigshafen, Germany)</w:t>
      </w:r>
    </w:p>
    <w:p w14:paraId="77F96AC1" w14:textId="77777777" w:rsidR="00713B9F" w:rsidRPr="00713B9F" w:rsidRDefault="00713B9F" w:rsidP="00204277">
      <w:pPr>
        <w:pStyle w:val="BOAemail"/>
        <w:spacing w:before="0"/>
        <w:rPr>
          <w:rFonts w:eastAsia="MS PGothic"/>
          <w:noProof/>
          <w:lang w:val="en-US"/>
        </w:rPr>
      </w:pPr>
      <w:r w:rsidRPr="00713B9F">
        <w:rPr>
          <w:rFonts w:eastAsia="MS PGothic"/>
          <w:noProof/>
          <w:vertAlign w:val="superscript"/>
          <w:lang w:val="en-US"/>
        </w:rPr>
        <w:t>b</w:t>
      </w:r>
      <w:r w:rsidRPr="00713B9F">
        <w:rPr>
          <w:rFonts w:eastAsia="MS PGothic"/>
          <w:noProof/>
          <w:lang w:val="en-US"/>
        </w:rPr>
        <w:t xml:space="preserve"> </w:t>
      </w:r>
      <w:r w:rsidRPr="00713B9F">
        <w:rPr>
          <w:rFonts w:eastAsia="MS PGothic"/>
          <w:iCs/>
          <w:noProof/>
          <w:lang w:val="en-US"/>
        </w:rPr>
        <w:t>Pluriol Plant (BASF SE</w:t>
      </w:r>
      <w:r w:rsidRPr="00713B9F">
        <w:rPr>
          <w:rFonts w:eastAsia="MS PGothic"/>
          <w:noProof/>
          <w:lang w:val="en-US"/>
        </w:rPr>
        <w:t>, Carl-Bosch-Straße 38, 67056 Ludwigshafen, Germany)</w:t>
      </w:r>
    </w:p>
    <w:p w14:paraId="36816ADF" w14:textId="77777777" w:rsidR="00713B9F" w:rsidRPr="00713B9F" w:rsidRDefault="00713B9F" w:rsidP="00204277">
      <w:pPr>
        <w:pStyle w:val="BOAemail"/>
        <w:spacing w:before="0"/>
        <w:rPr>
          <w:rFonts w:eastAsia="MS PGothic"/>
          <w:noProof/>
        </w:rPr>
      </w:pPr>
      <w:r w:rsidRPr="00713B9F">
        <w:rPr>
          <w:rFonts w:eastAsia="MS PGothic"/>
          <w:noProof/>
          <w:vertAlign w:val="superscript"/>
        </w:rPr>
        <w:t>c</w:t>
      </w:r>
      <w:r w:rsidRPr="00713B9F">
        <w:rPr>
          <w:rFonts w:eastAsia="MS PGothic"/>
          <w:noProof/>
        </w:rPr>
        <w:t xml:space="preserve"> </w:t>
      </w:r>
      <w:r w:rsidRPr="00713B9F">
        <w:rPr>
          <w:rFonts w:eastAsia="MS PGothic"/>
          <w:iCs/>
          <w:noProof/>
          <w:lang w:val="en-US"/>
        </w:rPr>
        <w:t>Process Safety (BASF SE</w:t>
      </w:r>
      <w:r w:rsidRPr="00713B9F">
        <w:rPr>
          <w:rFonts w:eastAsia="MS PGothic"/>
          <w:noProof/>
          <w:lang w:val="en-US"/>
        </w:rPr>
        <w:t>, Carl-Bosch-Straße 38, 67056 Ludwigshafen, Germany)</w:t>
      </w:r>
    </w:p>
    <w:p w14:paraId="42CB37CF" w14:textId="54EC6683" w:rsidR="005C1A57" w:rsidRPr="00591C6C" w:rsidRDefault="005C1A57" w:rsidP="00591C6C">
      <w:pPr>
        <w:pStyle w:val="BOAemail"/>
        <w:rPr>
          <w:rFonts w:eastAsia="MS PGothic"/>
        </w:rPr>
      </w:pPr>
      <w:r w:rsidRPr="00591C6C">
        <w:rPr>
          <w:rFonts w:eastAsia="MS PGothic"/>
        </w:rPr>
        <w:t>*Corresponding author</w:t>
      </w:r>
      <w:r w:rsidRPr="00591C6C">
        <w:rPr>
          <w:rFonts w:eastAsia="MS PGothic"/>
          <w:lang w:eastAsia="ko-KR"/>
        </w:rPr>
        <w:t xml:space="preserve"> E-Mail: </w:t>
      </w:r>
      <w:r w:rsidRPr="00591C6C">
        <w:rPr>
          <w:rFonts w:eastAsia="MS PGothic"/>
        </w:rPr>
        <w:t xml:space="preserve"> </w:t>
      </w:r>
      <w:r w:rsidR="00174209" w:rsidRPr="00174209">
        <w:rPr>
          <w:rFonts w:eastAsia="MS PGothic"/>
        </w:rPr>
        <w:t>adrian.zentel@basf.com</w:t>
      </w:r>
    </w:p>
    <w:p w14:paraId="7D788354" w14:textId="77777777" w:rsidR="005C1A57" w:rsidRPr="00621A1B" w:rsidRDefault="005C1A57" w:rsidP="00F879FE">
      <w:pPr>
        <w:pStyle w:val="BOAHeading"/>
      </w:pPr>
      <w:r w:rsidRPr="00621A1B">
        <w:t>1. Introduction</w:t>
      </w:r>
    </w:p>
    <w:p w14:paraId="2152147E" w14:textId="068FC987" w:rsidR="00830D54" w:rsidRDefault="00830D54" w:rsidP="00830D54">
      <w:pPr>
        <w:pStyle w:val="BOAAbstractBody"/>
        <w:rPr>
          <w:rFonts w:eastAsia="MS PGothic"/>
        </w:rPr>
      </w:pPr>
      <w:r w:rsidRPr="00830D54">
        <w:rPr>
          <w:rFonts w:eastAsia="MS PGothic"/>
        </w:rPr>
        <w:t xml:space="preserve">In chemical production plants, process safety is one of the key aspects of process development. </w:t>
      </w:r>
      <w:r w:rsidR="00393F1E">
        <w:rPr>
          <w:rFonts w:eastAsia="MS PGothic"/>
        </w:rPr>
        <w:t>A</w:t>
      </w:r>
      <w:r w:rsidR="00393F1E" w:rsidRPr="00830D54">
        <w:rPr>
          <w:rFonts w:eastAsia="MS PGothic"/>
        </w:rPr>
        <w:t xml:space="preserve"> </w:t>
      </w:r>
      <w:r w:rsidRPr="00830D54">
        <w:rPr>
          <w:rFonts w:eastAsia="MS PGothic"/>
        </w:rPr>
        <w:t xml:space="preserve">basic scenario within the field of thermal process safety to safeguard exothermal decomposition reactions is the total loss of cooling event with the simplified assumption of adiabatic conditions [1], see Figure 1. </w:t>
      </w:r>
      <w:r w:rsidR="00393F1E">
        <w:rPr>
          <w:rFonts w:eastAsia="MS PGothic"/>
        </w:rPr>
        <w:t>Within this scenario</w:t>
      </w:r>
      <w:r w:rsidRPr="00830D54">
        <w:rPr>
          <w:rFonts w:eastAsia="MS PGothic"/>
        </w:rPr>
        <w:t xml:space="preserve"> the reaction temperature T</w:t>
      </w:r>
      <w:r w:rsidRPr="00830D54">
        <w:rPr>
          <w:rFonts w:eastAsia="MS PGothic"/>
          <w:vertAlign w:val="subscript"/>
        </w:rPr>
        <w:t>R</w:t>
      </w:r>
      <w:r w:rsidRPr="00830D54">
        <w:rPr>
          <w:rFonts w:eastAsia="MS PGothic"/>
        </w:rPr>
        <w:t xml:space="preserve">, the maximum temperature of the synthesis reaction (MTSR) and the adiabatic decomposition temperature (ADT24) are essential characteristics. Knowing the ADT24, the maximum allowable temperature for the process </w:t>
      </w:r>
      <w:proofErr w:type="spellStart"/>
      <w:r w:rsidRPr="00830D54">
        <w:rPr>
          <w:rFonts w:eastAsia="MS PGothic"/>
        </w:rPr>
        <w:t>T</w:t>
      </w:r>
      <w:r w:rsidRPr="00830D54">
        <w:rPr>
          <w:rFonts w:eastAsia="MS PGothic"/>
          <w:vertAlign w:val="subscript"/>
        </w:rPr>
        <w:t>Exo</w:t>
      </w:r>
      <w:proofErr w:type="spellEnd"/>
      <w:r w:rsidRPr="00830D54">
        <w:rPr>
          <w:rFonts w:eastAsia="MS PGothic"/>
        </w:rPr>
        <w:t xml:space="preserve"> can be derived. The technical rule for plant safety (German: </w:t>
      </w:r>
      <w:proofErr w:type="spellStart"/>
      <w:r w:rsidRPr="00830D54">
        <w:rPr>
          <w:rFonts w:eastAsia="MS PGothic"/>
        </w:rPr>
        <w:t>Technische</w:t>
      </w:r>
      <w:proofErr w:type="spellEnd"/>
      <w:r w:rsidRPr="00830D54">
        <w:rPr>
          <w:rFonts w:eastAsia="MS PGothic"/>
        </w:rPr>
        <w:t xml:space="preserve"> Regel für </w:t>
      </w:r>
      <w:proofErr w:type="spellStart"/>
      <w:r w:rsidRPr="00830D54">
        <w:rPr>
          <w:rFonts w:eastAsia="MS PGothic"/>
        </w:rPr>
        <w:t>Anlagensicherheit</w:t>
      </w:r>
      <w:proofErr w:type="spellEnd"/>
      <w:r w:rsidRPr="00830D54">
        <w:rPr>
          <w:rFonts w:eastAsia="MS PGothic"/>
        </w:rPr>
        <w:t xml:space="preserve"> (TRAS) 410) suggests limiting the </w:t>
      </w:r>
      <w:proofErr w:type="spellStart"/>
      <w:r w:rsidRPr="00830D54">
        <w:rPr>
          <w:rFonts w:eastAsia="MS PGothic"/>
        </w:rPr>
        <w:t>T</w:t>
      </w:r>
      <w:r w:rsidRPr="00830D54">
        <w:rPr>
          <w:rFonts w:eastAsia="MS PGothic"/>
          <w:vertAlign w:val="subscript"/>
        </w:rPr>
        <w:t>Exo</w:t>
      </w:r>
      <w:proofErr w:type="spellEnd"/>
      <w:r w:rsidRPr="00830D54">
        <w:rPr>
          <w:rFonts w:eastAsia="MS PGothic"/>
        </w:rPr>
        <w:t xml:space="preserve"> 10 K below the ADT24 [2].</w:t>
      </w:r>
    </w:p>
    <w:p w14:paraId="79E216AB" w14:textId="77777777" w:rsidR="00CE2196" w:rsidRDefault="00CE2196" w:rsidP="00830D54">
      <w:pPr>
        <w:pStyle w:val="BOAAbstractBody"/>
        <w:rPr>
          <w:rFonts w:eastAsia="MS PGothic"/>
        </w:rPr>
      </w:pPr>
    </w:p>
    <w:p w14:paraId="1BFB237E" w14:textId="77777777" w:rsidR="004279CD" w:rsidRDefault="00A4741B" w:rsidP="004279CD">
      <w:pPr>
        <w:pStyle w:val="BOAAbstractBody"/>
        <w:keepNext/>
        <w:jc w:val="center"/>
      </w:pPr>
      <w:r>
        <w:rPr>
          <w:rFonts w:eastAsia="MS PGothic"/>
          <w:noProof/>
        </w:rPr>
        <w:drawing>
          <wp:inline distT="0" distB="0" distL="0" distR="0" wp14:anchorId="738FEA8F" wp14:editId="2CB46F57">
            <wp:extent cx="3883660" cy="2737485"/>
            <wp:effectExtent l="0" t="0" r="0" b="5715"/>
            <wp:docPr id="46866835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3660" cy="2737485"/>
                    </a:xfrm>
                    <a:prstGeom prst="rect">
                      <a:avLst/>
                    </a:prstGeom>
                    <a:noFill/>
                  </pic:spPr>
                </pic:pic>
              </a:graphicData>
            </a:graphic>
          </wp:inline>
        </w:drawing>
      </w:r>
    </w:p>
    <w:p w14:paraId="00DFC0A1" w14:textId="07C3FDD8" w:rsidR="00A4741B" w:rsidRPr="00830D54" w:rsidRDefault="004279CD" w:rsidP="004279CD">
      <w:pPr>
        <w:pStyle w:val="BOACaption"/>
        <w:rPr>
          <w:sz w:val="22"/>
          <w:lang w:val="en-US"/>
        </w:rPr>
      </w:pPr>
      <w:r>
        <w:t xml:space="preserve">Figure </w:t>
      </w:r>
      <w:r>
        <w:fldChar w:fldCharType="begin"/>
      </w:r>
      <w:r>
        <w:instrText xml:space="preserve"> SEQ Figure \* ARABIC </w:instrText>
      </w:r>
      <w:r>
        <w:fldChar w:fldCharType="separate"/>
      </w:r>
      <w:r>
        <w:rPr>
          <w:noProof/>
        </w:rPr>
        <w:t>1</w:t>
      </w:r>
      <w:r>
        <w:fldChar w:fldCharType="end"/>
      </w:r>
      <w:r>
        <w:t xml:space="preserve">: </w:t>
      </w:r>
      <w:r w:rsidR="00607532" w:rsidRPr="00607532">
        <w:rPr>
          <w:lang w:val="en-US"/>
        </w:rPr>
        <w:t>Temperature development in the scenario of a total loss of cooling event with the simplified assumption of adiabatic conditions [1].</w:t>
      </w:r>
    </w:p>
    <w:p w14:paraId="2304339A" w14:textId="77777777" w:rsidR="00830D54" w:rsidRDefault="00830D54" w:rsidP="00F879FE">
      <w:pPr>
        <w:pStyle w:val="BOAAbstractBody"/>
        <w:rPr>
          <w:rFonts w:eastAsia="MS PGothic"/>
        </w:rPr>
      </w:pPr>
    </w:p>
    <w:p w14:paraId="3312B745" w14:textId="21434424" w:rsidR="00A74C17" w:rsidRDefault="00091461" w:rsidP="00A74C17">
      <w:pPr>
        <w:pStyle w:val="BOAAbstractBody"/>
        <w:rPr>
          <w:rFonts w:eastAsia="MS PGothic"/>
        </w:rPr>
      </w:pPr>
      <w:r w:rsidRPr="00091461">
        <w:rPr>
          <w:rFonts w:eastAsia="MS PGothic"/>
        </w:rPr>
        <w:lastRenderedPageBreak/>
        <w:t xml:space="preserve">The TRAS 410 also emphasizes to consider the heat loss of the system when determining the maximum allowable temperature </w:t>
      </w:r>
      <w:proofErr w:type="spellStart"/>
      <w:r w:rsidRPr="00091461">
        <w:rPr>
          <w:rFonts w:eastAsia="MS PGothic"/>
        </w:rPr>
        <w:t>T</w:t>
      </w:r>
      <w:r w:rsidRPr="00091461">
        <w:rPr>
          <w:rFonts w:eastAsia="MS PGothic"/>
          <w:vertAlign w:val="subscript"/>
        </w:rPr>
        <w:t>Exo</w:t>
      </w:r>
      <w:proofErr w:type="spellEnd"/>
      <w:r w:rsidRPr="00091461">
        <w:rPr>
          <w:rFonts w:eastAsia="MS PGothic"/>
        </w:rPr>
        <w:t xml:space="preserve">. Within this frame a study has been performed, investigating the impact of the residual cooling capacity of industrial reactors on the </w:t>
      </w:r>
      <w:proofErr w:type="spellStart"/>
      <w:r w:rsidRPr="00091461">
        <w:rPr>
          <w:rFonts w:eastAsia="MS PGothic"/>
        </w:rPr>
        <w:t>T</w:t>
      </w:r>
      <w:r w:rsidRPr="00091461">
        <w:rPr>
          <w:rFonts w:eastAsia="MS PGothic"/>
          <w:vertAlign w:val="subscript"/>
        </w:rPr>
        <w:t>Exo</w:t>
      </w:r>
      <w:proofErr w:type="spellEnd"/>
      <w:r w:rsidRPr="00091461">
        <w:rPr>
          <w:rFonts w:eastAsia="MS PGothic"/>
        </w:rPr>
        <w:t>. The residual cooling capacity describes the passive cooling capability of the system after failure of active cooling, particularly due to the heat loss to the environment, i. e. ambient convective cooling.</w:t>
      </w:r>
    </w:p>
    <w:p w14:paraId="546C78C7" w14:textId="77777777" w:rsidR="00A74C17" w:rsidRDefault="00A74C17" w:rsidP="00A74C17">
      <w:pPr>
        <w:pStyle w:val="BOAAbstractBody"/>
        <w:rPr>
          <w:rFonts w:eastAsia="MS PGothic"/>
        </w:rPr>
      </w:pPr>
    </w:p>
    <w:p w14:paraId="2CBD14A4" w14:textId="67C4AD5C" w:rsidR="00A74C17" w:rsidRPr="00075A06" w:rsidRDefault="00A74C17" w:rsidP="00A74C17">
      <w:pPr>
        <w:pStyle w:val="BOAAbstractBody"/>
        <w:rPr>
          <w:rFonts w:eastAsia="MS PGothic"/>
        </w:rPr>
      </w:pPr>
      <w:r w:rsidRPr="00075A06">
        <w:rPr>
          <w:rFonts w:eastAsia="MS PGothic"/>
        </w:rPr>
        <w:t xml:space="preserve">In this study, alkoxylation reactions were investigated with respect to the scenario of a cooling failure. In alkoxylation processes, a nucleophilic compound like an alcohol or amine is </w:t>
      </w:r>
      <w:r w:rsidR="00393F1E">
        <w:rPr>
          <w:rFonts w:eastAsia="MS PGothic"/>
        </w:rPr>
        <w:t>reacted</w:t>
      </w:r>
      <w:r w:rsidR="00393F1E" w:rsidRPr="00075A06">
        <w:rPr>
          <w:rFonts w:eastAsia="MS PGothic"/>
        </w:rPr>
        <w:t xml:space="preserve"> </w:t>
      </w:r>
      <w:r w:rsidRPr="00075A06">
        <w:rPr>
          <w:rFonts w:eastAsia="MS PGothic"/>
        </w:rPr>
        <w:t>with an alkylene oxide, e. g. ethylene oxide or propylene oxide. The reaction can be catalyzed by Bronsted bases such as sodium hydroxide or potassium hydroxide. Within the alkoxylation process there are significant hazards to be safeguarded: high toxicity of alkylene oxides, gas phase decomposition of ethylene oxide, high reaction enthalpy of - 95 kJ/mol ethylene oxide (l) or - 121 kJ/mol ethylene oxide (g) and exothermal decomposition reactions of educts, intermediates and products [3, 4].</w:t>
      </w:r>
    </w:p>
    <w:p w14:paraId="783EC6E6" w14:textId="77777777" w:rsidR="005C1A57" w:rsidRPr="00591C6C" w:rsidRDefault="005C1A57" w:rsidP="00F879FE">
      <w:pPr>
        <w:pStyle w:val="BOAHeading"/>
      </w:pPr>
      <w:r w:rsidRPr="00591C6C">
        <w:t>2. Methods</w:t>
      </w:r>
    </w:p>
    <w:p w14:paraId="2B0F9D24" w14:textId="30B2EE46" w:rsidR="00075A06" w:rsidRPr="00075A06" w:rsidRDefault="00075A06" w:rsidP="00075A06">
      <w:pPr>
        <w:pStyle w:val="BOAAbstractBody"/>
        <w:rPr>
          <w:rFonts w:eastAsia="MS PGothic"/>
        </w:rPr>
      </w:pPr>
      <w:r w:rsidRPr="00075A06">
        <w:rPr>
          <w:rFonts w:eastAsia="MS PGothic"/>
        </w:rPr>
        <w:t xml:space="preserve">At BASF, a model-based concept is used to safeguard </w:t>
      </w:r>
      <w:r w:rsidR="00393F1E" w:rsidRPr="00075A06">
        <w:rPr>
          <w:rFonts w:eastAsia="MS PGothic"/>
        </w:rPr>
        <w:t>the</w:t>
      </w:r>
      <w:r w:rsidR="00393F1E">
        <w:rPr>
          <w:rFonts w:eastAsia="MS PGothic"/>
        </w:rPr>
        <w:t xml:space="preserve"> </w:t>
      </w:r>
      <w:proofErr w:type="gramStart"/>
      <w:r w:rsidR="007317F0">
        <w:rPr>
          <w:rFonts w:eastAsia="MS PGothic"/>
        </w:rPr>
        <w:t>aforementioned</w:t>
      </w:r>
      <w:r w:rsidR="00393F1E" w:rsidRPr="00075A06">
        <w:rPr>
          <w:rFonts w:eastAsia="MS PGothic"/>
        </w:rPr>
        <w:t xml:space="preserve"> </w:t>
      </w:r>
      <w:r w:rsidRPr="00075A06">
        <w:rPr>
          <w:rFonts w:eastAsia="MS PGothic"/>
        </w:rPr>
        <w:t>hazards</w:t>
      </w:r>
      <w:proofErr w:type="gramEnd"/>
      <w:r w:rsidRPr="00075A06">
        <w:rPr>
          <w:rFonts w:eastAsia="MS PGothic"/>
        </w:rPr>
        <w:t xml:space="preserve"> of the alkoxylation processes [</w:t>
      </w:r>
      <w:r w:rsidR="001F15F2">
        <w:rPr>
          <w:rFonts w:eastAsia="MS PGothic"/>
        </w:rPr>
        <w:t>4</w:t>
      </w:r>
      <w:r w:rsidRPr="00075A06">
        <w:rPr>
          <w:rFonts w:eastAsia="MS PGothic"/>
        </w:rPr>
        <w:t xml:space="preserve"> </w:t>
      </w:r>
      <w:r w:rsidR="001F15F2">
        <w:rPr>
          <w:rFonts w:eastAsia="MS PGothic"/>
        </w:rPr>
        <w:t>- 6</w:t>
      </w:r>
      <w:r w:rsidRPr="00075A06">
        <w:rPr>
          <w:rFonts w:eastAsia="MS PGothic"/>
        </w:rPr>
        <w:t xml:space="preserve">]. The model calculates the free oxide concentration in the reactor in every moment of the reaction based on temperature, pressure and known substance properties. The oxide dosage is regulated such that in case of a cooling failure the runaway of the synthesis reaction is limited to the maximum allowed temperature </w:t>
      </w:r>
      <w:proofErr w:type="spellStart"/>
      <w:r w:rsidRPr="00075A06">
        <w:rPr>
          <w:rFonts w:eastAsia="MS PGothic"/>
        </w:rPr>
        <w:t>T</w:t>
      </w:r>
      <w:r w:rsidRPr="00075A06">
        <w:rPr>
          <w:rFonts w:eastAsia="MS PGothic"/>
          <w:vertAlign w:val="subscript"/>
        </w:rPr>
        <w:t>Exo</w:t>
      </w:r>
      <w:proofErr w:type="spellEnd"/>
      <w:r w:rsidRPr="00075A06">
        <w:rPr>
          <w:rFonts w:eastAsia="MS PGothic"/>
        </w:rPr>
        <w:t>. At this temperature, the decomposition of the reaction mixture starts slowly with a rather small heat release rate. In alkoxylation processes, a slightly different definition of the ADT24 is used, which is more conservative than the definition given in TRAS 410. According to TRAS 410, the ADT24 is the temperature at which the time to maximum rate (TMR) at adiabatic conditions equals 24 hours [2]. Following this approach, the T</w:t>
      </w:r>
      <w:r w:rsidRPr="00075A06">
        <w:rPr>
          <w:rFonts w:eastAsia="MS PGothic"/>
          <w:vertAlign w:val="subscript"/>
        </w:rPr>
        <w:t xml:space="preserve">24_TDesign </w:t>
      </w:r>
      <w:r w:rsidRPr="00075A06">
        <w:rPr>
          <w:rFonts w:eastAsia="MS PGothic"/>
        </w:rPr>
        <w:t xml:space="preserve">is defined as </w:t>
      </w:r>
      <w:r w:rsidR="007A0FBA">
        <w:rPr>
          <w:rFonts w:eastAsia="MS PGothic"/>
        </w:rPr>
        <w:t xml:space="preserve">the </w:t>
      </w:r>
      <w:r w:rsidRPr="00075A06">
        <w:rPr>
          <w:rFonts w:eastAsia="MS PGothic"/>
        </w:rPr>
        <w:t>temperature, at which it takes at least 24 hours to reach the reactor design temperature.</w:t>
      </w:r>
      <w:r w:rsidR="007317F0">
        <w:rPr>
          <w:rFonts w:eastAsia="MS PGothic"/>
        </w:rPr>
        <w:t xml:space="preserve"> This period is long enough to deploy suitable countermeasures against thermal runaway, i. e. external emergency cooling by the fire department.</w:t>
      </w:r>
      <w:r w:rsidRPr="00075A06">
        <w:rPr>
          <w:rFonts w:eastAsia="MS PGothic"/>
        </w:rPr>
        <w:t xml:space="preserve"> The maximum rate of the decomposition reaction is usually observed at temperatures larger than 250 °C, which is a common reactor design temperature. Because of this conservative definition and after having conducted sophisticated thermal analyses of the decomposition reaction for each polyether polyol, the T</w:t>
      </w:r>
      <w:r w:rsidRPr="00075A06">
        <w:rPr>
          <w:rFonts w:eastAsia="MS PGothic"/>
          <w:vertAlign w:val="subscript"/>
        </w:rPr>
        <w:t xml:space="preserve">24_TDesign </w:t>
      </w:r>
      <w:r w:rsidRPr="00075A06">
        <w:rPr>
          <w:rFonts w:eastAsia="MS PGothic"/>
        </w:rPr>
        <w:t xml:space="preserve">is implemented as maximum allowed temperature </w:t>
      </w:r>
      <w:proofErr w:type="spellStart"/>
      <w:r w:rsidRPr="00075A06">
        <w:rPr>
          <w:rFonts w:eastAsia="MS PGothic"/>
        </w:rPr>
        <w:t>T</w:t>
      </w:r>
      <w:r w:rsidRPr="00075A06">
        <w:rPr>
          <w:rFonts w:eastAsia="MS PGothic"/>
          <w:vertAlign w:val="subscript"/>
        </w:rPr>
        <w:t>Exo</w:t>
      </w:r>
      <w:proofErr w:type="spellEnd"/>
      <w:r w:rsidRPr="00075A06">
        <w:rPr>
          <w:rFonts w:eastAsia="MS PGothic"/>
        </w:rPr>
        <w:t>.</w:t>
      </w:r>
    </w:p>
    <w:p w14:paraId="110C338A" w14:textId="77777777" w:rsidR="00075A06" w:rsidRPr="00075A06" w:rsidRDefault="00075A06" w:rsidP="00075A06">
      <w:pPr>
        <w:pStyle w:val="BOAAbstractBody"/>
        <w:rPr>
          <w:rFonts w:eastAsia="MS PGothic"/>
        </w:rPr>
      </w:pPr>
    </w:p>
    <w:p w14:paraId="5BFDA331" w14:textId="2A4AD855" w:rsidR="00075A06" w:rsidRDefault="00075A06" w:rsidP="00075A06">
      <w:pPr>
        <w:pStyle w:val="BOAAbstractBody"/>
        <w:rPr>
          <w:rFonts w:eastAsia="MS PGothic"/>
        </w:rPr>
      </w:pPr>
      <w:r w:rsidRPr="00075A06">
        <w:rPr>
          <w:rFonts w:eastAsia="MS PGothic"/>
          <w:lang w:val="en-GB"/>
        </w:rPr>
        <w:t xml:space="preserve">To investigate the impact of the residual cooling capacity on the alkoxylation process, the process-limiting exothermal decomposition reaction </w:t>
      </w:r>
      <w:r w:rsidR="007A0FBA">
        <w:rPr>
          <w:rFonts w:eastAsia="MS PGothic"/>
          <w:lang w:val="en-GB"/>
        </w:rPr>
        <w:t>was</w:t>
      </w:r>
      <w:r w:rsidR="007A0FBA" w:rsidRPr="00075A06">
        <w:rPr>
          <w:rFonts w:eastAsia="MS PGothic"/>
          <w:lang w:val="en-GB"/>
        </w:rPr>
        <w:t xml:space="preserve"> </w:t>
      </w:r>
      <w:r w:rsidRPr="00075A06">
        <w:rPr>
          <w:rFonts w:eastAsia="MS PGothic"/>
          <w:lang w:val="en-GB"/>
        </w:rPr>
        <w:t xml:space="preserve">investigated by calorimetric methods and formal kinetic models were generated describing the decomposition reactions. In addition, for various industrial reactors the specific heat loss due to ambient cooling was determined experimentally and numerical reactor models were developed. The models describing decomposition kinetics and the reactor models were used to perform numerical simulations for the prediction of the thermal </w:t>
      </w:r>
      <w:r w:rsidR="00824CA7" w:rsidRPr="00075A06">
        <w:rPr>
          <w:rFonts w:eastAsia="MS PGothic"/>
          <w:lang w:val="en-GB"/>
        </w:rPr>
        <w:t>behaviour</w:t>
      </w:r>
      <w:r w:rsidRPr="00075A06">
        <w:rPr>
          <w:rFonts w:eastAsia="MS PGothic"/>
          <w:lang w:val="en-GB"/>
        </w:rPr>
        <w:t xml:space="preserve"> for various product-reactor-combinations. For modelling and simulation, the software code from </w:t>
      </w:r>
      <w:proofErr w:type="spellStart"/>
      <w:r w:rsidRPr="00075A06">
        <w:rPr>
          <w:rFonts w:eastAsia="MS PGothic"/>
          <w:lang w:val="en-GB"/>
        </w:rPr>
        <w:t>Cheminform</w:t>
      </w:r>
      <w:proofErr w:type="spellEnd"/>
      <w:r w:rsidRPr="00075A06">
        <w:rPr>
          <w:rFonts w:eastAsia="MS PGothic"/>
          <w:lang w:val="en-GB"/>
        </w:rPr>
        <w:t xml:space="preserve"> St. Petersburg “Thermal Safety Series-Advanced Reaction Kinetics Simulation (TSS-ARKS)” was used. </w:t>
      </w:r>
      <w:r w:rsidR="00CF486E">
        <w:rPr>
          <w:rFonts w:eastAsia="MS PGothic"/>
          <w:lang w:val="en-GB"/>
        </w:rPr>
        <w:t>T</w:t>
      </w:r>
      <w:r w:rsidR="003D4E45">
        <w:rPr>
          <w:rFonts w:eastAsia="MS PGothic"/>
          <w:lang w:val="en-GB"/>
        </w:rPr>
        <w:t>h</w:t>
      </w:r>
      <w:r w:rsidR="00BC7FFD">
        <w:rPr>
          <w:rFonts w:eastAsia="MS PGothic"/>
          <w:lang w:val="en-GB"/>
        </w:rPr>
        <w:t xml:space="preserve">e concept </w:t>
      </w:r>
      <w:r w:rsidR="00D1719F">
        <w:rPr>
          <w:rFonts w:eastAsia="MS PGothic"/>
          <w:lang w:val="en-GB"/>
        </w:rPr>
        <w:t xml:space="preserve">of simulating </w:t>
      </w:r>
      <w:r w:rsidR="00FF2EAD">
        <w:rPr>
          <w:rFonts w:eastAsia="MS PGothic"/>
          <w:lang w:val="en-GB"/>
        </w:rPr>
        <w:t xml:space="preserve">the thermal behaviour of a </w:t>
      </w:r>
      <w:r w:rsidR="00653921">
        <w:rPr>
          <w:rFonts w:eastAsia="MS PGothic"/>
          <w:lang w:val="en-GB"/>
        </w:rPr>
        <w:t xml:space="preserve">peroxide </w:t>
      </w:r>
      <w:r w:rsidR="00FF2EAD">
        <w:rPr>
          <w:rFonts w:eastAsia="MS PGothic"/>
          <w:lang w:val="en-GB"/>
        </w:rPr>
        <w:t>decomposition reaction under non-adiabatic conditions</w:t>
      </w:r>
      <w:r w:rsidR="00100B4B">
        <w:rPr>
          <w:rFonts w:eastAsia="MS PGothic"/>
          <w:lang w:val="en-GB"/>
        </w:rPr>
        <w:t xml:space="preserve"> with the software code</w:t>
      </w:r>
      <w:r w:rsidR="006856E1">
        <w:rPr>
          <w:rFonts w:eastAsia="MS PGothic"/>
          <w:lang w:val="en-GB"/>
        </w:rPr>
        <w:t xml:space="preserve"> and the validating 1:1 experiments were published by our group </w:t>
      </w:r>
      <w:r w:rsidR="00100B4B">
        <w:rPr>
          <w:rFonts w:eastAsia="MS PGothic"/>
          <w:lang w:val="en-GB"/>
        </w:rPr>
        <w:t>at Loss Prevention in 2016 [7].</w:t>
      </w:r>
    </w:p>
    <w:p w14:paraId="0C1D0C25" w14:textId="77777777" w:rsidR="00075A06" w:rsidRDefault="00075A06" w:rsidP="00F879FE">
      <w:pPr>
        <w:pStyle w:val="BOAAbstractBody"/>
        <w:rPr>
          <w:rFonts w:eastAsia="MS PGothic"/>
        </w:rPr>
      </w:pPr>
    </w:p>
    <w:p w14:paraId="01FCBBA4" w14:textId="77777777" w:rsidR="005C1A57" w:rsidRPr="00591C6C" w:rsidRDefault="005C1A57" w:rsidP="00F879FE">
      <w:pPr>
        <w:pStyle w:val="BOAHeading"/>
      </w:pPr>
      <w:r w:rsidRPr="00591C6C">
        <w:lastRenderedPageBreak/>
        <w:t>3. Results and discussion</w:t>
      </w:r>
    </w:p>
    <w:p w14:paraId="1D1EF151" w14:textId="2AFECAB2" w:rsidR="00F879FE" w:rsidRDefault="00AB5172" w:rsidP="00F879FE">
      <w:pPr>
        <w:pStyle w:val="BOAAbstractBody"/>
        <w:rPr>
          <w:rFonts w:eastAsia="MS PGothic"/>
          <w:lang w:val="en-GB"/>
        </w:rPr>
      </w:pPr>
      <w:r w:rsidRPr="00075A06">
        <w:rPr>
          <w:rFonts w:eastAsia="MS PGothic"/>
          <w:lang w:val="en-GB"/>
        </w:rPr>
        <w:t xml:space="preserve">The </w:t>
      </w:r>
      <w:r w:rsidR="00971BC9">
        <w:rPr>
          <w:rFonts w:eastAsia="MS PGothic"/>
          <w:lang w:val="en-GB"/>
        </w:rPr>
        <w:t xml:space="preserve">numerical </w:t>
      </w:r>
      <w:r w:rsidRPr="00075A06">
        <w:rPr>
          <w:rFonts w:eastAsia="MS PGothic"/>
          <w:lang w:val="en-GB"/>
        </w:rPr>
        <w:t>simulation</w:t>
      </w:r>
      <w:r w:rsidR="0020437E">
        <w:rPr>
          <w:rFonts w:eastAsia="MS PGothic"/>
          <w:lang w:val="en-GB"/>
        </w:rPr>
        <w:t>s</w:t>
      </w:r>
      <w:r w:rsidR="00971BC9">
        <w:rPr>
          <w:rFonts w:eastAsia="MS PGothic"/>
          <w:lang w:val="en-GB"/>
        </w:rPr>
        <w:t xml:space="preserve"> of the thermal behaviour of the </w:t>
      </w:r>
      <w:r w:rsidR="00C861D2">
        <w:rPr>
          <w:rFonts w:eastAsia="MS PGothic"/>
          <w:lang w:val="en-GB"/>
        </w:rPr>
        <w:t xml:space="preserve">decomposition reactions within the reactor models representing the industrial scale reactors </w:t>
      </w:r>
      <w:r w:rsidRPr="00075A06">
        <w:rPr>
          <w:rFonts w:eastAsia="MS PGothic"/>
          <w:lang w:val="en-GB"/>
        </w:rPr>
        <w:t xml:space="preserve">were applied to derive the maximum allowed temperature </w:t>
      </w:r>
      <w:proofErr w:type="spellStart"/>
      <w:r w:rsidRPr="00075A06">
        <w:rPr>
          <w:rFonts w:eastAsia="MS PGothic"/>
          <w:lang w:val="en-GB"/>
        </w:rPr>
        <w:t>T</w:t>
      </w:r>
      <w:r w:rsidRPr="00075A06">
        <w:rPr>
          <w:rFonts w:eastAsia="MS PGothic"/>
          <w:vertAlign w:val="subscript"/>
          <w:lang w:val="en-GB"/>
        </w:rPr>
        <w:t>Exo</w:t>
      </w:r>
      <w:proofErr w:type="spellEnd"/>
      <w:r w:rsidRPr="00075A06">
        <w:rPr>
          <w:rFonts w:eastAsia="MS PGothic"/>
          <w:lang w:val="en-GB"/>
        </w:rPr>
        <w:t xml:space="preserve"> with an induction time of at least 24 hours under process relevant conditions.</w:t>
      </w:r>
      <w:r>
        <w:rPr>
          <w:rFonts w:eastAsia="MS PGothic"/>
          <w:lang w:val="en-GB"/>
        </w:rPr>
        <w:t xml:space="preserve"> </w:t>
      </w:r>
      <w:r w:rsidR="00CB5C27" w:rsidRPr="00CB5C27">
        <w:rPr>
          <w:rFonts w:eastAsia="MS PGothic"/>
          <w:lang w:val="en-GB"/>
        </w:rPr>
        <w:t xml:space="preserve">Depending on the product-reactor-combination the </w:t>
      </w:r>
      <w:proofErr w:type="spellStart"/>
      <w:r w:rsidR="00CB5C27" w:rsidRPr="00CB5C27">
        <w:rPr>
          <w:rFonts w:eastAsia="MS PGothic"/>
          <w:lang w:val="en-GB"/>
        </w:rPr>
        <w:t>T</w:t>
      </w:r>
      <w:r w:rsidR="00CB5C27" w:rsidRPr="00CB5C27">
        <w:rPr>
          <w:rFonts w:eastAsia="MS PGothic"/>
          <w:vertAlign w:val="subscript"/>
          <w:lang w:val="en-GB"/>
        </w:rPr>
        <w:t>Exo</w:t>
      </w:r>
      <w:proofErr w:type="spellEnd"/>
      <w:r w:rsidR="00CB5C27" w:rsidRPr="00CB5C27">
        <w:rPr>
          <w:rFonts w:eastAsia="MS PGothic"/>
          <w:lang w:val="en-GB"/>
        </w:rPr>
        <w:t xml:space="preserve"> may be 10 K to 20 K higher when considering ambient cooling than the </w:t>
      </w:r>
      <w:proofErr w:type="spellStart"/>
      <w:r w:rsidR="00CB5C27" w:rsidRPr="00CB5C27">
        <w:rPr>
          <w:rFonts w:eastAsia="MS PGothic"/>
          <w:lang w:val="en-GB"/>
        </w:rPr>
        <w:t>T</w:t>
      </w:r>
      <w:r w:rsidR="00CB5C27" w:rsidRPr="00CB5C27">
        <w:rPr>
          <w:rFonts w:eastAsia="MS PGothic"/>
          <w:vertAlign w:val="subscript"/>
          <w:lang w:val="en-GB"/>
        </w:rPr>
        <w:t>Exo</w:t>
      </w:r>
      <w:proofErr w:type="spellEnd"/>
      <w:r w:rsidR="00CB5C27" w:rsidRPr="00CB5C27">
        <w:rPr>
          <w:rFonts w:eastAsia="MS PGothic"/>
          <w:lang w:val="en-GB"/>
        </w:rPr>
        <w:t xml:space="preserve"> in the ideal adiabatic case. </w:t>
      </w:r>
      <w:r w:rsidR="00943117">
        <w:rPr>
          <w:rFonts w:eastAsia="MS PGothic"/>
          <w:lang w:val="en-GB"/>
        </w:rPr>
        <w:t>Th</w:t>
      </w:r>
      <w:r w:rsidR="00147A06">
        <w:rPr>
          <w:rFonts w:eastAsia="MS PGothic"/>
          <w:lang w:val="en-GB"/>
        </w:rPr>
        <w:t>es</w:t>
      </w:r>
      <w:r w:rsidR="00943117">
        <w:rPr>
          <w:rFonts w:eastAsia="MS PGothic"/>
          <w:lang w:val="en-GB"/>
        </w:rPr>
        <w:t>e benefit</w:t>
      </w:r>
      <w:r w:rsidR="00147A06">
        <w:rPr>
          <w:rFonts w:eastAsia="MS PGothic"/>
          <w:lang w:val="en-GB"/>
        </w:rPr>
        <w:t>s</w:t>
      </w:r>
      <w:r w:rsidR="00223A95">
        <w:rPr>
          <w:rFonts w:eastAsia="MS PGothic"/>
          <w:lang w:val="en-GB"/>
        </w:rPr>
        <w:t xml:space="preserve"> of additional temperature increase </w:t>
      </w:r>
      <w:r w:rsidR="00147A06">
        <w:rPr>
          <w:rFonts w:eastAsia="MS PGothic"/>
          <w:lang w:val="en-GB"/>
        </w:rPr>
        <w:t>are</w:t>
      </w:r>
      <w:r w:rsidR="00991815">
        <w:rPr>
          <w:rFonts w:eastAsia="MS PGothic"/>
          <w:lang w:val="en-GB"/>
        </w:rPr>
        <w:t xml:space="preserve"> strongly dependant on the criticality of the decomposition reaction and the </w:t>
      </w:r>
      <w:r w:rsidR="00ED62EF">
        <w:rPr>
          <w:rFonts w:eastAsia="MS PGothic"/>
          <w:lang w:val="en-GB"/>
        </w:rPr>
        <w:t>specific heat loss of the reactor. If a decomp</w:t>
      </w:r>
      <w:r w:rsidR="008E1436">
        <w:rPr>
          <w:rFonts w:eastAsia="MS PGothic"/>
          <w:lang w:val="en-GB"/>
        </w:rPr>
        <w:t xml:space="preserve">osition reaction generates </w:t>
      </w:r>
      <w:r w:rsidR="00AE33DD">
        <w:rPr>
          <w:rFonts w:eastAsia="MS PGothic"/>
          <w:lang w:val="en-GB"/>
        </w:rPr>
        <w:t xml:space="preserve">heat at a slow rate and the reactor can dissipate heat at a high rate the resulting </w:t>
      </w:r>
      <w:r w:rsidR="00326707">
        <w:rPr>
          <w:rFonts w:eastAsia="MS PGothic"/>
          <w:lang w:val="en-GB"/>
        </w:rPr>
        <w:t xml:space="preserve">temperature benefit will be large. For </w:t>
      </w:r>
      <w:r w:rsidR="00DB773B">
        <w:rPr>
          <w:rFonts w:eastAsia="MS PGothic"/>
          <w:lang w:val="en-GB"/>
        </w:rPr>
        <w:t>fast decomposition reactions in large reactors</w:t>
      </w:r>
      <w:r w:rsidR="007317F0">
        <w:rPr>
          <w:rFonts w:eastAsia="MS PGothic"/>
          <w:lang w:val="en-GB"/>
        </w:rPr>
        <w:t xml:space="preserve"> with low surface area to volume ratios</w:t>
      </w:r>
      <w:r w:rsidR="00DB773B">
        <w:rPr>
          <w:rFonts w:eastAsia="MS PGothic"/>
          <w:lang w:val="en-GB"/>
        </w:rPr>
        <w:t xml:space="preserve"> the</w:t>
      </w:r>
      <w:r w:rsidR="00AF39F6">
        <w:rPr>
          <w:rFonts w:eastAsia="MS PGothic"/>
          <w:lang w:val="en-GB"/>
        </w:rPr>
        <w:t xml:space="preserve"> </w:t>
      </w:r>
      <w:r w:rsidR="00AC0CAD">
        <w:rPr>
          <w:rFonts w:eastAsia="MS PGothic"/>
          <w:lang w:val="en-GB"/>
        </w:rPr>
        <w:t xml:space="preserve">benefit will be small, since the system </w:t>
      </w:r>
      <w:r w:rsidR="00C47414">
        <w:rPr>
          <w:rFonts w:eastAsia="MS PGothic"/>
          <w:lang w:val="en-GB"/>
        </w:rPr>
        <w:t>will behave close to the ideal adiabatic case.</w:t>
      </w:r>
      <w:r w:rsidR="006C3173">
        <w:rPr>
          <w:rFonts w:eastAsia="MS PGothic"/>
          <w:lang w:val="en-GB"/>
        </w:rPr>
        <w:t xml:space="preserve"> </w:t>
      </w:r>
      <w:r w:rsidR="00CB5C27" w:rsidRPr="00CB5C27">
        <w:rPr>
          <w:rFonts w:eastAsia="MS PGothic"/>
          <w:lang w:val="en-GB"/>
        </w:rPr>
        <w:t xml:space="preserve">If additional countermeasures, like independent emergency cooling or drainage/quench systems, are provided, the </w:t>
      </w:r>
      <w:proofErr w:type="spellStart"/>
      <w:r w:rsidR="00CB5C27" w:rsidRPr="00CB5C27">
        <w:rPr>
          <w:rFonts w:eastAsia="MS PGothic"/>
          <w:lang w:val="en-GB"/>
        </w:rPr>
        <w:t>T</w:t>
      </w:r>
      <w:r w:rsidR="00CB5C27" w:rsidRPr="00CB5C27">
        <w:rPr>
          <w:rFonts w:eastAsia="MS PGothic"/>
          <w:vertAlign w:val="subscript"/>
          <w:lang w:val="en-GB"/>
        </w:rPr>
        <w:t>Exo</w:t>
      </w:r>
      <w:proofErr w:type="spellEnd"/>
      <w:r w:rsidR="00CB5C27" w:rsidRPr="00CB5C27">
        <w:rPr>
          <w:rFonts w:eastAsia="MS PGothic"/>
          <w:lang w:val="en-GB"/>
        </w:rPr>
        <w:t xml:space="preserve"> may be increased by approximately 50 K compared to the ideal adiabatic case, see </w:t>
      </w:r>
      <w:r w:rsidR="00CB5C27" w:rsidRPr="00CB5C27">
        <w:rPr>
          <w:rFonts w:eastAsia="MS PGothic"/>
          <w:lang w:val="en-GB"/>
        </w:rPr>
        <w:fldChar w:fldCharType="begin"/>
      </w:r>
      <w:r w:rsidR="00CB5C27" w:rsidRPr="00CB5C27">
        <w:rPr>
          <w:rFonts w:eastAsia="MS PGothic"/>
          <w:lang w:val="en-GB"/>
        </w:rPr>
        <w:instrText xml:space="preserve"> REF _Ref186804582 \h  \* MERGEFORMAT </w:instrText>
      </w:r>
      <w:r w:rsidR="00CB5C27" w:rsidRPr="00CB5C27">
        <w:rPr>
          <w:rFonts w:eastAsia="MS PGothic"/>
          <w:lang w:val="en-GB"/>
        </w:rPr>
      </w:r>
      <w:r w:rsidR="00CB5C27" w:rsidRPr="00CB5C27">
        <w:rPr>
          <w:rFonts w:eastAsia="MS PGothic"/>
          <w:lang w:val="en-GB"/>
        </w:rPr>
        <w:fldChar w:fldCharType="separate"/>
      </w:r>
      <w:r w:rsidR="00CB5C27" w:rsidRPr="00CB5C27">
        <w:rPr>
          <w:rFonts w:eastAsia="MS PGothic"/>
          <w:lang w:val="en-GB"/>
        </w:rPr>
        <w:t>Figure 2</w:t>
      </w:r>
      <w:r w:rsidR="00CB5C27" w:rsidRPr="00CB5C27">
        <w:rPr>
          <w:rFonts w:eastAsia="MS PGothic"/>
        </w:rPr>
        <w:fldChar w:fldCharType="end"/>
      </w:r>
      <w:r w:rsidR="00CB5C27" w:rsidRPr="00CB5C27">
        <w:rPr>
          <w:rFonts w:eastAsia="MS PGothic"/>
          <w:lang w:val="en-GB"/>
        </w:rPr>
        <w:t>.</w:t>
      </w:r>
    </w:p>
    <w:p w14:paraId="39C831BB" w14:textId="77777777" w:rsidR="00CE2196" w:rsidRPr="00591C6C" w:rsidRDefault="00CE2196" w:rsidP="00F879FE">
      <w:pPr>
        <w:pStyle w:val="BOAAbstractBody"/>
        <w:rPr>
          <w:rFonts w:eastAsia="MS PGothic"/>
        </w:rPr>
      </w:pPr>
    </w:p>
    <w:p w14:paraId="286B423D" w14:textId="4A970464" w:rsidR="005C1A57" w:rsidRPr="00591C6C" w:rsidRDefault="00FF2A91" w:rsidP="00591C6C">
      <w:pPr>
        <w:pStyle w:val="BOAemail"/>
        <w:rPr>
          <w:rFonts w:eastAsia="MS PGothic"/>
          <w:color w:val="000000"/>
        </w:rPr>
      </w:pPr>
      <w:r w:rsidRPr="0061697B">
        <w:rPr>
          <w:rFonts w:ascii="Times New Roman" w:hAnsi="Times New Roman"/>
          <w:noProof/>
        </w:rPr>
        <w:drawing>
          <wp:inline distT="0" distB="0" distL="0" distR="0" wp14:anchorId="1E9045F9" wp14:editId="1FD92C8A">
            <wp:extent cx="3336603" cy="2736000"/>
            <wp:effectExtent l="0" t="0" r="0" b="7620"/>
            <wp:docPr id="807622740" name="Grafik 1" descr="Ein Bild, das Text, Diagramm,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22740" name="Grafik 1" descr="Ein Bild, das Text, Diagramm, Reihe, Screenshot enthält.&#10;&#10;Automatisch generierte Beschreibung"/>
                    <pic:cNvPicPr/>
                  </pic:nvPicPr>
                  <pic:blipFill>
                    <a:blip r:embed="rId9"/>
                    <a:stretch>
                      <a:fillRect/>
                    </a:stretch>
                  </pic:blipFill>
                  <pic:spPr>
                    <a:xfrm>
                      <a:off x="0" y="0"/>
                      <a:ext cx="3336603" cy="2736000"/>
                    </a:xfrm>
                    <a:prstGeom prst="rect">
                      <a:avLst/>
                    </a:prstGeom>
                  </pic:spPr>
                </pic:pic>
              </a:graphicData>
            </a:graphic>
          </wp:inline>
        </w:drawing>
      </w:r>
    </w:p>
    <w:p w14:paraId="35D8EE69" w14:textId="73BE18F0" w:rsidR="005C1A57" w:rsidRPr="00F879FE" w:rsidRDefault="005C1A57" w:rsidP="00F879FE">
      <w:pPr>
        <w:pStyle w:val="BOACaption"/>
      </w:pPr>
      <w:r w:rsidRPr="00F879FE">
        <w:t xml:space="preserve">Figure </w:t>
      </w:r>
      <w:r w:rsidR="006B56AC">
        <w:t>2:</w:t>
      </w:r>
      <w:r w:rsidRPr="00F879FE">
        <w:t xml:space="preserve">  </w:t>
      </w:r>
      <w:r w:rsidR="00530354" w:rsidRPr="00530354">
        <w:rPr>
          <w:lang w:val="en-US"/>
        </w:rPr>
        <w:t xml:space="preserve">Simulation of the temperature-time curves of the decomposition reaction of a polyether polyol for 3 cases: ideal adiabatic, </w:t>
      </w:r>
      <w:r w:rsidR="00856014" w:rsidRPr="00530354">
        <w:rPr>
          <w:lang w:val="en-US"/>
        </w:rPr>
        <w:t>residual cooling</w:t>
      </w:r>
      <w:r w:rsidR="00856014">
        <w:rPr>
          <w:lang w:val="en-US"/>
        </w:rPr>
        <w:t xml:space="preserve"> and </w:t>
      </w:r>
      <w:r w:rsidR="00530354" w:rsidRPr="00530354">
        <w:rPr>
          <w:lang w:val="en-US"/>
        </w:rPr>
        <w:t xml:space="preserve">active emergency cooling </w:t>
      </w:r>
      <w:r w:rsidR="00AA289A">
        <w:rPr>
          <w:lang w:val="en-US"/>
        </w:rPr>
        <w:t xml:space="preserve">(starting at 180 °C, </w:t>
      </w:r>
      <w:r w:rsidR="00856014">
        <w:rPr>
          <w:lang w:val="en-US"/>
        </w:rPr>
        <w:t xml:space="preserve">190 °C and </w:t>
      </w:r>
      <w:r w:rsidR="00F07DEC">
        <w:rPr>
          <w:lang w:val="en-US"/>
        </w:rPr>
        <w:t>245 °C respectively</w:t>
      </w:r>
      <w:r w:rsidR="00530354" w:rsidRPr="00530354">
        <w:rPr>
          <w:lang w:val="en-US"/>
        </w:rPr>
        <w:t xml:space="preserve"> (</w:t>
      </w:r>
      <w:r w:rsidR="003F78FB">
        <w:rPr>
          <w:lang w:val="en-US"/>
        </w:rPr>
        <w:t xml:space="preserve">reactor model: </w:t>
      </w:r>
      <w:r w:rsidR="00530354" w:rsidRPr="00530354">
        <w:rPr>
          <w:lang w:val="en-US"/>
        </w:rPr>
        <w:t xml:space="preserve">35 m³ reactor with insulation). The initial temperature of each curve corresponds to the maximum allowed temperature </w:t>
      </w:r>
      <w:proofErr w:type="spellStart"/>
      <w:r w:rsidR="00530354" w:rsidRPr="00530354">
        <w:rPr>
          <w:lang w:val="en-US"/>
        </w:rPr>
        <w:t>T</w:t>
      </w:r>
      <w:r w:rsidR="00530354" w:rsidRPr="00530354">
        <w:rPr>
          <w:vertAlign w:val="subscript"/>
          <w:lang w:val="en-US"/>
        </w:rPr>
        <w:t>Exo</w:t>
      </w:r>
      <w:proofErr w:type="spellEnd"/>
      <w:r w:rsidRPr="00F879FE">
        <w:t>.</w:t>
      </w:r>
    </w:p>
    <w:p w14:paraId="311252DF" w14:textId="77777777" w:rsidR="005C1A57" w:rsidRPr="00591C6C" w:rsidRDefault="005C1A57" w:rsidP="00F879FE">
      <w:pPr>
        <w:pStyle w:val="BOAHeading"/>
        <w:rPr>
          <w:lang w:eastAsia="ko-KR"/>
        </w:rPr>
      </w:pPr>
      <w:r w:rsidRPr="00591C6C">
        <w:t>4. Conclusion</w:t>
      </w:r>
      <w:r w:rsidRPr="00591C6C">
        <w:rPr>
          <w:lang w:eastAsia="ko-KR"/>
        </w:rPr>
        <w:t>s</w:t>
      </w:r>
    </w:p>
    <w:p w14:paraId="2701F9A6" w14:textId="6C898E42" w:rsidR="005C1A57" w:rsidRDefault="006C3173" w:rsidP="00F879FE">
      <w:pPr>
        <w:pStyle w:val="BOAAbstractBody"/>
        <w:rPr>
          <w:rFonts w:eastAsia="MS PGothic"/>
        </w:rPr>
      </w:pPr>
      <w:r>
        <w:rPr>
          <w:rFonts w:eastAsia="MS PGothic"/>
        </w:rPr>
        <w:t>The findings of these studies</w:t>
      </w:r>
      <w:r w:rsidR="00E21784">
        <w:rPr>
          <w:rFonts w:eastAsia="MS PGothic"/>
        </w:rPr>
        <w:t xml:space="preserve"> show that it can be highly beneficial to consider </w:t>
      </w:r>
      <w:r w:rsidR="00631A98">
        <w:rPr>
          <w:rFonts w:eastAsia="MS PGothic"/>
        </w:rPr>
        <w:t>the process under process relevant co</w:t>
      </w:r>
      <w:r w:rsidR="00E1364D">
        <w:rPr>
          <w:rFonts w:eastAsia="MS PGothic"/>
        </w:rPr>
        <w:t xml:space="preserve">nditions when setting up the safeguarding concept. </w:t>
      </w:r>
      <w:r w:rsidR="00403CA5">
        <w:rPr>
          <w:rFonts w:eastAsia="MS PGothic"/>
        </w:rPr>
        <w:t xml:space="preserve">The additional </w:t>
      </w:r>
      <w:r w:rsidR="00B43A18">
        <w:rPr>
          <w:rFonts w:eastAsia="MS PGothic"/>
        </w:rPr>
        <w:t xml:space="preserve">temperature </w:t>
      </w:r>
      <w:r w:rsidR="00426AE1">
        <w:rPr>
          <w:rFonts w:eastAsia="MS PGothic"/>
        </w:rPr>
        <w:t>increases</w:t>
      </w:r>
      <w:r w:rsidR="00B43A18">
        <w:rPr>
          <w:rFonts w:eastAsia="MS PGothic"/>
        </w:rPr>
        <w:t xml:space="preserve"> of 10 K to 20 K by considering the residual cooling an</w:t>
      </w:r>
      <w:r w:rsidR="00426AE1">
        <w:rPr>
          <w:rFonts w:eastAsia="MS PGothic"/>
        </w:rPr>
        <w:t>d</w:t>
      </w:r>
      <w:r w:rsidR="00B43A18">
        <w:rPr>
          <w:rFonts w:eastAsia="MS PGothic"/>
        </w:rPr>
        <w:t xml:space="preserve"> the</w:t>
      </w:r>
      <w:r w:rsidR="0015395A">
        <w:rPr>
          <w:rFonts w:eastAsia="MS PGothic"/>
        </w:rPr>
        <w:t xml:space="preserve"> up to</w:t>
      </w:r>
      <w:r w:rsidR="00B43A18">
        <w:rPr>
          <w:rFonts w:eastAsia="MS PGothic"/>
        </w:rPr>
        <w:t xml:space="preserve"> 50 K temperature increase when</w:t>
      </w:r>
      <w:r w:rsidR="0015395A">
        <w:rPr>
          <w:rFonts w:eastAsia="MS PGothic"/>
        </w:rPr>
        <w:t xml:space="preserve"> active emergency cooling is available can be directly transferred to additional </w:t>
      </w:r>
      <w:r w:rsidR="00574060">
        <w:rPr>
          <w:rFonts w:eastAsia="MS PGothic"/>
        </w:rPr>
        <w:t>plant capacity</w:t>
      </w:r>
      <w:r w:rsidR="009C3EA4">
        <w:rPr>
          <w:rFonts w:eastAsia="MS PGothic"/>
        </w:rPr>
        <w:t xml:space="preserve"> while keeping the same </w:t>
      </w:r>
      <w:r w:rsidR="00392DC1">
        <w:rPr>
          <w:rFonts w:eastAsia="MS PGothic"/>
        </w:rPr>
        <w:t xml:space="preserve">safety level as in the conservative </w:t>
      </w:r>
      <w:r w:rsidR="00BD0539">
        <w:rPr>
          <w:rFonts w:eastAsia="MS PGothic"/>
        </w:rPr>
        <w:t>worst-case</w:t>
      </w:r>
      <w:r w:rsidR="00392DC1">
        <w:rPr>
          <w:rFonts w:eastAsia="MS PGothic"/>
        </w:rPr>
        <w:t xml:space="preserve"> scenario.</w:t>
      </w:r>
      <w:r w:rsidR="00BD0539">
        <w:rPr>
          <w:rFonts w:eastAsia="MS PGothic"/>
        </w:rPr>
        <w:t xml:space="preserve"> This highlights that safety engineering</w:t>
      </w:r>
      <w:r w:rsidR="00AC0AF2">
        <w:rPr>
          <w:rFonts w:eastAsia="MS PGothic"/>
        </w:rPr>
        <w:t xml:space="preserve"> and economical production can go hand in hand when </w:t>
      </w:r>
      <w:r w:rsidR="00741A89">
        <w:rPr>
          <w:rFonts w:eastAsia="MS PGothic"/>
        </w:rPr>
        <w:t>the safety assessment is done</w:t>
      </w:r>
      <w:r w:rsidR="00B5101B">
        <w:rPr>
          <w:rFonts w:eastAsia="MS PGothic"/>
        </w:rPr>
        <w:t xml:space="preserve"> in a</w:t>
      </w:r>
      <w:r w:rsidR="00D61580">
        <w:rPr>
          <w:rFonts w:eastAsia="MS PGothic"/>
        </w:rPr>
        <w:t xml:space="preserve"> smart</w:t>
      </w:r>
      <w:r w:rsidR="00B5101B">
        <w:rPr>
          <w:rFonts w:eastAsia="MS PGothic"/>
        </w:rPr>
        <w:t xml:space="preserve"> way</w:t>
      </w:r>
      <w:r w:rsidR="00741A89">
        <w:rPr>
          <w:rFonts w:eastAsia="MS PGothic"/>
        </w:rPr>
        <w:t xml:space="preserve"> </w:t>
      </w:r>
      <w:r w:rsidR="00B76AF2">
        <w:rPr>
          <w:rFonts w:eastAsia="MS PGothic"/>
        </w:rPr>
        <w:t>with advanced analytical methods based on high quality and robust caloric data.</w:t>
      </w:r>
    </w:p>
    <w:p w14:paraId="075F1589" w14:textId="77777777" w:rsidR="00243A54" w:rsidRDefault="00243A54" w:rsidP="00F879FE">
      <w:pPr>
        <w:pStyle w:val="BOAAbstractBody"/>
        <w:rPr>
          <w:rFonts w:eastAsia="MS PGothic"/>
        </w:rPr>
      </w:pPr>
    </w:p>
    <w:p w14:paraId="0A80C0AB" w14:textId="77777777" w:rsidR="00243A54" w:rsidRDefault="00243A54" w:rsidP="00F879FE">
      <w:pPr>
        <w:pStyle w:val="BOAAbstractBody"/>
        <w:rPr>
          <w:rFonts w:eastAsia="MS PGothic"/>
        </w:rPr>
      </w:pPr>
    </w:p>
    <w:p w14:paraId="3560E472" w14:textId="77777777" w:rsidR="00243A54" w:rsidRDefault="00243A54" w:rsidP="00F879FE">
      <w:pPr>
        <w:pStyle w:val="BOAAbstractBody"/>
        <w:rPr>
          <w:rFonts w:eastAsia="MS PGothic"/>
        </w:rPr>
      </w:pPr>
    </w:p>
    <w:p w14:paraId="70E0886D" w14:textId="77777777" w:rsidR="00243A54" w:rsidRDefault="00243A54" w:rsidP="00F879FE">
      <w:pPr>
        <w:pStyle w:val="BOAAbstractBody"/>
        <w:rPr>
          <w:rFonts w:eastAsia="MS PGothic"/>
        </w:rPr>
      </w:pPr>
    </w:p>
    <w:p w14:paraId="173A6C16" w14:textId="77777777" w:rsidR="00204277" w:rsidRDefault="00204277" w:rsidP="00F879FE">
      <w:pPr>
        <w:pStyle w:val="BOAAbstractBody"/>
        <w:rPr>
          <w:lang w:val="en-GB"/>
        </w:rPr>
      </w:pPr>
    </w:p>
    <w:p w14:paraId="714DF323" w14:textId="77777777" w:rsidR="00E1280C" w:rsidRPr="00B57B36" w:rsidRDefault="00E1280C" w:rsidP="00E1280C">
      <w:pPr>
        <w:pStyle w:val="BOAReference"/>
      </w:pPr>
      <w:r w:rsidRPr="00B57B36">
        <w:t>Acknowledgments</w:t>
      </w:r>
    </w:p>
    <w:p w14:paraId="56757A27" w14:textId="6460635A" w:rsidR="00E1280C" w:rsidRPr="00B57B36" w:rsidRDefault="006E3973" w:rsidP="00840476">
      <w:pPr>
        <w:pStyle w:val="BOAReference-text"/>
      </w:pPr>
      <w:r>
        <w:t xml:space="preserve">The authors </w:t>
      </w:r>
      <w:r w:rsidR="00BC5392">
        <w:t>thank the lab technician</w:t>
      </w:r>
      <w:r w:rsidR="00891B1B">
        <w:t>s</w:t>
      </w:r>
      <w:r w:rsidR="00BC5392">
        <w:t xml:space="preserve"> </w:t>
      </w:r>
      <w:r w:rsidR="00910C53">
        <w:t>who suppor</w:t>
      </w:r>
      <w:r w:rsidR="00891B1B">
        <w:t>ted</w:t>
      </w:r>
      <w:r w:rsidR="00910C53">
        <w:t xml:space="preserve"> with the</w:t>
      </w:r>
      <w:r w:rsidR="00891B1B">
        <w:t xml:space="preserve"> </w:t>
      </w:r>
      <w:r w:rsidR="005E3C2C">
        <w:t xml:space="preserve">ISO17025 accredited </w:t>
      </w:r>
      <w:r w:rsidR="00891B1B">
        <w:t>caloric</w:t>
      </w:r>
      <w:r w:rsidR="00910C53">
        <w:t xml:space="preserve"> measurements of the </w:t>
      </w:r>
      <w:r w:rsidR="00840476">
        <w:t xml:space="preserve">samples which were the basis for </w:t>
      </w:r>
      <w:r w:rsidR="005E3C2C">
        <w:t xml:space="preserve">the </w:t>
      </w:r>
      <w:r w:rsidR="00202348">
        <w:t>setup</w:t>
      </w:r>
      <w:r w:rsidR="005E3C2C">
        <w:t xml:space="preserve"> of valid and robust kinetic</w:t>
      </w:r>
      <w:r w:rsidR="00840476">
        <w:t xml:space="preserve"> </w:t>
      </w:r>
      <w:r w:rsidR="00202348">
        <w:t>models</w:t>
      </w:r>
      <w:r w:rsidR="002B431C">
        <w:t xml:space="preserve"> and the plant personnel who </w:t>
      </w:r>
      <w:r w:rsidR="003222EE">
        <w:t xml:space="preserve">conducted the cooling down experiments at the </w:t>
      </w:r>
      <w:r w:rsidR="00AD2A35">
        <w:t>reactors</w:t>
      </w:r>
      <w:r w:rsidR="003222EE">
        <w:t>.</w:t>
      </w:r>
      <w:r w:rsidR="00D76007">
        <w:t xml:space="preserve"> </w:t>
      </w:r>
      <w:r w:rsidR="00761571">
        <w:t>We also thank Arcady Kossoy for the</w:t>
      </w:r>
      <w:r w:rsidR="004E6401">
        <w:t xml:space="preserve"> valuable</w:t>
      </w:r>
      <w:r w:rsidR="00761571">
        <w:t xml:space="preserve"> support</w:t>
      </w:r>
      <w:r w:rsidR="00D9447F">
        <w:t xml:space="preserve"> regarding the ARKS-TSS</w:t>
      </w:r>
      <w:r w:rsidR="00323B01">
        <w:t xml:space="preserve"> software code.</w:t>
      </w:r>
    </w:p>
    <w:p w14:paraId="11D31778" w14:textId="77777777" w:rsidR="005C1A57" w:rsidRPr="00C40C1F" w:rsidRDefault="005C1A57" w:rsidP="00302C82">
      <w:pPr>
        <w:pStyle w:val="BOAReference"/>
        <w:rPr>
          <w:rFonts w:eastAsia="SimSun"/>
          <w:lang w:val="en-US" w:eastAsia="zh-CN"/>
        </w:rPr>
      </w:pPr>
      <w:r w:rsidRPr="00C40C1F">
        <w:rPr>
          <w:rFonts w:eastAsia="MS PGothic"/>
          <w:lang w:val="en-US"/>
        </w:rPr>
        <w:t xml:space="preserve">References </w:t>
      </w:r>
    </w:p>
    <w:p w14:paraId="35786AA9" w14:textId="3B560598" w:rsidR="00D57830" w:rsidRPr="00D57830" w:rsidRDefault="00D57830" w:rsidP="00840476">
      <w:pPr>
        <w:pStyle w:val="BOAReference-text"/>
        <w:numPr>
          <w:ilvl w:val="0"/>
          <w:numId w:val="23"/>
        </w:numPr>
        <w:rPr>
          <w:lang w:val="en-US"/>
        </w:rPr>
      </w:pPr>
      <w:r w:rsidRPr="00D57830">
        <w:rPr>
          <w:lang w:val="en-US"/>
        </w:rPr>
        <w:t xml:space="preserve">Gygax R., </w:t>
      </w:r>
      <w:r w:rsidR="00A17AD5" w:rsidRPr="00D57830">
        <w:rPr>
          <w:lang w:val="en-US"/>
        </w:rPr>
        <w:t>1988</w:t>
      </w:r>
      <w:r w:rsidR="00A17AD5" w:rsidRPr="00CB6612">
        <w:rPr>
          <w:lang w:val="en-US"/>
        </w:rPr>
        <w:t xml:space="preserve">. </w:t>
      </w:r>
      <w:r w:rsidRPr="00D57830">
        <w:rPr>
          <w:lang w:val="en-US"/>
        </w:rPr>
        <w:t>Chemical reaction engineering for safety. Chemical Engineering Science. 43(8), 1759-1771.</w:t>
      </w:r>
      <w:r w:rsidR="00CB6612">
        <w:rPr>
          <w:lang w:val="en-US"/>
        </w:rPr>
        <w:t xml:space="preserve"> </w:t>
      </w:r>
      <w:r w:rsidR="00CB6612" w:rsidRPr="00CB6612">
        <w:rPr>
          <w:lang w:val="en-US"/>
        </w:rPr>
        <w:t>https://doi.org/10.1016/0009-2509(88)87040-4</w:t>
      </w:r>
    </w:p>
    <w:p w14:paraId="67A09DEC" w14:textId="75F6E2DB" w:rsidR="00D57830" w:rsidRPr="00D57830" w:rsidRDefault="00D57830" w:rsidP="00840476">
      <w:pPr>
        <w:pStyle w:val="BOAReference-text"/>
        <w:numPr>
          <w:ilvl w:val="0"/>
          <w:numId w:val="23"/>
        </w:numPr>
        <w:rPr>
          <w:lang w:val="de-DE"/>
        </w:rPr>
      </w:pPr>
      <w:r w:rsidRPr="00D57830">
        <w:rPr>
          <w:lang w:val="de-DE"/>
        </w:rPr>
        <w:t>Bundesministerium für Umwelt, Naturschutz und Reaktorsicherheit,</w:t>
      </w:r>
      <w:r w:rsidR="00CB6612">
        <w:rPr>
          <w:lang w:val="de-DE"/>
        </w:rPr>
        <w:t xml:space="preserve"> 2021.</w:t>
      </w:r>
      <w:r w:rsidRPr="00D57830">
        <w:rPr>
          <w:lang w:val="de-DE"/>
        </w:rPr>
        <w:t xml:space="preserve"> Technische Regel für Anlagensicherheit (TRAS) 410. </w:t>
      </w:r>
      <w:r w:rsidR="00B41D31" w:rsidRPr="00D57830">
        <w:rPr>
          <w:lang w:val="de-DE"/>
        </w:rPr>
        <w:t>Kommission</w:t>
      </w:r>
      <w:r w:rsidRPr="00D57830">
        <w:rPr>
          <w:lang w:val="de-DE"/>
        </w:rPr>
        <w:t xml:space="preserve"> für Anlagensicherheit, Bundesanzeiger.</w:t>
      </w:r>
    </w:p>
    <w:p w14:paraId="17D76059" w14:textId="669D3C7B" w:rsidR="00D57830" w:rsidRPr="00D57830" w:rsidRDefault="00D57830" w:rsidP="00840476">
      <w:pPr>
        <w:pStyle w:val="BOAReference-text"/>
        <w:numPr>
          <w:ilvl w:val="0"/>
          <w:numId w:val="23"/>
        </w:numPr>
        <w:rPr>
          <w:lang w:val="de-DE"/>
        </w:rPr>
      </w:pPr>
      <w:r w:rsidRPr="00D57830">
        <w:rPr>
          <w:lang w:val="de-DE"/>
        </w:rPr>
        <w:t>BG RCI,</w:t>
      </w:r>
      <w:r w:rsidR="00BD494D">
        <w:rPr>
          <w:lang w:val="de-DE"/>
        </w:rPr>
        <w:t xml:space="preserve"> 2022.</w:t>
      </w:r>
      <w:r w:rsidRPr="00D57830">
        <w:rPr>
          <w:lang w:val="de-DE"/>
        </w:rPr>
        <w:t xml:space="preserve"> R 009 - Reaktionen mit Ethylenoxid und andere Alkoxylierungen.</w:t>
      </w:r>
      <w:r w:rsidR="00520F97">
        <w:rPr>
          <w:lang w:val="de-DE"/>
        </w:rPr>
        <w:t xml:space="preserve"> Merk</w:t>
      </w:r>
      <w:r w:rsidR="00004D4B">
        <w:rPr>
          <w:lang w:val="de-DE"/>
        </w:rPr>
        <w:t>blätter der R-Reihe Anlagensicherheit.</w:t>
      </w:r>
    </w:p>
    <w:p w14:paraId="69BA9D93" w14:textId="6067A218" w:rsidR="00763697" w:rsidRPr="00763697" w:rsidRDefault="00D57830" w:rsidP="00840476">
      <w:pPr>
        <w:pStyle w:val="BOAReference-text"/>
        <w:numPr>
          <w:ilvl w:val="0"/>
          <w:numId w:val="23"/>
        </w:numPr>
        <w:rPr>
          <w:lang w:val="en-US"/>
        </w:rPr>
      </w:pPr>
      <w:r w:rsidRPr="00D57830">
        <w:rPr>
          <w:lang w:val="de-DE"/>
        </w:rPr>
        <w:t>Loetgering-Lin O., Salg S., Koenig C., Buchholz H., Goedde M., Odenwald O., Sager W., Brodhagen A., Heitz T., Ries R., 2023</w:t>
      </w:r>
      <w:r w:rsidR="00004D4B" w:rsidRPr="00763697">
        <w:rPr>
          <w:lang w:val="de-DE"/>
        </w:rPr>
        <w:t>.</w:t>
      </w:r>
      <w:r w:rsidRPr="00D57830">
        <w:rPr>
          <w:lang w:val="de-DE"/>
        </w:rPr>
        <w:t xml:space="preserve"> </w:t>
      </w:r>
      <w:r w:rsidRPr="00D57830">
        <w:rPr>
          <w:i/>
          <w:iCs/>
          <w:lang w:val="en-US"/>
        </w:rPr>
        <w:t>Knowing and Controlling the Risks of Semi-batch Alkoxylation Reactions</w:t>
      </w:r>
      <w:r w:rsidRPr="00D57830">
        <w:rPr>
          <w:lang w:val="en-US"/>
        </w:rPr>
        <w:t xml:space="preserve">, Chemical Engineering Transactions, 98, 51-56. </w:t>
      </w:r>
      <w:r w:rsidR="00763697" w:rsidRPr="00763697">
        <w:rPr>
          <w:lang w:val="en-US"/>
        </w:rPr>
        <w:t>https://doi.org/10.3303/CET2398009</w:t>
      </w:r>
      <w:r w:rsidR="00763697">
        <w:rPr>
          <w:lang w:val="en-US"/>
        </w:rPr>
        <w:t>.</w:t>
      </w:r>
    </w:p>
    <w:p w14:paraId="29CF28EF" w14:textId="49F6F56E" w:rsidR="00D57830" w:rsidRDefault="00E347B5" w:rsidP="00840476">
      <w:pPr>
        <w:pStyle w:val="BOAReference-text"/>
        <w:numPr>
          <w:ilvl w:val="0"/>
          <w:numId w:val="23"/>
        </w:numPr>
        <w:rPr>
          <w:lang w:val="de-DE"/>
        </w:rPr>
      </w:pPr>
      <w:r>
        <w:rPr>
          <w:lang w:val="de-DE"/>
        </w:rPr>
        <w:t>Reiser M., Salg S.</w:t>
      </w:r>
      <w:r w:rsidR="002E5B8A">
        <w:rPr>
          <w:lang w:val="de-DE"/>
        </w:rPr>
        <w:t xml:space="preserve">, </w:t>
      </w:r>
      <w:r w:rsidR="00D57830" w:rsidRPr="00D57830">
        <w:rPr>
          <w:lang w:val="de-DE"/>
        </w:rPr>
        <w:t>L</w:t>
      </w:r>
      <w:r w:rsidR="002E5B8A">
        <w:rPr>
          <w:lang w:val="de-DE"/>
        </w:rPr>
        <w:t>oe</w:t>
      </w:r>
      <w:r w:rsidR="00D57830" w:rsidRPr="00D57830">
        <w:rPr>
          <w:lang w:val="de-DE"/>
        </w:rPr>
        <w:t>tgering-Lin</w:t>
      </w:r>
      <w:r w:rsidR="005B00E1">
        <w:rPr>
          <w:lang w:val="de-DE"/>
        </w:rPr>
        <w:t xml:space="preserve"> O.</w:t>
      </w:r>
      <w:r w:rsidR="00D57830" w:rsidRPr="00D57830">
        <w:rPr>
          <w:lang w:val="de-DE"/>
        </w:rPr>
        <w:t xml:space="preserve">, </w:t>
      </w:r>
      <w:r w:rsidR="002E5B8A">
        <w:rPr>
          <w:lang w:val="de-DE"/>
        </w:rPr>
        <w:t>Buchholz H., Hohendorf</w:t>
      </w:r>
      <w:r w:rsidR="008C6FDE">
        <w:rPr>
          <w:lang w:val="de-DE"/>
        </w:rPr>
        <w:t xml:space="preserve"> S. Fischer J., Fath W., Odenwald O., G</w:t>
      </w:r>
      <w:r w:rsidR="008F2662">
        <w:rPr>
          <w:lang w:val="de-DE"/>
        </w:rPr>
        <w:t>oedde M.</w:t>
      </w:r>
      <w:r w:rsidR="00B774D3">
        <w:rPr>
          <w:lang w:val="de-DE"/>
        </w:rPr>
        <w:t>, 2019.</w:t>
      </w:r>
      <w:r w:rsidR="00D57830" w:rsidRPr="00D57830">
        <w:rPr>
          <w:lang w:val="de-DE"/>
        </w:rPr>
        <w:t xml:space="preserve"> Modellbasierte Absicherungskonzepte für Semi-Batch-Alkoxylierungen. 14. Fachtagung Anlagen-, Arbeits- und Umweltsicherheit.</w:t>
      </w:r>
      <w:r w:rsidR="0018090E">
        <w:rPr>
          <w:lang w:val="de-DE"/>
        </w:rPr>
        <w:t xml:space="preserve"> Köthen: </w:t>
      </w:r>
      <w:proofErr w:type="spellStart"/>
      <w:r w:rsidR="0018090E">
        <w:rPr>
          <w:lang w:val="de-DE"/>
        </w:rPr>
        <w:t>Dechema</w:t>
      </w:r>
      <w:proofErr w:type="spellEnd"/>
    </w:p>
    <w:p w14:paraId="45D1D444" w14:textId="47E6FC86" w:rsidR="00B41D31" w:rsidRDefault="00295C2A" w:rsidP="00840476">
      <w:pPr>
        <w:pStyle w:val="BOAReference-text"/>
        <w:numPr>
          <w:ilvl w:val="0"/>
          <w:numId w:val="23"/>
        </w:numPr>
        <w:rPr>
          <w:lang w:val="de-DE"/>
        </w:rPr>
      </w:pPr>
      <w:r w:rsidRPr="00D57830">
        <w:rPr>
          <w:lang w:val="de-DE"/>
        </w:rPr>
        <w:t>L</w:t>
      </w:r>
      <w:r>
        <w:rPr>
          <w:lang w:val="de-DE"/>
        </w:rPr>
        <w:t>oe</w:t>
      </w:r>
      <w:r w:rsidRPr="00D57830">
        <w:rPr>
          <w:lang w:val="de-DE"/>
        </w:rPr>
        <w:t>tgering-Lin</w:t>
      </w:r>
      <w:r>
        <w:rPr>
          <w:lang w:val="de-DE"/>
        </w:rPr>
        <w:t xml:space="preserve"> O.</w:t>
      </w:r>
      <w:r w:rsidRPr="00D57830">
        <w:rPr>
          <w:lang w:val="de-DE"/>
        </w:rPr>
        <w:t>,</w:t>
      </w:r>
      <w:r>
        <w:rPr>
          <w:lang w:val="de-DE"/>
        </w:rPr>
        <w:t xml:space="preserve"> Salg S., Buchholz H., Odenwald O., Goedde M., 20</w:t>
      </w:r>
      <w:r w:rsidR="0061570E">
        <w:rPr>
          <w:lang w:val="de-DE"/>
        </w:rPr>
        <w:t>20</w:t>
      </w:r>
      <w:r>
        <w:rPr>
          <w:lang w:val="de-DE"/>
        </w:rPr>
        <w:t>.</w:t>
      </w:r>
      <w:r w:rsidRPr="00D57830">
        <w:rPr>
          <w:lang w:val="de-DE"/>
        </w:rPr>
        <w:t xml:space="preserve"> Modellbasierte Absicherungskonzepte für Semi-Batch-Alkoxylierungen</w:t>
      </w:r>
      <w:r w:rsidR="0061570E">
        <w:rPr>
          <w:lang w:val="de-DE"/>
        </w:rPr>
        <w:t>.</w:t>
      </w:r>
      <w:r w:rsidRPr="00B41D31">
        <w:rPr>
          <w:lang w:val="de-DE"/>
        </w:rPr>
        <w:t xml:space="preserve"> </w:t>
      </w:r>
      <w:r w:rsidR="0061570E">
        <w:rPr>
          <w:lang w:val="de-DE"/>
        </w:rPr>
        <w:t xml:space="preserve">Chemie </w:t>
      </w:r>
      <w:r w:rsidR="00BC4B68">
        <w:rPr>
          <w:lang w:val="de-DE"/>
        </w:rPr>
        <w:t xml:space="preserve">Ingenieur Technik. </w:t>
      </w:r>
      <w:r w:rsidR="0004070D" w:rsidRPr="0004070D">
        <w:rPr>
          <w:lang w:val="de-DE"/>
        </w:rPr>
        <w:t>https://doi.org/10.1002/cite.202055061</w:t>
      </w:r>
      <w:r w:rsidR="00BC4B68">
        <w:rPr>
          <w:lang w:val="de-DE"/>
        </w:rPr>
        <w:t>.</w:t>
      </w:r>
    </w:p>
    <w:p w14:paraId="788131FE" w14:textId="1C3B2355" w:rsidR="0004070D" w:rsidRPr="00510743" w:rsidRDefault="00E3789D" w:rsidP="00840476">
      <w:pPr>
        <w:pStyle w:val="BOAReference-text"/>
        <w:numPr>
          <w:ilvl w:val="0"/>
          <w:numId w:val="23"/>
        </w:numPr>
        <w:rPr>
          <w:lang w:val="en-US"/>
        </w:rPr>
      </w:pPr>
      <w:r>
        <w:rPr>
          <w:lang w:val="de-DE"/>
        </w:rPr>
        <w:t xml:space="preserve">Duerrstein S. H., Kappler C., Neuhaus I., </w:t>
      </w:r>
      <w:proofErr w:type="spellStart"/>
      <w:r>
        <w:rPr>
          <w:lang w:val="de-DE"/>
        </w:rPr>
        <w:t>Malow</w:t>
      </w:r>
      <w:proofErr w:type="spellEnd"/>
      <w:r w:rsidR="00A354AD">
        <w:rPr>
          <w:lang w:val="de-DE"/>
        </w:rPr>
        <w:t xml:space="preserve"> M., Michael-Schulz H., Goedde M., 2016. </w:t>
      </w:r>
      <w:r w:rsidR="00510743" w:rsidRPr="00510743">
        <w:t xml:space="preserve">Model-Based Prediction of the Adiabatic Induction Period and SADT of </w:t>
      </w:r>
      <w:proofErr w:type="spellStart"/>
      <w:r w:rsidR="00510743" w:rsidRPr="00510743">
        <w:t>Dicumyl</w:t>
      </w:r>
      <w:proofErr w:type="spellEnd"/>
      <w:r w:rsidR="00510743" w:rsidRPr="00510743">
        <w:t xml:space="preserve"> Peroxide Solution and Comparison to Large-Scale Experiments Performed Using 216.5-Liter Steel Drums in the UN-Test H.1</w:t>
      </w:r>
      <w:r w:rsidR="00510743">
        <w:t xml:space="preserve">. Chemical Engineering </w:t>
      </w:r>
      <w:r w:rsidR="00FF5B98">
        <w:t>Transactions</w:t>
      </w:r>
      <w:r w:rsidR="00355EB5">
        <w:t>,</w:t>
      </w:r>
      <w:r w:rsidR="00FF5B98">
        <w:t xml:space="preserve"> 48</w:t>
      </w:r>
      <w:r w:rsidR="00355EB5">
        <w:t xml:space="preserve">, </w:t>
      </w:r>
      <w:r w:rsidR="00355EB5" w:rsidRPr="00355EB5">
        <w:t>475-480</w:t>
      </w:r>
      <w:r w:rsidR="00355EB5">
        <w:t>.</w:t>
      </w:r>
      <w:r w:rsidR="00355EB5" w:rsidRPr="00355EB5">
        <w:t xml:space="preserve"> DOI:10.3303/CET1648080</w:t>
      </w:r>
      <w:r w:rsidR="00355EB5">
        <w:t>.</w:t>
      </w:r>
    </w:p>
    <w:p w14:paraId="1E5F5356" w14:textId="77777777" w:rsidR="008E2FEB" w:rsidRPr="00510743" w:rsidRDefault="008E2FEB" w:rsidP="00840476">
      <w:pPr>
        <w:pStyle w:val="BOAReference-text"/>
        <w:rPr>
          <w:rFonts w:eastAsia="SimSun"/>
          <w:lang w:val="en-US"/>
        </w:rPr>
      </w:pPr>
    </w:p>
    <w:p w14:paraId="0C5C820E" w14:textId="77777777" w:rsidR="009047CF" w:rsidRPr="00510743" w:rsidRDefault="009047CF" w:rsidP="00840476">
      <w:pPr>
        <w:pStyle w:val="BOAReference-text"/>
        <w:rPr>
          <w:rFonts w:eastAsia="SimSun"/>
          <w:lang w:val="en-US"/>
        </w:rPr>
      </w:pPr>
    </w:p>
    <w:sectPr w:rsidR="009047CF" w:rsidRPr="00510743" w:rsidSect="00F879FE">
      <w:headerReference w:type="default" r:id="rId10"/>
      <w:footerReference w:type="even" r:id="rId11"/>
      <w:footerReference w:type="default" r:id="rId12"/>
      <w:headerReference w:type="first" r:id="rId13"/>
      <w:footerReference w:type="first" r:id="rId14"/>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2BC95" w14:textId="77777777" w:rsidR="00EC0D25" w:rsidRDefault="00EC0D25" w:rsidP="004F5E36">
      <w:r>
        <w:separator/>
      </w:r>
    </w:p>
  </w:endnote>
  <w:endnote w:type="continuationSeparator" w:id="0">
    <w:p w14:paraId="6114503D" w14:textId="77777777" w:rsidR="00EC0D25" w:rsidRDefault="00EC0D25" w:rsidP="004F5E36">
      <w:r>
        <w:continuationSeparator/>
      </w:r>
    </w:p>
  </w:endnote>
  <w:endnote w:type="continuationNotice" w:id="1">
    <w:p w14:paraId="1FF16E75" w14:textId="77777777" w:rsidR="00EC0D25" w:rsidRDefault="00EC0D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9CA0" w14:textId="10248544" w:rsidR="00F2643E" w:rsidRDefault="00F264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AAB3" w14:textId="30BE2D1C" w:rsidR="00F2643E" w:rsidRDefault="00F2643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AB4B" w14:textId="5E996348" w:rsidR="00F2643E" w:rsidRDefault="00F264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A3544" w14:textId="77777777" w:rsidR="00EC0D25" w:rsidRDefault="00EC0D25" w:rsidP="004F5E36">
      <w:r>
        <w:separator/>
      </w:r>
    </w:p>
  </w:footnote>
  <w:footnote w:type="continuationSeparator" w:id="0">
    <w:p w14:paraId="7F4A5756" w14:textId="77777777" w:rsidR="00EC0D25" w:rsidRDefault="00EC0D25" w:rsidP="004F5E36">
      <w:r>
        <w:continuationSeparator/>
      </w:r>
    </w:p>
  </w:footnote>
  <w:footnote w:type="continuationNotice" w:id="1">
    <w:p w14:paraId="0A127318" w14:textId="77777777" w:rsidR="00EC0D25" w:rsidRDefault="00EC0D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2FA3" w14:textId="5F9F28D5" w:rsidR="00591C6C" w:rsidRDefault="00621A1B">
    <w:r>
      <w:rPr>
        <w:noProof/>
      </w:rPr>
      <w:drawing>
        <wp:anchor distT="0" distB="0" distL="114300" distR="114300" simplePos="0" relativeHeight="251658240"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D4745B"/>
    <w:multiLevelType w:val="hybridMultilevel"/>
    <w:tmpl w:val="5394CE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130424">
    <w:abstractNumId w:val="13"/>
  </w:num>
  <w:num w:numId="2" w16cid:durableId="361249505">
    <w:abstractNumId w:val="8"/>
  </w:num>
  <w:num w:numId="3" w16cid:durableId="884367012">
    <w:abstractNumId w:val="3"/>
  </w:num>
  <w:num w:numId="4" w16cid:durableId="2083521014">
    <w:abstractNumId w:val="2"/>
  </w:num>
  <w:num w:numId="5" w16cid:durableId="1891652189">
    <w:abstractNumId w:val="1"/>
  </w:num>
  <w:num w:numId="6" w16cid:durableId="626669852">
    <w:abstractNumId w:val="0"/>
  </w:num>
  <w:num w:numId="7" w16cid:durableId="551577658">
    <w:abstractNumId w:val="9"/>
  </w:num>
  <w:num w:numId="8" w16cid:durableId="1411392160">
    <w:abstractNumId w:val="7"/>
  </w:num>
  <w:num w:numId="9" w16cid:durableId="1644190920">
    <w:abstractNumId w:val="6"/>
  </w:num>
  <w:num w:numId="10" w16cid:durableId="1504541278">
    <w:abstractNumId w:val="5"/>
  </w:num>
  <w:num w:numId="11" w16cid:durableId="551237217">
    <w:abstractNumId w:val="4"/>
  </w:num>
  <w:num w:numId="12" w16cid:durableId="649990584">
    <w:abstractNumId w:val="16"/>
  </w:num>
  <w:num w:numId="13" w16cid:durableId="634725585">
    <w:abstractNumId w:val="14"/>
  </w:num>
  <w:num w:numId="14" w16cid:durableId="191119089">
    <w:abstractNumId w:val="17"/>
  </w:num>
  <w:num w:numId="15" w16cid:durableId="1966620109">
    <w:abstractNumId w:val="19"/>
  </w:num>
  <w:num w:numId="16" w16cid:durableId="695279686">
    <w:abstractNumId w:val="22"/>
  </w:num>
  <w:num w:numId="17" w16cid:durableId="158927901">
    <w:abstractNumId w:val="10"/>
  </w:num>
  <w:num w:numId="18" w16cid:durableId="119997729">
    <w:abstractNumId w:val="20"/>
  </w:num>
  <w:num w:numId="19" w16cid:durableId="79841364">
    <w:abstractNumId w:val="15"/>
  </w:num>
  <w:num w:numId="20" w16cid:durableId="1843427198">
    <w:abstractNumId w:val="11"/>
  </w:num>
  <w:num w:numId="21" w16cid:durableId="1378311685">
    <w:abstractNumId w:val="12"/>
  </w:num>
  <w:num w:numId="22" w16cid:durableId="1977102699">
    <w:abstractNumId w:val="18"/>
  </w:num>
  <w:num w:numId="23" w16cid:durableId="16740712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04D4B"/>
    <w:rsid w:val="00005617"/>
    <w:rsid w:val="000117CB"/>
    <w:rsid w:val="0003148D"/>
    <w:rsid w:val="0004070D"/>
    <w:rsid w:val="00061F4C"/>
    <w:rsid w:val="000622B1"/>
    <w:rsid w:val="00062A9A"/>
    <w:rsid w:val="00075A06"/>
    <w:rsid w:val="00091461"/>
    <w:rsid w:val="000A03B2"/>
    <w:rsid w:val="000B43D6"/>
    <w:rsid w:val="000D34BE"/>
    <w:rsid w:val="000E36F1"/>
    <w:rsid w:val="000E3A73"/>
    <w:rsid w:val="000E414A"/>
    <w:rsid w:val="00100B4B"/>
    <w:rsid w:val="0013121F"/>
    <w:rsid w:val="00134DE4"/>
    <w:rsid w:val="00147A06"/>
    <w:rsid w:val="00150E59"/>
    <w:rsid w:val="0015395A"/>
    <w:rsid w:val="00174209"/>
    <w:rsid w:val="0018090E"/>
    <w:rsid w:val="00184AD6"/>
    <w:rsid w:val="001B65C1"/>
    <w:rsid w:val="001C684B"/>
    <w:rsid w:val="001D53FC"/>
    <w:rsid w:val="001E7271"/>
    <w:rsid w:val="001F15F2"/>
    <w:rsid w:val="001F2EC7"/>
    <w:rsid w:val="001F732A"/>
    <w:rsid w:val="00202348"/>
    <w:rsid w:val="00204277"/>
    <w:rsid w:val="0020437E"/>
    <w:rsid w:val="002065DB"/>
    <w:rsid w:val="00215898"/>
    <w:rsid w:val="00223A95"/>
    <w:rsid w:val="002361DA"/>
    <w:rsid w:val="00243A54"/>
    <w:rsid w:val="002447EF"/>
    <w:rsid w:val="00251550"/>
    <w:rsid w:val="002626FE"/>
    <w:rsid w:val="0027221A"/>
    <w:rsid w:val="00275B61"/>
    <w:rsid w:val="002931DD"/>
    <w:rsid w:val="00295C2A"/>
    <w:rsid w:val="002A5C02"/>
    <w:rsid w:val="002B431C"/>
    <w:rsid w:val="002C633D"/>
    <w:rsid w:val="002D1F12"/>
    <w:rsid w:val="002E5B8A"/>
    <w:rsid w:val="003009B7"/>
    <w:rsid w:val="00302C82"/>
    <w:rsid w:val="0030469C"/>
    <w:rsid w:val="003222EE"/>
    <w:rsid w:val="00323B01"/>
    <w:rsid w:val="00323C2D"/>
    <w:rsid w:val="00326707"/>
    <w:rsid w:val="00352362"/>
    <w:rsid w:val="00355EB5"/>
    <w:rsid w:val="00361A91"/>
    <w:rsid w:val="003723D4"/>
    <w:rsid w:val="00392DC1"/>
    <w:rsid w:val="00393F1E"/>
    <w:rsid w:val="003A34C7"/>
    <w:rsid w:val="003A7D1C"/>
    <w:rsid w:val="003B61C3"/>
    <w:rsid w:val="003D4E45"/>
    <w:rsid w:val="003E5399"/>
    <w:rsid w:val="003F78FB"/>
    <w:rsid w:val="00403CA5"/>
    <w:rsid w:val="0042639A"/>
    <w:rsid w:val="00426AE1"/>
    <w:rsid w:val="00426BD4"/>
    <w:rsid w:val="004279CD"/>
    <w:rsid w:val="00435501"/>
    <w:rsid w:val="00447FF7"/>
    <w:rsid w:val="0046164A"/>
    <w:rsid w:val="00462DCD"/>
    <w:rsid w:val="0046419A"/>
    <w:rsid w:val="004C2084"/>
    <w:rsid w:val="004D1162"/>
    <w:rsid w:val="004E0FFD"/>
    <w:rsid w:val="004E4DD6"/>
    <w:rsid w:val="004E6401"/>
    <w:rsid w:val="004F5E36"/>
    <w:rsid w:val="00510743"/>
    <w:rsid w:val="005119A5"/>
    <w:rsid w:val="005129BE"/>
    <w:rsid w:val="00520F97"/>
    <w:rsid w:val="005278B7"/>
    <w:rsid w:val="00530354"/>
    <w:rsid w:val="00531559"/>
    <w:rsid w:val="005346C8"/>
    <w:rsid w:val="00537CCB"/>
    <w:rsid w:val="00574060"/>
    <w:rsid w:val="00581815"/>
    <w:rsid w:val="00590034"/>
    <w:rsid w:val="00591C6C"/>
    <w:rsid w:val="00594E9F"/>
    <w:rsid w:val="005958F8"/>
    <w:rsid w:val="005B00E1"/>
    <w:rsid w:val="005B61E6"/>
    <w:rsid w:val="005C1A57"/>
    <w:rsid w:val="005C648D"/>
    <w:rsid w:val="005C77E1"/>
    <w:rsid w:val="005D6A2F"/>
    <w:rsid w:val="005E1A82"/>
    <w:rsid w:val="005E3C2C"/>
    <w:rsid w:val="005F0A28"/>
    <w:rsid w:val="005F0E5E"/>
    <w:rsid w:val="00607532"/>
    <w:rsid w:val="0061570E"/>
    <w:rsid w:val="00616143"/>
    <w:rsid w:val="00620DEE"/>
    <w:rsid w:val="00621A1B"/>
    <w:rsid w:val="00623D69"/>
    <w:rsid w:val="00625639"/>
    <w:rsid w:val="00625814"/>
    <w:rsid w:val="00630E90"/>
    <w:rsid w:val="00631A98"/>
    <w:rsid w:val="0064184D"/>
    <w:rsid w:val="006476AB"/>
    <w:rsid w:val="00653921"/>
    <w:rsid w:val="00660E3E"/>
    <w:rsid w:val="00662E74"/>
    <w:rsid w:val="006856E1"/>
    <w:rsid w:val="006A58D2"/>
    <w:rsid w:val="006B56AC"/>
    <w:rsid w:val="006C3173"/>
    <w:rsid w:val="006C5579"/>
    <w:rsid w:val="006E2470"/>
    <w:rsid w:val="006E3973"/>
    <w:rsid w:val="006F2A26"/>
    <w:rsid w:val="00704BDF"/>
    <w:rsid w:val="00713B9F"/>
    <w:rsid w:val="00720C17"/>
    <w:rsid w:val="007317F0"/>
    <w:rsid w:val="00736B13"/>
    <w:rsid w:val="0074101C"/>
    <w:rsid w:val="00741A89"/>
    <w:rsid w:val="007447F3"/>
    <w:rsid w:val="00761571"/>
    <w:rsid w:val="00763697"/>
    <w:rsid w:val="007661C8"/>
    <w:rsid w:val="007667D4"/>
    <w:rsid w:val="007A0FBA"/>
    <w:rsid w:val="007A4F01"/>
    <w:rsid w:val="007D52CD"/>
    <w:rsid w:val="008024F8"/>
    <w:rsid w:val="00813288"/>
    <w:rsid w:val="008168FC"/>
    <w:rsid w:val="00824CA7"/>
    <w:rsid w:val="00830D54"/>
    <w:rsid w:val="00840476"/>
    <w:rsid w:val="008479A2"/>
    <w:rsid w:val="00856014"/>
    <w:rsid w:val="0087637F"/>
    <w:rsid w:val="00891B1B"/>
    <w:rsid w:val="00895AB6"/>
    <w:rsid w:val="008A1512"/>
    <w:rsid w:val="008B3594"/>
    <w:rsid w:val="008C6FDE"/>
    <w:rsid w:val="008C779C"/>
    <w:rsid w:val="008D0BEB"/>
    <w:rsid w:val="008E1436"/>
    <w:rsid w:val="008E2FEB"/>
    <w:rsid w:val="008E566E"/>
    <w:rsid w:val="008F2662"/>
    <w:rsid w:val="00901EB6"/>
    <w:rsid w:val="009047CF"/>
    <w:rsid w:val="00904CEA"/>
    <w:rsid w:val="00910C53"/>
    <w:rsid w:val="00931912"/>
    <w:rsid w:val="009425B4"/>
    <w:rsid w:val="00943117"/>
    <w:rsid w:val="009450CE"/>
    <w:rsid w:val="0095164B"/>
    <w:rsid w:val="00971BC9"/>
    <w:rsid w:val="00991815"/>
    <w:rsid w:val="00994529"/>
    <w:rsid w:val="00996483"/>
    <w:rsid w:val="009C32E4"/>
    <w:rsid w:val="009C3EA4"/>
    <w:rsid w:val="009E788A"/>
    <w:rsid w:val="00A05A15"/>
    <w:rsid w:val="00A07E93"/>
    <w:rsid w:val="00A15524"/>
    <w:rsid w:val="00A1763D"/>
    <w:rsid w:val="00A17AD5"/>
    <w:rsid w:val="00A17CEC"/>
    <w:rsid w:val="00A2791E"/>
    <w:rsid w:val="00A27EF0"/>
    <w:rsid w:val="00A354AD"/>
    <w:rsid w:val="00A4741B"/>
    <w:rsid w:val="00A6255A"/>
    <w:rsid w:val="00A66B9C"/>
    <w:rsid w:val="00A74C17"/>
    <w:rsid w:val="00A76EFC"/>
    <w:rsid w:val="00A9626B"/>
    <w:rsid w:val="00A97F29"/>
    <w:rsid w:val="00AA289A"/>
    <w:rsid w:val="00AB0964"/>
    <w:rsid w:val="00AB1369"/>
    <w:rsid w:val="00AB5172"/>
    <w:rsid w:val="00AC0AF2"/>
    <w:rsid w:val="00AC0CAD"/>
    <w:rsid w:val="00AC5F71"/>
    <w:rsid w:val="00AD2A35"/>
    <w:rsid w:val="00AE33DD"/>
    <w:rsid w:val="00AE377D"/>
    <w:rsid w:val="00AF39F6"/>
    <w:rsid w:val="00AF7FC9"/>
    <w:rsid w:val="00B31173"/>
    <w:rsid w:val="00B41D31"/>
    <w:rsid w:val="00B430A4"/>
    <w:rsid w:val="00B43A18"/>
    <w:rsid w:val="00B5101B"/>
    <w:rsid w:val="00B61DBF"/>
    <w:rsid w:val="00B75B56"/>
    <w:rsid w:val="00B76AF2"/>
    <w:rsid w:val="00B774D3"/>
    <w:rsid w:val="00BB6185"/>
    <w:rsid w:val="00BB6F9B"/>
    <w:rsid w:val="00BC30C9"/>
    <w:rsid w:val="00BC4B68"/>
    <w:rsid w:val="00BC5392"/>
    <w:rsid w:val="00BC7FFD"/>
    <w:rsid w:val="00BD0539"/>
    <w:rsid w:val="00BD494D"/>
    <w:rsid w:val="00BD7440"/>
    <w:rsid w:val="00BE3E58"/>
    <w:rsid w:val="00C01616"/>
    <w:rsid w:val="00C0162B"/>
    <w:rsid w:val="00C04E50"/>
    <w:rsid w:val="00C345B1"/>
    <w:rsid w:val="00C40142"/>
    <w:rsid w:val="00C40C1F"/>
    <w:rsid w:val="00C47414"/>
    <w:rsid w:val="00C57182"/>
    <w:rsid w:val="00C655FD"/>
    <w:rsid w:val="00C861D2"/>
    <w:rsid w:val="00C867B1"/>
    <w:rsid w:val="00C94434"/>
    <w:rsid w:val="00CA1C95"/>
    <w:rsid w:val="00CA54AA"/>
    <w:rsid w:val="00CA5A9C"/>
    <w:rsid w:val="00CB5C27"/>
    <w:rsid w:val="00CB6612"/>
    <w:rsid w:val="00CD4746"/>
    <w:rsid w:val="00CD5FE2"/>
    <w:rsid w:val="00CE2196"/>
    <w:rsid w:val="00CF36F4"/>
    <w:rsid w:val="00CF486E"/>
    <w:rsid w:val="00D02B4C"/>
    <w:rsid w:val="00D1719F"/>
    <w:rsid w:val="00D44886"/>
    <w:rsid w:val="00D57830"/>
    <w:rsid w:val="00D61580"/>
    <w:rsid w:val="00D70D6A"/>
    <w:rsid w:val="00D76007"/>
    <w:rsid w:val="00D801F0"/>
    <w:rsid w:val="00D80C0A"/>
    <w:rsid w:val="00D84576"/>
    <w:rsid w:val="00D9447F"/>
    <w:rsid w:val="00D948AD"/>
    <w:rsid w:val="00DB773B"/>
    <w:rsid w:val="00DE0019"/>
    <w:rsid w:val="00DE264A"/>
    <w:rsid w:val="00E041E7"/>
    <w:rsid w:val="00E1280C"/>
    <w:rsid w:val="00E1364D"/>
    <w:rsid w:val="00E21784"/>
    <w:rsid w:val="00E23CA1"/>
    <w:rsid w:val="00E347B5"/>
    <w:rsid w:val="00E3789D"/>
    <w:rsid w:val="00E37EF2"/>
    <w:rsid w:val="00E409A8"/>
    <w:rsid w:val="00E431A8"/>
    <w:rsid w:val="00E466CB"/>
    <w:rsid w:val="00E54F4E"/>
    <w:rsid w:val="00E7209D"/>
    <w:rsid w:val="00EA50E1"/>
    <w:rsid w:val="00EC0D25"/>
    <w:rsid w:val="00ED62EF"/>
    <w:rsid w:val="00EE0131"/>
    <w:rsid w:val="00EF3557"/>
    <w:rsid w:val="00F045FE"/>
    <w:rsid w:val="00F07DEC"/>
    <w:rsid w:val="00F21D59"/>
    <w:rsid w:val="00F2643E"/>
    <w:rsid w:val="00F30C64"/>
    <w:rsid w:val="00F72C4F"/>
    <w:rsid w:val="00F879FE"/>
    <w:rsid w:val="00FB4167"/>
    <w:rsid w:val="00FB730C"/>
    <w:rsid w:val="00FC2171"/>
    <w:rsid w:val="00FC2695"/>
    <w:rsid w:val="00FC3E03"/>
    <w:rsid w:val="00FE6A2D"/>
    <w:rsid w:val="00FF2A91"/>
    <w:rsid w:val="00FF2EAD"/>
    <w:rsid w:val="00FF5B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840476"/>
    <w:pPr>
      <w:spacing w:after="0" w:line="264" w:lineRule="auto"/>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unhideWhenUsed/>
    <w:lock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F879FE"/>
    <w:pPr>
      <w:tabs>
        <w:tab w:val="clear" w:pos="7100"/>
      </w:tabs>
      <w:spacing w:line="240" w:lineRule="atLeast"/>
      <w:ind w:right="-1"/>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paragraph" w:styleId="Pidipagina">
    <w:name w:val="footer"/>
    <w:basedOn w:val="Normale"/>
    <w:link w:val="PidipaginaCarattere"/>
    <w:uiPriority w:val="99"/>
    <w:unhideWhenUsed/>
    <w:rsid w:val="00F2643E"/>
    <w:pPr>
      <w:tabs>
        <w:tab w:val="clear" w:pos="7100"/>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F2643E"/>
    <w:rPr>
      <w:rFonts w:ascii="Arial" w:eastAsia="Times New Roman" w:hAnsi="Arial" w:cs="Times New Roman"/>
      <w:sz w:val="18"/>
      <w:szCs w:val="20"/>
      <w:lang w:val="en-GB"/>
    </w:rPr>
  </w:style>
  <w:style w:type="character" w:styleId="Collegamentoipertestuale">
    <w:name w:val="Hyperlink"/>
    <w:basedOn w:val="Carpredefinitoparagrafo"/>
    <w:uiPriority w:val="99"/>
    <w:unhideWhenUsed/>
    <w:locked/>
    <w:rsid w:val="00763697"/>
    <w:rPr>
      <w:color w:val="0000FF" w:themeColor="hyperlink"/>
      <w:u w:val="single"/>
    </w:rPr>
  </w:style>
  <w:style w:type="character" w:styleId="Menzionenonrisolta">
    <w:name w:val="Unresolved Mention"/>
    <w:basedOn w:val="Carpredefinitoparagrafo"/>
    <w:uiPriority w:val="99"/>
    <w:semiHidden/>
    <w:unhideWhenUsed/>
    <w:rsid w:val="00763697"/>
    <w:rPr>
      <w:color w:val="605E5C"/>
      <w:shd w:val="clear" w:color="auto" w:fill="E1DFDD"/>
    </w:rPr>
  </w:style>
  <w:style w:type="paragraph" w:styleId="Revisione">
    <w:name w:val="Revision"/>
    <w:hidden/>
    <w:uiPriority w:val="99"/>
    <w:semiHidden/>
    <w:rsid w:val="00393F1E"/>
    <w:pPr>
      <w:spacing w:after="0" w:line="240" w:lineRule="auto"/>
    </w:pPr>
    <w:rPr>
      <w:rFonts w:ascii="Arial" w:eastAsia="Times New Roman" w:hAnsi="Arial" w:cs="Times New Roman"/>
      <w:sz w:val="18"/>
      <w:szCs w:val="20"/>
      <w:lang w:val="en-GB"/>
    </w:rPr>
  </w:style>
  <w:style w:type="character" w:styleId="Rimandocommento">
    <w:name w:val="annotation reference"/>
    <w:basedOn w:val="Carpredefinitoparagrafo"/>
    <w:uiPriority w:val="99"/>
    <w:semiHidden/>
    <w:unhideWhenUsed/>
    <w:locked/>
    <w:rsid w:val="007A0FBA"/>
    <w:rPr>
      <w:sz w:val="16"/>
      <w:szCs w:val="16"/>
    </w:rPr>
  </w:style>
  <w:style w:type="paragraph" w:styleId="Intestazione">
    <w:name w:val="header"/>
    <w:basedOn w:val="Normale"/>
    <w:link w:val="IntestazioneCarattere"/>
    <w:unhideWhenUsed/>
    <w:rsid w:val="00B75B56"/>
    <w:pPr>
      <w:tabs>
        <w:tab w:val="clear" w:pos="7100"/>
        <w:tab w:val="center" w:pos="4536"/>
        <w:tab w:val="right" w:pos="9072"/>
      </w:tabs>
      <w:spacing w:line="240" w:lineRule="auto"/>
    </w:pPr>
  </w:style>
  <w:style w:type="character" w:customStyle="1" w:styleId="IntestazioneCarattere">
    <w:name w:val="Intestazione Carattere"/>
    <w:basedOn w:val="Carpredefinitoparagrafo"/>
    <w:link w:val="Intestazione"/>
    <w:rsid w:val="00B75B56"/>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docMetadata/LabelInfo.xml><?xml version="1.0" encoding="utf-8"?>
<clbl:labelList xmlns:clbl="http://schemas.microsoft.com/office/2020/mipLabelMetadata">
  <clbl:label id="{fd8f657c-1b5d-4225-9de5-62d9d25afec8}" enabled="1" method="Privilege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7997</Characters>
  <Application>Microsoft Office Word</Application>
  <DocSecurity>0</DocSecurity>
  <Lines>66</Lines>
  <Paragraphs>18</Paragraphs>
  <ScaleCrop>false</ScaleCrop>
  <HeadingPairs>
    <vt:vector size="8" baseType="variant">
      <vt:variant>
        <vt:lpstr>Titel</vt:lpstr>
      </vt:variant>
      <vt:variant>
        <vt:i4>1</vt:i4>
      </vt:variant>
      <vt:variant>
        <vt:lpstr>Title</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Dipartimento CMIC - Politecnico di Milano</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2025-01-16T08:46:00Z</dcterms:created>
  <dcterms:modified xsi:type="dcterms:W3CDTF">2025-01-16T08:46:00Z</dcterms:modified>
</cp:coreProperties>
</file>