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0931543"/>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7CAA495F"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029430DB" w:rsidR="00E978D0" w:rsidRPr="00B57B36" w:rsidRDefault="00947465" w:rsidP="00947465">
      <w:pPr>
        <w:pStyle w:val="CETTitle"/>
      </w:pPr>
      <w:r>
        <w:t xml:space="preserve">A </w:t>
      </w:r>
      <w:r w:rsidR="00283151">
        <w:t xml:space="preserve">Novel Index-Based Method for </w:t>
      </w:r>
      <w:r w:rsidR="00E749BF">
        <w:t>t</w:t>
      </w:r>
      <w:r w:rsidR="00283151">
        <w:t xml:space="preserve">he Risk Assessment of </w:t>
      </w:r>
      <w:r>
        <w:t>Low</w:t>
      </w:r>
      <w:r w:rsidR="00283151">
        <w:t>-</w:t>
      </w:r>
      <w:r>
        <w:t xml:space="preserve">Intensity Natech </w:t>
      </w:r>
      <w:r w:rsidR="00283151">
        <w:t xml:space="preserve">Events </w:t>
      </w:r>
      <w:r w:rsidR="00E749BF">
        <w:t>c</w:t>
      </w:r>
      <w:r w:rsidR="00283151">
        <w:t>aused by Floods</w:t>
      </w:r>
    </w:p>
    <w:p w14:paraId="0488FED2" w14:textId="678AF2BE" w:rsidR="00B57E6F" w:rsidRPr="003B364A" w:rsidRDefault="00AC07AF" w:rsidP="00B57E6F">
      <w:pPr>
        <w:pStyle w:val="CETAuthors"/>
        <w:rPr>
          <w:lang w:val="it-IT"/>
        </w:rPr>
      </w:pPr>
      <w:r w:rsidRPr="003B364A">
        <w:rPr>
          <w:lang w:val="it-IT"/>
        </w:rPr>
        <w:t xml:space="preserve">Di Talia Valentina*, </w:t>
      </w:r>
      <w:r w:rsidR="00947465" w:rsidRPr="003B364A">
        <w:rPr>
          <w:lang w:val="it-IT"/>
        </w:rPr>
        <w:t>Giacomo Antonioni</w:t>
      </w:r>
      <w:r w:rsidRPr="003B364A">
        <w:rPr>
          <w:lang w:val="it-IT"/>
        </w:rPr>
        <w:t>, Valerio Cozzani</w:t>
      </w:r>
    </w:p>
    <w:p w14:paraId="6B2D21B3" w14:textId="7FEA3B13" w:rsidR="00B57E6F" w:rsidRPr="003B364A" w:rsidRDefault="00AC07AF" w:rsidP="00B57E6F">
      <w:pPr>
        <w:pStyle w:val="CETAddress"/>
        <w:rPr>
          <w:lang w:val="it-IT"/>
        </w:rPr>
      </w:pPr>
      <w:r w:rsidRPr="003B364A">
        <w:rPr>
          <w:lang w:val="it-IT"/>
        </w:rPr>
        <w:t xml:space="preserve">LISES – Dipartimento di Ingegneria Civile, Chimica, Ambientale e dei Materiali,  Alma Mater Studiorum – Università di Bologna, via Terracini 28, 40131 Bologna (Italy). </w:t>
      </w:r>
    </w:p>
    <w:p w14:paraId="73F1267A" w14:textId="503A5FBB" w:rsidR="00B57E6F" w:rsidRPr="00B57B36" w:rsidRDefault="00AC07AF" w:rsidP="00B57E6F">
      <w:pPr>
        <w:pStyle w:val="CETemail"/>
      </w:pPr>
      <w:r>
        <w:t>*</w:t>
      </w:r>
      <w:r w:rsidRPr="00AC07AF">
        <w:t>valentina.ditalia2@unibo.it</w:t>
      </w:r>
      <w:r w:rsidR="00B57E6F" w:rsidRPr="00B57B36">
        <w:t xml:space="preserve"> </w:t>
      </w:r>
    </w:p>
    <w:p w14:paraId="06040864" w14:textId="6D7050F5" w:rsidR="00947465" w:rsidRPr="00947465" w:rsidRDefault="00947465" w:rsidP="00947465">
      <w:pPr>
        <w:pStyle w:val="CETBodytext"/>
      </w:pPr>
      <w:r w:rsidRPr="00947465">
        <w:t>Natech events (natural events triggering technological accidents) are usually considered high-impact low probability (HILP) events involving the loss of containment of hazardous substances with potentially severe consequences such as fires, explosions, and toxic dispersions. However, in the last decade, environmental contamination due to the interaction of the water receding after a flood event and anthropic activities was reported in several Natech events, raising attention towards the so-called Low-Intensity Natech (LIN) events. Notably, to date, there are no approaches available to identify and assess the risk</w:t>
      </w:r>
      <w:r w:rsidR="00DD2A72">
        <w:t xml:space="preserve"> associated with these occurrences</w:t>
      </w:r>
      <w:r w:rsidRPr="00947465">
        <w:t>.</w:t>
      </w:r>
    </w:p>
    <w:p w14:paraId="32D35014" w14:textId="1742F8A0" w:rsidR="00947465" w:rsidRDefault="00947465" w:rsidP="00947465">
      <w:pPr>
        <w:pStyle w:val="CETBodytext"/>
      </w:pPr>
      <w:r w:rsidRPr="00947465">
        <w:t>This contribution proposes a novel index-based method to estimate the risk associated with LINs for a selected area addressing the environment as</w:t>
      </w:r>
      <w:r w:rsidR="00DF74FA">
        <w:t xml:space="preserve"> </w:t>
      </w:r>
      <w:r w:rsidR="00FE0038">
        <w:t xml:space="preserve">a </w:t>
      </w:r>
      <w:r w:rsidRPr="00947465">
        <w:t>target. The approach</w:t>
      </w:r>
      <w:r w:rsidR="00DF74FA">
        <w:t xml:space="preserve"> </w:t>
      </w:r>
      <w:r w:rsidRPr="00947465">
        <w:t>involves the characterization of the most relevant anthropogenic activities potentially impacted within the area (i.e., magnitude assessment) and the characterization of the flood hazard level in correspondence with each activity identified (i.e., frequency assessment).</w:t>
      </w:r>
      <w:r w:rsidR="00591304">
        <w:t xml:space="preserve"> </w:t>
      </w:r>
      <w:r w:rsidRPr="00947465">
        <w:t xml:space="preserve">These two layers of information – magnitude and frequency assessment </w:t>
      </w:r>
      <w:r w:rsidR="000D74A0" w:rsidRPr="00947465">
        <w:t>- are</w:t>
      </w:r>
      <w:r w:rsidRPr="00947465">
        <w:t xml:space="preserve"> then integrated by means of GIS software into a LIN Risk Index, which provides a first quantification of the risk associated with LIN events targeting the environment.</w:t>
      </w:r>
      <w:r w:rsidR="00DF74FA">
        <w:t xml:space="preserve"> </w:t>
      </w:r>
      <w:r w:rsidRPr="00947465">
        <w:t xml:space="preserve">The proposed method was applied to two river basins with inherently different levels of industrialization in the North of Italy. The analysis of the results obtained confirms that the proposed risk index enables a straightforward </w:t>
      </w:r>
      <w:r w:rsidR="000D74A0" w:rsidRPr="00947465">
        <w:t>assessment,</w:t>
      </w:r>
      <w:r w:rsidRPr="00947465">
        <w:t xml:space="preserve"> and a comparison of the overall risk associated </w:t>
      </w:r>
      <w:r w:rsidR="00DF74FA">
        <w:t>with</w:t>
      </w:r>
      <w:r w:rsidRPr="00947465">
        <w:t xml:space="preserve"> LIN events in a river basin.  </w:t>
      </w:r>
    </w:p>
    <w:p w14:paraId="476B2F2E" w14:textId="504CF156" w:rsidR="00600535" w:rsidRDefault="00600535" w:rsidP="008A411A">
      <w:pPr>
        <w:pStyle w:val="CETHeading1"/>
        <w:ind w:left="0"/>
      </w:pPr>
      <w:r w:rsidRPr="00B57B36">
        <w:t>Introduction</w:t>
      </w:r>
    </w:p>
    <w:p w14:paraId="156EF8EA" w14:textId="116CCFF3" w:rsidR="00DB6576" w:rsidRPr="00FB64DD" w:rsidRDefault="00E324E7" w:rsidP="00DB6576">
      <w:pPr>
        <w:pStyle w:val="CETBodytext"/>
        <w:rPr>
          <w:lang w:val="en-GB"/>
        </w:rPr>
      </w:pPr>
      <w:r w:rsidRPr="00FB64DD">
        <w:rPr>
          <w:lang w:val="en-GB"/>
        </w:rPr>
        <w:t xml:space="preserve">Technological accidents triggered by natural events, commonly referred to as Natech accidents, </w:t>
      </w:r>
      <w:r w:rsidR="00DB6576" w:rsidRPr="00FB64DD">
        <w:rPr>
          <w:lang w:val="en-GB"/>
        </w:rPr>
        <w:t xml:space="preserve">are high-impact low probability (HILP) events which </w:t>
      </w:r>
      <w:r w:rsidRPr="00FB64DD">
        <w:rPr>
          <w:lang w:val="en-GB"/>
        </w:rPr>
        <w:t xml:space="preserve">present significant risks to human life, infrastructure, and environmental systems. </w:t>
      </w:r>
      <w:r w:rsidR="00744C92">
        <w:rPr>
          <w:lang w:val="en-GB"/>
        </w:rPr>
        <w:t>D</w:t>
      </w:r>
      <w:r w:rsidRPr="00FB64DD">
        <w:rPr>
          <w:lang w:val="en-GB"/>
        </w:rPr>
        <w:t>efined within the scope of Directive 2012/18/EU</w:t>
      </w:r>
      <w:r w:rsidR="009E7EA8" w:rsidRPr="00FB64DD">
        <w:rPr>
          <w:lang w:val="en-GB"/>
        </w:rPr>
        <w:t xml:space="preserve">, </w:t>
      </w:r>
      <w:r w:rsidR="00744C92">
        <w:rPr>
          <w:lang w:val="en-GB"/>
        </w:rPr>
        <w:t xml:space="preserve">these accidental scenarios </w:t>
      </w:r>
      <w:r w:rsidRPr="00FB64DD">
        <w:rPr>
          <w:lang w:val="en-GB"/>
        </w:rPr>
        <w:t xml:space="preserve">involve the uncontrolled release of hazardous substances from industrial facilities due to natural </w:t>
      </w:r>
      <w:r w:rsidR="00DF74FA" w:rsidRPr="00FB64DD">
        <w:rPr>
          <w:lang w:val="en-GB"/>
        </w:rPr>
        <w:t>hazards</w:t>
      </w:r>
      <w:r w:rsidRPr="00FB64DD">
        <w:rPr>
          <w:lang w:val="en-GB"/>
        </w:rPr>
        <w:t xml:space="preserve"> (Krausmann et al., 2017).</w:t>
      </w:r>
      <w:r w:rsidR="00DB6576" w:rsidRPr="00FB64DD">
        <w:rPr>
          <w:lang w:val="en-GB"/>
        </w:rPr>
        <w:t xml:space="preserve"> Considerable environmental </w:t>
      </w:r>
      <w:r w:rsidR="007F5253">
        <w:rPr>
          <w:lang w:val="en-GB"/>
        </w:rPr>
        <w:t>contamination</w:t>
      </w:r>
      <w:r w:rsidR="00DB6576" w:rsidRPr="00FB64DD">
        <w:rPr>
          <w:lang w:val="en-GB"/>
        </w:rPr>
        <w:t xml:space="preserve"> </w:t>
      </w:r>
      <w:r w:rsidR="003C6E38">
        <w:rPr>
          <w:lang w:val="en-GB"/>
        </w:rPr>
        <w:t xml:space="preserve">resulting from </w:t>
      </w:r>
      <w:r w:rsidR="004B75CE">
        <w:rPr>
          <w:lang w:val="en-GB"/>
        </w:rPr>
        <w:t>post-flood interactions with industrial pollutant</w:t>
      </w:r>
      <w:r w:rsidR="00DB6576" w:rsidRPr="00FB64DD">
        <w:rPr>
          <w:lang w:val="en-GB"/>
        </w:rPr>
        <w:t xml:space="preserve"> ha</w:t>
      </w:r>
      <w:r w:rsidR="007F5253">
        <w:rPr>
          <w:lang w:val="en-GB"/>
        </w:rPr>
        <w:t>s</w:t>
      </w:r>
      <w:r w:rsidR="00DB6576" w:rsidRPr="00FB64DD">
        <w:rPr>
          <w:lang w:val="en-GB"/>
        </w:rPr>
        <w:t xml:space="preserve"> been documented</w:t>
      </w:r>
      <w:r w:rsidR="007F5253">
        <w:rPr>
          <w:lang w:val="en-GB"/>
        </w:rPr>
        <w:t xml:space="preserve"> in several cases in the last decade</w:t>
      </w:r>
      <w:r w:rsidR="00DB6576" w:rsidRPr="00FB64DD">
        <w:rPr>
          <w:lang w:val="en-GB"/>
        </w:rPr>
        <w:t>, drawing attention to the so-called Low-Intensity Natech (LIN) events.</w:t>
      </w:r>
      <w:r w:rsidR="007F5253">
        <w:rPr>
          <w:lang w:val="en-GB"/>
        </w:rPr>
        <w:t xml:space="preserve"> During these</w:t>
      </w:r>
      <w:r w:rsidR="007F5253" w:rsidRPr="00FB64DD">
        <w:rPr>
          <w:lang w:val="en-GB"/>
        </w:rPr>
        <w:t xml:space="preserve"> accidental scenarios, </w:t>
      </w:r>
      <w:r w:rsidR="007F5253">
        <w:rPr>
          <w:lang w:val="en-GB"/>
        </w:rPr>
        <w:t xml:space="preserve">floods </w:t>
      </w:r>
      <w:r w:rsidR="000C39C8">
        <w:rPr>
          <w:lang w:val="en-GB"/>
        </w:rPr>
        <w:t>cause</w:t>
      </w:r>
      <w:r w:rsidR="007F5253">
        <w:rPr>
          <w:lang w:val="en-GB"/>
        </w:rPr>
        <w:t xml:space="preserve"> the loss of containment of </w:t>
      </w:r>
      <w:r w:rsidR="007F5253" w:rsidRPr="00FB64DD">
        <w:rPr>
          <w:lang w:val="en-GB"/>
        </w:rPr>
        <w:t xml:space="preserve">pollutants stored or processed </w:t>
      </w:r>
      <w:r w:rsidR="007F5253">
        <w:rPr>
          <w:lang w:val="en-GB"/>
        </w:rPr>
        <w:t>within industrial activities of various nature into floodwaters, contaminating them</w:t>
      </w:r>
      <w:r w:rsidR="007F5253" w:rsidRPr="00FB64DD">
        <w:rPr>
          <w:lang w:val="en-GB"/>
        </w:rPr>
        <w:t xml:space="preserve">. </w:t>
      </w:r>
      <w:r w:rsidR="000C39C8" w:rsidRPr="000C39C8">
        <w:rPr>
          <w:lang w:val="en-GB"/>
        </w:rPr>
        <w:t>This may further impact the soil and water body quality as a result of migration and stagnation of these floodwaters,</w:t>
      </w:r>
      <w:r w:rsidR="007F5253" w:rsidRPr="00FB64DD">
        <w:rPr>
          <w:lang w:val="en-GB"/>
        </w:rPr>
        <w:t xml:space="preserve"> endangering both terrestrial and aquatic ecosystems.</w:t>
      </w:r>
      <w:r w:rsidR="007F5253">
        <w:rPr>
          <w:lang w:val="en-GB"/>
        </w:rPr>
        <w:t xml:space="preserve"> For example</w:t>
      </w:r>
      <w:r w:rsidRPr="00FB64DD">
        <w:rPr>
          <w:lang w:val="en-GB"/>
        </w:rPr>
        <w:t xml:space="preserve">, in May 2023, the municipality of Conselice in Northern Italy experienced significant soil contamination due to floodwaters stagnating for two weeks in an industrial area. The prolonged interaction of the floodwaters with hazardous substances used in food production resulted in widespread environmental damage (Arrighi &amp; Domeneghetti, 2024). Similar </w:t>
      </w:r>
      <w:r w:rsidR="0070259C">
        <w:rPr>
          <w:lang w:val="en-GB"/>
        </w:rPr>
        <w:t>accidents</w:t>
      </w:r>
      <w:r w:rsidRPr="00FB64DD">
        <w:rPr>
          <w:lang w:val="en-GB"/>
        </w:rPr>
        <w:t xml:space="preserve"> have been reported, such as the 2019 flooding in the Saga province</w:t>
      </w:r>
      <w:r w:rsidR="007F3232">
        <w:rPr>
          <w:lang w:val="en-GB"/>
        </w:rPr>
        <w:t xml:space="preserve">, </w:t>
      </w:r>
      <w:r w:rsidRPr="00FB64DD">
        <w:rPr>
          <w:lang w:val="en-GB"/>
        </w:rPr>
        <w:t xml:space="preserve">Japan, where floodwaters caused the release of </w:t>
      </w:r>
      <w:r w:rsidR="00AA2165">
        <w:rPr>
          <w:lang w:val="en-GB"/>
        </w:rPr>
        <w:t xml:space="preserve">a significant amount of </w:t>
      </w:r>
      <w:r w:rsidRPr="00FB64DD">
        <w:rPr>
          <w:lang w:val="en-GB"/>
        </w:rPr>
        <w:t xml:space="preserve">crude oil, </w:t>
      </w:r>
      <w:r w:rsidR="00AA2165">
        <w:rPr>
          <w:lang w:val="en-GB"/>
        </w:rPr>
        <w:t>which caused the contamination of</w:t>
      </w:r>
      <w:r w:rsidRPr="00FB64DD">
        <w:rPr>
          <w:lang w:val="en-GB"/>
        </w:rPr>
        <w:t xml:space="preserve"> large tracts of agricultural and residential land (Misuri et al., 2021), and the 2017 flash flood in Livorno, Italy, which resulted in an oil spill that severely impacted local water bodies </w:t>
      </w:r>
      <w:r w:rsidR="00BA5990">
        <w:rPr>
          <w:lang w:val="en-GB"/>
        </w:rPr>
        <w:t xml:space="preserve">and </w:t>
      </w:r>
      <w:r w:rsidR="00777841">
        <w:rPr>
          <w:lang w:val="en-GB"/>
        </w:rPr>
        <w:t xml:space="preserve">soil </w:t>
      </w:r>
      <w:r w:rsidRPr="00FB64DD">
        <w:rPr>
          <w:lang w:val="en-GB"/>
        </w:rPr>
        <w:t>(eNatech, 2024).</w:t>
      </w:r>
    </w:p>
    <w:p w14:paraId="0728D842" w14:textId="3372A4E4" w:rsidR="00DB6576" w:rsidRDefault="00DB6576" w:rsidP="00DB6576">
      <w:pPr>
        <w:pStyle w:val="CETBodytext"/>
        <w:rPr>
          <w:lang w:val="en-GB"/>
        </w:rPr>
      </w:pPr>
      <w:r w:rsidRPr="00FB64DD">
        <w:rPr>
          <w:lang w:val="en-GB"/>
        </w:rPr>
        <w:t>Even though the risk</w:t>
      </w:r>
      <w:r w:rsidR="007F5253">
        <w:rPr>
          <w:lang w:val="en-GB"/>
        </w:rPr>
        <w:t>s</w:t>
      </w:r>
      <w:r w:rsidRPr="00FB64DD">
        <w:rPr>
          <w:lang w:val="en-GB"/>
        </w:rPr>
        <w:t xml:space="preserve"> posed by LIN events are becoming more widely acknowledged, the</w:t>
      </w:r>
      <w:r w:rsidR="00CD1254">
        <w:rPr>
          <w:lang w:val="en-GB"/>
        </w:rPr>
        <w:t>ir</w:t>
      </w:r>
      <w:r w:rsidRPr="00FB64DD">
        <w:rPr>
          <w:lang w:val="en-GB"/>
        </w:rPr>
        <w:t xml:space="preserve"> distinctive characteristics are </w:t>
      </w:r>
      <w:r w:rsidR="00B95872">
        <w:rPr>
          <w:lang w:val="en-GB"/>
        </w:rPr>
        <w:t xml:space="preserve">often </w:t>
      </w:r>
      <w:r w:rsidRPr="00FB64DD">
        <w:rPr>
          <w:lang w:val="en-GB"/>
        </w:rPr>
        <w:t xml:space="preserve">overlooked by </w:t>
      </w:r>
      <w:r w:rsidR="00BD6A6C">
        <w:rPr>
          <w:lang w:val="en-GB"/>
        </w:rPr>
        <w:t>current</w:t>
      </w:r>
      <w:r w:rsidRPr="00FB64DD">
        <w:rPr>
          <w:lang w:val="en-GB"/>
        </w:rPr>
        <w:t xml:space="preserve"> risk assessment approaches.</w:t>
      </w:r>
      <w:r w:rsidR="00B95872">
        <w:rPr>
          <w:lang w:val="en-GB"/>
        </w:rPr>
        <w:t xml:space="preserve"> </w:t>
      </w:r>
      <w:r w:rsidR="001B49AA">
        <w:rPr>
          <w:lang w:val="en-GB"/>
        </w:rPr>
        <w:t>The efforts</w:t>
      </w:r>
      <w:r w:rsidR="00173293">
        <w:rPr>
          <w:lang w:val="en-GB"/>
        </w:rPr>
        <w:t xml:space="preserve"> of </w:t>
      </w:r>
      <w:r w:rsidR="00173293" w:rsidRPr="00FB64DD">
        <w:rPr>
          <w:lang w:val="en-GB"/>
        </w:rPr>
        <w:t>Morra et al.</w:t>
      </w:r>
      <w:r w:rsidR="00173293">
        <w:rPr>
          <w:lang w:val="en-GB"/>
        </w:rPr>
        <w:t xml:space="preserve"> (</w:t>
      </w:r>
      <w:r w:rsidR="00173293" w:rsidRPr="00FB64DD">
        <w:rPr>
          <w:lang w:val="en-GB"/>
        </w:rPr>
        <w:t>2012</w:t>
      </w:r>
      <w:r w:rsidR="00173293">
        <w:rPr>
          <w:lang w:val="en-GB"/>
        </w:rPr>
        <w:t>)</w:t>
      </w:r>
      <w:r w:rsidR="00173293" w:rsidRPr="00FB64DD">
        <w:rPr>
          <w:lang w:val="en-GB"/>
        </w:rPr>
        <w:t xml:space="preserve"> </w:t>
      </w:r>
      <w:r w:rsidRPr="00FB64DD">
        <w:rPr>
          <w:lang w:val="en-GB"/>
        </w:rPr>
        <w:lastRenderedPageBreak/>
        <w:t xml:space="preserve">to </w:t>
      </w:r>
      <w:r w:rsidR="00324FA9" w:rsidRPr="00FB64DD">
        <w:rPr>
          <w:lang w:val="en-GB"/>
        </w:rPr>
        <w:t>estimat</w:t>
      </w:r>
      <w:r w:rsidR="00173293">
        <w:rPr>
          <w:lang w:val="en-GB"/>
        </w:rPr>
        <w:t>e</w:t>
      </w:r>
      <w:r w:rsidR="00324FA9" w:rsidRPr="00FB64DD">
        <w:rPr>
          <w:lang w:val="en-GB"/>
        </w:rPr>
        <w:t xml:space="preserve"> the risk </w:t>
      </w:r>
      <w:r w:rsidR="00EC2FDF">
        <w:rPr>
          <w:lang w:val="en-GB"/>
        </w:rPr>
        <w:t>associated with</w:t>
      </w:r>
      <w:r w:rsidR="00324FA9" w:rsidRPr="00FB64DD">
        <w:rPr>
          <w:lang w:val="en-GB"/>
        </w:rPr>
        <w:t xml:space="preserve"> Natech events </w:t>
      </w:r>
      <w:r w:rsidR="00CB67BF">
        <w:rPr>
          <w:lang w:val="en-GB"/>
        </w:rPr>
        <w:t>accounting for</w:t>
      </w:r>
      <w:r w:rsidR="00EC2FDF">
        <w:rPr>
          <w:lang w:val="en-GB"/>
        </w:rPr>
        <w:t xml:space="preserve"> the target environment</w:t>
      </w:r>
      <w:r w:rsidR="00777841">
        <w:rPr>
          <w:lang w:val="en-GB"/>
        </w:rPr>
        <w:t xml:space="preserve"> can be considered </w:t>
      </w:r>
      <w:r w:rsidR="001B49AA">
        <w:rPr>
          <w:lang w:val="en-GB"/>
        </w:rPr>
        <w:t xml:space="preserve">a first step in this </w:t>
      </w:r>
      <w:r w:rsidR="008900C8">
        <w:rPr>
          <w:lang w:val="en-GB"/>
        </w:rPr>
        <w:t xml:space="preserve">direction. However, </w:t>
      </w:r>
      <w:r w:rsidR="00324FA9" w:rsidRPr="00FB64DD">
        <w:rPr>
          <w:lang w:val="en-GB"/>
        </w:rPr>
        <w:t xml:space="preserve">the complex interactions between floodwaters and the industrial landscape that take place </w:t>
      </w:r>
      <w:r w:rsidR="00112B21">
        <w:rPr>
          <w:lang w:val="en-GB"/>
        </w:rPr>
        <w:t>during</w:t>
      </w:r>
      <w:r w:rsidR="00324FA9" w:rsidRPr="00FB64DD">
        <w:rPr>
          <w:lang w:val="en-GB"/>
        </w:rPr>
        <w:t xml:space="preserve"> LIN events are not adequately addressed</w:t>
      </w:r>
      <w:r w:rsidR="007F5253">
        <w:rPr>
          <w:lang w:val="en-GB"/>
        </w:rPr>
        <w:t>,</w:t>
      </w:r>
      <w:r w:rsidR="00173293">
        <w:rPr>
          <w:lang w:val="en-GB"/>
        </w:rPr>
        <w:t xml:space="preserve"> as only Seveso establishment</w:t>
      </w:r>
      <w:r w:rsidR="00112B21">
        <w:rPr>
          <w:lang w:val="en-GB"/>
        </w:rPr>
        <w:t>s</w:t>
      </w:r>
      <w:r w:rsidR="00173293">
        <w:rPr>
          <w:lang w:val="en-GB"/>
        </w:rPr>
        <w:t xml:space="preserve"> are considered</w:t>
      </w:r>
      <w:r w:rsidR="00324FA9" w:rsidRPr="00FB64DD">
        <w:rPr>
          <w:lang w:val="en-GB"/>
        </w:rPr>
        <w:t>.</w:t>
      </w:r>
      <w:r w:rsidR="00324FA9">
        <w:rPr>
          <w:lang w:val="en-GB"/>
        </w:rPr>
        <w:t xml:space="preserve"> </w:t>
      </w:r>
      <w:r w:rsidR="003B0341" w:rsidRPr="003B0341">
        <w:rPr>
          <w:lang w:val="en-GB"/>
        </w:rPr>
        <w:t xml:space="preserve">Furthermore, the approach proposed by Di Fluri et al. (2024) to assess the biochemical quality of surface waters in selected river basins affected by industrial discharges represents an interesting starting point for </w:t>
      </w:r>
      <w:r w:rsidR="007F5253">
        <w:rPr>
          <w:lang w:val="en-GB"/>
        </w:rPr>
        <w:t xml:space="preserve">assessing the potential magnitude of these peculiar accidental scenarios. </w:t>
      </w:r>
    </w:p>
    <w:p w14:paraId="5741900F" w14:textId="328A854E" w:rsidR="00453E24" w:rsidRPr="00DB6576" w:rsidRDefault="000C4EC7" w:rsidP="008A411A">
      <w:pPr>
        <w:pStyle w:val="CETHeading1"/>
        <w:ind w:left="0"/>
      </w:pPr>
      <w:r>
        <w:t>Method</w:t>
      </w:r>
    </w:p>
    <w:p w14:paraId="6659E08F" w14:textId="516196F7" w:rsidR="007F5253" w:rsidRDefault="007F5253" w:rsidP="004366C7">
      <w:pPr>
        <w:pStyle w:val="CETBodytext"/>
        <w:rPr>
          <w:rFonts w:eastAsiaTheme="minorEastAsia"/>
        </w:rPr>
      </w:pPr>
      <w:r w:rsidRPr="007F5253">
        <w:rPr>
          <w:rFonts w:eastAsiaTheme="minorEastAsia"/>
        </w:rPr>
        <w:t xml:space="preserve">An </w:t>
      </w:r>
      <w:r w:rsidR="003132E5" w:rsidRPr="007F5253">
        <w:rPr>
          <w:rFonts w:eastAsiaTheme="minorEastAsia"/>
        </w:rPr>
        <w:t>index-based method for assessing the risk associated with</w:t>
      </w:r>
      <w:r w:rsidR="0072505E" w:rsidRPr="007F5253">
        <w:rPr>
          <w:rFonts w:eastAsiaTheme="minorEastAsia"/>
        </w:rPr>
        <w:t xml:space="preserve"> </w:t>
      </w:r>
      <w:r w:rsidR="003132E5" w:rsidRPr="007F5253">
        <w:rPr>
          <w:rFonts w:eastAsiaTheme="minorEastAsia"/>
        </w:rPr>
        <w:t>LIN</w:t>
      </w:r>
      <w:r w:rsidR="0072505E" w:rsidRPr="007F5253">
        <w:rPr>
          <w:rFonts w:eastAsiaTheme="minorEastAsia"/>
        </w:rPr>
        <w:t xml:space="preserve"> </w:t>
      </w:r>
      <w:r w:rsidR="003132E5" w:rsidRPr="007F5253">
        <w:rPr>
          <w:rFonts w:eastAsiaTheme="minorEastAsia"/>
        </w:rPr>
        <w:t xml:space="preserve">events </w:t>
      </w:r>
      <w:r w:rsidRPr="007F5253">
        <w:rPr>
          <w:rFonts w:eastAsiaTheme="minorEastAsia"/>
        </w:rPr>
        <w:t xml:space="preserve">targeting the environment </w:t>
      </w:r>
      <w:r w:rsidR="003132E5" w:rsidRPr="007F5253">
        <w:rPr>
          <w:rFonts w:eastAsiaTheme="minorEastAsia"/>
        </w:rPr>
        <w:t>in a given area</w:t>
      </w:r>
      <w:r w:rsidRPr="007F5253">
        <w:rPr>
          <w:rFonts w:eastAsiaTheme="minorEastAsia"/>
        </w:rPr>
        <w:t xml:space="preserve"> is defined within this contribution</w:t>
      </w:r>
      <w:r w:rsidR="003132E5" w:rsidRPr="007F5253">
        <w:rPr>
          <w:rFonts w:eastAsiaTheme="minorEastAsia"/>
        </w:rPr>
        <w:t>.</w:t>
      </w:r>
      <w:r w:rsidRPr="007F5253">
        <w:rPr>
          <w:rFonts w:eastAsiaTheme="minorEastAsia"/>
        </w:rPr>
        <w:t xml:space="preserve"> </w:t>
      </w:r>
      <w:r w:rsidRPr="007F5253">
        <w:t xml:space="preserve">This approach models the risk as a combination of the </w:t>
      </w:r>
      <w:r w:rsidRPr="007F5253">
        <w:rPr>
          <w:rStyle w:val="Enfasicorsivo"/>
          <w:i w:val="0"/>
          <w:iCs w:val="0"/>
        </w:rPr>
        <w:t>magnitude</w:t>
      </w:r>
      <w:r w:rsidRPr="007F5253">
        <w:rPr>
          <w:i/>
          <w:iCs/>
        </w:rPr>
        <w:t xml:space="preserve"> </w:t>
      </w:r>
      <w:r w:rsidRPr="007F5253">
        <w:t xml:space="preserve">and the </w:t>
      </w:r>
      <w:r w:rsidRPr="007F5253">
        <w:rPr>
          <w:rStyle w:val="Enfasicorsivo"/>
          <w:i w:val="0"/>
          <w:iCs w:val="0"/>
        </w:rPr>
        <w:t>frequency</w:t>
      </w:r>
      <w:r w:rsidRPr="007F5253">
        <w:t xml:space="preserve"> of potential accidental events. Magnitude is assessed by identifying and characterizing relevant pollution sources in the area, and frequency is estimated by accounting for</w:t>
      </w:r>
      <w:r w:rsidR="000C39C8">
        <w:t xml:space="preserve"> the position of these pollution sources considering</w:t>
      </w:r>
      <w:r w:rsidRPr="007F5253">
        <w:t xml:space="preserve"> flood hazard and land usage. </w:t>
      </w:r>
    </w:p>
    <w:p w14:paraId="3F9EADB4" w14:textId="1097021D" w:rsidR="00A63778" w:rsidRPr="007F5253" w:rsidRDefault="003132E5" w:rsidP="004366C7">
      <w:pPr>
        <w:pStyle w:val="CETBodytext"/>
        <w:rPr>
          <w:rFonts w:eastAsiaTheme="minorEastAsia"/>
        </w:rPr>
      </w:pPr>
      <w:r w:rsidRPr="003132E5">
        <w:rPr>
          <w:rFonts w:eastAsiaTheme="minorEastAsia"/>
        </w:rPr>
        <w:t xml:space="preserve">The </w:t>
      </w:r>
      <w:r w:rsidR="007F5253">
        <w:rPr>
          <w:rFonts w:eastAsiaTheme="minorEastAsia"/>
        </w:rPr>
        <w:t xml:space="preserve">pollution sources accounted for in the method are the discharges from </w:t>
      </w:r>
      <w:r w:rsidRPr="003132E5">
        <w:rPr>
          <w:rFonts w:eastAsiaTheme="minorEastAsia"/>
        </w:rPr>
        <w:t>industrial activit</w:t>
      </w:r>
      <w:r w:rsidR="00A63778">
        <w:rPr>
          <w:rFonts w:eastAsiaTheme="minorEastAsia"/>
        </w:rPr>
        <w:t xml:space="preserve">ies </w:t>
      </w:r>
      <w:r w:rsidR="007260D2">
        <w:rPr>
          <w:rFonts w:eastAsiaTheme="minorEastAsia"/>
        </w:rPr>
        <w:t>that</w:t>
      </w:r>
      <w:r w:rsidRPr="003132E5">
        <w:rPr>
          <w:rFonts w:eastAsiaTheme="minorEastAsia"/>
        </w:rPr>
        <w:t xml:space="preserve"> can significantly impact </w:t>
      </w:r>
      <w:r w:rsidR="007F5253">
        <w:rPr>
          <w:rFonts w:eastAsiaTheme="minorEastAsia"/>
        </w:rPr>
        <w:t xml:space="preserve">surface water and soil </w:t>
      </w:r>
      <w:r w:rsidRPr="003132E5">
        <w:rPr>
          <w:rFonts w:eastAsiaTheme="minorEastAsia"/>
        </w:rPr>
        <w:t>quality during LIN events</w:t>
      </w:r>
      <w:r w:rsidR="00BC2368">
        <w:rPr>
          <w:rFonts w:eastAsiaTheme="minorEastAsia"/>
        </w:rPr>
        <w:t xml:space="preserve">. </w:t>
      </w:r>
      <w:r w:rsidR="00A63778">
        <w:rPr>
          <w:rFonts w:eastAsiaTheme="minorEastAsia"/>
        </w:rPr>
        <w:tab/>
      </w:r>
      <w:r w:rsidR="003C4B44">
        <w:rPr>
          <w:rFonts w:eastAsiaTheme="minorEastAsia"/>
        </w:rPr>
        <w:t>Specifically,</w:t>
      </w:r>
      <w:r w:rsidR="007F5253">
        <w:rPr>
          <w:rFonts w:eastAsiaTheme="minorEastAsia"/>
        </w:rPr>
        <w:t xml:space="preserve"> </w:t>
      </w:r>
      <w:r w:rsidR="00A63778">
        <w:t>Seveso</w:t>
      </w:r>
      <w:r w:rsidR="000B17E5">
        <w:t xml:space="preserve"> </w:t>
      </w:r>
      <w:r w:rsidR="007F5253">
        <w:t xml:space="preserve">establishments </w:t>
      </w:r>
      <w:r w:rsidR="00A63778" w:rsidRPr="008B3A10">
        <w:rPr>
          <w:rFonts w:eastAsiaTheme="minorEastAsia"/>
        </w:rPr>
        <w:t>(</w:t>
      </w:r>
      <w:r w:rsidR="000B17E5">
        <w:rPr>
          <w:rFonts w:eastAsiaTheme="minorEastAsia"/>
        </w:rPr>
        <w:t xml:space="preserve">sites </w:t>
      </w:r>
      <w:r w:rsidR="000B17E5" w:rsidRPr="008B3A10">
        <w:rPr>
          <w:rFonts w:eastAsiaTheme="minorEastAsia"/>
        </w:rPr>
        <w:t xml:space="preserve">falling under the obligation of </w:t>
      </w:r>
      <w:r w:rsidR="00A63778" w:rsidRPr="008B3A10">
        <w:rPr>
          <w:rFonts w:eastAsiaTheme="minorEastAsia"/>
        </w:rPr>
        <w:t>Directive 2012/18/EU)</w:t>
      </w:r>
      <w:r w:rsidR="00A63778">
        <w:t xml:space="preserve"> and IPPC-IED</w:t>
      </w:r>
      <w:r w:rsidR="000B17E5">
        <w:t xml:space="preserve"> activities</w:t>
      </w:r>
      <w:r w:rsidR="003C4B44">
        <w:t xml:space="preserve"> </w:t>
      </w:r>
      <w:r w:rsidR="000B17E5">
        <w:t xml:space="preserve">(sites </w:t>
      </w:r>
      <w:r w:rsidR="000B17E5" w:rsidRPr="008B3A10">
        <w:rPr>
          <w:rFonts w:eastAsiaTheme="minorEastAsia"/>
        </w:rPr>
        <w:t>falling under the obligation of</w:t>
      </w:r>
      <w:r w:rsidR="00A63778">
        <w:t xml:space="preserve"> </w:t>
      </w:r>
      <w:r w:rsidR="00A63778" w:rsidRPr="008B3A10">
        <w:rPr>
          <w:rFonts w:eastAsiaTheme="minorEastAsia"/>
        </w:rPr>
        <w:t>Directive 2010/75/EU)</w:t>
      </w:r>
      <w:r w:rsidR="007F5253">
        <w:rPr>
          <w:rFonts w:eastAsiaTheme="minorEastAsia"/>
        </w:rPr>
        <w:t xml:space="preserve"> </w:t>
      </w:r>
      <w:r w:rsidR="007F5253">
        <w:t>are considered,</w:t>
      </w:r>
      <w:r w:rsidR="007F5253">
        <w:rPr>
          <w:rFonts w:eastAsiaTheme="minorEastAsia"/>
        </w:rPr>
        <w:t xml:space="preserve"> as they</w:t>
      </w:r>
      <w:r w:rsidR="00A63778">
        <w:rPr>
          <w:rFonts w:eastAsiaTheme="minorEastAsia"/>
        </w:rPr>
        <w:t xml:space="preserve"> </w:t>
      </w:r>
      <w:r w:rsidR="00A63778">
        <w:t>are recognized for storing and processing significant quantities of substances that can be harmful to aquatic environments (Shafiei Moghaddam et al., 2023)</w:t>
      </w:r>
      <w:r w:rsidR="003C4B44">
        <w:t>. Additionally,</w:t>
      </w:r>
      <w:r w:rsidR="00A63778">
        <w:t xml:space="preserve"> </w:t>
      </w:r>
      <w:r w:rsidR="00386236">
        <w:t>Contaminated Sites (CSs</w:t>
      </w:r>
      <w:r w:rsidR="007F5253">
        <w:t xml:space="preserve">) are accounted for as they </w:t>
      </w:r>
      <w:r w:rsidR="00386236">
        <w:t>can lead to surface water contamination through run-off from former industrial sites (Chaudhry &amp; Malik, 2017)</w:t>
      </w:r>
      <w:r w:rsidR="007F5253">
        <w:t xml:space="preserve">. </w:t>
      </w:r>
      <w:r w:rsidR="00A63778">
        <w:t>Waste Water Treatment Plants (WWTPs)</w:t>
      </w:r>
      <w:r w:rsidR="00EA0732">
        <w:t xml:space="preserve"> -</w:t>
      </w:r>
      <w:r w:rsidR="00A63778">
        <w:t xml:space="preserve"> and in particular activated sludge systems</w:t>
      </w:r>
      <w:r w:rsidR="00EA0732">
        <w:t xml:space="preserve"> </w:t>
      </w:r>
      <w:r w:rsidR="007F5253">
        <w:t>–</w:t>
      </w:r>
      <w:r w:rsidR="00A63778">
        <w:t xml:space="preserve"> </w:t>
      </w:r>
      <w:r w:rsidR="007F5253">
        <w:t xml:space="preserve">are included in the assessment as they </w:t>
      </w:r>
      <w:r w:rsidR="00A63778">
        <w:t>are known to contribute nutrients to receiving water bodies, especially when control systems fail or during critical hydrological conditions (Su et al., 2021)</w:t>
      </w:r>
      <w:r w:rsidR="000B17E5">
        <w:t>.</w:t>
      </w:r>
    </w:p>
    <w:p w14:paraId="1CBADFBE" w14:textId="4F308ECA" w:rsidR="00E665DE" w:rsidRDefault="00A3186A" w:rsidP="00A3186A">
      <w:pPr>
        <w:pStyle w:val="CETheadingx"/>
      </w:pPr>
      <w:r>
        <w:t xml:space="preserve">Magnitude assessment </w:t>
      </w:r>
    </w:p>
    <w:p w14:paraId="48ADE20D" w14:textId="03E22DA8" w:rsidR="001F2D94" w:rsidRPr="007F5253" w:rsidRDefault="003335E5" w:rsidP="003335E5">
      <w:pPr>
        <w:pStyle w:val="CETBodytext"/>
        <w:rPr>
          <w:rFonts w:eastAsiaTheme="minorEastAsia"/>
        </w:rPr>
      </w:pPr>
      <w:r w:rsidRPr="003335E5">
        <w:rPr>
          <w:rFonts w:eastAsiaTheme="minorEastAsia"/>
        </w:rPr>
        <w:t xml:space="preserve">The magnitude </w:t>
      </w:r>
      <w:r w:rsidR="00885363">
        <w:rPr>
          <w:rFonts w:eastAsiaTheme="minorEastAsia"/>
        </w:rPr>
        <w:t xml:space="preserve">of </w:t>
      </w:r>
      <w:r w:rsidR="00FB7B2E">
        <w:rPr>
          <w:rFonts w:eastAsiaTheme="minorEastAsia"/>
        </w:rPr>
        <w:t xml:space="preserve">the </w:t>
      </w:r>
      <w:r w:rsidR="00885363">
        <w:rPr>
          <w:rFonts w:eastAsiaTheme="minorEastAsia"/>
        </w:rPr>
        <w:t xml:space="preserve">contamination </w:t>
      </w:r>
      <w:r w:rsidRPr="003335E5">
        <w:rPr>
          <w:rFonts w:eastAsiaTheme="minorEastAsia"/>
        </w:rPr>
        <w:t xml:space="preserve">focuses on characterizing </w:t>
      </w:r>
      <w:r w:rsidR="009A18D5" w:rsidRPr="003335E5">
        <w:rPr>
          <w:rFonts w:eastAsiaTheme="minorEastAsia"/>
        </w:rPr>
        <w:t>pollution sources</w:t>
      </w:r>
      <w:r w:rsidR="00ED009A">
        <w:rPr>
          <w:rFonts w:eastAsiaTheme="minorEastAsia"/>
        </w:rPr>
        <w:t xml:space="preserve"> potentially impacted by floodwater</w:t>
      </w:r>
      <w:r w:rsidRPr="003335E5">
        <w:rPr>
          <w:rFonts w:eastAsiaTheme="minorEastAsia"/>
        </w:rPr>
        <w:t xml:space="preserve">, </w:t>
      </w:r>
      <w:r w:rsidR="00EB3984">
        <w:rPr>
          <w:rFonts w:eastAsiaTheme="minorEastAsia"/>
        </w:rPr>
        <w:t>through their</w:t>
      </w:r>
      <w:r w:rsidR="009A18D5" w:rsidRPr="009A18D5">
        <w:rPr>
          <w:rFonts w:eastAsiaTheme="minorEastAsia"/>
        </w:rPr>
        <w:t xml:space="preserve"> </w:t>
      </w:r>
      <w:r w:rsidR="009A18D5" w:rsidRPr="003335E5">
        <w:rPr>
          <w:rFonts w:eastAsiaTheme="minorEastAsia"/>
        </w:rPr>
        <w:t>water discharges</w:t>
      </w:r>
      <w:r w:rsidRPr="003335E5">
        <w:rPr>
          <w:rFonts w:eastAsiaTheme="minorEastAsia"/>
        </w:rPr>
        <w:t xml:space="preserve"> within a selected area</w:t>
      </w:r>
      <w:r w:rsidR="00ED009A">
        <w:rPr>
          <w:rFonts w:eastAsiaTheme="minorEastAsia"/>
        </w:rPr>
        <w:t>,</w:t>
      </w:r>
      <w:r w:rsidRPr="003335E5">
        <w:rPr>
          <w:rFonts w:eastAsiaTheme="minorEastAsia"/>
        </w:rPr>
        <w:t xml:space="preserve"> using </w:t>
      </w:r>
      <w:r w:rsidR="00125502">
        <w:rPr>
          <w:rFonts w:eastAsiaTheme="minorEastAsia"/>
        </w:rPr>
        <w:t>a</w:t>
      </w:r>
      <w:r w:rsidR="005A4AAF">
        <w:rPr>
          <w:rFonts w:eastAsiaTheme="minorEastAsia"/>
        </w:rPr>
        <w:t xml:space="preserve"> flooding</w:t>
      </w:r>
      <w:r w:rsidRPr="003335E5">
        <w:rPr>
          <w:rFonts w:eastAsiaTheme="minorEastAsia"/>
        </w:rPr>
        <w:t xml:space="preserve"> Biochemical Pressure Index </w:t>
      </w:r>
      <w:r w:rsidRPr="00B72FEC">
        <w:rPr>
          <w:rFonts w:eastAsiaTheme="minorEastAsia"/>
          <w:i/>
          <w:iCs/>
        </w:rPr>
        <w:t>(BPI</w:t>
      </w:r>
      <w:r w:rsidRPr="00B72FEC">
        <w:rPr>
          <w:rFonts w:eastAsiaTheme="minorEastAsia"/>
          <w:i/>
          <w:iCs/>
          <w:vertAlign w:val="subscript"/>
        </w:rPr>
        <w:t>flood</w:t>
      </w:r>
      <w:r w:rsidR="00487853">
        <w:rPr>
          <w:rFonts w:eastAsiaTheme="minorEastAsia"/>
        </w:rPr>
        <w:t xml:space="preserve">). </w:t>
      </w:r>
      <w:r w:rsidR="000466C8" w:rsidRPr="003335E5">
        <w:rPr>
          <w:rFonts w:eastAsiaTheme="minorEastAsia"/>
        </w:rPr>
        <w:t xml:space="preserve">The </w:t>
      </w:r>
      <w:r w:rsidR="00B12251" w:rsidRPr="00B72FEC">
        <w:rPr>
          <w:rFonts w:eastAsiaTheme="minorEastAsia"/>
          <w:i/>
          <w:iCs/>
        </w:rPr>
        <w:t>BPI</w:t>
      </w:r>
      <w:r w:rsidR="00B12251" w:rsidRPr="00B72FEC">
        <w:rPr>
          <w:rFonts w:eastAsiaTheme="minorEastAsia"/>
          <w:i/>
          <w:iCs/>
          <w:vertAlign w:val="subscript"/>
        </w:rPr>
        <w:t>flood</w:t>
      </w:r>
      <w:r w:rsidR="00B12251" w:rsidRPr="003335E5">
        <w:rPr>
          <w:rFonts w:eastAsiaTheme="minorEastAsia"/>
        </w:rPr>
        <w:t xml:space="preserve"> </w:t>
      </w:r>
      <w:r w:rsidR="000466C8" w:rsidRPr="003335E5">
        <w:rPr>
          <w:rFonts w:eastAsiaTheme="minorEastAsia"/>
        </w:rPr>
        <w:t xml:space="preserve">for each water discharge is </w:t>
      </w:r>
      <w:r w:rsidR="00D14B9B">
        <w:rPr>
          <w:rFonts w:eastAsiaTheme="minorEastAsia"/>
        </w:rPr>
        <w:t>defined</w:t>
      </w:r>
      <w:r w:rsidR="000466C8" w:rsidRPr="003335E5">
        <w:rPr>
          <w:rFonts w:eastAsiaTheme="minorEastAsia"/>
        </w:rPr>
        <w:t xml:space="preserve"> as the product of five parameters</w:t>
      </w:r>
      <w:r w:rsidR="001F2D94" w:rsidRPr="00863E7D">
        <w:t xml:space="preserve">, as presented in </w:t>
      </w:r>
      <w:r w:rsidR="008E18D4" w:rsidRPr="00863E7D">
        <w:t>Eq</w:t>
      </w:r>
      <w:r w:rsidR="008E18D4">
        <w:t>(</w:t>
      </w:r>
      <w:r w:rsidR="001F2D94" w:rsidRPr="00863E7D">
        <w:t>1</w:t>
      </w:r>
      <w:r w:rsidR="008E5CC6">
        <w:t>)</w:t>
      </w:r>
      <w:r w:rsidR="001F2D94">
        <w:t xml:space="preserve">: </w:t>
      </w:r>
    </w:p>
    <w:p w14:paraId="301C94A2" w14:textId="2540BB88" w:rsidR="001F2D94" w:rsidRPr="001F2D94" w:rsidRDefault="00000000" w:rsidP="001F2D94">
      <w:pPr>
        <w:pStyle w:val="CETEquation"/>
      </w:pPr>
      <m:oMath>
        <m:sSub>
          <m:sSubPr>
            <m:ctrlPr>
              <w:rPr>
                <w:rFonts w:ascii="Cambria Math" w:hAnsi="Cambria Math" w:cs="Arial"/>
                <w:i/>
              </w:rPr>
            </m:ctrlPr>
          </m:sSubPr>
          <m:e>
            <m:r>
              <w:rPr>
                <w:rFonts w:ascii="Cambria Math" w:hAnsi="Cambria Math" w:cs="Arial"/>
              </w:rPr>
              <m:t>BPI</m:t>
            </m:r>
          </m:e>
          <m:sub>
            <m:r>
              <w:rPr>
                <w:rFonts w:ascii="Cambria Math" w:hAnsi="Cambria Math" w:cs="Arial"/>
              </w:rPr>
              <m:t>flood</m:t>
            </m:r>
          </m:sub>
        </m:sSub>
        <m:r>
          <w:rPr>
            <w:rFonts w:ascii="Cambria Math" w:hAnsi="Cambria Math" w:cs="Arial"/>
          </w:rPr>
          <m:t>=D⋅T⋅F⋅ H⋅S</m:t>
        </m:r>
      </m:oMath>
      <w:r w:rsidR="001F2D94" w:rsidRPr="0032655A">
        <w:t xml:space="preserve">                 </w:t>
      </w:r>
      <w:r w:rsidR="001F2D94">
        <w:t xml:space="preserve">  </w:t>
      </w:r>
      <w:r w:rsidR="0082365F">
        <w:t xml:space="preserve">        </w:t>
      </w:r>
      <w:r w:rsidR="001F2D94">
        <w:t xml:space="preserve">                                                                                                </w:t>
      </w:r>
      <w:r w:rsidR="001F2D94" w:rsidRPr="0032655A">
        <w:t xml:space="preserve">      (1).      </w:t>
      </w:r>
    </w:p>
    <w:p w14:paraId="24D77DC6" w14:textId="79ABCFFE" w:rsidR="000D1383" w:rsidRDefault="000D1383" w:rsidP="000D1383">
      <w:pPr>
        <w:pStyle w:val="CETTabletitle"/>
      </w:pPr>
      <w:r w:rsidRPr="00942E72">
        <w:t xml:space="preserve">Table 1: </w:t>
      </w:r>
      <w:r w:rsidR="002B7560">
        <w:t>Severity scale for</w:t>
      </w:r>
      <w:r w:rsidRPr="00942E72">
        <w:t xml:space="preserve"> </w:t>
      </w:r>
      <w:r w:rsidR="00A76B87">
        <w:t xml:space="preserve">LIN </w:t>
      </w:r>
      <w:r w:rsidR="000C39C8">
        <w:t>magnitude</w:t>
      </w:r>
      <w:r w:rsidRPr="00942E72">
        <w:t xml:space="preserve"> assessment.</w:t>
      </w:r>
    </w:p>
    <w:tbl>
      <w:tblPr>
        <w:tblW w:w="883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03"/>
        <w:gridCol w:w="6518"/>
        <w:gridCol w:w="1013"/>
      </w:tblGrid>
      <w:tr w:rsidR="000D1383" w:rsidRPr="00B57B36" w14:paraId="6781E4A2" w14:textId="77777777" w:rsidTr="00DB436F">
        <w:trPr>
          <w:trHeight w:val="300"/>
        </w:trPr>
        <w:tc>
          <w:tcPr>
            <w:tcW w:w="1303" w:type="dxa"/>
            <w:tcBorders>
              <w:top w:val="single" w:sz="12" w:space="0" w:color="008000"/>
              <w:bottom w:val="single" w:sz="6" w:space="0" w:color="008000"/>
            </w:tcBorders>
            <w:shd w:val="clear" w:color="auto" w:fill="FFFFFF"/>
            <w:vAlign w:val="center"/>
          </w:tcPr>
          <w:p w14:paraId="7A00DFC8" w14:textId="77777777" w:rsidR="000D1383" w:rsidRPr="00B57B36" w:rsidRDefault="000D1383" w:rsidP="00DB436F">
            <w:pPr>
              <w:pStyle w:val="CETBodytext"/>
              <w:ind w:left="228"/>
              <w:jc w:val="left"/>
              <w:rPr>
                <w:lang w:val="en-GB"/>
              </w:rPr>
            </w:pPr>
            <w:r>
              <w:t>Parameter</w:t>
            </w:r>
          </w:p>
        </w:tc>
        <w:tc>
          <w:tcPr>
            <w:tcW w:w="6518" w:type="dxa"/>
            <w:tcBorders>
              <w:top w:val="single" w:sz="12" w:space="0" w:color="008000"/>
              <w:bottom w:val="single" w:sz="6" w:space="0" w:color="008000"/>
            </w:tcBorders>
            <w:shd w:val="clear" w:color="auto" w:fill="FFFFFF"/>
            <w:vAlign w:val="center"/>
          </w:tcPr>
          <w:p w14:paraId="0E95E71B" w14:textId="77777777" w:rsidR="000D1383" w:rsidRPr="00B57B36" w:rsidRDefault="000D1383" w:rsidP="00DB436F">
            <w:pPr>
              <w:pStyle w:val="CETBodytext"/>
              <w:ind w:left="228"/>
              <w:jc w:val="left"/>
              <w:rPr>
                <w:lang w:val="en-GB"/>
              </w:rPr>
            </w:pPr>
            <w:r>
              <w:t>Attribute</w:t>
            </w:r>
          </w:p>
        </w:tc>
        <w:tc>
          <w:tcPr>
            <w:tcW w:w="1013" w:type="dxa"/>
            <w:tcBorders>
              <w:top w:val="single" w:sz="12" w:space="0" w:color="008000"/>
              <w:bottom w:val="single" w:sz="6" w:space="0" w:color="008000"/>
            </w:tcBorders>
            <w:shd w:val="clear" w:color="auto" w:fill="FFFFFF"/>
            <w:vAlign w:val="center"/>
          </w:tcPr>
          <w:p w14:paraId="27CFBC92" w14:textId="77777777" w:rsidR="000D1383" w:rsidRPr="00B57B36" w:rsidRDefault="000D1383" w:rsidP="00DB436F">
            <w:pPr>
              <w:pStyle w:val="CETBodytext"/>
              <w:ind w:left="228"/>
              <w:jc w:val="left"/>
              <w:rPr>
                <w:lang w:val="en-GB"/>
              </w:rPr>
            </w:pPr>
            <w:r>
              <w:t>Score</w:t>
            </w:r>
          </w:p>
        </w:tc>
      </w:tr>
      <w:tr w:rsidR="000D1383" w:rsidRPr="00B57B36" w14:paraId="01BFFBC3" w14:textId="77777777" w:rsidTr="00DB436F">
        <w:trPr>
          <w:trHeight w:val="277"/>
        </w:trPr>
        <w:tc>
          <w:tcPr>
            <w:tcW w:w="1303" w:type="dxa"/>
            <w:shd w:val="clear" w:color="auto" w:fill="auto"/>
            <w:vAlign w:val="center"/>
          </w:tcPr>
          <w:p w14:paraId="7D2D1282" w14:textId="77777777" w:rsidR="000D1383" w:rsidRPr="00B57B36" w:rsidRDefault="000D1383" w:rsidP="00DB436F">
            <w:pPr>
              <w:pStyle w:val="CETBodytext"/>
              <w:ind w:left="228"/>
              <w:jc w:val="left"/>
              <w:rPr>
                <w:lang w:val="en-GB"/>
              </w:rPr>
            </w:pPr>
            <w:r>
              <w:t>D</w:t>
            </w:r>
          </w:p>
        </w:tc>
        <w:tc>
          <w:tcPr>
            <w:tcW w:w="6518" w:type="dxa"/>
            <w:tcBorders>
              <w:top w:val="single" w:sz="6" w:space="0" w:color="008000"/>
              <w:bottom w:val="nil"/>
              <w:right w:val="nil"/>
            </w:tcBorders>
            <w:shd w:val="clear" w:color="auto" w:fill="auto"/>
            <w:vAlign w:val="center"/>
          </w:tcPr>
          <w:p w14:paraId="452C0880" w14:textId="77777777" w:rsidR="000D1383" w:rsidRPr="00B57B36" w:rsidRDefault="000D1383" w:rsidP="00DB436F">
            <w:pPr>
              <w:pStyle w:val="CETBodytext"/>
              <w:ind w:left="228"/>
              <w:jc w:val="left"/>
              <w:rPr>
                <w:lang w:val="en-GB"/>
              </w:rPr>
            </w:pPr>
            <w:r w:rsidRPr="00C10ED7">
              <w:t>Uncontaminated surface run-off water</w:t>
            </w:r>
          </w:p>
        </w:tc>
        <w:tc>
          <w:tcPr>
            <w:tcW w:w="1013" w:type="dxa"/>
            <w:tcBorders>
              <w:top w:val="single" w:sz="6" w:space="0" w:color="008000"/>
              <w:left w:val="nil"/>
              <w:bottom w:val="nil"/>
              <w:right w:val="nil"/>
            </w:tcBorders>
            <w:shd w:val="clear" w:color="auto" w:fill="auto"/>
            <w:vAlign w:val="center"/>
          </w:tcPr>
          <w:p w14:paraId="454EF955" w14:textId="77777777" w:rsidR="000D1383" w:rsidRPr="00B57B36" w:rsidRDefault="000D1383" w:rsidP="00DB436F">
            <w:pPr>
              <w:pStyle w:val="CETBodytext"/>
              <w:ind w:left="228" w:right="-5047"/>
              <w:jc w:val="left"/>
              <w:rPr>
                <w:lang w:val="en-GB"/>
              </w:rPr>
            </w:pPr>
            <w:r w:rsidRPr="00C10ED7">
              <w:t>1</w:t>
            </w:r>
          </w:p>
        </w:tc>
      </w:tr>
      <w:tr w:rsidR="000D1383" w:rsidRPr="00B57B36" w14:paraId="65742E9E" w14:textId="77777777" w:rsidTr="00DB436F">
        <w:trPr>
          <w:trHeight w:val="289"/>
        </w:trPr>
        <w:tc>
          <w:tcPr>
            <w:tcW w:w="1303" w:type="dxa"/>
            <w:shd w:val="clear" w:color="auto" w:fill="auto"/>
            <w:vAlign w:val="center"/>
          </w:tcPr>
          <w:p w14:paraId="3D2A1F10" w14:textId="77777777" w:rsidR="000D1383" w:rsidRPr="00B57B36" w:rsidRDefault="000D1383" w:rsidP="00DB436F">
            <w:pPr>
              <w:pStyle w:val="CETBodytext"/>
              <w:ind w:left="228"/>
              <w:jc w:val="left"/>
              <w:rPr>
                <w:lang w:val="en-GB"/>
              </w:rPr>
            </w:pPr>
          </w:p>
        </w:tc>
        <w:tc>
          <w:tcPr>
            <w:tcW w:w="6518" w:type="dxa"/>
            <w:tcBorders>
              <w:top w:val="nil"/>
              <w:bottom w:val="nil"/>
              <w:right w:val="nil"/>
            </w:tcBorders>
            <w:shd w:val="clear" w:color="auto" w:fill="auto"/>
            <w:vAlign w:val="center"/>
          </w:tcPr>
          <w:p w14:paraId="13F67DA3" w14:textId="77777777" w:rsidR="000D1383" w:rsidRPr="00B57B36" w:rsidRDefault="000D1383" w:rsidP="00DB436F">
            <w:pPr>
              <w:pStyle w:val="CETBodytext"/>
              <w:ind w:left="228"/>
              <w:jc w:val="left"/>
              <w:rPr>
                <w:lang w:val="en-GB"/>
              </w:rPr>
            </w:pPr>
            <w:r w:rsidRPr="00C10ED7">
              <w:t>Domestic wastewater</w:t>
            </w:r>
          </w:p>
        </w:tc>
        <w:tc>
          <w:tcPr>
            <w:tcW w:w="1013" w:type="dxa"/>
            <w:tcBorders>
              <w:top w:val="nil"/>
              <w:left w:val="nil"/>
              <w:bottom w:val="nil"/>
              <w:right w:val="nil"/>
            </w:tcBorders>
            <w:shd w:val="clear" w:color="auto" w:fill="auto"/>
            <w:vAlign w:val="center"/>
          </w:tcPr>
          <w:p w14:paraId="723E9201" w14:textId="77777777" w:rsidR="000D1383" w:rsidRPr="00B57B36" w:rsidRDefault="000D1383" w:rsidP="00DB436F">
            <w:pPr>
              <w:pStyle w:val="CETBodytext"/>
              <w:ind w:left="228"/>
              <w:jc w:val="left"/>
              <w:rPr>
                <w:lang w:val="en-GB"/>
              </w:rPr>
            </w:pPr>
            <w:r w:rsidRPr="00C10ED7">
              <w:t>2</w:t>
            </w:r>
          </w:p>
        </w:tc>
      </w:tr>
      <w:tr w:rsidR="000D1383" w:rsidRPr="00FF3037" w14:paraId="7D50BCAF" w14:textId="77777777" w:rsidTr="00DB436F">
        <w:trPr>
          <w:trHeight w:val="300"/>
        </w:trPr>
        <w:tc>
          <w:tcPr>
            <w:tcW w:w="1303" w:type="dxa"/>
            <w:shd w:val="clear" w:color="auto" w:fill="auto"/>
            <w:vAlign w:val="center"/>
          </w:tcPr>
          <w:p w14:paraId="352D3FC9" w14:textId="77777777" w:rsidR="000D1383" w:rsidRPr="00B57B36" w:rsidRDefault="000D1383" w:rsidP="00DB436F">
            <w:pPr>
              <w:pStyle w:val="CETBodytext"/>
              <w:ind w:left="228"/>
              <w:jc w:val="left"/>
              <w:rPr>
                <w:lang w:val="en-GB"/>
              </w:rPr>
            </w:pPr>
          </w:p>
        </w:tc>
        <w:tc>
          <w:tcPr>
            <w:tcW w:w="6518" w:type="dxa"/>
            <w:tcBorders>
              <w:top w:val="nil"/>
              <w:bottom w:val="nil"/>
              <w:right w:val="nil"/>
            </w:tcBorders>
            <w:shd w:val="clear" w:color="auto" w:fill="auto"/>
            <w:vAlign w:val="center"/>
          </w:tcPr>
          <w:p w14:paraId="23F4DA70" w14:textId="77777777" w:rsidR="000D1383" w:rsidRPr="00FF3037" w:rsidRDefault="000D1383" w:rsidP="00DB436F">
            <w:pPr>
              <w:pStyle w:val="CETBodytext"/>
              <w:ind w:left="228"/>
              <w:jc w:val="left"/>
              <w:rPr>
                <w:lang w:val="en-GB"/>
              </w:rPr>
            </w:pPr>
            <w:r w:rsidRPr="00C10ED7">
              <w:t>Contaminated surface run-off water and washing wastewater</w:t>
            </w:r>
          </w:p>
        </w:tc>
        <w:tc>
          <w:tcPr>
            <w:tcW w:w="1013" w:type="dxa"/>
            <w:tcBorders>
              <w:top w:val="nil"/>
              <w:left w:val="nil"/>
              <w:bottom w:val="nil"/>
              <w:right w:val="nil"/>
            </w:tcBorders>
            <w:shd w:val="clear" w:color="auto" w:fill="auto"/>
            <w:vAlign w:val="center"/>
          </w:tcPr>
          <w:p w14:paraId="036CBB0E" w14:textId="77777777" w:rsidR="000D1383" w:rsidRPr="00FF3037" w:rsidRDefault="000D1383" w:rsidP="00DB436F">
            <w:pPr>
              <w:pStyle w:val="CETBodytext"/>
              <w:ind w:left="228"/>
              <w:jc w:val="left"/>
              <w:rPr>
                <w:lang w:val="en-GB"/>
              </w:rPr>
            </w:pPr>
            <w:r w:rsidRPr="00C10ED7">
              <w:t>3</w:t>
            </w:r>
          </w:p>
        </w:tc>
      </w:tr>
      <w:tr w:rsidR="000D1383" w:rsidRPr="00B333C2" w14:paraId="766767AF" w14:textId="77777777" w:rsidTr="00DB436F">
        <w:trPr>
          <w:trHeight w:val="289"/>
        </w:trPr>
        <w:tc>
          <w:tcPr>
            <w:tcW w:w="1303" w:type="dxa"/>
            <w:shd w:val="clear" w:color="auto" w:fill="auto"/>
            <w:vAlign w:val="center"/>
          </w:tcPr>
          <w:p w14:paraId="1D63730C" w14:textId="77777777" w:rsidR="000D1383" w:rsidRPr="00B333C2" w:rsidRDefault="000D1383" w:rsidP="00DB436F">
            <w:pPr>
              <w:pStyle w:val="CETBodytext"/>
              <w:ind w:left="228"/>
              <w:jc w:val="left"/>
            </w:pPr>
          </w:p>
        </w:tc>
        <w:tc>
          <w:tcPr>
            <w:tcW w:w="6518" w:type="dxa"/>
            <w:tcBorders>
              <w:top w:val="nil"/>
              <w:bottom w:val="nil"/>
              <w:right w:val="nil"/>
            </w:tcBorders>
            <w:shd w:val="clear" w:color="auto" w:fill="auto"/>
            <w:vAlign w:val="center"/>
          </w:tcPr>
          <w:p w14:paraId="0B415560" w14:textId="77777777" w:rsidR="000D1383" w:rsidRPr="00B333C2" w:rsidRDefault="000D1383" w:rsidP="00DB436F">
            <w:pPr>
              <w:pStyle w:val="CETBodytext"/>
              <w:ind w:left="228"/>
              <w:jc w:val="left"/>
            </w:pPr>
            <w:r w:rsidRPr="00C10ED7">
              <w:t>Industrial wastewater</w:t>
            </w:r>
          </w:p>
        </w:tc>
        <w:tc>
          <w:tcPr>
            <w:tcW w:w="1013" w:type="dxa"/>
            <w:tcBorders>
              <w:top w:val="nil"/>
              <w:left w:val="nil"/>
              <w:bottom w:val="nil"/>
              <w:right w:val="nil"/>
            </w:tcBorders>
            <w:shd w:val="clear" w:color="auto" w:fill="auto"/>
            <w:vAlign w:val="center"/>
          </w:tcPr>
          <w:p w14:paraId="6474F853" w14:textId="77777777" w:rsidR="000D1383" w:rsidRPr="00B333C2" w:rsidRDefault="000D1383" w:rsidP="00DB436F">
            <w:pPr>
              <w:pStyle w:val="CETBodytext"/>
              <w:ind w:left="228"/>
              <w:jc w:val="left"/>
            </w:pPr>
            <w:r w:rsidRPr="00C10ED7">
              <w:t>4</w:t>
            </w:r>
          </w:p>
        </w:tc>
      </w:tr>
      <w:tr w:rsidR="001022AC" w:rsidRPr="00685D52" w14:paraId="463824D6" w14:textId="77777777" w:rsidTr="00C07DCF">
        <w:trPr>
          <w:trHeight w:val="289"/>
        </w:trPr>
        <w:tc>
          <w:tcPr>
            <w:tcW w:w="1303" w:type="dxa"/>
            <w:shd w:val="clear" w:color="auto" w:fill="auto"/>
          </w:tcPr>
          <w:p w14:paraId="7801951D" w14:textId="3C551313" w:rsidR="001022AC" w:rsidRPr="0014377C" w:rsidRDefault="001022AC" w:rsidP="001022AC">
            <w:pPr>
              <w:pStyle w:val="CETBodytext"/>
              <w:ind w:left="228"/>
              <w:jc w:val="left"/>
              <w:rPr>
                <w:highlight w:val="yellow"/>
              </w:rPr>
            </w:pPr>
            <w:r w:rsidRPr="00354E5A">
              <w:t>T</w:t>
            </w:r>
          </w:p>
        </w:tc>
        <w:tc>
          <w:tcPr>
            <w:tcW w:w="6518" w:type="dxa"/>
            <w:tcBorders>
              <w:top w:val="nil"/>
              <w:bottom w:val="nil"/>
              <w:right w:val="nil"/>
            </w:tcBorders>
            <w:shd w:val="clear" w:color="auto" w:fill="auto"/>
          </w:tcPr>
          <w:p w14:paraId="6FC27324" w14:textId="1B6A2A3F" w:rsidR="001022AC" w:rsidRPr="0014377C" w:rsidRDefault="001022AC" w:rsidP="001022AC">
            <w:pPr>
              <w:pStyle w:val="CETBodytext"/>
              <w:ind w:left="228"/>
              <w:jc w:val="left"/>
              <w:rPr>
                <w:highlight w:val="yellow"/>
              </w:rPr>
            </w:pPr>
            <w:r w:rsidRPr="00354E5A">
              <w:t>No</w:t>
            </w:r>
          </w:p>
        </w:tc>
        <w:tc>
          <w:tcPr>
            <w:tcW w:w="1013" w:type="dxa"/>
            <w:tcBorders>
              <w:top w:val="nil"/>
              <w:left w:val="nil"/>
              <w:bottom w:val="nil"/>
              <w:right w:val="nil"/>
            </w:tcBorders>
            <w:shd w:val="clear" w:color="auto" w:fill="auto"/>
          </w:tcPr>
          <w:p w14:paraId="11C824CA" w14:textId="7AC09999" w:rsidR="001022AC" w:rsidRPr="0014377C" w:rsidRDefault="001022AC" w:rsidP="001022AC">
            <w:pPr>
              <w:pStyle w:val="CETBodytext"/>
              <w:ind w:left="228"/>
              <w:jc w:val="left"/>
              <w:rPr>
                <w:highlight w:val="yellow"/>
              </w:rPr>
            </w:pPr>
            <w:r w:rsidRPr="00354E5A">
              <w:t>1</w:t>
            </w:r>
          </w:p>
        </w:tc>
      </w:tr>
      <w:tr w:rsidR="001022AC" w:rsidRPr="00685D52" w14:paraId="73D36841" w14:textId="77777777" w:rsidTr="00C07DCF">
        <w:trPr>
          <w:trHeight w:val="289"/>
        </w:trPr>
        <w:tc>
          <w:tcPr>
            <w:tcW w:w="1303" w:type="dxa"/>
            <w:shd w:val="clear" w:color="auto" w:fill="auto"/>
          </w:tcPr>
          <w:p w14:paraId="72E9FC35" w14:textId="49D17C6A" w:rsidR="001022AC" w:rsidRPr="0014377C" w:rsidRDefault="001022AC" w:rsidP="001022AC">
            <w:pPr>
              <w:pStyle w:val="CETBodytext"/>
              <w:ind w:left="228"/>
              <w:jc w:val="left"/>
              <w:rPr>
                <w:highlight w:val="yellow"/>
              </w:rPr>
            </w:pPr>
            <w:r w:rsidRPr="00354E5A">
              <w:t>F</w:t>
            </w:r>
          </w:p>
        </w:tc>
        <w:tc>
          <w:tcPr>
            <w:tcW w:w="6518" w:type="dxa"/>
            <w:tcBorders>
              <w:top w:val="nil"/>
              <w:bottom w:val="nil"/>
              <w:right w:val="nil"/>
            </w:tcBorders>
            <w:shd w:val="clear" w:color="auto" w:fill="auto"/>
          </w:tcPr>
          <w:p w14:paraId="157D6EA0" w14:textId="5C7E38B9" w:rsidR="001022AC" w:rsidRPr="0014377C" w:rsidRDefault="001022AC" w:rsidP="001022AC">
            <w:pPr>
              <w:pStyle w:val="CETBodytext"/>
              <w:ind w:left="228"/>
              <w:jc w:val="left"/>
              <w:rPr>
                <w:highlight w:val="yellow"/>
              </w:rPr>
            </w:pPr>
            <w:r w:rsidRPr="00354E5A">
              <w:t>Surface water body</w:t>
            </w:r>
          </w:p>
        </w:tc>
        <w:tc>
          <w:tcPr>
            <w:tcW w:w="1013" w:type="dxa"/>
            <w:tcBorders>
              <w:top w:val="nil"/>
              <w:left w:val="nil"/>
              <w:bottom w:val="nil"/>
              <w:right w:val="nil"/>
            </w:tcBorders>
            <w:shd w:val="clear" w:color="auto" w:fill="auto"/>
          </w:tcPr>
          <w:p w14:paraId="08099CDC" w14:textId="18D011D7" w:rsidR="001022AC" w:rsidRPr="0014377C" w:rsidRDefault="001022AC" w:rsidP="001022AC">
            <w:pPr>
              <w:pStyle w:val="CETBodytext"/>
              <w:ind w:left="228"/>
              <w:jc w:val="left"/>
              <w:rPr>
                <w:highlight w:val="yellow"/>
              </w:rPr>
            </w:pPr>
            <w:r w:rsidRPr="00354E5A">
              <w:t>1</w:t>
            </w:r>
          </w:p>
        </w:tc>
      </w:tr>
      <w:tr w:rsidR="000D1383" w:rsidRPr="00685D52" w14:paraId="78BA5E9D" w14:textId="77777777" w:rsidTr="00DB436F">
        <w:trPr>
          <w:trHeight w:val="289"/>
        </w:trPr>
        <w:tc>
          <w:tcPr>
            <w:tcW w:w="1303" w:type="dxa"/>
            <w:shd w:val="clear" w:color="auto" w:fill="auto"/>
            <w:vAlign w:val="center"/>
          </w:tcPr>
          <w:p w14:paraId="22C5326D" w14:textId="77777777" w:rsidR="000D1383" w:rsidRPr="00685D52" w:rsidRDefault="000D1383" w:rsidP="00DB436F">
            <w:pPr>
              <w:pStyle w:val="CETBodytext"/>
              <w:ind w:left="228"/>
              <w:jc w:val="left"/>
            </w:pPr>
            <w:r w:rsidRPr="00035317">
              <w:t>H</w:t>
            </w:r>
          </w:p>
        </w:tc>
        <w:tc>
          <w:tcPr>
            <w:tcW w:w="6518" w:type="dxa"/>
            <w:tcBorders>
              <w:top w:val="nil"/>
              <w:bottom w:val="nil"/>
              <w:right w:val="nil"/>
            </w:tcBorders>
            <w:shd w:val="clear" w:color="auto" w:fill="auto"/>
            <w:vAlign w:val="center"/>
          </w:tcPr>
          <w:p w14:paraId="022C42F6" w14:textId="77777777" w:rsidR="000D1383" w:rsidRPr="00685D52" w:rsidRDefault="000D1383" w:rsidP="00DB436F">
            <w:pPr>
              <w:pStyle w:val="CETBodytext"/>
              <w:ind w:left="228"/>
              <w:jc w:val="left"/>
            </w:pPr>
            <w:r w:rsidRPr="00C10ED7">
              <w:t>Absence</w:t>
            </w:r>
            <w:r>
              <w:t xml:space="preserve"> </w:t>
            </w:r>
          </w:p>
        </w:tc>
        <w:tc>
          <w:tcPr>
            <w:tcW w:w="1013" w:type="dxa"/>
            <w:tcBorders>
              <w:top w:val="nil"/>
              <w:left w:val="nil"/>
              <w:bottom w:val="nil"/>
              <w:right w:val="nil"/>
            </w:tcBorders>
            <w:shd w:val="clear" w:color="auto" w:fill="auto"/>
            <w:vAlign w:val="center"/>
          </w:tcPr>
          <w:p w14:paraId="77119627" w14:textId="77777777" w:rsidR="000D1383" w:rsidRPr="00685D52" w:rsidRDefault="000D1383" w:rsidP="00DB436F">
            <w:pPr>
              <w:pStyle w:val="CETBodytext"/>
              <w:ind w:left="228"/>
              <w:jc w:val="left"/>
            </w:pPr>
            <w:r w:rsidRPr="00C10ED7">
              <w:t>1</w:t>
            </w:r>
          </w:p>
        </w:tc>
      </w:tr>
      <w:tr w:rsidR="000D1383" w:rsidRPr="00685D52" w14:paraId="487C2DFC" w14:textId="77777777" w:rsidTr="00DB436F">
        <w:trPr>
          <w:trHeight w:val="289"/>
        </w:trPr>
        <w:tc>
          <w:tcPr>
            <w:tcW w:w="1303" w:type="dxa"/>
            <w:shd w:val="clear" w:color="auto" w:fill="auto"/>
            <w:vAlign w:val="center"/>
          </w:tcPr>
          <w:p w14:paraId="20CC94F7"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637B78CF" w14:textId="77777777" w:rsidR="000D1383" w:rsidRPr="00685D52" w:rsidRDefault="000D1383" w:rsidP="00DB436F">
            <w:pPr>
              <w:pStyle w:val="CETBodytext"/>
              <w:ind w:left="228"/>
              <w:jc w:val="left"/>
            </w:pPr>
            <w:r w:rsidRPr="00C10ED7">
              <w:t>Presence</w:t>
            </w:r>
            <w:r>
              <w:t xml:space="preserve">, </w:t>
            </w:r>
            <w:r w:rsidRPr="00C10ED7">
              <w:t>regardless of quantity</w:t>
            </w:r>
            <w:r>
              <w:t xml:space="preserve"> for </w:t>
            </w:r>
            <w:r w:rsidRPr="00C10ED7">
              <w:t>IPPC-IED</w:t>
            </w:r>
            <w:r>
              <w:t xml:space="preserve"> activities </w:t>
            </w:r>
            <w:r w:rsidRPr="00C10ED7">
              <w:t>and to a lesser extent of the lower-tier requirements for Seveso</w:t>
            </w:r>
            <w:r>
              <w:t xml:space="preserve"> activities</w:t>
            </w:r>
          </w:p>
        </w:tc>
        <w:tc>
          <w:tcPr>
            <w:tcW w:w="1013" w:type="dxa"/>
            <w:tcBorders>
              <w:top w:val="nil"/>
              <w:left w:val="nil"/>
              <w:bottom w:val="nil"/>
              <w:right w:val="nil"/>
            </w:tcBorders>
            <w:shd w:val="clear" w:color="auto" w:fill="auto"/>
            <w:vAlign w:val="center"/>
          </w:tcPr>
          <w:p w14:paraId="12D67611" w14:textId="77777777" w:rsidR="000D1383" w:rsidRPr="00685D52" w:rsidRDefault="000D1383" w:rsidP="00DB436F">
            <w:pPr>
              <w:pStyle w:val="CETBodytext"/>
              <w:ind w:left="228"/>
              <w:jc w:val="left"/>
            </w:pPr>
            <w:r w:rsidRPr="00C10ED7">
              <w:t>1.5</w:t>
            </w:r>
          </w:p>
        </w:tc>
      </w:tr>
      <w:tr w:rsidR="000D1383" w:rsidRPr="00685D52" w14:paraId="12EE1B7B" w14:textId="77777777" w:rsidTr="00DB436F">
        <w:trPr>
          <w:trHeight w:val="289"/>
        </w:trPr>
        <w:tc>
          <w:tcPr>
            <w:tcW w:w="1303" w:type="dxa"/>
            <w:shd w:val="clear" w:color="auto" w:fill="auto"/>
            <w:vAlign w:val="center"/>
          </w:tcPr>
          <w:p w14:paraId="5EFD0525"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2BBB4C29" w14:textId="77777777" w:rsidR="000D1383" w:rsidRPr="00685D52" w:rsidRDefault="000D1383" w:rsidP="00DB436F">
            <w:pPr>
              <w:pStyle w:val="CETBodytext"/>
              <w:ind w:left="228"/>
              <w:jc w:val="left"/>
            </w:pPr>
            <w:r w:rsidRPr="00C10ED7">
              <w:t>Presence in quantities between the lower-tier and upper-tier requirements for Seveso activities</w:t>
            </w:r>
          </w:p>
        </w:tc>
        <w:tc>
          <w:tcPr>
            <w:tcW w:w="1013" w:type="dxa"/>
            <w:tcBorders>
              <w:top w:val="nil"/>
              <w:left w:val="nil"/>
              <w:bottom w:val="nil"/>
              <w:right w:val="nil"/>
            </w:tcBorders>
            <w:shd w:val="clear" w:color="auto" w:fill="auto"/>
            <w:vAlign w:val="center"/>
          </w:tcPr>
          <w:p w14:paraId="4B659411" w14:textId="77777777" w:rsidR="000D1383" w:rsidRPr="00685D52" w:rsidRDefault="000D1383" w:rsidP="00DB436F">
            <w:pPr>
              <w:pStyle w:val="CETBodytext"/>
              <w:ind w:left="228"/>
              <w:jc w:val="left"/>
            </w:pPr>
            <w:r w:rsidRPr="00C10ED7">
              <w:t>2</w:t>
            </w:r>
          </w:p>
        </w:tc>
      </w:tr>
      <w:tr w:rsidR="000D1383" w:rsidRPr="00685D52" w14:paraId="04490262" w14:textId="77777777" w:rsidTr="00DB436F">
        <w:trPr>
          <w:trHeight w:val="289"/>
        </w:trPr>
        <w:tc>
          <w:tcPr>
            <w:tcW w:w="1303" w:type="dxa"/>
            <w:shd w:val="clear" w:color="auto" w:fill="auto"/>
            <w:vAlign w:val="center"/>
          </w:tcPr>
          <w:p w14:paraId="53A10637"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63783F39" w14:textId="77777777" w:rsidR="000D1383" w:rsidRPr="00685D52" w:rsidRDefault="000D1383" w:rsidP="00DB436F">
            <w:pPr>
              <w:pStyle w:val="CETBodytext"/>
              <w:ind w:left="228"/>
              <w:jc w:val="left"/>
            </w:pPr>
            <w:r w:rsidRPr="00C10ED7">
              <w:t xml:space="preserve">Presence </w:t>
            </w:r>
            <w:r>
              <w:t>exceeding</w:t>
            </w:r>
            <w:r w:rsidRPr="00C10ED7">
              <w:t xml:space="preserve"> the upper-tier requirements for Seveso activities</w:t>
            </w:r>
          </w:p>
        </w:tc>
        <w:tc>
          <w:tcPr>
            <w:tcW w:w="1013" w:type="dxa"/>
            <w:tcBorders>
              <w:top w:val="nil"/>
              <w:left w:val="nil"/>
              <w:bottom w:val="nil"/>
              <w:right w:val="nil"/>
            </w:tcBorders>
            <w:shd w:val="clear" w:color="auto" w:fill="auto"/>
            <w:vAlign w:val="center"/>
          </w:tcPr>
          <w:p w14:paraId="171E6658" w14:textId="77777777" w:rsidR="000D1383" w:rsidRPr="00685D52" w:rsidRDefault="000D1383" w:rsidP="00DB436F">
            <w:pPr>
              <w:pStyle w:val="CETBodytext"/>
              <w:ind w:left="228"/>
              <w:jc w:val="left"/>
            </w:pPr>
            <w:r w:rsidRPr="00C10ED7">
              <w:t>3</w:t>
            </w:r>
          </w:p>
        </w:tc>
      </w:tr>
      <w:tr w:rsidR="000D1383" w:rsidRPr="00685D52" w14:paraId="6A474C08" w14:textId="77777777" w:rsidTr="00DB436F">
        <w:trPr>
          <w:trHeight w:val="289"/>
        </w:trPr>
        <w:tc>
          <w:tcPr>
            <w:tcW w:w="1303" w:type="dxa"/>
            <w:shd w:val="clear" w:color="auto" w:fill="auto"/>
            <w:vAlign w:val="center"/>
          </w:tcPr>
          <w:p w14:paraId="7FED16DB" w14:textId="77777777" w:rsidR="000D1383" w:rsidRPr="00685D52" w:rsidRDefault="000D1383" w:rsidP="00DB436F">
            <w:pPr>
              <w:pStyle w:val="CETBodytext"/>
              <w:ind w:left="228"/>
              <w:jc w:val="left"/>
            </w:pPr>
            <w:r>
              <w:t>S</w:t>
            </w:r>
          </w:p>
        </w:tc>
        <w:tc>
          <w:tcPr>
            <w:tcW w:w="6518" w:type="dxa"/>
            <w:tcBorders>
              <w:top w:val="nil"/>
              <w:bottom w:val="nil"/>
              <w:right w:val="nil"/>
            </w:tcBorders>
            <w:shd w:val="clear" w:color="auto" w:fill="auto"/>
            <w:vAlign w:val="center"/>
          </w:tcPr>
          <w:p w14:paraId="4592C4AC" w14:textId="77777777" w:rsidR="000D1383" w:rsidRPr="00685D52" w:rsidRDefault="000D1383" w:rsidP="00DB436F">
            <w:pPr>
              <w:pStyle w:val="CETBodytext"/>
              <w:ind w:left="228"/>
              <w:jc w:val="left"/>
            </w:pPr>
            <w:r w:rsidRPr="00C10ED7">
              <w:t>0 – 10</w:t>
            </w:r>
            <w:r w:rsidRPr="00C567AD">
              <w:rPr>
                <w:vertAlign w:val="superscript"/>
              </w:rPr>
              <w:t xml:space="preserve">3 </w:t>
            </w:r>
            <w:r w:rsidRPr="00C10ED7">
              <w:t>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2A8FD0BA" w14:textId="77777777" w:rsidR="000D1383" w:rsidRPr="00685D52" w:rsidRDefault="000D1383" w:rsidP="00DB436F">
            <w:pPr>
              <w:pStyle w:val="CETBodytext"/>
              <w:ind w:left="228"/>
              <w:jc w:val="left"/>
            </w:pPr>
            <w:r w:rsidRPr="00C10ED7">
              <w:t>0.5</w:t>
            </w:r>
          </w:p>
        </w:tc>
      </w:tr>
      <w:tr w:rsidR="000D1383" w:rsidRPr="00685D52" w14:paraId="34ADEE56" w14:textId="77777777" w:rsidTr="00DB436F">
        <w:trPr>
          <w:trHeight w:val="289"/>
        </w:trPr>
        <w:tc>
          <w:tcPr>
            <w:tcW w:w="1303" w:type="dxa"/>
            <w:shd w:val="clear" w:color="auto" w:fill="auto"/>
            <w:vAlign w:val="center"/>
          </w:tcPr>
          <w:p w14:paraId="4C3CAE4A"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4EF72F7D" w14:textId="77777777" w:rsidR="000D1383" w:rsidRPr="00685D52" w:rsidRDefault="000D1383" w:rsidP="00DB436F">
            <w:pPr>
              <w:pStyle w:val="CETBodytext"/>
              <w:ind w:left="228"/>
              <w:jc w:val="left"/>
            </w:pPr>
            <w:r w:rsidRPr="00C10ED7">
              <w:t>10</w:t>
            </w:r>
            <w:r w:rsidRPr="00C567AD">
              <w:rPr>
                <w:vertAlign w:val="superscript"/>
              </w:rPr>
              <w:t>3</w:t>
            </w:r>
            <w:r w:rsidRPr="00C10ED7">
              <w:t xml:space="preserve"> – 10</w:t>
            </w:r>
            <w:r w:rsidRPr="00C567AD">
              <w:rPr>
                <w:vertAlign w:val="superscript"/>
              </w:rPr>
              <w:t>4</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7BE5A9BF" w14:textId="77777777" w:rsidR="000D1383" w:rsidRPr="00685D52" w:rsidRDefault="000D1383" w:rsidP="00DB436F">
            <w:pPr>
              <w:pStyle w:val="CETBodytext"/>
              <w:ind w:left="228"/>
              <w:jc w:val="left"/>
            </w:pPr>
            <w:r w:rsidRPr="00C10ED7">
              <w:t>1</w:t>
            </w:r>
          </w:p>
        </w:tc>
      </w:tr>
      <w:tr w:rsidR="000D1383" w:rsidRPr="00685D52" w14:paraId="029D92CB" w14:textId="77777777" w:rsidTr="00DB436F">
        <w:trPr>
          <w:trHeight w:val="300"/>
        </w:trPr>
        <w:tc>
          <w:tcPr>
            <w:tcW w:w="1303" w:type="dxa"/>
            <w:shd w:val="clear" w:color="auto" w:fill="auto"/>
            <w:vAlign w:val="center"/>
          </w:tcPr>
          <w:p w14:paraId="0F9D2D17"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1BD788A6" w14:textId="77777777" w:rsidR="000D1383" w:rsidRPr="00685D52" w:rsidRDefault="000D1383" w:rsidP="00DB436F">
            <w:pPr>
              <w:pStyle w:val="CETBodytext"/>
              <w:ind w:left="228"/>
              <w:jc w:val="left"/>
            </w:pPr>
            <w:r w:rsidRPr="00C10ED7">
              <w:t>10</w:t>
            </w:r>
            <w:r w:rsidRPr="00C567AD">
              <w:rPr>
                <w:vertAlign w:val="superscript"/>
              </w:rPr>
              <w:t>4</w:t>
            </w:r>
            <w:r w:rsidRPr="00C10ED7">
              <w:t xml:space="preserve"> – 10</w:t>
            </w:r>
            <w:r w:rsidRPr="00C567AD">
              <w:rPr>
                <w:vertAlign w:val="superscript"/>
              </w:rPr>
              <w:t>5</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36A2121C" w14:textId="77777777" w:rsidR="000D1383" w:rsidRPr="00685D52" w:rsidRDefault="000D1383" w:rsidP="00DB436F">
            <w:pPr>
              <w:pStyle w:val="CETBodytext"/>
              <w:ind w:left="228"/>
              <w:jc w:val="left"/>
            </w:pPr>
            <w:r w:rsidRPr="00C10ED7">
              <w:t>1.5</w:t>
            </w:r>
          </w:p>
        </w:tc>
      </w:tr>
      <w:tr w:rsidR="000D1383" w:rsidRPr="00685D52" w14:paraId="1AA82773" w14:textId="77777777" w:rsidTr="00DB436F">
        <w:trPr>
          <w:trHeight w:val="289"/>
        </w:trPr>
        <w:tc>
          <w:tcPr>
            <w:tcW w:w="1303" w:type="dxa"/>
            <w:shd w:val="clear" w:color="auto" w:fill="auto"/>
            <w:vAlign w:val="center"/>
          </w:tcPr>
          <w:p w14:paraId="72152852" w14:textId="77777777" w:rsidR="000D1383" w:rsidRPr="00685D52" w:rsidRDefault="000D1383" w:rsidP="00DB436F">
            <w:pPr>
              <w:pStyle w:val="CETBodytext"/>
              <w:ind w:left="228"/>
              <w:jc w:val="left"/>
            </w:pPr>
          </w:p>
        </w:tc>
        <w:tc>
          <w:tcPr>
            <w:tcW w:w="6518" w:type="dxa"/>
            <w:tcBorders>
              <w:top w:val="nil"/>
              <w:bottom w:val="nil"/>
              <w:right w:val="nil"/>
            </w:tcBorders>
            <w:shd w:val="clear" w:color="auto" w:fill="auto"/>
            <w:vAlign w:val="center"/>
          </w:tcPr>
          <w:p w14:paraId="30B8C2EF" w14:textId="77777777" w:rsidR="000D1383" w:rsidRPr="00685D52" w:rsidRDefault="000D1383" w:rsidP="00DB436F">
            <w:pPr>
              <w:pStyle w:val="CETBodytext"/>
              <w:ind w:left="228"/>
              <w:jc w:val="left"/>
            </w:pPr>
            <w:r w:rsidRPr="00C10ED7">
              <w:t>10</w:t>
            </w:r>
            <w:r w:rsidRPr="00C567AD">
              <w:rPr>
                <w:vertAlign w:val="superscript"/>
              </w:rPr>
              <w:t>5</w:t>
            </w:r>
            <w:r w:rsidRPr="00C10ED7">
              <w:t xml:space="preserve"> – 10</w:t>
            </w:r>
            <w:r w:rsidRPr="00C567AD">
              <w:rPr>
                <w:vertAlign w:val="superscript"/>
              </w:rPr>
              <w:t>6</w:t>
            </w:r>
            <w:r w:rsidRPr="00C10ED7">
              <w:t xml:space="preserve"> m</w:t>
            </w:r>
            <w:r w:rsidRPr="00C567AD">
              <w:rPr>
                <w:vertAlign w:val="superscript"/>
              </w:rPr>
              <w:t>3</w:t>
            </w:r>
            <w:r w:rsidRPr="00C10ED7">
              <w:t>/year</w:t>
            </w:r>
          </w:p>
        </w:tc>
        <w:tc>
          <w:tcPr>
            <w:tcW w:w="1013" w:type="dxa"/>
            <w:tcBorders>
              <w:top w:val="nil"/>
              <w:left w:val="nil"/>
              <w:bottom w:val="nil"/>
              <w:right w:val="nil"/>
            </w:tcBorders>
            <w:shd w:val="clear" w:color="auto" w:fill="auto"/>
            <w:vAlign w:val="center"/>
          </w:tcPr>
          <w:p w14:paraId="3B1B2005" w14:textId="77777777" w:rsidR="000D1383" w:rsidRPr="00685D52" w:rsidRDefault="000D1383" w:rsidP="00DB436F">
            <w:pPr>
              <w:pStyle w:val="CETBodytext"/>
              <w:ind w:left="228"/>
              <w:jc w:val="left"/>
            </w:pPr>
            <w:r w:rsidRPr="00C10ED7">
              <w:t>2</w:t>
            </w:r>
          </w:p>
        </w:tc>
      </w:tr>
      <w:tr w:rsidR="000D1383" w:rsidRPr="00B57B36" w14:paraId="11318A31" w14:textId="77777777" w:rsidTr="00DB436F">
        <w:trPr>
          <w:trHeight w:val="300"/>
        </w:trPr>
        <w:tc>
          <w:tcPr>
            <w:tcW w:w="1303" w:type="dxa"/>
            <w:shd w:val="clear" w:color="auto" w:fill="FFFFFF"/>
            <w:vAlign w:val="center"/>
          </w:tcPr>
          <w:p w14:paraId="3FFE3321" w14:textId="77777777" w:rsidR="000D1383" w:rsidRPr="00B57B36" w:rsidRDefault="000D1383" w:rsidP="00DB436F">
            <w:pPr>
              <w:pStyle w:val="CETBodytext"/>
              <w:ind w:left="228" w:right="-1"/>
              <w:jc w:val="left"/>
              <w:rPr>
                <w:rFonts w:cs="Arial"/>
                <w:szCs w:val="18"/>
                <w:lang w:val="en-GB"/>
              </w:rPr>
            </w:pPr>
          </w:p>
        </w:tc>
        <w:tc>
          <w:tcPr>
            <w:tcW w:w="6518" w:type="dxa"/>
            <w:tcBorders>
              <w:top w:val="nil"/>
              <w:bottom w:val="single" w:sz="12" w:space="0" w:color="008000"/>
            </w:tcBorders>
            <w:shd w:val="clear" w:color="auto" w:fill="FFFFFF"/>
            <w:vAlign w:val="center"/>
          </w:tcPr>
          <w:p w14:paraId="15FC565A" w14:textId="77777777" w:rsidR="000D1383" w:rsidRPr="00B57B36" w:rsidRDefault="000D1383" w:rsidP="00DB436F">
            <w:pPr>
              <w:pStyle w:val="CETBodytext"/>
              <w:ind w:left="228" w:right="-1"/>
              <w:jc w:val="left"/>
              <w:rPr>
                <w:rFonts w:cs="Arial"/>
                <w:szCs w:val="18"/>
                <w:lang w:val="en-GB"/>
              </w:rPr>
            </w:pPr>
            <w:r w:rsidRPr="00BB7388">
              <w:rPr>
                <w:rFonts w:cs="Arial"/>
                <w:szCs w:val="18"/>
                <w:lang w:val="en-GB"/>
              </w:rPr>
              <w:t>10</w:t>
            </w:r>
            <w:r w:rsidRPr="00C567AD">
              <w:rPr>
                <w:rFonts w:cs="Arial"/>
                <w:szCs w:val="18"/>
                <w:vertAlign w:val="superscript"/>
                <w:lang w:val="en-GB"/>
              </w:rPr>
              <w:t xml:space="preserve">6 </w:t>
            </w:r>
            <w:r w:rsidRPr="00BB7388">
              <w:rPr>
                <w:rFonts w:cs="Arial"/>
                <w:szCs w:val="18"/>
                <w:lang w:val="en-GB"/>
              </w:rPr>
              <w:t>– 10</w:t>
            </w:r>
            <w:r w:rsidRPr="00C567AD">
              <w:rPr>
                <w:rFonts w:cs="Arial"/>
                <w:szCs w:val="18"/>
                <w:vertAlign w:val="superscript"/>
                <w:lang w:val="en-GB"/>
              </w:rPr>
              <w:t>7</w:t>
            </w:r>
            <w:r w:rsidRPr="00BB7388">
              <w:rPr>
                <w:rFonts w:cs="Arial"/>
                <w:szCs w:val="18"/>
                <w:lang w:val="en-GB"/>
              </w:rPr>
              <w:t xml:space="preserve"> </w:t>
            </w:r>
            <w:r w:rsidRPr="00C10ED7">
              <w:t>m</w:t>
            </w:r>
            <w:r w:rsidRPr="00C567AD">
              <w:rPr>
                <w:vertAlign w:val="superscript"/>
              </w:rPr>
              <w:t>3</w:t>
            </w:r>
            <w:r w:rsidRPr="00C10ED7">
              <w:t>/year</w:t>
            </w:r>
          </w:p>
        </w:tc>
        <w:tc>
          <w:tcPr>
            <w:tcW w:w="1013" w:type="dxa"/>
            <w:tcBorders>
              <w:top w:val="nil"/>
              <w:bottom w:val="single" w:sz="12" w:space="0" w:color="008000"/>
              <w:right w:val="nil"/>
            </w:tcBorders>
            <w:shd w:val="clear" w:color="auto" w:fill="FFFFFF"/>
            <w:vAlign w:val="center"/>
          </w:tcPr>
          <w:p w14:paraId="0C897A9D" w14:textId="77777777" w:rsidR="000D1383" w:rsidRPr="00B57B36" w:rsidRDefault="000D1383" w:rsidP="00DB436F">
            <w:pPr>
              <w:pStyle w:val="CETBodytext"/>
              <w:ind w:left="228" w:right="-1"/>
              <w:jc w:val="left"/>
              <w:rPr>
                <w:rFonts w:cs="Arial"/>
                <w:szCs w:val="18"/>
                <w:lang w:val="en-GB"/>
              </w:rPr>
            </w:pPr>
            <w:r>
              <w:t>2.5</w:t>
            </w:r>
          </w:p>
        </w:tc>
      </w:tr>
    </w:tbl>
    <w:p w14:paraId="3E3AB933" w14:textId="77777777" w:rsidR="000466C8" w:rsidRDefault="000466C8" w:rsidP="003335E5">
      <w:pPr>
        <w:pStyle w:val="CETBodytext"/>
        <w:rPr>
          <w:rFonts w:eastAsiaTheme="minorEastAsia"/>
        </w:rPr>
      </w:pPr>
    </w:p>
    <w:p w14:paraId="08AE78CB" w14:textId="60231528" w:rsidR="00942C24" w:rsidRDefault="00942C24" w:rsidP="00942C24">
      <w:pPr>
        <w:pStyle w:val="CETBodytext"/>
        <w:rPr>
          <w:rFonts w:eastAsiaTheme="minorEastAsia"/>
        </w:rPr>
      </w:pPr>
      <w:r>
        <w:t xml:space="preserve">The parameters accounted for in the assessment are: the discharge type </w:t>
      </w:r>
      <w:r w:rsidRPr="00B72FEC">
        <w:rPr>
          <w:i/>
          <w:iCs/>
        </w:rPr>
        <w:t>D</w:t>
      </w:r>
      <w:r>
        <w:t xml:space="preserve">, the presence or absence of treatment </w:t>
      </w:r>
      <w:r w:rsidRPr="00B72FEC">
        <w:rPr>
          <w:i/>
          <w:iCs/>
        </w:rPr>
        <w:t>T</w:t>
      </w:r>
      <w:r>
        <w:t xml:space="preserve">, the fate of the discharge </w:t>
      </w:r>
      <w:r w:rsidRPr="00B72FEC">
        <w:rPr>
          <w:i/>
          <w:iCs/>
        </w:rPr>
        <w:t>F</w:t>
      </w:r>
      <w:r>
        <w:t xml:space="preserve">, presence of hazardous substances </w:t>
      </w:r>
      <w:r w:rsidRPr="00B72FEC">
        <w:rPr>
          <w:i/>
          <w:iCs/>
        </w:rPr>
        <w:t>H</w:t>
      </w:r>
      <w:r>
        <w:t xml:space="preserve">, and size of the discharge </w:t>
      </w:r>
      <w:r w:rsidRPr="00B72FEC">
        <w:rPr>
          <w:i/>
          <w:iCs/>
        </w:rPr>
        <w:t>S</w:t>
      </w:r>
      <w:r>
        <w:t xml:space="preserve">. </w:t>
      </w:r>
      <w:r w:rsidRPr="003335E5">
        <w:rPr>
          <w:rFonts w:eastAsiaTheme="minorEastAsia"/>
        </w:rPr>
        <w:t xml:space="preserve">A </w:t>
      </w:r>
      <w:r w:rsidRPr="003335E5">
        <w:rPr>
          <w:rFonts w:eastAsiaTheme="minorEastAsia"/>
        </w:rPr>
        <w:lastRenderedPageBreak/>
        <w:t>higher score indicates a greater potential for environmental contamination.</w:t>
      </w:r>
      <w:r>
        <w:rPr>
          <w:rFonts w:eastAsiaTheme="minorEastAsia"/>
        </w:rPr>
        <w:t xml:space="preserve"> Notably, the </w:t>
      </w:r>
      <w:r w:rsidRPr="00B72FEC">
        <w:rPr>
          <w:rFonts w:eastAsiaTheme="minorEastAsia"/>
          <w:i/>
          <w:iCs/>
        </w:rPr>
        <w:t>BPI</w:t>
      </w:r>
      <w:r w:rsidRPr="00B72FEC">
        <w:rPr>
          <w:rFonts w:eastAsiaTheme="minorEastAsia"/>
          <w:i/>
          <w:iCs/>
          <w:vertAlign w:val="subscript"/>
        </w:rPr>
        <w:t>flood</w:t>
      </w:r>
      <w:r>
        <w:rPr>
          <w:rFonts w:eastAsiaTheme="minorEastAsia"/>
        </w:rPr>
        <w:t xml:space="preserve"> is </w:t>
      </w:r>
      <w:r w:rsidRPr="003335E5">
        <w:rPr>
          <w:rFonts w:eastAsiaTheme="minorEastAsia"/>
        </w:rPr>
        <w:t>derived by adapting the method established by Di Fluri et al. (2024)</w:t>
      </w:r>
      <w:r w:rsidR="00811CFF">
        <w:rPr>
          <w:rFonts w:eastAsiaTheme="minorEastAsia"/>
        </w:rPr>
        <w:t xml:space="preserve"> </w:t>
      </w:r>
      <w:r w:rsidR="00811CFF" w:rsidRPr="003335E5">
        <w:rPr>
          <w:rFonts w:eastAsiaTheme="minorEastAsia"/>
        </w:rPr>
        <w:t>to the context of LIN events</w:t>
      </w:r>
      <w:r w:rsidR="00811CFF" w:rsidRPr="00487853">
        <w:rPr>
          <w:rFonts w:eastAsiaTheme="minorEastAsia"/>
        </w:rPr>
        <w:t xml:space="preserve"> </w:t>
      </w:r>
      <w:r w:rsidR="00811CFF">
        <w:rPr>
          <w:rFonts w:eastAsiaTheme="minorEastAsia"/>
        </w:rPr>
        <w:t>by means of</w:t>
      </w:r>
      <w:r w:rsidR="00811CFF" w:rsidRPr="003335E5">
        <w:rPr>
          <w:rFonts w:eastAsiaTheme="minorEastAsia"/>
        </w:rPr>
        <w:t xml:space="preserve"> a newly defined severity scale </w:t>
      </w:r>
      <w:r w:rsidR="00811CFF">
        <w:rPr>
          <w:rFonts w:eastAsiaTheme="minorEastAsia"/>
        </w:rPr>
        <w:t>presented</w:t>
      </w:r>
      <w:r w:rsidR="00811CFF" w:rsidRPr="003335E5">
        <w:rPr>
          <w:rFonts w:eastAsiaTheme="minorEastAsia"/>
        </w:rPr>
        <w:t xml:space="preserve"> in Table 1.</w:t>
      </w:r>
      <w:r w:rsidR="00811CFF">
        <w:rPr>
          <w:rFonts w:eastAsiaTheme="minorEastAsia"/>
        </w:rPr>
        <w:t xml:space="preserve"> </w:t>
      </w:r>
      <w:r w:rsidR="009F1C95">
        <w:rPr>
          <w:rFonts w:eastAsiaTheme="minorEastAsia"/>
        </w:rPr>
        <w:t>T</w:t>
      </w:r>
      <w:r w:rsidR="00BB38EF" w:rsidRPr="00BB38EF">
        <w:rPr>
          <w:rFonts w:eastAsiaTheme="minorEastAsia"/>
        </w:rPr>
        <w:t>he values assigned to each parameter were initially determined</w:t>
      </w:r>
      <w:r w:rsidR="00811CFF">
        <w:rPr>
          <w:rFonts w:eastAsiaTheme="minorEastAsia"/>
        </w:rPr>
        <w:t xml:space="preserve"> </w:t>
      </w:r>
      <w:r w:rsidR="00811CFF" w:rsidRPr="003335E5">
        <w:rPr>
          <w:rFonts w:eastAsiaTheme="minorEastAsia"/>
        </w:rPr>
        <w:t>by Di Fluri et al. (2024</w:t>
      </w:r>
      <w:r w:rsidR="00811CFF">
        <w:rPr>
          <w:rFonts w:eastAsiaTheme="minorEastAsia"/>
        </w:rPr>
        <w:t>)</w:t>
      </w:r>
      <w:r w:rsidR="00BB38EF" w:rsidRPr="00BB38EF">
        <w:rPr>
          <w:rFonts w:eastAsiaTheme="minorEastAsia"/>
        </w:rPr>
        <w:t xml:space="preserve"> based on expert judgment</w:t>
      </w:r>
      <w:r w:rsidR="00811CFF">
        <w:rPr>
          <w:rFonts w:eastAsiaTheme="minorEastAsia"/>
        </w:rPr>
        <w:t>, and s</w:t>
      </w:r>
      <w:r w:rsidR="00BB38EF" w:rsidRPr="00BB38EF">
        <w:rPr>
          <w:rFonts w:eastAsiaTheme="minorEastAsia"/>
        </w:rPr>
        <w:t xml:space="preserve">ubsequently, </w:t>
      </w:r>
      <w:r w:rsidR="00811CFF">
        <w:rPr>
          <w:rFonts w:eastAsiaTheme="minorEastAsia"/>
        </w:rPr>
        <w:t>they</w:t>
      </w:r>
      <w:r w:rsidR="00BB38EF" w:rsidRPr="00BB38EF">
        <w:rPr>
          <w:rFonts w:eastAsiaTheme="minorEastAsia"/>
        </w:rPr>
        <w:t xml:space="preserve"> were reviewed and refined through an ex-post analysis</w:t>
      </w:r>
      <w:r w:rsidR="00811CFF">
        <w:rPr>
          <w:rFonts w:eastAsiaTheme="minorEastAsia"/>
        </w:rPr>
        <w:t xml:space="preserve">. It is also to mention that </w:t>
      </w:r>
      <w:r w:rsidR="008611AC">
        <w:rPr>
          <w:rFonts w:eastAsiaTheme="minorEastAsia"/>
        </w:rPr>
        <w:t xml:space="preserve">in that framework, </w:t>
      </w:r>
      <w:r w:rsidR="008F6B7F">
        <w:rPr>
          <w:rFonts w:eastAsiaTheme="minorEastAsia"/>
        </w:rPr>
        <w:t>severity scores</w:t>
      </w:r>
      <w:r w:rsidR="00811CFF">
        <w:rPr>
          <w:rFonts w:eastAsiaTheme="minorEastAsia"/>
        </w:rPr>
        <w:t xml:space="preserve"> was validated </w:t>
      </w:r>
      <w:r w:rsidR="005653CA">
        <w:rPr>
          <w:rFonts w:eastAsiaTheme="minorEastAsia"/>
        </w:rPr>
        <w:t xml:space="preserve">against </w:t>
      </w:r>
      <w:r w:rsidR="00811CFF">
        <w:rPr>
          <w:rFonts w:eastAsiaTheme="minorEastAsia"/>
        </w:rPr>
        <w:t xml:space="preserve">water quality monitoring data. </w:t>
      </w:r>
    </w:p>
    <w:p w14:paraId="58BC627A" w14:textId="67826458" w:rsidR="000466C8" w:rsidRPr="001D05A3" w:rsidRDefault="000466C8" w:rsidP="000466C8">
      <w:pPr>
        <w:pStyle w:val="CETTabletitle"/>
      </w:pPr>
      <w:bookmarkStart w:id="2" w:name="_Hlk162026431"/>
      <w:r w:rsidRPr="001D05A3">
        <w:t>Table 2: Common assumptions for WWTPs and CSs</w:t>
      </w:r>
      <w:r w:rsidR="000C39C8">
        <w:t xml:space="preserve"> (magnitude assessment)</w:t>
      </w:r>
      <w:r w:rsidRPr="001D05A3">
        <w:t>.</w:t>
      </w:r>
    </w:p>
    <w:tbl>
      <w:tblPr>
        <w:tblW w:w="891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54"/>
        <w:gridCol w:w="1232"/>
        <w:gridCol w:w="1233"/>
        <w:gridCol w:w="1233"/>
        <w:gridCol w:w="1233"/>
        <w:gridCol w:w="1233"/>
      </w:tblGrid>
      <w:tr w:rsidR="000466C8" w:rsidRPr="001D05A3" w14:paraId="20A0F6DB" w14:textId="77777777" w:rsidTr="00DB436F">
        <w:trPr>
          <w:trHeight w:val="290"/>
        </w:trPr>
        <w:tc>
          <w:tcPr>
            <w:tcW w:w="2754" w:type="dxa"/>
            <w:tcBorders>
              <w:top w:val="single" w:sz="12" w:space="0" w:color="008000"/>
              <w:bottom w:val="single" w:sz="6" w:space="0" w:color="008000"/>
            </w:tcBorders>
            <w:shd w:val="clear" w:color="auto" w:fill="FFFFFF"/>
            <w:vAlign w:val="center"/>
          </w:tcPr>
          <w:p w14:paraId="4E1ADAA8" w14:textId="77777777" w:rsidR="000466C8" w:rsidRPr="001D05A3" w:rsidRDefault="000466C8" w:rsidP="00DB436F">
            <w:pPr>
              <w:pStyle w:val="CETBodytext"/>
              <w:ind w:left="228"/>
              <w:jc w:val="left"/>
              <w:rPr>
                <w:lang w:val="en-GB"/>
              </w:rPr>
            </w:pPr>
            <w:r w:rsidRPr="001D05A3">
              <w:t>Activity typology</w:t>
            </w:r>
          </w:p>
        </w:tc>
        <w:tc>
          <w:tcPr>
            <w:tcW w:w="1232" w:type="dxa"/>
            <w:tcBorders>
              <w:top w:val="single" w:sz="12" w:space="0" w:color="008000"/>
              <w:bottom w:val="single" w:sz="6" w:space="0" w:color="008000"/>
            </w:tcBorders>
            <w:shd w:val="clear" w:color="auto" w:fill="FFFFFF"/>
            <w:vAlign w:val="center"/>
          </w:tcPr>
          <w:p w14:paraId="77432DED" w14:textId="77777777" w:rsidR="000466C8" w:rsidRPr="001D05A3" w:rsidRDefault="000466C8" w:rsidP="00DB436F">
            <w:pPr>
              <w:pStyle w:val="CETBodytext"/>
              <w:ind w:left="228"/>
              <w:jc w:val="left"/>
              <w:rPr>
                <w:lang w:val="en-GB"/>
              </w:rPr>
            </w:pPr>
            <w:r w:rsidRPr="001D05A3">
              <w:t>D</w:t>
            </w:r>
          </w:p>
        </w:tc>
        <w:tc>
          <w:tcPr>
            <w:tcW w:w="1233" w:type="dxa"/>
            <w:tcBorders>
              <w:top w:val="single" w:sz="12" w:space="0" w:color="008000"/>
              <w:bottom w:val="single" w:sz="6" w:space="0" w:color="008000"/>
            </w:tcBorders>
            <w:shd w:val="clear" w:color="auto" w:fill="FFFFFF"/>
            <w:vAlign w:val="center"/>
          </w:tcPr>
          <w:p w14:paraId="6745E790" w14:textId="77777777" w:rsidR="000466C8" w:rsidRPr="001D05A3" w:rsidRDefault="000466C8" w:rsidP="00DB436F">
            <w:pPr>
              <w:pStyle w:val="CETBodytext"/>
              <w:ind w:left="228"/>
              <w:jc w:val="left"/>
            </w:pPr>
            <w:r w:rsidRPr="001D05A3">
              <w:t>T</w:t>
            </w:r>
          </w:p>
        </w:tc>
        <w:tc>
          <w:tcPr>
            <w:tcW w:w="1233" w:type="dxa"/>
            <w:tcBorders>
              <w:top w:val="single" w:sz="12" w:space="0" w:color="008000"/>
              <w:bottom w:val="single" w:sz="6" w:space="0" w:color="008000"/>
            </w:tcBorders>
            <w:shd w:val="clear" w:color="auto" w:fill="FFFFFF"/>
            <w:vAlign w:val="center"/>
          </w:tcPr>
          <w:p w14:paraId="7FD172EC" w14:textId="77777777" w:rsidR="000466C8" w:rsidRPr="001D05A3" w:rsidRDefault="000466C8" w:rsidP="00DB436F">
            <w:pPr>
              <w:pStyle w:val="CETBodytext"/>
              <w:ind w:left="228"/>
              <w:jc w:val="left"/>
            </w:pPr>
            <w:r w:rsidRPr="001D05A3">
              <w:t>F</w:t>
            </w:r>
          </w:p>
        </w:tc>
        <w:tc>
          <w:tcPr>
            <w:tcW w:w="1233" w:type="dxa"/>
            <w:tcBorders>
              <w:top w:val="single" w:sz="12" w:space="0" w:color="008000"/>
              <w:bottom w:val="single" w:sz="6" w:space="0" w:color="008000"/>
            </w:tcBorders>
            <w:shd w:val="clear" w:color="auto" w:fill="FFFFFF"/>
            <w:vAlign w:val="center"/>
          </w:tcPr>
          <w:p w14:paraId="2132D25B" w14:textId="77777777" w:rsidR="000466C8" w:rsidRPr="001D05A3" w:rsidRDefault="000466C8" w:rsidP="00DB436F">
            <w:pPr>
              <w:pStyle w:val="CETBodytext"/>
              <w:ind w:left="228"/>
              <w:jc w:val="left"/>
            </w:pPr>
            <w:r w:rsidRPr="001D05A3">
              <w:t>H</w:t>
            </w:r>
          </w:p>
        </w:tc>
        <w:tc>
          <w:tcPr>
            <w:tcW w:w="1233" w:type="dxa"/>
            <w:tcBorders>
              <w:top w:val="single" w:sz="12" w:space="0" w:color="008000"/>
              <w:bottom w:val="single" w:sz="6" w:space="0" w:color="008000"/>
              <w:right w:val="nil"/>
            </w:tcBorders>
            <w:shd w:val="clear" w:color="auto" w:fill="FFFFFF"/>
            <w:vAlign w:val="center"/>
          </w:tcPr>
          <w:p w14:paraId="35BCA209" w14:textId="35DFDCCF" w:rsidR="000466C8" w:rsidRPr="001D05A3" w:rsidRDefault="000466C8" w:rsidP="00DB436F">
            <w:pPr>
              <w:pStyle w:val="CETBodytext"/>
              <w:ind w:left="228"/>
              <w:jc w:val="left"/>
              <w:rPr>
                <w:lang w:val="en-GB"/>
              </w:rPr>
            </w:pPr>
            <w:r w:rsidRPr="001D05A3">
              <w:t>S</w:t>
            </w:r>
          </w:p>
        </w:tc>
      </w:tr>
      <w:tr w:rsidR="000466C8" w:rsidRPr="001D05A3" w14:paraId="2F02468B" w14:textId="77777777" w:rsidTr="00DB436F">
        <w:trPr>
          <w:trHeight w:val="268"/>
        </w:trPr>
        <w:tc>
          <w:tcPr>
            <w:tcW w:w="2754" w:type="dxa"/>
            <w:shd w:val="clear" w:color="auto" w:fill="auto"/>
            <w:vAlign w:val="center"/>
          </w:tcPr>
          <w:p w14:paraId="5A2B0341" w14:textId="77777777" w:rsidR="000466C8" w:rsidRPr="001D05A3" w:rsidRDefault="000466C8" w:rsidP="00DB436F">
            <w:pPr>
              <w:pStyle w:val="CETBodytext"/>
              <w:ind w:left="228"/>
              <w:jc w:val="left"/>
              <w:rPr>
                <w:lang w:val="en-GB"/>
              </w:rPr>
            </w:pPr>
            <w:r w:rsidRPr="001D05A3">
              <w:t>WWTP</w:t>
            </w:r>
          </w:p>
        </w:tc>
        <w:tc>
          <w:tcPr>
            <w:tcW w:w="1232" w:type="dxa"/>
            <w:tcBorders>
              <w:top w:val="single" w:sz="4" w:space="0" w:color="auto"/>
              <w:bottom w:val="nil"/>
              <w:right w:val="nil"/>
            </w:tcBorders>
            <w:shd w:val="clear" w:color="auto" w:fill="auto"/>
            <w:vAlign w:val="center"/>
          </w:tcPr>
          <w:p w14:paraId="3F28AA55" w14:textId="77777777" w:rsidR="000466C8" w:rsidRPr="001D05A3" w:rsidRDefault="000466C8" w:rsidP="00DB436F">
            <w:pPr>
              <w:pStyle w:val="CETBodytext"/>
              <w:ind w:left="228"/>
              <w:jc w:val="left"/>
              <w:rPr>
                <w:lang w:val="en-GB"/>
              </w:rPr>
            </w:pPr>
            <w:r w:rsidRPr="001D05A3">
              <w:t>2</w:t>
            </w:r>
          </w:p>
        </w:tc>
        <w:tc>
          <w:tcPr>
            <w:tcW w:w="1233" w:type="dxa"/>
            <w:tcBorders>
              <w:top w:val="single" w:sz="4" w:space="0" w:color="auto"/>
              <w:bottom w:val="nil"/>
            </w:tcBorders>
            <w:vAlign w:val="center"/>
          </w:tcPr>
          <w:p w14:paraId="161B50EE" w14:textId="77777777" w:rsidR="000466C8" w:rsidRPr="001D05A3" w:rsidRDefault="000466C8" w:rsidP="00DB436F">
            <w:pPr>
              <w:pStyle w:val="CETBodytext"/>
              <w:ind w:left="228" w:right="-5047"/>
              <w:jc w:val="left"/>
            </w:pPr>
            <w:r w:rsidRPr="001D05A3">
              <w:t>0.5</w:t>
            </w:r>
          </w:p>
        </w:tc>
        <w:tc>
          <w:tcPr>
            <w:tcW w:w="1233" w:type="dxa"/>
            <w:tcBorders>
              <w:top w:val="single" w:sz="4" w:space="0" w:color="auto"/>
              <w:bottom w:val="nil"/>
            </w:tcBorders>
            <w:vAlign w:val="center"/>
          </w:tcPr>
          <w:p w14:paraId="30FC69F7" w14:textId="77777777" w:rsidR="000466C8" w:rsidRPr="001D05A3" w:rsidRDefault="000466C8" w:rsidP="00DB436F">
            <w:pPr>
              <w:pStyle w:val="CETBodytext"/>
              <w:ind w:left="228" w:right="-5047"/>
              <w:jc w:val="left"/>
            </w:pPr>
            <w:r w:rsidRPr="001D05A3">
              <w:t>1</w:t>
            </w:r>
          </w:p>
        </w:tc>
        <w:tc>
          <w:tcPr>
            <w:tcW w:w="1233" w:type="dxa"/>
            <w:tcBorders>
              <w:top w:val="single" w:sz="4" w:space="0" w:color="auto"/>
              <w:bottom w:val="nil"/>
              <w:right w:val="nil"/>
            </w:tcBorders>
            <w:vAlign w:val="center"/>
          </w:tcPr>
          <w:p w14:paraId="5E7A08B6" w14:textId="77777777" w:rsidR="000466C8" w:rsidRPr="001D05A3" w:rsidRDefault="000466C8" w:rsidP="00DB436F">
            <w:pPr>
              <w:pStyle w:val="CETBodytext"/>
              <w:ind w:left="228" w:right="-5047"/>
              <w:jc w:val="left"/>
            </w:pPr>
            <w:r w:rsidRPr="001D05A3">
              <w:t>1</w:t>
            </w:r>
          </w:p>
        </w:tc>
        <w:tc>
          <w:tcPr>
            <w:tcW w:w="1233" w:type="dxa"/>
            <w:tcBorders>
              <w:top w:val="single" w:sz="4" w:space="0" w:color="auto"/>
              <w:left w:val="nil"/>
              <w:bottom w:val="nil"/>
              <w:right w:val="nil"/>
            </w:tcBorders>
            <w:shd w:val="clear" w:color="auto" w:fill="auto"/>
            <w:vAlign w:val="center"/>
          </w:tcPr>
          <w:p w14:paraId="0AAD221C" w14:textId="77777777" w:rsidR="000466C8" w:rsidRPr="001D05A3" w:rsidRDefault="000466C8" w:rsidP="00DB436F">
            <w:pPr>
              <w:pStyle w:val="CETBodytext"/>
              <w:ind w:left="228" w:right="-5047"/>
              <w:jc w:val="left"/>
              <w:rPr>
                <w:lang w:val="en-GB"/>
              </w:rPr>
            </w:pPr>
            <w:r w:rsidRPr="001D05A3">
              <w:t>[0.5-3]</w:t>
            </w:r>
          </w:p>
        </w:tc>
      </w:tr>
      <w:tr w:rsidR="000466C8" w:rsidRPr="00B57B36" w14:paraId="37AC2EFD" w14:textId="77777777" w:rsidTr="00DB436F">
        <w:trPr>
          <w:trHeight w:val="290"/>
        </w:trPr>
        <w:tc>
          <w:tcPr>
            <w:tcW w:w="2754" w:type="dxa"/>
            <w:shd w:val="clear" w:color="auto" w:fill="FFFFFF"/>
            <w:vAlign w:val="center"/>
          </w:tcPr>
          <w:p w14:paraId="05590915" w14:textId="77777777" w:rsidR="000466C8" w:rsidRPr="001D05A3" w:rsidRDefault="000466C8" w:rsidP="00DB436F">
            <w:pPr>
              <w:pStyle w:val="CETBodytext"/>
              <w:ind w:left="228" w:right="-1"/>
              <w:jc w:val="left"/>
              <w:rPr>
                <w:rFonts w:cs="Arial"/>
                <w:szCs w:val="18"/>
                <w:lang w:val="en-GB"/>
              </w:rPr>
            </w:pPr>
            <w:r w:rsidRPr="001D05A3">
              <w:rPr>
                <w:rFonts w:cs="Arial"/>
                <w:szCs w:val="18"/>
                <w:lang w:val="en-GB"/>
              </w:rPr>
              <w:t>CS</w:t>
            </w:r>
          </w:p>
        </w:tc>
        <w:tc>
          <w:tcPr>
            <w:tcW w:w="1232" w:type="dxa"/>
            <w:shd w:val="clear" w:color="auto" w:fill="FFFFFF"/>
            <w:vAlign w:val="center"/>
          </w:tcPr>
          <w:p w14:paraId="43BE2227" w14:textId="77777777" w:rsidR="000466C8" w:rsidRPr="001D05A3" w:rsidRDefault="000466C8" w:rsidP="00DB436F">
            <w:pPr>
              <w:pStyle w:val="CETBodytext"/>
              <w:ind w:left="228" w:right="-1"/>
              <w:jc w:val="left"/>
              <w:rPr>
                <w:rFonts w:cs="Arial"/>
                <w:szCs w:val="18"/>
                <w:lang w:val="en-GB"/>
              </w:rPr>
            </w:pPr>
            <w:r w:rsidRPr="001D05A3">
              <w:t>4</w:t>
            </w:r>
          </w:p>
        </w:tc>
        <w:tc>
          <w:tcPr>
            <w:tcW w:w="1233" w:type="dxa"/>
            <w:shd w:val="clear" w:color="auto" w:fill="FFFFFF"/>
            <w:vAlign w:val="center"/>
          </w:tcPr>
          <w:p w14:paraId="7030FC7F" w14:textId="77777777" w:rsidR="000466C8" w:rsidRPr="001D05A3" w:rsidRDefault="000466C8" w:rsidP="00DB436F">
            <w:pPr>
              <w:pStyle w:val="CETBodytext"/>
              <w:ind w:left="228" w:right="-1"/>
              <w:jc w:val="left"/>
            </w:pPr>
            <w:r w:rsidRPr="001D05A3">
              <w:t>0.5</w:t>
            </w:r>
          </w:p>
        </w:tc>
        <w:tc>
          <w:tcPr>
            <w:tcW w:w="1233" w:type="dxa"/>
            <w:shd w:val="clear" w:color="auto" w:fill="FFFFFF"/>
            <w:vAlign w:val="center"/>
          </w:tcPr>
          <w:p w14:paraId="2253752C" w14:textId="77777777" w:rsidR="000466C8" w:rsidRPr="001D05A3" w:rsidRDefault="000466C8" w:rsidP="00DB436F">
            <w:pPr>
              <w:pStyle w:val="CETBodytext"/>
              <w:ind w:left="228" w:right="-1"/>
              <w:jc w:val="left"/>
            </w:pPr>
            <w:r w:rsidRPr="001D05A3">
              <w:t>1</w:t>
            </w:r>
          </w:p>
        </w:tc>
        <w:tc>
          <w:tcPr>
            <w:tcW w:w="1233" w:type="dxa"/>
            <w:shd w:val="clear" w:color="auto" w:fill="FFFFFF"/>
            <w:vAlign w:val="center"/>
          </w:tcPr>
          <w:p w14:paraId="76C2D526" w14:textId="77777777" w:rsidR="000466C8" w:rsidRPr="001D05A3" w:rsidRDefault="000466C8" w:rsidP="00DB436F">
            <w:pPr>
              <w:pStyle w:val="CETBodytext"/>
              <w:ind w:left="228" w:right="-1"/>
              <w:jc w:val="left"/>
            </w:pPr>
            <w:r w:rsidRPr="001D05A3">
              <w:t>[1-1.5]</w:t>
            </w:r>
          </w:p>
        </w:tc>
        <w:tc>
          <w:tcPr>
            <w:tcW w:w="1233" w:type="dxa"/>
            <w:tcBorders>
              <w:bottom w:val="single" w:sz="12" w:space="0" w:color="008000"/>
              <w:right w:val="nil"/>
            </w:tcBorders>
            <w:shd w:val="clear" w:color="auto" w:fill="FFFFFF"/>
            <w:vAlign w:val="center"/>
          </w:tcPr>
          <w:p w14:paraId="2B780D8A" w14:textId="77777777" w:rsidR="000466C8" w:rsidRPr="00B57B36" w:rsidRDefault="000466C8" w:rsidP="00DB436F">
            <w:pPr>
              <w:pStyle w:val="CETBodytext"/>
              <w:ind w:left="228" w:right="-1"/>
              <w:jc w:val="left"/>
              <w:rPr>
                <w:rFonts w:cs="Arial"/>
                <w:szCs w:val="18"/>
                <w:lang w:val="en-GB"/>
              </w:rPr>
            </w:pPr>
            <w:r w:rsidRPr="001D05A3">
              <w:t>0.5</w:t>
            </w:r>
          </w:p>
        </w:tc>
      </w:tr>
      <w:bookmarkEnd w:id="2"/>
    </w:tbl>
    <w:p w14:paraId="7E3A2A09" w14:textId="77777777" w:rsidR="000C39C8" w:rsidRDefault="000C39C8" w:rsidP="003335E5">
      <w:pPr>
        <w:pStyle w:val="CETBodytext"/>
        <w:rPr>
          <w:rFonts w:eastAsiaTheme="minorEastAsia"/>
        </w:rPr>
      </w:pPr>
    </w:p>
    <w:p w14:paraId="5E4076F4" w14:textId="2ACB592D" w:rsidR="003335E5" w:rsidRDefault="000C39C8" w:rsidP="003335E5">
      <w:pPr>
        <w:pStyle w:val="CETBodytext"/>
        <w:rPr>
          <w:rFonts w:eastAsiaTheme="minorEastAsia"/>
        </w:rPr>
      </w:pPr>
      <w:r>
        <w:rPr>
          <w:rFonts w:eastAsiaTheme="minorEastAsia"/>
        </w:rPr>
        <w:t xml:space="preserve">It can be observed </w:t>
      </w:r>
      <w:r w:rsidR="00431C02">
        <w:rPr>
          <w:rFonts w:eastAsiaTheme="minorEastAsia"/>
        </w:rPr>
        <w:t xml:space="preserve">from </w:t>
      </w:r>
      <w:r w:rsidR="00D55713">
        <w:rPr>
          <w:rFonts w:eastAsiaTheme="minorEastAsia"/>
        </w:rPr>
        <w:t>Table</w:t>
      </w:r>
      <w:r w:rsidR="0027341F">
        <w:rPr>
          <w:rFonts w:eastAsiaTheme="minorEastAsia"/>
        </w:rPr>
        <w:t xml:space="preserve">s 1 and 2 </w:t>
      </w:r>
      <w:r w:rsidR="00FD52FA">
        <w:rPr>
          <w:rFonts w:eastAsiaTheme="minorEastAsia"/>
        </w:rPr>
        <w:t xml:space="preserve">that </w:t>
      </w:r>
      <w:r w:rsidR="00431C02">
        <w:rPr>
          <w:rFonts w:eastAsiaTheme="minorEastAsia"/>
        </w:rPr>
        <w:t>for</w:t>
      </w:r>
      <w:r w:rsidR="003335E5" w:rsidRPr="003335E5">
        <w:rPr>
          <w:rFonts w:eastAsiaTheme="minorEastAsia"/>
        </w:rPr>
        <w:t xml:space="preserve"> WWTPs</w:t>
      </w:r>
      <w:r w:rsidR="006340F6">
        <w:rPr>
          <w:rFonts w:eastAsiaTheme="minorEastAsia"/>
        </w:rPr>
        <w:t>,</w:t>
      </w:r>
      <w:r w:rsidR="003335E5" w:rsidRPr="003335E5">
        <w:rPr>
          <w:rFonts w:eastAsiaTheme="minorEastAsia"/>
        </w:rPr>
        <w:t xml:space="preserve"> the discharge is generally treated as domestic wastewater</w:t>
      </w:r>
      <w:r w:rsidR="00F22EA9">
        <w:rPr>
          <w:rFonts w:eastAsiaTheme="minorEastAsia"/>
        </w:rPr>
        <w:t>,</w:t>
      </w:r>
      <w:r w:rsidR="003335E5" w:rsidRPr="003335E5">
        <w:rPr>
          <w:rFonts w:eastAsiaTheme="minorEastAsia"/>
        </w:rPr>
        <w:t xml:space="preserve"> and hazardous substances are considered absent. </w:t>
      </w:r>
      <w:r>
        <w:rPr>
          <w:rFonts w:eastAsiaTheme="minorEastAsia"/>
        </w:rPr>
        <w:t>Considering that the</w:t>
      </w:r>
      <w:r w:rsidR="003335E5" w:rsidRPr="003335E5">
        <w:rPr>
          <w:rFonts w:eastAsiaTheme="minorEastAsia"/>
        </w:rPr>
        <w:t xml:space="preserve"> Population Equivalents value is typically known, the calculation of parameter </w:t>
      </w:r>
      <w:r w:rsidR="008E18D4" w:rsidRPr="000C39C8">
        <w:rPr>
          <w:rFonts w:eastAsiaTheme="minorEastAsia"/>
          <w:i/>
          <w:iCs/>
        </w:rPr>
        <w:t>S</w:t>
      </w:r>
      <w:r w:rsidR="008E18D4" w:rsidRPr="003335E5">
        <w:rPr>
          <w:rFonts w:eastAsiaTheme="minorEastAsia"/>
        </w:rPr>
        <w:t xml:space="preserve"> </w:t>
      </w:r>
      <w:r w:rsidR="008E18D4">
        <w:rPr>
          <w:rFonts w:eastAsiaTheme="minorEastAsia"/>
        </w:rPr>
        <w:t>can</w:t>
      </w:r>
      <w:r>
        <w:rPr>
          <w:rFonts w:eastAsiaTheme="minorEastAsia"/>
        </w:rPr>
        <w:t xml:space="preserve"> be easily performed </w:t>
      </w:r>
      <w:r w:rsidR="003335E5" w:rsidRPr="003335E5">
        <w:rPr>
          <w:rFonts w:eastAsiaTheme="minorEastAsia"/>
        </w:rPr>
        <w:t xml:space="preserve">based on average flow rates. Conversely, for CSs, the discharge is treated as industrial wastewater, and the assessment of parameter </w:t>
      </w:r>
      <w:r w:rsidR="003335E5" w:rsidRPr="000C39C8">
        <w:rPr>
          <w:rFonts w:eastAsiaTheme="minorEastAsia"/>
          <w:i/>
          <w:iCs/>
        </w:rPr>
        <w:t>H</w:t>
      </w:r>
      <w:r w:rsidR="003335E5" w:rsidRPr="003335E5">
        <w:rPr>
          <w:rFonts w:eastAsiaTheme="minorEastAsia"/>
        </w:rPr>
        <w:t xml:space="preserve"> </w:t>
      </w:r>
      <w:r w:rsidRPr="000C39C8">
        <w:rPr>
          <w:rFonts w:eastAsiaTheme="minorEastAsia"/>
        </w:rPr>
        <w:t>depends on whether the site has undergone remediation or not</w:t>
      </w:r>
      <w:r w:rsidR="003335E5" w:rsidRPr="003335E5">
        <w:rPr>
          <w:rFonts w:eastAsiaTheme="minorEastAsia"/>
        </w:rPr>
        <w:t>.</w:t>
      </w:r>
    </w:p>
    <w:p w14:paraId="6A204C99" w14:textId="4D466297" w:rsidR="003335E5" w:rsidRPr="00CB6DCA" w:rsidRDefault="00A3186A" w:rsidP="00CB6DCA">
      <w:pPr>
        <w:pStyle w:val="CETheadingx"/>
      </w:pPr>
      <w:r w:rsidRPr="00CB6DCA">
        <w:t xml:space="preserve">Frequency assessment </w:t>
      </w:r>
    </w:p>
    <w:p w14:paraId="1AA44E1D" w14:textId="4AAA54E0" w:rsidR="005A4AAF" w:rsidRDefault="003335E5" w:rsidP="003335E5">
      <w:pPr>
        <w:pStyle w:val="CETBodytext"/>
        <w:rPr>
          <w:rFonts w:eastAsiaTheme="minorEastAsia"/>
        </w:rPr>
      </w:pPr>
      <w:r w:rsidRPr="003335E5">
        <w:rPr>
          <w:rFonts w:eastAsiaTheme="minorEastAsia"/>
        </w:rPr>
        <w:t>The frequency assessment involves</w:t>
      </w:r>
      <w:r w:rsidR="00A9766A">
        <w:rPr>
          <w:rFonts w:eastAsiaTheme="minorEastAsia"/>
        </w:rPr>
        <w:t xml:space="preserve">, </w:t>
      </w:r>
      <w:r w:rsidR="00A9766A" w:rsidRPr="003335E5">
        <w:rPr>
          <w:rFonts w:eastAsiaTheme="minorEastAsia"/>
        </w:rPr>
        <w:t>for each pollution source</w:t>
      </w:r>
      <w:r w:rsidR="00A9766A">
        <w:rPr>
          <w:rFonts w:eastAsiaTheme="minorEastAsia"/>
        </w:rPr>
        <w:t>,</w:t>
      </w:r>
      <w:r w:rsidRPr="003335E5">
        <w:rPr>
          <w:rFonts w:eastAsiaTheme="minorEastAsia"/>
        </w:rPr>
        <w:t xml:space="preserve"> </w:t>
      </w:r>
      <w:r w:rsidR="00FB7B2E">
        <w:rPr>
          <w:rFonts w:eastAsiaTheme="minorEastAsia"/>
        </w:rPr>
        <w:t xml:space="preserve">the </w:t>
      </w:r>
      <w:r w:rsidRPr="003335E5">
        <w:rPr>
          <w:rFonts w:eastAsiaTheme="minorEastAsia"/>
        </w:rPr>
        <w:t>determin</w:t>
      </w:r>
      <w:r w:rsidR="00FB7B2E">
        <w:rPr>
          <w:rFonts w:eastAsiaTheme="minorEastAsia"/>
        </w:rPr>
        <w:t xml:space="preserve">ation of </w:t>
      </w:r>
      <w:r w:rsidRPr="003335E5">
        <w:rPr>
          <w:rFonts w:eastAsiaTheme="minorEastAsia"/>
        </w:rPr>
        <w:t>the</w:t>
      </w:r>
      <w:r w:rsidR="00E9082E">
        <w:rPr>
          <w:rFonts w:eastAsiaTheme="minorEastAsia"/>
        </w:rPr>
        <w:t xml:space="preserve"> expected frequency</w:t>
      </w:r>
      <w:r w:rsidR="008648A5">
        <w:rPr>
          <w:rFonts w:eastAsiaTheme="minorEastAsia"/>
        </w:rPr>
        <w:t xml:space="preserve"> that a flood event may impact the facility.</w:t>
      </w:r>
      <w:r w:rsidR="00E9082E">
        <w:rPr>
          <w:rFonts w:eastAsiaTheme="minorEastAsia"/>
        </w:rPr>
        <w:t xml:space="preserve"> </w:t>
      </w:r>
      <w:r w:rsidR="008648A5">
        <w:rPr>
          <w:rFonts w:eastAsiaTheme="minorEastAsia"/>
        </w:rPr>
        <w:t>This can be quantified through a</w:t>
      </w:r>
      <w:r w:rsidRPr="003335E5">
        <w:rPr>
          <w:rFonts w:eastAsiaTheme="minorEastAsia"/>
        </w:rPr>
        <w:t xml:space="preserve"> Frequency Index (</w:t>
      </w:r>
      <w:r w:rsidRPr="003814FF">
        <w:rPr>
          <w:rFonts w:eastAsiaTheme="minorEastAsia"/>
          <w:i/>
          <w:iCs/>
        </w:rPr>
        <w:t>I</w:t>
      </w:r>
      <w:r w:rsidR="005A4AAF" w:rsidRPr="003814FF">
        <w:rPr>
          <w:rFonts w:eastAsiaTheme="minorEastAsia"/>
          <w:i/>
          <w:iCs/>
          <w:vertAlign w:val="subscript"/>
        </w:rPr>
        <w:t>F</w:t>
      </w:r>
      <w:r w:rsidRPr="003335E5">
        <w:rPr>
          <w:rFonts w:eastAsiaTheme="minorEastAsia"/>
        </w:rPr>
        <w:t>)</w:t>
      </w:r>
      <w:r w:rsidR="00C041C1">
        <w:rPr>
          <w:rFonts w:eastAsiaTheme="minorEastAsia"/>
        </w:rPr>
        <w:t xml:space="preserve"> that has been</w:t>
      </w:r>
      <w:r w:rsidRPr="003335E5">
        <w:rPr>
          <w:rFonts w:eastAsiaTheme="minorEastAsia"/>
        </w:rPr>
        <w:t xml:space="preserve"> adapted from </w:t>
      </w:r>
      <w:r w:rsidR="00C041C1">
        <w:rPr>
          <w:rFonts w:eastAsiaTheme="minorEastAsia"/>
        </w:rPr>
        <w:t>an</w:t>
      </w:r>
      <w:r w:rsidRPr="003814FF">
        <w:rPr>
          <w:rFonts w:eastAsiaTheme="minorEastAsia"/>
          <w:i/>
          <w:iCs/>
        </w:rPr>
        <w:t xml:space="preserve"> </w:t>
      </w:r>
      <w:r w:rsidRPr="003335E5">
        <w:rPr>
          <w:rFonts w:eastAsiaTheme="minorEastAsia"/>
        </w:rPr>
        <w:t xml:space="preserve">index developed by Morra et al. (2012), which considers expected flooded areas for reference intervals of return periods and land </w:t>
      </w:r>
      <w:r w:rsidR="000D74A0" w:rsidRPr="003335E5">
        <w:rPr>
          <w:rFonts w:eastAsiaTheme="minorEastAsia"/>
        </w:rPr>
        <w:t>usage</w:t>
      </w:r>
      <w:r w:rsidR="000D74A0">
        <w:rPr>
          <w:rFonts w:eastAsiaTheme="minorEastAsia"/>
        </w:rPr>
        <w:t xml:space="preserve"> and</w:t>
      </w:r>
      <w:r w:rsidRPr="003335E5">
        <w:rPr>
          <w:rFonts w:eastAsiaTheme="minorEastAsia"/>
        </w:rPr>
        <w:t xml:space="preserve"> is calculated based on a severity scale that accounts for return period scenarios and land usage</w:t>
      </w:r>
      <w:r w:rsidR="001C1F8D">
        <w:rPr>
          <w:rFonts w:eastAsiaTheme="minorEastAsia"/>
        </w:rPr>
        <w:t xml:space="preserve"> presented in Table 3</w:t>
      </w:r>
      <w:r w:rsidR="00D2642B">
        <w:rPr>
          <w:rFonts w:eastAsiaTheme="minorEastAsia"/>
        </w:rPr>
        <w:t xml:space="preserve">. </w:t>
      </w:r>
    </w:p>
    <w:p w14:paraId="52A0B906" w14:textId="0EFA8DE9" w:rsidR="005A4AAF" w:rsidRPr="005A4AAF" w:rsidRDefault="001C1F8D" w:rsidP="005A4AAF">
      <w:pPr>
        <w:pStyle w:val="CETTabletitle"/>
      </w:pPr>
      <w:bookmarkStart w:id="3" w:name="_Ref169000825"/>
      <w:r>
        <w:t>T</w:t>
      </w:r>
      <w:r w:rsidR="005A4AAF" w:rsidRPr="005A4AAF">
        <w:t xml:space="preserve">able </w:t>
      </w:r>
      <w:r w:rsidR="005A4AAF" w:rsidRPr="005A4AAF">
        <w:fldChar w:fldCharType="begin"/>
      </w:r>
      <w:r w:rsidR="005A4AAF" w:rsidRPr="005A4AAF">
        <w:instrText xml:space="preserve"> SEQ Table \* ARABIC </w:instrText>
      </w:r>
      <w:r w:rsidR="005A4AAF" w:rsidRPr="005A4AAF">
        <w:fldChar w:fldCharType="separate"/>
      </w:r>
      <w:r w:rsidR="005A4AAF" w:rsidRPr="005A4AAF">
        <w:t>3</w:t>
      </w:r>
      <w:r w:rsidR="005A4AAF" w:rsidRPr="005A4AAF">
        <w:fldChar w:fldCharType="end"/>
      </w:r>
      <w:bookmarkEnd w:id="3"/>
      <w:r w:rsidR="005A4AAF" w:rsidRPr="005A4AAF">
        <w:t xml:space="preserve"> – Severity scale for </w:t>
      </w:r>
      <w:r w:rsidR="00A76B87">
        <w:t xml:space="preserve">LIN </w:t>
      </w:r>
      <w:r w:rsidR="000C39C8">
        <w:t>f</w:t>
      </w:r>
      <w:r w:rsidR="005A4AAF" w:rsidRPr="005A4AAF">
        <w:t xml:space="preserve">requency assessment. </w:t>
      </w:r>
    </w:p>
    <w:tbl>
      <w:tblPr>
        <w:tblW w:w="878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2123"/>
        <w:gridCol w:w="2124"/>
        <w:gridCol w:w="2124"/>
      </w:tblGrid>
      <w:tr w:rsidR="00681511" w:rsidRPr="00B57B36" w14:paraId="75C72B3A" w14:textId="77777777" w:rsidTr="0062546F">
        <w:trPr>
          <w:trHeight w:val="297"/>
        </w:trPr>
        <w:tc>
          <w:tcPr>
            <w:tcW w:w="2410" w:type="dxa"/>
            <w:tcBorders>
              <w:top w:val="single" w:sz="12" w:space="0" w:color="008000"/>
              <w:bottom w:val="single" w:sz="6" w:space="0" w:color="008000"/>
            </w:tcBorders>
            <w:shd w:val="clear" w:color="auto" w:fill="FFFFFF"/>
          </w:tcPr>
          <w:p w14:paraId="38AF8103" w14:textId="66811D12" w:rsidR="00681511" w:rsidRPr="007E6D99" w:rsidRDefault="00681511" w:rsidP="00DB436F">
            <w:pPr>
              <w:pStyle w:val="CETBodytext"/>
              <w:ind w:left="228"/>
              <w:jc w:val="left"/>
              <w:rPr>
                <w:szCs w:val="18"/>
                <w:lang w:val="en-GB"/>
              </w:rPr>
            </w:pPr>
            <w:r>
              <w:rPr>
                <w:szCs w:val="18"/>
              </w:rPr>
              <w:t xml:space="preserve">Scenario </w:t>
            </w:r>
          </w:p>
        </w:tc>
        <w:tc>
          <w:tcPr>
            <w:tcW w:w="2123" w:type="dxa"/>
            <w:tcBorders>
              <w:top w:val="single" w:sz="12" w:space="0" w:color="008000"/>
              <w:bottom w:val="single" w:sz="6" w:space="0" w:color="008000"/>
            </w:tcBorders>
            <w:shd w:val="clear" w:color="auto" w:fill="FFFFFF"/>
          </w:tcPr>
          <w:p w14:paraId="72D37D53" w14:textId="41FB30FF" w:rsidR="00681511" w:rsidRPr="007E6D99" w:rsidRDefault="00681511" w:rsidP="00DB436F">
            <w:pPr>
              <w:pStyle w:val="CETBodytext"/>
              <w:ind w:left="228"/>
              <w:jc w:val="left"/>
              <w:rPr>
                <w:szCs w:val="18"/>
              </w:rPr>
            </w:pPr>
            <w:r>
              <w:rPr>
                <w:szCs w:val="18"/>
              </w:rPr>
              <w:t>Return Period interval</w:t>
            </w:r>
          </w:p>
        </w:tc>
        <w:tc>
          <w:tcPr>
            <w:tcW w:w="2124" w:type="dxa"/>
            <w:tcBorders>
              <w:top w:val="single" w:sz="12" w:space="0" w:color="008000"/>
              <w:bottom w:val="single" w:sz="6" w:space="0" w:color="008000"/>
            </w:tcBorders>
            <w:shd w:val="clear" w:color="auto" w:fill="FFFFFF"/>
          </w:tcPr>
          <w:p w14:paraId="3FF53073" w14:textId="16B9D956" w:rsidR="00681511" w:rsidRPr="007E6D99" w:rsidRDefault="00681511" w:rsidP="00DB436F">
            <w:pPr>
              <w:pStyle w:val="CETBodytext"/>
              <w:ind w:left="228"/>
              <w:jc w:val="left"/>
              <w:rPr>
                <w:szCs w:val="18"/>
                <w:lang w:val="en-GB"/>
              </w:rPr>
            </w:pPr>
            <w:r w:rsidRPr="007E6D99">
              <w:rPr>
                <w:szCs w:val="18"/>
              </w:rPr>
              <w:t>Non</w:t>
            </w:r>
            <w:r>
              <w:rPr>
                <w:szCs w:val="18"/>
              </w:rPr>
              <w:t>-</w:t>
            </w:r>
            <w:r w:rsidRPr="007E6D99">
              <w:rPr>
                <w:szCs w:val="18"/>
              </w:rPr>
              <w:t>urban area</w:t>
            </w:r>
            <w:r>
              <w:rPr>
                <w:szCs w:val="18"/>
              </w:rPr>
              <w:t xml:space="preserve"> score</w:t>
            </w:r>
          </w:p>
        </w:tc>
        <w:tc>
          <w:tcPr>
            <w:tcW w:w="2124" w:type="dxa"/>
            <w:tcBorders>
              <w:top w:val="single" w:sz="12" w:space="0" w:color="008000"/>
              <w:bottom w:val="single" w:sz="6" w:space="0" w:color="008000"/>
            </w:tcBorders>
            <w:shd w:val="clear" w:color="auto" w:fill="FFFFFF"/>
          </w:tcPr>
          <w:p w14:paraId="3C5075E2" w14:textId="77777777" w:rsidR="00681511" w:rsidRPr="007E6D99" w:rsidRDefault="00681511" w:rsidP="00DB436F">
            <w:pPr>
              <w:pStyle w:val="CETBodytext"/>
              <w:ind w:left="228"/>
              <w:jc w:val="left"/>
              <w:rPr>
                <w:szCs w:val="18"/>
              </w:rPr>
            </w:pPr>
            <w:r w:rsidRPr="007E6D99">
              <w:rPr>
                <w:szCs w:val="18"/>
              </w:rPr>
              <w:t>Urban area</w:t>
            </w:r>
            <w:r>
              <w:rPr>
                <w:szCs w:val="18"/>
              </w:rPr>
              <w:t xml:space="preserve"> score</w:t>
            </w:r>
          </w:p>
        </w:tc>
      </w:tr>
      <w:tr w:rsidR="00681511" w:rsidRPr="00B57B36" w14:paraId="4FD217B0" w14:textId="77777777" w:rsidTr="0062546F">
        <w:trPr>
          <w:trHeight w:val="275"/>
        </w:trPr>
        <w:tc>
          <w:tcPr>
            <w:tcW w:w="2410" w:type="dxa"/>
            <w:shd w:val="clear" w:color="auto" w:fill="auto"/>
          </w:tcPr>
          <w:p w14:paraId="74D23EE3" w14:textId="69211355" w:rsidR="00681511" w:rsidRPr="007E6D99" w:rsidRDefault="000D74A0" w:rsidP="00DB436F">
            <w:pPr>
              <w:pStyle w:val="CETBodytext"/>
              <w:ind w:left="228"/>
              <w:jc w:val="left"/>
              <w:rPr>
                <w:szCs w:val="18"/>
              </w:rPr>
            </w:pPr>
            <w:r w:rsidRPr="007E6D99">
              <w:rPr>
                <w:szCs w:val="18"/>
              </w:rPr>
              <w:t>Riverbed</w:t>
            </w:r>
            <w:r w:rsidR="00681511">
              <w:rPr>
                <w:szCs w:val="18"/>
              </w:rPr>
              <w:t xml:space="preserve"> </w:t>
            </w:r>
          </w:p>
        </w:tc>
        <w:tc>
          <w:tcPr>
            <w:tcW w:w="2123" w:type="dxa"/>
          </w:tcPr>
          <w:p w14:paraId="06326586" w14:textId="695E949F" w:rsidR="00681511" w:rsidRPr="007E6D99" w:rsidRDefault="00681511" w:rsidP="00DB436F">
            <w:pPr>
              <w:pStyle w:val="CETBodytext"/>
              <w:ind w:left="228"/>
              <w:jc w:val="left"/>
              <w:rPr>
                <w:szCs w:val="18"/>
              </w:rPr>
            </w:pPr>
            <w:r>
              <w:rPr>
                <w:szCs w:val="18"/>
              </w:rPr>
              <w:t>3</w:t>
            </w:r>
            <w:r>
              <w:rPr>
                <w:rFonts w:cs="Arial"/>
                <w:szCs w:val="18"/>
              </w:rPr>
              <w:t>÷</w:t>
            </w:r>
            <w:r>
              <w:rPr>
                <w:szCs w:val="18"/>
              </w:rPr>
              <w:t>5 years</w:t>
            </w:r>
          </w:p>
        </w:tc>
        <w:tc>
          <w:tcPr>
            <w:tcW w:w="2124" w:type="dxa"/>
            <w:tcBorders>
              <w:top w:val="single" w:sz="4" w:space="0" w:color="FFFFFF" w:themeColor="background1"/>
              <w:bottom w:val="single" w:sz="4" w:space="0" w:color="FFFFFF" w:themeColor="background1"/>
              <w:right w:val="nil"/>
            </w:tcBorders>
            <w:shd w:val="clear" w:color="auto" w:fill="auto"/>
          </w:tcPr>
          <w:p w14:paraId="40C37D2E" w14:textId="302E95B7" w:rsidR="00681511" w:rsidRPr="007E6D99" w:rsidRDefault="00681511" w:rsidP="00DB436F">
            <w:pPr>
              <w:pStyle w:val="CETBodytext"/>
              <w:ind w:left="228"/>
              <w:jc w:val="left"/>
              <w:rPr>
                <w:szCs w:val="18"/>
              </w:rPr>
            </w:pPr>
            <w:r w:rsidRPr="007E6D99">
              <w:rPr>
                <w:szCs w:val="18"/>
              </w:rPr>
              <w:t>4</w:t>
            </w:r>
          </w:p>
        </w:tc>
        <w:tc>
          <w:tcPr>
            <w:tcW w:w="2124" w:type="dxa"/>
            <w:tcBorders>
              <w:top w:val="single" w:sz="4" w:space="0" w:color="FFFFFF" w:themeColor="background1"/>
              <w:bottom w:val="single" w:sz="4" w:space="0" w:color="FFFFFF" w:themeColor="background1"/>
            </w:tcBorders>
          </w:tcPr>
          <w:p w14:paraId="26A62B26" w14:textId="77777777" w:rsidR="00681511" w:rsidRPr="007E6D99" w:rsidRDefault="00681511" w:rsidP="00DB436F">
            <w:pPr>
              <w:pStyle w:val="CETBodytext"/>
              <w:ind w:left="228" w:right="-5047"/>
              <w:jc w:val="left"/>
              <w:rPr>
                <w:szCs w:val="18"/>
              </w:rPr>
            </w:pPr>
            <w:r w:rsidRPr="007E6D99">
              <w:rPr>
                <w:szCs w:val="18"/>
              </w:rPr>
              <w:t>4</w:t>
            </w:r>
          </w:p>
        </w:tc>
      </w:tr>
      <w:tr w:rsidR="00681511" w:rsidRPr="00B57B36" w14:paraId="6C3CAA0C" w14:textId="77777777" w:rsidTr="0062546F">
        <w:trPr>
          <w:trHeight w:val="275"/>
        </w:trPr>
        <w:tc>
          <w:tcPr>
            <w:tcW w:w="2410" w:type="dxa"/>
            <w:shd w:val="clear" w:color="auto" w:fill="auto"/>
          </w:tcPr>
          <w:p w14:paraId="49E38E55" w14:textId="1191F0E0" w:rsidR="00681511" w:rsidRPr="007E6D99" w:rsidRDefault="0062546F" w:rsidP="00DB436F">
            <w:pPr>
              <w:pStyle w:val="CETBodytext"/>
              <w:ind w:left="228"/>
              <w:jc w:val="left"/>
              <w:rPr>
                <w:szCs w:val="18"/>
              </w:rPr>
            </w:pPr>
            <w:r>
              <w:rPr>
                <w:szCs w:val="18"/>
              </w:rPr>
              <w:t>High Probability (HP)</w:t>
            </w:r>
          </w:p>
        </w:tc>
        <w:tc>
          <w:tcPr>
            <w:tcW w:w="2123" w:type="dxa"/>
          </w:tcPr>
          <w:p w14:paraId="1B3875CA" w14:textId="4130C432" w:rsidR="00681511" w:rsidRPr="007E6D99" w:rsidRDefault="00681511" w:rsidP="00DB436F">
            <w:pPr>
              <w:pStyle w:val="CETBodytext"/>
              <w:ind w:left="228"/>
              <w:jc w:val="left"/>
              <w:rPr>
                <w:szCs w:val="18"/>
              </w:rPr>
            </w:pPr>
            <w:r>
              <w:rPr>
                <w:szCs w:val="18"/>
              </w:rPr>
              <w:t>3</w:t>
            </w:r>
            <w:r>
              <w:rPr>
                <w:rFonts w:cs="Arial"/>
                <w:szCs w:val="18"/>
              </w:rPr>
              <w:t>÷</w:t>
            </w:r>
            <w:r>
              <w:rPr>
                <w:szCs w:val="18"/>
              </w:rPr>
              <w:t>5 years</w:t>
            </w:r>
          </w:p>
        </w:tc>
        <w:tc>
          <w:tcPr>
            <w:tcW w:w="2124" w:type="dxa"/>
            <w:tcBorders>
              <w:top w:val="single" w:sz="4" w:space="0" w:color="FFFFFF" w:themeColor="background1"/>
              <w:bottom w:val="single" w:sz="4" w:space="0" w:color="FFFFFF" w:themeColor="background1"/>
              <w:right w:val="nil"/>
            </w:tcBorders>
            <w:shd w:val="clear" w:color="auto" w:fill="auto"/>
          </w:tcPr>
          <w:p w14:paraId="39D83316" w14:textId="074FCB57" w:rsidR="00681511" w:rsidRPr="007E6D99" w:rsidRDefault="00681511" w:rsidP="00DB436F">
            <w:pPr>
              <w:pStyle w:val="CETBodytext"/>
              <w:ind w:left="228"/>
              <w:jc w:val="left"/>
              <w:rPr>
                <w:szCs w:val="18"/>
              </w:rPr>
            </w:pPr>
            <w:r w:rsidRPr="007E6D99">
              <w:rPr>
                <w:szCs w:val="18"/>
              </w:rPr>
              <w:t>3</w:t>
            </w:r>
          </w:p>
        </w:tc>
        <w:tc>
          <w:tcPr>
            <w:tcW w:w="2124" w:type="dxa"/>
            <w:tcBorders>
              <w:top w:val="single" w:sz="4" w:space="0" w:color="FFFFFF" w:themeColor="background1"/>
              <w:bottom w:val="single" w:sz="4" w:space="0" w:color="FFFFFF" w:themeColor="background1"/>
            </w:tcBorders>
          </w:tcPr>
          <w:p w14:paraId="362CB586" w14:textId="77777777" w:rsidR="00681511" w:rsidRPr="007E6D99" w:rsidRDefault="00681511" w:rsidP="00DB436F">
            <w:pPr>
              <w:pStyle w:val="CETBodytext"/>
              <w:ind w:left="228" w:right="-5047"/>
              <w:jc w:val="left"/>
              <w:rPr>
                <w:szCs w:val="18"/>
              </w:rPr>
            </w:pPr>
            <w:r w:rsidRPr="007E6D99">
              <w:rPr>
                <w:szCs w:val="18"/>
              </w:rPr>
              <w:t>4</w:t>
            </w:r>
          </w:p>
        </w:tc>
      </w:tr>
      <w:tr w:rsidR="00681511" w:rsidRPr="00B57B36" w14:paraId="1E09FD1B" w14:textId="77777777" w:rsidTr="0062546F">
        <w:trPr>
          <w:trHeight w:val="275"/>
        </w:trPr>
        <w:tc>
          <w:tcPr>
            <w:tcW w:w="2410" w:type="dxa"/>
            <w:shd w:val="clear" w:color="auto" w:fill="auto"/>
          </w:tcPr>
          <w:p w14:paraId="6E547C6D" w14:textId="3AF4327E" w:rsidR="00681511" w:rsidRPr="007E6D99" w:rsidRDefault="0062546F" w:rsidP="00DB436F">
            <w:pPr>
              <w:pStyle w:val="CETBodytext"/>
              <w:ind w:left="228"/>
              <w:jc w:val="left"/>
              <w:rPr>
                <w:szCs w:val="18"/>
              </w:rPr>
            </w:pPr>
            <w:r>
              <w:rPr>
                <w:szCs w:val="18"/>
              </w:rPr>
              <w:t xml:space="preserve">Medium Probability </w:t>
            </w:r>
            <w:r w:rsidR="00681511">
              <w:rPr>
                <w:szCs w:val="18"/>
              </w:rPr>
              <w:t>(</w:t>
            </w:r>
            <w:r w:rsidRPr="007E6D99">
              <w:rPr>
                <w:szCs w:val="18"/>
              </w:rPr>
              <w:t>MP</w:t>
            </w:r>
            <w:r w:rsidR="00681511">
              <w:rPr>
                <w:szCs w:val="18"/>
              </w:rPr>
              <w:t>)</w:t>
            </w:r>
          </w:p>
        </w:tc>
        <w:tc>
          <w:tcPr>
            <w:tcW w:w="2123" w:type="dxa"/>
          </w:tcPr>
          <w:p w14:paraId="6BB763D8" w14:textId="3C825028" w:rsidR="00681511" w:rsidRPr="007E6D99" w:rsidRDefault="00681511" w:rsidP="00DB436F">
            <w:pPr>
              <w:pStyle w:val="CETBodytext"/>
              <w:ind w:left="228"/>
              <w:jc w:val="left"/>
              <w:rPr>
                <w:szCs w:val="18"/>
              </w:rPr>
            </w:pPr>
            <w:r>
              <w:rPr>
                <w:szCs w:val="18"/>
              </w:rPr>
              <w:t>100</w:t>
            </w:r>
            <w:r>
              <w:rPr>
                <w:rFonts w:cs="Arial"/>
                <w:szCs w:val="18"/>
              </w:rPr>
              <w:t>÷200</w:t>
            </w:r>
            <w:r>
              <w:rPr>
                <w:szCs w:val="18"/>
              </w:rPr>
              <w:t xml:space="preserve"> years</w:t>
            </w:r>
          </w:p>
        </w:tc>
        <w:tc>
          <w:tcPr>
            <w:tcW w:w="2124" w:type="dxa"/>
            <w:tcBorders>
              <w:top w:val="single" w:sz="4" w:space="0" w:color="FFFFFF" w:themeColor="background1"/>
              <w:bottom w:val="nil"/>
              <w:right w:val="nil"/>
            </w:tcBorders>
            <w:shd w:val="clear" w:color="auto" w:fill="auto"/>
          </w:tcPr>
          <w:p w14:paraId="3A365B5B" w14:textId="2B7CBEFB" w:rsidR="00681511" w:rsidRPr="007E6D99" w:rsidRDefault="00681511" w:rsidP="00DB436F">
            <w:pPr>
              <w:pStyle w:val="CETBodytext"/>
              <w:ind w:left="228"/>
              <w:jc w:val="left"/>
              <w:rPr>
                <w:szCs w:val="18"/>
              </w:rPr>
            </w:pPr>
            <w:r w:rsidRPr="007E6D99">
              <w:rPr>
                <w:szCs w:val="18"/>
              </w:rPr>
              <w:t>3</w:t>
            </w:r>
          </w:p>
        </w:tc>
        <w:tc>
          <w:tcPr>
            <w:tcW w:w="2124" w:type="dxa"/>
            <w:tcBorders>
              <w:top w:val="single" w:sz="4" w:space="0" w:color="FFFFFF" w:themeColor="background1"/>
              <w:bottom w:val="nil"/>
            </w:tcBorders>
          </w:tcPr>
          <w:p w14:paraId="525B9257" w14:textId="77777777" w:rsidR="00681511" w:rsidRPr="007E6D99" w:rsidRDefault="00681511" w:rsidP="00DB436F">
            <w:pPr>
              <w:pStyle w:val="CETBodytext"/>
              <w:ind w:left="228" w:right="-5047"/>
              <w:jc w:val="left"/>
              <w:rPr>
                <w:szCs w:val="18"/>
              </w:rPr>
            </w:pPr>
            <w:r w:rsidRPr="007E6D99">
              <w:rPr>
                <w:szCs w:val="18"/>
              </w:rPr>
              <w:t>3</w:t>
            </w:r>
          </w:p>
        </w:tc>
      </w:tr>
      <w:tr w:rsidR="00681511" w:rsidRPr="00B57B36" w14:paraId="2587E947" w14:textId="77777777" w:rsidTr="0062546F">
        <w:trPr>
          <w:trHeight w:val="297"/>
        </w:trPr>
        <w:tc>
          <w:tcPr>
            <w:tcW w:w="2410" w:type="dxa"/>
            <w:shd w:val="clear" w:color="auto" w:fill="FFFFFF"/>
          </w:tcPr>
          <w:p w14:paraId="003FC510" w14:textId="72DBE785" w:rsidR="00681511" w:rsidRPr="007E6D99" w:rsidRDefault="0062546F" w:rsidP="00DB436F">
            <w:pPr>
              <w:pStyle w:val="CETBodytext"/>
              <w:ind w:left="228" w:right="-1"/>
              <w:jc w:val="left"/>
              <w:rPr>
                <w:rFonts w:cs="Arial"/>
                <w:szCs w:val="18"/>
                <w:lang w:val="en-GB"/>
              </w:rPr>
            </w:pPr>
            <w:r>
              <w:rPr>
                <w:szCs w:val="18"/>
              </w:rPr>
              <w:t xml:space="preserve">Low Probability </w:t>
            </w:r>
            <w:r w:rsidR="00681511">
              <w:rPr>
                <w:szCs w:val="18"/>
              </w:rPr>
              <w:t>(</w:t>
            </w:r>
            <w:r w:rsidRPr="007E6D99">
              <w:rPr>
                <w:szCs w:val="18"/>
              </w:rPr>
              <w:t>LP</w:t>
            </w:r>
            <w:r w:rsidR="00681511">
              <w:rPr>
                <w:szCs w:val="18"/>
              </w:rPr>
              <w:t>)</w:t>
            </w:r>
          </w:p>
        </w:tc>
        <w:tc>
          <w:tcPr>
            <w:tcW w:w="2123" w:type="dxa"/>
            <w:shd w:val="clear" w:color="auto" w:fill="FFFFFF"/>
          </w:tcPr>
          <w:p w14:paraId="41A3D244" w14:textId="7145ACFE" w:rsidR="00681511" w:rsidRPr="007E6D99" w:rsidRDefault="00681511" w:rsidP="00DB436F">
            <w:pPr>
              <w:pStyle w:val="CETBodytext"/>
              <w:ind w:left="228" w:right="-1"/>
              <w:jc w:val="left"/>
              <w:rPr>
                <w:szCs w:val="18"/>
              </w:rPr>
            </w:pPr>
            <w:r>
              <w:rPr>
                <w:szCs w:val="18"/>
              </w:rPr>
              <w:t>300</w:t>
            </w:r>
            <w:r>
              <w:rPr>
                <w:rFonts w:cs="Arial"/>
                <w:szCs w:val="18"/>
              </w:rPr>
              <w:t>÷</w:t>
            </w:r>
            <w:r>
              <w:rPr>
                <w:szCs w:val="18"/>
              </w:rPr>
              <w:t>500 years</w:t>
            </w:r>
          </w:p>
        </w:tc>
        <w:tc>
          <w:tcPr>
            <w:tcW w:w="2124" w:type="dxa"/>
            <w:shd w:val="clear" w:color="auto" w:fill="FFFFFF"/>
          </w:tcPr>
          <w:p w14:paraId="29779888" w14:textId="4A3DD867" w:rsidR="00681511" w:rsidRPr="007E6D99" w:rsidRDefault="00681511" w:rsidP="00DB436F">
            <w:pPr>
              <w:pStyle w:val="CETBodytext"/>
              <w:ind w:left="228" w:right="-1"/>
              <w:jc w:val="left"/>
              <w:rPr>
                <w:rFonts w:cs="Arial"/>
                <w:szCs w:val="18"/>
                <w:lang w:val="en-GB"/>
              </w:rPr>
            </w:pPr>
            <w:r w:rsidRPr="007E6D99">
              <w:rPr>
                <w:szCs w:val="18"/>
              </w:rPr>
              <w:t>1</w:t>
            </w:r>
          </w:p>
        </w:tc>
        <w:tc>
          <w:tcPr>
            <w:tcW w:w="2124" w:type="dxa"/>
            <w:shd w:val="clear" w:color="auto" w:fill="FFFFFF"/>
          </w:tcPr>
          <w:p w14:paraId="6C236934" w14:textId="77777777" w:rsidR="00681511" w:rsidRPr="007E6D99" w:rsidRDefault="00681511" w:rsidP="00DB436F">
            <w:pPr>
              <w:pStyle w:val="CETBodytext"/>
              <w:ind w:left="228" w:right="-1"/>
              <w:jc w:val="left"/>
              <w:rPr>
                <w:szCs w:val="18"/>
              </w:rPr>
            </w:pPr>
            <w:r w:rsidRPr="007E6D99">
              <w:rPr>
                <w:szCs w:val="18"/>
              </w:rPr>
              <w:t>2</w:t>
            </w:r>
          </w:p>
        </w:tc>
      </w:tr>
      <w:tr w:rsidR="00681511" w:rsidRPr="00B57B36" w14:paraId="69BC6BB6" w14:textId="77777777" w:rsidTr="0062546F">
        <w:trPr>
          <w:trHeight w:val="297"/>
        </w:trPr>
        <w:tc>
          <w:tcPr>
            <w:tcW w:w="2410" w:type="dxa"/>
            <w:shd w:val="clear" w:color="auto" w:fill="FFFFFF"/>
          </w:tcPr>
          <w:p w14:paraId="6A0D0628" w14:textId="77777777" w:rsidR="00681511" w:rsidRPr="007E6D99" w:rsidRDefault="00681511" w:rsidP="00DB436F">
            <w:pPr>
              <w:pStyle w:val="CETBodytext"/>
              <w:ind w:left="228" w:right="-1"/>
              <w:jc w:val="left"/>
              <w:rPr>
                <w:szCs w:val="18"/>
              </w:rPr>
            </w:pPr>
            <w:r w:rsidRPr="007E6D99">
              <w:rPr>
                <w:szCs w:val="18"/>
              </w:rPr>
              <w:t xml:space="preserve">Outside </w:t>
            </w:r>
            <w:r>
              <w:rPr>
                <w:szCs w:val="18"/>
              </w:rPr>
              <w:t>(&gt;500 years)</w:t>
            </w:r>
          </w:p>
        </w:tc>
        <w:tc>
          <w:tcPr>
            <w:tcW w:w="2123" w:type="dxa"/>
            <w:shd w:val="clear" w:color="auto" w:fill="FFFFFF"/>
          </w:tcPr>
          <w:p w14:paraId="73A59C57" w14:textId="54E1F171" w:rsidR="00681511" w:rsidRPr="007E6D99" w:rsidRDefault="00681511" w:rsidP="00DB436F">
            <w:pPr>
              <w:pStyle w:val="CETBodytext"/>
              <w:ind w:left="228" w:right="-1"/>
              <w:jc w:val="left"/>
              <w:rPr>
                <w:szCs w:val="18"/>
              </w:rPr>
            </w:pPr>
            <w:r>
              <w:rPr>
                <w:szCs w:val="18"/>
              </w:rPr>
              <w:t>&gt;500 years</w:t>
            </w:r>
          </w:p>
        </w:tc>
        <w:tc>
          <w:tcPr>
            <w:tcW w:w="2124" w:type="dxa"/>
            <w:shd w:val="clear" w:color="auto" w:fill="FFFFFF"/>
          </w:tcPr>
          <w:p w14:paraId="10B223AC" w14:textId="5B6CAFEA" w:rsidR="00681511" w:rsidRPr="007E6D99" w:rsidRDefault="00681511" w:rsidP="00DB436F">
            <w:pPr>
              <w:pStyle w:val="CETBodytext"/>
              <w:ind w:left="228" w:right="-1"/>
              <w:jc w:val="left"/>
              <w:rPr>
                <w:szCs w:val="18"/>
              </w:rPr>
            </w:pPr>
            <w:r w:rsidRPr="007E6D99">
              <w:rPr>
                <w:szCs w:val="18"/>
              </w:rPr>
              <w:t>0.5</w:t>
            </w:r>
          </w:p>
        </w:tc>
        <w:tc>
          <w:tcPr>
            <w:tcW w:w="2124" w:type="dxa"/>
            <w:shd w:val="clear" w:color="auto" w:fill="FFFFFF"/>
          </w:tcPr>
          <w:p w14:paraId="1D0F299F" w14:textId="77777777" w:rsidR="00681511" w:rsidRPr="007E6D99" w:rsidRDefault="00681511" w:rsidP="00DB436F">
            <w:pPr>
              <w:pStyle w:val="CETBodytext"/>
              <w:ind w:left="228" w:right="-1"/>
              <w:jc w:val="left"/>
              <w:rPr>
                <w:szCs w:val="18"/>
              </w:rPr>
            </w:pPr>
            <w:r w:rsidRPr="007E6D99">
              <w:rPr>
                <w:szCs w:val="18"/>
              </w:rPr>
              <w:t>1</w:t>
            </w:r>
          </w:p>
        </w:tc>
      </w:tr>
    </w:tbl>
    <w:p w14:paraId="396A5B4A" w14:textId="77777777" w:rsidR="001C1F8D" w:rsidRDefault="001C1F8D" w:rsidP="003335E5">
      <w:pPr>
        <w:pStyle w:val="CETBodytext"/>
        <w:rPr>
          <w:rFonts w:eastAsiaTheme="minorEastAsia"/>
        </w:rPr>
      </w:pPr>
    </w:p>
    <w:p w14:paraId="2A960470" w14:textId="6C81E7FA" w:rsidR="003335E5" w:rsidRPr="003335E5" w:rsidRDefault="001C1F8D" w:rsidP="003335E5">
      <w:pPr>
        <w:pStyle w:val="CETBodytext"/>
        <w:rPr>
          <w:rFonts w:eastAsiaTheme="minorEastAsia"/>
        </w:rPr>
      </w:pPr>
      <w:r w:rsidRPr="00D2642B">
        <w:rPr>
          <w:rFonts w:eastAsiaTheme="minorEastAsia"/>
        </w:rPr>
        <w:t xml:space="preserve">The reference return period scenarios and the correspondent time intervals were defined </w:t>
      </w:r>
      <w:r w:rsidR="00A76B87">
        <w:rPr>
          <w:rFonts w:eastAsiaTheme="minorEastAsia"/>
        </w:rPr>
        <w:t>accord</w:t>
      </w:r>
      <w:r w:rsidR="000C39C8">
        <w:rPr>
          <w:rFonts w:eastAsiaTheme="minorEastAsia"/>
        </w:rPr>
        <w:t>ing to</w:t>
      </w:r>
      <w:r w:rsidRPr="00D2642B">
        <w:rPr>
          <w:rFonts w:eastAsiaTheme="minorEastAsia"/>
        </w:rPr>
        <w:t xml:space="preserve"> Morra et al. (2012). It should be noted that this classification aligns with the Flood Directive (Directive 2007/60/EC) and with the Italian legislation (D.Lgs. 49/2010). </w:t>
      </w:r>
      <w:r w:rsidR="000C39C8" w:rsidRPr="000C39C8">
        <w:rPr>
          <w:rFonts w:eastAsiaTheme="minorEastAsia"/>
        </w:rPr>
        <w:t>Considering land us</w:t>
      </w:r>
      <w:r w:rsidR="000C39C8">
        <w:rPr>
          <w:rFonts w:eastAsiaTheme="minorEastAsia"/>
        </w:rPr>
        <w:t>age</w:t>
      </w:r>
      <w:r w:rsidR="000C39C8" w:rsidRPr="000C39C8">
        <w:rPr>
          <w:rFonts w:eastAsiaTheme="minorEastAsia"/>
        </w:rPr>
        <w:t>, the distinction between urban and non</w:t>
      </w:r>
      <w:r w:rsidR="000C39C8">
        <w:rPr>
          <w:rFonts w:eastAsiaTheme="minorEastAsia"/>
        </w:rPr>
        <w:t>-</w:t>
      </w:r>
      <w:r w:rsidR="000C39C8" w:rsidRPr="000C39C8">
        <w:rPr>
          <w:rFonts w:eastAsiaTheme="minorEastAsia"/>
        </w:rPr>
        <w:t xml:space="preserve">urban areas is based on different levels of land impermeability that influence water drainage during flooding. Urban areas </w:t>
      </w:r>
      <w:r w:rsidR="00A76B87">
        <w:rPr>
          <w:rFonts w:eastAsiaTheme="minorEastAsia"/>
        </w:rPr>
        <w:t>present</w:t>
      </w:r>
      <w:r w:rsidR="000C39C8" w:rsidRPr="000C39C8">
        <w:rPr>
          <w:rFonts w:eastAsiaTheme="minorEastAsia"/>
        </w:rPr>
        <w:t xml:space="preserve"> more impermeable surfaces </w:t>
      </w:r>
      <w:r w:rsidR="00A76B87">
        <w:rPr>
          <w:rFonts w:eastAsiaTheme="minorEastAsia"/>
        </w:rPr>
        <w:t xml:space="preserve">and </w:t>
      </w:r>
      <w:r w:rsidR="000C39C8" w:rsidRPr="000C39C8">
        <w:rPr>
          <w:rFonts w:eastAsiaTheme="minorEastAsia"/>
        </w:rPr>
        <w:t xml:space="preserve">face higher water levels in case of an inundation. Consequently, it is more probable to expect </w:t>
      </w:r>
      <w:r w:rsidR="007F33C6">
        <w:rPr>
          <w:rFonts w:eastAsiaTheme="minorEastAsia"/>
        </w:rPr>
        <w:t xml:space="preserve">more </w:t>
      </w:r>
      <w:r w:rsidR="000C39C8" w:rsidRPr="000C39C8">
        <w:rPr>
          <w:rFonts w:eastAsiaTheme="minorEastAsia"/>
        </w:rPr>
        <w:t>se</w:t>
      </w:r>
      <w:r w:rsidR="00A76B87">
        <w:rPr>
          <w:rFonts w:eastAsiaTheme="minorEastAsia"/>
        </w:rPr>
        <w:t>vere</w:t>
      </w:r>
      <w:r w:rsidR="000C39C8" w:rsidRPr="000C39C8">
        <w:rPr>
          <w:rFonts w:eastAsiaTheme="minorEastAsia"/>
        </w:rPr>
        <w:t xml:space="preserve"> damage to industrial installations in these areas.</w:t>
      </w:r>
    </w:p>
    <w:p w14:paraId="4D8A6E60" w14:textId="4CA70E03" w:rsidR="00CB6DCA" w:rsidRDefault="00CB6DCA" w:rsidP="00CB6DCA">
      <w:pPr>
        <w:pStyle w:val="CETheadingx"/>
      </w:pPr>
      <w:r>
        <w:t xml:space="preserve">Risk assessment </w:t>
      </w:r>
    </w:p>
    <w:p w14:paraId="54427D12" w14:textId="52905CCB" w:rsidR="00DF74FA" w:rsidRDefault="000C39C8" w:rsidP="004366C7">
      <w:pPr>
        <w:pStyle w:val="CETBodytext"/>
        <w:rPr>
          <w:rFonts w:eastAsiaTheme="minorEastAsia"/>
        </w:rPr>
      </w:pPr>
      <w:r>
        <w:rPr>
          <w:rFonts w:eastAsiaTheme="minorEastAsia"/>
        </w:rPr>
        <w:t>Magnitude and frequency assessment are integrated in</w:t>
      </w:r>
      <w:r w:rsidR="00A76B87">
        <w:rPr>
          <w:rFonts w:eastAsiaTheme="minorEastAsia"/>
        </w:rPr>
        <w:t>to</w:t>
      </w:r>
      <w:r>
        <w:rPr>
          <w:rFonts w:eastAsiaTheme="minorEastAsia"/>
        </w:rPr>
        <w:t xml:space="preserve"> the </w:t>
      </w:r>
      <w:r w:rsidR="003335E5" w:rsidRPr="003335E5">
        <w:rPr>
          <w:rFonts w:eastAsiaTheme="minorEastAsia"/>
        </w:rPr>
        <w:t xml:space="preserve">LIN Risk Index </w:t>
      </w:r>
      <w:r w:rsidR="004C678A" w:rsidRPr="004C678A">
        <w:rPr>
          <w:i/>
          <w:iCs/>
        </w:rPr>
        <w:t>R</w:t>
      </w:r>
      <w:r w:rsidR="004C678A" w:rsidRPr="004C678A">
        <w:rPr>
          <w:rFonts w:eastAsiaTheme="minorEastAsia"/>
          <w:i/>
          <w:iCs/>
        </w:rPr>
        <w:t>I</w:t>
      </w:r>
      <w:r w:rsidR="004C678A" w:rsidRPr="004C678A">
        <w:rPr>
          <w:rFonts w:eastAsiaTheme="minorEastAsia"/>
          <w:i/>
          <w:iCs/>
          <w:vertAlign w:val="subscript"/>
        </w:rPr>
        <w:t>LIN</w:t>
      </w:r>
      <w:r w:rsidR="004C678A" w:rsidRPr="003335E5">
        <w:rPr>
          <w:rFonts w:eastAsiaTheme="minorEastAsia"/>
        </w:rPr>
        <w:t xml:space="preserve"> </w:t>
      </w:r>
      <w:r w:rsidR="003335E5" w:rsidRPr="003335E5">
        <w:rPr>
          <w:rFonts w:eastAsiaTheme="minorEastAsia"/>
        </w:rPr>
        <w:t>by summing the</w:t>
      </w:r>
      <w:r w:rsidR="005A4AAF">
        <w:rPr>
          <w:rFonts w:eastAsiaTheme="minorEastAsia"/>
        </w:rPr>
        <w:t xml:space="preserve"> products of </w:t>
      </w:r>
      <w:r w:rsidR="005A4AAF" w:rsidRPr="003335E5">
        <w:rPr>
          <w:rFonts w:eastAsiaTheme="minorEastAsia"/>
        </w:rPr>
        <w:t xml:space="preserve">the </w:t>
      </w:r>
      <w:r w:rsidR="005A4AAF">
        <w:rPr>
          <w:rFonts w:eastAsiaTheme="minorEastAsia"/>
        </w:rPr>
        <w:t>flooding</w:t>
      </w:r>
      <w:r w:rsidR="005A4AAF" w:rsidRPr="003335E5">
        <w:rPr>
          <w:rFonts w:eastAsiaTheme="minorEastAsia"/>
        </w:rPr>
        <w:t xml:space="preserve"> Biochemical Pressure </w:t>
      </w:r>
      <w:r w:rsidR="007047EC">
        <w:rPr>
          <w:rFonts w:eastAsiaTheme="minorEastAsia"/>
        </w:rPr>
        <w:t xml:space="preserve">Index </w:t>
      </w:r>
      <w:r w:rsidR="005A4AAF" w:rsidRPr="003335E5">
        <w:rPr>
          <w:rFonts w:eastAsiaTheme="minorEastAsia"/>
        </w:rPr>
        <w:t>and the Frequency Index</w:t>
      </w:r>
      <w:r w:rsidR="005A4AAF">
        <w:rPr>
          <w:rFonts w:eastAsiaTheme="minorEastAsia"/>
        </w:rPr>
        <w:t xml:space="preserve">es calculated </w:t>
      </w:r>
      <w:r w:rsidR="003335E5" w:rsidRPr="003335E5">
        <w:rPr>
          <w:rFonts w:eastAsiaTheme="minorEastAsia"/>
        </w:rPr>
        <w:t xml:space="preserve">for all pollution sources </w:t>
      </w:r>
      <w:r w:rsidR="005A4AAF" w:rsidRPr="001C1F8D">
        <w:rPr>
          <w:rFonts w:eastAsiaTheme="minorEastAsia"/>
          <w:i/>
          <w:iCs/>
        </w:rPr>
        <w:t>i</w:t>
      </w:r>
      <w:r w:rsidR="005A4AAF">
        <w:rPr>
          <w:rFonts w:eastAsiaTheme="minorEastAsia"/>
        </w:rPr>
        <w:t xml:space="preserve"> identified </w:t>
      </w:r>
      <w:r w:rsidR="003335E5" w:rsidRPr="003335E5">
        <w:rPr>
          <w:rFonts w:eastAsiaTheme="minorEastAsia"/>
        </w:rPr>
        <w:t>within the selected area</w:t>
      </w:r>
      <w:r w:rsidR="005A4AAF">
        <w:rPr>
          <w:rFonts w:eastAsiaTheme="minorEastAsia"/>
        </w:rPr>
        <w:t xml:space="preserve"> as presented in Eq</w:t>
      </w:r>
      <w:r w:rsidR="008E5CC6">
        <w:rPr>
          <w:rFonts w:eastAsiaTheme="minorEastAsia"/>
        </w:rPr>
        <w:t>(</w:t>
      </w:r>
      <w:r w:rsidR="005A4AAF">
        <w:rPr>
          <w:rFonts w:eastAsiaTheme="minorEastAsia"/>
        </w:rPr>
        <w:t>2</w:t>
      </w:r>
      <w:r w:rsidR="008E5CC6">
        <w:rPr>
          <w:rFonts w:eastAsiaTheme="minorEastAsia"/>
        </w:rPr>
        <w:t>)</w:t>
      </w:r>
      <w:r>
        <w:rPr>
          <w:rFonts w:eastAsiaTheme="minorEastAsia"/>
        </w:rPr>
        <w:t>:</w:t>
      </w:r>
    </w:p>
    <w:p w14:paraId="4153CCE9" w14:textId="0A726291" w:rsidR="00DF74FA" w:rsidRPr="001F2D94" w:rsidRDefault="00000000" w:rsidP="001F2D94">
      <w:pPr>
        <w:pStyle w:val="CETEquation"/>
      </w:pPr>
      <m:oMath>
        <m:sSub>
          <m:sSubPr>
            <m:ctrlPr>
              <w:rPr>
                <w:rFonts w:ascii="Cambria Math" w:hAnsi="Cambria Math" w:cs="Arial"/>
                <w:i/>
              </w:rPr>
            </m:ctrlPr>
          </m:sSubPr>
          <m:e>
            <m:r>
              <w:rPr>
                <w:rFonts w:ascii="Cambria Math" w:hAnsi="Cambria Math" w:cs="Arial"/>
              </w:rPr>
              <m:t>RI</m:t>
            </m:r>
          </m:e>
          <m:sub>
            <m:r>
              <w:rPr>
                <w:rFonts w:ascii="Cambria Math" w:hAnsi="Cambria Math" w:cs="Arial"/>
              </w:rPr>
              <m:t>LIN</m:t>
            </m:r>
          </m:sub>
        </m:sSub>
        <m:r>
          <w:rPr>
            <w:rFonts w:ascii="Cambria Math" w:hAnsi="Cambria Math" w:cs="Arial"/>
          </w:rPr>
          <m:t xml:space="preserve">= </m:t>
        </m:r>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BPI</m:t>
                </m:r>
              </m:e>
              <m:sub>
                <m:r>
                  <w:rPr>
                    <w:rFonts w:ascii="Cambria Math" w:hAnsi="Cambria Math" w:cs="Arial"/>
                  </w:rPr>
                  <m:t>flood, i</m:t>
                </m:r>
              </m:sub>
            </m:sSub>
            <m:sSub>
              <m:sSubPr>
                <m:ctrlPr>
                  <w:rPr>
                    <w:rFonts w:ascii="Cambria Math" w:hAnsi="Cambria Math" w:cs="Arial"/>
                    <w:i/>
                  </w:rPr>
                </m:ctrlPr>
              </m:sSubPr>
              <m:e>
                <m:r>
                  <w:rPr>
                    <w:rFonts w:ascii="Cambria Math" w:hAnsi="Cambria Math" w:cs="Arial"/>
                  </w:rPr>
                  <m:t xml:space="preserve"> I</m:t>
                </m:r>
              </m:e>
              <m:sub>
                <m:r>
                  <w:rPr>
                    <w:rFonts w:ascii="Cambria Math" w:hAnsi="Cambria Math" w:cs="Arial"/>
                  </w:rPr>
                  <m:t>F,i</m:t>
                </m:r>
              </m:sub>
            </m:sSub>
          </m:e>
        </m:nary>
      </m:oMath>
      <w:r w:rsidR="001F2D94" w:rsidRPr="0032655A">
        <w:t xml:space="preserve">                </w:t>
      </w:r>
      <w:r w:rsidR="005A4AAF">
        <w:t xml:space="preserve">    </w:t>
      </w:r>
      <w:r w:rsidR="001F2D94" w:rsidRPr="0032655A">
        <w:t xml:space="preserve">                                                                                                            </w:t>
      </w:r>
      <w:r w:rsidR="001F2D94">
        <w:t xml:space="preserve">    </w:t>
      </w:r>
      <w:r w:rsidR="001F2D94" w:rsidRPr="0032655A">
        <w:t>(2).</w:t>
      </w:r>
    </w:p>
    <w:p w14:paraId="7F9FAD7A" w14:textId="16CDADC7" w:rsidR="002F325B" w:rsidRDefault="003335E5" w:rsidP="005A4AAF">
      <w:pPr>
        <w:pStyle w:val="CETBodytext"/>
        <w:rPr>
          <w:rFonts w:eastAsiaTheme="minorEastAsia"/>
        </w:rPr>
      </w:pPr>
      <w:r w:rsidRPr="003335E5">
        <w:rPr>
          <w:rFonts w:eastAsiaTheme="minorEastAsia"/>
        </w:rPr>
        <w:t xml:space="preserve">This approach facilitates straightforward comparisons of risk levels associated with LIN events among different study areas, providing a </w:t>
      </w:r>
      <w:r w:rsidR="005A4AAF">
        <w:rPr>
          <w:rFonts w:eastAsiaTheme="minorEastAsia"/>
        </w:rPr>
        <w:t>first approach for the assessment of the risk associated with LIN events.</w:t>
      </w:r>
      <w:r w:rsidRPr="003335E5">
        <w:rPr>
          <w:rFonts w:eastAsiaTheme="minorEastAsia"/>
        </w:rPr>
        <w:t xml:space="preserve"> </w:t>
      </w:r>
    </w:p>
    <w:p w14:paraId="32692B2A" w14:textId="12E53E9C" w:rsidR="00FF667F" w:rsidRPr="00FF667F" w:rsidRDefault="00FF667F" w:rsidP="008A411A">
      <w:pPr>
        <w:pStyle w:val="CETHeading1"/>
        <w:ind w:left="0"/>
      </w:pPr>
      <w:r>
        <w:t>Case study</w:t>
      </w:r>
    </w:p>
    <w:p w14:paraId="636C4F2F" w14:textId="77777777" w:rsidR="00364D0A" w:rsidRDefault="003335E5" w:rsidP="003335E5">
      <w:pPr>
        <w:pStyle w:val="CETBodytext"/>
      </w:pPr>
      <w:r>
        <w:t xml:space="preserve">Two basins located in the Emilia-Romagna Region (Northern Italy) were selected for the </w:t>
      </w:r>
      <w:r w:rsidR="00A76B87">
        <w:t>case study application</w:t>
      </w:r>
      <w:r>
        <w:t>: Navile and Tresinaro</w:t>
      </w:r>
      <w:r w:rsidR="00364D0A">
        <w:t>,</w:t>
      </w:r>
      <w:r w:rsidR="00A76B87">
        <w:t xml:space="preserve"> presented in Figures 1 and </w:t>
      </w:r>
      <w:r w:rsidR="00676B9D">
        <w:t>2</w:t>
      </w:r>
      <w:r w:rsidR="00A76B87">
        <w:t>, respectively</w:t>
      </w:r>
      <w:r w:rsidR="005A4AAF">
        <w:t xml:space="preserve">. </w:t>
      </w:r>
      <w:r>
        <w:t>The</w:t>
      </w:r>
      <w:r w:rsidR="000C39C8">
        <w:t xml:space="preserve"> </w:t>
      </w:r>
      <w:r>
        <w:t>areas were chosen due to their different</w:t>
      </w:r>
      <w:r w:rsidR="005A4AAF">
        <w:t xml:space="preserve"> levels of industrialization,</w:t>
      </w:r>
      <w:r>
        <w:t xml:space="preserve"> hydro morphological features, flood-proneness, and land usage levels. </w:t>
      </w:r>
    </w:p>
    <w:p w14:paraId="4E582B3A" w14:textId="3C1185D1" w:rsidR="000C39C8" w:rsidRDefault="008F38F1" w:rsidP="003335E5">
      <w:pPr>
        <w:pStyle w:val="CETBodytext"/>
      </w:pPr>
      <w:r w:rsidRPr="00FB64DD">
        <w:lastRenderedPageBreak/>
        <w:t>An initial investigation</w:t>
      </w:r>
      <w:r w:rsidR="000C39C8">
        <w:t xml:space="preserve"> aimed at collecting all the information necessary for the </w:t>
      </w:r>
      <w:r w:rsidRPr="00FB64DD">
        <w:t>identifi</w:t>
      </w:r>
      <w:r w:rsidR="002573DC">
        <w:t xml:space="preserve">cation </w:t>
      </w:r>
      <w:r w:rsidR="00364D0A">
        <w:t xml:space="preserve">and characterization </w:t>
      </w:r>
      <w:r w:rsidR="002573DC">
        <w:t>of</w:t>
      </w:r>
      <w:r w:rsidRPr="00FB64DD">
        <w:t xml:space="preserve"> the </w:t>
      </w:r>
      <w:r w:rsidR="000C39C8">
        <w:t xml:space="preserve">pollution sources (i.e., the </w:t>
      </w:r>
      <w:r w:rsidRPr="00FB64DD">
        <w:t>industrial activities</w:t>
      </w:r>
      <w:r w:rsidR="000C39C8">
        <w:t>)</w:t>
      </w:r>
      <w:r w:rsidRPr="00FB64DD">
        <w:t xml:space="preserve"> present within the two basins. This involved consulting prefecture websites for detailed information on Seveso establishments, </w:t>
      </w:r>
      <w:r w:rsidR="00932A01" w:rsidRPr="00FB64DD">
        <w:t xml:space="preserve">and specific regional portals were employed for </w:t>
      </w:r>
      <w:r w:rsidRPr="00FB64DD">
        <w:t>IPPC</w:t>
      </w:r>
      <w:r w:rsidR="00932A01" w:rsidRPr="00FB64DD">
        <w:t xml:space="preserve">-IED activities </w:t>
      </w:r>
      <w:r w:rsidR="005A4AAF" w:rsidRPr="00FB64DD">
        <w:t>(</w:t>
      </w:r>
      <w:r w:rsidR="00A80AE0" w:rsidRPr="00FB64DD">
        <w:t>ER</w:t>
      </w:r>
      <w:r w:rsidR="005A4AAF" w:rsidRPr="00FB64DD">
        <w:t>1, 2024)</w:t>
      </w:r>
      <w:r w:rsidRPr="00FB64DD">
        <w:t xml:space="preserve">, </w:t>
      </w:r>
      <w:r w:rsidR="00BF7F55">
        <w:t>WWTPs</w:t>
      </w:r>
      <w:r w:rsidR="005A4AAF" w:rsidRPr="00FB64DD">
        <w:t xml:space="preserve"> (ER2</w:t>
      </w:r>
      <w:r w:rsidR="002F325B" w:rsidRPr="00FB64DD">
        <w:t>, 2024</w:t>
      </w:r>
      <w:r w:rsidR="005A4AAF" w:rsidRPr="00FB64DD">
        <w:t>)</w:t>
      </w:r>
      <w:r w:rsidRPr="00FB64DD">
        <w:t xml:space="preserve">, and </w:t>
      </w:r>
      <w:r w:rsidR="00BF7F55">
        <w:t xml:space="preserve">CSs </w:t>
      </w:r>
      <w:r w:rsidR="005A4AAF" w:rsidRPr="00FB64DD">
        <w:t>(ER3</w:t>
      </w:r>
      <w:r w:rsidR="002F325B" w:rsidRPr="00FB64DD">
        <w:t>, 2024</w:t>
      </w:r>
      <w:r w:rsidR="005A4AAF" w:rsidRPr="00FB64DD">
        <w:t>)</w:t>
      </w:r>
      <w:r w:rsidRPr="00FB64DD">
        <w:t xml:space="preserve">. </w:t>
      </w:r>
      <w:r w:rsidR="000C39C8">
        <w:t xml:space="preserve">For what </w:t>
      </w:r>
      <w:r w:rsidR="00AF1BC7">
        <w:t xml:space="preserve">specifically </w:t>
      </w:r>
      <w:r w:rsidR="000C39C8">
        <w:t>concerns the frequency assessment, f</w:t>
      </w:r>
      <w:r w:rsidRPr="00FB64DD">
        <w:t>lood hazard maps were examined</w:t>
      </w:r>
      <w:r w:rsidR="005A4AAF" w:rsidRPr="00FB64DD">
        <w:t xml:space="preserve"> (ER</w:t>
      </w:r>
      <w:r w:rsidR="002F325B" w:rsidRPr="00FB64DD">
        <w:t>4, 2024)</w:t>
      </w:r>
      <w:r w:rsidRPr="00FB64DD">
        <w:t xml:space="preserve"> along with the CORINE Land Cover inventory</w:t>
      </w:r>
      <w:r w:rsidR="002F325B" w:rsidRPr="00FB64DD">
        <w:t xml:space="preserve"> (Copernicus, 2024)</w:t>
      </w:r>
      <w:r w:rsidRPr="00FB64DD">
        <w:t>.</w:t>
      </w:r>
      <w:r w:rsidR="000C39C8">
        <w:t xml:space="preserve"> In </w:t>
      </w:r>
      <w:r w:rsidR="007B2D0B">
        <w:t>all</w:t>
      </w:r>
      <w:r w:rsidR="000C39C8">
        <w:t xml:space="preserve"> cases, official sources available to the public were employed. </w:t>
      </w:r>
    </w:p>
    <w:p w14:paraId="0C26571C" w14:textId="6DEFECEE" w:rsidR="000C39C8" w:rsidRDefault="000C39C8" w:rsidP="000C39C8">
      <w:pPr>
        <w:pStyle w:val="CETBodytext"/>
      </w:pPr>
      <w:r>
        <w:t>Figure 1 presents the feature</w:t>
      </w:r>
      <w:r w:rsidR="002573DC">
        <w:t>s</w:t>
      </w:r>
      <w:r>
        <w:t xml:space="preserve"> of </w:t>
      </w:r>
      <w:r w:rsidR="002573DC">
        <w:t xml:space="preserve">the </w:t>
      </w:r>
      <w:r>
        <w:t>Navile basin. The area covers 240 km² and contains 34 industrial activities, including 1 Seveso plant, 12 IPPC-IED activities, 13 CSs, and 8 WWTPs. All activities are located in flood-prone areas: three in high probability</w:t>
      </w:r>
      <w:r w:rsidR="00EC1F1D">
        <w:t xml:space="preserve"> area</w:t>
      </w:r>
      <w:r>
        <w:t xml:space="preserve"> (HP), 30 in medium probability </w:t>
      </w:r>
      <w:r w:rsidR="00EC1F1D">
        <w:t xml:space="preserve">area </w:t>
      </w:r>
      <w:r>
        <w:t xml:space="preserve">(MP), and one in low probability </w:t>
      </w:r>
      <w:r w:rsidR="00EC1F1D">
        <w:t xml:space="preserve">area </w:t>
      </w:r>
      <w:r>
        <w:t xml:space="preserve">(LP). </w:t>
      </w:r>
      <w:r w:rsidR="00364D0A">
        <w:t xml:space="preserve">Considering land usage, </w:t>
      </w:r>
      <w:r>
        <w:t xml:space="preserve">24 plants are situated in urban areas, while 10 are </w:t>
      </w:r>
      <w:r w:rsidR="00644C30">
        <w:t xml:space="preserve">located </w:t>
      </w:r>
      <w:r>
        <w:t>in non-urban areas.</w:t>
      </w:r>
    </w:p>
    <w:p w14:paraId="01926ECB" w14:textId="77777777" w:rsidR="00AF35B8" w:rsidRDefault="00AF35B8" w:rsidP="003335E5">
      <w:pPr>
        <w:pStyle w:val="CETBodytext"/>
      </w:pPr>
    </w:p>
    <w:p w14:paraId="4AE295C2" w14:textId="3C53BB49" w:rsidR="001F2D94" w:rsidRDefault="003A0150" w:rsidP="003335E5">
      <w:pPr>
        <w:pStyle w:val="CETBodytext"/>
      </w:pPr>
      <w:r w:rsidRPr="003A0150">
        <w:rPr>
          <w:noProof/>
        </w:rPr>
        <w:drawing>
          <wp:inline distT="0" distB="0" distL="0" distR="0" wp14:anchorId="7344AC3E" wp14:editId="58FFBF08">
            <wp:extent cx="5583495" cy="217652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73"/>
                    <a:stretch/>
                  </pic:blipFill>
                  <pic:spPr bwMode="auto">
                    <a:xfrm>
                      <a:off x="0" y="0"/>
                      <a:ext cx="5583495" cy="2176529"/>
                    </a:xfrm>
                    <a:prstGeom prst="rect">
                      <a:avLst/>
                    </a:prstGeom>
                    <a:ln>
                      <a:noFill/>
                    </a:ln>
                    <a:extLst>
                      <a:ext uri="{53640926-AAD7-44D8-BBD7-CCE9431645EC}">
                        <a14:shadowObscured xmlns:a14="http://schemas.microsoft.com/office/drawing/2010/main"/>
                      </a:ext>
                    </a:extLst>
                  </pic:spPr>
                </pic:pic>
              </a:graphicData>
            </a:graphic>
          </wp:inline>
        </w:drawing>
      </w:r>
    </w:p>
    <w:p w14:paraId="4E3FA82A" w14:textId="0FD1F572" w:rsidR="001F2D94" w:rsidRDefault="001F2D94" w:rsidP="001F2D94">
      <w:pPr>
        <w:pStyle w:val="CETBodytext"/>
        <w:rPr>
          <w:rStyle w:val="CETCaptionCarattere"/>
          <w:lang w:val="en-US"/>
        </w:rPr>
      </w:pPr>
      <w:r w:rsidRPr="69E4577E">
        <w:rPr>
          <w:rStyle w:val="CETCaptionCarattere"/>
          <w:lang w:val="en-US"/>
        </w:rPr>
        <w:t>Figure 1</w:t>
      </w:r>
      <w:r w:rsidR="00FA1DAA">
        <w:rPr>
          <w:rStyle w:val="CETCaptionCarattere"/>
          <w:lang w:val="en-US"/>
        </w:rPr>
        <w:t xml:space="preserve"> </w:t>
      </w:r>
      <w:r w:rsidR="004479DB" w:rsidRPr="004479DB">
        <w:rPr>
          <w:rStyle w:val="CETCaptionCarattere"/>
          <w:lang w:val="en-US"/>
        </w:rPr>
        <w:t>– Navil</w:t>
      </w:r>
      <w:r w:rsidR="002F325B">
        <w:rPr>
          <w:rStyle w:val="CETCaptionCarattere"/>
          <w:lang w:val="en-US"/>
        </w:rPr>
        <w:t>e</w:t>
      </w:r>
      <w:r w:rsidR="00FA1DAA">
        <w:rPr>
          <w:rStyle w:val="CETCaptionCarattere"/>
          <w:lang w:val="en-US"/>
        </w:rPr>
        <w:t xml:space="preserve"> basin</w:t>
      </w:r>
      <w:r w:rsidR="004479DB" w:rsidRPr="004479DB">
        <w:rPr>
          <w:rStyle w:val="CETCaptionCarattere"/>
          <w:lang w:val="en-US"/>
        </w:rPr>
        <w:t xml:space="preserve">: Panel </w:t>
      </w:r>
      <w:r w:rsidR="008F38F1">
        <w:rPr>
          <w:rStyle w:val="CETCaptionCarattere"/>
          <w:lang w:val="en-US"/>
        </w:rPr>
        <w:t>a</w:t>
      </w:r>
      <w:r w:rsidR="004479DB" w:rsidRPr="004479DB">
        <w:rPr>
          <w:rStyle w:val="CETCaptionCarattere"/>
          <w:lang w:val="en-US"/>
        </w:rPr>
        <w:t xml:space="preserve">) Representation of return time flood scenarios; Panel </w:t>
      </w:r>
      <w:r w:rsidR="002C7065">
        <w:rPr>
          <w:rStyle w:val="CETCaptionCarattere"/>
          <w:lang w:val="en-US"/>
        </w:rPr>
        <w:t>b</w:t>
      </w:r>
      <w:r w:rsidR="004479DB" w:rsidRPr="004479DB">
        <w:rPr>
          <w:rStyle w:val="CETCaptionCarattere"/>
          <w:lang w:val="en-US"/>
        </w:rPr>
        <w:t>) Representation of land usage.</w:t>
      </w:r>
    </w:p>
    <w:p w14:paraId="5BB2C2B6" w14:textId="77777777" w:rsidR="002F325B" w:rsidRDefault="002F325B" w:rsidP="002F325B">
      <w:pPr>
        <w:pStyle w:val="CETBodytext"/>
      </w:pPr>
    </w:p>
    <w:p w14:paraId="6C686862" w14:textId="2962E7EA" w:rsidR="000C39C8" w:rsidRDefault="000C39C8" w:rsidP="000C39C8">
      <w:pPr>
        <w:pStyle w:val="CETBodytext"/>
      </w:pPr>
      <w:r>
        <w:t xml:space="preserve">Tresinaro basin’s features are presented in Figure 2. The area covers 206 km² and includes 29 industrial activities: 1 Seveso plant, 13 IPPC-IED activities, 12 CSs, and 3 WWTPs. In the basin, nearly all activities fall outside the return time scenarios, with only one in medium probability </w:t>
      </w:r>
      <w:r w:rsidR="002C7065">
        <w:t xml:space="preserve">area </w:t>
      </w:r>
      <w:r>
        <w:t xml:space="preserve">(MP) and 28 outside. </w:t>
      </w:r>
      <w:r w:rsidR="00B2596B">
        <w:t>Regarding land usage,</w:t>
      </w:r>
      <w:r>
        <w:t xml:space="preserve"> 15 plants are located in urban areas and 14 in non-urban </w:t>
      </w:r>
      <w:r w:rsidR="002C7065">
        <w:t>ones</w:t>
      </w:r>
      <w:r>
        <w:t>.</w:t>
      </w:r>
    </w:p>
    <w:p w14:paraId="1CF4282B" w14:textId="77777777" w:rsidR="007B514E" w:rsidRPr="007B514E" w:rsidRDefault="007B514E" w:rsidP="001F2D94">
      <w:pPr>
        <w:pStyle w:val="CETBodytext"/>
        <w:rPr>
          <w:rStyle w:val="CETCaptionCarattere"/>
          <w:i w:val="0"/>
          <w:lang w:val="en-US"/>
        </w:rPr>
      </w:pPr>
    </w:p>
    <w:p w14:paraId="1359A3F7" w14:textId="3AC71C7A" w:rsidR="001C5B74" w:rsidRPr="007D14A1" w:rsidRDefault="007E307E" w:rsidP="001F2D94">
      <w:pPr>
        <w:pStyle w:val="CETBodytext"/>
        <w:rPr>
          <w:i/>
        </w:rPr>
      </w:pPr>
      <w:r w:rsidRPr="007E307E">
        <w:rPr>
          <w:rStyle w:val="CETCaptionCarattere"/>
          <w:noProof/>
          <w:lang w:val="en-US"/>
        </w:rPr>
        <w:drawing>
          <wp:inline distT="0" distB="0" distL="0" distR="0" wp14:anchorId="5E052084" wp14:editId="772AB0BB">
            <wp:extent cx="5586060" cy="22151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2827"/>
                    <a:stretch/>
                  </pic:blipFill>
                  <pic:spPr bwMode="auto">
                    <a:xfrm>
                      <a:off x="0" y="0"/>
                      <a:ext cx="5598524" cy="2220109"/>
                    </a:xfrm>
                    <a:prstGeom prst="rect">
                      <a:avLst/>
                    </a:prstGeom>
                    <a:ln>
                      <a:noFill/>
                    </a:ln>
                    <a:extLst>
                      <a:ext uri="{53640926-AAD7-44D8-BBD7-CCE9431645EC}">
                        <a14:shadowObscured xmlns:a14="http://schemas.microsoft.com/office/drawing/2010/main"/>
                      </a:ext>
                    </a:extLst>
                  </pic:spPr>
                </pic:pic>
              </a:graphicData>
            </a:graphic>
          </wp:inline>
        </w:drawing>
      </w:r>
    </w:p>
    <w:p w14:paraId="651D62CD" w14:textId="384F9DCF" w:rsidR="004479DB" w:rsidRPr="004479DB" w:rsidRDefault="004479DB" w:rsidP="003335E5">
      <w:pPr>
        <w:pStyle w:val="CETBodytext"/>
        <w:rPr>
          <w:rStyle w:val="CETCaptionCarattere"/>
          <w:lang w:val="en-US"/>
        </w:rPr>
      </w:pPr>
      <w:r>
        <w:rPr>
          <w:rStyle w:val="CETCaptionCarattere"/>
          <w:lang w:val="en-US"/>
        </w:rPr>
        <w:t xml:space="preserve">Figure 2 - </w:t>
      </w:r>
      <w:r w:rsidRPr="004479DB">
        <w:rPr>
          <w:rStyle w:val="CETCaptionCarattere"/>
          <w:lang w:val="en-US"/>
        </w:rPr>
        <w:t xml:space="preserve">Tresinaro: Panel </w:t>
      </w:r>
      <w:r w:rsidR="008F38F1">
        <w:rPr>
          <w:rStyle w:val="CETCaptionCarattere"/>
          <w:lang w:val="en-US"/>
        </w:rPr>
        <w:t>a</w:t>
      </w:r>
      <w:r w:rsidRPr="004479DB">
        <w:rPr>
          <w:rStyle w:val="CETCaptionCarattere"/>
          <w:lang w:val="en-US"/>
        </w:rPr>
        <w:t xml:space="preserve">) Representation of return time flood scenarios; Panel </w:t>
      </w:r>
      <w:r w:rsidR="008F38F1">
        <w:rPr>
          <w:rStyle w:val="CETCaptionCarattere"/>
          <w:lang w:val="en-US"/>
        </w:rPr>
        <w:t>b</w:t>
      </w:r>
      <w:r w:rsidRPr="004479DB">
        <w:rPr>
          <w:rStyle w:val="CETCaptionCarattere"/>
          <w:lang w:val="en-US"/>
        </w:rPr>
        <w:t>) Representation of land usage.</w:t>
      </w:r>
    </w:p>
    <w:p w14:paraId="0F1A7517" w14:textId="77777777" w:rsidR="004479DB" w:rsidRPr="004479DB" w:rsidRDefault="004479DB" w:rsidP="003335E5">
      <w:pPr>
        <w:pStyle w:val="CETBodytext"/>
        <w:rPr>
          <w:rStyle w:val="CETCaptionCarattere"/>
          <w:lang w:val="en-US"/>
        </w:rPr>
      </w:pPr>
    </w:p>
    <w:p w14:paraId="30C5C109" w14:textId="731E9365" w:rsidR="00330C1B" w:rsidRPr="00330C1B" w:rsidRDefault="00122674" w:rsidP="003335E5">
      <w:pPr>
        <w:pStyle w:val="CETBodytext"/>
      </w:pPr>
      <w:r>
        <w:t xml:space="preserve">After </w:t>
      </w:r>
      <w:r w:rsidR="00FA1DAA">
        <w:t>defining</w:t>
      </w:r>
      <w:r>
        <w:t xml:space="preserve"> the </w:t>
      </w:r>
      <w:r w:rsidR="00FA1DAA">
        <w:t xml:space="preserve">two </w:t>
      </w:r>
      <w:r>
        <w:t>case study areas, the</w:t>
      </w:r>
      <w:r w:rsidR="003335E5">
        <w:t xml:space="preserve"> flooding Biochemical Pressure Index (</w:t>
      </w:r>
      <w:r w:rsidR="003814FF" w:rsidRPr="00B72FEC">
        <w:rPr>
          <w:rFonts w:eastAsiaTheme="minorEastAsia"/>
          <w:i/>
          <w:iCs/>
        </w:rPr>
        <w:t>BPI</w:t>
      </w:r>
      <w:r w:rsidR="003814FF" w:rsidRPr="00B72FEC">
        <w:rPr>
          <w:rFonts w:eastAsiaTheme="minorEastAsia"/>
          <w:i/>
          <w:iCs/>
          <w:vertAlign w:val="subscript"/>
        </w:rPr>
        <w:t>flood</w:t>
      </w:r>
      <w:r w:rsidR="003335E5">
        <w:t>) and the Frequency Index (</w:t>
      </w:r>
      <w:r w:rsidR="004C678A" w:rsidRPr="003814FF">
        <w:rPr>
          <w:rFonts w:eastAsiaTheme="minorEastAsia"/>
          <w:i/>
          <w:iCs/>
        </w:rPr>
        <w:t>I</w:t>
      </w:r>
      <w:r w:rsidR="004C678A" w:rsidRPr="003814FF">
        <w:rPr>
          <w:rFonts w:eastAsiaTheme="minorEastAsia"/>
          <w:i/>
          <w:iCs/>
          <w:vertAlign w:val="subscript"/>
        </w:rPr>
        <w:t>F</w:t>
      </w:r>
      <w:r w:rsidR="003335E5">
        <w:t>) were calculated for each pollution source identified</w:t>
      </w:r>
      <w:r w:rsidR="00B2596B">
        <w:t xml:space="preserve"> according to the procedures described in sections 2.1 and 2.2, respectively</w:t>
      </w:r>
      <w:r w:rsidR="003335E5">
        <w:t>. The overall LIN Risk Index (</w:t>
      </w:r>
      <w:r w:rsidR="004C678A" w:rsidRPr="004C678A">
        <w:rPr>
          <w:i/>
          <w:iCs/>
        </w:rPr>
        <w:t>R</w:t>
      </w:r>
      <w:r w:rsidR="004C678A" w:rsidRPr="004C678A">
        <w:rPr>
          <w:rFonts w:eastAsiaTheme="minorEastAsia"/>
          <w:i/>
          <w:iCs/>
        </w:rPr>
        <w:t>I</w:t>
      </w:r>
      <w:r w:rsidR="004C678A" w:rsidRPr="004C678A">
        <w:rPr>
          <w:rFonts w:eastAsiaTheme="minorEastAsia"/>
          <w:i/>
          <w:iCs/>
          <w:vertAlign w:val="subscript"/>
        </w:rPr>
        <w:t>LIN</w:t>
      </w:r>
      <w:r w:rsidR="003335E5">
        <w:t xml:space="preserve">) was then computed for </w:t>
      </w:r>
      <w:r w:rsidR="00FA1DAA">
        <w:t>each basin accor</w:t>
      </w:r>
      <w:r>
        <w:t xml:space="preserve">ding to </w:t>
      </w:r>
      <w:r w:rsidR="007B2D0B">
        <w:t>Eq(</w:t>
      </w:r>
      <w:r>
        <w:t>2</w:t>
      </w:r>
      <w:r w:rsidR="008E5CC6">
        <w:t>)</w:t>
      </w:r>
      <w:r w:rsidR="003335E5">
        <w:t xml:space="preserve">, and the results were </w:t>
      </w:r>
      <w:r w:rsidR="00F45C35">
        <w:t xml:space="preserve">eventually </w:t>
      </w:r>
      <w:r w:rsidR="003335E5">
        <w:t>analyzed.</w:t>
      </w:r>
    </w:p>
    <w:p w14:paraId="677EBFF0" w14:textId="1BC32CEC" w:rsidR="00600535" w:rsidRPr="000C028C" w:rsidRDefault="000C4EC7" w:rsidP="008A411A">
      <w:pPr>
        <w:pStyle w:val="CETHeading1"/>
        <w:ind w:left="0"/>
      </w:pPr>
      <w:r w:rsidRPr="000C028C">
        <w:lastRenderedPageBreak/>
        <w:t>Results</w:t>
      </w:r>
    </w:p>
    <w:p w14:paraId="36597FE2" w14:textId="34AD1441" w:rsidR="0038721E" w:rsidRDefault="000A003E" w:rsidP="000A003E">
      <w:pPr>
        <w:pStyle w:val="CETBodytext"/>
      </w:pPr>
      <w:r>
        <w:t>The application of the LIN Risk Index method in the Navile and Tresinaro basins produced risk</w:t>
      </w:r>
      <w:r w:rsidR="005E318A">
        <w:t xml:space="preserve"> index</w:t>
      </w:r>
      <w:r>
        <w:t xml:space="preserve"> values of 410 and 76, respectively. Given that the two areas are comparable in size, with Navile covering 240 km² and Tresinaro 206 km², the higher risk value for Navile indicates a significantly greater </w:t>
      </w:r>
      <w:r w:rsidR="00FA1DAA">
        <w:t xml:space="preserve">risk. </w:t>
      </w:r>
      <w:r w:rsidR="00651966">
        <w:t xml:space="preserve">To better </w:t>
      </w:r>
      <w:r w:rsidR="000C39C8">
        <w:t>understand</w:t>
      </w:r>
      <w:r w:rsidR="00651966">
        <w:t xml:space="preserve"> t</w:t>
      </w:r>
      <w:r w:rsidR="00F14285">
        <w:t>hese results</w:t>
      </w:r>
      <w:r>
        <w:t>, the</w:t>
      </w:r>
      <w:r w:rsidR="00FA1DAA">
        <w:t xml:space="preserve"> contribution of the four activity types accounted for in the method</w:t>
      </w:r>
      <w:r>
        <w:t xml:space="preserve"> </w:t>
      </w:r>
      <w:r w:rsidR="00FA1DAA">
        <w:t xml:space="preserve">(Seveso, IPPC-IED, CS, and WWTP) to </w:t>
      </w:r>
      <w:r>
        <w:t>LIN Risk Index values</w:t>
      </w:r>
      <w:r w:rsidR="00FA1DAA">
        <w:t xml:space="preserve"> obtained</w:t>
      </w:r>
      <w:r>
        <w:t xml:space="preserve"> </w:t>
      </w:r>
      <w:r w:rsidR="00F615DB">
        <w:t>were analyzed</w:t>
      </w:r>
      <w:r>
        <w:t>, as illustrated in Figure</w:t>
      </w:r>
      <w:r w:rsidR="00F615DB">
        <w:t xml:space="preserve"> 3.</w:t>
      </w:r>
    </w:p>
    <w:p w14:paraId="66ACE8AA" w14:textId="77777777" w:rsidR="004342AB" w:rsidRDefault="004342AB" w:rsidP="000A003E">
      <w:pPr>
        <w:pStyle w:val="CETBodytext"/>
      </w:pPr>
    </w:p>
    <w:p w14:paraId="2C307D57" w14:textId="2D8762BE" w:rsidR="00F14285" w:rsidRDefault="00A04E79" w:rsidP="000A003E">
      <w:pPr>
        <w:pStyle w:val="CETBodytext"/>
      </w:pPr>
      <w:r w:rsidRPr="00A04E79">
        <w:rPr>
          <w:noProof/>
        </w:rPr>
        <w:drawing>
          <wp:inline distT="0" distB="0" distL="0" distR="0" wp14:anchorId="3DE3DBB4" wp14:editId="3A39F6B1">
            <wp:extent cx="2686050" cy="1775722"/>
            <wp:effectExtent l="0" t="0" r="0" b="0"/>
            <wp:docPr id="15156916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91622" name=""/>
                    <pic:cNvPicPr/>
                  </pic:nvPicPr>
                  <pic:blipFill>
                    <a:blip r:embed="rId12"/>
                    <a:stretch>
                      <a:fillRect/>
                    </a:stretch>
                  </pic:blipFill>
                  <pic:spPr>
                    <a:xfrm>
                      <a:off x="0" y="0"/>
                      <a:ext cx="2687891" cy="1776939"/>
                    </a:xfrm>
                    <a:prstGeom prst="rect">
                      <a:avLst/>
                    </a:prstGeom>
                  </pic:spPr>
                </pic:pic>
              </a:graphicData>
            </a:graphic>
          </wp:inline>
        </w:drawing>
      </w:r>
    </w:p>
    <w:p w14:paraId="3ABB2CA9" w14:textId="33EBF90A" w:rsidR="003814FF" w:rsidRPr="00FA1DAA" w:rsidRDefault="003814FF" w:rsidP="00FA1DAA">
      <w:pPr>
        <w:pStyle w:val="CETCaption"/>
        <w:rPr>
          <w:rStyle w:val="CETCaptionCarattere"/>
          <w:i/>
        </w:rPr>
      </w:pPr>
      <w:r w:rsidRPr="00FA1DAA">
        <w:rPr>
          <w:rStyle w:val="CETCaptionCarattere"/>
          <w:i/>
        </w:rPr>
        <w:t>Figure 3 – Case study results:</w:t>
      </w:r>
      <w:r w:rsidR="00FA1DAA" w:rsidRPr="00FA1DAA">
        <w:rPr>
          <w:rStyle w:val="CETCaptionCarattere"/>
          <w:i/>
        </w:rPr>
        <w:t xml:space="preserve"> Contribution of the activity types </w:t>
      </w:r>
      <w:r w:rsidR="00FA1DAA" w:rsidRPr="00FA1DAA">
        <w:t>to the LIN Risk Index values obtained</w:t>
      </w:r>
      <w:r w:rsidR="000C39C8">
        <w:t>.</w:t>
      </w:r>
    </w:p>
    <w:p w14:paraId="27562395" w14:textId="4B8787AD" w:rsidR="000A003E" w:rsidRDefault="00FA1DAA" w:rsidP="000A003E">
      <w:pPr>
        <w:pStyle w:val="CETBodytext"/>
      </w:pPr>
      <w:r>
        <w:t xml:space="preserve">Each contribution reported in the graph represents the sum of </w:t>
      </w:r>
      <w:r w:rsidRPr="003335E5">
        <w:rPr>
          <w:rFonts w:eastAsiaTheme="minorEastAsia"/>
        </w:rPr>
        <w:t>the</w:t>
      </w:r>
      <w:r>
        <w:rPr>
          <w:rFonts w:eastAsiaTheme="minorEastAsia"/>
        </w:rPr>
        <w:t xml:space="preserve"> products of </w:t>
      </w:r>
      <w:r w:rsidRPr="003335E5">
        <w:rPr>
          <w:rFonts w:eastAsiaTheme="minorEastAsia"/>
        </w:rPr>
        <w:t xml:space="preserve">the </w:t>
      </w:r>
      <w:r>
        <w:rPr>
          <w:rFonts w:eastAsiaTheme="minorEastAsia"/>
        </w:rPr>
        <w:t>flooding</w:t>
      </w:r>
      <w:r w:rsidRPr="003335E5">
        <w:rPr>
          <w:rFonts w:eastAsiaTheme="minorEastAsia"/>
        </w:rPr>
        <w:t xml:space="preserve"> Biochemical Pressure and the Frequency Index</w:t>
      </w:r>
      <w:r>
        <w:rPr>
          <w:rFonts w:eastAsiaTheme="minorEastAsia"/>
        </w:rPr>
        <w:t xml:space="preserve">es calculated </w:t>
      </w:r>
      <w:r w:rsidRPr="003335E5">
        <w:rPr>
          <w:rFonts w:eastAsiaTheme="minorEastAsia"/>
        </w:rPr>
        <w:t>for pollution sources</w:t>
      </w:r>
      <w:r>
        <w:t xml:space="preserve"> of the same type.</w:t>
      </w:r>
      <w:r w:rsidR="000C39C8">
        <w:t xml:space="preserve"> </w:t>
      </w:r>
      <w:r>
        <w:t>The results indicate that for both basins,</w:t>
      </w:r>
      <w:r w:rsidR="000A003E">
        <w:t xml:space="preserve"> the majority of the risk is attributed to IPPC-IED activities, with the Seveso plant</w:t>
      </w:r>
      <w:r>
        <w:t>s</w:t>
      </w:r>
      <w:r w:rsidR="000A003E">
        <w:t xml:space="preserve"> contributing minimally.</w:t>
      </w:r>
    </w:p>
    <w:p w14:paraId="5B77779C" w14:textId="38E4DB83" w:rsidR="003814FF" w:rsidRDefault="000A003E" w:rsidP="000A003E">
      <w:pPr>
        <w:pStyle w:val="CETBodytext"/>
      </w:pPr>
      <w:r>
        <w:t xml:space="preserve">The analysis then explored how the location of these activities, in relation to return time scenarios and land usage, affects overall risk levels. </w:t>
      </w:r>
      <w:r w:rsidR="00FA1DAA">
        <w:t xml:space="preserve">Figure 4 presents the results obtained. </w:t>
      </w:r>
    </w:p>
    <w:p w14:paraId="4461AD71" w14:textId="77777777" w:rsidR="006F09C6" w:rsidRDefault="006F09C6" w:rsidP="000A003E">
      <w:pPr>
        <w:pStyle w:val="CETBodytext"/>
      </w:pPr>
    </w:p>
    <w:p w14:paraId="5792F01B" w14:textId="28BFFEA5" w:rsidR="003814FF" w:rsidRDefault="001771F5" w:rsidP="000A003E">
      <w:pPr>
        <w:pStyle w:val="CETBodytext"/>
      </w:pPr>
      <w:r w:rsidRPr="001771F5">
        <w:rPr>
          <w:noProof/>
        </w:rPr>
        <w:drawing>
          <wp:inline distT="0" distB="0" distL="0" distR="0" wp14:anchorId="47174DDF" wp14:editId="4F80A112">
            <wp:extent cx="5455920" cy="1839131"/>
            <wp:effectExtent l="0" t="0" r="0" b="8890"/>
            <wp:docPr id="13978536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53609" name=""/>
                    <pic:cNvPicPr/>
                  </pic:nvPicPr>
                  <pic:blipFill>
                    <a:blip r:embed="rId13"/>
                    <a:stretch>
                      <a:fillRect/>
                    </a:stretch>
                  </pic:blipFill>
                  <pic:spPr>
                    <a:xfrm>
                      <a:off x="0" y="0"/>
                      <a:ext cx="5478474" cy="1846734"/>
                    </a:xfrm>
                    <a:prstGeom prst="rect">
                      <a:avLst/>
                    </a:prstGeom>
                  </pic:spPr>
                </pic:pic>
              </a:graphicData>
            </a:graphic>
          </wp:inline>
        </w:drawing>
      </w:r>
    </w:p>
    <w:p w14:paraId="3F065C4A" w14:textId="2342CA8B" w:rsidR="003814FF" w:rsidRDefault="003814FF" w:rsidP="00BE752B">
      <w:pPr>
        <w:pStyle w:val="CETCaption"/>
      </w:pPr>
      <w:r w:rsidRPr="00BE752B">
        <w:rPr>
          <w:rStyle w:val="CETCaptionCarattere"/>
          <w:i/>
        </w:rPr>
        <w:t xml:space="preserve">Figure </w:t>
      </w:r>
      <w:r w:rsidR="006F09C6" w:rsidRPr="00BE752B">
        <w:rPr>
          <w:rStyle w:val="CETCaptionCarattere"/>
          <w:i/>
        </w:rPr>
        <w:t>4</w:t>
      </w:r>
      <w:r w:rsidRPr="00BE752B">
        <w:rPr>
          <w:rStyle w:val="CETCaptionCarattere"/>
          <w:i/>
        </w:rPr>
        <w:t xml:space="preserve"> – Case study results:</w:t>
      </w:r>
      <w:r w:rsidR="00A73A3B" w:rsidRPr="00BE752B">
        <w:rPr>
          <w:rStyle w:val="CETCaptionCarattere"/>
          <w:i/>
        </w:rPr>
        <w:t xml:space="preserve"> Contribution </w:t>
      </w:r>
      <w:r w:rsidR="00A73A3B" w:rsidRPr="00BE752B">
        <w:t>to the LIN Risk Index values obtained of the four return time scenarios (</w:t>
      </w:r>
      <w:r w:rsidRPr="00BE752B">
        <w:rPr>
          <w:rStyle w:val="CETCaptionCarattere"/>
          <w:i/>
        </w:rPr>
        <w:t>Panel a</w:t>
      </w:r>
      <w:r w:rsidR="007E45FC">
        <w:rPr>
          <w:rStyle w:val="CETCaptionCarattere"/>
          <w:i/>
        </w:rPr>
        <w:t>)</w:t>
      </w:r>
      <w:r w:rsidRPr="00BE752B">
        <w:rPr>
          <w:rStyle w:val="CETCaptionCarattere"/>
          <w:i/>
        </w:rPr>
        <w:t xml:space="preserve">) </w:t>
      </w:r>
      <w:r w:rsidR="00A73A3B" w:rsidRPr="00BE752B">
        <w:rPr>
          <w:rStyle w:val="CETCaptionCarattere"/>
          <w:i/>
        </w:rPr>
        <w:t>and</w:t>
      </w:r>
      <w:r w:rsidR="00BE752B" w:rsidRPr="00BE752B">
        <w:rPr>
          <w:rStyle w:val="CETCaptionCarattere"/>
          <w:i/>
        </w:rPr>
        <w:t xml:space="preserve"> of the two land usage classes</w:t>
      </w:r>
      <w:r w:rsidR="00A73A3B" w:rsidRPr="00BE752B">
        <w:rPr>
          <w:rStyle w:val="CETCaptionCarattere"/>
          <w:i/>
        </w:rPr>
        <w:t xml:space="preserve"> </w:t>
      </w:r>
      <w:r w:rsidR="00BE752B" w:rsidRPr="00BE752B">
        <w:rPr>
          <w:rStyle w:val="CETCaptionCarattere"/>
          <w:i/>
        </w:rPr>
        <w:t>(</w:t>
      </w:r>
      <w:r w:rsidRPr="00BE752B">
        <w:rPr>
          <w:rStyle w:val="CETCaptionCarattere"/>
          <w:i/>
        </w:rPr>
        <w:t>Panel b)</w:t>
      </w:r>
      <w:r w:rsidR="00BE752B" w:rsidRPr="00BE752B">
        <w:rPr>
          <w:rStyle w:val="CETCaptionCarattere"/>
          <w:i/>
        </w:rPr>
        <w:t>).</w:t>
      </w:r>
    </w:p>
    <w:p w14:paraId="2D331B68" w14:textId="533CEFB5" w:rsidR="000A003E" w:rsidRDefault="000A003E" w:rsidP="000A003E">
      <w:pPr>
        <w:pStyle w:val="CETBodytext"/>
      </w:pPr>
      <w:r>
        <w:t xml:space="preserve">Figure </w:t>
      </w:r>
      <w:r w:rsidR="00F615DB">
        <w:t>4</w:t>
      </w:r>
      <w:r w:rsidR="00FA1DAA">
        <w:t>a</w:t>
      </w:r>
      <w:r>
        <w:t xml:space="preserve"> presents the contributions of activities by return time scenario, revealing that the LIN risk in both Navile and Tresinaro is predominantly influenced by activities in the Medium Probability (MP) return time zone, whereas Tresinaro shows significant risk contributions from areas outside </w:t>
      </w:r>
      <w:r w:rsidR="00333AC8">
        <w:t>pre</w:t>
      </w:r>
      <w:r>
        <w:t xml:space="preserve">defined return time scenarios. </w:t>
      </w:r>
      <w:r w:rsidR="007F5253">
        <w:t>Regarding</w:t>
      </w:r>
      <w:r w:rsidR="00FA1DAA">
        <w:t xml:space="preserve"> land usage, </w:t>
      </w:r>
      <w:r>
        <w:t xml:space="preserve">Figure </w:t>
      </w:r>
      <w:r w:rsidR="00FA1DAA">
        <w:t>4</w:t>
      </w:r>
      <w:r w:rsidR="007E45FC">
        <w:t>b</w:t>
      </w:r>
      <w:r>
        <w:t xml:space="preserve"> demonstrates that activities located in urban areas contribute more to the LIN risk across all three study areas</w:t>
      </w:r>
      <w:r w:rsidR="007F5253">
        <w:t>,</w:t>
      </w:r>
      <w:r w:rsidR="00FA1DAA">
        <w:t xml:space="preserve"> as expected. </w:t>
      </w:r>
    </w:p>
    <w:p w14:paraId="07CF5373" w14:textId="1E7C658E" w:rsidR="00820D56" w:rsidRDefault="000A003E" w:rsidP="00820D56">
      <w:pPr>
        <w:pStyle w:val="CETBodytext"/>
      </w:pPr>
      <w:r>
        <w:t xml:space="preserve">These findings </w:t>
      </w:r>
      <w:r w:rsidR="00D4645C">
        <w:t>show</w:t>
      </w:r>
      <w:r>
        <w:t xml:space="preserve"> that while Seveso plants </w:t>
      </w:r>
      <w:r w:rsidR="000D5231">
        <w:t xml:space="preserve">typically contribute </w:t>
      </w:r>
      <w:r w:rsidR="003D75C6">
        <w:t xml:space="preserve">to NaTech risk caused by major </w:t>
      </w:r>
      <w:r w:rsidR="007B2D0B">
        <w:t>accidents, their</w:t>
      </w:r>
      <w:r>
        <w:t xml:space="preserve"> influence </w:t>
      </w:r>
      <w:r w:rsidR="003D75C6">
        <w:t xml:space="preserve">on LIN </w:t>
      </w:r>
      <w:r>
        <w:t>is not uniform across different areas</w:t>
      </w:r>
      <w:r w:rsidR="00113837">
        <w:t xml:space="preserve"> (as for the other industrial activity types considered)</w:t>
      </w:r>
      <w:r w:rsidR="009302A9">
        <w:t>. Moreover, it is evident that the location of the pollution sources significantly influence</w:t>
      </w:r>
      <w:r w:rsidR="008D39E3">
        <w:t>s</w:t>
      </w:r>
      <w:r w:rsidR="009302A9">
        <w:t xml:space="preserve"> the results. </w:t>
      </w:r>
      <w:r w:rsidR="008D39E3">
        <w:t>For example, highly u</w:t>
      </w:r>
      <w:r>
        <w:t>rbanized and industrialized regions, particularly those with flat terrain like Navile, exhibit a combination of factors leading to a higher average risk per unit area. Conversely, basins with limited flood zones, such as</w:t>
      </w:r>
      <w:r w:rsidR="007E45FC">
        <w:t xml:space="preserve"> </w:t>
      </w:r>
      <w:r>
        <w:t xml:space="preserve">Tresinaro, </w:t>
      </w:r>
      <w:r w:rsidR="00D4645C">
        <w:t>have</w:t>
      </w:r>
      <w:r>
        <w:t xml:space="preserve"> lower risk levels. </w:t>
      </w:r>
    </w:p>
    <w:p w14:paraId="68D26B83" w14:textId="31904C64" w:rsidR="00600535" w:rsidRPr="00B57B36" w:rsidRDefault="00600535" w:rsidP="008A411A">
      <w:pPr>
        <w:pStyle w:val="CETHeading1"/>
        <w:ind w:left="0"/>
        <w:rPr>
          <w:lang w:val="en-GB"/>
        </w:rPr>
      </w:pPr>
      <w:r w:rsidRPr="00B57B36">
        <w:rPr>
          <w:lang w:val="en-GB"/>
        </w:rPr>
        <w:lastRenderedPageBreak/>
        <w:t>Conclusions</w:t>
      </w:r>
    </w:p>
    <w:p w14:paraId="02F39277" w14:textId="4A1C06DA" w:rsidR="000A003E" w:rsidRPr="000A003E" w:rsidRDefault="000A003E" w:rsidP="000A003E">
      <w:pPr>
        <w:pStyle w:val="CETBodytext"/>
        <w:rPr>
          <w:lang w:val="en-GB"/>
        </w:rPr>
      </w:pPr>
      <w:r w:rsidRPr="000A003E">
        <w:rPr>
          <w:lang w:val="en-GB"/>
        </w:rPr>
        <w:t>The novel index-based method provides an innovative approach for the assessment of the risks associated with LIN events in areas</w:t>
      </w:r>
      <w:r w:rsidR="00D4645C">
        <w:rPr>
          <w:lang w:val="en-GB"/>
        </w:rPr>
        <w:t xml:space="preserve"> of concern</w:t>
      </w:r>
      <w:r w:rsidRPr="000A003E">
        <w:rPr>
          <w:lang w:val="en-GB"/>
        </w:rPr>
        <w:t>, taking into account the most significant</w:t>
      </w:r>
      <w:r w:rsidR="0052208B">
        <w:rPr>
          <w:lang w:val="en-GB"/>
        </w:rPr>
        <w:t xml:space="preserve"> </w:t>
      </w:r>
      <w:r w:rsidR="00D4645C">
        <w:rPr>
          <w:lang w:val="en-GB"/>
        </w:rPr>
        <w:t xml:space="preserve">categories of </w:t>
      </w:r>
      <w:r w:rsidRPr="000A003E">
        <w:rPr>
          <w:lang w:val="en-GB"/>
        </w:rPr>
        <w:t>industrial activit</w:t>
      </w:r>
      <w:r w:rsidR="00D4645C">
        <w:rPr>
          <w:lang w:val="en-GB"/>
        </w:rPr>
        <w:t>ies</w:t>
      </w:r>
      <w:r w:rsidRPr="000A003E">
        <w:rPr>
          <w:lang w:val="en-GB"/>
        </w:rPr>
        <w:t xml:space="preserve"> that can lead to environmental contamination, the flood-proneness of territor</w:t>
      </w:r>
      <w:r w:rsidR="003D3525">
        <w:rPr>
          <w:lang w:val="en-GB"/>
        </w:rPr>
        <w:t>ies</w:t>
      </w:r>
      <w:r w:rsidRPr="000A003E">
        <w:rPr>
          <w:lang w:val="en-GB"/>
        </w:rPr>
        <w:t xml:space="preserve"> and land usage. Th</w:t>
      </w:r>
      <w:r w:rsidR="003D3525">
        <w:rPr>
          <w:lang w:val="en-GB"/>
        </w:rPr>
        <w:t>e</w:t>
      </w:r>
      <w:r w:rsidRPr="000A003E">
        <w:rPr>
          <w:lang w:val="en-GB"/>
        </w:rPr>
        <w:t xml:space="preserve"> approach enables regulatory and control bodies to enhance</w:t>
      </w:r>
      <w:r w:rsidR="00C85A13">
        <w:rPr>
          <w:lang w:val="en-GB"/>
        </w:rPr>
        <w:t xml:space="preserve"> preparedness and to </w:t>
      </w:r>
      <w:r w:rsidR="000656B7">
        <w:rPr>
          <w:lang w:val="en-GB"/>
        </w:rPr>
        <w:t xml:space="preserve">define </w:t>
      </w:r>
      <w:r w:rsidRPr="000A003E">
        <w:rPr>
          <w:lang w:val="en-GB"/>
        </w:rPr>
        <w:t xml:space="preserve">targeted risk management </w:t>
      </w:r>
      <w:r w:rsidR="00C85A13">
        <w:rPr>
          <w:lang w:val="en-GB"/>
        </w:rPr>
        <w:t xml:space="preserve">measures </w:t>
      </w:r>
      <w:r w:rsidRPr="000A003E">
        <w:rPr>
          <w:lang w:val="en-GB"/>
        </w:rPr>
        <w:t xml:space="preserve">through a straightforward comparison of the risk associated with LIN events considering specific industrial areas. </w:t>
      </w:r>
    </w:p>
    <w:p w14:paraId="37C12251" w14:textId="66E237D9" w:rsidR="00820D56" w:rsidRPr="00820D56" w:rsidRDefault="000A003E" w:rsidP="00820D56">
      <w:pPr>
        <w:pStyle w:val="CETBodytext"/>
        <w:rPr>
          <w:lang w:val="en-GB"/>
        </w:rPr>
      </w:pPr>
      <w:r w:rsidRPr="000A003E">
        <w:rPr>
          <w:lang w:val="en-GB"/>
        </w:rPr>
        <w:t xml:space="preserve">The results of the </w:t>
      </w:r>
      <w:r w:rsidR="000656B7">
        <w:rPr>
          <w:lang w:val="en-GB"/>
        </w:rPr>
        <w:t xml:space="preserve">case study </w:t>
      </w:r>
      <w:r w:rsidRPr="000A003E">
        <w:rPr>
          <w:lang w:val="en-GB"/>
        </w:rPr>
        <w:t xml:space="preserve">application confirm that LIN </w:t>
      </w:r>
      <w:r w:rsidR="00F73463">
        <w:rPr>
          <w:lang w:val="en-GB"/>
        </w:rPr>
        <w:t xml:space="preserve">risk assessment </w:t>
      </w:r>
      <w:r w:rsidRPr="000A003E">
        <w:rPr>
          <w:lang w:val="en-GB"/>
        </w:rPr>
        <w:t>require</w:t>
      </w:r>
      <w:r w:rsidR="00F73463">
        <w:rPr>
          <w:lang w:val="en-GB"/>
        </w:rPr>
        <w:t>s</w:t>
      </w:r>
      <w:r w:rsidRPr="000A003E">
        <w:rPr>
          <w:lang w:val="en-GB"/>
        </w:rPr>
        <w:t xml:space="preserve"> t</w:t>
      </w:r>
      <w:r w:rsidR="00F73463">
        <w:rPr>
          <w:lang w:val="en-GB"/>
        </w:rPr>
        <w:t>aking</w:t>
      </w:r>
      <w:r w:rsidRPr="000A003E">
        <w:rPr>
          <w:lang w:val="en-GB"/>
        </w:rPr>
        <w:t xml:space="preserve"> into account not only Seveso plants, as in the case of Natech accidents, but </w:t>
      </w:r>
      <w:r w:rsidR="00D4645C">
        <w:rPr>
          <w:lang w:val="en-GB"/>
        </w:rPr>
        <w:t xml:space="preserve">also </w:t>
      </w:r>
      <w:r w:rsidRPr="000A003E">
        <w:rPr>
          <w:lang w:val="en-GB"/>
        </w:rPr>
        <w:t>s</w:t>
      </w:r>
      <w:r w:rsidR="00D4645C">
        <w:rPr>
          <w:lang w:val="en-GB"/>
        </w:rPr>
        <w:t>pecific categories of</w:t>
      </w:r>
      <w:r w:rsidRPr="000A003E">
        <w:rPr>
          <w:lang w:val="en-GB"/>
        </w:rPr>
        <w:t xml:space="preserve"> industrial activit</w:t>
      </w:r>
      <w:r w:rsidR="00D4645C">
        <w:rPr>
          <w:lang w:val="en-GB"/>
        </w:rPr>
        <w:t>ies</w:t>
      </w:r>
      <w:r w:rsidRPr="000A003E">
        <w:rPr>
          <w:lang w:val="en-GB"/>
        </w:rPr>
        <w:t xml:space="preserve"> (i.e., Seveso., IPPC-IED, WWTPs, and CSs). Moreover, these results corroborated that the extension and location of flood-prone areas and land usage play a significant role in the assessment of LIN risk. </w:t>
      </w:r>
      <w:r w:rsidR="00820D56">
        <w:rPr>
          <w:lang w:val="en-GB"/>
        </w:rPr>
        <w:t>The</w:t>
      </w:r>
      <w:r w:rsidR="00820D56" w:rsidRPr="000A003E">
        <w:rPr>
          <w:lang w:val="en-GB"/>
        </w:rPr>
        <w:t xml:space="preserve"> novel method represents a step towards establishing a compreh</w:t>
      </w:r>
      <w:r w:rsidR="00820D56">
        <w:rPr>
          <w:lang w:val="en-GB"/>
        </w:rPr>
        <w:t>e</w:t>
      </w:r>
      <w:r w:rsidR="00820D56" w:rsidRPr="000A003E">
        <w:rPr>
          <w:lang w:val="en-GB"/>
        </w:rPr>
        <w:t xml:space="preserve">nsive framework for assessing and managing LIN event risks, offering valuable insights for both risk management and environmental protection. </w:t>
      </w:r>
      <w:r w:rsidR="00820D56">
        <w:t xml:space="preserve">However, it </w:t>
      </w:r>
      <w:r w:rsidR="00D4645C">
        <w:t>should</w:t>
      </w:r>
      <w:r w:rsidR="00820D56">
        <w:t xml:space="preserve"> be noted that the methodology currently lacks consideration of local watercourse hydrology, which is crucial for identifying activities most susceptible to flood impacts. To improve risk assessments, further studies </w:t>
      </w:r>
      <w:r w:rsidR="00D4645C">
        <w:t>using</w:t>
      </w:r>
      <w:r w:rsidR="00820D56">
        <w:t xml:space="preserve"> detailed data on water flow and Digital Terrain Models would be beneficial.</w:t>
      </w:r>
      <w:r w:rsidR="00811CFF" w:rsidRPr="006E45A4">
        <w:t xml:space="preserve"> </w:t>
      </w:r>
      <w:r w:rsidR="006E45A4" w:rsidRPr="006E45A4">
        <w:t>Moreover, while the severity scale used in the magnitude assessment has been validated, further refinement could be achieved by integrating additional site-specific historical data on pollutant dispersion.</w:t>
      </w:r>
    </w:p>
    <w:p w14:paraId="428B022A" w14:textId="3A020AEB" w:rsidR="00E65B91" w:rsidRPr="00E22E0B" w:rsidRDefault="00600535" w:rsidP="003A2439">
      <w:pPr>
        <w:pStyle w:val="CETReference"/>
      </w:pPr>
      <w:r w:rsidRPr="00E22E0B">
        <w:t>References</w:t>
      </w:r>
    </w:p>
    <w:p w14:paraId="5033C524" w14:textId="524AF3FA" w:rsidR="00307738" w:rsidRDefault="00A859A1" w:rsidP="007F5253">
      <w:pPr>
        <w:pStyle w:val="CETReferencetext"/>
        <w:jc w:val="left"/>
      </w:pPr>
      <w:r w:rsidRPr="004A13F0">
        <w:t>Arrighi C., Domeneghetti A., 2024, Brief communication: On the environmental impacts of the 2023 floods in Emilia-Romagna (Italy), Natural Hazards and Earth System Sciences, 24(2), 673–679.</w:t>
      </w:r>
    </w:p>
    <w:p w14:paraId="7A0BEBE0" w14:textId="5F4E3272" w:rsidR="00250C58" w:rsidRPr="004A13F0" w:rsidRDefault="00250C58" w:rsidP="007F5253">
      <w:pPr>
        <w:pStyle w:val="CETReferencetext"/>
        <w:jc w:val="left"/>
      </w:pPr>
      <w:r>
        <w:t xml:space="preserve">Chaudhry F., Malik M., 2017, Factors Affecting Water Pollution: A Review, Journal of Ecosystem &amp; Ecography, 7(1), Article 225. </w:t>
      </w:r>
    </w:p>
    <w:p w14:paraId="53A5AFAF" w14:textId="77777777" w:rsidR="00307738" w:rsidRDefault="00A859A1" w:rsidP="007F5253">
      <w:pPr>
        <w:pStyle w:val="CETReferencetext"/>
        <w:jc w:val="left"/>
      </w:pPr>
      <w:r w:rsidRPr="00307738">
        <w:t xml:space="preserve">Di Fluri P., Di Talia V., Antonioni G., Domeneghetti A., 2024, A short-cut methodology for the spatial assessment of the biochemical river quality, Environmental Monitoring and Assessment, 196(4), 388. </w:t>
      </w:r>
    </w:p>
    <w:p w14:paraId="59667445" w14:textId="37606436" w:rsidR="00307738" w:rsidRDefault="00A859A1" w:rsidP="007F5253">
      <w:pPr>
        <w:pStyle w:val="CETReferencetext"/>
        <w:jc w:val="left"/>
      </w:pPr>
      <w:r w:rsidRPr="00307738">
        <w:t>eNatech, 2024, eNatech: Natural hazard-triggered technological accidents database, Eur. Comm. Jt. Res.Cent., &lt;enatech.jrc.ec.europa.eu&gt;, accessed 12.6.24</w:t>
      </w:r>
      <w:r w:rsidR="004A13F0">
        <w:t>.</w:t>
      </w:r>
    </w:p>
    <w:p w14:paraId="6903A4EC" w14:textId="07F12BE9" w:rsidR="00307738" w:rsidRDefault="00A859A1" w:rsidP="007F5253">
      <w:pPr>
        <w:pStyle w:val="CETReferencetext"/>
        <w:jc w:val="left"/>
      </w:pPr>
      <w:r w:rsidRPr="00307738">
        <w:t>ER1, 2024, IPPC portal of Emilia Romagna Region &lt;ippc-aia.arpa.emr.it/ippc-aia/Homepage.aspx&gt;, accessed 2.9.2024</w:t>
      </w:r>
      <w:r w:rsidR="004A13F0">
        <w:t>.</w:t>
      </w:r>
    </w:p>
    <w:p w14:paraId="557A8751" w14:textId="4A2E3747" w:rsidR="00307738" w:rsidRPr="00E22E0B" w:rsidRDefault="00A859A1" w:rsidP="007F5253">
      <w:pPr>
        <w:pStyle w:val="CETReferencetext"/>
        <w:jc w:val="left"/>
        <w:rPr>
          <w:lang w:val="it-IT"/>
        </w:rPr>
      </w:pPr>
      <w:r w:rsidRPr="00E22E0B">
        <w:rPr>
          <w:lang w:val="it-IT"/>
        </w:rPr>
        <w:t>ER2, 2024, WWTPs database of Emilia Romagna Region, &lt;datacatalog.regione.emilia-romagna.it/catalogCTA/dataset/depuratori-della-regione-emilia-romagna-1506530997461-718&gt;, accessed 2.9.2024</w:t>
      </w:r>
      <w:r w:rsidR="004A13F0" w:rsidRPr="00E22E0B">
        <w:rPr>
          <w:lang w:val="it-IT"/>
        </w:rPr>
        <w:t>.</w:t>
      </w:r>
    </w:p>
    <w:p w14:paraId="672FA24D" w14:textId="6A0B6A05" w:rsidR="00307738" w:rsidRPr="00E22E0B" w:rsidRDefault="00A859A1" w:rsidP="007F5253">
      <w:pPr>
        <w:pStyle w:val="CETReferencetext"/>
        <w:jc w:val="left"/>
        <w:rPr>
          <w:lang w:val="it-IT"/>
        </w:rPr>
      </w:pPr>
      <w:r w:rsidRPr="00E22E0B">
        <w:rPr>
          <w:lang w:val="it-IT"/>
        </w:rPr>
        <w:t>ER3, 2024, List of contaminated sites in the Emilia-Romagna region, &lt;datacatalog.regione.emilia-romagna.it/catalogCTA/dataset/elenco-dei-siti-contaminati-della-regione-emilia-romagna-1523632340215-121/resource/cf8b31d0-8862-4579-95ef-af2e13bb229d&gt;, accessed 1.9.2024</w:t>
      </w:r>
      <w:r w:rsidR="004A13F0" w:rsidRPr="00E22E0B">
        <w:rPr>
          <w:lang w:val="it-IT"/>
        </w:rPr>
        <w:t>.</w:t>
      </w:r>
    </w:p>
    <w:p w14:paraId="77F41E30" w14:textId="3EBD387E" w:rsidR="00307738" w:rsidRDefault="00A859A1" w:rsidP="007F5253">
      <w:pPr>
        <w:pStyle w:val="CETReferencetext"/>
        <w:jc w:val="left"/>
      </w:pPr>
      <w:r w:rsidRPr="00307738">
        <w:t>ER4, 2024, Flood hazard maps of Emilia Romagna Region</w:t>
      </w:r>
      <w:r w:rsidR="000A0F4D" w:rsidRPr="000D4F15">
        <w:rPr>
          <w:lang w:val="en-US"/>
        </w:rPr>
        <w:t>, &lt;</w:t>
      </w:r>
      <w:hyperlink r:id="rId14" w:tgtFrame="_new" w:history="1">
        <w:r w:rsidRPr="00307738">
          <w:rPr>
            <w:rStyle w:val="Collegamentoipertestuale"/>
            <w:color w:val="auto"/>
            <w:u w:val="none"/>
          </w:rPr>
          <w:t>https://servizimoka.regione.emilia-romagna.it/mokaApp/apps/DA/index.html</w:t>
        </w:r>
      </w:hyperlink>
      <w:r w:rsidR="000A0F4D" w:rsidRPr="000D4F15">
        <w:rPr>
          <w:lang w:val="en-US"/>
        </w:rPr>
        <w:t>&gt;</w:t>
      </w:r>
      <w:r w:rsidRPr="00307738">
        <w:t>, accessed 2.9.2024</w:t>
      </w:r>
      <w:r w:rsidR="004A13F0">
        <w:t>.</w:t>
      </w:r>
    </w:p>
    <w:p w14:paraId="37AD4D20" w14:textId="3C213564" w:rsidR="00307738" w:rsidRDefault="00A859A1" w:rsidP="007F5253">
      <w:pPr>
        <w:pStyle w:val="CETReferencetext"/>
        <w:jc w:val="left"/>
      </w:pPr>
      <w:r w:rsidRPr="00307738">
        <w:t>Krausmann E., Cruz A., Salzano E., 2017, Natech Risk Assessment and Management—Reducing the Risk of Natural-Hazard Impact on Hazardous Installations, In Natech Risk Assessment and Management: Reducing the Risk of Natural-Hazard Impact on Hazardous Installations</w:t>
      </w:r>
      <w:r w:rsidR="003226AF">
        <w:t>,</w:t>
      </w:r>
      <w:r w:rsidR="003226AF" w:rsidRPr="003226AF">
        <w:t xml:space="preserve"> ISBN 978-0-12-803807-9</w:t>
      </w:r>
      <w:r w:rsidR="004A13F0">
        <w:t>.</w:t>
      </w:r>
    </w:p>
    <w:p w14:paraId="6BF889D5" w14:textId="77777777" w:rsidR="004A13F0" w:rsidRDefault="00A859A1" w:rsidP="007F5253">
      <w:pPr>
        <w:pStyle w:val="CETReferencetext"/>
        <w:jc w:val="left"/>
      </w:pPr>
      <w:r w:rsidRPr="00307738">
        <w:t>Mesa-Gómez A., Casal J., Sánchez-Silva M., Muñoz F., 2020, Advances and Gaps in Natech Quantitative Risk Analysis, Processes, 9(1), 40.</w:t>
      </w:r>
    </w:p>
    <w:p w14:paraId="27E8D344" w14:textId="58790FCF" w:rsidR="004A13F0" w:rsidRDefault="00A859A1" w:rsidP="007F5253">
      <w:pPr>
        <w:pStyle w:val="CETReferencetext"/>
        <w:jc w:val="left"/>
      </w:pPr>
      <w:r w:rsidRPr="00307738">
        <w:t xml:space="preserve">Misuri A., Cruz A. M., Park H., Garnier E., Ohtsu N., Hokugo A., Fujita I., Aoki S., Cozzani V., 2021, Technological accidents caused by floods: The case of the Saga prefecture oil spill, Japan 2019, International Journal of Disaster Risk Reduction, 66, 102634. </w:t>
      </w:r>
    </w:p>
    <w:p w14:paraId="28CCEBA6" w14:textId="77777777" w:rsidR="004A13F0" w:rsidRPr="00E22E0B" w:rsidRDefault="00A859A1" w:rsidP="007F5253">
      <w:pPr>
        <w:pStyle w:val="CETReferencetext"/>
        <w:jc w:val="left"/>
        <w:rPr>
          <w:lang w:val="it-IT"/>
        </w:rPr>
      </w:pPr>
      <w:r w:rsidRPr="00E22E0B">
        <w:rPr>
          <w:lang w:val="it-IT"/>
        </w:rPr>
        <w:t>Morra P., Antonioni G., Bonvicini S., Spadoni G., Cozzani V., 2012, Valutazione del rischio dovuto ad incidenti rilevanti causati da eventi naturali, VGR 2012 Proceeding, 75–86.</w:t>
      </w:r>
    </w:p>
    <w:p w14:paraId="4FA36B90" w14:textId="77777777" w:rsidR="009B7607" w:rsidRDefault="009B7607" w:rsidP="007F5253">
      <w:pPr>
        <w:pStyle w:val="CETReferencetext"/>
        <w:jc w:val="left"/>
      </w:pPr>
      <w:r>
        <w:t>Shafiei Moghaddam P., Jahangiri K., Sohrabizadeh S., Hassani N., Hoseini Moghaddam M., Tehrani G. M., 2023, Foresight of the Consequences of the Hazmat Release From an Oil Refinery on the Surrounding Urban Community Following an Earthquake: A Natech Scenario Analysis, Disaster Medicine and Public Health Preparedness, 17, e79.</w:t>
      </w:r>
    </w:p>
    <w:p w14:paraId="441BA026" w14:textId="4B6243C9" w:rsidR="00250C58" w:rsidRDefault="009B7607" w:rsidP="007F5253">
      <w:pPr>
        <w:pStyle w:val="CETReferencetext"/>
        <w:jc w:val="left"/>
      </w:pPr>
      <w:r>
        <w:t xml:space="preserve">Su D., Ben W., Strobel B. W., Qiang Z., 2021, Impacts of Wastewater Treatment Plant Upgrades on the Distribution and Risks of Pharmaceuticals in Receiving Rivers, Journal of Hazardous Materials, 406, 124331. </w:t>
      </w:r>
    </w:p>
    <w:p w14:paraId="19C4FC68" w14:textId="7C7956E8" w:rsidR="004628D2" w:rsidRDefault="00A859A1" w:rsidP="000C39C8">
      <w:pPr>
        <w:pStyle w:val="CETReferencetext"/>
        <w:jc w:val="left"/>
      </w:pPr>
      <w:r w:rsidRPr="00307738">
        <w:t>Suarez-Paba M. C., Perreur M., Munoz F., Cruz A. M., 2019, Systematic literature review and qualitative meta-analysis of Natech research in the past four decades, Safety Science, 116, 58–77.</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5ED0" w14:textId="77777777" w:rsidR="005A6CA1" w:rsidRDefault="005A6CA1" w:rsidP="004F5E36">
      <w:r>
        <w:separator/>
      </w:r>
    </w:p>
  </w:endnote>
  <w:endnote w:type="continuationSeparator" w:id="0">
    <w:p w14:paraId="675418FE" w14:textId="77777777" w:rsidR="005A6CA1" w:rsidRDefault="005A6C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1B9E" w14:textId="77777777" w:rsidR="005A6CA1" w:rsidRDefault="005A6CA1" w:rsidP="004F5E36">
      <w:r>
        <w:separator/>
      </w:r>
    </w:p>
  </w:footnote>
  <w:footnote w:type="continuationSeparator" w:id="0">
    <w:p w14:paraId="31F7FDCF" w14:textId="77777777" w:rsidR="005A6CA1" w:rsidRDefault="005A6CA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7FA0BD4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426"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F13E58"/>
    <w:multiLevelType w:val="hybridMultilevel"/>
    <w:tmpl w:val="DD883FF8"/>
    <w:lvl w:ilvl="0" w:tplc="6A6647B6">
      <w:start w:val="1"/>
      <w:numFmt w:val="bullet"/>
      <w:lvlText w:val="•"/>
      <w:lvlJc w:val="left"/>
      <w:pPr>
        <w:tabs>
          <w:tab w:val="num" w:pos="720"/>
        </w:tabs>
        <w:ind w:left="720" w:hanging="360"/>
      </w:pPr>
      <w:rPr>
        <w:rFonts w:ascii="+mn-lt" w:hAnsi="+mn-lt" w:hint="default"/>
      </w:rPr>
    </w:lvl>
    <w:lvl w:ilvl="1" w:tplc="927C2814" w:tentative="1">
      <w:start w:val="1"/>
      <w:numFmt w:val="bullet"/>
      <w:lvlText w:val="•"/>
      <w:lvlJc w:val="left"/>
      <w:pPr>
        <w:tabs>
          <w:tab w:val="num" w:pos="1440"/>
        </w:tabs>
        <w:ind w:left="1440" w:hanging="360"/>
      </w:pPr>
      <w:rPr>
        <w:rFonts w:ascii="+mn-lt" w:hAnsi="+mn-lt" w:hint="default"/>
      </w:rPr>
    </w:lvl>
    <w:lvl w:ilvl="2" w:tplc="D130A90C" w:tentative="1">
      <w:start w:val="1"/>
      <w:numFmt w:val="bullet"/>
      <w:lvlText w:val="•"/>
      <w:lvlJc w:val="left"/>
      <w:pPr>
        <w:tabs>
          <w:tab w:val="num" w:pos="2160"/>
        </w:tabs>
        <w:ind w:left="2160" w:hanging="360"/>
      </w:pPr>
      <w:rPr>
        <w:rFonts w:ascii="+mn-lt" w:hAnsi="+mn-lt" w:hint="default"/>
      </w:rPr>
    </w:lvl>
    <w:lvl w:ilvl="3" w:tplc="CFEADD96" w:tentative="1">
      <w:start w:val="1"/>
      <w:numFmt w:val="bullet"/>
      <w:lvlText w:val="•"/>
      <w:lvlJc w:val="left"/>
      <w:pPr>
        <w:tabs>
          <w:tab w:val="num" w:pos="2880"/>
        </w:tabs>
        <w:ind w:left="2880" w:hanging="360"/>
      </w:pPr>
      <w:rPr>
        <w:rFonts w:ascii="+mn-lt" w:hAnsi="+mn-lt" w:hint="default"/>
      </w:rPr>
    </w:lvl>
    <w:lvl w:ilvl="4" w:tplc="4B80CD8E" w:tentative="1">
      <w:start w:val="1"/>
      <w:numFmt w:val="bullet"/>
      <w:lvlText w:val="•"/>
      <w:lvlJc w:val="left"/>
      <w:pPr>
        <w:tabs>
          <w:tab w:val="num" w:pos="3600"/>
        </w:tabs>
        <w:ind w:left="3600" w:hanging="360"/>
      </w:pPr>
      <w:rPr>
        <w:rFonts w:ascii="+mn-lt" w:hAnsi="+mn-lt" w:hint="default"/>
      </w:rPr>
    </w:lvl>
    <w:lvl w:ilvl="5" w:tplc="5D0E7568" w:tentative="1">
      <w:start w:val="1"/>
      <w:numFmt w:val="bullet"/>
      <w:lvlText w:val="•"/>
      <w:lvlJc w:val="left"/>
      <w:pPr>
        <w:tabs>
          <w:tab w:val="num" w:pos="4320"/>
        </w:tabs>
        <w:ind w:left="4320" w:hanging="360"/>
      </w:pPr>
      <w:rPr>
        <w:rFonts w:ascii="+mn-lt" w:hAnsi="+mn-lt" w:hint="default"/>
      </w:rPr>
    </w:lvl>
    <w:lvl w:ilvl="6" w:tplc="93C8CAD4" w:tentative="1">
      <w:start w:val="1"/>
      <w:numFmt w:val="bullet"/>
      <w:lvlText w:val="•"/>
      <w:lvlJc w:val="left"/>
      <w:pPr>
        <w:tabs>
          <w:tab w:val="num" w:pos="5040"/>
        </w:tabs>
        <w:ind w:left="5040" w:hanging="360"/>
      </w:pPr>
      <w:rPr>
        <w:rFonts w:ascii="+mn-lt" w:hAnsi="+mn-lt" w:hint="default"/>
      </w:rPr>
    </w:lvl>
    <w:lvl w:ilvl="7" w:tplc="A11E9D2A" w:tentative="1">
      <w:start w:val="1"/>
      <w:numFmt w:val="bullet"/>
      <w:lvlText w:val="•"/>
      <w:lvlJc w:val="left"/>
      <w:pPr>
        <w:tabs>
          <w:tab w:val="num" w:pos="5760"/>
        </w:tabs>
        <w:ind w:left="5760" w:hanging="360"/>
      </w:pPr>
      <w:rPr>
        <w:rFonts w:ascii="+mn-lt" w:hAnsi="+mn-lt" w:hint="default"/>
      </w:rPr>
    </w:lvl>
    <w:lvl w:ilvl="8" w:tplc="C4F472F2" w:tentative="1">
      <w:start w:val="1"/>
      <w:numFmt w:val="bullet"/>
      <w:lvlText w:val="•"/>
      <w:lvlJc w:val="left"/>
      <w:pPr>
        <w:tabs>
          <w:tab w:val="num" w:pos="6480"/>
        </w:tabs>
        <w:ind w:left="6480" w:hanging="360"/>
      </w:pPr>
      <w:rPr>
        <w:rFonts w:ascii="+mn-lt" w:hAnsi="+mn-lt"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13953">
    <w:abstractNumId w:val="11"/>
  </w:num>
  <w:num w:numId="2" w16cid:durableId="1480421405">
    <w:abstractNumId w:val="8"/>
  </w:num>
  <w:num w:numId="3" w16cid:durableId="472648794">
    <w:abstractNumId w:val="3"/>
  </w:num>
  <w:num w:numId="4" w16cid:durableId="1517619641">
    <w:abstractNumId w:val="2"/>
  </w:num>
  <w:num w:numId="5" w16cid:durableId="1495418070">
    <w:abstractNumId w:val="1"/>
  </w:num>
  <w:num w:numId="6" w16cid:durableId="288243049">
    <w:abstractNumId w:val="0"/>
  </w:num>
  <w:num w:numId="7" w16cid:durableId="1604918253">
    <w:abstractNumId w:val="9"/>
  </w:num>
  <w:num w:numId="8" w16cid:durableId="151915945">
    <w:abstractNumId w:val="7"/>
  </w:num>
  <w:num w:numId="9" w16cid:durableId="595017443">
    <w:abstractNumId w:val="6"/>
  </w:num>
  <w:num w:numId="10" w16cid:durableId="1925607986">
    <w:abstractNumId w:val="5"/>
  </w:num>
  <w:num w:numId="11" w16cid:durableId="927814369">
    <w:abstractNumId w:val="4"/>
  </w:num>
  <w:num w:numId="12" w16cid:durableId="706683241">
    <w:abstractNumId w:val="19"/>
  </w:num>
  <w:num w:numId="13" w16cid:durableId="868836225">
    <w:abstractNumId w:val="13"/>
  </w:num>
  <w:num w:numId="14" w16cid:durableId="1638560739">
    <w:abstractNumId w:val="20"/>
  </w:num>
  <w:num w:numId="15" w16cid:durableId="1856847326">
    <w:abstractNumId w:val="22"/>
  </w:num>
  <w:num w:numId="16" w16cid:durableId="1331449204">
    <w:abstractNumId w:val="21"/>
  </w:num>
  <w:num w:numId="17" w16cid:durableId="110168475">
    <w:abstractNumId w:val="12"/>
  </w:num>
  <w:num w:numId="18" w16cid:durableId="149641611">
    <w:abstractNumId w:val="13"/>
    <w:lvlOverride w:ilvl="0">
      <w:startOverride w:val="1"/>
    </w:lvlOverride>
  </w:num>
  <w:num w:numId="19" w16cid:durableId="1273514459">
    <w:abstractNumId w:val="18"/>
  </w:num>
  <w:num w:numId="20" w16cid:durableId="107940054">
    <w:abstractNumId w:val="17"/>
  </w:num>
  <w:num w:numId="21" w16cid:durableId="1836188161">
    <w:abstractNumId w:val="16"/>
  </w:num>
  <w:num w:numId="22" w16cid:durableId="373889265">
    <w:abstractNumId w:val="15"/>
  </w:num>
  <w:num w:numId="23" w16cid:durableId="1038699388">
    <w:abstractNumId w:val="10"/>
  </w:num>
  <w:num w:numId="24" w16cid:durableId="2136101496">
    <w:abstractNumId w:val="14"/>
  </w:num>
  <w:num w:numId="25" w16cid:durableId="236674039">
    <w:abstractNumId w:val="11"/>
  </w:num>
  <w:num w:numId="26" w16cid:durableId="1687561118">
    <w:abstractNumId w:val="11"/>
  </w:num>
  <w:num w:numId="27" w16cid:durableId="2123454399">
    <w:abstractNumId w:val="11"/>
  </w:num>
  <w:num w:numId="28" w16cid:durableId="1540316869">
    <w:abstractNumId w:val="11"/>
  </w:num>
  <w:num w:numId="29" w16cid:durableId="797576457">
    <w:abstractNumId w:val="11"/>
  </w:num>
  <w:num w:numId="30" w16cid:durableId="1803309968">
    <w:abstractNumId w:val="11"/>
  </w:num>
  <w:num w:numId="31" w16cid:durableId="263924638">
    <w:abstractNumId w:val="11"/>
  </w:num>
  <w:num w:numId="32" w16cid:durableId="410808577">
    <w:abstractNumId w:val="11"/>
  </w:num>
  <w:num w:numId="33" w16cid:durableId="788622688">
    <w:abstractNumId w:val="11"/>
  </w:num>
  <w:num w:numId="34" w16cid:durableId="1125007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sqgFADtbelYtAAAA"/>
  </w:docVars>
  <w:rsids>
    <w:rsidRoot w:val="000E414A"/>
    <w:rsid w:val="000027C0"/>
    <w:rsid w:val="000052FB"/>
    <w:rsid w:val="0000596D"/>
    <w:rsid w:val="00005A19"/>
    <w:rsid w:val="000117CB"/>
    <w:rsid w:val="00015567"/>
    <w:rsid w:val="00022A2B"/>
    <w:rsid w:val="000231B3"/>
    <w:rsid w:val="000236AD"/>
    <w:rsid w:val="00027716"/>
    <w:rsid w:val="0003148D"/>
    <w:rsid w:val="00031EEC"/>
    <w:rsid w:val="000433CE"/>
    <w:rsid w:val="00045D44"/>
    <w:rsid w:val="000466C8"/>
    <w:rsid w:val="00051566"/>
    <w:rsid w:val="000562A9"/>
    <w:rsid w:val="00062A9A"/>
    <w:rsid w:val="00065058"/>
    <w:rsid w:val="000656B7"/>
    <w:rsid w:val="000745A0"/>
    <w:rsid w:val="00086C39"/>
    <w:rsid w:val="0009128F"/>
    <w:rsid w:val="000A003E"/>
    <w:rsid w:val="000A03B2"/>
    <w:rsid w:val="000A0F4D"/>
    <w:rsid w:val="000B17E5"/>
    <w:rsid w:val="000C028C"/>
    <w:rsid w:val="000C39C8"/>
    <w:rsid w:val="000C4EC7"/>
    <w:rsid w:val="000D0268"/>
    <w:rsid w:val="000D1383"/>
    <w:rsid w:val="000D34BE"/>
    <w:rsid w:val="000D4F15"/>
    <w:rsid w:val="000D5231"/>
    <w:rsid w:val="000D66A6"/>
    <w:rsid w:val="000D74A0"/>
    <w:rsid w:val="000E0B3C"/>
    <w:rsid w:val="000E102F"/>
    <w:rsid w:val="000E36F1"/>
    <w:rsid w:val="000E3A73"/>
    <w:rsid w:val="000E414A"/>
    <w:rsid w:val="000E75FD"/>
    <w:rsid w:val="000F093C"/>
    <w:rsid w:val="000F5A30"/>
    <w:rsid w:val="000F5F1A"/>
    <w:rsid w:val="000F787B"/>
    <w:rsid w:val="001022AC"/>
    <w:rsid w:val="00112B21"/>
    <w:rsid w:val="00113837"/>
    <w:rsid w:val="00120835"/>
    <w:rsid w:val="0012091F"/>
    <w:rsid w:val="00122674"/>
    <w:rsid w:val="00125502"/>
    <w:rsid w:val="00126BC2"/>
    <w:rsid w:val="001308B6"/>
    <w:rsid w:val="0013121F"/>
    <w:rsid w:val="00131FE6"/>
    <w:rsid w:val="0013263F"/>
    <w:rsid w:val="00132859"/>
    <w:rsid w:val="001331DF"/>
    <w:rsid w:val="00134DE4"/>
    <w:rsid w:val="0014034D"/>
    <w:rsid w:val="00140FE3"/>
    <w:rsid w:val="0014377C"/>
    <w:rsid w:val="00144D16"/>
    <w:rsid w:val="00150E59"/>
    <w:rsid w:val="00152DE3"/>
    <w:rsid w:val="00156C83"/>
    <w:rsid w:val="00164CF9"/>
    <w:rsid w:val="001667A6"/>
    <w:rsid w:val="00171EF9"/>
    <w:rsid w:val="00173293"/>
    <w:rsid w:val="001771F5"/>
    <w:rsid w:val="00177ED0"/>
    <w:rsid w:val="00180FD4"/>
    <w:rsid w:val="0018171E"/>
    <w:rsid w:val="00184026"/>
    <w:rsid w:val="00184AD6"/>
    <w:rsid w:val="00194F65"/>
    <w:rsid w:val="001A4AF7"/>
    <w:rsid w:val="001B0349"/>
    <w:rsid w:val="001B1E93"/>
    <w:rsid w:val="001B49AA"/>
    <w:rsid w:val="001B65C1"/>
    <w:rsid w:val="001C1B07"/>
    <w:rsid w:val="001C1F8D"/>
    <w:rsid w:val="001C260F"/>
    <w:rsid w:val="001C4685"/>
    <w:rsid w:val="001C5B74"/>
    <w:rsid w:val="001C5C3A"/>
    <w:rsid w:val="001C684B"/>
    <w:rsid w:val="001D05A3"/>
    <w:rsid w:val="001D0CFB"/>
    <w:rsid w:val="001D21AF"/>
    <w:rsid w:val="001D53FC"/>
    <w:rsid w:val="001F2D94"/>
    <w:rsid w:val="001F42A5"/>
    <w:rsid w:val="001F5D30"/>
    <w:rsid w:val="001F7B9D"/>
    <w:rsid w:val="00201C93"/>
    <w:rsid w:val="00205849"/>
    <w:rsid w:val="00213F7D"/>
    <w:rsid w:val="002224B4"/>
    <w:rsid w:val="002253CE"/>
    <w:rsid w:val="002265E6"/>
    <w:rsid w:val="0023463E"/>
    <w:rsid w:val="00236EA8"/>
    <w:rsid w:val="002447EF"/>
    <w:rsid w:val="00250C58"/>
    <w:rsid w:val="00251550"/>
    <w:rsid w:val="002573DC"/>
    <w:rsid w:val="00263B05"/>
    <w:rsid w:val="0027221A"/>
    <w:rsid w:val="0027341F"/>
    <w:rsid w:val="00275B61"/>
    <w:rsid w:val="00280A3B"/>
    <w:rsid w:val="00280FAF"/>
    <w:rsid w:val="00282656"/>
    <w:rsid w:val="00283151"/>
    <w:rsid w:val="002857D5"/>
    <w:rsid w:val="00292E18"/>
    <w:rsid w:val="00296B83"/>
    <w:rsid w:val="002A16DB"/>
    <w:rsid w:val="002B4015"/>
    <w:rsid w:val="002B7560"/>
    <w:rsid w:val="002B78CE"/>
    <w:rsid w:val="002C2FB6"/>
    <w:rsid w:val="002C7065"/>
    <w:rsid w:val="002E5FA7"/>
    <w:rsid w:val="002F325B"/>
    <w:rsid w:val="002F3309"/>
    <w:rsid w:val="003008CE"/>
    <w:rsid w:val="003009B7"/>
    <w:rsid w:val="00300E56"/>
    <w:rsid w:val="0030152C"/>
    <w:rsid w:val="0030469C"/>
    <w:rsid w:val="0030627E"/>
    <w:rsid w:val="00307738"/>
    <w:rsid w:val="003132E5"/>
    <w:rsid w:val="00321CA6"/>
    <w:rsid w:val="003226AF"/>
    <w:rsid w:val="00323763"/>
    <w:rsid w:val="00323C5F"/>
    <w:rsid w:val="00324FA9"/>
    <w:rsid w:val="00330C1B"/>
    <w:rsid w:val="003335E5"/>
    <w:rsid w:val="00333AC8"/>
    <w:rsid w:val="00334C09"/>
    <w:rsid w:val="00364D0A"/>
    <w:rsid w:val="003723D4"/>
    <w:rsid w:val="003814FF"/>
    <w:rsid w:val="00381905"/>
    <w:rsid w:val="00381A5A"/>
    <w:rsid w:val="00384CC8"/>
    <w:rsid w:val="00386236"/>
    <w:rsid w:val="003871FD"/>
    <w:rsid w:val="0038721E"/>
    <w:rsid w:val="003A0150"/>
    <w:rsid w:val="003A1E30"/>
    <w:rsid w:val="003A2439"/>
    <w:rsid w:val="003A2829"/>
    <w:rsid w:val="003A7D1C"/>
    <w:rsid w:val="003B0341"/>
    <w:rsid w:val="003B304B"/>
    <w:rsid w:val="003B3146"/>
    <w:rsid w:val="003B364A"/>
    <w:rsid w:val="003B49CD"/>
    <w:rsid w:val="003C112F"/>
    <w:rsid w:val="003C37E1"/>
    <w:rsid w:val="003C4B44"/>
    <w:rsid w:val="003C4C11"/>
    <w:rsid w:val="003C5B42"/>
    <w:rsid w:val="003C6E38"/>
    <w:rsid w:val="003C7536"/>
    <w:rsid w:val="003D01ED"/>
    <w:rsid w:val="003D1E02"/>
    <w:rsid w:val="003D3525"/>
    <w:rsid w:val="003D6605"/>
    <w:rsid w:val="003D75C6"/>
    <w:rsid w:val="003E32C3"/>
    <w:rsid w:val="003E41FF"/>
    <w:rsid w:val="003E4C28"/>
    <w:rsid w:val="003F015E"/>
    <w:rsid w:val="00400414"/>
    <w:rsid w:val="0041446B"/>
    <w:rsid w:val="00431C02"/>
    <w:rsid w:val="004342AB"/>
    <w:rsid w:val="004366C7"/>
    <w:rsid w:val="00436777"/>
    <w:rsid w:val="0044071E"/>
    <w:rsid w:val="0044329C"/>
    <w:rsid w:val="004479DB"/>
    <w:rsid w:val="00447B67"/>
    <w:rsid w:val="00453E24"/>
    <w:rsid w:val="00456F4A"/>
    <w:rsid w:val="00457456"/>
    <w:rsid w:val="004577FE"/>
    <w:rsid w:val="00457B9C"/>
    <w:rsid w:val="0046164A"/>
    <w:rsid w:val="004628D2"/>
    <w:rsid w:val="00462DCD"/>
    <w:rsid w:val="004648AD"/>
    <w:rsid w:val="004703A9"/>
    <w:rsid w:val="004714C5"/>
    <w:rsid w:val="004721AA"/>
    <w:rsid w:val="004760DE"/>
    <w:rsid w:val="004763D7"/>
    <w:rsid w:val="00484F90"/>
    <w:rsid w:val="00487853"/>
    <w:rsid w:val="004A004E"/>
    <w:rsid w:val="004A13F0"/>
    <w:rsid w:val="004A24CF"/>
    <w:rsid w:val="004A35A9"/>
    <w:rsid w:val="004B1B78"/>
    <w:rsid w:val="004B75CE"/>
    <w:rsid w:val="004C3D1D"/>
    <w:rsid w:val="004C3D84"/>
    <w:rsid w:val="004C678A"/>
    <w:rsid w:val="004C7913"/>
    <w:rsid w:val="004D5EAB"/>
    <w:rsid w:val="004E4DD6"/>
    <w:rsid w:val="004E5C5F"/>
    <w:rsid w:val="004F5E36"/>
    <w:rsid w:val="00507B47"/>
    <w:rsid w:val="00507BEF"/>
    <w:rsid w:val="00507CC9"/>
    <w:rsid w:val="005119A5"/>
    <w:rsid w:val="0052208B"/>
    <w:rsid w:val="00523D88"/>
    <w:rsid w:val="005278B7"/>
    <w:rsid w:val="00532016"/>
    <w:rsid w:val="005346C8"/>
    <w:rsid w:val="005424FC"/>
    <w:rsid w:val="00543E7D"/>
    <w:rsid w:val="00547A68"/>
    <w:rsid w:val="005531C9"/>
    <w:rsid w:val="00554879"/>
    <w:rsid w:val="005607EB"/>
    <w:rsid w:val="00562E8D"/>
    <w:rsid w:val="005653CA"/>
    <w:rsid w:val="00570C43"/>
    <w:rsid w:val="00571BE0"/>
    <w:rsid w:val="00571CE6"/>
    <w:rsid w:val="00591304"/>
    <w:rsid w:val="00592274"/>
    <w:rsid w:val="00592F1D"/>
    <w:rsid w:val="005A4AAF"/>
    <w:rsid w:val="005A6CA1"/>
    <w:rsid w:val="005B2110"/>
    <w:rsid w:val="005B350B"/>
    <w:rsid w:val="005B61E6"/>
    <w:rsid w:val="005C77E1"/>
    <w:rsid w:val="005D3C53"/>
    <w:rsid w:val="005D668A"/>
    <w:rsid w:val="005D6A2F"/>
    <w:rsid w:val="005E0592"/>
    <w:rsid w:val="005E1A82"/>
    <w:rsid w:val="005E318A"/>
    <w:rsid w:val="005E794C"/>
    <w:rsid w:val="005F0A28"/>
    <w:rsid w:val="005F0E5E"/>
    <w:rsid w:val="00600535"/>
    <w:rsid w:val="00603114"/>
    <w:rsid w:val="00610CD6"/>
    <w:rsid w:val="00615AFA"/>
    <w:rsid w:val="00620DEE"/>
    <w:rsid w:val="00621F92"/>
    <w:rsid w:val="0062280A"/>
    <w:rsid w:val="006231E1"/>
    <w:rsid w:val="0062546F"/>
    <w:rsid w:val="00625639"/>
    <w:rsid w:val="00631B33"/>
    <w:rsid w:val="006340F6"/>
    <w:rsid w:val="00636366"/>
    <w:rsid w:val="0064184D"/>
    <w:rsid w:val="006422CC"/>
    <w:rsid w:val="00644C30"/>
    <w:rsid w:val="00651966"/>
    <w:rsid w:val="00651D18"/>
    <w:rsid w:val="00654284"/>
    <w:rsid w:val="00660E3E"/>
    <w:rsid w:val="00662E74"/>
    <w:rsid w:val="00663CF7"/>
    <w:rsid w:val="006676DC"/>
    <w:rsid w:val="00676B9D"/>
    <w:rsid w:val="00680C23"/>
    <w:rsid w:val="00681511"/>
    <w:rsid w:val="00683E23"/>
    <w:rsid w:val="00693766"/>
    <w:rsid w:val="006A3281"/>
    <w:rsid w:val="006A505E"/>
    <w:rsid w:val="006A6DE5"/>
    <w:rsid w:val="006B4888"/>
    <w:rsid w:val="006C1E1E"/>
    <w:rsid w:val="006C2E45"/>
    <w:rsid w:val="006C359C"/>
    <w:rsid w:val="006C5579"/>
    <w:rsid w:val="006D0EE1"/>
    <w:rsid w:val="006D6E8B"/>
    <w:rsid w:val="006D7209"/>
    <w:rsid w:val="006E26B8"/>
    <w:rsid w:val="006E45A4"/>
    <w:rsid w:val="006E737D"/>
    <w:rsid w:val="006F09C6"/>
    <w:rsid w:val="00701225"/>
    <w:rsid w:val="0070259C"/>
    <w:rsid w:val="007041B2"/>
    <w:rsid w:val="007047EC"/>
    <w:rsid w:val="00707DD1"/>
    <w:rsid w:val="00713973"/>
    <w:rsid w:val="00720A24"/>
    <w:rsid w:val="0072316B"/>
    <w:rsid w:val="00724813"/>
    <w:rsid w:val="0072505E"/>
    <w:rsid w:val="007260D2"/>
    <w:rsid w:val="00732386"/>
    <w:rsid w:val="0073514D"/>
    <w:rsid w:val="00742CF1"/>
    <w:rsid w:val="007447F3"/>
    <w:rsid w:val="00744C92"/>
    <w:rsid w:val="0075499F"/>
    <w:rsid w:val="0076493E"/>
    <w:rsid w:val="007661C8"/>
    <w:rsid w:val="0077098D"/>
    <w:rsid w:val="00777841"/>
    <w:rsid w:val="00785BF9"/>
    <w:rsid w:val="007864F6"/>
    <w:rsid w:val="007865AA"/>
    <w:rsid w:val="007931FA"/>
    <w:rsid w:val="007A4861"/>
    <w:rsid w:val="007A5E0B"/>
    <w:rsid w:val="007A7BBA"/>
    <w:rsid w:val="007B0C50"/>
    <w:rsid w:val="007B2D0B"/>
    <w:rsid w:val="007B48F9"/>
    <w:rsid w:val="007B514E"/>
    <w:rsid w:val="007C1A43"/>
    <w:rsid w:val="007C285B"/>
    <w:rsid w:val="007D0951"/>
    <w:rsid w:val="007D14A1"/>
    <w:rsid w:val="007D610D"/>
    <w:rsid w:val="007E307E"/>
    <w:rsid w:val="007E45FC"/>
    <w:rsid w:val="007F3232"/>
    <w:rsid w:val="007F33C6"/>
    <w:rsid w:val="007F4E14"/>
    <w:rsid w:val="007F5253"/>
    <w:rsid w:val="0080013E"/>
    <w:rsid w:val="00801759"/>
    <w:rsid w:val="00803F65"/>
    <w:rsid w:val="00811727"/>
    <w:rsid w:val="00811CFF"/>
    <w:rsid w:val="00813288"/>
    <w:rsid w:val="00813805"/>
    <w:rsid w:val="008168FC"/>
    <w:rsid w:val="00820D56"/>
    <w:rsid w:val="00820ED5"/>
    <w:rsid w:val="0082365F"/>
    <w:rsid w:val="00826862"/>
    <w:rsid w:val="00830996"/>
    <w:rsid w:val="008345F1"/>
    <w:rsid w:val="00835E45"/>
    <w:rsid w:val="008611AC"/>
    <w:rsid w:val="008648A5"/>
    <w:rsid w:val="00865B07"/>
    <w:rsid w:val="008667EA"/>
    <w:rsid w:val="008739D4"/>
    <w:rsid w:val="008746D1"/>
    <w:rsid w:val="0087637F"/>
    <w:rsid w:val="00885363"/>
    <w:rsid w:val="008900C8"/>
    <w:rsid w:val="00892AD5"/>
    <w:rsid w:val="00895AF9"/>
    <w:rsid w:val="008A1512"/>
    <w:rsid w:val="008A411A"/>
    <w:rsid w:val="008B3A10"/>
    <w:rsid w:val="008C4C2B"/>
    <w:rsid w:val="008D32B9"/>
    <w:rsid w:val="008D39E3"/>
    <w:rsid w:val="008D433B"/>
    <w:rsid w:val="008D4A16"/>
    <w:rsid w:val="008E18D4"/>
    <w:rsid w:val="008E5401"/>
    <w:rsid w:val="008E566E"/>
    <w:rsid w:val="008E5CC6"/>
    <w:rsid w:val="008F38F1"/>
    <w:rsid w:val="008F6B7F"/>
    <w:rsid w:val="008F72BB"/>
    <w:rsid w:val="0090161A"/>
    <w:rsid w:val="00901EB6"/>
    <w:rsid w:val="00904085"/>
    <w:rsid w:val="009041F8"/>
    <w:rsid w:val="00904C62"/>
    <w:rsid w:val="009054C3"/>
    <w:rsid w:val="009153CA"/>
    <w:rsid w:val="00922BA8"/>
    <w:rsid w:val="0092434C"/>
    <w:rsid w:val="00924DAC"/>
    <w:rsid w:val="00927058"/>
    <w:rsid w:val="00927E93"/>
    <w:rsid w:val="009302A9"/>
    <w:rsid w:val="00932A01"/>
    <w:rsid w:val="00942750"/>
    <w:rsid w:val="00942C24"/>
    <w:rsid w:val="00942C66"/>
    <w:rsid w:val="00942E72"/>
    <w:rsid w:val="0094485E"/>
    <w:rsid w:val="009450CE"/>
    <w:rsid w:val="009459BB"/>
    <w:rsid w:val="00947179"/>
    <w:rsid w:val="00947465"/>
    <w:rsid w:val="0095164B"/>
    <w:rsid w:val="00954090"/>
    <w:rsid w:val="009573E7"/>
    <w:rsid w:val="00963E05"/>
    <w:rsid w:val="00964A45"/>
    <w:rsid w:val="00967843"/>
    <w:rsid w:val="00967D54"/>
    <w:rsid w:val="00971028"/>
    <w:rsid w:val="009740A9"/>
    <w:rsid w:val="00993B84"/>
    <w:rsid w:val="00994C6A"/>
    <w:rsid w:val="00996483"/>
    <w:rsid w:val="00996F5A"/>
    <w:rsid w:val="009A18D5"/>
    <w:rsid w:val="009B041A"/>
    <w:rsid w:val="009B0834"/>
    <w:rsid w:val="009B7607"/>
    <w:rsid w:val="009C37C3"/>
    <w:rsid w:val="009C7826"/>
    <w:rsid w:val="009C7C86"/>
    <w:rsid w:val="009D2FF7"/>
    <w:rsid w:val="009E747A"/>
    <w:rsid w:val="009E7884"/>
    <w:rsid w:val="009E788A"/>
    <w:rsid w:val="009E7EA8"/>
    <w:rsid w:val="009F0E08"/>
    <w:rsid w:val="009F1C95"/>
    <w:rsid w:val="00A04E79"/>
    <w:rsid w:val="00A079AE"/>
    <w:rsid w:val="00A1763D"/>
    <w:rsid w:val="00A17CEC"/>
    <w:rsid w:val="00A27EF0"/>
    <w:rsid w:val="00A3186A"/>
    <w:rsid w:val="00A363EC"/>
    <w:rsid w:val="00A42361"/>
    <w:rsid w:val="00A46D01"/>
    <w:rsid w:val="00A46DA6"/>
    <w:rsid w:val="00A50B20"/>
    <w:rsid w:val="00A51390"/>
    <w:rsid w:val="00A60D13"/>
    <w:rsid w:val="00A63778"/>
    <w:rsid w:val="00A675DF"/>
    <w:rsid w:val="00A7223D"/>
    <w:rsid w:val="00A72745"/>
    <w:rsid w:val="00A73A3B"/>
    <w:rsid w:val="00A76B87"/>
    <w:rsid w:val="00A76EFC"/>
    <w:rsid w:val="00A80AE0"/>
    <w:rsid w:val="00A83E14"/>
    <w:rsid w:val="00A859A1"/>
    <w:rsid w:val="00A85DFF"/>
    <w:rsid w:val="00A87D50"/>
    <w:rsid w:val="00A91010"/>
    <w:rsid w:val="00A947DD"/>
    <w:rsid w:val="00A9766A"/>
    <w:rsid w:val="00A97F29"/>
    <w:rsid w:val="00AA173E"/>
    <w:rsid w:val="00AA2165"/>
    <w:rsid w:val="00AA702E"/>
    <w:rsid w:val="00AA71D0"/>
    <w:rsid w:val="00AA7D26"/>
    <w:rsid w:val="00AB0964"/>
    <w:rsid w:val="00AB3F7E"/>
    <w:rsid w:val="00AB5011"/>
    <w:rsid w:val="00AC07AF"/>
    <w:rsid w:val="00AC7368"/>
    <w:rsid w:val="00AD07B2"/>
    <w:rsid w:val="00AD16B9"/>
    <w:rsid w:val="00AD4D4F"/>
    <w:rsid w:val="00AE377D"/>
    <w:rsid w:val="00AF0EBA"/>
    <w:rsid w:val="00AF1BC7"/>
    <w:rsid w:val="00AF2463"/>
    <w:rsid w:val="00AF26CD"/>
    <w:rsid w:val="00AF35B8"/>
    <w:rsid w:val="00B02C8A"/>
    <w:rsid w:val="00B12251"/>
    <w:rsid w:val="00B1438C"/>
    <w:rsid w:val="00B17FBD"/>
    <w:rsid w:val="00B2596B"/>
    <w:rsid w:val="00B26C5D"/>
    <w:rsid w:val="00B30058"/>
    <w:rsid w:val="00B315A6"/>
    <w:rsid w:val="00B31813"/>
    <w:rsid w:val="00B33365"/>
    <w:rsid w:val="00B35E54"/>
    <w:rsid w:val="00B57B36"/>
    <w:rsid w:val="00B57E6F"/>
    <w:rsid w:val="00B61983"/>
    <w:rsid w:val="00B623A3"/>
    <w:rsid w:val="00B66A5C"/>
    <w:rsid w:val="00B72FEC"/>
    <w:rsid w:val="00B84195"/>
    <w:rsid w:val="00B8686D"/>
    <w:rsid w:val="00B93F69"/>
    <w:rsid w:val="00B945E1"/>
    <w:rsid w:val="00B95872"/>
    <w:rsid w:val="00B9795F"/>
    <w:rsid w:val="00BA5990"/>
    <w:rsid w:val="00BA64B7"/>
    <w:rsid w:val="00BB14C5"/>
    <w:rsid w:val="00BB1DDC"/>
    <w:rsid w:val="00BB38EF"/>
    <w:rsid w:val="00BC21F2"/>
    <w:rsid w:val="00BC2368"/>
    <w:rsid w:val="00BC30C9"/>
    <w:rsid w:val="00BC41CC"/>
    <w:rsid w:val="00BD077D"/>
    <w:rsid w:val="00BD28E2"/>
    <w:rsid w:val="00BD6A6C"/>
    <w:rsid w:val="00BE30AE"/>
    <w:rsid w:val="00BE3E58"/>
    <w:rsid w:val="00BE752B"/>
    <w:rsid w:val="00BF13CE"/>
    <w:rsid w:val="00BF1CBC"/>
    <w:rsid w:val="00BF7F55"/>
    <w:rsid w:val="00C01616"/>
    <w:rsid w:val="00C0162B"/>
    <w:rsid w:val="00C041C1"/>
    <w:rsid w:val="00C068ED"/>
    <w:rsid w:val="00C137CE"/>
    <w:rsid w:val="00C22E0C"/>
    <w:rsid w:val="00C31B4B"/>
    <w:rsid w:val="00C345B1"/>
    <w:rsid w:val="00C40142"/>
    <w:rsid w:val="00C44B00"/>
    <w:rsid w:val="00C46177"/>
    <w:rsid w:val="00C52C3C"/>
    <w:rsid w:val="00C55DC9"/>
    <w:rsid w:val="00C57182"/>
    <w:rsid w:val="00C57863"/>
    <w:rsid w:val="00C640AF"/>
    <w:rsid w:val="00C655FD"/>
    <w:rsid w:val="00C72B83"/>
    <w:rsid w:val="00C75407"/>
    <w:rsid w:val="00C769BD"/>
    <w:rsid w:val="00C841C6"/>
    <w:rsid w:val="00C85A13"/>
    <w:rsid w:val="00C870A8"/>
    <w:rsid w:val="00C87D55"/>
    <w:rsid w:val="00C94434"/>
    <w:rsid w:val="00C94573"/>
    <w:rsid w:val="00CA0D75"/>
    <w:rsid w:val="00CA1C95"/>
    <w:rsid w:val="00CA5A9C"/>
    <w:rsid w:val="00CB67BF"/>
    <w:rsid w:val="00CB6DCA"/>
    <w:rsid w:val="00CC4C20"/>
    <w:rsid w:val="00CD1254"/>
    <w:rsid w:val="00CD12F4"/>
    <w:rsid w:val="00CD3517"/>
    <w:rsid w:val="00CD5FE2"/>
    <w:rsid w:val="00CE7C68"/>
    <w:rsid w:val="00CF6FBF"/>
    <w:rsid w:val="00CF7D09"/>
    <w:rsid w:val="00D02B4C"/>
    <w:rsid w:val="00D040C4"/>
    <w:rsid w:val="00D12883"/>
    <w:rsid w:val="00D14B9B"/>
    <w:rsid w:val="00D20AD1"/>
    <w:rsid w:val="00D24134"/>
    <w:rsid w:val="00D2582C"/>
    <w:rsid w:val="00D2642B"/>
    <w:rsid w:val="00D31B0B"/>
    <w:rsid w:val="00D4645C"/>
    <w:rsid w:val="00D46B7E"/>
    <w:rsid w:val="00D54F7C"/>
    <w:rsid w:val="00D55713"/>
    <w:rsid w:val="00D57C84"/>
    <w:rsid w:val="00D6057D"/>
    <w:rsid w:val="00D64628"/>
    <w:rsid w:val="00D71640"/>
    <w:rsid w:val="00D73C09"/>
    <w:rsid w:val="00D836C5"/>
    <w:rsid w:val="00D84576"/>
    <w:rsid w:val="00DA1399"/>
    <w:rsid w:val="00DA24C6"/>
    <w:rsid w:val="00DA4D7B"/>
    <w:rsid w:val="00DA7438"/>
    <w:rsid w:val="00DB2953"/>
    <w:rsid w:val="00DB6576"/>
    <w:rsid w:val="00DC2840"/>
    <w:rsid w:val="00DC73EE"/>
    <w:rsid w:val="00DD2468"/>
    <w:rsid w:val="00DD271C"/>
    <w:rsid w:val="00DD2A72"/>
    <w:rsid w:val="00DD7664"/>
    <w:rsid w:val="00DE264A"/>
    <w:rsid w:val="00DE4B04"/>
    <w:rsid w:val="00DF4EEC"/>
    <w:rsid w:val="00DF5072"/>
    <w:rsid w:val="00DF74FA"/>
    <w:rsid w:val="00E02D18"/>
    <w:rsid w:val="00E041E7"/>
    <w:rsid w:val="00E0570F"/>
    <w:rsid w:val="00E22E0B"/>
    <w:rsid w:val="00E23CA1"/>
    <w:rsid w:val="00E324E7"/>
    <w:rsid w:val="00E409A8"/>
    <w:rsid w:val="00E42976"/>
    <w:rsid w:val="00E50C12"/>
    <w:rsid w:val="00E515FF"/>
    <w:rsid w:val="00E52A73"/>
    <w:rsid w:val="00E55F72"/>
    <w:rsid w:val="00E60E4C"/>
    <w:rsid w:val="00E65B91"/>
    <w:rsid w:val="00E665DE"/>
    <w:rsid w:val="00E7209D"/>
    <w:rsid w:val="00E72EAD"/>
    <w:rsid w:val="00E749BF"/>
    <w:rsid w:val="00E77223"/>
    <w:rsid w:val="00E81F55"/>
    <w:rsid w:val="00E8528B"/>
    <w:rsid w:val="00E85B94"/>
    <w:rsid w:val="00E9082E"/>
    <w:rsid w:val="00E93854"/>
    <w:rsid w:val="00E978D0"/>
    <w:rsid w:val="00EA0732"/>
    <w:rsid w:val="00EA0C8C"/>
    <w:rsid w:val="00EA4613"/>
    <w:rsid w:val="00EA7F91"/>
    <w:rsid w:val="00EB1523"/>
    <w:rsid w:val="00EB3984"/>
    <w:rsid w:val="00EB7E0F"/>
    <w:rsid w:val="00EC0E49"/>
    <w:rsid w:val="00EC101F"/>
    <w:rsid w:val="00EC1D9F"/>
    <w:rsid w:val="00EC1F1D"/>
    <w:rsid w:val="00EC2FDF"/>
    <w:rsid w:val="00ED009A"/>
    <w:rsid w:val="00EE0131"/>
    <w:rsid w:val="00EE17B0"/>
    <w:rsid w:val="00EE1DFB"/>
    <w:rsid w:val="00EE6F11"/>
    <w:rsid w:val="00EF06D9"/>
    <w:rsid w:val="00F005E4"/>
    <w:rsid w:val="00F03EC8"/>
    <w:rsid w:val="00F14285"/>
    <w:rsid w:val="00F15CCB"/>
    <w:rsid w:val="00F15E61"/>
    <w:rsid w:val="00F22EA9"/>
    <w:rsid w:val="00F27EE4"/>
    <w:rsid w:val="00F3049E"/>
    <w:rsid w:val="00F30C64"/>
    <w:rsid w:val="00F32BA2"/>
    <w:rsid w:val="00F32CDB"/>
    <w:rsid w:val="00F35054"/>
    <w:rsid w:val="00F40DDF"/>
    <w:rsid w:val="00F41EE4"/>
    <w:rsid w:val="00F45C35"/>
    <w:rsid w:val="00F565FE"/>
    <w:rsid w:val="00F56818"/>
    <w:rsid w:val="00F615DB"/>
    <w:rsid w:val="00F63A70"/>
    <w:rsid w:val="00F63D8C"/>
    <w:rsid w:val="00F73463"/>
    <w:rsid w:val="00F7534E"/>
    <w:rsid w:val="00F937DE"/>
    <w:rsid w:val="00F93EDF"/>
    <w:rsid w:val="00F94EBB"/>
    <w:rsid w:val="00F95FC9"/>
    <w:rsid w:val="00FA1802"/>
    <w:rsid w:val="00FA1DAA"/>
    <w:rsid w:val="00FA21D0"/>
    <w:rsid w:val="00FA5F5F"/>
    <w:rsid w:val="00FB4EE6"/>
    <w:rsid w:val="00FB64DD"/>
    <w:rsid w:val="00FB730C"/>
    <w:rsid w:val="00FB7B2E"/>
    <w:rsid w:val="00FC2695"/>
    <w:rsid w:val="00FC3E03"/>
    <w:rsid w:val="00FC3FC1"/>
    <w:rsid w:val="00FD52FA"/>
    <w:rsid w:val="00FE0038"/>
    <w:rsid w:val="00FF0571"/>
    <w:rsid w:val="00FF66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B6DCA"/>
    <w:pPr>
      <w:keepNext/>
      <w:numPr>
        <w:ilvl w:val="2"/>
        <w:numId w:val="1"/>
      </w:numPr>
      <w:suppressAutoHyphens/>
      <w:spacing w:before="120" w:after="120" w:line="240" w:lineRule="auto"/>
    </w:pPr>
    <w:rPr>
      <w:rFonts w:ascii="Arial" w:eastAsiaTheme="minorEastAsia"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B6DCA"/>
    <w:rPr>
      <w:rFonts w:ascii="Arial" w:eastAsiaTheme="minorEastAsia"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811727"/>
    <w:rPr>
      <w:color w:val="605E5C"/>
      <w:shd w:val="clear" w:color="auto" w:fill="E1DFDD"/>
    </w:rPr>
  </w:style>
  <w:style w:type="character" w:styleId="Enfasicorsivo">
    <w:name w:val="Emphasis"/>
    <w:basedOn w:val="Carpredefinitoparagrafo"/>
    <w:uiPriority w:val="20"/>
    <w:qFormat/>
    <w:rsid w:val="007F5253"/>
    <w:rPr>
      <w:i/>
      <w:iCs/>
    </w:rPr>
  </w:style>
  <w:style w:type="paragraph" w:styleId="Revisione">
    <w:name w:val="Revision"/>
    <w:hidden/>
    <w:uiPriority w:val="99"/>
    <w:semiHidden/>
    <w:rsid w:val="00283151"/>
    <w:pPr>
      <w:spacing w:after="0" w:line="240" w:lineRule="auto"/>
    </w:pPr>
    <w:rPr>
      <w:rFonts w:ascii="Arial" w:eastAsia="Times New Roman" w:hAnsi="Arial" w:cs="Times New Roman"/>
      <w:sz w:val="18"/>
      <w:szCs w:val="20"/>
      <w:lang w:val="en-GB"/>
    </w:rPr>
  </w:style>
  <w:style w:type="character" w:styleId="Enfasigrassetto">
    <w:name w:val="Strong"/>
    <w:basedOn w:val="Carpredefinitoparagrafo"/>
    <w:uiPriority w:val="22"/>
    <w:qFormat/>
    <w:rsid w:val="00811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9642">
      <w:bodyDiv w:val="1"/>
      <w:marLeft w:val="0"/>
      <w:marRight w:val="0"/>
      <w:marTop w:val="0"/>
      <w:marBottom w:val="0"/>
      <w:divBdr>
        <w:top w:val="none" w:sz="0" w:space="0" w:color="auto"/>
        <w:left w:val="none" w:sz="0" w:space="0" w:color="auto"/>
        <w:bottom w:val="none" w:sz="0" w:space="0" w:color="auto"/>
        <w:right w:val="none" w:sz="0" w:space="0" w:color="auto"/>
      </w:divBdr>
      <w:divsChild>
        <w:div w:id="1959749509">
          <w:marLeft w:val="547"/>
          <w:marRight w:val="0"/>
          <w:marTop w:val="0"/>
          <w:marBottom w:val="0"/>
          <w:divBdr>
            <w:top w:val="none" w:sz="0" w:space="0" w:color="auto"/>
            <w:left w:val="none" w:sz="0" w:space="0" w:color="auto"/>
            <w:bottom w:val="none" w:sz="0" w:space="0" w:color="auto"/>
            <w:right w:val="none" w:sz="0" w:space="0" w:color="auto"/>
          </w:divBdr>
        </w:div>
      </w:divsChild>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55216838">
      <w:bodyDiv w:val="1"/>
      <w:marLeft w:val="0"/>
      <w:marRight w:val="0"/>
      <w:marTop w:val="0"/>
      <w:marBottom w:val="0"/>
      <w:divBdr>
        <w:top w:val="none" w:sz="0" w:space="0" w:color="auto"/>
        <w:left w:val="none" w:sz="0" w:space="0" w:color="auto"/>
        <w:bottom w:val="none" w:sz="0" w:space="0" w:color="auto"/>
        <w:right w:val="none" w:sz="0" w:space="0" w:color="auto"/>
      </w:divBdr>
    </w:div>
    <w:div w:id="396167490">
      <w:bodyDiv w:val="1"/>
      <w:marLeft w:val="0"/>
      <w:marRight w:val="0"/>
      <w:marTop w:val="0"/>
      <w:marBottom w:val="0"/>
      <w:divBdr>
        <w:top w:val="none" w:sz="0" w:space="0" w:color="auto"/>
        <w:left w:val="none" w:sz="0" w:space="0" w:color="auto"/>
        <w:bottom w:val="none" w:sz="0" w:space="0" w:color="auto"/>
        <w:right w:val="none" w:sz="0" w:space="0" w:color="auto"/>
      </w:divBdr>
      <w:divsChild>
        <w:div w:id="1164052678">
          <w:marLeft w:val="0"/>
          <w:marRight w:val="0"/>
          <w:marTop w:val="0"/>
          <w:marBottom w:val="0"/>
          <w:divBdr>
            <w:top w:val="none" w:sz="0" w:space="0" w:color="auto"/>
            <w:left w:val="none" w:sz="0" w:space="0" w:color="auto"/>
            <w:bottom w:val="none" w:sz="0" w:space="0" w:color="auto"/>
            <w:right w:val="none" w:sz="0" w:space="0" w:color="auto"/>
          </w:divBdr>
          <w:divsChild>
            <w:div w:id="923341113">
              <w:marLeft w:val="0"/>
              <w:marRight w:val="0"/>
              <w:marTop w:val="0"/>
              <w:marBottom w:val="0"/>
              <w:divBdr>
                <w:top w:val="none" w:sz="0" w:space="0" w:color="auto"/>
                <w:left w:val="none" w:sz="0" w:space="0" w:color="auto"/>
                <w:bottom w:val="none" w:sz="0" w:space="0" w:color="auto"/>
                <w:right w:val="none" w:sz="0" w:space="0" w:color="auto"/>
              </w:divBdr>
              <w:divsChild>
                <w:div w:id="1678121310">
                  <w:marLeft w:val="0"/>
                  <w:marRight w:val="0"/>
                  <w:marTop w:val="0"/>
                  <w:marBottom w:val="0"/>
                  <w:divBdr>
                    <w:top w:val="none" w:sz="0" w:space="0" w:color="auto"/>
                    <w:left w:val="none" w:sz="0" w:space="0" w:color="auto"/>
                    <w:bottom w:val="none" w:sz="0" w:space="0" w:color="auto"/>
                    <w:right w:val="none" w:sz="0" w:space="0" w:color="auto"/>
                  </w:divBdr>
                  <w:divsChild>
                    <w:div w:id="1816335878">
                      <w:marLeft w:val="0"/>
                      <w:marRight w:val="0"/>
                      <w:marTop w:val="0"/>
                      <w:marBottom w:val="0"/>
                      <w:divBdr>
                        <w:top w:val="none" w:sz="0" w:space="0" w:color="auto"/>
                        <w:left w:val="none" w:sz="0" w:space="0" w:color="auto"/>
                        <w:bottom w:val="none" w:sz="0" w:space="0" w:color="auto"/>
                        <w:right w:val="none" w:sz="0" w:space="0" w:color="auto"/>
                      </w:divBdr>
                      <w:divsChild>
                        <w:div w:id="1375615713">
                          <w:marLeft w:val="0"/>
                          <w:marRight w:val="0"/>
                          <w:marTop w:val="0"/>
                          <w:marBottom w:val="0"/>
                          <w:divBdr>
                            <w:top w:val="none" w:sz="0" w:space="0" w:color="auto"/>
                            <w:left w:val="none" w:sz="0" w:space="0" w:color="auto"/>
                            <w:bottom w:val="none" w:sz="0" w:space="0" w:color="auto"/>
                            <w:right w:val="none" w:sz="0" w:space="0" w:color="auto"/>
                          </w:divBdr>
                          <w:divsChild>
                            <w:div w:id="517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4256">
      <w:bodyDiv w:val="1"/>
      <w:marLeft w:val="0"/>
      <w:marRight w:val="0"/>
      <w:marTop w:val="0"/>
      <w:marBottom w:val="0"/>
      <w:divBdr>
        <w:top w:val="none" w:sz="0" w:space="0" w:color="auto"/>
        <w:left w:val="none" w:sz="0" w:space="0" w:color="auto"/>
        <w:bottom w:val="none" w:sz="0" w:space="0" w:color="auto"/>
        <w:right w:val="none" w:sz="0" w:space="0" w:color="auto"/>
      </w:divBdr>
      <w:divsChild>
        <w:div w:id="1276672666">
          <w:marLeft w:val="547"/>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231671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91852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ervizimoka.regione.emilia-romagna.it/mokaApp/apps/DA/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3139</Words>
  <Characters>17898</Characters>
  <Application>Microsoft Office Word</Application>
  <DocSecurity>0</DocSecurity>
  <Lines>149</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2025-02-27T08:40:00Z</dcterms:created>
  <dcterms:modified xsi:type="dcterms:W3CDTF">2025-04-16T11:39:00Z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