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30F07041" w14:textId="11182ABA" w:rsidR="00F27EE4" w:rsidRPr="00F27EE4" w:rsidRDefault="00AA7D26" w:rsidP="00F27EE4">
            <w:pPr>
              <w:ind w:left="-107"/>
              <w:rPr>
                <w:rFonts w:ascii="Tahoma" w:hAnsi="Tahoma" w:cs="Tahoma"/>
                <w:b/>
                <w:bCs/>
                <w:color w:val="000000"/>
                <w:sz w:val="14"/>
                <w:szCs w:val="14"/>
                <w:shd w:val="clear" w:color="auto" w:fill="FFFFFF"/>
                <w:lang w:val="it-IT"/>
              </w:rPr>
            </w:pPr>
            <w:r w:rsidRPr="00F27EE4">
              <w:rPr>
                <w:rFonts w:ascii="Tahoma" w:hAnsi="Tahoma" w:cs="Tahoma"/>
                <w:iCs/>
                <w:color w:val="333333"/>
                <w:sz w:val="14"/>
                <w:szCs w:val="14"/>
                <w:lang w:val="it-IT" w:eastAsia="it-IT"/>
              </w:rPr>
              <w:t>Guest Editors:</w:t>
            </w:r>
            <w:r w:rsidR="007D610D" w:rsidRPr="00F27EE4">
              <w:rPr>
                <w:rFonts w:ascii="Aptos" w:eastAsiaTheme="minorHAnsi" w:hAnsi="Aptos" w:cs="Aptos"/>
                <w:sz w:val="22"/>
                <w:szCs w:val="22"/>
                <w:lang w:val="it-IT"/>
                <w14:ligatures w14:val="standardContextual"/>
              </w:rPr>
              <w:t xml:space="preserve"> </w:t>
            </w:r>
            <w:r w:rsidR="00F27EE4" w:rsidRPr="00F27EE4">
              <w:rPr>
                <w:rFonts w:ascii="Tahoma" w:hAnsi="Tahoma" w:cs="Tahoma"/>
                <w:color w:val="000000"/>
                <w:sz w:val="14"/>
                <w:szCs w:val="14"/>
                <w:shd w:val="clear" w:color="auto" w:fill="FFFFFF"/>
                <w:lang w:val="it-IT"/>
              </w:rPr>
              <w:t>Bruno Fabiano, Va</w:t>
            </w:r>
            <w:r w:rsidR="00F27EE4">
              <w:rPr>
                <w:rFonts w:ascii="Tahoma" w:hAnsi="Tahoma" w:cs="Tahoma"/>
                <w:color w:val="000000"/>
                <w:sz w:val="14"/>
                <w:szCs w:val="14"/>
                <w:shd w:val="clear" w:color="auto" w:fill="FFFFFF"/>
                <w:lang w:val="it-IT"/>
              </w:rPr>
              <w:t>lerio Cozzani</w:t>
            </w:r>
          </w:p>
          <w:p w14:paraId="1B0F1814" w14:textId="2DB8A07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F27EE4">
              <w:rPr>
                <w:rFonts w:ascii="Tahoma" w:hAnsi="Tahoma" w:cs="Tahoma"/>
                <w:sz w:val="14"/>
                <w:szCs w:val="14"/>
              </w:rPr>
              <w:t>xx-y</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0F18FCD5" w:rsidR="00E978D0" w:rsidRPr="00B57B36" w:rsidRDefault="001E4BE9" w:rsidP="00E978D0">
      <w:pPr>
        <w:pStyle w:val="CETTitle"/>
      </w:pPr>
      <w:r>
        <w:t>Evaluation of the potential impact of wildfires on buried natural gas pipelines</w:t>
      </w:r>
    </w:p>
    <w:p w14:paraId="6B2D21B3" w14:textId="071D5151" w:rsidR="00B57E6F" w:rsidRPr="001E4BE9" w:rsidRDefault="001E4BE9" w:rsidP="001E4BE9">
      <w:pPr>
        <w:pStyle w:val="CETAuthors"/>
        <w:rPr>
          <w:lang w:val="fr-FR"/>
        </w:rPr>
      </w:pPr>
      <w:r w:rsidRPr="001E4BE9">
        <w:rPr>
          <w:lang w:val="fr-FR"/>
        </w:rPr>
        <w:t>Dylan</w:t>
      </w:r>
      <w:r w:rsidR="00B57E6F" w:rsidRPr="001E4BE9">
        <w:rPr>
          <w:lang w:val="fr-FR"/>
        </w:rPr>
        <w:t xml:space="preserve"> </w:t>
      </w:r>
      <w:r w:rsidRPr="001E4BE9">
        <w:rPr>
          <w:lang w:val="fr-FR"/>
        </w:rPr>
        <w:t>Bernard</w:t>
      </w:r>
      <w:r w:rsidR="00B57E6F" w:rsidRPr="001E4BE9">
        <w:rPr>
          <w:vertAlign w:val="superscript"/>
          <w:lang w:val="fr-FR"/>
        </w:rPr>
        <w:t>a</w:t>
      </w:r>
      <w:r w:rsidR="00B57E6F" w:rsidRPr="001E4BE9">
        <w:rPr>
          <w:lang w:val="fr-FR"/>
        </w:rPr>
        <w:t>,</w:t>
      </w:r>
      <w:r w:rsidRPr="001E4BE9">
        <w:rPr>
          <w:lang w:val="fr-FR"/>
        </w:rPr>
        <w:t xml:space="preserve"> Clément Chanut</w:t>
      </w:r>
      <w:r w:rsidRPr="001E4BE9">
        <w:rPr>
          <w:vertAlign w:val="superscript"/>
          <w:lang w:val="fr-FR"/>
        </w:rPr>
        <w:t>a</w:t>
      </w:r>
      <w:r w:rsidRPr="001E4BE9">
        <w:rPr>
          <w:lang w:val="fr-FR"/>
        </w:rPr>
        <w:t xml:space="preserve">, </w:t>
      </w:r>
      <w:r w:rsidR="00B57E6F" w:rsidRPr="001E4BE9">
        <w:rPr>
          <w:lang w:val="fr-FR"/>
        </w:rPr>
        <w:t xml:space="preserve"> </w:t>
      </w:r>
      <w:r w:rsidRPr="001E4BE9">
        <w:rPr>
          <w:lang w:val="fr-FR"/>
        </w:rPr>
        <w:t>Vincent</w:t>
      </w:r>
      <w:r w:rsidR="00B57E6F" w:rsidRPr="001E4BE9">
        <w:rPr>
          <w:lang w:val="fr-FR"/>
        </w:rPr>
        <w:t xml:space="preserve"> </w:t>
      </w:r>
      <w:r w:rsidRPr="001E4BE9">
        <w:rPr>
          <w:lang w:val="fr-FR"/>
        </w:rPr>
        <w:t>Blanchetiere</w:t>
      </w:r>
      <w:r w:rsidR="00B57E6F" w:rsidRPr="001E4BE9">
        <w:rPr>
          <w:vertAlign w:val="superscript"/>
          <w:lang w:val="fr-FR"/>
        </w:rPr>
        <w:t>b</w:t>
      </w:r>
      <w:r w:rsidR="00B57E6F" w:rsidRPr="001E4BE9">
        <w:rPr>
          <w:lang w:val="fr-FR"/>
        </w:rPr>
        <w:t xml:space="preserve">, </w:t>
      </w:r>
      <w:r>
        <w:rPr>
          <w:lang w:val="fr-FR"/>
        </w:rPr>
        <w:t>Frédéric</w:t>
      </w:r>
      <w:r w:rsidRPr="001E4BE9">
        <w:rPr>
          <w:lang w:val="fr-FR"/>
        </w:rPr>
        <w:t xml:space="preserve"> </w:t>
      </w:r>
      <w:r>
        <w:rPr>
          <w:lang w:val="fr-FR"/>
        </w:rPr>
        <w:t>Heymes</w:t>
      </w:r>
      <w:r w:rsidRPr="001E4BE9">
        <w:rPr>
          <w:vertAlign w:val="superscript"/>
          <w:lang w:val="fr-FR"/>
        </w:rPr>
        <w:t>a</w:t>
      </w:r>
      <w:r>
        <w:rPr>
          <w:vertAlign w:val="superscript"/>
          <w:lang w:val="fr-FR"/>
        </w:rPr>
        <w:t>*</w:t>
      </w:r>
      <w:r w:rsidRPr="001E4BE9">
        <w:rPr>
          <w:vertAlign w:val="superscript"/>
          <w:lang w:val="fr-FR"/>
        </w:rPr>
        <w:t xml:space="preserve"> </w:t>
      </w:r>
    </w:p>
    <w:p w14:paraId="49FAECAE" w14:textId="25DDDE43" w:rsidR="001E4BE9" w:rsidRPr="001E4BE9" w:rsidRDefault="001E4BE9" w:rsidP="00B57E6F">
      <w:pPr>
        <w:pStyle w:val="CETAddress"/>
        <w:rPr>
          <w:lang w:val="fr-FR"/>
        </w:rPr>
      </w:pPr>
      <w:r w:rsidRPr="001E4BE9">
        <w:rPr>
          <w:vertAlign w:val="superscript"/>
          <w:lang w:val="fr-FR"/>
        </w:rPr>
        <w:t>a</w:t>
      </w:r>
      <w:r w:rsidRPr="001E4BE9">
        <w:rPr>
          <w:lang w:val="fr-FR"/>
        </w:rPr>
        <w:t>Laboratoire des Sciences des Risq</w:t>
      </w:r>
      <w:r>
        <w:rPr>
          <w:lang w:val="fr-FR"/>
        </w:rPr>
        <w:t>ues</w:t>
      </w:r>
      <w:r w:rsidR="00B57E6F" w:rsidRPr="001E4BE9">
        <w:rPr>
          <w:lang w:val="fr-FR"/>
        </w:rPr>
        <w:t>,</w:t>
      </w:r>
      <w:r>
        <w:rPr>
          <w:lang w:val="fr-FR"/>
        </w:rPr>
        <w:t xml:space="preserve"> IMT Mines Alès</w:t>
      </w:r>
      <w:r w:rsidR="00395DC6">
        <w:rPr>
          <w:lang w:val="fr-FR"/>
        </w:rPr>
        <w:t>,</w:t>
      </w:r>
      <w:r w:rsidR="005446B2">
        <w:rPr>
          <w:lang w:val="fr-FR"/>
        </w:rPr>
        <w:t xml:space="preserve"> </w:t>
      </w:r>
      <w:r>
        <w:rPr>
          <w:lang w:val="fr-FR"/>
        </w:rPr>
        <w:t>Alès, France</w:t>
      </w:r>
    </w:p>
    <w:p w14:paraId="3D72B0B0" w14:textId="3908960A" w:rsidR="00B57E6F" w:rsidRPr="00E44DE8" w:rsidRDefault="001E4BE9" w:rsidP="00B57E6F">
      <w:pPr>
        <w:pStyle w:val="CETAddress"/>
      </w:pPr>
      <w:r w:rsidRPr="00E44DE8">
        <w:rPr>
          <w:vertAlign w:val="superscript"/>
        </w:rPr>
        <w:t>b</w:t>
      </w:r>
      <w:r w:rsidRPr="00E44DE8">
        <w:t>Research and Innovation Center for Energy, GRTgaz,</w:t>
      </w:r>
      <w:r w:rsidR="005446B2" w:rsidRPr="00E44DE8">
        <w:t xml:space="preserve"> </w:t>
      </w:r>
      <w:r w:rsidRPr="00E44DE8">
        <w:t>Villeneuve</w:t>
      </w:r>
      <w:r w:rsidR="00395DC6" w:rsidRPr="00E44DE8">
        <w:t>-</w:t>
      </w:r>
      <w:r w:rsidRPr="00E44DE8">
        <w:t>La</w:t>
      </w:r>
      <w:r w:rsidR="00395DC6" w:rsidRPr="00E44DE8">
        <w:t>-</w:t>
      </w:r>
      <w:r w:rsidRPr="00E44DE8">
        <w:t xml:space="preserve">Garenne, France </w:t>
      </w:r>
      <w:r w:rsidR="00B57E6F" w:rsidRPr="00E44DE8">
        <w:t xml:space="preserve"> </w:t>
      </w:r>
    </w:p>
    <w:p w14:paraId="73F1267A" w14:textId="7359A227" w:rsidR="00B57E6F" w:rsidRPr="00603C8E" w:rsidRDefault="001E4BE9" w:rsidP="00B57E6F">
      <w:pPr>
        <w:pStyle w:val="CETemail"/>
      </w:pPr>
      <w:r w:rsidRPr="00603C8E">
        <w:t>frederic.heymes</w:t>
      </w:r>
      <w:r w:rsidR="00B57E6F" w:rsidRPr="00603C8E">
        <w:t>@</w:t>
      </w:r>
      <w:r w:rsidRPr="00603C8E">
        <w:t>mines-ales.fr</w:t>
      </w:r>
    </w:p>
    <w:p w14:paraId="04B319EE" w14:textId="085DED34" w:rsidR="00600535" w:rsidRPr="00FC3F28" w:rsidRDefault="00B8368A" w:rsidP="009D5D6D">
      <w:pPr>
        <w:pStyle w:val="CETBodytext"/>
        <w:rPr>
          <w:lang w:val="en-GB"/>
        </w:rPr>
      </w:pPr>
      <w:bookmarkStart w:id="1" w:name="_Hlk495475023"/>
      <w:r>
        <w:rPr>
          <w:lang w:val="en-GB"/>
        </w:rPr>
        <w:t xml:space="preserve">This study assesses the </w:t>
      </w:r>
      <w:r w:rsidR="00352637">
        <w:rPr>
          <w:lang w:val="en-GB"/>
        </w:rPr>
        <w:t xml:space="preserve">potential </w:t>
      </w:r>
      <w:r>
        <w:rPr>
          <w:lang w:val="en-GB"/>
        </w:rPr>
        <w:t>impact of wildfire</w:t>
      </w:r>
      <w:r w:rsidR="00B37DBD">
        <w:rPr>
          <w:lang w:val="en-GB"/>
        </w:rPr>
        <w:t>s</w:t>
      </w:r>
      <w:r>
        <w:rPr>
          <w:lang w:val="en-GB"/>
        </w:rPr>
        <w:t xml:space="preserve"> on buried natural gas pipelines, a key concern as wildfires become more frequent and intense, particularly in regions where gas infrastructure intersects with wildfire-prone areas.</w:t>
      </w:r>
      <w:r w:rsidR="00FC3F28">
        <w:rPr>
          <w:lang w:val="en-GB"/>
        </w:rPr>
        <w:t xml:space="preserve"> </w:t>
      </w:r>
      <w:r>
        <w:rPr>
          <w:lang w:val="en-GB"/>
        </w:rPr>
        <w:t xml:space="preserve">The aim is to </w:t>
      </w:r>
      <w:r w:rsidR="005446B2">
        <w:rPr>
          <w:lang w:val="en-GB"/>
        </w:rPr>
        <w:t>evaluate</w:t>
      </w:r>
      <w:r>
        <w:rPr>
          <w:lang w:val="en-GB"/>
        </w:rPr>
        <w:t xml:space="preserve"> the thermal effects of </w:t>
      </w:r>
      <w:r w:rsidR="00537648">
        <w:rPr>
          <w:lang w:val="en-GB"/>
        </w:rPr>
        <w:t xml:space="preserve">the </w:t>
      </w:r>
      <w:r>
        <w:rPr>
          <w:lang w:val="en-GB"/>
        </w:rPr>
        <w:t>incident heat flux from wildfire</w:t>
      </w:r>
      <w:r w:rsidR="00B37DBD">
        <w:rPr>
          <w:lang w:val="en-GB"/>
        </w:rPr>
        <w:t>s</w:t>
      </w:r>
      <w:r>
        <w:rPr>
          <w:lang w:val="en-GB"/>
        </w:rPr>
        <w:t xml:space="preserve"> on </w:t>
      </w:r>
      <w:r w:rsidR="00537648">
        <w:rPr>
          <w:lang w:val="en-GB"/>
        </w:rPr>
        <w:t xml:space="preserve">the </w:t>
      </w:r>
      <w:r>
        <w:rPr>
          <w:lang w:val="en-GB"/>
        </w:rPr>
        <w:t>soil above pipelines</w:t>
      </w:r>
      <w:r w:rsidR="00352637">
        <w:rPr>
          <w:lang w:val="en-GB"/>
        </w:rPr>
        <w:t xml:space="preserve"> and the </w:t>
      </w:r>
      <w:r w:rsidR="00537648">
        <w:rPr>
          <w:lang w:val="en-GB"/>
        </w:rPr>
        <w:t>soil temperature distribution</w:t>
      </w:r>
      <w:r w:rsidR="005446B2">
        <w:rPr>
          <w:lang w:val="en-GB"/>
        </w:rPr>
        <w:t>.</w:t>
      </w:r>
      <w:r>
        <w:rPr>
          <w:lang w:val="en-GB"/>
        </w:rPr>
        <w:t xml:space="preserve"> </w:t>
      </w:r>
      <w:r w:rsidR="005446B2">
        <w:rPr>
          <w:lang w:val="en-GB"/>
        </w:rPr>
        <w:t>A</w:t>
      </w:r>
      <w:r>
        <w:rPr>
          <w:lang w:val="en-GB"/>
        </w:rPr>
        <w:t xml:space="preserve"> simplified approach</w:t>
      </w:r>
      <w:r w:rsidR="005446B2">
        <w:rPr>
          <w:lang w:val="en-GB"/>
        </w:rPr>
        <w:t xml:space="preserve"> is used</w:t>
      </w:r>
      <w:r>
        <w:rPr>
          <w:lang w:val="en-GB"/>
        </w:rPr>
        <w:t xml:space="preserve"> for rapid analysis based on hypotheses </w:t>
      </w:r>
      <w:r w:rsidR="00537648">
        <w:rPr>
          <w:lang w:val="en-GB"/>
        </w:rPr>
        <w:t>about</w:t>
      </w:r>
      <w:r>
        <w:rPr>
          <w:lang w:val="en-GB"/>
        </w:rPr>
        <w:t xml:space="preserve"> flame front geometry and </w:t>
      </w:r>
      <w:r w:rsidR="00B37DBD">
        <w:rPr>
          <w:lang w:val="en-GB"/>
        </w:rPr>
        <w:t xml:space="preserve">soil </w:t>
      </w:r>
      <w:r>
        <w:rPr>
          <w:lang w:val="en-GB"/>
        </w:rPr>
        <w:t xml:space="preserve">thermal properties. </w:t>
      </w:r>
      <w:r w:rsidR="00FC3F28">
        <w:rPr>
          <w:lang w:val="en-GB"/>
        </w:rPr>
        <w:t xml:space="preserve">A parametric study </w:t>
      </w:r>
      <w:r w:rsidR="005446B2">
        <w:rPr>
          <w:lang w:val="en-GB"/>
        </w:rPr>
        <w:t>shows</w:t>
      </w:r>
      <w:r w:rsidR="00FC3F28">
        <w:rPr>
          <w:lang w:val="en-GB"/>
        </w:rPr>
        <w:t xml:space="preserve"> that</w:t>
      </w:r>
      <w:r w:rsidR="00537648">
        <w:rPr>
          <w:lang w:val="en-GB"/>
        </w:rPr>
        <w:t xml:space="preserve"> even under</w:t>
      </w:r>
      <w:r w:rsidR="00FC3F28">
        <w:rPr>
          <w:lang w:val="en-GB"/>
        </w:rPr>
        <w:t xml:space="preserve"> worst-case conditions (high incident heat flux and </w:t>
      </w:r>
      <w:r w:rsidR="00B37DBD">
        <w:rPr>
          <w:lang w:val="en-GB"/>
        </w:rPr>
        <w:t>prolonged</w:t>
      </w:r>
      <w:r w:rsidR="00FC3F28">
        <w:rPr>
          <w:lang w:val="en-GB"/>
        </w:rPr>
        <w:t xml:space="preserve"> </w:t>
      </w:r>
      <w:r w:rsidR="00B37DBD">
        <w:rPr>
          <w:lang w:val="en-GB"/>
        </w:rPr>
        <w:t>fire exposure</w:t>
      </w:r>
      <w:r w:rsidR="00FC3F28">
        <w:rPr>
          <w:lang w:val="en-GB"/>
        </w:rPr>
        <w:t xml:space="preserve">), soil temperatures </w:t>
      </w:r>
      <w:r w:rsidR="00537648">
        <w:rPr>
          <w:lang w:val="en-GB"/>
        </w:rPr>
        <w:t xml:space="preserve">at the </w:t>
      </w:r>
      <w:r w:rsidR="00FC3F28">
        <w:rPr>
          <w:lang w:val="en-GB"/>
        </w:rPr>
        <w:t>depth</w:t>
      </w:r>
      <w:r w:rsidR="00537648">
        <w:rPr>
          <w:lang w:val="en-GB"/>
        </w:rPr>
        <w:t xml:space="preserve"> of the pipeline</w:t>
      </w:r>
      <w:r w:rsidR="00FC3F28">
        <w:rPr>
          <w:lang w:val="en-GB"/>
        </w:rPr>
        <w:t xml:space="preserve"> remain below critical</w:t>
      </w:r>
      <w:r w:rsidR="00B37DBD">
        <w:rPr>
          <w:lang w:val="en-GB"/>
        </w:rPr>
        <w:t xml:space="preserve"> </w:t>
      </w:r>
      <w:r w:rsidR="00FC3F28">
        <w:rPr>
          <w:lang w:val="en-GB"/>
        </w:rPr>
        <w:t xml:space="preserve">thresholds. </w:t>
      </w:r>
      <w:r>
        <w:rPr>
          <w:lang w:val="en-GB"/>
        </w:rPr>
        <w:t xml:space="preserve">As a result, the current burial depth standards </w:t>
      </w:r>
      <w:r w:rsidR="00E44DE8">
        <w:rPr>
          <w:lang w:val="en-GB"/>
        </w:rPr>
        <w:t xml:space="preserve">of 0.8 m </w:t>
      </w:r>
      <w:r>
        <w:rPr>
          <w:lang w:val="en-GB"/>
        </w:rPr>
        <w:t xml:space="preserve">provide significant protection against </w:t>
      </w:r>
      <w:r w:rsidR="00E44DE8">
        <w:rPr>
          <w:lang w:val="en-GB"/>
        </w:rPr>
        <w:t xml:space="preserve">hypothetical severe </w:t>
      </w:r>
      <w:r>
        <w:rPr>
          <w:lang w:val="en-GB"/>
        </w:rPr>
        <w:t>thermal damage from wildfires</w:t>
      </w:r>
      <w:r w:rsidR="00E44DE8">
        <w:rPr>
          <w:lang w:val="en-GB"/>
        </w:rPr>
        <w:t>, reinforcing</w:t>
      </w:r>
      <w:r>
        <w:rPr>
          <w:lang w:val="en-GB"/>
        </w:rPr>
        <w:t xml:space="preserve"> their continued effectiveness in safeguarding buried gas facilities in </w:t>
      </w:r>
      <w:r w:rsidR="000375E9">
        <w:rPr>
          <w:lang w:val="en-GB"/>
        </w:rPr>
        <w:t>wildland fire-prone areas</w:t>
      </w:r>
      <w:r>
        <w:rPr>
          <w:lang w:val="en-GB"/>
        </w:rPr>
        <w:t>.</w:t>
      </w:r>
      <w:r w:rsidR="00E44DE8">
        <w:rPr>
          <w:lang w:val="en-GB"/>
        </w:rPr>
        <w:t xml:space="preserve"> </w:t>
      </w:r>
      <w:r w:rsidR="00822D18">
        <w:rPr>
          <w:lang w:val="en-GB"/>
        </w:rPr>
        <w:t xml:space="preserve">This conclusion appears to be theoretically validated in scenarios where the maintenance strip is properly maintained. Further studies will be </w:t>
      </w:r>
      <w:r w:rsidR="00D7211C">
        <w:rPr>
          <w:lang w:val="en-GB"/>
        </w:rPr>
        <w:t>conducted</w:t>
      </w:r>
      <w:r w:rsidR="00822D18">
        <w:rPr>
          <w:lang w:val="en-GB"/>
        </w:rPr>
        <w:t xml:space="preserve"> to examine the opposite situation, i.e., where no cleared maintenance strip is present. </w:t>
      </w:r>
    </w:p>
    <w:bookmarkEnd w:id="1"/>
    <w:p w14:paraId="476B2F2E" w14:textId="52B36035" w:rsidR="00600535" w:rsidRDefault="00600535" w:rsidP="00600535">
      <w:pPr>
        <w:pStyle w:val="CETHeading1"/>
        <w:rPr>
          <w:lang w:val="en-GB"/>
        </w:rPr>
      </w:pPr>
      <w:r w:rsidRPr="00B57B36">
        <w:rPr>
          <w:lang w:val="en-GB"/>
        </w:rPr>
        <w:t>Introduction</w:t>
      </w:r>
    </w:p>
    <w:p w14:paraId="50FD8F0B" w14:textId="2E33661A" w:rsidR="006C0CE3" w:rsidRDefault="00395DC6" w:rsidP="009D5D6D">
      <w:pPr>
        <w:pStyle w:val="CETBodytext"/>
        <w:rPr>
          <w:color w:val="000000" w:themeColor="text1"/>
          <w:lang w:val="en-GB"/>
        </w:rPr>
      </w:pPr>
      <w:r w:rsidRPr="004E045F">
        <w:rPr>
          <w:color w:val="000000" w:themeColor="text1"/>
          <w:lang w:val="en-GB"/>
        </w:rPr>
        <w:t xml:space="preserve">Wildfires are increasingly frequent and severe, posing a threat not only to natural </w:t>
      </w:r>
      <w:r w:rsidR="0067490E">
        <w:rPr>
          <w:color w:val="000000" w:themeColor="text1"/>
          <w:lang w:val="en-GB"/>
        </w:rPr>
        <w:t>ecosystems</w:t>
      </w:r>
      <w:r w:rsidRPr="004E045F">
        <w:rPr>
          <w:color w:val="000000" w:themeColor="text1"/>
          <w:lang w:val="en-GB"/>
        </w:rPr>
        <w:t xml:space="preserve"> but also </w:t>
      </w:r>
      <w:r w:rsidR="0067490E">
        <w:rPr>
          <w:color w:val="000000" w:themeColor="text1"/>
          <w:lang w:val="en-GB"/>
        </w:rPr>
        <w:t xml:space="preserve">to </w:t>
      </w:r>
      <w:r w:rsidRPr="004E045F">
        <w:rPr>
          <w:color w:val="000000" w:themeColor="text1"/>
          <w:lang w:val="en-GB"/>
        </w:rPr>
        <w:t xml:space="preserve">critical infrastructure, including gas </w:t>
      </w:r>
      <w:r w:rsidRPr="00822D18">
        <w:rPr>
          <w:color w:val="000000" w:themeColor="text1"/>
          <w:lang w:val="en-GB"/>
        </w:rPr>
        <w:t>facilities</w:t>
      </w:r>
      <w:r w:rsidR="00822D18">
        <w:rPr>
          <w:color w:val="000000" w:themeColor="text1"/>
          <w:lang w:val="en-GB"/>
        </w:rPr>
        <w:t xml:space="preserve"> (Ricci et al., 2021)</w:t>
      </w:r>
      <w:r w:rsidRPr="00822D18">
        <w:rPr>
          <w:color w:val="000000" w:themeColor="text1"/>
          <w:lang w:val="en-GB"/>
        </w:rPr>
        <w:t xml:space="preserve">. </w:t>
      </w:r>
      <w:r w:rsidRPr="004E045F">
        <w:rPr>
          <w:color w:val="000000" w:themeColor="text1"/>
          <w:lang w:val="en-GB"/>
        </w:rPr>
        <w:t>While much research has focused on the wildland-urban interface</w:t>
      </w:r>
      <w:r w:rsidR="002D2379" w:rsidRPr="004E045F">
        <w:rPr>
          <w:color w:val="000000" w:themeColor="text1"/>
          <w:lang w:val="en-GB"/>
        </w:rPr>
        <w:t xml:space="preserve"> </w:t>
      </w:r>
      <w:r w:rsidRPr="004E045F">
        <w:rPr>
          <w:color w:val="000000" w:themeColor="text1"/>
          <w:lang w:val="en-GB"/>
        </w:rPr>
        <w:t>to establish safe distances to protect homes and people from wildfires</w:t>
      </w:r>
      <w:r w:rsidR="00101209" w:rsidRPr="004E045F">
        <w:rPr>
          <w:color w:val="000000" w:themeColor="text1"/>
          <w:lang w:val="en-GB"/>
        </w:rPr>
        <w:t xml:space="preserve"> (Billaud et al., 2010; Zarate et al., 2008)</w:t>
      </w:r>
      <w:r w:rsidRPr="004E045F">
        <w:rPr>
          <w:color w:val="000000" w:themeColor="text1"/>
          <w:lang w:val="en-GB"/>
        </w:rPr>
        <w:t>, relatively little has been done to assess the impact</w:t>
      </w:r>
      <w:r w:rsidR="000375E9">
        <w:rPr>
          <w:color w:val="000000" w:themeColor="text1"/>
          <w:lang w:val="en-GB"/>
        </w:rPr>
        <w:t>s</w:t>
      </w:r>
      <w:r w:rsidRPr="004E045F">
        <w:rPr>
          <w:color w:val="000000" w:themeColor="text1"/>
          <w:lang w:val="en-GB"/>
        </w:rPr>
        <w:t xml:space="preserve"> of wildfire</w:t>
      </w:r>
      <w:r w:rsidR="001C44C7">
        <w:rPr>
          <w:color w:val="000000" w:themeColor="text1"/>
          <w:lang w:val="en-GB"/>
        </w:rPr>
        <w:t>s</w:t>
      </w:r>
      <w:r w:rsidRPr="004E045F">
        <w:rPr>
          <w:color w:val="000000" w:themeColor="text1"/>
          <w:lang w:val="en-GB"/>
        </w:rPr>
        <w:t xml:space="preserve"> on gas facilities, such as buried pipelines or aboveground structures (Robinson et al., 2018). </w:t>
      </w:r>
    </w:p>
    <w:p w14:paraId="5074421E" w14:textId="7513323F" w:rsidR="00B45A7C" w:rsidRDefault="00395DC6" w:rsidP="009D5D6D">
      <w:pPr>
        <w:pStyle w:val="CETBodytext"/>
        <w:rPr>
          <w:lang w:val="en-GB"/>
        </w:rPr>
      </w:pPr>
      <w:r>
        <w:rPr>
          <w:lang w:val="en-GB"/>
        </w:rPr>
        <w:t xml:space="preserve">In France, the gas network </w:t>
      </w:r>
      <w:r w:rsidR="000375E9">
        <w:rPr>
          <w:lang w:val="en-GB"/>
        </w:rPr>
        <w:t>includes</w:t>
      </w:r>
      <w:r>
        <w:rPr>
          <w:lang w:val="en-GB"/>
        </w:rPr>
        <w:t xml:space="preserve"> more than 37,600 km of buried pipelines</w:t>
      </w:r>
      <w:r w:rsidR="00E560AD">
        <w:rPr>
          <w:lang w:val="en-GB"/>
        </w:rPr>
        <w:t xml:space="preserve"> and thousands of above</w:t>
      </w:r>
      <w:r w:rsidR="000375E9">
        <w:rPr>
          <w:lang w:val="en-GB"/>
        </w:rPr>
        <w:t>-</w:t>
      </w:r>
      <w:r w:rsidR="00E560AD">
        <w:rPr>
          <w:lang w:val="en-GB"/>
        </w:rPr>
        <w:t>ground natural gas facilities</w:t>
      </w:r>
      <w:r>
        <w:rPr>
          <w:lang w:val="en-GB"/>
        </w:rPr>
        <w:t>, part of which cross forested areas prone to wildfires.</w:t>
      </w:r>
      <w:r w:rsidR="00634CC1">
        <w:rPr>
          <w:lang w:val="en-GB"/>
        </w:rPr>
        <w:t xml:space="preserve"> </w:t>
      </w:r>
      <w:r w:rsidR="00370E34">
        <w:rPr>
          <w:lang w:val="en-GB"/>
        </w:rPr>
        <w:t>Surfaces above buried pipelines are</w:t>
      </w:r>
      <w:r w:rsidR="002D2379">
        <w:rPr>
          <w:lang w:val="en-GB"/>
        </w:rPr>
        <w:t xml:space="preserve"> subject to</w:t>
      </w:r>
      <w:r w:rsidR="00370E34">
        <w:rPr>
          <w:lang w:val="en-GB"/>
        </w:rPr>
        <w:t xml:space="preserve"> </w:t>
      </w:r>
      <w:r w:rsidR="002D2379">
        <w:rPr>
          <w:lang w:val="en-GB"/>
        </w:rPr>
        <w:t>maintenance strips</w:t>
      </w:r>
      <w:r w:rsidR="00370E34">
        <w:rPr>
          <w:lang w:val="en-GB"/>
        </w:rPr>
        <w:t xml:space="preserve">, where the vegetation is </w:t>
      </w:r>
      <w:r w:rsidR="006C0CE3">
        <w:rPr>
          <w:lang w:val="en-GB"/>
        </w:rPr>
        <w:t>cleared</w:t>
      </w:r>
      <w:r w:rsidR="00370E34">
        <w:rPr>
          <w:lang w:val="en-GB"/>
        </w:rPr>
        <w:t xml:space="preserve">, in accordance with </w:t>
      </w:r>
      <w:r w:rsidR="006C0CE3">
        <w:rPr>
          <w:lang w:val="en-GB"/>
        </w:rPr>
        <w:t>standards</w:t>
      </w:r>
      <w:r w:rsidR="00370E34">
        <w:rPr>
          <w:lang w:val="en-GB"/>
        </w:rPr>
        <w:t xml:space="preserve">, to </w:t>
      </w:r>
      <w:r w:rsidR="000375E9">
        <w:rPr>
          <w:lang w:val="en-GB"/>
        </w:rPr>
        <w:t>provide</w:t>
      </w:r>
      <w:r w:rsidR="00370E34">
        <w:rPr>
          <w:lang w:val="en-GB"/>
        </w:rPr>
        <w:t xml:space="preserve"> a </w:t>
      </w:r>
      <w:r w:rsidR="000375E9">
        <w:rPr>
          <w:lang w:val="en-GB"/>
        </w:rPr>
        <w:t xml:space="preserve">constant </w:t>
      </w:r>
      <w:r w:rsidR="00370E34">
        <w:rPr>
          <w:lang w:val="en-GB"/>
        </w:rPr>
        <w:t xml:space="preserve">visual check on the location of installations and </w:t>
      </w:r>
      <w:r w:rsidR="000375E9">
        <w:rPr>
          <w:lang w:val="en-GB"/>
        </w:rPr>
        <w:t xml:space="preserve">to </w:t>
      </w:r>
      <w:r w:rsidR="00370E34">
        <w:rPr>
          <w:lang w:val="en-GB"/>
        </w:rPr>
        <w:t xml:space="preserve">avoid any damage caused </w:t>
      </w:r>
      <w:r w:rsidR="000375E9">
        <w:rPr>
          <w:lang w:val="en-GB"/>
        </w:rPr>
        <w:t>to the pipeline by plant roots</w:t>
      </w:r>
      <w:r w:rsidR="00370E34">
        <w:rPr>
          <w:lang w:val="en-GB"/>
        </w:rPr>
        <w:t>. The frequenc</w:t>
      </w:r>
      <w:r w:rsidR="000375E9">
        <w:rPr>
          <w:lang w:val="en-GB"/>
        </w:rPr>
        <w:t>y</w:t>
      </w:r>
      <w:r w:rsidR="00370E34">
        <w:rPr>
          <w:lang w:val="en-GB"/>
        </w:rPr>
        <w:t xml:space="preserve"> of this </w:t>
      </w:r>
      <w:r w:rsidR="000375E9">
        <w:rPr>
          <w:lang w:val="en-GB"/>
        </w:rPr>
        <w:t>clearing</w:t>
      </w:r>
      <w:r w:rsidR="00370E34">
        <w:rPr>
          <w:lang w:val="en-GB"/>
        </w:rPr>
        <w:t xml:space="preserve"> is always between two and five years, depending on the geographical zone. The </w:t>
      </w:r>
      <w:r w:rsidR="002D2379">
        <w:rPr>
          <w:lang w:val="en-GB"/>
        </w:rPr>
        <w:t xml:space="preserve">width </w:t>
      </w:r>
      <w:r w:rsidR="00370E34">
        <w:rPr>
          <w:lang w:val="en-GB"/>
        </w:rPr>
        <w:t xml:space="preserve">of these strips </w:t>
      </w:r>
      <w:r w:rsidR="000375E9">
        <w:rPr>
          <w:lang w:val="en-GB"/>
        </w:rPr>
        <w:t>depends on the diameter of the pipeline</w:t>
      </w:r>
      <w:r w:rsidR="00FE546D">
        <w:rPr>
          <w:lang w:val="en-GB"/>
        </w:rPr>
        <w:t xml:space="preserve"> ;</w:t>
      </w:r>
      <w:r w:rsidR="00273030">
        <w:rPr>
          <w:lang w:val="en-GB"/>
        </w:rPr>
        <w:t xml:space="preserve"> </w:t>
      </w:r>
      <w:r w:rsidR="000375E9">
        <w:rPr>
          <w:lang w:val="en-GB"/>
        </w:rPr>
        <w:t>the larger the diameter, the greater the width</w:t>
      </w:r>
      <w:r w:rsidR="00FE546D">
        <w:rPr>
          <w:lang w:val="en-GB"/>
        </w:rPr>
        <w:t>.</w:t>
      </w:r>
      <w:r w:rsidR="00273030">
        <w:rPr>
          <w:lang w:val="en-GB"/>
        </w:rPr>
        <w:t xml:space="preserve"> </w:t>
      </w:r>
      <w:r w:rsidR="00FE546D">
        <w:rPr>
          <w:lang w:val="en-GB"/>
        </w:rPr>
        <w:t>F</w:t>
      </w:r>
      <w:r w:rsidR="00273030">
        <w:rPr>
          <w:lang w:val="en-GB"/>
        </w:rPr>
        <w:t xml:space="preserve">or </w:t>
      </w:r>
      <w:r w:rsidR="000375E9">
        <w:rPr>
          <w:lang w:val="en-GB"/>
        </w:rPr>
        <w:t>example</w:t>
      </w:r>
      <w:r w:rsidR="00273030">
        <w:rPr>
          <w:lang w:val="en-GB"/>
        </w:rPr>
        <w:t>, for a nominal diameter between 800 and 1</w:t>
      </w:r>
      <w:r w:rsidR="00F61B1D">
        <w:rPr>
          <w:lang w:val="en-GB"/>
        </w:rPr>
        <w:t>,</w:t>
      </w:r>
      <w:r w:rsidR="00273030">
        <w:rPr>
          <w:lang w:val="en-GB"/>
        </w:rPr>
        <w:t xml:space="preserve">200 mm, the total width </w:t>
      </w:r>
      <w:r w:rsidR="00F61B1D">
        <w:rPr>
          <w:lang w:val="en-GB"/>
        </w:rPr>
        <w:t>must</w:t>
      </w:r>
      <w:r w:rsidR="00273030">
        <w:rPr>
          <w:lang w:val="en-GB"/>
        </w:rPr>
        <w:t xml:space="preserve"> theoretically</w:t>
      </w:r>
      <w:r w:rsidR="000375E9">
        <w:rPr>
          <w:lang w:val="en-GB"/>
        </w:rPr>
        <w:t xml:space="preserve"> be</w:t>
      </w:r>
      <w:r w:rsidR="00273030">
        <w:rPr>
          <w:lang w:val="en-GB"/>
        </w:rPr>
        <w:t xml:space="preserve"> 10 m. Concerning the ground </w:t>
      </w:r>
      <w:r w:rsidR="002D2379">
        <w:rPr>
          <w:lang w:val="en-GB"/>
        </w:rPr>
        <w:t>depth of the pipeline</w:t>
      </w:r>
      <w:r w:rsidR="00273030">
        <w:rPr>
          <w:lang w:val="en-GB"/>
        </w:rPr>
        <w:t>,</w:t>
      </w:r>
      <w:r w:rsidR="002D2379">
        <w:rPr>
          <w:lang w:val="en-GB"/>
        </w:rPr>
        <w:t xml:space="preserve"> </w:t>
      </w:r>
      <w:r w:rsidR="00273030">
        <w:rPr>
          <w:lang w:val="en-GB"/>
        </w:rPr>
        <w:t>th</w:t>
      </w:r>
      <w:r w:rsidR="002D2379">
        <w:rPr>
          <w:lang w:val="en-GB"/>
        </w:rPr>
        <w:t xml:space="preserve">is </w:t>
      </w:r>
      <w:r w:rsidR="00273030">
        <w:rPr>
          <w:lang w:val="en-GB"/>
        </w:rPr>
        <w:t xml:space="preserve">parameter is </w:t>
      </w:r>
      <w:r w:rsidR="002D2379">
        <w:rPr>
          <w:lang w:val="en-GB"/>
        </w:rPr>
        <w:t>maintained to a minimal distance of 0.8 m with a standard that today stand</w:t>
      </w:r>
      <w:r w:rsidR="006C0CE3">
        <w:rPr>
          <w:lang w:val="en-GB"/>
        </w:rPr>
        <w:t>s</w:t>
      </w:r>
      <w:r w:rsidR="002D2379">
        <w:rPr>
          <w:lang w:val="en-GB"/>
        </w:rPr>
        <w:t xml:space="preserve"> at 1.2 m. </w:t>
      </w:r>
      <w:r w:rsidR="008A01FF">
        <w:rPr>
          <w:lang w:val="en-GB"/>
        </w:rPr>
        <w:t xml:space="preserve">This distance is measured from the top of the pipeline to the surface. Thus, the pipeline is protected by a large layer of backfill. The backfill consists of </w:t>
      </w:r>
      <w:r w:rsidR="000375E9">
        <w:rPr>
          <w:lang w:val="en-GB"/>
        </w:rPr>
        <w:t xml:space="preserve">preexisting soil that </w:t>
      </w:r>
      <w:r w:rsidR="008A01FF">
        <w:rPr>
          <w:lang w:val="en-GB"/>
        </w:rPr>
        <w:t xml:space="preserve">can be sorted to add fine materials around the pipeline as a priority. </w:t>
      </w:r>
      <w:r w:rsidR="000375E9">
        <w:rPr>
          <w:lang w:val="en-GB"/>
        </w:rPr>
        <w:t>In</w:t>
      </w:r>
      <w:r w:rsidR="008A01FF">
        <w:rPr>
          <w:lang w:val="en-GB"/>
        </w:rPr>
        <w:t xml:space="preserve"> some rare geographical situation</w:t>
      </w:r>
      <w:r w:rsidR="00FE546D">
        <w:rPr>
          <w:lang w:val="en-GB"/>
        </w:rPr>
        <w:t>s</w:t>
      </w:r>
      <w:r w:rsidR="008A01FF">
        <w:rPr>
          <w:lang w:val="en-GB"/>
        </w:rPr>
        <w:t xml:space="preserve">, the backfill around the pipeline </w:t>
      </w:r>
      <w:r w:rsidR="000375E9">
        <w:rPr>
          <w:lang w:val="en-GB"/>
        </w:rPr>
        <w:t xml:space="preserve">may be </w:t>
      </w:r>
      <w:r w:rsidR="008A01FF">
        <w:rPr>
          <w:lang w:val="en-GB"/>
        </w:rPr>
        <w:t>a mix</w:t>
      </w:r>
      <w:r w:rsidR="000375E9">
        <w:rPr>
          <w:lang w:val="en-GB"/>
        </w:rPr>
        <w:t>ture</w:t>
      </w:r>
      <w:r w:rsidR="008A01FF">
        <w:rPr>
          <w:lang w:val="en-GB"/>
        </w:rPr>
        <w:t xml:space="preserve"> of sand and clay. However, for any situation, the surface layer (also called </w:t>
      </w:r>
      <w:r w:rsidR="003D4A15">
        <w:rPr>
          <w:lang w:val="en-GB"/>
        </w:rPr>
        <w:t>topsoil</w:t>
      </w:r>
      <w:r w:rsidR="008A01FF">
        <w:rPr>
          <w:lang w:val="en-GB"/>
        </w:rPr>
        <w:t>) is always restored to its original state</w:t>
      </w:r>
      <w:r w:rsidR="003D4A15">
        <w:rPr>
          <w:lang w:val="en-GB"/>
        </w:rPr>
        <w:t xml:space="preserve">. </w:t>
      </w:r>
      <w:r w:rsidR="002D2379">
        <w:rPr>
          <w:lang w:val="en-GB"/>
        </w:rPr>
        <w:t>A typical view of this configuration is shown in Figure 1</w:t>
      </w:r>
      <w:r w:rsidR="005D33C0">
        <w:rPr>
          <w:lang w:val="en-GB"/>
        </w:rPr>
        <w:t xml:space="preserve"> with a schematic view and an example of a maintenance strip in the south of France that cross</w:t>
      </w:r>
      <w:r w:rsidR="006C0CE3">
        <w:rPr>
          <w:lang w:val="en-GB"/>
        </w:rPr>
        <w:t>es</w:t>
      </w:r>
      <w:r w:rsidR="005D33C0">
        <w:rPr>
          <w:lang w:val="en-GB"/>
        </w:rPr>
        <w:t xml:space="preserve"> a forest</w:t>
      </w:r>
      <w:r w:rsidR="003D4A15">
        <w:rPr>
          <w:lang w:val="en-GB"/>
        </w:rPr>
        <w:t xml:space="preserve">. </w:t>
      </w:r>
    </w:p>
    <w:p w14:paraId="7CC2691D" w14:textId="32865EB3" w:rsidR="006C0CE3" w:rsidRPr="00352637" w:rsidRDefault="006C0CE3" w:rsidP="006C0CE3">
      <w:pPr>
        <w:pStyle w:val="CETBodytext"/>
        <w:rPr>
          <w:color w:val="000000" w:themeColor="text1"/>
          <w:lang w:val="en-GB"/>
        </w:rPr>
      </w:pPr>
      <w:r w:rsidRPr="004E045F">
        <w:rPr>
          <w:color w:val="000000" w:themeColor="text1"/>
          <w:lang w:val="en-GB"/>
        </w:rPr>
        <w:t>As a</w:t>
      </w:r>
      <w:r w:rsidR="000375E9">
        <w:rPr>
          <w:color w:val="000000" w:themeColor="text1"/>
          <w:lang w:val="en-GB"/>
        </w:rPr>
        <w:t xml:space="preserve"> common</w:t>
      </w:r>
      <w:r w:rsidRPr="004E045F">
        <w:rPr>
          <w:color w:val="000000" w:themeColor="text1"/>
          <w:lang w:val="en-GB"/>
        </w:rPr>
        <w:t xml:space="preserve"> approximation, the assess</w:t>
      </w:r>
      <w:r w:rsidR="000375E9">
        <w:rPr>
          <w:color w:val="000000" w:themeColor="text1"/>
          <w:lang w:val="en-GB"/>
        </w:rPr>
        <w:t>ment</w:t>
      </w:r>
      <w:r w:rsidRPr="004E045F">
        <w:rPr>
          <w:color w:val="000000" w:themeColor="text1"/>
          <w:lang w:val="en-GB"/>
        </w:rPr>
        <w:t xml:space="preserve"> of thermal radiation from wildfires is the </w:t>
      </w:r>
      <w:r w:rsidR="000375E9">
        <w:rPr>
          <w:color w:val="000000" w:themeColor="text1"/>
          <w:lang w:val="en-GB"/>
        </w:rPr>
        <w:t>main</w:t>
      </w:r>
      <w:r w:rsidRPr="004E045F">
        <w:rPr>
          <w:color w:val="000000" w:themeColor="text1"/>
          <w:lang w:val="en-GB"/>
        </w:rPr>
        <w:t xml:space="preserve"> parameter that </w:t>
      </w:r>
      <w:r w:rsidR="000375E9">
        <w:rPr>
          <w:color w:val="000000" w:themeColor="text1"/>
          <w:lang w:val="en-GB"/>
        </w:rPr>
        <w:t xml:space="preserve">has </w:t>
      </w:r>
      <w:r w:rsidRPr="004E045F">
        <w:rPr>
          <w:color w:val="000000" w:themeColor="text1"/>
          <w:lang w:val="en-GB"/>
        </w:rPr>
        <w:t xml:space="preserve">led these studies. Indeed, the convective heating during a wildfire </w:t>
      </w:r>
      <w:r>
        <w:rPr>
          <w:color w:val="000000" w:themeColor="text1"/>
          <w:lang w:val="en-GB"/>
        </w:rPr>
        <w:t>has an impact on the</w:t>
      </w:r>
      <w:r w:rsidRPr="004E045F">
        <w:rPr>
          <w:color w:val="000000" w:themeColor="text1"/>
          <w:lang w:val="en-GB"/>
        </w:rPr>
        <w:t xml:space="preserve"> fire propagation rather than impact on structure</w:t>
      </w:r>
      <w:r w:rsidR="00FE546D">
        <w:rPr>
          <w:color w:val="000000" w:themeColor="text1"/>
          <w:lang w:val="en-GB"/>
        </w:rPr>
        <w:t>s</w:t>
      </w:r>
      <w:r w:rsidRPr="004E045F">
        <w:rPr>
          <w:color w:val="000000" w:themeColor="text1"/>
          <w:lang w:val="en-GB"/>
        </w:rPr>
        <w:t xml:space="preserve"> (Heymes et al., 2013). </w:t>
      </w:r>
      <w:r>
        <w:rPr>
          <w:color w:val="000000" w:themeColor="text1"/>
          <w:lang w:val="en-GB"/>
        </w:rPr>
        <w:t>However, a</w:t>
      </w:r>
      <w:r w:rsidRPr="004E045F">
        <w:rPr>
          <w:color w:val="000000" w:themeColor="text1"/>
          <w:lang w:val="en-GB"/>
        </w:rPr>
        <w:t>s highlighted by Butler (2010), after analysis of data collected during the</w:t>
      </w:r>
      <w:r>
        <w:rPr>
          <w:color w:val="000000" w:themeColor="text1"/>
          <w:lang w:val="en-GB"/>
        </w:rPr>
        <w:t xml:space="preserve"> </w:t>
      </w:r>
      <w:r w:rsidRPr="004E045F">
        <w:rPr>
          <w:color w:val="000000" w:themeColor="text1"/>
          <w:lang w:val="en-GB"/>
        </w:rPr>
        <w:t xml:space="preserve">International Crown Fire </w:t>
      </w:r>
      <w:proofErr w:type="spellStart"/>
      <w:r w:rsidRPr="004E045F">
        <w:rPr>
          <w:color w:val="000000" w:themeColor="text1"/>
          <w:lang w:val="en-GB"/>
        </w:rPr>
        <w:t>Modeling</w:t>
      </w:r>
      <w:proofErr w:type="spellEnd"/>
      <w:r w:rsidRPr="004E045F">
        <w:rPr>
          <w:color w:val="000000" w:themeColor="text1"/>
          <w:lang w:val="en-GB"/>
        </w:rPr>
        <w:t xml:space="preserve"> Experiment </w:t>
      </w:r>
      <w:r>
        <w:rPr>
          <w:color w:val="000000" w:themeColor="text1"/>
          <w:lang w:val="en-GB"/>
        </w:rPr>
        <w:t xml:space="preserve">in </w:t>
      </w:r>
      <w:r w:rsidRPr="004E045F">
        <w:rPr>
          <w:color w:val="000000" w:themeColor="text1"/>
          <w:lang w:val="en-GB"/>
        </w:rPr>
        <w:t>1999,</w:t>
      </w:r>
      <w:r w:rsidR="006022B8">
        <w:rPr>
          <w:color w:val="000000" w:themeColor="text1"/>
          <w:lang w:val="en-GB"/>
        </w:rPr>
        <w:t xml:space="preserve"> </w:t>
      </w:r>
      <w:r w:rsidRPr="004E045F">
        <w:rPr>
          <w:color w:val="000000" w:themeColor="text1"/>
          <w:lang w:val="en-GB"/>
        </w:rPr>
        <w:t xml:space="preserve">convective heating reached 150 kW/m² for short durations (5 to 10 seconds) and a sustained flux </w:t>
      </w:r>
      <w:r w:rsidR="00FE546D">
        <w:rPr>
          <w:color w:val="000000" w:themeColor="text1"/>
          <w:lang w:val="en-GB"/>
        </w:rPr>
        <w:t>of about</w:t>
      </w:r>
      <w:r w:rsidRPr="004E045F">
        <w:rPr>
          <w:color w:val="000000" w:themeColor="text1"/>
          <w:lang w:val="en-GB"/>
        </w:rPr>
        <w:t xml:space="preserve"> 40 to 80 kW/m² during and after the passage of the flame front (20 to 40 seconds).These data were collected </w:t>
      </w:r>
      <w:r w:rsidR="00FE546D">
        <w:rPr>
          <w:color w:val="000000" w:themeColor="text1"/>
          <w:lang w:val="en-GB"/>
        </w:rPr>
        <w:t>using</w:t>
      </w:r>
      <w:r w:rsidRPr="004E045F">
        <w:rPr>
          <w:color w:val="000000" w:themeColor="text1"/>
          <w:lang w:val="en-GB"/>
        </w:rPr>
        <w:t xml:space="preserve"> a tower equipped with </w:t>
      </w:r>
      <w:r w:rsidRPr="004E045F">
        <w:rPr>
          <w:color w:val="000000" w:themeColor="text1"/>
          <w:lang w:val="en-GB"/>
        </w:rPr>
        <w:lastRenderedPageBreak/>
        <w:t>thermocouples and sensors for total and r</w:t>
      </w:r>
      <w:r>
        <w:rPr>
          <w:color w:val="000000" w:themeColor="text1"/>
          <w:lang w:val="en-GB"/>
        </w:rPr>
        <w:t>adiative heat flux</w:t>
      </w:r>
      <w:r w:rsidRPr="004E045F">
        <w:rPr>
          <w:color w:val="000000" w:themeColor="text1"/>
          <w:lang w:val="en-GB"/>
        </w:rPr>
        <w:t xml:space="preserve">, </w:t>
      </w:r>
      <w:r w:rsidR="00FE546D">
        <w:rPr>
          <w:color w:val="000000" w:themeColor="text1"/>
          <w:lang w:val="en-GB"/>
        </w:rPr>
        <w:t xml:space="preserve">which were </w:t>
      </w:r>
      <w:r w:rsidRPr="004E045F">
        <w:rPr>
          <w:color w:val="000000" w:themeColor="text1"/>
          <w:lang w:val="en-GB"/>
        </w:rPr>
        <w:t>directly placed in the experimental plot.</w:t>
      </w:r>
      <w:r>
        <w:rPr>
          <w:color w:val="000000" w:themeColor="text1"/>
          <w:lang w:val="en-GB"/>
        </w:rPr>
        <w:t xml:space="preserve"> </w:t>
      </w:r>
      <w:r w:rsidR="006022B8">
        <w:rPr>
          <w:color w:val="000000" w:themeColor="text1"/>
          <w:lang w:val="en-GB"/>
        </w:rPr>
        <w:t>They</w:t>
      </w:r>
      <w:r>
        <w:rPr>
          <w:color w:val="000000" w:themeColor="text1"/>
          <w:lang w:val="en-GB"/>
        </w:rPr>
        <w:t xml:space="preserve"> show that in the case of wildfire</w:t>
      </w:r>
      <w:r w:rsidR="001C44C7">
        <w:rPr>
          <w:color w:val="000000" w:themeColor="text1"/>
          <w:lang w:val="en-GB"/>
        </w:rPr>
        <w:t>s</w:t>
      </w:r>
      <w:r>
        <w:rPr>
          <w:color w:val="000000" w:themeColor="text1"/>
          <w:lang w:val="en-GB"/>
        </w:rPr>
        <w:t xml:space="preserve">, the previous approximation could not be used when the target is </w:t>
      </w:r>
      <w:r w:rsidR="00A457EA">
        <w:rPr>
          <w:color w:val="000000" w:themeColor="text1"/>
          <w:lang w:val="en-GB"/>
        </w:rPr>
        <w:t>engulfed</w:t>
      </w:r>
      <w:r>
        <w:rPr>
          <w:color w:val="000000" w:themeColor="text1"/>
          <w:lang w:val="en-GB"/>
        </w:rPr>
        <w:t xml:space="preserve"> by the fire.</w:t>
      </w:r>
      <w:r w:rsidRPr="004E045F">
        <w:rPr>
          <w:color w:val="000000" w:themeColor="text1"/>
          <w:lang w:val="en-GB"/>
        </w:rPr>
        <w:t xml:space="preserve"> The data collected around the plot on specific target</w:t>
      </w:r>
      <w:r w:rsidR="006022B8">
        <w:rPr>
          <w:color w:val="000000" w:themeColor="text1"/>
          <w:lang w:val="en-GB"/>
        </w:rPr>
        <w:t>s</w:t>
      </w:r>
      <w:r w:rsidRPr="004E045F">
        <w:rPr>
          <w:color w:val="000000" w:themeColor="text1"/>
          <w:lang w:val="en-GB"/>
        </w:rPr>
        <w:t xml:space="preserve">, as </w:t>
      </w:r>
      <w:r w:rsidR="006022B8">
        <w:rPr>
          <w:color w:val="000000" w:themeColor="text1"/>
          <w:lang w:val="en-GB"/>
        </w:rPr>
        <w:t>shown</w:t>
      </w:r>
      <w:r w:rsidRPr="004E045F">
        <w:rPr>
          <w:color w:val="000000" w:themeColor="text1"/>
          <w:lang w:val="en-GB"/>
        </w:rPr>
        <w:t xml:space="preserve"> in Cohen (2004), </w:t>
      </w:r>
      <w:r w:rsidR="006022B8">
        <w:rPr>
          <w:color w:val="000000" w:themeColor="text1"/>
          <w:lang w:val="en-GB"/>
        </w:rPr>
        <w:t>indicate</w:t>
      </w:r>
      <w:r>
        <w:rPr>
          <w:color w:val="000000" w:themeColor="text1"/>
          <w:lang w:val="en-GB"/>
        </w:rPr>
        <w:t xml:space="preserve"> that the targets are sufficiently distant and that the likelihood of contact with a convection column or flames is minimal</w:t>
      </w:r>
      <w:r>
        <w:rPr>
          <w:lang w:val="en-GB"/>
        </w:rPr>
        <w:t xml:space="preserve">. Therefore, there is general agreement on this hypothesis which suggests a distance from the flame front where thermal radiation is the main source of energy transfer, although an exact measure of this distance is not specified. In this paper, the convective heating will not be considered because other hypotheses will be sufficiently dominant to follow this </w:t>
      </w:r>
      <w:r w:rsidR="00645075">
        <w:rPr>
          <w:lang w:val="en-GB"/>
        </w:rPr>
        <w:t>consensus,</w:t>
      </w:r>
      <w:r w:rsidR="001C44C7">
        <w:rPr>
          <w:lang w:val="en-GB"/>
        </w:rPr>
        <w:t xml:space="preserve"> and a cleared maintenance strip is considered</w:t>
      </w:r>
      <w:r>
        <w:rPr>
          <w:lang w:val="en-GB"/>
        </w:rPr>
        <w:t xml:space="preserve">.   </w:t>
      </w:r>
    </w:p>
    <w:p w14:paraId="7844A6DD" w14:textId="77777777" w:rsidR="006C0CE3" w:rsidRDefault="006C0CE3" w:rsidP="009D5D6D">
      <w:pPr>
        <w:pStyle w:val="CETBodytext"/>
        <w:rPr>
          <w:lang w:val="en-GB"/>
        </w:rPr>
      </w:pPr>
    </w:p>
    <w:p w14:paraId="7F48F17E" w14:textId="014301BE" w:rsidR="00384A0F" w:rsidRDefault="0067490E" w:rsidP="009D5D6D">
      <w:pPr>
        <w:pStyle w:val="CETBodytext"/>
        <w:rPr>
          <w:lang w:val="en-GB"/>
        </w:rPr>
      </w:pPr>
      <w:r>
        <w:rPr>
          <w:noProof/>
          <w:lang w:val="en-GB"/>
        </w:rPr>
        <w:drawing>
          <wp:anchor distT="0" distB="0" distL="114300" distR="114300" simplePos="0" relativeHeight="251666432" behindDoc="0" locked="1" layoutInCell="1" allowOverlap="1" wp14:anchorId="02A690EC" wp14:editId="5278D60D">
            <wp:simplePos x="0" y="0"/>
            <wp:positionH relativeFrom="margin">
              <wp:align>left</wp:align>
            </wp:positionH>
            <wp:positionV relativeFrom="paragraph">
              <wp:posOffset>5080</wp:posOffset>
            </wp:positionV>
            <wp:extent cx="3935095" cy="940435"/>
            <wp:effectExtent l="0" t="0" r="8255" b="0"/>
            <wp:wrapSquare wrapText="bothSides"/>
            <wp:docPr id="336951555" name="Image 3" descr="Une image contenant capture d’écran, arbre, panorama,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51555" name="Image 3" descr="Une image contenant capture d’écran, arbre, panorama, plein air&#10;&#10;Description générée automatiquement"/>
                    <pic:cNvPicPr/>
                  </pic:nvPicPr>
                  <pic:blipFill>
                    <a:blip r:embed="rId10"/>
                    <a:stretch>
                      <a:fillRect/>
                    </a:stretch>
                  </pic:blipFill>
                  <pic:spPr>
                    <a:xfrm>
                      <a:off x="0" y="0"/>
                      <a:ext cx="3991582" cy="953855"/>
                    </a:xfrm>
                    <a:prstGeom prst="rect">
                      <a:avLst/>
                    </a:prstGeom>
                  </pic:spPr>
                </pic:pic>
              </a:graphicData>
            </a:graphic>
            <wp14:sizeRelH relativeFrom="margin">
              <wp14:pctWidth>0</wp14:pctWidth>
            </wp14:sizeRelH>
            <wp14:sizeRelV relativeFrom="margin">
              <wp14:pctHeight>0</wp14:pctHeight>
            </wp14:sizeRelV>
          </wp:anchor>
        </w:drawing>
      </w:r>
    </w:p>
    <w:p w14:paraId="4C61C77E" w14:textId="77777777" w:rsidR="00384A0F" w:rsidRDefault="00384A0F" w:rsidP="009D5D6D">
      <w:pPr>
        <w:pStyle w:val="CETBodytext"/>
        <w:rPr>
          <w:lang w:val="en-GB"/>
        </w:rPr>
      </w:pPr>
    </w:p>
    <w:p w14:paraId="4DD29E8F" w14:textId="77777777" w:rsidR="00384A0F" w:rsidRDefault="00384A0F" w:rsidP="009D5D6D">
      <w:pPr>
        <w:pStyle w:val="CETBodytext"/>
        <w:rPr>
          <w:lang w:val="en-GB"/>
        </w:rPr>
      </w:pPr>
    </w:p>
    <w:p w14:paraId="1F6F72C8" w14:textId="372953C5" w:rsidR="00B45A7C" w:rsidRDefault="00B45A7C" w:rsidP="009D5D6D">
      <w:pPr>
        <w:pStyle w:val="CETBodytext"/>
        <w:rPr>
          <w:lang w:val="en-GB"/>
        </w:rPr>
      </w:pPr>
    </w:p>
    <w:p w14:paraId="13001A4F" w14:textId="77777777" w:rsidR="00603C8E" w:rsidRDefault="00603C8E" w:rsidP="00384A0F">
      <w:pPr>
        <w:pStyle w:val="CETCaption"/>
      </w:pPr>
    </w:p>
    <w:p w14:paraId="14122F85" w14:textId="46D8A207" w:rsidR="00384A0F" w:rsidRDefault="00384A0F" w:rsidP="00384A0F">
      <w:pPr>
        <w:pStyle w:val="CETCaption"/>
      </w:pPr>
      <w:r>
        <w:t xml:space="preserve">Figure 1: </w:t>
      </w:r>
      <w:r w:rsidR="00E11C55">
        <w:t>(</w:t>
      </w:r>
      <w:r w:rsidR="0067490E">
        <w:t>a</w:t>
      </w:r>
      <w:r w:rsidR="00E11C55">
        <w:t xml:space="preserve">) </w:t>
      </w:r>
      <w:r>
        <w:t>Schematic view of a maintenance strip</w:t>
      </w:r>
      <w:r w:rsidR="0030096F">
        <w:t xml:space="preserve"> (hatched zone)</w:t>
      </w:r>
      <w:r w:rsidR="00E11C55">
        <w:t>, (</w:t>
      </w:r>
      <w:r w:rsidR="0067490E">
        <w:t>b</w:t>
      </w:r>
      <w:r w:rsidR="00E11C55">
        <w:t xml:space="preserve">) Street view of a maintenance strip in the south of France (Google Earth Pro, 2021) </w:t>
      </w:r>
    </w:p>
    <w:p w14:paraId="0C021B9E" w14:textId="24A9E890" w:rsidR="00384A0F" w:rsidRDefault="00E560AD" w:rsidP="00384A0F">
      <w:pPr>
        <w:pStyle w:val="CETBodytext"/>
      </w:pPr>
      <w:r>
        <w:t xml:space="preserve">In this paper, </w:t>
      </w:r>
      <w:r w:rsidR="00E159C3">
        <w:t xml:space="preserve">an assessment of the thermal response to a wildfire of the </w:t>
      </w:r>
      <w:r w:rsidR="005D33C0">
        <w:t xml:space="preserve">soil above </w:t>
      </w:r>
      <w:r w:rsidR="00E159C3">
        <w:t xml:space="preserve">the pipeline is proposed. This assessment is based on some geometric and material </w:t>
      </w:r>
      <w:r w:rsidR="006B4C15">
        <w:t>assumptions</w:t>
      </w:r>
      <w:r w:rsidR="00E159C3">
        <w:t xml:space="preserve"> </w:t>
      </w:r>
      <w:r w:rsidR="006B4C15">
        <w:t>regarding</w:t>
      </w:r>
      <w:r w:rsidR="00E159C3">
        <w:t xml:space="preserve"> the flame front and the composition of the soil. This method </w:t>
      </w:r>
      <w:r w:rsidR="006B4C15">
        <w:t>provides</w:t>
      </w:r>
      <w:r w:rsidR="00E159C3">
        <w:t xml:space="preserve"> a </w:t>
      </w:r>
      <w:r w:rsidR="006B4C15">
        <w:t>rapid</w:t>
      </w:r>
      <w:r w:rsidR="00E159C3">
        <w:t xml:space="preserve"> evaluation of this thermal response </w:t>
      </w:r>
      <w:r w:rsidR="006B4C15">
        <w:t>through</w:t>
      </w:r>
      <w:r w:rsidR="00E159C3">
        <w:t xml:space="preserve"> integral calculations, while remaining conservative. </w:t>
      </w:r>
      <w:r w:rsidR="006B4C15">
        <w:t>Although this approach may be limited for realistic wildfire</w:t>
      </w:r>
      <w:r w:rsidR="001C44C7">
        <w:t>s</w:t>
      </w:r>
      <w:r w:rsidR="006B4C15">
        <w:t xml:space="preserve"> scenarios, the results can be used to assess worst-case conditions. </w:t>
      </w:r>
    </w:p>
    <w:p w14:paraId="5741900F" w14:textId="6C5672A7" w:rsidR="00453E24" w:rsidRDefault="00C541AD" w:rsidP="00453E24">
      <w:pPr>
        <w:pStyle w:val="CETHeading1"/>
      </w:pPr>
      <w:r>
        <w:t xml:space="preserve">Characterization of </w:t>
      </w:r>
      <w:r w:rsidR="006B4C15">
        <w:t>thermal</w:t>
      </w:r>
      <w:r>
        <w:t xml:space="preserve"> heat flux </w:t>
      </w:r>
      <w:r w:rsidR="006B4C15">
        <w:t xml:space="preserve">impacting the </w:t>
      </w:r>
      <w:r w:rsidR="00C544FA">
        <w:t xml:space="preserve">ground </w:t>
      </w:r>
      <w:r w:rsidR="006B4C15">
        <w:t xml:space="preserve">surface </w:t>
      </w:r>
      <w:r>
        <w:t xml:space="preserve">above pipelines  </w:t>
      </w:r>
    </w:p>
    <w:p w14:paraId="09406386" w14:textId="79D8FD50" w:rsidR="00453E24" w:rsidRDefault="00927646" w:rsidP="00453E24">
      <w:pPr>
        <w:pStyle w:val="CETBodytext"/>
      </w:pPr>
      <w:r>
        <w:t xml:space="preserve">A </w:t>
      </w:r>
      <w:r w:rsidR="006C0CE3">
        <w:t>large piece</w:t>
      </w:r>
      <w:r>
        <w:t xml:space="preserve"> of research </w:t>
      </w:r>
      <w:r w:rsidR="006C0CE3">
        <w:t>was</w:t>
      </w:r>
      <w:r>
        <w:t xml:space="preserve"> </w:t>
      </w:r>
      <w:r w:rsidR="006C0CE3">
        <w:t>performed previously</w:t>
      </w:r>
      <w:r>
        <w:t xml:space="preserve"> to determine the emitted heat flux of wildfires and </w:t>
      </w:r>
      <w:r w:rsidR="00FE546D">
        <w:t>e</w:t>
      </w:r>
      <w:r>
        <w:t>specially the emitted radiati</w:t>
      </w:r>
      <w:r w:rsidR="00FE546D">
        <w:t>ve</w:t>
      </w:r>
      <w:r>
        <w:t xml:space="preserve"> </w:t>
      </w:r>
      <w:r w:rsidR="00C544FA">
        <w:t>heat flux</w:t>
      </w:r>
      <w:r>
        <w:t xml:space="preserve">. </w:t>
      </w:r>
      <w:r w:rsidR="00A457EA" w:rsidRPr="00A457EA">
        <w:rPr>
          <w:color w:val="000000" w:themeColor="text1"/>
        </w:rPr>
        <w:t>Moreover</w:t>
      </w:r>
      <w:r w:rsidR="006022B8">
        <w:rPr>
          <w:color w:val="000000" w:themeColor="text1"/>
        </w:rPr>
        <w:t>, the estimation of the fraction of</w:t>
      </w:r>
      <w:r w:rsidR="00A457EA" w:rsidRPr="00A457EA">
        <w:rPr>
          <w:color w:val="000000" w:themeColor="text1"/>
        </w:rPr>
        <w:t xml:space="preserve"> this energy that can reach a distant target is another aspect of previous research</w:t>
      </w:r>
      <w:r w:rsidRPr="00A457EA">
        <w:rPr>
          <w:color w:val="000000" w:themeColor="text1"/>
        </w:rPr>
        <w:t xml:space="preserve">. </w:t>
      </w:r>
      <w:r>
        <w:t>Often, this part is based on some geometrical consideration</w:t>
      </w:r>
      <w:r w:rsidR="006022B8">
        <w:t xml:space="preserve">s using the solid flame </w:t>
      </w:r>
      <w:r w:rsidR="00713EF8">
        <w:t>model and</w:t>
      </w:r>
      <w:r>
        <w:t xml:space="preserve"> the estimation of the view factor</w:t>
      </w:r>
      <w:r w:rsidR="006022B8">
        <w:t xml:space="preserve">, which is </w:t>
      </w:r>
      <w:r>
        <w:t>a dimensionless quantity that describes the fraction of radiation leaving one surface that directly reaches another.</w:t>
      </w:r>
      <w:r w:rsidR="00A52DE6">
        <w:t xml:space="preserve"> This quantity can be determined by </w:t>
      </w:r>
      <w:r w:rsidR="006022B8">
        <w:t>using</w:t>
      </w:r>
      <w:r w:rsidR="00C544FA">
        <w:t xml:space="preserve"> complex analytical equations,</w:t>
      </w:r>
      <w:r w:rsidR="00A52DE6">
        <w:t xml:space="preserve"> abacuses or statistical considerations (</w:t>
      </w:r>
      <w:r w:rsidR="006022B8">
        <w:t>such as the</w:t>
      </w:r>
      <w:r w:rsidR="00A52DE6">
        <w:t xml:space="preserve"> Monte </w:t>
      </w:r>
      <w:r w:rsidR="006022B8">
        <w:t xml:space="preserve">Carlo method </w:t>
      </w:r>
      <w:r w:rsidR="00C544FA">
        <w:t>describe</w:t>
      </w:r>
      <w:r w:rsidR="00FE546D">
        <w:t>d</w:t>
      </w:r>
      <w:r w:rsidR="00C544FA">
        <w:t xml:space="preserve"> </w:t>
      </w:r>
      <w:r w:rsidR="001C44C7">
        <w:t>in</w:t>
      </w:r>
      <w:r w:rsidR="00C544FA">
        <w:t xml:space="preserve"> Billaud et al. (2011)</w:t>
      </w:r>
      <w:r w:rsidR="00A52DE6">
        <w:t xml:space="preserve">). </w:t>
      </w:r>
      <w:r>
        <w:t xml:space="preserve"> </w:t>
      </w:r>
    </w:p>
    <w:p w14:paraId="0636B784" w14:textId="1247BA19" w:rsidR="00453E24" w:rsidRDefault="00B77AE3" w:rsidP="00453E24">
      <w:pPr>
        <w:pStyle w:val="CETheadingx"/>
      </w:pPr>
      <w:r>
        <w:t xml:space="preserve">Wildfires radiation flux estimation </w:t>
      </w:r>
    </w:p>
    <w:p w14:paraId="4C527362" w14:textId="083359AD" w:rsidR="005D6963" w:rsidRDefault="00E55197" w:rsidP="00E55197">
      <w:pPr>
        <w:pStyle w:val="CETBodytext"/>
      </w:pPr>
      <w:r>
        <w:t xml:space="preserve">The </w:t>
      </w:r>
      <w:r w:rsidR="006022B8">
        <w:t>heat flux emitted by a wildfire</w:t>
      </w:r>
      <w:r w:rsidR="006B4C15">
        <w:t xml:space="preserve"> </w:t>
      </w:r>
      <w:r>
        <w:t xml:space="preserve">is the most </w:t>
      </w:r>
      <w:r w:rsidR="006B4C15">
        <w:t>challenging</w:t>
      </w:r>
      <w:r>
        <w:t xml:space="preserve"> parameter to assess. Indeed, the diversity of </w:t>
      </w:r>
      <w:r w:rsidR="00713EF8">
        <w:t>fuel (</w:t>
      </w:r>
      <w:r>
        <w:t>vegetation</w:t>
      </w:r>
      <w:r w:rsidR="00713EF8">
        <w:t>), topography</w:t>
      </w:r>
      <w:r>
        <w:t xml:space="preserve"> and meteorological </w:t>
      </w:r>
      <w:r w:rsidRPr="004E045F">
        <w:rPr>
          <w:color w:val="000000" w:themeColor="text1"/>
        </w:rPr>
        <w:t xml:space="preserve">conditions </w:t>
      </w:r>
      <w:r w:rsidR="006022B8">
        <w:rPr>
          <w:color w:val="000000" w:themeColor="text1"/>
        </w:rPr>
        <w:t>leads to a variety of methods</w:t>
      </w:r>
      <w:r w:rsidRPr="004E045F">
        <w:rPr>
          <w:color w:val="000000" w:themeColor="text1"/>
        </w:rPr>
        <w:t xml:space="preserve">, </w:t>
      </w:r>
      <w:r w:rsidR="006B4C15">
        <w:rPr>
          <w:color w:val="000000" w:themeColor="text1"/>
        </w:rPr>
        <w:t>as a single universal value would not accurately represent all scenarios</w:t>
      </w:r>
      <w:r w:rsidRPr="004E045F">
        <w:rPr>
          <w:color w:val="000000" w:themeColor="text1"/>
        </w:rPr>
        <w:t xml:space="preserve">. Butler et al. (2004) </w:t>
      </w:r>
      <w:r w:rsidR="006022B8">
        <w:rPr>
          <w:color w:val="000000" w:themeColor="text1"/>
        </w:rPr>
        <w:t>provided</w:t>
      </w:r>
      <w:r w:rsidRPr="004E045F">
        <w:rPr>
          <w:color w:val="000000" w:themeColor="text1"/>
        </w:rPr>
        <w:t xml:space="preserve"> an example of how </w:t>
      </w:r>
      <w:r w:rsidR="00623ED6" w:rsidRPr="004E045F">
        <w:rPr>
          <w:color w:val="000000" w:themeColor="text1"/>
        </w:rPr>
        <w:t>an</w:t>
      </w:r>
      <w:r w:rsidRPr="004E045F">
        <w:rPr>
          <w:color w:val="000000" w:themeColor="text1"/>
        </w:rPr>
        <w:t xml:space="preserve"> emitted heat flux can be </w:t>
      </w:r>
      <w:r w:rsidR="00623ED6" w:rsidRPr="004E045F">
        <w:rPr>
          <w:color w:val="000000" w:themeColor="text1"/>
        </w:rPr>
        <w:t>assessed</w:t>
      </w:r>
      <w:r w:rsidR="00713EF8">
        <w:rPr>
          <w:color w:val="000000" w:themeColor="text1"/>
        </w:rPr>
        <w:t xml:space="preserve"> with experiments</w:t>
      </w:r>
      <w:r w:rsidRPr="004E045F">
        <w:rPr>
          <w:color w:val="000000" w:themeColor="text1"/>
        </w:rPr>
        <w:t xml:space="preserve">. </w:t>
      </w:r>
      <w:r w:rsidR="00623ED6" w:rsidRPr="004E045F">
        <w:rPr>
          <w:color w:val="000000" w:themeColor="text1"/>
        </w:rPr>
        <w:t>These</w:t>
      </w:r>
      <w:r w:rsidRPr="004E045F">
        <w:rPr>
          <w:color w:val="000000" w:themeColor="text1"/>
        </w:rPr>
        <w:t xml:space="preserve"> experiments, </w:t>
      </w:r>
      <w:r w:rsidR="00623ED6" w:rsidRPr="004E045F">
        <w:rPr>
          <w:color w:val="000000" w:themeColor="text1"/>
        </w:rPr>
        <w:t>named</w:t>
      </w:r>
      <w:r w:rsidRPr="004E045F">
        <w:rPr>
          <w:color w:val="000000" w:themeColor="text1"/>
        </w:rPr>
        <w:t xml:space="preserve"> “International Crown Fire Modeling Experiment”, </w:t>
      </w:r>
      <w:r w:rsidR="00623ED6" w:rsidRPr="004E045F">
        <w:rPr>
          <w:color w:val="000000" w:themeColor="text1"/>
        </w:rPr>
        <w:t>were</w:t>
      </w:r>
      <w:r w:rsidRPr="004E045F">
        <w:rPr>
          <w:color w:val="000000" w:themeColor="text1"/>
        </w:rPr>
        <w:t xml:space="preserve"> established </w:t>
      </w:r>
      <w:r w:rsidR="00623ED6" w:rsidRPr="004E045F">
        <w:rPr>
          <w:color w:val="000000" w:themeColor="text1"/>
        </w:rPr>
        <w:t xml:space="preserve">between 1995 and 2001, and the goal was </w:t>
      </w:r>
      <w:r w:rsidRPr="004E045F">
        <w:rPr>
          <w:color w:val="000000" w:themeColor="text1"/>
        </w:rPr>
        <w:t>to evaluate a crown fire propagation model</w:t>
      </w:r>
      <w:r w:rsidR="00C20407">
        <w:rPr>
          <w:color w:val="000000" w:themeColor="text1"/>
        </w:rPr>
        <w:t xml:space="preserve"> through multiple crown fire</w:t>
      </w:r>
      <w:r w:rsidR="00FD563B">
        <w:rPr>
          <w:color w:val="000000" w:themeColor="text1"/>
        </w:rPr>
        <w:t xml:space="preserve"> experiments</w:t>
      </w:r>
      <w:r w:rsidR="00713EF8">
        <w:rPr>
          <w:color w:val="000000" w:themeColor="text1"/>
        </w:rPr>
        <w:t xml:space="preserve"> for a jack pine and black spruce forest</w:t>
      </w:r>
      <w:r w:rsidR="00C20407">
        <w:rPr>
          <w:color w:val="000000" w:themeColor="text1"/>
        </w:rPr>
        <w:t xml:space="preserve">. </w:t>
      </w:r>
      <w:r w:rsidR="00623ED6" w:rsidRPr="004E045F">
        <w:rPr>
          <w:color w:val="000000" w:themeColor="text1"/>
        </w:rPr>
        <w:t xml:space="preserve">This </w:t>
      </w:r>
      <w:r w:rsidR="006022B8">
        <w:rPr>
          <w:color w:val="000000" w:themeColor="text1"/>
        </w:rPr>
        <w:t>allowed</w:t>
      </w:r>
      <w:r w:rsidR="00623ED6" w:rsidRPr="004E045F">
        <w:rPr>
          <w:color w:val="000000" w:themeColor="text1"/>
        </w:rPr>
        <w:t xml:space="preserve"> </w:t>
      </w:r>
      <w:r w:rsidR="009F444B" w:rsidRPr="004E045F">
        <w:rPr>
          <w:color w:val="000000" w:themeColor="text1"/>
        </w:rPr>
        <w:t>them</w:t>
      </w:r>
      <w:r w:rsidR="00623ED6" w:rsidRPr="004E045F">
        <w:rPr>
          <w:color w:val="000000" w:themeColor="text1"/>
        </w:rPr>
        <w:t xml:space="preserve"> to measure the power of </w:t>
      </w:r>
      <w:r w:rsidR="009F444B" w:rsidRPr="004E045F">
        <w:rPr>
          <w:color w:val="000000" w:themeColor="text1"/>
        </w:rPr>
        <w:t xml:space="preserve">this </w:t>
      </w:r>
      <w:r w:rsidR="00623ED6" w:rsidRPr="004E045F">
        <w:rPr>
          <w:color w:val="000000" w:themeColor="text1"/>
        </w:rPr>
        <w:t>wildfire</w:t>
      </w:r>
      <w:r w:rsidR="00713EF8">
        <w:rPr>
          <w:color w:val="000000" w:themeColor="text1"/>
        </w:rPr>
        <w:t xml:space="preserve">, </w:t>
      </w:r>
      <w:r w:rsidR="00623ED6" w:rsidRPr="004E045F">
        <w:rPr>
          <w:color w:val="000000" w:themeColor="text1"/>
        </w:rPr>
        <w:t xml:space="preserve">with </w:t>
      </w:r>
      <w:r w:rsidR="00C20407">
        <w:rPr>
          <w:color w:val="000000" w:themeColor="text1"/>
        </w:rPr>
        <w:t>measure</w:t>
      </w:r>
      <w:r w:rsidR="00FD563B">
        <w:rPr>
          <w:color w:val="000000" w:themeColor="text1"/>
        </w:rPr>
        <w:t>ments</w:t>
      </w:r>
      <w:r w:rsidR="00623ED6" w:rsidRPr="004E045F">
        <w:rPr>
          <w:color w:val="000000" w:themeColor="text1"/>
        </w:rPr>
        <w:t xml:space="preserve"> of </w:t>
      </w:r>
      <w:r w:rsidR="009F444B" w:rsidRPr="004E045F">
        <w:rPr>
          <w:color w:val="000000" w:themeColor="text1"/>
        </w:rPr>
        <w:t xml:space="preserve">flame </w:t>
      </w:r>
      <w:r w:rsidR="00623ED6" w:rsidRPr="004E045F">
        <w:rPr>
          <w:color w:val="000000" w:themeColor="text1"/>
        </w:rPr>
        <w:t xml:space="preserve">temperatures and </w:t>
      </w:r>
      <w:r w:rsidR="00FD563B">
        <w:rPr>
          <w:color w:val="000000" w:themeColor="text1"/>
        </w:rPr>
        <w:t>radiative heat</w:t>
      </w:r>
      <w:r w:rsidR="00623ED6" w:rsidRPr="004E045F">
        <w:rPr>
          <w:color w:val="000000" w:themeColor="text1"/>
        </w:rPr>
        <w:t xml:space="preserve"> flux. These data show a pick of temperatures around 1330</w:t>
      </w:r>
      <w:r w:rsidR="00595AA7" w:rsidRPr="004E045F">
        <w:rPr>
          <w:color w:val="000000" w:themeColor="text1"/>
        </w:rPr>
        <w:t xml:space="preserve"> </w:t>
      </w:r>
      <w:r w:rsidR="00623ED6" w:rsidRPr="004E045F">
        <w:rPr>
          <w:color w:val="000000" w:themeColor="text1"/>
        </w:rPr>
        <w:t xml:space="preserve">°C and a pick of radiant energy flux around 290 kW/m², in the </w:t>
      </w:r>
      <w:r w:rsidR="00713EF8">
        <w:rPr>
          <w:color w:val="000000" w:themeColor="text1"/>
        </w:rPr>
        <w:t xml:space="preserve">midstory of </w:t>
      </w:r>
      <w:r w:rsidR="006022B8">
        <w:rPr>
          <w:color w:val="000000" w:themeColor="text1"/>
        </w:rPr>
        <w:t xml:space="preserve">the </w:t>
      </w:r>
      <w:r w:rsidR="00713EF8">
        <w:rPr>
          <w:color w:val="000000" w:themeColor="text1"/>
        </w:rPr>
        <w:t>canopy</w:t>
      </w:r>
      <w:r w:rsidR="00623ED6" w:rsidRPr="004E045F">
        <w:rPr>
          <w:color w:val="000000" w:themeColor="text1"/>
        </w:rPr>
        <w:t xml:space="preserve">. Heymes et al. (2013) </w:t>
      </w:r>
      <w:r w:rsidR="00764F3F">
        <w:rPr>
          <w:color w:val="000000" w:themeColor="text1"/>
        </w:rPr>
        <w:t>provide</w:t>
      </w:r>
      <w:r w:rsidR="00623ED6" w:rsidRPr="004E045F">
        <w:rPr>
          <w:color w:val="000000" w:themeColor="text1"/>
        </w:rPr>
        <w:t xml:space="preserve"> a list of </w:t>
      </w:r>
      <w:r w:rsidR="00345531" w:rsidRPr="004E045F">
        <w:rPr>
          <w:color w:val="000000" w:themeColor="text1"/>
        </w:rPr>
        <w:t xml:space="preserve">values from </w:t>
      </w:r>
      <w:r w:rsidR="00764F3F">
        <w:rPr>
          <w:color w:val="000000" w:themeColor="text1"/>
        </w:rPr>
        <w:t xml:space="preserve">the </w:t>
      </w:r>
      <w:r w:rsidR="00345531" w:rsidRPr="004E045F">
        <w:rPr>
          <w:color w:val="000000" w:themeColor="text1"/>
        </w:rPr>
        <w:t>literature to assess th</w:t>
      </w:r>
      <w:r w:rsidR="009F444B" w:rsidRPr="004E045F">
        <w:rPr>
          <w:color w:val="000000" w:themeColor="text1"/>
        </w:rPr>
        <w:t>ese</w:t>
      </w:r>
      <w:r w:rsidR="00345531" w:rsidRPr="004E045F">
        <w:rPr>
          <w:color w:val="000000" w:themeColor="text1"/>
        </w:rPr>
        <w:t xml:space="preserve"> parameter</w:t>
      </w:r>
      <w:r w:rsidR="009F444B" w:rsidRPr="004E045F">
        <w:rPr>
          <w:color w:val="000000" w:themeColor="text1"/>
        </w:rPr>
        <w:t>s</w:t>
      </w:r>
      <w:r w:rsidR="00345531" w:rsidRPr="004E045F">
        <w:rPr>
          <w:color w:val="000000" w:themeColor="text1"/>
        </w:rPr>
        <w:t xml:space="preserve">. The parameter that has a consensus in safety </w:t>
      </w:r>
      <w:r w:rsidR="005D6963">
        <w:t>distance</w:t>
      </w:r>
      <w:r w:rsidR="00764F3F">
        <w:t xml:space="preserve"> </w:t>
      </w:r>
      <w:r w:rsidR="00764F3F" w:rsidRPr="004E045F">
        <w:rPr>
          <w:color w:val="000000" w:themeColor="text1"/>
        </w:rPr>
        <w:t>studies</w:t>
      </w:r>
      <w:r w:rsidR="005D6963">
        <w:t xml:space="preserve"> (studies </w:t>
      </w:r>
      <w:r w:rsidR="00764F3F">
        <w:t>that</w:t>
      </w:r>
      <w:r w:rsidR="005D6963">
        <w:t xml:space="preserve"> aim</w:t>
      </w:r>
      <w:r w:rsidR="00764F3F">
        <w:t xml:space="preserve"> </w:t>
      </w:r>
      <w:r w:rsidR="005D6963">
        <w:t xml:space="preserve">to determine a distance between a target and the </w:t>
      </w:r>
      <w:r w:rsidR="001C3FA7">
        <w:t>flame front</w:t>
      </w:r>
      <w:r w:rsidR="005D6963">
        <w:t xml:space="preserve"> </w:t>
      </w:r>
      <w:r w:rsidR="00B52BDF">
        <w:t>to</w:t>
      </w:r>
      <w:r w:rsidR="005D6963">
        <w:t xml:space="preserve"> avoid any </w:t>
      </w:r>
      <w:r w:rsidR="00713EF8">
        <w:t>damage</w:t>
      </w:r>
      <w:r w:rsidR="005D6963">
        <w:t>)</w:t>
      </w:r>
      <w:r w:rsidR="00345531">
        <w:t xml:space="preserve"> is the </w:t>
      </w:r>
      <w:r w:rsidR="00713EF8">
        <w:t>flame temperature</w:t>
      </w:r>
      <w:r w:rsidR="00345531">
        <w:t xml:space="preserve">. This </w:t>
      </w:r>
      <w:r w:rsidR="00713EF8">
        <w:t>flame temperature</w:t>
      </w:r>
      <w:r w:rsidR="00345531">
        <w:t xml:space="preserve"> is </w:t>
      </w:r>
      <w:r w:rsidR="009F444B">
        <w:t xml:space="preserve">commonly </w:t>
      </w:r>
      <w:r w:rsidR="00345531">
        <w:t xml:space="preserve">estimated </w:t>
      </w:r>
      <w:r w:rsidR="00764F3F">
        <w:t xml:space="preserve">to average </w:t>
      </w:r>
      <w:r w:rsidR="00345531">
        <w:t>between 850</w:t>
      </w:r>
      <w:r w:rsidR="00595AA7">
        <w:t xml:space="preserve"> </w:t>
      </w:r>
      <w:r w:rsidR="00345531">
        <w:t>°C and 927</w:t>
      </w:r>
      <w:r w:rsidR="00595AA7">
        <w:t xml:space="preserve"> </w:t>
      </w:r>
      <w:r w:rsidR="00345531">
        <w:t xml:space="preserve">°C </w:t>
      </w:r>
      <w:r w:rsidR="00764F3F">
        <w:t>in many</w:t>
      </w:r>
      <w:r w:rsidR="005D6963">
        <w:t xml:space="preserve"> stud</w:t>
      </w:r>
      <w:r w:rsidR="00764F3F">
        <w:t>ies</w:t>
      </w:r>
      <w:r w:rsidR="005D6963">
        <w:t xml:space="preserve"> involving large </w:t>
      </w:r>
      <w:r w:rsidR="00764F3F">
        <w:t>fires such</w:t>
      </w:r>
      <w:r w:rsidR="005D6963">
        <w:t xml:space="preserve"> as crown fire</w:t>
      </w:r>
      <w:r w:rsidR="00764F3F">
        <w:t>s</w:t>
      </w:r>
      <w:r w:rsidR="00345531">
        <w:t xml:space="preserve">. </w:t>
      </w:r>
    </w:p>
    <w:p w14:paraId="0CCCF15E" w14:textId="61CB5119" w:rsidR="005D6963" w:rsidRPr="006E52EE" w:rsidRDefault="00345531" w:rsidP="006E52EE">
      <w:pPr>
        <w:pStyle w:val="CETBodytext"/>
      </w:pPr>
      <w:r w:rsidRPr="006E52EE">
        <w:t xml:space="preserve">For applying this flame temperature, the popular approach of </w:t>
      </w:r>
      <w:r w:rsidR="00764F3F">
        <w:t xml:space="preserve">the </w:t>
      </w:r>
      <w:r w:rsidRPr="006E52EE">
        <w:t xml:space="preserve">solid flame model is used. In this model, the visible flame is idealized as a simple solid geometric shape (usually a parallelepiped) with </w:t>
      </w:r>
      <w:r w:rsidR="00764F3F">
        <w:t>heat</w:t>
      </w:r>
      <w:r w:rsidRPr="006E52EE">
        <w:t xml:space="preserve"> radiation emitted from its surface.</w:t>
      </w:r>
      <w:r w:rsidR="0073367A" w:rsidRPr="006E52EE">
        <w:t xml:space="preserve"> The </w:t>
      </w:r>
      <w:r w:rsidR="00764F3F">
        <w:t xml:space="preserve">invisible </w:t>
      </w:r>
      <w:r w:rsidR="0073367A" w:rsidRPr="006E52EE">
        <w:t xml:space="preserve">zones of </w:t>
      </w:r>
      <w:r w:rsidR="00764F3F">
        <w:t xml:space="preserve">the </w:t>
      </w:r>
      <w:r w:rsidR="0073367A" w:rsidRPr="006E52EE">
        <w:t>flame are</w:t>
      </w:r>
      <w:r w:rsidR="00FD563B">
        <w:t xml:space="preserve"> not</w:t>
      </w:r>
      <w:r w:rsidR="0073367A" w:rsidRPr="006E52EE">
        <w:t xml:space="preserve"> considered </w:t>
      </w:r>
      <w:r w:rsidR="00764F3F">
        <w:t>in</w:t>
      </w:r>
      <w:r w:rsidR="0073367A" w:rsidRPr="006E52EE">
        <w:t xml:space="preserve"> the radiative heat flux.</w:t>
      </w:r>
      <w:r w:rsidRPr="006E52EE">
        <w:t xml:space="preserve"> Thus, the surface emissive power of the flame</w:t>
      </w:r>
      <w:r w:rsidR="00FD563B">
        <w:t xml:space="preserve"> E</w:t>
      </w:r>
      <w:r w:rsidRPr="006E52EE">
        <w:t xml:space="preserve"> may be calculated </w:t>
      </w:r>
      <w:r w:rsidR="005D6963" w:rsidRPr="006E52EE">
        <w:t>as:</w:t>
      </w:r>
      <w:r w:rsidR="006E52EE" w:rsidRPr="006E52EE">
        <w:t xml:space="preserve"> </w:t>
      </w:r>
    </w:p>
    <w:tbl>
      <w:tblPr>
        <w:tblW w:w="5000" w:type="pct"/>
        <w:tblLook w:val="04A0" w:firstRow="1" w:lastRow="0" w:firstColumn="1" w:lastColumn="0" w:noHBand="0" w:noVBand="1"/>
      </w:tblPr>
      <w:tblGrid>
        <w:gridCol w:w="7982"/>
        <w:gridCol w:w="805"/>
      </w:tblGrid>
      <w:tr w:rsidR="00D62BD0" w:rsidRPr="00B57B36" w14:paraId="3CE63164" w14:textId="77777777" w:rsidTr="00444333">
        <w:tc>
          <w:tcPr>
            <w:tcW w:w="8188" w:type="dxa"/>
            <w:shd w:val="clear" w:color="auto" w:fill="auto"/>
            <w:vAlign w:val="center"/>
          </w:tcPr>
          <w:p w14:paraId="05126FB3" w14:textId="24F2171A" w:rsidR="00D62BD0" w:rsidRPr="00B57B36" w:rsidRDefault="00F10539" w:rsidP="00444333">
            <w:pPr>
              <w:pStyle w:val="CETEquation"/>
            </w:pPr>
            <w:r w:rsidRPr="00F10539">
              <w:rPr>
                <w:noProof/>
              </w:rPr>
              <mc:AlternateContent>
                <mc:Choice Requires="wps">
                  <w:drawing>
                    <wp:anchor distT="0" distB="0" distL="114300" distR="114300" simplePos="0" relativeHeight="251669504" behindDoc="0" locked="0" layoutInCell="1" allowOverlap="1" wp14:anchorId="766CFFFB" wp14:editId="4EA54196">
                      <wp:simplePos x="0" y="0"/>
                      <wp:positionH relativeFrom="page">
                        <wp:posOffset>68580</wp:posOffset>
                      </wp:positionH>
                      <wp:positionV relativeFrom="page">
                        <wp:posOffset>-635</wp:posOffset>
                      </wp:positionV>
                      <wp:extent cx="865108" cy="252762"/>
                      <wp:effectExtent l="0" t="0" r="0" b="0"/>
                      <wp:wrapNone/>
                      <wp:docPr id="3" name="ZoneTexte 2">
                        <a:extLst xmlns:a="http://schemas.openxmlformats.org/drawingml/2006/main">
                          <a:ext uri="{FF2B5EF4-FFF2-40B4-BE49-F238E27FC236}">
                            <a16:creationId xmlns:a16="http://schemas.microsoft.com/office/drawing/2014/main" id="{6B47AAAD-D2FE-3AC5-F2CB-CFDF5D7FA9D4}"/>
                          </a:ext>
                        </a:extLst>
                      </wp:docPr>
                      <wp:cNvGraphicFramePr/>
                      <a:graphic xmlns:a="http://schemas.openxmlformats.org/drawingml/2006/main">
                        <a:graphicData uri="http://schemas.microsoft.com/office/word/2010/wordprocessingShape">
                          <wps:wsp>
                            <wps:cNvSpPr txBox="1"/>
                            <wps:spPr>
                              <a:xfrm>
                                <a:off x="0" y="0"/>
                                <a:ext cx="865108" cy="252762"/>
                              </a:xfrm>
                              <a:prstGeom prst="rect">
                                <a:avLst/>
                              </a:prstGeom>
                              <a:noFill/>
                            </wps:spPr>
                            <wps:txbx>
                              <w:txbxContent>
                                <w:p w14:paraId="140F7EE4" w14:textId="77777777" w:rsidR="00F10539" w:rsidRDefault="00F10539" w:rsidP="00F10539">
                                  <w:pPr>
                                    <w:rPr>
                                      <w:rFonts w:ascii="Cambria Math" w:hAnsi="Cambria Math" w:cstheme="minorBidi"/>
                                      <w:i/>
                                      <w:iCs/>
                                      <w:color w:val="000000" w:themeColor="text1"/>
                                      <w:kern w:val="24"/>
                                      <w:szCs w:val="18"/>
                                    </w:rPr>
                                  </w:pPr>
                                  <m:oMathPara>
                                    <m:oMathParaPr>
                                      <m:jc m:val="centerGroup"/>
                                    </m:oMathParaPr>
                                    <m:oMath>
                                      <m:r>
                                        <w:rPr>
                                          <w:rFonts w:ascii="Cambria Math" w:hAnsi="Cambria Math" w:cstheme="minorBidi"/>
                                          <w:color w:val="000000" w:themeColor="text1"/>
                                          <w:kern w:val="24"/>
                                          <w:szCs w:val="18"/>
                                        </w:rPr>
                                        <m:t>E</m:t>
                                      </m:r>
                                      <m:r>
                                        <m:rPr>
                                          <m:sty m:val="p"/>
                                        </m:rPr>
                                        <w:rPr>
                                          <w:rFonts w:ascii="Cambria Math" w:hAnsi="Cambria Math" w:cstheme="minorBidi"/>
                                          <w:color w:val="000000" w:themeColor="text1"/>
                                          <w:kern w:val="24"/>
                                          <w:szCs w:val="18"/>
                                        </w:rPr>
                                        <m:t>=</m:t>
                                      </m:r>
                                      <m:r>
                                        <w:rPr>
                                          <w:rFonts w:ascii="Cambria Math" w:hAnsi="Cambria Math" w:cstheme="minorBidi"/>
                                          <w:color w:val="000000" w:themeColor="text1"/>
                                          <w:kern w:val="24"/>
                                          <w:szCs w:val="18"/>
                                          <w:lang w:val="el-GR"/>
                                        </w:rPr>
                                        <m:t>ε</m:t>
                                      </m:r>
                                      <m:r>
                                        <m:rPr>
                                          <m:nor/>
                                        </m:rPr>
                                        <w:rPr>
                                          <w:rFonts w:cs="Arial"/>
                                          <w:color w:val="000000" w:themeColor="text1"/>
                                          <w:kern w:val="24"/>
                                          <w:szCs w:val="18"/>
                                        </w:rPr>
                                        <m:t> </m:t>
                                      </m:r>
                                      <m:r>
                                        <m:rPr>
                                          <m:nor/>
                                        </m:rPr>
                                        <w:rPr>
                                          <w:rFonts w:eastAsia="SimSun" w:cs="Arial"/>
                                          <w:i/>
                                          <w:iCs/>
                                          <w:color w:val="000000" w:themeColor="text1"/>
                                          <w:kern w:val="24"/>
                                          <w:szCs w:val="18"/>
                                        </w:rPr>
                                        <m:t>·</m:t>
                                      </m:r>
                                      <m:r>
                                        <m:rPr>
                                          <m:nor/>
                                        </m:rPr>
                                        <w:rPr>
                                          <w:rFonts w:eastAsia="SimSun" w:cs="Arial"/>
                                          <w:color w:val="000000" w:themeColor="text1"/>
                                          <w:kern w:val="24"/>
                                          <w:szCs w:val="18"/>
                                        </w:rPr>
                                        <m:t> </m:t>
                                      </m:r>
                                      <m:r>
                                        <m:rPr>
                                          <m:sty m:val="p"/>
                                        </m:rPr>
                                        <w:rPr>
                                          <w:rFonts w:ascii="Cambria Math" w:hAnsi="Cambria Math" w:cstheme="minorBidi"/>
                                          <w:color w:val="000000" w:themeColor="text1"/>
                                          <w:kern w:val="24"/>
                                          <w:szCs w:val="18"/>
                                        </w:rPr>
                                        <m:t>σ</m:t>
                                      </m:r>
                                      <m:r>
                                        <m:rPr>
                                          <m:nor/>
                                        </m:rPr>
                                        <w:rPr>
                                          <w:rFonts w:cs="Arial"/>
                                          <w:color w:val="000000" w:themeColor="text1"/>
                                          <w:kern w:val="24"/>
                                          <w:szCs w:val="18"/>
                                        </w:rPr>
                                        <m:t> </m:t>
                                      </m:r>
                                      <m:r>
                                        <m:rPr>
                                          <m:nor/>
                                        </m:rPr>
                                        <w:rPr>
                                          <w:rFonts w:eastAsia="SimSun" w:cs="Arial"/>
                                          <w:i/>
                                          <w:iCs/>
                                          <w:color w:val="000000" w:themeColor="text1"/>
                                          <w:kern w:val="24"/>
                                          <w:szCs w:val="18"/>
                                        </w:rPr>
                                        <m:t>·</m:t>
                                      </m:r>
                                      <m:r>
                                        <m:rPr>
                                          <m:nor/>
                                        </m:rPr>
                                        <w:rPr>
                                          <w:rFonts w:eastAsia="SimSun" w:cs="Arial"/>
                                          <w:color w:val="000000" w:themeColor="text1"/>
                                          <w:kern w:val="24"/>
                                          <w:szCs w:val="18"/>
                                        </w:rPr>
                                        <m:t> </m:t>
                                      </m:r>
                                      <m:sSubSup>
                                        <m:sSubSupPr>
                                          <m:ctrlPr>
                                            <w:rPr>
                                              <w:rFonts w:ascii="Cambria Math" w:eastAsiaTheme="minorEastAsia" w:hAnsi="Cambria Math" w:cstheme="minorBidi"/>
                                              <w:i/>
                                              <w:iCs/>
                                              <w:color w:val="836967"/>
                                              <w:kern w:val="24"/>
                                              <w:szCs w:val="18"/>
                                            </w:rPr>
                                          </m:ctrlPr>
                                        </m:sSubSupPr>
                                        <m:e>
                                          <m:r>
                                            <w:rPr>
                                              <w:rFonts w:ascii="Cambria Math" w:hAnsi="Cambria Math" w:cstheme="minorBidi"/>
                                              <w:color w:val="000000" w:themeColor="text1"/>
                                              <w:kern w:val="24"/>
                                              <w:szCs w:val="18"/>
                                            </w:rPr>
                                            <m:t>T</m:t>
                                          </m:r>
                                        </m:e>
                                        <m:sub>
                                          <m:r>
                                            <w:rPr>
                                              <w:rFonts w:ascii="Cambria Math" w:hAnsi="Cambria Math" w:cstheme="minorBidi"/>
                                              <w:color w:val="000000" w:themeColor="text1"/>
                                              <w:kern w:val="24"/>
                                              <w:szCs w:val="18"/>
                                            </w:rPr>
                                            <m:t>f</m:t>
                                          </m:r>
                                        </m:sub>
                                        <m:sup>
                                          <m:r>
                                            <m:rPr>
                                              <m:sty m:val="p"/>
                                            </m:rPr>
                                            <w:rPr>
                                              <w:rFonts w:ascii="Cambria Math" w:hAnsi="Cambria Math" w:cstheme="minorBidi"/>
                                              <w:color w:val="000000" w:themeColor="text1"/>
                                              <w:kern w:val="24"/>
                                              <w:szCs w:val="18"/>
                                            </w:rPr>
                                            <m:t>4</m:t>
                                          </m:r>
                                        </m:sup>
                                      </m:sSubSup>
                                    </m:oMath>
                                  </m:oMathPara>
                                </w:p>
                              </w:txbxContent>
                            </wps:txbx>
                            <wps:bodyPr wrap="square">
                              <a:spAutoFit/>
                            </wps:bodyPr>
                          </wps:wsp>
                        </a:graphicData>
                      </a:graphic>
                    </wp:anchor>
                  </w:drawing>
                </mc:Choice>
                <mc:Fallback>
                  <w:pict>
                    <v:shapetype w14:anchorId="766CFFFB" id="_x0000_t202" coordsize="21600,21600" o:spt="202" path="m,l,21600r21600,l21600,xe">
                      <v:stroke joinstyle="miter"/>
                      <v:path gradientshapeok="t" o:connecttype="rect"/>
                    </v:shapetype>
                    <v:shape id="ZoneTexte 2" o:spid="_x0000_s1026" type="#_x0000_t202" style="position:absolute;margin-left:5.4pt;margin-top:-.05pt;width:68.1pt;height:19.9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" filled="f" stroked="f">
                      <v:textbox style="mso-fit-shape-to-text:t">
                        <w:txbxContent>
                          <w:p w14:paraId="140F7EE4" w14:textId="77777777" w:rsidR="00F10539" w:rsidRDefault="00F10539" w:rsidP="00F10539">
                            <w:pPr>
                              <w:rPr>
                                <w:rFonts w:ascii="Cambria Math" w:hAnsi="Cambria Math" w:cstheme="minorBidi"/>
                                <w:i/>
                                <w:iCs/>
                                <w:color w:val="000000" w:themeColor="text1"/>
                                <w:kern w:val="24"/>
                                <w:szCs w:val="18"/>
                              </w:rPr>
                            </w:pPr>
                            <m:oMathPara>
                              <m:oMathParaPr>
                                <m:jc m:val="centerGroup"/>
                              </m:oMathParaPr>
                              <m:oMath>
                                <m:r>
                                  <w:rPr>
                                    <w:rFonts w:ascii="Cambria Math" w:hAnsi="Cambria Math" w:cstheme="minorBidi"/>
                                    <w:color w:val="000000" w:themeColor="text1"/>
                                    <w:kern w:val="24"/>
                                    <w:szCs w:val="18"/>
                                  </w:rPr>
                                  <m:t>E</m:t>
                                </m:r>
                                <m:r>
                                  <m:rPr>
                                    <m:sty m:val="p"/>
                                  </m:rPr>
                                  <w:rPr>
                                    <w:rFonts w:ascii="Cambria Math" w:hAnsi="Cambria Math" w:cstheme="minorBidi"/>
                                    <w:color w:val="000000" w:themeColor="text1"/>
                                    <w:kern w:val="24"/>
                                    <w:szCs w:val="18"/>
                                  </w:rPr>
                                  <m:t>=</m:t>
                                </m:r>
                                <m:r>
                                  <w:rPr>
                                    <w:rFonts w:ascii="Cambria Math" w:hAnsi="Cambria Math" w:cstheme="minorBidi"/>
                                    <w:color w:val="000000" w:themeColor="text1"/>
                                    <w:kern w:val="24"/>
                                    <w:szCs w:val="18"/>
                                    <w:lang w:val="el-GR"/>
                                  </w:rPr>
                                  <m:t>ε</m:t>
                                </m:r>
                                <m:r>
                                  <m:rPr>
                                    <m:nor/>
                                  </m:rPr>
                                  <w:rPr>
                                    <w:rFonts w:cs="Arial"/>
                                    <w:color w:val="000000" w:themeColor="text1"/>
                                    <w:kern w:val="24"/>
                                    <w:szCs w:val="18"/>
                                  </w:rPr>
                                  <m:t> </m:t>
                                </m:r>
                                <m:r>
                                  <m:rPr>
                                    <m:nor/>
                                  </m:rPr>
                                  <w:rPr>
                                    <w:rFonts w:eastAsia="SimSun" w:cs="Arial"/>
                                    <w:i/>
                                    <w:iCs/>
                                    <w:color w:val="000000" w:themeColor="text1"/>
                                    <w:kern w:val="24"/>
                                    <w:szCs w:val="18"/>
                                  </w:rPr>
                                  <m:t>·</m:t>
                                </m:r>
                                <m:r>
                                  <m:rPr>
                                    <m:nor/>
                                  </m:rPr>
                                  <w:rPr>
                                    <w:rFonts w:eastAsia="SimSun" w:cs="Arial"/>
                                    <w:color w:val="000000" w:themeColor="text1"/>
                                    <w:kern w:val="24"/>
                                    <w:szCs w:val="18"/>
                                  </w:rPr>
                                  <m:t> </m:t>
                                </m:r>
                                <m:r>
                                  <m:rPr>
                                    <m:sty m:val="p"/>
                                  </m:rPr>
                                  <w:rPr>
                                    <w:rFonts w:ascii="Cambria Math" w:hAnsi="Cambria Math" w:cstheme="minorBidi"/>
                                    <w:color w:val="000000" w:themeColor="text1"/>
                                    <w:kern w:val="24"/>
                                    <w:szCs w:val="18"/>
                                  </w:rPr>
                                  <m:t>σ</m:t>
                                </m:r>
                                <m:r>
                                  <m:rPr>
                                    <m:nor/>
                                  </m:rPr>
                                  <w:rPr>
                                    <w:rFonts w:cs="Arial"/>
                                    <w:color w:val="000000" w:themeColor="text1"/>
                                    <w:kern w:val="24"/>
                                    <w:szCs w:val="18"/>
                                  </w:rPr>
                                  <m:t> </m:t>
                                </m:r>
                                <m:r>
                                  <m:rPr>
                                    <m:nor/>
                                  </m:rPr>
                                  <w:rPr>
                                    <w:rFonts w:eastAsia="SimSun" w:cs="Arial"/>
                                    <w:i/>
                                    <w:iCs/>
                                    <w:color w:val="000000" w:themeColor="text1"/>
                                    <w:kern w:val="24"/>
                                    <w:szCs w:val="18"/>
                                  </w:rPr>
                                  <m:t>·</m:t>
                                </m:r>
                                <m:r>
                                  <m:rPr>
                                    <m:nor/>
                                  </m:rPr>
                                  <w:rPr>
                                    <w:rFonts w:eastAsia="SimSun" w:cs="Arial"/>
                                    <w:color w:val="000000" w:themeColor="text1"/>
                                    <w:kern w:val="24"/>
                                    <w:szCs w:val="18"/>
                                  </w:rPr>
                                  <m:t> </m:t>
                                </m:r>
                                <m:sSubSup>
                                  <m:sSubSupPr>
                                    <m:ctrlPr>
                                      <w:rPr>
                                        <w:rFonts w:ascii="Cambria Math" w:eastAsiaTheme="minorEastAsia" w:hAnsi="Cambria Math" w:cstheme="minorBidi"/>
                                        <w:i/>
                                        <w:iCs/>
                                        <w:color w:val="836967"/>
                                        <w:kern w:val="24"/>
                                        <w:szCs w:val="18"/>
                                      </w:rPr>
                                    </m:ctrlPr>
                                  </m:sSubSupPr>
                                  <m:e>
                                    <m:r>
                                      <w:rPr>
                                        <w:rFonts w:ascii="Cambria Math" w:hAnsi="Cambria Math" w:cstheme="minorBidi"/>
                                        <w:color w:val="000000" w:themeColor="text1"/>
                                        <w:kern w:val="24"/>
                                        <w:szCs w:val="18"/>
                                      </w:rPr>
                                      <m:t>T</m:t>
                                    </m:r>
                                  </m:e>
                                  <m:sub>
                                    <m:r>
                                      <w:rPr>
                                        <w:rFonts w:ascii="Cambria Math" w:hAnsi="Cambria Math" w:cstheme="minorBidi"/>
                                        <w:color w:val="000000" w:themeColor="text1"/>
                                        <w:kern w:val="24"/>
                                        <w:szCs w:val="18"/>
                                      </w:rPr>
                                      <m:t>f</m:t>
                                    </m:r>
                                  </m:sub>
                                  <m:sup>
                                    <m:r>
                                      <m:rPr>
                                        <m:sty m:val="p"/>
                                      </m:rPr>
                                      <w:rPr>
                                        <w:rFonts w:ascii="Cambria Math" w:hAnsi="Cambria Math" w:cstheme="minorBidi"/>
                                        <w:color w:val="000000" w:themeColor="text1"/>
                                        <w:kern w:val="24"/>
                                        <w:szCs w:val="18"/>
                                      </w:rPr>
                                      <m:t>4</m:t>
                                    </m:r>
                                  </m:sup>
                                </m:sSubSup>
                              </m:oMath>
                            </m:oMathPara>
                          </w:p>
                        </w:txbxContent>
                      </v:textbox>
                      <w10:wrap anchorx="page" anchory="page"/>
                    </v:shape>
                  </w:pict>
                </mc:Fallback>
              </mc:AlternateContent>
            </w:r>
          </w:p>
        </w:tc>
        <w:tc>
          <w:tcPr>
            <w:tcW w:w="815" w:type="dxa"/>
            <w:shd w:val="clear" w:color="auto" w:fill="auto"/>
            <w:vAlign w:val="center"/>
          </w:tcPr>
          <w:p w14:paraId="2F53CCD7" w14:textId="77777777" w:rsidR="00D62BD0" w:rsidRPr="00B57B36" w:rsidRDefault="00D62BD0" w:rsidP="00444333">
            <w:pPr>
              <w:pStyle w:val="CETEquation"/>
              <w:jc w:val="right"/>
            </w:pPr>
            <w:r w:rsidRPr="00B57B36">
              <w:t>(1)</w:t>
            </w:r>
          </w:p>
        </w:tc>
      </w:tr>
    </w:tbl>
    <w:p w14:paraId="5D354EE1" w14:textId="5CC0249B" w:rsidR="005D6963" w:rsidRPr="00A457EA" w:rsidRDefault="00345531" w:rsidP="006E52EE">
      <w:pPr>
        <w:pStyle w:val="CETBodytext"/>
        <w:rPr>
          <w:lang w:val="en-GB"/>
        </w:rPr>
      </w:pPr>
      <w:r w:rsidRPr="006E52EE">
        <w:t xml:space="preserve">where </w:t>
      </w:r>
      <w:r w:rsidR="009F444B" w:rsidRPr="006E52EE">
        <w:t xml:space="preserve">ε </w:t>
      </w:r>
      <w:r w:rsidRPr="006E52EE">
        <w:t xml:space="preserve">is the effective emissivity of the flame, </w:t>
      </w:r>
      <w:r w:rsidR="009F444B" w:rsidRPr="006E52EE">
        <w:t xml:space="preserve">σ </w:t>
      </w:r>
      <w:r w:rsidRPr="006E52EE">
        <w:t xml:space="preserve">is the Stefan-Boltzmann </w:t>
      </w:r>
      <w:r w:rsidR="0073367A" w:rsidRPr="006E52EE">
        <w:t>constant,</w:t>
      </w:r>
      <w:r w:rsidRPr="006E52EE">
        <w:t xml:space="preserve"> and </w:t>
      </w:r>
      <w:r w:rsidR="009F444B" w:rsidRPr="006E52EE">
        <w:t>T</w:t>
      </w:r>
      <w:r w:rsidR="006E52EE">
        <w:rPr>
          <w:vertAlign w:val="subscript"/>
        </w:rPr>
        <w:t>f</w:t>
      </w:r>
      <w:r w:rsidRPr="006E52EE">
        <w:t xml:space="preserve"> is the flame temperature. </w:t>
      </w:r>
      <w:r w:rsidR="0073367A" w:rsidRPr="006E52EE">
        <w:t xml:space="preserve">The present conservative approach led to </w:t>
      </w:r>
      <w:r w:rsidR="00BA0627" w:rsidRPr="006E52EE">
        <w:t xml:space="preserve">the </w:t>
      </w:r>
      <w:r w:rsidR="009F5E6B">
        <w:t xml:space="preserve">selection </w:t>
      </w:r>
      <w:r w:rsidR="00BA0627" w:rsidRPr="006E52EE">
        <w:t>of</w:t>
      </w:r>
      <w:r w:rsidR="006E52EE">
        <w:t xml:space="preserve"> </w:t>
      </w:r>
      <w:r w:rsidR="006E52EE" w:rsidRPr="006E52EE">
        <w:t>ε</w:t>
      </w:r>
      <w:r w:rsidR="006E52EE">
        <w:t xml:space="preserve"> = 1</w:t>
      </w:r>
      <w:r w:rsidR="0073367A" w:rsidRPr="006E52EE">
        <w:t xml:space="preserve"> (</w:t>
      </w:r>
      <w:r w:rsidR="009F5E6B">
        <w:t>black body hypothesis</w:t>
      </w:r>
      <w:r w:rsidR="0073367A" w:rsidRPr="006E52EE">
        <w:t>) and</w:t>
      </w:r>
      <w:r w:rsidR="009F444B" w:rsidRPr="006E52EE">
        <w:t xml:space="preserve"> </w:t>
      </w:r>
      <w:proofErr w:type="spellStart"/>
      <w:r w:rsidR="009F444B" w:rsidRPr="006E52EE">
        <w:t>T</w:t>
      </w:r>
      <w:r w:rsidR="006E52EE">
        <w:rPr>
          <w:vertAlign w:val="subscript"/>
        </w:rPr>
        <w:t>f</w:t>
      </w:r>
      <w:proofErr w:type="spellEnd"/>
      <w:r w:rsidR="009F444B" w:rsidRPr="006E52EE">
        <w:t xml:space="preserve"> = 927 °C</w:t>
      </w:r>
      <w:r w:rsidR="006E52EE">
        <w:t>, representative of a large crown fire</w:t>
      </w:r>
      <w:r w:rsidR="0073367A" w:rsidRPr="006E52EE">
        <w:t>.</w:t>
      </w:r>
      <w:r w:rsidR="00487242">
        <w:t xml:space="preserve"> </w:t>
      </w:r>
      <w:r w:rsidR="00D62BD0">
        <w:t xml:space="preserve"> </w:t>
      </w:r>
    </w:p>
    <w:p w14:paraId="18BAFA6F" w14:textId="1D087794" w:rsidR="00453E24" w:rsidRDefault="00C93CA5" w:rsidP="00D23B6C">
      <w:pPr>
        <w:pStyle w:val="CETheadingx"/>
      </w:pPr>
      <w:r>
        <w:lastRenderedPageBreak/>
        <w:t>Incident</w:t>
      </w:r>
      <w:r w:rsidR="00C541AD">
        <w:t xml:space="preserve"> heat flux on surface above pipelines</w:t>
      </w:r>
    </w:p>
    <w:p w14:paraId="34CF89CD" w14:textId="3FDC2D8E" w:rsidR="00D23B6C" w:rsidRPr="00D23B6C" w:rsidRDefault="00B77AE3" w:rsidP="00D23B6C">
      <w:pPr>
        <w:pStyle w:val="CETBodytext"/>
      </w:pPr>
      <w:r>
        <w:t>With</w:t>
      </w:r>
      <w:r w:rsidR="00D23B6C">
        <w:t xml:space="preserve"> the </w:t>
      </w:r>
      <w:r>
        <w:t>selected flame model</w:t>
      </w:r>
      <w:r w:rsidR="00D23B6C">
        <w:t xml:space="preserve">, the radiative heat flux per unit area reaching a target is given by: </w:t>
      </w:r>
    </w:p>
    <w:tbl>
      <w:tblPr>
        <w:tblW w:w="5000" w:type="pct"/>
        <w:tblLook w:val="04A0" w:firstRow="1" w:lastRow="0" w:firstColumn="1" w:lastColumn="0" w:noHBand="0" w:noVBand="1"/>
      </w:tblPr>
      <w:tblGrid>
        <w:gridCol w:w="7983"/>
        <w:gridCol w:w="804"/>
      </w:tblGrid>
      <w:tr w:rsidR="00F10539" w:rsidRPr="00B57B36" w14:paraId="48C192D2" w14:textId="77777777" w:rsidTr="00444333">
        <w:tc>
          <w:tcPr>
            <w:tcW w:w="8188" w:type="dxa"/>
            <w:shd w:val="clear" w:color="auto" w:fill="auto"/>
            <w:vAlign w:val="center"/>
          </w:tcPr>
          <w:p w14:paraId="49CF812F" w14:textId="0BFB0B5D" w:rsidR="00F10539" w:rsidRPr="00F10539" w:rsidRDefault="00F10539" w:rsidP="00444333">
            <w:pPr>
              <w:pStyle w:val="CETEquation"/>
              <w:rPr>
                <w:rFonts w:ascii="Cambria Math" w:hAnsi="Cambria Math"/>
                <w:i/>
                <w:iCs/>
                <w:lang w:val="fr-FR"/>
              </w:rPr>
            </w:pPr>
            <w:bookmarkStart w:id="2" w:name="_Hlk181979610"/>
            <m:oMathPara>
              <m:oMathParaPr>
                <m:jc m:val="left"/>
              </m:oMathParaPr>
              <m:oMath>
                <m:r>
                  <w:rPr>
                    <w:rFonts w:ascii="Cambria Math" w:hAnsi="Cambria Math"/>
                    <w:lang w:val="fr-FR"/>
                  </w:rPr>
                  <m:t>Q=</m:t>
                </m:r>
                <m:r>
                  <w:rPr>
                    <w:rFonts w:ascii="Cambria Math" w:hAnsi="Cambria Math"/>
                    <w:lang w:val="el-GR"/>
                  </w:rPr>
                  <m:t>τ</m:t>
                </m:r>
                <m:r>
                  <w:rPr>
                    <w:rFonts w:ascii="Cambria Math" w:hAnsi="Cambria Math"/>
                    <w:lang w:val="fr-FR"/>
                  </w:rPr>
                  <m:t> </m:t>
                </m:r>
                <m:r>
                  <w:rPr>
                    <w:rFonts w:ascii="Cambria Math" w:hAnsi="Cambria Math"/>
                  </w:rPr>
                  <m:t>·</m:t>
                </m:r>
                <m:r>
                  <w:rPr>
                    <w:rFonts w:ascii="Cambria Math" w:hAnsi="Cambria Math"/>
                    <w:lang w:val="fr-FR"/>
                  </w:rPr>
                  <m:t> F </m:t>
                </m:r>
                <m:r>
                  <w:rPr>
                    <w:rFonts w:ascii="Cambria Math" w:hAnsi="Cambria Math"/>
                  </w:rPr>
                  <m:t>·</m:t>
                </m:r>
                <m:r>
                  <w:rPr>
                    <w:rFonts w:ascii="Cambria Math" w:hAnsi="Cambria Math"/>
                    <w:lang w:val="fr-FR"/>
                  </w:rPr>
                  <m:t>E</m:t>
                </m:r>
              </m:oMath>
            </m:oMathPara>
          </w:p>
        </w:tc>
        <w:tc>
          <w:tcPr>
            <w:tcW w:w="815" w:type="dxa"/>
            <w:shd w:val="clear" w:color="auto" w:fill="auto"/>
            <w:vAlign w:val="center"/>
          </w:tcPr>
          <w:p w14:paraId="389BB6D3" w14:textId="2814DECC" w:rsidR="00F10539" w:rsidRPr="00B57B36" w:rsidRDefault="00F10539" w:rsidP="00444333">
            <w:pPr>
              <w:pStyle w:val="CETEquation"/>
              <w:jc w:val="right"/>
            </w:pPr>
            <w:r w:rsidRPr="00B57B36">
              <w:t>(</w:t>
            </w:r>
            <w:r>
              <w:t>2</w:t>
            </w:r>
            <w:r w:rsidRPr="00B57B36">
              <w:t>)</w:t>
            </w:r>
          </w:p>
        </w:tc>
      </w:tr>
    </w:tbl>
    <w:bookmarkEnd w:id="2"/>
    <w:p w14:paraId="54047406" w14:textId="6CA632FC" w:rsidR="00D23B6C" w:rsidRPr="009D2018" w:rsidRDefault="00D23B6C" w:rsidP="009D2018">
      <w:pPr>
        <w:pStyle w:val="CETBodytext"/>
      </w:pPr>
      <w:r w:rsidRPr="009D2018">
        <w:t xml:space="preserve">where </w:t>
      </w:r>
      <m:oMath>
        <m:r>
          <w:rPr>
            <w:rFonts w:ascii="Cambria Math" w:hAnsi="Cambria Math"/>
            <w:lang w:val="el-GR"/>
          </w:rPr>
          <m:t>τ</m:t>
        </m:r>
      </m:oMath>
      <w:r w:rsidRPr="009D2018">
        <w:t xml:space="preserve"> is </w:t>
      </w:r>
      <w:r w:rsidR="00764F3F">
        <w:t xml:space="preserve">the </w:t>
      </w:r>
      <w:r w:rsidRPr="009D2018">
        <w:t>transmissivity of air</w:t>
      </w:r>
      <w:r w:rsidR="009D2018">
        <w:t xml:space="preserve">, </w:t>
      </w:r>
      <w:r w:rsidR="00C93CA5" w:rsidRPr="009D2018">
        <w:t>F</w:t>
      </w:r>
      <w:r w:rsidR="00764F3F">
        <w:t xml:space="preserve"> is</w:t>
      </w:r>
      <w:r w:rsidRPr="009D2018">
        <w:t xml:space="preserve"> the view factor and </w:t>
      </w:r>
      <w:r w:rsidR="00C93CA5" w:rsidRPr="009D2018">
        <w:t>E</w:t>
      </w:r>
      <w:r w:rsidRPr="009D2018">
        <w:t xml:space="preserve"> </w:t>
      </w:r>
      <w:r w:rsidR="00764F3F">
        <w:t xml:space="preserve">is </w:t>
      </w:r>
      <w:r w:rsidRPr="009D2018">
        <w:t xml:space="preserve">the </w:t>
      </w:r>
      <w:r w:rsidR="00BA0627" w:rsidRPr="009D2018">
        <w:t>surface emi</w:t>
      </w:r>
      <w:r w:rsidR="00764F3F">
        <w:t>tted</w:t>
      </w:r>
      <w:r w:rsidR="00BA0627" w:rsidRPr="009D2018">
        <w:t xml:space="preserve"> power </w:t>
      </w:r>
      <w:r w:rsidRPr="009D2018">
        <w:t xml:space="preserve">(or </w:t>
      </w:r>
      <w:r w:rsidR="00BA0627">
        <w:t>emitted flux</w:t>
      </w:r>
      <w:r w:rsidRPr="009D2018">
        <w:t>)</w:t>
      </w:r>
      <w:r w:rsidR="009D2018">
        <w:t xml:space="preserve"> previously </w:t>
      </w:r>
      <w:r w:rsidR="005D14BF">
        <w:t xml:space="preserve">calculated in </w:t>
      </w:r>
      <w:proofErr w:type="gramStart"/>
      <w:r w:rsidR="005D14BF">
        <w:t>Eq</w:t>
      </w:r>
      <w:r w:rsidR="00487242">
        <w:t>(</w:t>
      </w:r>
      <w:proofErr w:type="gramEnd"/>
      <w:r w:rsidR="00487242">
        <w:t>1)</w:t>
      </w:r>
      <w:r w:rsidRPr="009D2018">
        <w:t>.</w:t>
      </w:r>
      <w:r w:rsidR="009D2018">
        <w:t xml:space="preserve"> The air transmissivity is set to 1, meaning that the air allows all radiation passing through it to be transmitted without any absorption or scattering</w:t>
      </w:r>
      <w:r w:rsidR="00C544FA">
        <w:t xml:space="preserve"> </w:t>
      </w:r>
      <w:r w:rsidR="00764F3F">
        <w:t>due to</w:t>
      </w:r>
      <w:r w:rsidR="00C544FA">
        <w:t xml:space="preserve"> the composition of the environment (humidity, smoke, …)</w:t>
      </w:r>
      <w:r w:rsidR="009D2018">
        <w:t xml:space="preserve">. </w:t>
      </w:r>
    </w:p>
    <w:p w14:paraId="1715BAF3" w14:textId="31E47F2C" w:rsidR="006172B0" w:rsidRPr="0007255C" w:rsidRDefault="00D23B6C" w:rsidP="00D23B6C">
      <w:pPr>
        <w:pStyle w:val="CETBodytext"/>
        <w:rPr>
          <w:color w:val="000000" w:themeColor="text1"/>
        </w:rPr>
      </w:pPr>
      <w:r w:rsidRPr="004E045F">
        <w:rPr>
          <w:color w:val="000000" w:themeColor="text1"/>
        </w:rPr>
        <w:t xml:space="preserve">The view factor </w:t>
      </w:r>
      <w:r w:rsidR="0007255C">
        <w:rPr>
          <w:color w:val="000000" w:themeColor="text1"/>
        </w:rPr>
        <w:t xml:space="preserve">represents the </w:t>
      </w:r>
      <w:r w:rsidRPr="004E045F">
        <w:rPr>
          <w:color w:val="000000" w:themeColor="text1"/>
        </w:rPr>
        <w:t>fraction of radiation leaving one surface and intercepted by another surface. For determining this value, some authors</w:t>
      </w:r>
      <w:r w:rsidR="008312F3">
        <w:rPr>
          <w:color w:val="000000" w:themeColor="text1"/>
        </w:rPr>
        <w:t xml:space="preserve"> used</w:t>
      </w:r>
      <w:r w:rsidRPr="004E045F">
        <w:rPr>
          <w:color w:val="000000" w:themeColor="text1"/>
        </w:rPr>
        <w:t xml:space="preserve"> geometric considerations</w:t>
      </w:r>
      <w:r w:rsidR="00943F86" w:rsidRPr="004E045F">
        <w:rPr>
          <w:color w:val="000000" w:themeColor="text1"/>
        </w:rPr>
        <w:t xml:space="preserve"> for simple cases</w:t>
      </w:r>
      <w:r w:rsidRPr="004E045F">
        <w:rPr>
          <w:color w:val="000000" w:themeColor="text1"/>
        </w:rPr>
        <w:t xml:space="preserve"> (Zarate et al., 20</w:t>
      </w:r>
      <w:r w:rsidR="00943F86" w:rsidRPr="004E045F">
        <w:rPr>
          <w:color w:val="000000" w:themeColor="text1"/>
        </w:rPr>
        <w:t xml:space="preserve">08, Rossi et al., 2011) or on the Monte Carlo method for complex cases (Heymes et al., 2013, Billaud et al., 2010). </w:t>
      </w:r>
      <w:r w:rsidR="008312F3">
        <w:t>T</w:t>
      </w:r>
      <w:r w:rsidR="0007255C">
        <w:t xml:space="preserve">he representation shown in Figure 1 can be </w:t>
      </w:r>
      <w:r w:rsidR="00764F3F">
        <w:t>simplified by setting certain parameters, as shown in Figure 2.</w:t>
      </w:r>
    </w:p>
    <w:p w14:paraId="6A90DB14" w14:textId="77777777" w:rsidR="00941031" w:rsidRDefault="00941031" w:rsidP="00941031">
      <w:r>
        <w:rPr>
          <w:noProof/>
        </w:rPr>
        <w:drawing>
          <wp:anchor distT="0" distB="0" distL="114300" distR="114300" simplePos="0" relativeHeight="251661312" behindDoc="0" locked="1" layoutInCell="1" allowOverlap="1" wp14:anchorId="1FAEB1E3" wp14:editId="15EE3AB3">
            <wp:simplePos x="0" y="0"/>
            <wp:positionH relativeFrom="margin">
              <wp:align>left</wp:align>
            </wp:positionH>
            <wp:positionV relativeFrom="paragraph">
              <wp:posOffset>152400</wp:posOffset>
            </wp:positionV>
            <wp:extent cx="2181225" cy="982345"/>
            <wp:effectExtent l="0" t="0" r="9525" b="8255"/>
            <wp:wrapSquare wrapText="bothSides"/>
            <wp:docPr id="19557326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32634" name="Image 1"/>
                    <pic:cNvPicPr/>
                  </pic:nvPicPr>
                  <pic:blipFill>
                    <a:blip r:embed="rId11"/>
                    <a:srcRect t="4497" b="4497"/>
                    <a:stretch>
                      <a:fillRect/>
                    </a:stretch>
                  </pic:blipFill>
                  <pic:spPr bwMode="auto">
                    <a:xfrm>
                      <a:off x="0" y="0"/>
                      <a:ext cx="2254653" cy="1015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318E64" w14:textId="77777777" w:rsidR="00941031" w:rsidRDefault="00941031" w:rsidP="00941031">
      <w:pPr>
        <w:pStyle w:val="CETBodytext"/>
        <w:rPr>
          <w:lang w:val="en-GB"/>
        </w:rPr>
      </w:pPr>
    </w:p>
    <w:p w14:paraId="52308365" w14:textId="77777777" w:rsidR="00941031" w:rsidRDefault="00941031" w:rsidP="00941031">
      <w:pPr>
        <w:pStyle w:val="CETBodytext"/>
        <w:rPr>
          <w:lang w:val="en-GB"/>
        </w:rPr>
      </w:pPr>
    </w:p>
    <w:p w14:paraId="2A2D9734" w14:textId="77777777" w:rsidR="00941031" w:rsidRDefault="00941031" w:rsidP="00941031">
      <w:pPr>
        <w:pStyle w:val="CETBodytext"/>
        <w:rPr>
          <w:lang w:val="en-GB"/>
        </w:rPr>
      </w:pPr>
    </w:p>
    <w:p w14:paraId="320E73BE" w14:textId="77777777" w:rsidR="00941031" w:rsidRDefault="00941031" w:rsidP="00941031">
      <w:pPr>
        <w:pStyle w:val="CETBodytext"/>
        <w:rPr>
          <w:lang w:val="en-GB"/>
        </w:rPr>
      </w:pPr>
    </w:p>
    <w:p w14:paraId="5BE0206B" w14:textId="77777777" w:rsidR="00941031" w:rsidRDefault="00941031" w:rsidP="00941031">
      <w:pPr>
        <w:pStyle w:val="CETBodytext"/>
        <w:rPr>
          <w:lang w:val="en-GB"/>
        </w:rPr>
      </w:pPr>
    </w:p>
    <w:p w14:paraId="5EB6E165" w14:textId="77777777" w:rsidR="00603C8E" w:rsidRDefault="00603C8E" w:rsidP="00941031">
      <w:pPr>
        <w:pStyle w:val="CETBodytext"/>
        <w:rPr>
          <w:lang w:val="en-GB"/>
        </w:rPr>
      </w:pPr>
    </w:p>
    <w:p w14:paraId="3907AF13" w14:textId="77777777" w:rsidR="00941031" w:rsidRDefault="00941031" w:rsidP="00941031">
      <w:pPr>
        <w:pStyle w:val="CETBodytext"/>
        <w:rPr>
          <w:lang w:val="en-GB"/>
        </w:rPr>
      </w:pPr>
    </w:p>
    <w:p w14:paraId="15975B28" w14:textId="6B52B23D" w:rsidR="00941031" w:rsidRDefault="00941031" w:rsidP="00941031">
      <w:pPr>
        <w:pStyle w:val="CETCaption"/>
      </w:pPr>
      <w:r>
        <w:t xml:space="preserve">Figure 2: Representation of the </w:t>
      </w:r>
      <w:r w:rsidR="008312F3">
        <w:t>geometrical configuration</w:t>
      </w:r>
    </w:p>
    <w:p w14:paraId="497401E0" w14:textId="338A18F2" w:rsidR="0007255C" w:rsidRDefault="00941031" w:rsidP="00D23B6C">
      <w:pPr>
        <w:pStyle w:val="CETBodytext"/>
        <w:rPr>
          <w:color w:val="000000" w:themeColor="text1"/>
        </w:rPr>
      </w:pPr>
      <w:r w:rsidRPr="004E045F">
        <w:rPr>
          <w:color w:val="000000" w:themeColor="text1"/>
        </w:rPr>
        <w:t>Th</w:t>
      </w:r>
      <w:r w:rsidR="0007255C">
        <w:rPr>
          <w:color w:val="000000" w:themeColor="text1"/>
        </w:rPr>
        <w:t>e view factor of this</w:t>
      </w:r>
      <w:r w:rsidRPr="004E045F">
        <w:rPr>
          <w:color w:val="000000" w:themeColor="text1"/>
        </w:rPr>
        <w:t xml:space="preserve"> </w:t>
      </w:r>
      <w:r w:rsidR="0007255C">
        <w:rPr>
          <w:color w:val="000000" w:themeColor="text1"/>
        </w:rPr>
        <w:t xml:space="preserve">configuration </w:t>
      </w:r>
      <w:r w:rsidRPr="004E045F">
        <w:rPr>
          <w:color w:val="000000" w:themeColor="text1"/>
        </w:rPr>
        <w:t xml:space="preserve">can be determined </w:t>
      </w:r>
      <w:r w:rsidR="00764F3F">
        <w:rPr>
          <w:color w:val="000000" w:themeColor="text1"/>
        </w:rPr>
        <w:t>by</w:t>
      </w:r>
      <w:r w:rsidR="0007255C">
        <w:rPr>
          <w:color w:val="000000" w:themeColor="text1"/>
        </w:rPr>
        <w:t xml:space="preserve"> simple</w:t>
      </w:r>
      <w:r w:rsidRPr="004E045F">
        <w:rPr>
          <w:color w:val="000000" w:themeColor="text1"/>
        </w:rPr>
        <w:t xml:space="preserve"> geometric considerations </w:t>
      </w:r>
      <w:r w:rsidR="0007255C">
        <w:rPr>
          <w:color w:val="000000" w:themeColor="text1"/>
        </w:rPr>
        <w:t>using</w:t>
      </w:r>
      <w:r w:rsidRPr="004E045F">
        <w:rPr>
          <w:color w:val="000000" w:themeColor="text1"/>
        </w:rPr>
        <w:t xml:space="preserve"> </w:t>
      </w:r>
      <w:r w:rsidR="00A93557" w:rsidRPr="004E045F">
        <w:rPr>
          <w:color w:val="000000" w:themeColor="text1"/>
        </w:rPr>
        <w:t>Hamilton and Morgan’s</w:t>
      </w:r>
      <w:r w:rsidRPr="004E045F">
        <w:rPr>
          <w:color w:val="000000" w:themeColor="text1"/>
        </w:rPr>
        <w:t xml:space="preserve"> formula</w:t>
      </w:r>
      <w:r w:rsidR="0007255C">
        <w:rPr>
          <w:color w:val="000000" w:themeColor="text1"/>
        </w:rPr>
        <w:t>,</w:t>
      </w:r>
      <w:r w:rsidRPr="004E045F">
        <w:rPr>
          <w:color w:val="000000" w:themeColor="text1"/>
        </w:rPr>
        <w:t xml:space="preserve"> as expressed in</w:t>
      </w:r>
      <w:r w:rsidR="00A93557" w:rsidRPr="004E045F">
        <w:rPr>
          <w:color w:val="000000" w:themeColor="text1"/>
        </w:rPr>
        <w:t xml:space="preserve"> equation 15 of</w:t>
      </w:r>
      <w:r w:rsidRPr="004E045F">
        <w:rPr>
          <w:color w:val="000000" w:themeColor="text1"/>
        </w:rPr>
        <w:t xml:space="preserve"> </w:t>
      </w:r>
      <w:r w:rsidR="00A93557" w:rsidRPr="004E045F">
        <w:rPr>
          <w:color w:val="000000" w:themeColor="text1"/>
        </w:rPr>
        <w:t>Mudan</w:t>
      </w:r>
      <w:r w:rsidRPr="004E045F">
        <w:rPr>
          <w:color w:val="000000" w:themeColor="text1"/>
        </w:rPr>
        <w:t xml:space="preserve"> (</w:t>
      </w:r>
      <w:r w:rsidR="00A93557" w:rsidRPr="004E045F">
        <w:rPr>
          <w:color w:val="000000" w:themeColor="text1"/>
        </w:rPr>
        <w:t>1987</w:t>
      </w:r>
      <w:r w:rsidRPr="004E045F">
        <w:rPr>
          <w:color w:val="000000" w:themeColor="text1"/>
        </w:rPr>
        <w:t>). The choice of this formula</w:t>
      </w:r>
      <w:r w:rsidR="00764F3F">
        <w:rPr>
          <w:color w:val="000000" w:themeColor="text1"/>
        </w:rPr>
        <w:t xml:space="preserve"> was </w:t>
      </w:r>
      <w:r w:rsidRPr="004E045F">
        <w:rPr>
          <w:color w:val="000000" w:themeColor="text1"/>
        </w:rPr>
        <w:t xml:space="preserve">formulated </w:t>
      </w:r>
      <w:r w:rsidR="00764F3F">
        <w:rPr>
          <w:color w:val="000000" w:themeColor="text1"/>
        </w:rPr>
        <w:t>by comparing several formulas</w:t>
      </w:r>
      <w:r w:rsidRPr="004E045F">
        <w:rPr>
          <w:color w:val="000000" w:themeColor="text1"/>
        </w:rPr>
        <w:t xml:space="preserve"> available in </w:t>
      </w:r>
      <w:r w:rsidR="00764F3F">
        <w:rPr>
          <w:color w:val="000000" w:themeColor="text1"/>
        </w:rPr>
        <w:t xml:space="preserve">the </w:t>
      </w:r>
      <w:r w:rsidR="00D35EB0" w:rsidRPr="004E045F">
        <w:rPr>
          <w:color w:val="000000" w:themeColor="text1"/>
        </w:rPr>
        <w:t>literature</w:t>
      </w:r>
      <w:r w:rsidRPr="004E045F">
        <w:rPr>
          <w:color w:val="000000" w:themeColor="text1"/>
        </w:rPr>
        <w:t xml:space="preserve">. In this formulation, the receiver is </w:t>
      </w:r>
      <w:r w:rsidR="0036491A" w:rsidRPr="004E045F">
        <w:rPr>
          <w:color w:val="000000" w:themeColor="text1"/>
        </w:rPr>
        <w:t xml:space="preserve">an element </w:t>
      </w:r>
      <w:r w:rsidRPr="004E045F">
        <w:rPr>
          <w:color w:val="000000" w:themeColor="text1"/>
        </w:rPr>
        <w:t xml:space="preserve">perpendicular to the </w:t>
      </w:r>
      <w:r w:rsidR="0007255C">
        <w:rPr>
          <w:color w:val="000000" w:themeColor="text1"/>
        </w:rPr>
        <w:t xml:space="preserve">XY plane, positioned in front of the center of the flame front, </w:t>
      </w:r>
      <w:r w:rsidR="0036491A" w:rsidRPr="004E045F">
        <w:rPr>
          <w:color w:val="000000" w:themeColor="text1"/>
        </w:rPr>
        <w:t xml:space="preserve">which is theoretically the point where the </w:t>
      </w:r>
      <w:r w:rsidR="009D279D" w:rsidRPr="004E045F">
        <w:rPr>
          <w:color w:val="000000" w:themeColor="text1"/>
        </w:rPr>
        <w:t xml:space="preserve">incident </w:t>
      </w:r>
      <w:r w:rsidR="00B945B1" w:rsidRPr="004E045F">
        <w:rPr>
          <w:color w:val="000000" w:themeColor="text1"/>
        </w:rPr>
        <w:t xml:space="preserve">heat </w:t>
      </w:r>
      <w:r w:rsidR="0036491A" w:rsidRPr="004E045F">
        <w:rPr>
          <w:color w:val="000000" w:themeColor="text1"/>
        </w:rPr>
        <w:t xml:space="preserve">flux </w:t>
      </w:r>
      <w:r w:rsidR="00B945B1" w:rsidRPr="004E045F">
        <w:rPr>
          <w:color w:val="000000" w:themeColor="text1"/>
        </w:rPr>
        <w:t>is</w:t>
      </w:r>
      <w:r w:rsidR="0007255C">
        <w:rPr>
          <w:color w:val="000000" w:themeColor="text1"/>
        </w:rPr>
        <w:t xml:space="preserve"> at its</w:t>
      </w:r>
      <w:r w:rsidR="0036491A" w:rsidRPr="004E045F">
        <w:rPr>
          <w:color w:val="000000" w:themeColor="text1"/>
        </w:rPr>
        <w:t xml:space="preserve"> maximum. </w:t>
      </w:r>
      <w:r w:rsidR="0095223C" w:rsidRPr="004E045F">
        <w:rPr>
          <w:color w:val="000000" w:themeColor="text1"/>
        </w:rPr>
        <w:t xml:space="preserve">Thanks to this formula, the angle between the flame front and the ground </w:t>
      </w:r>
      <w:r w:rsidR="0007255C">
        <w:rPr>
          <w:color w:val="000000" w:themeColor="text1"/>
        </w:rPr>
        <w:t>become</w:t>
      </w:r>
      <w:r w:rsidR="00764F3F">
        <w:rPr>
          <w:color w:val="000000" w:themeColor="text1"/>
        </w:rPr>
        <w:t>s</w:t>
      </w:r>
      <w:r w:rsidR="0007255C">
        <w:rPr>
          <w:color w:val="000000" w:themeColor="text1"/>
        </w:rPr>
        <w:t xml:space="preserve"> a variable parameter </w:t>
      </w:r>
      <w:r w:rsidR="00764F3F">
        <w:rPr>
          <w:color w:val="000000" w:themeColor="text1"/>
        </w:rPr>
        <w:t>to perform</w:t>
      </w:r>
      <w:r w:rsidR="0007255C">
        <w:rPr>
          <w:color w:val="000000" w:themeColor="text1"/>
        </w:rPr>
        <w:t xml:space="preserve"> a parametric study.</w:t>
      </w:r>
    </w:p>
    <w:p w14:paraId="08200D05" w14:textId="5D66E336" w:rsidR="00941031" w:rsidRPr="004E045F" w:rsidRDefault="0007255C" w:rsidP="00D23B6C">
      <w:pPr>
        <w:pStyle w:val="CETBodytext"/>
        <w:rPr>
          <w:color w:val="000000" w:themeColor="text1"/>
        </w:rPr>
      </w:pPr>
      <w:r>
        <w:rPr>
          <w:color w:val="000000" w:themeColor="text1"/>
        </w:rPr>
        <w:t xml:space="preserve">With the resolution of </w:t>
      </w:r>
      <w:proofErr w:type="gramStart"/>
      <w:r w:rsidR="00487242">
        <w:rPr>
          <w:color w:val="000000" w:themeColor="text1"/>
        </w:rPr>
        <w:t>Eq(</w:t>
      </w:r>
      <w:proofErr w:type="gramEnd"/>
      <w:r w:rsidR="00487242">
        <w:rPr>
          <w:color w:val="000000" w:themeColor="text1"/>
        </w:rPr>
        <w:t>1)</w:t>
      </w:r>
      <w:r>
        <w:rPr>
          <w:color w:val="000000" w:themeColor="text1"/>
        </w:rPr>
        <w:t xml:space="preserve"> and </w:t>
      </w:r>
      <w:r w:rsidR="00487242">
        <w:rPr>
          <w:color w:val="000000" w:themeColor="text1"/>
        </w:rPr>
        <w:t>Eq(2)</w:t>
      </w:r>
      <w:r>
        <w:rPr>
          <w:color w:val="000000" w:themeColor="text1"/>
        </w:rPr>
        <w:t>, it is therefore possible to evaluate the incident heat flux on a target</w:t>
      </w:r>
      <w:r w:rsidR="008312F3">
        <w:rPr>
          <w:color w:val="000000" w:themeColor="text1"/>
        </w:rPr>
        <w:t xml:space="preserve">, </w:t>
      </w:r>
      <w:r>
        <w:rPr>
          <w:color w:val="000000" w:themeColor="text1"/>
        </w:rPr>
        <w:t xml:space="preserve">the input data for the resolution of </w:t>
      </w:r>
      <w:r w:rsidR="00764F3F">
        <w:rPr>
          <w:color w:val="000000" w:themeColor="text1"/>
        </w:rPr>
        <w:t xml:space="preserve">the </w:t>
      </w:r>
      <w:r>
        <w:rPr>
          <w:color w:val="000000" w:themeColor="text1"/>
        </w:rPr>
        <w:t xml:space="preserve">thermal equation in </w:t>
      </w:r>
      <w:r w:rsidR="00764F3F">
        <w:rPr>
          <w:color w:val="000000" w:themeColor="text1"/>
        </w:rPr>
        <w:t>the ground</w:t>
      </w:r>
      <w:r w:rsidR="0027635C">
        <w:rPr>
          <w:color w:val="000000" w:themeColor="text1"/>
        </w:rPr>
        <w:t>.</w:t>
      </w:r>
      <w:r>
        <w:rPr>
          <w:color w:val="000000" w:themeColor="text1"/>
        </w:rPr>
        <w:t xml:space="preserve"> </w:t>
      </w:r>
    </w:p>
    <w:p w14:paraId="677EBFF0" w14:textId="70AD61B6" w:rsidR="00600535" w:rsidRDefault="00C541AD" w:rsidP="00600535">
      <w:pPr>
        <w:pStyle w:val="CETHeading1"/>
        <w:tabs>
          <w:tab w:val="clear" w:pos="360"/>
          <w:tab w:val="right" w:pos="7100"/>
        </w:tabs>
        <w:jc w:val="both"/>
        <w:rPr>
          <w:lang w:val="en-GB"/>
        </w:rPr>
      </w:pPr>
      <w:r>
        <w:rPr>
          <w:lang w:val="en-GB"/>
        </w:rPr>
        <w:t xml:space="preserve">Soil heat transfer </w:t>
      </w:r>
    </w:p>
    <w:p w14:paraId="1D7D8AE1" w14:textId="7C68F851" w:rsidR="00C541AD" w:rsidRPr="00C541AD" w:rsidRDefault="006431B9" w:rsidP="00C541AD">
      <w:pPr>
        <w:pStyle w:val="CETBodytext"/>
        <w:rPr>
          <w:lang w:val="en-GB"/>
        </w:rPr>
      </w:pPr>
      <w:r>
        <w:rPr>
          <w:lang w:val="en-GB"/>
        </w:rPr>
        <w:t xml:space="preserve">The problematic of heat transfer in soil is a domain </w:t>
      </w:r>
      <w:r w:rsidR="00764F3F">
        <w:rPr>
          <w:lang w:val="en-GB"/>
        </w:rPr>
        <w:t>that</w:t>
      </w:r>
      <w:r>
        <w:rPr>
          <w:lang w:val="en-GB"/>
        </w:rPr>
        <w:t>, like vegetation for forests,</w:t>
      </w:r>
      <w:r w:rsidR="00764F3F">
        <w:rPr>
          <w:lang w:val="en-GB"/>
        </w:rPr>
        <w:t xml:space="preserve"> is subject</w:t>
      </w:r>
      <w:r>
        <w:rPr>
          <w:lang w:val="en-GB"/>
        </w:rPr>
        <w:t xml:space="preserve"> to great variation due to the different types of soil that exist. In addition to the variation of mineral and organic composition, the percentage of saturation </w:t>
      </w:r>
      <w:r w:rsidR="008312F3">
        <w:rPr>
          <w:lang w:val="en-GB"/>
        </w:rPr>
        <w:t>of</w:t>
      </w:r>
      <w:r>
        <w:rPr>
          <w:lang w:val="en-GB"/>
        </w:rPr>
        <w:t xml:space="preserve"> air and water is an important aspect for the thermal diffusion. </w:t>
      </w:r>
      <w:r w:rsidR="0027635C">
        <w:rPr>
          <w:lang w:val="en-GB"/>
        </w:rPr>
        <w:t>Moreover, in this case, procedures for placing the backfill are also important factors. Indeed, the soil structure is affected by grain size sorting and compaction</w:t>
      </w:r>
      <w:r w:rsidR="002F3FE5">
        <w:rPr>
          <w:lang w:val="en-GB"/>
        </w:rPr>
        <w:t xml:space="preserve"> during operation. </w:t>
      </w:r>
      <w:r w:rsidR="0027635C">
        <w:rPr>
          <w:lang w:val="en-GB"/>
        </w:rPr>
        <w:t xml:space="preserve"> </w:t>
      </w:r>
    </w:p>
    <w:p w14:paraId="2E562C00" w14:textId="4F362D04" w:rsidR="004577FE" w:rsidRDefault="00C541AD" w:rsidP="00C541AD">
      <w:pPr>
        <w:pStyle w:val="CETheadingx"/>
      </w:pPr>
      <w:r>
        <w:t xml:space="preserve">Heat equation </w:t>
      </w:r>
    </w:p>
    <w:p w14:paraId="3E6DD448" w14:textId="1D3E082C" w:rsidR="00D8501D" w:rsidRPr="004E045F" w:rsidRDefault="00D8501D" w:rsidP="00D8501D">
      <w:pPr>
        <w:pStyle w:val="CETBodytext"/>
        <w:rPr>
          <w:color w:val="000000" w:themeColor="text1"/>
        </w:rPr>
      </w:pPr>
      <w:r w:rsidRPr="004E045F">
        <w:rPr>
          <w:color w:val="000000" w:themeColor="text1"/>
        </w:rPr>
        <w:t xml:space="preserve">A conservative way to estimate the heat transfer in </w:t>
      </w:r>
      <w:r w:rsidR="009B3F85">
        <w:rPr>
          <w:color w:val="000000" w:themeColor="text1"/>
        </w:rPr>
        <w:t xml:space="preserve">the </w:t>
      </w:r>
      <w:r w:rsidRPr="004E045F">
        <w:rPr>
          <w:color w:val="000000" w:themeColor="text1"/>
        </w:rPr>
        <w:t xml:space="preserve">soil is </w:t>
      </w:r>
      <w:r w:rsidR="009B3F85">
        <w:rPr>
          <w:color w:val="000000" w:themeColor="text1"/>
        </w:rPr>
        <w:t xml:space="preserve">to solve </w:t>
      </w:r>
      <w:r w:rsidRPr="004E045F">
        <w:rPr>
          <w:color w:val="000000" w:themeColor="text1"/>
        </w:rPr>
        <w:t>the transient heat equation in one</w:t>
      </w:r>
      <w:r w:rsidR="009B3F85">
        <w:rPr>
          <w:color w:val="000000" w:themeColor="text1"/>
        </w:rPr>
        <w:t xml:space="preserve"> </w:t>
      </w:r>
      <w:r w:rsidRPr="004E045F">
        <w:rPr>
          <w:color w:val="000000" w:themeColor="text1"/>
        </w:rPr>
        <w:t>direction (Richter et al., 2022)</w:t>
      </w:r>
      <w:r w:rsidR="00375999" w:rsidRPr="004E045F">
        <w:rPr>
          <w:color w:val="000000" w:themeColor="text1"/>
        </w:rPr>
        <w:t xml:space="preserve"> as shown in </w:t>
      </w:r>
      <w:proofErr w:type="gramStart"/>
      <w:r w:rsidR="00375999" w:rsidRPr="004E045F">
        <w:rPr>
          <w:color w:val="000000" w:themeColor="text1"/>
        </w:rPr>
        <w:t>Eq</w:t>
      </w:r>
      <w:r w:rsidR="00487242">
        <w:rPr>
          <w:color w:val="000000" w:themeColor="text1"/>
        </w:rPr>
        <w:t>(</w:t>
      </w:r>
      <w:proofErr w:type="gramEnd"/>
      <w:r w:rsidR="0084274A" w:rsidRPr="004E045F">
        <w:rPr>
          <w:color w:val="000000" w:themeColor="text1"/>
        </w:rPr>
        <w:t>3</w:t>
      </w:r>
      <w:r w:rsidR="00487242">
        <w:rPr>
          <w:color w:val="000000" w:themeColor="text1"/>
        </w:rPr>
        <w:t>)</w:t>
      </w:r>
      <w:r w:rsidRPr="004E045F">
        <w:rPr>
          <w:color w:val="000000" w:themeColor="text1"/>
        </w:rPr>
        <w:t xml:space="preserve">. </w:t>
      </w:r>
    </w:p>
    <w:tbl>
      <w:tblPr>
        <w:tblW w:w="5000" w:type="pct"/>
        <w:tblLook w:val="04A0" w:firstRow="1" w:lastRow="0" w:firstColumn="1" w:lastColumn="0" w:noHBand="0" w:noVBand="1"/>
      </w:tblPr>
      <w:tblGrid>
        <w:gridCol w:w="7984"/>
        <w:gridCol w:w="803"/>
      </w:tblGrid>
      <w:tr w:rsidR="00F10539" w:rsidRPr="00B57B36" w14:paraId="4981BB89" w14:textId="77777777" w:rsidTr="00444333">
        <w:tc>
          <w:tcPr>
            <w:tcW w:w="8188" w:type="dxa"/>
            <w:shd w:val="clear" w:color="auto" w:fill="auto"/>
            <w:vAlign w:val="center"/>
          </w:tcPr>
          <w:p w14:paraId="1CC0F881" w14:textId="5FF6E661" w:rsidR="00F10539" w:rsidRPr="00F10539" w:rsidRDefault="00000000" w:rsidP="00444333">
            <w:pPr>
              <w:pStyle w:val="CETEquation"/>
              <w:rPr>
                <w:lang w:val="en-US"/>
              </w:rPr>
            </w:pPr>
            <m:oMathPara>
              <m:oMathParaPr>
                <m:jc m:val="left"/>
              </m:oMathParaPr>
              <m:oMath>
                <m:f>
                  <m:fPr>
                    <m:ctrlPr>
                      <w:rPr>
                        <w:rFonts w:ascii="Cambria Math" w:hAnsi="Cambria Math"/>
                        <w:i/>
                        <w:iCs/>
                        <w:lang w:val="fr-FR"/>
                      </w:rPr>
                    </m:ctrlPr>
                  </m:fPr>
                  <m:num>
                    <m:r>
                      <w:rPr>
                        <w:rFonts w:ascii="Cambria Math" w:hAnsi="Cambria Math"/>
                        <w:lang w:val="fr-FR"/>
                      </w:rPr>
                      <m:t>∂T</m:t>
                    </m:r>
                    <m:r>
                      <w:rPr>
                        <w:rFonts w:ascii="Cambria Math" w:hAnsi="Cambria Math"/>
                        <w:lang w:val="en-US"/>
                      </w:rPr>
                      <m:t>(</m:t>
                    </m:r>
                    <m:r>
                      <w:rPr>
                        <w:rFonts w:ascii="Cambria Math" w:hAnsi="Cambria Math"/>
                        <w:lang w:val="fr-FR"/>
                      </w:rPr>
                      <m:t>z</m:t>
                    </m:r>
                    <m:r>
                      <w:rPr>
                        <w:rFonts w:ascii="Cambria Math" w:hAnsi="Cambria Math"/>
                        <w:lang w:val="en-US"/>
                      </w:rPr>
                      <m:t>,</m:t>
                    </m:r>
                    <m:r>
                      <w:rPr>
                        <w:rFonts w:ascii="Cambria Math" w:hAnsi="Cambria Math"/>
                        <w:lang w:val="fr-FR"/>
                      </w:rPr>
                      <m:t>t</m:t>
                    </m:r>
                    <m:r>
                      <w:rPr>
                        <w:rFonts w:ascii="Cambria Math" w:hAnsi="Cambria Math"/>
                        <w:lang w:val="en-US"/>
                      </w:rPr>
                      <m:t>)</m:t>
                    </m:r>
                  </m:num>
                  <m:den>
                    <m:r>
                      <w:rPr>
                        <w:rFonts w:ascii="Cambria Math" w:hAnsi="Cambria Math"/>
                        <w:lang w:val="fr-FR"/>
                      </w:rPr>
                      <m:t>∂t</m:t>
                    </m:r>
                  </m:den>
                </m:f>
                <m:r>
                  <m:rPr>
                    <m:sty m:val="p"/>
                  </m:rPr>
                  <w:rPr>
                    <w:rFonts w:ascii="Cambria Math" w:hAnsi="Cambria Math"/>
                    <w:lang w:val="en-US"/>
                  </w:rPr>
                  <m:t>=</m:t>
                </m:r>
                <m:r>
                  <w:rPr>
                    <w:rFonts w:ascii="Cambria Math" w:hAnsi="Cambria Math"/>
                    <w:lang w:val="fr-FR"/>
                  </w:rPr>
                  <m:t>α</m:t>
                </m:r>
                <m:r>
                  <m:rPr>
                    <m:nor/>
                  </m:rPr>
                  <w:rPr>
                    <w:lang w:val="en-US"/>
                  </w:rPr>
                  <m:t> </m:t>
                </m:r>
                <m:r>
                  <m:rPr>
                    <m:nor/>
                  </m:rPr>
                  <m:t>·</m:t>
                </m:r>
                <m:r>
                  <m:rPr>
                    <m:nor/>
                  </m:rPr>
                  <w:rPr>
                    <w:lang w:val="en-US"/>
                  </w:rPr>
                  <m:t> </m:t>
                </m:r>
                <m:f>
                  <m:fPr>
                    <m:ctrlPr>
                      <w:rPr>
                        <w:rFonts w:ascii="Cambria Math" w:hAnsi="Cambria Math"/>
                        <w:i/>
                        <w:iCs/>
                        <w:lang w:val="fr-FR"/>
                      </w:rPr>
                    </m:ctrlPr>
                  </m:fPr>
                  <m:num>
                    <m:sSup>
                      <m:sSupPr>
                        <m:ctrlPr>
                          <w:rPr>
                            <w:rFonts w:ascii="Cambria Math" w:hAnsi="Cambria Math"/>
                            <w:i/>
                            <w:iCs/>
                            <w:lang w:val="fr-FR"/>
                          </w:rPr>
                        </m:ctrlPr>
                      </m:sSupPr>
                      <m:e>
                        <m:r>
                          <w:rPr>
                            <w:rFonts w:ascii="Cambria Math" w:hAnsi="Cambria Math"/>
                            <w:lang w:val="fr-FR"/>
                          </w:rPr>
                          <m:t>∂</m:t>
                        </m:r>
                      </m:e>
                      <m:sup>
                        <m:r>
                          <m:rPr>
                            <m:sty m:val="p"/>
                          </m:rPr>
                          <w:rPr>
                            <w:rFonts w:ascii="Cambria Math" w:hAnsi="Cambria Math"/>
                            <w:lang w:val="en-US"/>
                          </w:rPr>
                          <m:t>2</m:t>
                        </m:r>
                      </m:sup>
                    </m:sSup>
                    <m:r>
                      <w:rPr>
                        <w:rFonts w:ascii="Cambria Math" w:hAnsi="Cambria Math"/>
                        <w:lang w:val="fr-FR"/>
                      </w:rPr>
                      <m:t>T</m:t>
                    </m:r>
                    <m:r>
                      <w:rPr>
                        <w:rFonts w:ascii="Cambria Math" w:hAnsi="Cambria Math"/>
                        <w:lang w:val="en-US"/>
                      </w:rPr>
                      <m:t>(</m:t>
                    </m:r>
                    <m:r>
                      <w:rPr>
                        <w:rFonts w:ascii="Cambria Math" w:hAnsi="Cambria Math"/>
                        <w:lang w:val="fr-FR"/>
                      </w:rPr>
                      <m:t>z</m:t>
                    </m:r>
                    <m:r>
                      <w:rPr>
                        <w:rFonts w:ascii="Cambria Math" w:hAnsi="Cambria Math"/>
                        <w:lang w:val="en-US"/>
                      </w:rPr>
                      <m:t>,</m:t>
                    </m:r>
                    <m:r>
                      <w:rPr>
                        <w:rFonts w:ascii="Cambria Math" w:hAnsi="Cambria Math"/>
                        <w:lang w:val="fr-FR"/>
                      </w:rPr>
                      <m:t>t</m:t>
                    </m:r>
                    <m:r>
                      <w:rPr>
                        <w:rFonts w:ascii="Cambria Math" w:hAnsi="Cambria Math"/>
                        <w:lang w:val="en-US"/>
                      </w:rPr>
                      <m:t>)</m:t>
                    </m:r>
                  </m:num>
                  <m:den>
                    <m:r>
                      <w:rPr>
                        <w:rFonts w:ascii="Cambria Math" w:hAnsi="Cambria Math"/>
                        <w:lang w:val="fr-FR"/>
                      </w:rPr>
                      <m:t>∂</m:t>
                    </m:r>
                    <m:sSup>
                      <m:sSupPr>
                        <m:ctrlPr>
                          <w:rPr>
                            <w:rFonts w:ascii="Cambria Math" w:hAnsi="Cambria Math"/>
                            <w:i/>
                            <w:iCs/>
                            <w:lang w:val="fr-FR"/>
                          </w:rPr>
                        </m:ctrlPr>
                      </m:sSupPr>
                      <m:e>
                        <m:r>
                          <w:rPr>
                            <w:rFonts w:ascii="Cambria Math" w:hAnsi="Cambria Math"/>
                            <w:lang w:val="fr-FR"/>
                          </w:rPr>
                          <m:t>z</m:t>
                        </m:r>
                      </m:e>
                      <m:sup>
                        <m:r>
                          <m:rPr>
                            <m:sty m:val="p"/>
                          </m:rPr>
                          <w:rPr>
                            <w:rFonts w:ascii="Cambria Math" w:hAnsi="Cambria Math"/>
                            <w:lang w:val="en-US"/>
                          </w:rPr>
                          <m:t>2</m:t>
                        </m:r>
                      </m:sup>
                    </m:sSup>
                  </m:den>
                </m:f>
                <m:r>
                  <m:rPr>
                    <m:sty m:val="p"/>
                  </m:rPr>
                  <w:rPr>
                    <w:rFonts w:ascii="Cambria Math" w:hAnsi="Cambria Math"/>
                    <w:lang w:val="en-US"/>
                  </w:rPr>
                  <m:t> </m:t>
                </m:r>
              </m:oMath>
            </m:oMathPara>
          </w:p>
        </w:tc>
        <w:tc>
          <w:tcPr>
            <w:tcW w:w="815" w:type="dxa"/>
            <w:shd w:val="clear" w:color="auto" w:fill="auto"/>
            <w:vAlign w:val="center"/>
          </w:tcPr>
          <w:p w14:paraId="320A2031" w14:textId="5D0DD429" w:rsidR="00F10539" w:rsidRPr="00B57B36" w:rsidRDefault="00F10539" w:rsidP="00444333">
            <w:pPr>
              <w:pStyle w:val="CETEquation"/>
              <w:jc w:val="right"/>
            </w:pPr>
            <w:r w:rsidRPr="00B57B36">
              <w:t>(</w:t>
            </w:r>
            <w:r>
              <w:t>3</w:t>
            </w:r>
            <w:r w:rsidRPr="00B57B36">
              <w:t>)</w:t>
            </w:r>
          </w:p>
        </w:tc>
      </w:tr>
    </w:tbl>
    <w:p w14:paraId="1D02DADD" w14:textId="1D5B8047" w:rsidR="00F30683" w:rsidRPr="00AC5512" w:rsidRDefault="00375999" w:rsidP="00AC5512">
      <w:pPr>
        <w:pStyle w:val="CETBodytext"/>
      </w:pPr>
      <w:r>
        <w:t xml:space="preserve">Where </w:t>
      </w:r>
      <w:r w:rsidR="004442E3">
        <w:rPr>
          <w:rFonts w:cs="Arial"/>
        </w:rPr>
        <w:t>α</w:t>
      </w:r>
      <w:r>
        <w:t xml:space="preserve"> is the thermal diffusivity of the soil, T is the soil temperature</w:t>
      </w:r>
      <w:r w:rsidR="00A52D25">
        <w:t>,</w:t>
      </w:r>
      <w:r>
        <w:t xml:space="preserve"> and z the depth below ground.</w:t>
      </w:r>
      <w:r w:rsidR="00F30683">
        <w:t xml:space="preserve"> </w:t>
      </w:r>
      <w:r w:rsidR="00A52D25">
        <w:t>To solve</w:t>
      </w:r>
      <w:r w:rsidR="00F30683">
        <w:t xml:space="preserve"> this equation, </w:t>
      </w:r>
      <w:r w:rsidR="00AC5512">
        <w:t xml:space="preserve">boundary conditions and an initial condition were applied. </w:t>
      </w:r>
      <w:r w:rsidR="00B50170" w:rsidRPr="004E045F">
        <w:rPr>
          <w:color w:val="000000" w:themeColor="text1"/>
        </w:rPr>
        <w:t xml:space="preserve">The temperature at time zero </w:t>
      </w:r>
      <w:r w:rsidR="00B945B1" w:rsidRPr="004E045F">
        <w:rPr>
          <w:color w:val="000000" w:themeColor="text1"/>
        </w:rPr>
        <w:t>T (</w:t>
      </w:r>
      <w:r w:rsidR="008312F3">
        <w:rPr>
          <w:color w:val="000000" w:themeColor="text1"/>
        </w:rPr>
        <w:t>z</w:t>
      </w:r>
      <w:r w:rsidR="00B945B1" w:rsidRPr="004E045F">
        <w:rPr>
          <w:color w:val="000000" w:themeColor="text1"/>
        </w:rPr>
        <w:t xml:space="preserve">, </w:t>
      </w:r>
      <w:r w:rsidR="008312F3">
        <w:rPr>
          <w:color w:val="000000" w:themeColor="text1"/>
        </w:rPr>
        <w:t>0</w:t>
      </w:r>
      <w:r w:rsidR="00B50170" w:rsidRPr="004E045F">
        <w:rPr>
          <w:color w:val="000000" w:themeColor="text1"/>
        </w:rPr>
        <w:t xml:space="preserve">) is </w:t>
      </w:r>
      <w:r w:rsidR="009B3F85">
        <w:rPr>
          <w:color w:val="000000" w:themeColor="text1"/>
        </w:rPr>
        <w:t xml:space="preserve">assumed </w:t>
      </w:r>
      <w:r w:rsidR="00B50170" w:rsidRPr="004E045F">
        <w:rPr>
          <w:color w:val="000000" w:themeColor="text1"/>
        </w:rPr>
        <w:t xml:space="preserve">equal to </w:t>
      </w:r>
      <w:r w:rsidR="00741E8A" w:rsidRPr="004E045F">
        <w:rPr>
          <w:color w:val="000000" w:themeColor="text1"/>
        </w:rPr>
        <w:t>30</w:t>
      </w:r>
      <w:r w:rsidR="00B50170" w:rsidRPr="004E045F">
        <w:rPr>
          <w:color w:val="000000" w:themeColor="text1"/>
        </w:rPr>
        <w:t xml:space="preserve"> °C</w:t>
      </w:r>
      <w:r w:rsidR="00B945B1" w:rsidRPr="004E045F">
        <w:rPr>
          <w:color w:val="000000" w:themeColor="text1"/>
        </w:rPr>
        <w:t xml:space="preserve"> between the surface and</w:t>
      </w:r>
      <w:r w:rsidR="00741E8A" w:rsidRPr="004E045F">
        <w:rPr>
          <w:color w:val="000000" w:themeColor="text1"/>
        </w:rPr>
        <w:t xml:space="preserve"> 1 m in depth</w:t>
      </w:r>
      <w:r w:rsidR="00B945B1" w:rsidRPr="004E045F">
        <w:rPr>
          <w:color w:val="000000" w:themeColor="text1"/>
        </w:rPr>
        <w:t>.</w:t>
      </w:r>
      <w:r w:rsidR="00741E8A" w:rsidRPr="004E045F">
        <w:rPr>
          <w:color w:val="000000" w:themeColor="text1"/>
        </w:rPr>
        <w:t xml:space="preserve"> Popiel et al. (2000) presented </w:t>
      </w:r>
      <w:r w:rsidR="00A52D25">
        <w:rPr>
          <w:color w:val="000000" w:themeColor="text1"/>
        </w:rPr>
        <w:t>measurements of temperature distribution in the ground from the summer of 1999 to the spring of 2001 in Poland, covering two different ground surfaces</w:t>
      </w:r>
      <w:r w:rsidR="00AC5512">
        <w:rPr>
          <w:color w:val="000000" w:themeColor="text1"/>
        </w:rPr>
        <w:t xml:space="preserve"> (car park and lawn)</w:t>
      </w:r>
      <w:r w:rsidR="00A52D25">
        <w:rPr>
          <w:color w:val="000000" w:themeColor="text1"/>
        </w:rPr>
        <w:t xml:space="preserve"> and various depths</w:t>
      </w:r>
      <w:r w:rsidR="00741E8A" w:rsidRPr="004E045F">
        <w:rPr>
          <w:color w:val="000000" w:themeColor="text1"/>
        </w:rPr>
        <w:t>.</w:t>
      </w:r>
      <w:r w:rsidR="00AC5512">
        <w:rPr>
          <w:color w:val="000000" w:themeColor="text1"/>
        </w:rPr>
        <w:t xml:space="preserve"> In the summer of 2000, the average ground temperature at dept</w:t>
      </w:r>
      <w:r w:rsidR="009B3F85">
        <w:rPr>
          <w:color w:val="000000" w:themeColor="text1"/>
        </w:rPr>
        <w:t>h</w:t>
      </w:r>
      <w:r w:rsidR="00AC5512">
        <w:rPr>
          <w:color w:val="000000" w:themeColor="text1"/>
        </w:rPr>
        <w:t>s between 0 and 0.5 m was recorded at 25</w:t>
      </w:r>
      <w:r w:rsidR="001C3FA7">
        <w:rPr>
          <w:color w:val="000000" w:themeColor="text1"/>
        </w:rPr>
        <w:t xml:space="preserve"> </w:t>
      </w:r>
      <w:r w:rsidR="00AC5512">
        <w:rPr>
          <w:color w:val="000000" w:themeColor="text1"/>
        </w:rPr>
        <w:t>°C and 20</w:t>
      </w:r>
      <w:r w:rsidR="001C3FA7">
        <w:rPr>
          <w:color w:val="000000" w:themeColor="text1"/>
        </w:rPr>
        <w:t xml:space="preserve"> </w:t>
      </w:r>
      <w:r w:rsidR="00AC5512">
        <w:rPr>
          <w:color w:val="000000" w:themeColor="text1"/>
        </w:rPr>
        <w:t xml:space="preserve">°C for the two different </w:t>
      </w:r>
      <w:r w:rsidR="009B3F85">
        <w:rPr>
          <w:color w:val="000000" w:themeColor="text1"/>
        </w:rPr>
        <w:t>soil</w:t>
      </w:r>
      <w:r w:rsidR="00AC5512">
        <w:rPr>
          <w:color w:val="000000" w:themeColor="text1"/>
        </w:rPr>
        <w:t xml:space="preserve"> surfaces, while a temperature close to 20 °C was measured at a depth of 1 m. </w:t>
      </w:r>
      <w:r w:rsidR="00504E1A">
        <w:rPr>
          <w:color w:val="000000" w:themeColor="text1"/>
        </w:rPr>
        <w:t>The selection of 30 °C as a representative value seems to be a reasonable and conservative estimate for the first meter of soil during the dry season in France. While this value is more indicative of surface temperatures during the hot season rather than subsurface ground temperatures, which typically range between 15 °C and 25 °C</w:t>
      </w:r>
      <w:r w:rsidR="0036320D">
        <w:rPr>
          <w:color w:val="000000" w:themeColor="text1"/>
        </w:rPr>
        <w:t xml:space="preserve"> (as noted in the </w:t>
      </w:r>
      <w:proofErr w:type="spellStart"/>
      <w:r w:rsidR="0036320D">
        <w:rPr>
          <w:color w:val="000000" w:themeColor="text1"/>
        </w:rPr>
        <w:t>Météo</w:t>
      </w:r>
      <w:proofErr w:type="spellEnd"/>
      <w:r w:rsidR="0036320D">
        <w:rPr>
          <w:color w:val="000000" w:themeColor="text1"/>
        </w:rPr>
        <w:t xml:space="preserve"> France database)</w:t>
      </w:r>
      <w:r w:rsidR="00504E1A">
        <w:rPr>
          <w:color w:val="000000" w:themeColor="text1"/>
        </w:rPr>
        <w:t xml:space="preserve">, the difference is </w:t>
      </w:r>
      <w:r w:rsidR="0036320D">
        <w:rPr>
          <w:color w:val="000000" w:themeColor="text1"/>
        </w:rPr>
        <w:t>negligible for the purposes of this analysis</w:t>
      </w:r>
      <w:r w:rsidR="00504E1A">
        <w:rPr>
          <w:color w:val="000000" w:themeColor="text1"/>
        </w:rPr>
        <w:t>.</w:t>
      </w:r>
      <w:r w:rsidR="0027511D">
        <w:rPr>
          <w:color w:val="000000" w:themeColor="text1"/>
        </w:rPr>
        <w:t xml:space="preserve"> </w:t>
      </w:r>
    </w:p>
    <w:p w14:paraId="34B5D14F" w14:textId="4747A46B" w:rsidR="00B945B1" w:rsidRDefault="008C0A48" w:rsidP="00AC5512">
      <w:pPr>
        <w:pStyle w:val="CETBodytext"/>
      </w:pPr>
      <w:r>
        <w:lastRenderedPageBreak/>
        <w:t>At the</w:t>
      </w:r>
      <w:r w:rsidR="009B3F85">
        <w:t xml:space="preserve"> upper</w:t>
      </w:r>
      <w:r>
        <w:t xml:space="preserve"> boundary, the</w:t>
      </w:r>
      <w:r w:rsidR="009D279D">
        <w:t xml:space="preserve"> surface</w:t>
      </w:r>
      <w:r>
        <w:t xml:space="preserve"> </w:t>
      </w:r>
      <w:r w:rsidR="009D279D">
        <w:t xml:space="preserve">is </w:t>
      </w:r>
      <w:r>
        <w:t>continuously exposed to the incident heat flux</w:t>
      </w:r>
      <w:r w:rsidR="00655BF7">
        <w:t>,</w:t>
      </w:r>
      <w:r>
        <w:t xml:space="preserve"> which is</w:t>
      </w:r>
      <w:r w:rsidR="00655BF7">
        <w:t xml:space="preserve"> absorbed by the soil</w:t>
      </w:r>
      <w:r>
        <w:t>.</w:t>
      </w:r>
      <w:r w:rsidR="009D279D">
        <w:t xml:space="preserve"> </w:t>
      </w:r>
      <w:r>
        <w:t>This is modeled using</w:t>
      </w:r>
      <w:r w:rsidR="009B3F85">
        <w:t xml:space="preserve"> the</w:t>
      </w:r>
      <w:r>
        <w:t xml:space="preserve"> </w:t>
      </w:r>
      <w:r w:rsidR="009D279D">
        <w:t xml:space="preserve">Neumann’s </w:t>
      </w:r>
      <w:r>
        <w:t xml:space="preserve">boundary </w:t>
      </w:r>
      <w:r w:rsidR="009D279D">
        <w:t>condition</w:t>
      </w:r>
      <w:r>
        <w:t>,</w:t>
      </w:r>
      <w:r w:rsidR="009D279D">
        <w:t xml:space="preserve"> </w:t>
      </w:r>
      <w:r>
        <w:t>as</w:t>
      </w:r>
      <w:r w:rsidR="009D279D">
        <w:t xml:space="preserve"> defined as</w:t>
      </w:r>
      <w:r w:rsidR="0084274A">
        <w:t xml:space="preserve"> represented in </w:t>
      </w:r>
      <w:proofErr w:type="gramStart"/>
      <w:r w:rsidR="00487242">
        <w:t>Eq(</w:t>
      </w:r>
      <w:proofErr w:type="gramEnd"/>
      <w:r w:rsidR="00487242">
        <w:t>4)</w:t>
      </w:r>
      <w:r>
        <w:t>,</w:t>
      </w:r>
      <w:r w:rsidR="0084274A">
        <w:t xml:space="preserve"> where </w:t>
      </w:r>
      <w:r w:rsidR="0084274A">
        <w:rPr>
          <w:rFonts w:cs="Arial"/>
        </w:rPr>
        <w:t>λ</w:t>
      </w:r>
      <w:r w:rsidR="0084274A">
        <w:t xml:space="preserve"> </w:t>
      </w:r>
      <w:r>
        <w:t>represents the soil’s thermal conductivity</w:t>
      </w:r>
      <w:r w:rsidR="0084274A">
        <w:t>.</w:t>
      </w:r>
    </w:p>
    <w:tbl>
      <w:tblPr>
        <w:tblW w:w="5000" w:type="pct"/>
        <w:tblLook w:val="04A0" w:firstRow="1" w:lastRow="0" w:firstColumn="1" w:lastColumn="0" w:noHBand="0" w:noVBand="1"/>
      </w:tblPr>
      <w:tblGrid>
        <w:gridCol w:w="7983"/>
        <w:gridCol w:w="804"/>
      </w:tblGrid>
      <w:tr w:rsidR="00F10539" w:rsidRPr="00B57B36" w14:paraId="089AAD85" w14:textId="77777777" w:rsidTr="00444333">
        <w:tc>
          <w:tcPr>
            <w:tcW w:w="8188" w:type="dxa"/>
            <w:shd w:val="clear" w:color="auto" w:fill="auto"/>
            <w:vAlign w:val="center"/>
          </w:tcPr>
          <w:p w14:paraId="508E41DB" w14:textId="7648860C" w:rsidR="00F10539" w:rsidRPr="00F10539" w:rsidRDefault="00F10539" w:rsidP="00444333">
            <w:pPr>
              <w:pStyle w:val="CETEquation"/>
              <w:rPr>
                <w:lang w:val="fr-FR"/>
              </w:rPr>
            </w:pPr>
            <m:oMathPara>
              <m:oMathParaPr>
                <m:jc m:val="left"/>
              </m:oMathParaPr>
              <m:oMath>
                <m:r>
                  <w:rPr>
                    <w:rFonts w:ascii="Cambria Math" w:hAnsi="Cambria Math"/>
                    <w:lang w:val="fr-FR"/>
                  </w:rPr>
                  <m:t>-λ </m:t>
                </m:r>
                <m:r>
                  <m:rPr>
                    <m:nor/>
                  </m:rPr>
                  <m:t>·</m:t>
                </m:r>
                <m:r>
                  <w:rPr>
                    <w:rFonts w:ascii="Cambria Math" w:hAnsi="Cambria Math"/>
                    <w:lang w:val="fr-FR"/>
                  </w:rPr>
                  <m:t> </m:t>
                </m:r>
                <m:f>
                  <m:fPr>
                    <m:ctrlPr>
                      <w:rPr>
                        <w:rFonts w:ascii="Cambria Math" w:hAnsi="Cambria Math"/>
                        <w:i/>
                        <w:iCs/>
                        <w:lang w:val="fr-FR"/>
                      </w:rPr>
                    </m:ctrlPr>
                  </m:fPr>
                  <m:num>
                    <m:r>
                      <w:rPr>
                        <w:rFonts w:ascii="Cambria Math" w:hAnsi="Cambria Math"/>
                        <w:lang w:val="fr-FR"/>
                      </w:rPr>
                      <m:t>∂T(0,t)</m:t>
                    </m:r>
                  </m:num>
                  <m:den>
                    <m:r>
                      <w:rPr>
                        <w:rFonts w:ascii="Cambria Math" w:hAnsi="Cambria Math"/>
                        <w:lang w:val="fr-FR"/>
                      </w:rPr>
                      <m:t>∂t</m:t>
                    </m:r>
                  </m:den>
                </m:f>
                <m:r>
                  <m:rPr>
                    <m:sty m:val="p"/>
                  </m:rPr>
                  <w:rPr>
                    <w:rFonts w:ascii="Cambria Math" w:hAnsi="Cambria Math"/>
                    <w:lang w:val="fr-FR"/>
                  </w:rPr>
                  <m:t>=</m:t>
                </m:r>
                <m:r>
                  <w:rPr>
                    <w:rFonts w:ascii="Cambria Math" w:hAnsi="Cambria Math"/>
                    <w:lang w:val="fr-FR"/>
                  </w:rPr>
                  <m:t>Q</m:t>
                </m:r>
              </m:oMath>
            </m:oMathPara>
          </w:p>
        </w:tc>
        <w:tc>
          <w:tcPr>
            <w:tcW w:w="815" w:type="dxa"/>
            <w:shd w:val="clear" w:color="auto" w:fill="auto"/>
            <w:vAlign w:val="center"/>
          </w:tcPr>
          <w:p w14:paraId="7C8154AF" w14:textId="031495CF" w:rsidR="00F10539" w:rsidRPr="00B57B36" w:rsidRDefault="00F10539" w:rsidP="00444333">
            <w:pPr>
              <w:pStyle w:val="CETEquation"/>
              <w:jc w:val="right"/>
            </w:pPr>
            <w:r w:rsidRPr="00B57B36">
              <w:t>(</w:t>
            </w:r>
            <w:r>
              <w:t>4</w:t>
            </w:r>
            <w:r w:rsidRPr="00B57B36">
              <w:t>)</w:t>
            </w:r>
          </w:p>
        </w:tc>
      </w:tr>
    </w:tbl>
    <w:p w14:paraId="1B05B964" w14:textId="0C6A0E12" w:rsidR="00BE483D" w:rsidRDefault="00BE483D" w:rsidP="00B50170">
      <w:pPr>
        <w:pStyle w:val="CETBodytext"/>
      </w:pPr>
      <w:r w:rsidRPr="009706E1">
        <w:rPr>
          <w:color w:val="000000" w:themeColor="text1"/>
        </w:rPr>
        <w:t xml:space="preserve">However, the </w:t>
      </w:r>
      <w:r w:rsidR="009B3F85">
        <w:rPr>
          <w:color w:val="000000" w:themeColor="text1"/>
        </w:rPr>
        <w:t>emissivity</w:t>
      </w:r>
      <w:r w:rsidRPr="009706E1">
        <w:rPr>
          <w:color w:val="000000" w:themeColor="text1"/>
        </w:rPr>
        <w:t xml:space="preserve"> of the soil must be considered. Indeed, the emissivity </w:t>
      </w:r>
      <w:r w:rsidR="009B3F85">
        <w:rPr>
          <w:color w:val="000000" w:themeColor="text1"/>
        </w:rPr>
        <w:t xml:space="preserve">of the previously mentioned type </w:t>
      </w:r>
      <w:r w:rsidRPr="009706E1">
        <w:rPr>
          <w:color w:val="000000" w:themeColor="text1"/>
        </w:rPr>
        <w:t>of soil is known and e</w:t>
      </w:r>
      <w:r w:rsidR="009B3F85">
        <w:rPr>
          <w:color w:val="000000" w:themeColor="text1"/>
        </w:rPr>
        <w:t>qual</w:t>
      </w:r>
      <w:r w:rsidRPr="009706E1">
        <w:rPr>
          <w:color w:val="000000" w:themeColor="text1"/>
        </w:rPr>
        <w:t xml:space="preserve"> to an average value of 0.97 (Zhihao et al., 2006). This </w:t>
      </w:r>
      <w:r>
        <w:t xml:space="preserve">condition, </w:t>
      </w:r>
      <w:r w:rsidR="009B3F85">
        <w:t>close to</w:t>
      </w:r>
      <w:r>
        <w:t xml:space="preserve"> the black body condition, is integrated to the boundary conditions </w:t>
      </w:r>
      <w:r w:rsidR="009B3F85">
        <w:t>at</w:t>
      </w:r>
      <w:r>
        <w:t xml:space="preserve"> the soil surface.</w:t>
      </w:r>
    </w:p>
    <w:p w14:paraId="09C5571C" w14:textId="4E66C305" w:rsidR="00BE483D" w:rsidRPr="00375999" w:rsidRDefault="00BE483D" w:rsidP="00B50170">
      <w:pPr>
        <w:pStyle w:val="CETBodytext"/>
      </w:pPr>
      <w:r>
        <w:t xml:space="preserve">For numerical </w:t>
      </w:r>
      <w:r w:rsidR="009B3F85">
        <w:t>solution</w:t>
      </w:r>
      <w:r>
        <w:t xml:space="preserve">, the equation was discretized using the finite element method and implemented in MATLAB, </w:t>
      </w:r>
      <w:r w:rsidR="009B3F85">
        <w:t>using the</w:t>
      </w:r>
      <w:r>
        <w:t xml:space="preserve"> Euler numerical scheme applied for discretization.</w:t>
      </w:r>
    </w:p>
    <w:p w14:paraId="088A134E" w14:textId="3C23F78A" w:rsidR="00600535" w:rsidRDefault="00DB1FCF" w:rsidP="00BD077D">
      <w:pPr>
        <w:pStyle w:val="CETheadingx"/>
      </w:pPr>
      <w:r>
        <w:t>Parameter selection</w:t>
      </w:r>
    </w:p>
    <w:p w14:paraId="26270676" w14:textId="357C0FEC" w:rsidR="00BC1C31" w:rsidRPr="004E045F" w:rsidRDefault="00063A5E" w:rsidP="00063A5E">
      <w:pPr>
        <w:pStyle w:val="CETBodytext"/>
        <w:rPr>
          <w:color w:val="000000" w:themeColor="text1"/>
        </w:rPr>
      </w:pPr>
      <w:r w:rsidRPr="004E045F">
        <w:rPr>
          <w:color w:val="000000" w:themeColor="text1"/>
        </w:rPr>
        <w:t xml:space="preserve">In this study, the soil is considered as a homogeneous solid body, without water and air, and where the </w:t>
      </w:r>
      <w:r w:rsidR="009B3F85">
        <w:rPr>
          <w:color w:val="000000" w:themeColor="text1"/>
        </w:rPr>
        <w:t>main</w:t>
      </w:r>
      <w:r w:rsidRPr="004E045F">
        <w:rPr>
          <w:color w:val="000000" w:themeColor="text1"/>
        </w:rPr>
        <w:t xml:space="preserve"> parameter that can influence the </w:t>
      </w:r>
      <w:r w:rsidR="009B3F85">
        <w:rPr>
          <w:color w:val="000000" w:themeColor="text1"/>
        </w:rPr>
        <w:t>heat</w:t>
      </w:r>
      <w:r w:rsidRPr="004E045F">
        <w:rPr>
          <w:color w:val="000000" w:themeColor="text1"/>
        </w:rPr>
        <w:t xml:space="preserve"> transfer is the choice of the thermal diffusivity of the </w:t>
      </w:r>
      <w:r w:rsidR="00CB1442">
        <w:rPr>
          <w:color w:val="000000" w:themeColor="text1"/>
        </w:rPr>
        <w:t>solid</w:t>
      </w:r>
      <w:r w:rsidRPr="004E045F">
        <w:rPr>
          <w:color w:val="000000" w:themeColor="text1"/>
        </w:rPr>
        <w:t xml:space="preserve">. Realistic models exist </w:t>
      </w:r>
      <w:r w:rsidR="009B3F85">
        <w:rPr>
          <w:color w:val="000000" w:themeColor="text1"/>
        </w:rPr>
        <w:t xml:space="preserve">such </w:t>
      </w:r>
      <w:r w:rsidRPr="004E045F">
        <w:rPr>
          <w:color w:val="000000" w:themeColor="text1"/>
        </w:rPr>
        <w:t>as the model developed by Massmann (202</w:t>
      </w:r>
      <w:r w:rsidR="004E045F">
        <w:rPr>
          <w:color w:val="000000" w:themeColor="text1"/>
        </w:rPr>
        <w:t>1</w:t>
      </w:r>
      <w:r w:rsidRPr="004E045F">
        <w:rPr>
          <w:color w:val="000000" w:themeColor="text1"/>
        </w:rPr>
        <w:t>)</w:t>
      </w:r>
      <w:r w:rsidR="009B3F85">
        <w:rPr>
          <w:color w:val="000000" w:themeColor="text1"/>
        </w:rPr>
        <w:t>,</w:t>
      </w:r>
      <w:r w:rsidRPr="004E045F">
        <w:rPr>
          <w:color w:val="000000" w:themeColor="text1"/>
        </w:rPr>
        <w:t xml:space="preserve"> where the soil is a heterogeneous body with air and water and where the phenomenon of evaporation is considered. </w:t>
      </w:r>
      <w:r w:rsidR="00A457EA">
        <w:rPr>
          <w:color w:val="000000" w:themeColor="text1"/>
        </w:rPr>
        <w:t xml:space="preserve">With a conservative approach and a simplified resolution, the homogeneous model is preferred, </w:t>
      </w:r>
      <w:r w:rsidR="009B3F85">
        <w:rPr>
          <w:color w:val="000000" w:themeColor="text1"/>
        </w:rPr>
        <w:t>recognizing</w:t>
      </w:r>
      <w:r w:rsidR="00A457EA">
        <w:rPr>
          <w:color w:val="000000" w:themeColor="text1"/>
        </w:rPr>
        <w:t xml:space="preserve"> its inherent limitations.</w:t>
      </w:r>
      <w:r w:rsidR="003F7D25">
        <w:rPr>
          <w:color w:val="000000" w:themeColor="text1"/>
        </w:rPr>
        <w:t xml:space="preserve"> </w:t>
      </w:r>
      <w:r w:rsidR="009B3F85">
        <w:rPr>
          <w:color w:val="000000" w:themeColor="text1"/>
        </w:rPr>
        <w:t>In addition</w:t>
      </w:r>
      <w:r w:rsidR="00D34B3D">
        <w:rPr>
          <w:color w:val="000000" w:themeColor="text1"/>
        </w:rPr>
        <w:t xml:space="preserve">, the thermal diffusivity is assumed to be constant, despite its inherent dependence on temperature variations. This approach is similarly applied to the thermal conductivity, density, and heat capacity of the soil. </w:t>
      </w:r>
      <w:r w:rsidR="003F7D25">
        <w:rPr>
          <w:color w:val="000000" w:themeColor="text1"/>
        </w:rPr>
        <w:t xml:space="preserve"> </w:t>
      </w:r>
    </w:p>
    <w:p w14:paraId="5D9B5697" w14:textId="73A517AE" w:rsidR="00397B6F" w:rsidRPr="00397B6F" w:rsidRDefault="009B3F85" w:rsidP="00397B6F">
      <w:pPr>
        <w:pStyle w:val="CETBodytext"/>
        <w:rPr>
          <w:vertAlign w:val="superscript"/>
        </w:rPr>
      </w:pPr>
      <w:r>
        <w:t xml:space="preserve">A study was therefore carried out on </w:t>
      </w:r>
      <w:r w:rsidR="00BC1C31">
        <w:t xml:space="preserve">this parameter </w:t>
      </w:r>
      <w:r>
        <w:t>in order</w:t>
      </w:r>
      <w:r w:rsidR="00BC1C31">
        <w:t xml:space="preserve"> to be representative of the </w:t>
      </w:r>
      <w:r w:rsidR="00D34B3D">
        <w:t>soil</w:t>
      </w:r>
      <w:r>
        <w:t>s</w:t>
      </w:r>
      <w:r w:rsidR="00D34B3D">
        <w:t xml:space="preserve"> in France</w:t>
      </w:r>
      <w:r w:rsidR="00BC1C31">
        <w:t xml:space="preserve"> that are commonly crossed by </w:t>
      </w:r>
      <w:r>
        <w:t xml:space="preserve">the </w:t>
      </w:r>
      <w:r w:rsidR="00BC1C31">
        <w:t xml:space="preserve">gas network. </w:t>
      </w:r>
      <w:r w:rsidR="00B50E55">
        <w:t xml:space="preserve">This soil </w:t>
      </w:r>
      <w:r>
        <w:t xml:space="preserve">is mainly composed </w:t>
      </w:r>
      <w:r w:rsidR="00B50E55">
        <w:t>of limestone, sand, silt, and clay in varying proportions, which, when combined, can form textures such as sandy loam, clay loam, silt loam, …</w:t>
      </w:r>
      <w:r w:rsidR="007E0465" w:rsidRPr="009706E1">
        <w:rPr>
          <w:color w:val="000000" w:themeColor="text1"/>
        </w:rPr>
        <w:t xml:space="preserve"> A local study must be </w:t>
      </w:r>
      <w:r>
        <w:rPr>
          <w:color w:val="000000" w:themeColor="text1"/>
        </w:rPr>
        <w:t>performed</w:t>
      </w:r>
      <w:r w:rsidR="007E0465" w:rsidRPr="009706E1">
        <w:rPr>
          <w:color w:val="000000" w:themeColor="text1"/>
        </w:rPr>
        <w:t xml:space="preserve"> for any section of the gas network to be representative but in the case of this </w:t>
      </w:r>
      <w:r w:rsidR="00B50E55" w:rsidRPr="009706E1">
        <w:rPr>
          <w:color w:val="000000" w:themeColor="text1"/>
        </w:rPr>
        <w:t>study,</w:t>
      </w:r>
      <w:r w:rsidR="00B50E55">
        <w:rPr>
          <w:color w:val="000000" w:themeColor="text1"/>
        </w:rPr>
        <w:t xml:space="preserve"> </w:t>
      </w:r>
      <w:r w:rsidR="00B50E55" w:rsidRPr="009706E1">
        <w:rPr>
          <w:color w:val="000000" w:themeColor="text1"/>
        </w:rPr>
        <w:t>a</w:t>
      </w:r>
      <w:r w:rsidR="00B50E55">
        <w:rPr>
          <w:color w:val="000000" w:themeColor="text1"/>
        </w:rPr>
        <w:t xml:space="preserve"> universal</w:t>
      </w:r>
      <w:r w:rsidR="007E0465" w:rsidRPr="009706E1">
        <w:rPr>
          <w:color w:val="000000" w:themeColor="text1"/>
        </w:rPr>
        <w:t xml:space="preserve"> value</w:t>
      </w:r>
      <w:r>
        <w:rPr>
          <w:color w:val="000000" w:themeColor="text1"/>
        </w:rPr>
        <w:t xml:space="preserve"> for thermal diffusivity, found in the literature, was chosen. </w:t>
      </w:r>
      <w:r w:rsidR="00397B6F" w:rsidRPr="009706E1">
        <w:rPr>
          <w:color w:val="000000" w:themeColor="text1"/>
        </w:rPr>
        <w:t>Ochsner et al. (2001) and Richter et al. (2022) have suggested a thermal diffusivity of 1.8 10</w:t>
      </w:r>
      <w:r w:rsidR="00397B6F" w:rsidRPr="009706E1">
        <w:rPr>
          <w:color w:val="000000" w:themeColor="text1"/>
          <w:vertAlign w:val="superscript"/>
        </w:rPr>
        <w:t>-6</w:t>
      </w:r>
      <w:r w:rsidR="00397B6F" w:rsidRPr="009706E1">
        <w:rPr>
          <w:color w:val="000000" w:themeColor="text1"/>
        </w:rPr>
        <w:t xml:space="preserve"> m²/s for a sandy loam soil (with most of the sand). Other values are available in Ochsner et al. (2001) and </w:t>
      </w:r>
      <w:r>
        <w:rPr>
          <w:color w:val="000000" w:themeColor="text1"/>
        </w:rPr>
        <w:t xml:space="preserve">the </w:t>
      </w:r>
      <w:r w:rsidR="00397B6F">
        <w:t xml:space="preserve">literature for </w:t>
      </w:r>
      <w:r w:rsidR="00CB1442">
        <w:t>a variety of</w:t>
      </w:r>
      <w:r w:rsidR="00397B6F">
        <w:t xml:space="preserve"> soils but this value is </w:t>
      </w:r>
      <w:r w:rsidR="00C64A3B">
        <w:t xml:space="preserve">the most </w:t>
      </w:r>
      <w:r>
        <w:t>appropriate</w:t>
      </w:r>
      <w:r w:rsidR="00FC29C2">
        <w:t xml:space="preserve"> for this study</w:t>
      </w:r>
      <w:r w:rsidR="00B50E55">
        <w:t xml:space="preserve"> of a worst-case scenario</w:t>
      </w:r>
      <w:r w:rsidR="00397B6F">
        <w:t xml:space="preserve">. </w:t>
      </w:r>
      <w:r w:rsidR="0069537C">
        <w:t xml:space="preserve">The thermal conductivity </w:t>
      </w:r>
      <w:r>
        <w:t xml:space="preserve">value </w:t>
      </w:r>
      <w:r w:rsidR="0069537C">
        <w:t xml:space="preserve">associated with this thermal diffusivity </w:t>
      </w:r>
      <w:r>
        <w:t>was</w:t>
      </w:r>
      <w:r w:rsidR="0069537C">
        <w:t xml:space="preserve"> chosen</w:t>
      </w:r>
      <w:r>
        <w:t xml:space="preserve"> to be</w:t>
      </w:r>
      <w:r w:rsidR="0069537C">
        <w:t xml:space="preserve"> 3.72 W/m°C, which is relatively high and suggests a material with good </w:t>
      </w:r>
      <w:r w:rsidR="00FD38CB">
        <w:t>thermal conductivity</w:t>
      </w:r>
      <w:r w:rsidR="0069537C">
        <w:t xml:space="preserve"> properties. </w:t>
      </w:r>
    </w:p>
    <w:p w14:paraId="68D26B83" w14:textId="7CC0EBF4" w:rsidR="00600535" w:rsidRDefault="00397B6F" w:rsidP="00600535">
      <w:pPr>
        <w:pStyle w:val="CETHeading1"/>
        <w:rPr>
          <w:lang w:val="en-GB"/>
        </w:rPr>
      </w:pPr>
      <w:r>
        <w:rPr>
          <w:lang w:val="en-GB"/>
        </w:rPr>
        <w:t xml:space="preserve">Results </w:t>
      </w:r>
    </w:p>
    <w:p w14:paraId="34648ED8" w14:textId="6976CB78" w:rsidR="00C64A3B" w:rsidRPr="00C64A3B" w:rsidRDefault="00C64A3B" w:rsidP="00C64A3B">
      <w:pPr>
        <w:pStyle w:val="CETBodytext"/>
        <w:rPr>
          <w:lang w:val="en-GB"/>
        </w:rPr>
      </w:pPr>
      <w:r>
        <w:rPr>
          <w:lang w:val="en-GB"/>
        </w:rPr>
        <w:t xml:space="preserve">For the following results, </w:t>
      </w:r>
      <w:r w:rsidR="00DB4E9C">
        <w:rPr>
          <w:lang w:val="en-GB"/>
        </w:rPr>
        <w:t xml:space="preserve">the flame front geometry </w:t>
      </w:r>
      <w:r w:rsidR="00FD38CB">
        <w:rPr>
          <w:lang w:val="en-GB"/>
        </w:rPr>
        <w:t>was</w:t>
      </w:r>
      <w:r w:rsidR="00DB4E9C">
        <w:rPr>
          <w:lang w:val="en-GB"/>
        </w:rPr>
        <w:t xml:space="preserve"> assumed </w:t>
      </w:r>
      <w:r w:rsidR="00FD38CB">
        <w:rPr>
          <w:lang w:val="en-GB"/>
        </w:rPr>
        <w:t>to have</w:t>
      </w:r>
      <w:r w:rsidR="00DB4E9C">
        <w:rPr>
          <w:lang w:val="en-GB"/>
        </w:rPr>
        <w:t xml:space="preserve"> a maximum size in the same way as in </w:t>
      </w:r>
      <w:r w:rsidR="00DB4E9C" w:rsidRPr="009706E1">
        <w:rPr>
          <w:color w:val="000000" w:themeColor="text1"/>
          <w:lang w:val="en-GB"/>
        </w:rPr>
        <w:t xml:space="preserve">Heymes et al. (2013). </w:t>
      </w:r>
      <w:r w:rsidR="00FD38CB">
        <w:rPr>
          <w:color w:val="000000" w:themeColor="text1"/>
          <w:lang w:val="en-GB"/>
        </w:rPr>
        <w:t>Thus</w:t>
      </w:r>
      <w:r w:rsidR="00DB4E9C" w:rsidRPr="009706E1">
        <w:rPr>
          <w:color w:val="000000" w:themeColor="text1"/>
          <w:lang w:val="en-GB"/>
        </w:rPr>
        <w:t xml:space="preserve">, </w:t>
      </w:r>
      <w:r w:rsidR="00DB4E9C">
        <w:rPr>
          <w:lang w:val="en-GB"/>
        </w:rPr>
        <w:t xml:space="preserve">a total flame </w:t>
      </w:r>
      <w:r w:rsidR="003D1586">
        <w:rPr>
          <w:lang w:val="en-GB"/>
        </w:rPr>
        <w:t>length</w:t>
      </w:r>
      <w:r w:rsidR="00DB4E9C">
        <w:rPr>
          <w:lang w:val="en-GB"/>
        </w:rPr>
        <w:t xml:space="preserve"> </w:t>
      </w:r>
      <w:r w:rsidR="00A73194">
        <w:rPr>
          <w:lang w:val="en-GB"/>
        </w:rPr>
        <w:t>L</w:t>
      </w:r>
      <w:r w:rsidR="00A73194">
        <w:rPr>
          <w:vertAlign w:val="subscript"/>
          <w:lang w:val="en-GB"/>
        </w:rPr>
        <w:t>f</w:t>
      </w:r>
      <w:r w:rsidR="00A73194">
        <w:rPr>
          <w:lang w:val="en-GB"/>
        </w:rPr>
        <w:t xml:space="preserve"> </w:t>
      </w:r>
      <w:r w:rsidR="00DB4E9C">
        <w:rPr>
          <w:lang w:val="en-GB"/>
        </w:rPr>
        <w:t xml:space="preserve">of 40 m and a </w:t>
      </w:r>
      <w:r w:rsidR="003D1586">
        <w:rPr>
          <w:lang w:val="en-GB"/>
        </w:rPr>
        <w:t>flame front</w:t>
      </w:r>
      <w:r w:rsidR="00A73194">
        <w:rPr>
          <w:lang w:val="en-GB"/>
        </w:rPr>
        <w:t xml:space="preserve"> width W</w:t>
      </w:r>
      <w:r w:rsidR="00DB4E9C">
        <w:rPr>
          <w:lang w:val="en-GB"/>
        </w:rPr>
        <w:t xml:space="preserve"> of 100 m </w:t>
      </w:r>
      <w:r w:rsidR="00FD38CB">
        <w:rPr>
          <w:lang w:val="en-GB"/>
        </w:rPr>
        <w:t xml:space="preserve">were </w:t>
      </w:r>
      <w:r w:rsidR="00DB4E9C">
        <w:rPr>
          <w:lang w:val="en-GB"/>
        </w:rPr>
        <w:t xml:space="preserve">chosen. With these characteristics, the parameters influencing the results are the distance between </w:t>
      </w:r>
      <w:r w:rsidR="00FD38CB">
        <w:rPr>
          <w:lang w:val="en-GB"/>
        </w:rPr>
        <w:t xml:space="preserve">the </w:t>
      </w:r>
      <w:r w:rsidR="00DB4E9C">
        <w:rPr>
          <w:lang w:val="en-GB"/>
        </w:rPr>
        <w:t>flame front and the surface above the pipeline</w:t>
      </w:r>
      <w:r w:rsidR="00FD38CB">
        <w:rPr>
          <w:lang w:val="en-GB"/>
        </w:rPr>
        <w:t>,</w:t>
      </w:r>
      <w:r w:rsidR="00DB4E9C">
        <w:rPr>
          <w:lang w:val="en-GB"/>
        </w:rPr>
        <w:t xml:space="preserve"> D, and the flame front </w:t>
      </w:r>
      <w:r w:rsidR="001C3FA7">
        <w:rPr>
          <w:lang w:val="en-GB"/>
        </w:rPr>
        <w:t>tilt</w:t>
      </w:r>
      <w:r w:rsidR="00FD38CB">
        <w:rPr>
          <w:lang w:val="en-GB"/>
        </w:rPr>
        <w:t>,</w:t>
      </w:r>
      <w:r w:rsidR="00DB4E9C">
        <w:rPr>
          <w:lang w:val="en-GB"/>
        </w:rPr>
        <w:t xml:space="preserve"> </w:t>
      </w:r>
      <w:r w:rsidR="00DB4E9C">
        <w:rPr>
          <w:rFonts w:cs="Arial"/>
          <w:lang w:val="en-GB"/>
        </w:rPr>
        <w:t>θ</w:t>
      </w:r>
      <w:r w:rsidR="00DB4E9C">
        <w:rPr>
          <w:lang w:val="en-GB"/>
        </w:rPr>
        <w:t>,</w:t>
      </w:r>
      <w:r w:rsidR="00DB4E9C" w:rsidRPr="00DB4E9C">
        <w:rPr>
          <w:lang w:val="en-GB"/>
        </w:rPr>
        <w:t xml:space="preserve"> </w:t>
      </w:r>
      <w:r w:rsidR="00DB4E9C">
        <w:rPr>
          <w:lang w:val="en-GB"/>
        </w:rPr>
        <w:t xml:space="preserve">as </w:t>
      </w:r>
      <w:r w:rsidR="00BE483D">
        <w:rPr>
          <w:lang w:val="en-GB"/>
        </w:rPr>
        <w:t>represented</w:t>
      </w:r>
      <w:r w:rsidR="00DB4E9C">
        <w:rPr>
          <w:lang w:val="en-GB"/>
        </w:rPr>
        <w:t xml:space="preserve"> in Fig</w:t>
      </w:r>
      <w:r w:rsidR="007B1CEB">
        <w:rPr>
          <w:lang w:val="en-GB"/>
        </w:rPr>
        <w:t>ure</w:t>
      </w:r>
      <w:r w:rsidR="00DB4E9C">
        <w:rPr>
          <w:lang w:val="en-GB"/>
        </w:rPr>
        <w:t xml:space="preserve"> 2. </w:t>
      </w:r>
      <w:proofErr w:type="gramStart"/>
      <w:r w:rsidR="00FD38CB">
        <w:rPr>
          <w:lang w:val="en-GB"/>
        </w:rPr>
        <w:t>In order to</w:t>
      </w:r>
      <w:proofErr w:type="gramEnd"/>
      <w:r w:rsidR="00FD38CB">
        <w:rPr>
          <w:lang w:val="en-GB"/>
        </w:rPr>
        <w:t xml:space="preserve"> study these influences</w:t>
      </w:r>
      <w:r w:rsidR="00DB4E9C">
        <w:rPr>
          <w:lang w:val="en-GB"/>
        </w:rPr>
        <w:t xml:space="preserve">, a parametric study </w:t>
      </w:r>
      <w:r w:rsidR="00FD38CB">
        <w:rPr>
          <w:lang w:val="en-GB"/>
        </w:rPr>
        <w:t>was carried out</w:t>
      </w:r>
      <w:r w:rsidR="00BE483D">
        <w:rPr>
          <w:lang w:val="en-GB"/>
        </w:rPr>
        <w:t xml:space="preserve"> with </w:t>
      </w:r>
      <w:r w:rsidR="00A73194">
        <w:rPr>
          <w:lang w:val="en-GB"/>
        </w:rPr>
        <w:t>a single</w:t>
      </w:r>
      <w:r w:rsidR="00BE483D">
        <w:rPr>
          <w:lang w:val="en-GB"/>
        </w:rPr>
        <w:t xml:space="preserve"> flame front</w:t>
      </w:r>
      <w:r w:rsidR="00A73194">
        <w:rPr>
          <w:lang w:val="en-GB"/>
        </w:rPr>
        <w:t xml:space="preserve"> (due to symmetry)</w:t>
      </w:r>
      <w:r w:rsidR="00DB4E9C">
        <w:rPr>
          <w:lang w:val="en-GB"/>
        </w:rPr>
        <w:t>,</w:t>
      </w:r>
      <w:r w:rsidR="00BE483D">
        <w:rPr>
          <w:lang w:val="en-GB"/>
        </w:rPr>
        <w:t xml:space="preserve"> </w:t>
      </w:r>
      <w:r w:rsidR="00DB4E9C">
        <w:rPr>
          <w:lang w:val="en-GB"/>
        </w:rPr>
        <w:t xml:space="preserve">the data are </w:t>
      </w:r>
      <w:r w:rsidR="00FD38CB">
        <w:rPr>
          <w:lang w:val="en-GB"/>
        </w:rPr>
        <w:t>shown</w:t>
      </w:r>
      <w:r w:rsidR="00DB4E9C">
        <w:rPr>
          <w:lang w:val="en-GB"/>
        </w:rPr>
        <w:t xml:space="preserve"> in Table 1.   </w:t>
      </w:r>
    </w:p>
    <w:p w14:paraId="5BDC25C1" w14:textId="17690938" w:rsidR="00E11C55" w:rsidRDefault="00E11C55" w:rsidP="009F08DC">
      <w:pPr>
        <w:pStyle w:val="CETTabletitle"/>
      </w:pPr>
      <w:r w:rsidRPr="00B57B36">
        <w:t xml:space="preserve">Table 1: </w:t>
      </w:r>
      <w:r w:rsidR="009F08DC">
        <w:t>Results of parametric calculations</w:t>
      </w:r>
      <w:r w:rsidR="00657921">
        <w:t>,</w:t>
      </w:r>
      <w:r w:rsidR="009F08DC">
        <w:t xml:space="preserve"> for </w:t>
      </w:r>
      <w:r w:rsidR="00FD38CB">
        <w:t>a</w:t>
      </w:r>
      <w:r w:rsidR="009F08DC">
        <w:t xml:space="preserve"> flame front</w:t>
      </w:r>
      <w:r w:rsidR="00657921">
        <w:t>,</w:t>
      </w:r>
      <w:r w:rsidR="009F08DC">
        <w:t xml:space="preserve"> with variation of </w:t>
      </w:r>
      <w:r w:rsidR="00FD38CB">
        <w:t xml:space="preserve">the </w:t>
      </w:r>
      <w:r w:rsidR="009F08DC">
        <w:t xml:space="preserve">flame front </w:t>
      </w:r>
      <w:r w:rsidR="001C3FA7">
        <w:t>tilt</w:t>
      </w:r>
      <w:r w:rsidR="009F08DC">
        <w:t xml:space="preserve"> and the distance between </w:t>
      </w:r>
      <w:r w:rsidR="00FD38CB">
        <w:t xml:space="preserve">the </w:t>
      </w:r>
      <w:r w:rsidR="009F08DC">
        <w:t xml:space="preserve">flame front and the surface above the pipeline </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134"/>
        <w:gridCol w:w="1134"/>
        <w:gridCol w:w="1134"/>
      </w:tblGrid>
      <w:tr w:rsidR="005C1F30" w:rsidRPr="00B57B36" w14:paraId="403F583F" w14:textId="739CB33B" w:rsidTr="00CD5E7C">
        <w:tc>
          <w:tcPr>
            <w:tcW w:w="1134" w:type="dxa"/>
            <w:tcBorders>
              <w:top w:val="single" w:sz="12" w:space="0" w:color="008000"/>
              <w:bottom w:val="single" w:sz="6" w:space="0" w:color="008000"/>
            </w:tcBorders>
            <w:shd w:val="clear" w:color="auto" w:fill="FFFFFF"/>
          </w:tcPr>
          <w:p w14:paraId="554714A0" w14:textId="77777777" w:rsidR="005C1F30" w:rsidRDefault="005C1F30" w:rsidP="005C1F30">
            <w:pPr>
              <w:pStyle w:val="CETBodytext"/>
              <w:jc w:val="center"/>
              <w:rPr>
                <w:lang w:val="en-GB"/>
              </w:rPr>
            </w:pPr>
          </w:p>
          <w:p w14:paraId="346BC086" w14:textId="141AFDE3" w:rsidR="005C1F30" w:rsidRPr="00B57B36" w:rsidRDefault="009F08DC" w:rsidP="005C1F30">
            <w:pPr>
              <w:pStyle w:val="CETBodytext"/>
              <w:jc w:val="center"/>
              <w:rPr>
                <w:lang w:val="en-GB"/>
              </w:rPr>
            </w:pPr>
            <w:r>
              <w:rPr>
                <w:rFonts w:cs="Arial"/>
                <w:lang w:val="en-GB"/>
              </w:rPr>
              <w:t>Θ (°)</w:t>
            </w:r>
          </w:p>
        </w:tc>
        <w:tc>
          <w:tcPr>
            <w:tcW w:w="1134" w:type="dxa"/>
            <w:tcBorders>
              <w:top w:val="single" w:sz="12" w:space="0" w:color="008000"/>
              <w:bottom w:val="single" w:sz="6" w:space="0" w:color="008000"/>
            </w:tcBorders>
            <w:shd w:val="clear" w:color="auto" w:fill="FFFFFF"/>
          </w:tcPr>
          <w:p w14:paraId="45E17140" w14:textId="73719899" w:rsidR="005C1F30" w:rsidRDefault="009F08DC" w:rsidP="005C1F30">
            <w:pPr>
              <w:pStyle w:val="CETBodytext"/>
              <w:jc w:val="left"/>
              <w:rPr>
                <w:lang w:val="en-GB"/>
              </w:rPr>
            </w:pPr>
            <w:r>
              <w:rPr>
                <w:lang w:val="en-GB"/>
              </w:rPr>
              <w:t xml:space="preserve">  </w:t>
            </w:r>
            <w:r w:rsidR="00C37396">
              <w:rPr>
                <w:lang w:val="en-GB"/>
              </w:rPr>
              <w:t xml:space="preserve">      </w:t>
            </w:r>
            <w:r w:rsidR="005C1F30">
              <w:rPr>
                <w:lang w:val="en-GB"/>
              </w:rPr>
              <w:t>D = 2</w:t>
            </w:r>
          </w:p>
          <w:p w14:paraId="24C5AA40" w14:textId="428A1D93" w:rsidR="005C1F30" w:rsidRPr="00B57B36" w:rsidRDefault="00215D11" w:rsidP="005C1F30">
            <w:pPr>
              <w:pStyle w:val="CETBodytext"/>
              <w:jc w:val="center"/>
              <w:rPr>
                <w:lang w:val="en-GB"/>
              </w:rPr>
            </w:pPr>
            <w:r>
              <w:rPr>
                <w:lang w:val="en-GB"/>
              </w:rPr>
              <w:t>F (-)</w:t>
            </w:r>
          </w:p>
        </w:tc>
        <w:tc>
          <w:tcPr>
            <w:tcW w:w="1134" w:type="dxa"/>
            <w:tcBorders>
              <w:top w:val="single" w:sz="12" w:space="0" w:color="008000"/>
              <w:bottom w:val="single" w:sz="6" w:space="0" w:color="008000"/>
            </w:tcBorders>
            <w:shd w:val="clear" w:color="auto" w:fill="FFFFFF"/>
          </w:tcPr>
          <w:p w14:paraId="5FD94E73" w14:textId="16856745" w:rsidR="005C1F30" w:rsidRDefault="005C1F30" w:rsidP="005C1F30">
            <w:pPr>
              <w:pStyle w:val="CETBodytext"/>
              <w:jc w:val="center"/>
              <w:rPr>
                <w:lang w:val="en-GB"/>
              </w:rPr>
            </w:pPr>
          </w:p>
          <w:p w14:paraId="4E211D5C" w14:textId="1FCD5651" w:rsidR="005C1F30" w:rsidRPr="00B57B36" w:rsidRDefault="007B1690" w:rsidP="005C1F30">
            <w:pPr>
              <w:pStyle w:val="CETBodytext"/>
              <w:jc w:val="center"/>
              <w:rPr>
                <w:lang w:val="en-GB"/>
              </w:rPr>
            </w:pPr>
            <w:r>
              <w:rPr>
                <w:lang w:val="en-GB"/>
              </w:rPr>
              <w:t>Q</w:t>
            </w:r>
            <w:r w:rsidR="009F08DC">
              <w:rPr>
                <w:lang w:val="en-GB"/>
              </w:rPr>
              <w:t xml:space="preserve"> (kW/m²)</w:t>
            </w:r>
          </w:p>
        </w:tc>
        <w:tc>
          <w:tcPr>
            <w:tcW w:w="1134" w:type="dxa"/>
            <w:tcBorders>
              <w:top w:val="single" w:sz="12" w:space="0" w:color="008000"/>
              <w:bottom w:val="single" w:sz="6" w:space="0" w:color="008000"/>
            </w:tcBorders>
            <w:shd w:val="clear" w:color="auto" w:fill="FFFFFF"/>
          </w:tcPr>
          <w:p w14:paraId="578A6E21" w14:textId="0F6497DD" w:rsidR="005C1F30" w:rsidRDefault="009F08DC" w:rsidP="005C1F30">
            <w:pPr>
              <w:pStyle w:val="CETBodytext"/>
              <w:jc w:val="left"/>
              <w:rPr>
                <w:lang w:val="en-GB"/>
              </w:rPr>
            </w:pPr>
            <w:r>
              <w:rPr>
                <w:lang w:val="en-GB"/>
              </w:rPr>
              <w:t xml:space="preserve">  </w:t>
            </w:r>
            <w:r w:rsidR="00C37396">
              <w:rPr>
                <w:lang w:val="en-GB"/>
              </w:rPr>
              <w:t xml:space="preserve">      </w:t>
            </w:r>
            <w:r w:rsidR="005C1F30">
              <w:rPr>
                <w:lang w:val="en-GB"/>
              </w:rPr>
              <w:t>D = 4</w:t>
            </w:r>
          </w:p>
          <w:p w14:paraId="67703088" w14:textId="2C755460" w:rsidR="005C1F30" w:rsidRPr="00B57B36" w:rsidRDefault="00215D11" w:rsidP="005C1F30">
            <w:pPr>
              <w:pStyle w:val="CETBodytext"/>
              <w:ind w:right="-1"/>
              <w:jc w:val="center"/>
              <w:rPr>
                <w:rFonts w:cs="Arial"/>
                <w:szCs w:val="18"/>
                <w:lang w:val="en-GB"/>
              </w:rPr>
            </w:pPr>
            <w:r>
              <w:rPr>
                <w:lang w:val="en-GB"/>
              </w:rPr>
              <w:t>F (-)</w:t>
            </w:r>
          </w:p>
        </w:tc>
        <w:tc>
          <w:tcPr>
            <w:tcW w:w="1134" w:type="dxa"/>
            <w:tcBorders>
              <w:top w:val="single" w:sz="12" w:space="0" w:color="008000"/>
              <w:bottom w:val="single" w:sz="6" w:space="0" w:color="008000"/>
            </w:tcBorders>
            <w:shd w:val="clear" w:color="auto" w:fill="FFFFFF"/>
          </w:tcPr>
          <w:p w14:paraId="18BC7062" w14:textId="77777777" w:rsidR="005C1F30" w:rsidRDefault="005C1F30" w:rsidP="005C1F30">
            <w:pPr>
              <w:pStyle w:val="CETBodytext"/>
              <w:jc w:val="center"/>
              <w:rPr>
                <w:lang w:val="en-GB"/>
              </w:rPr>
            </w:pPr>
          </w:p>
          <w:p w14:paraId="5602B0A4" w14:textId="74CFBD08" w:rsidR="005C1F30" w:rsidRPr="00B57B36" w:rsidRDefault="007B1690" w:rsidP="005C1F30">
            <w:pPr>
              <w:pStyle w:val="CETBodytext"/>
              <w:ind w:right="-1"/>
              <w:jc w:val="center"/>
              <w:rPr>
                <w:rFonts w:cs="Arial"/>
                <w:szCs w:val="18"/>
                <w:lang w:val="en-GB"/>
              </w:rPr>
            </w:pPr>
            <w:r>
              <w:rPr>
                <w:lang w:val="en-GB"/>
              </w:rPr>
              <w:t>Q</w:t>
            </w:r>
            <w:r w:rsidR="009F08DC">
              <w:rPr>
                <w:lang w:val="en-GB"/>
              </w:rPr>
              <w:t xml:space="preserve"> (kW/m²)</w:t>
            </w:r>
          </w:p>
        </w:tc>
        <w:tc>
          <w:tcPr>
            <w:tcW w:w="1134" w:type="dxa"/>
            <w:tcBorders>
              <w:top w:val="single" w:sz="12" w:space="0" w:color="008000"/>
              <w:bottom w:val="single" w:sz="6" w:space="0" w:color="008000"/>
            </w:tcBorders>
            <w:shd w:val="clear" w:color="auto" w:fill="FFFFFF"/>
          </w:tcPr>
          <w:p w14:paraId="5E19357C" w14:textId="151FED2E" w:rsidR="005C1F30" w:rsidRDefault="009F08DC" w:rsidP="005C1F30">
            <w:pPr>
              <w:pStyle w:val="CETBodytext"/>
              <w:jc w:val="left"/>
              <w:rPr>
                <w:lang w:val="en-GB"/>
              </w:rPr>
            </w:pPr>
            <w:r>
              <w:rPr>
                <w:lang w:val="en-GB"/>
              </w:rPr>
              <w:t xml:space="preserve">  </w:t>
            </w:r>
            <w:r w:rsidR="00C37396">
              <w:rPr>
                <w:lang w:val="en-GB"/>
              </w:rPr>
              <w:t xml:space="preserve">      </w:t>
            </w:r>
            <w:r w:rsidR="005C1F30">
              <w:rPr>
                <w:lang w:val="en-GB"/>
              </w:rPr>
              <w:t>D = 5</w:t>
            </w:r>
          </w:p>
          <w:p w14:paraId="70BA7780" w14:textId="23A92ECE" w:rsidR="005C1F30" w:rsidRDefault="00215D11" w:rsidP="005C1F30">
            <w:pPr>
              <w:pStyle w:val="CETBodytext"/>
              <w:jc w:val="center"/>
              <w:rPr>
                <w:lang w:val="en-GB"/>
              </w:rPr>
            </w:pPr>
            <w:r>
              <w:rPr>
                <w:lang w:val="en-GB"/>
              </w:rPr>
              <w:t>F (-)</w:t>
            </w:r>
          </w:p>
        </w:tc>
        <w:tc>
          <w:tcPr>
            <w:tcW w:w="1134" w:type="dxa"/>
            <w:tcBorders>
              <w:top w:val="single" w:sz="12" w:space="0" w:color="008000"/>
              <w:bottom w:val="single" w:sz="6" w:space="0" w:color="008000"/>
            </w:tcBorders>
            <w:shd w:val="clear" w:color="auto" w:fill="FFFFFF"/>
          </w:tcPr>
          <w:p w14:paraId="2C65C045" w14:textId="77777777" w:rsidR="005C1F30" w:rsidRDefault="005C1F30" w:rsidP="005C1F30">
            <w:pPr>
              <w:pStyle w:val="CETBodytext"/>
              <w:jc w:val="center"/>
              <w:rPr>
                <w:lang w:val="en-GB"/>
              </w:rPr>
            </w:pPr>
          </w:p>
          <w:p w14:paraId="5D94E288" w14:textId="6AC0FBFC" w:rsidR="005C1F30" w:rsidRDefault="007B1690" w:rsidP="005C1F30">
            <w:pPr>
              <w:pStyle w:val="CETBodytext"/>
              <w:jc w:val="center"/>
              <w:rPr>
                <w:lang w:val="en-GB"/>
              </w:rPr>
            </w:pPr>
            <w:r>
              <w:rPr>
                <w:lang w:val="en-GB"/>
              </w:rPr>
              <w:t>Q</w:t>
            </w:r>
            <w:r w:rsidR="009F08DC">
              <w:rPr>
                <w:lang w:val="en-GB"/>
              </w:rPr>
              <w:t xml:space="preserve"> (kW/m²)</w:t>
            </w:r>
          </w:p>
        </w:tc>
      </w:tr>
      <w:tr w:rsidR="005C1F30" w:rsidRPr="00B57B36" w14:paraId="0DE94D0A" w14:textId="33C35E3D" w:rsidTr="00CD5E7C">
        <w:tc>
          <w:tcPr>
            <w:tcW w:w="1134" w:type="dxa"/>
            <w:shd w:val="clear" w:color="auto" w:fill="FFFFFF"/>
          </w:tcPr>
          <w:p w14:paraId="59294C77" w14:textId="43E68173" w:rsidR="005C1F30" w:rsidRPr="00B57B36" w:rsidRDefault="009F08DC" w:rsidP="009F08DC">
            <w:pPr>
              <w:pStyle w:val="CETBodytext"/>
              <w:jc w:val="center"/>
              <w:rPr>
                <w:lang w:val="en-GB"/>
              </w:rPr>
            </w:pPr>
            <w:r>
              <w:rPr>
                <w:lang w:val="en-GB"/>
              </w:rPr>
              <w:t>45</w:t>
            </w:r>
          </w:p>
        </w:tc>
        <w:tc>
          <w:tcPr>
            <w:tcW w:w="1134" w:type="dxa"/>
            <w:shd w:val="clear" w:color="auto" w:fill="FFFFFF"/>
          </w:tcPr>
          <w:p w14:paraId="20675A6F" w14:textId="0762A5C9" w:rsidR="009F08DC" w:rsidRPr="00B57B36" w:rsidRDefault="009F08DC" w:rsidP="009F08DC">
            <w:pPr>
              <w:pStyle w:val="CETBodytext"/>
              <w:jc w:val="center"/>
              <w:rPr>
                <w:lang w:val="en-GB"/>
              </w:rPr>
            </w:pPr>
            <w:r>
              <w:rPr>
                <w:lang w:val="en-GB"/>
              </w:rPr>
              <w:t>0.94</w:t>
            </w:r>
          </w:p>
        </w:tc>
        <w:tc>
          <w:tcPr>
            <w:tcW w:w="1134" w:type="dxa"/>
            <w:shd w:val="clear" w:color="auto" w:fill="FFFFFF"/>
          </w:tcPr>
          <w:p w14:paraId="380508B3" w14:textId="3736922A" w:rsidR="005C1F30" w:rsidRPr="00B57B36" w:rsidRDefault="009F08DC" w:rsidP="009F08DC">
            <w:pPr>
              <w:pStyle w:val="CETBodytext"/>
              <w:jc w:val="center"/>
              <w:rPr>
                <w:lang w:val="en-GB"/>
              </w:rPr>
            </w:pPr>
            <w:r>
              <w:rPr>
                <w:lang w:val="en-GB"/>
              </w:rPr>
              <w:t>110</w:t>
            </w:r>
          </w:p>
        </w:tc>
        <w:tc>
          <w:tcPr>
            <w:tcW w:w="1134" w:type="dxa"/>
            <w:shd w:val="clear" w:color="auto" w:fill="FFFFFF"/>
          </w:tcPr>
          <w:p w14:paraId="342B9398" w14:textId="33FB962E" w:rsidR="005C1F30" w:rsidRPr="00B57B36" w:rsidRDefault="009F08DC" w:rsidP="009F08DC">
            <w:pPr>
              <w:pStyle w:val="CETBodytext"/>
              <w:ind w:right="-1"/>
              <w:jc w:val="center"/>
              <w:rPr>
                <w:rFonts w:cs="Arial"/>
                <w:szCs w:val="18"/>
                <w:lang w:val="en-GB"/>
              </w:rPr>
            </w:pPr>
            <w:r>
              <w:rPr>
                <w:rFonts w:cs="Arial"/>
                <w:szCs w:val="18"/>
                <w:lang w:val="en-GB"/>
              </w:rPr>
              <w:t>0.94</w:t>
            </w:r>
          </w:p>
        </w:tc>
        <w:tc>
          <w:tcPr>
            <w:tcW w:w="1134" w:type="dxa"/>
            <w:shd w:val="clear" w:color="auto" w:fill="FFFFFF"/>
          </w:tcPr>
          <w:p w14:paraId="06C9FC86" w14:textId="7BC339ED" w:rsidR="005C1F30" w:rsidRPr="00B57B36" w:rsidRDefault="009F08DC" w:rsidP="009F08DC">
            <w:pPr>
              <w:pStyle w:val="CETBodytext"/>
              <w:ind w:right="-1"/>
              <w:jc w:val="center"/>
              <w:rPr>
                <w:rFonts w:cs="Arial"/>
                <w:szCs w:val="18"/>
                <w:lang w:val="en-GB"/>
              </w:rPr>
            </w:pPr>
            <w:r>
              <w:rPr>
                <w:rFonts w:cs="Arial"/>
                <w:szCs w:val="18"/>
                <w:lang w:val="en-GB"/>
              </w:rPr>
              <w:t>111</w:t>
            </w:r>
          </w:p>
        </w:tc>
        <w:tc>
          <w:tcPr>
            <w:tcW w:w="1134" w:type="dxa"/>
            <w:shd w:val="clear" w:color="auto" w:fill="FFFFFF"/>
          </w:tcPr>
          <w:p w14:paraId="2F318FB2" w14:textId="7EE5702F" w:rsidR="005C1F30" w:rsidRPr="00B57B36" w:rsidRDefault="009F08DC" w:rsidP="009F08DC">
            <w:pPr>
              <w:pStyle w:val="CETBodytext"/>
              <w:ind w:right="-1"/>
              <w:jc w:val="center"/>
              <w:rPr>
                <w:rFonts w:cs="Arial"/>
                <w:szCs w:val="18"/>
                <w:lang w:val="en-GB"/>
              </w:rPr>
            </w:pPr>
            <w:r>
              <w:rPr>
                <w:rFonts w:cs="Arial"/>
                <w:szCs w:val="18"/>
                <w:lang w:val="en-GB"/>
              </w:rPr>
              <w:t>0.94</w:t>
            </w:r>
          </w:p>
        </w:tc>
        <w:tc>
          <w:tcPr>
            <w:tcW w:w="1134" w:type="dxa"/>
            <w:shd w:val="clear" w:color="auto" w:fill="FFFFFF"/>
          </w:tcPr>
          <w:p w14:paraId="6903140A" w14:textId="3F7AFAF3" w:rsidR="005C1F30" w:rsidRPr="00B57B36" w:rsidRDefault="009F08DC" w:rsidP="009F08DC">
            <w:pPr>
              <w:pStyle w:val="CETBodytext"/>
              <w:ind w:right="-1"/>
              <w:jc w:val="center"/>
              <w:rPr>
                <w:rFonts w:cs="Arial"/>
                <w:szCs w:val="18"/>
                <w:lang w:val="en-GB"/>
              </w:rPr>
            </w:pPr>
            <w:r>
              <w:rPr>
                <w:rFonts w:cs="Arial"/>
                <w:szCs w:val="18"/>
                <w:lang w:val="en-GB"/>
              </w:rPr>
              <w:t>111</w:t>
            </w:r>
          </w:p>
        </w:tc>
      </w:tr>
      <w:tr w:rsidR="005C1F30" w:rsidRPr="00B57B36" w14:paraId="0811717B" w14:textId="3624A138" w:rsidTr="00CD5E7C">
        <w:tc>
          <w:tcPr>
            <w:tcW w:w="1134" w:type="dxa"/>
            <w:shd w:val="clear" w:color="auto" w:fill="FFFFFF"/>
          </w:tcPr>
          <w:p w14:paraId="4A3D407D" w14:textId="547D7659" w:rsidR="009F08DC" w:rsidRPr="00B57B36" w:rsidRDefault="009F08DC" w:rsidP="009F08DC">
            <w:pPr>
              <w:pStyle w:val="CETBodytext"/>
              <w:ind w:right="-1"/>
              <w:jc w:val="center"/>
              <w:rPr>
                <w:rFonts w:cs="Arial"/>
                <w:szCs w:val="18"/>
                <w:lang w:val="en-GB"/>
              </w:rPr>
            </w:pPr>
            <w:r>
              <w:rPr>
                <w:rFonts w:cs="Arial"/>
                <w:szCs w:val="18"/>
                <w:lang w:val="en-GB"/>
              </w:rPr>
              <w:t>60</w:t>
            </w:r>
          </w:p>
        </w:tc>
        <w:tc>
          <w:tcPr>
            <w:tcW w:w="1134" w:type="dxa"/>
            <w:shd w:val="clear" w:color="auto" w:fill="FFFFFF"/>
          </w:tcPr>
          <w:p w14:paraId="2ADFDCAB" w14:textId="10093CF0" w:rsidR="005C1F30" w:rsidRPr="00B57B36" w:rsidRDefault="009F08DC" w:rsidP="009F08DC">
            <w:pPr>
              <w:pStyle w:val="CETBodytext"/>
              <w:ind w:right="-1"/>
              <w:jc w:val="center"/>
              <w:rPr>
                <w:rFonts w:cs="Arial"/>
                <w:szCs w:val="18"/>
                <w:lang w:val="en-GB"/>
              </w:rPr>
            </w:pPr>
            <w:r>
              <w:rPr>
                <w:rFonts w:cs="Arial"/>
                <w:szCs w:val="18"/>
                <w:lang w:val="en-GB"/>
              </w:rPr>
              <w:t>0.79</w:t>
            </w:r>
          </w:p>
        </w:tc>
        <w:tc>
          <w:tcPr>
            <w:tcW w:w="1134" w:type="dxa"/>
            <w:shd w:val="clear" w:color="auto" w:fill="FFFFFF"/>
          </w:tcPr>
          <w:p w14:paraId="69215D1E" w14:textId="5A03254E" w:rsidR="005C1F30" w:rsidRPr="00B57B36" w:rsidRDefault="009F08DC" w:rsidP="009F08DC">
            <w:pPr>
              <w:pStyle w:val="CETBodytext"/>
              <w:ind w:right="-1"/>
              <w:jc w:val="center"/>
              <w:rPr>
                <w:rFonts w:cs="Arial"/>
                <w:szCs w:val="18"/>
                <w:lang w:val="en-GB"/>
              </w:rPr>
            </w:pPr>
            <w:r>
              <w:rPr>
                <w:rFonts w:cs="Arial"/>
                <w:szCs w:val="18"/>
                <w:lang w:val="en-GB"/>
              </w:rPr>
              <w:t>93</w:t>
            </w:r>
          </w:p>
        </w:tc>
        <w:tc>
          <w:tcPr>
            <w:tcW w:w="1134" w:type="dxa"/>
            <w:shd w:val="clear" w:color="auto" w:fill="FFFFFF"/>
          </w:tcPr>
          <w:p w14:paraId="3FFE2F4D" w14:textId="5AA342E8" w:rsidR="005C1F30" w:rsidRPr="00B57B36" w:rsidRDefault="009F08DC" w:rsidP="009F08DC">
            <w:pPr>
              <w:pStyle w:val="CETBodytext"/>
              <w:ind w:right="-1"/>
              <w:jc w:val="center"/>
              <w:rPr>
                <w:rFonts w:cs="Arial"/>
                <w:szCs w:val="18"/>
                <w:lang w:val="en-GB"/>
              </w:rPr>
            </w:pPr>
            <w:r>
              <w:rPr>
                <w:rFonts w:cs="Arial"/>
                <w:szCs w:val="18"/>
                <w:lang w:val="en-GB"/>
              </w:rPr>
              <w:t>0.78</w:t>
            </w:r>
          </w:p>
        </w:tc>
        <w:tc>
          <w:tcPr>
            <w:tcW w:w="1134" w:type="dxa"/>
            <w:shd w:val="clear" w:color="auto" w:fill="FFFFFF"/>
          </w:tcPr>
          <w:p w14:paraId="156969ED" w14:textId="0217C309" w:rsidR="005C1F30" w:rsidRPr="00B57B36" w:rsidRDefault="009F08DC" w:rsidP="009F08DC">
            <w:pPr>
              <w:pStyle w:val="CETBodytext"/>
              <w:ind w:right="-1"/>
              <w:jc w:val="center"/>
              <w:rPr>
                <w:rFonts w:cs="Arial"/>
                <w:szCs w:val="18"/>
                <w:lang w:val="en-GB"/>
              </w:rPr>
            </w:pPr>
            <w:r>
              <w:rPr>
                <w:rFonts w:cs="Arial"/>
                <w:szCs w:val="18"/>
                <w:lang w:val="en-GB"/>
              </w:rPr>
              <w:t>92</w:t>
            </w:r>
          </w:p>
        </w:tc>
        <w:tc>
          <w:tcPr>
            <w:tcW w:w="1134" w:type="dxa"/>
            <w:shd w:val="clear" w:color="auto" w:fill="FFFFFF"/>
          </w:tcPr>
          <w:p w14:paraId="284CE488" w14:textId="23B4DFD6" w:rsidR="005C1F30" w:rsidRPr="00B57B36" w:rsidRDefault="009F08DC" w:rsidP="009F08DC">
            <w:pPr>
              <w:pStyle w:val="CETBodytext"/>
              <w:ind w:right="-1"/>
              <w:jc w:val="center"/>
              <w:rPr>
                <w:rFonts w:cs="Arial"/>
                <w:szCs w:val="18"/>
                <w:lang w:val="en-GB"/>
              </w:rPr>
            </w:pPr>
            <w:r>
              <w:rPr>
                <w:rFonts w:cs="Arial"/>
                <w:szCs w:val="18"/>
                <w:lang w:val="en-GB"/>
              </w:rPr>
              <w:t>0.77</w:t>
            </w:r>
          </w:p>
        </w:tc>
        <w:tc>
          <w:tcPr>
            <w:tcW w:w="1134" w:type="dxa"/>
            <w:shd w:val="clear" w:color="auto" w:fill="FFFFFF"/>
          </w:tcPr>
          <w:p w14:paraId="3649B62A" w14:textId="73520F87" w:rsidR="005C1F30" w:rsidRPr="00B57B36" w:rsidRDefault="009F08DC" w:rsidP="009F08DC">
            <w:pPr>
              <w:pStyle w:val="CETBodytext"/>
              <w:ind w:right="-1"/>
              <w:jc w:val="center"/>
              <w:rPr>
                <w:rFonts w:cs="Arial"/>
                <w:szCs w:val="18"/>
                <w:lang w:val="en-GB"/>
              </w:rPr>
            </w:pPr>
            <w:r>
              <w:rPr>
                <w:rFonts w:cs="Arial"/>
                <w:szCs w:val="18"/>
                <w:lang w:val="en-GB"/>
              </w:rPr>
              <w:t>91</w:t>
            </w:r>
          </w:p>
        </w:tc>
      </w:tr>
      <w:tr w:rsidR="009F08DC" w:rsidRPr="00B57B36" w14:paraId="50D7FB98" w14:textId="77777777" w:rsidTr="00CD5E7C">
        <w:tc>
          <w:tcPr>
            <w:tcW w:w="1134" w:type="dxa"/>
            <w:shd w:val="clear" w:color="auto" w:fill="FFFFFF"/>
          </w:tcPr>
          <w:p w14:paraId="25E66820" w14:textId="40C0B8AC" w:rsidR="009F08DC" w:rsidRDefault="009F08DC" w:rsidP="009F08DC">
            <w:pPr>
              <w:pStyle w:val="CETBodytext"/>
              <w:ind w:right="-1"/>
              <w:jc w:val="center"/>
              <w:rPr>
                <w:rFonts w:cs="Arial"/>
                <w:szCs w:val="18"/>
                <w:lang w:val="en-GB"/>
              </w:rPr>
            </w:pPr>
            <w:r>
              <w:rPr>
                <w:rFonts w:cs="Arial"/>
                <w:szCs w:val="18"/>
                <w:lang w:val="en-GB"/>
              </w:rPr>
              <w:t>75</w:t>
            </w:r>
          </w:p>
        </w:tc>
        <w:tc>
          <w:tcPr>
            <w:tcW w:w="1134" w:type="dxa"/>
            <w:shd w:val="clear" w:color="auto" w:fill="FFFFFF"/>
          </w:tcPr>
          <w:p w14:paraId="13354FA5" w14:textId="110AA90D" w:rsidR="009F08DC" w:rsidRPr="00B57B36" w:rsidRDefault="009F08DC" w:rsidP="009F08DC">
            <w:pPr>
              <w:pStyle w:val="CETBodytext"/>
              <w:ind w:right="-1"/>
              <w:jc w:val="center"/>
              <w:rPr>
                <w:rFonts w:cs="Arial"/>
                <w:szCs w:val="18"/>
                <w:lang w:val="en-GB"/>
              </w:rPr>
            </w:pPr>
            <w:r>
              <w:rPr>
                <w:rFonts w:cs="Arial"/>
                <w:szCs w:val="18"/>
                <w:lang w:val="en-GB"/>
              </w:rPr>
              <w:t>0.63</w:t>
            </w:r>
          </w:p>
        </w:tc>
        <w:tc>
          <w:tcPr>
            <w:tcW w:w="1134" w:type="dxa"/>
            <w:shd w:val="clear" w:color="auto" w:fill="FFFFFF"/>
          </w:tcPr>
          <w:p w14:paraId="7F3D335F" w14:textId="32DAECA8" w:rsidR="009F08DC" w:rsidRPr="00B57B36" w:rsidRDefault="009F08DC" w:rsidP="009F08DC">
            <w:pPr>
              <w:pStyle w:val="CETBodytext"/>
              <w:ind w:right="-1"/>
              <w:jc w:val="center"/>
              <w:rPr>
                <w:rFonts w:cs="Arial"/>
                <w:szCs w:val="18"/>
                <w:lang w:val="en-GB"/>
              </w:rPr>
            </w:pPr>
            <w:r>
              <w:rPr>
                <w:rFonts w:cs="Arial"/>
                <w:szCs w:val="18"/>
                <w:lang w:val="en-GB"/>
              </w:rPr>
              <w:t>73</w:t>
            </w:r>
          </w:p>
        </w:tc>
        <w:tc>
          <w:tcPr>
            <w:tcW w:w="1134" w:type="dxa"/>
            <w:shd w:val="clear" w:color="auto" w:fill="FFFFFF"/>
          </w:tcPr>
          <w:p w14:paraId="69E8B9D2" w14:textId="0DEA3873" w:rsidR="009F08DC" w:rsidRPr="00B57B36" w:rsidRDefault="009F08DC" w:rsidP="009F08DC">
            <w:pPr>
              <w:pStyle w:val="CETBodytext"/>
              <w:ind w:right="-1"/>
              <w:jc w:val="center"/>
              <w:rPr>
                <w:rFonts w:cs="Arial"/>
                <w:szCs w:val="18"/>
                <w:lang w:val="en-GB"/>
              </w:rPr>
            </w:pPr>
            <w:r>
              <w:rPr>
                <w:rFonts w:cs="Arial"/>
                <w:szCs w:val="18"/>
                <w:lang w:val="en-GB"/>
              </w:rPr>
              <w:t>0.60</w:t>
            </w:r>
          </w:p>
        </w:tc>
        <w:tc>
          <w:tcPr>
            <w:tcW w:w="1134" w:type="dxa"/>
            <w:shd w:val="clear" w:color="auto" w:fill="FFFFFF"/>
          </w:tcPr>
          <w:p w14:paraId="202DA64D" w14:textId="2EC8294D" w:rsidR="009F08DC" w:rsidRPr="00B57B36" w:rsidRDefault="009F08DC" w:rsidP="009F08DC">
            <w:pPr>
              <w:pStyle w:val="CETBodytext"/>
              <w:ind w:right="-1"/>
              <w:jc w:val="center"/>
              <w:rPr>
                <w:rFonts w:cs="Arial"/>
                <w:szCs w:val="18"/>
                <w:lang w:val="en-GB"/>
              </w:rPr>
            </w:pPr>
            <w:r>
              <w:rPr>
                <w:rFonts w:cs="Arial"/>
                <w:szCs w:val="18"/>
                <w:lang w:val="en-GB"/>
              </w:rPr>
              <w:t>71</w:t>
            </w:r>
          </w:p>
        </w:tc>
        <w:tc>
          <w:tcPr>
            <w:tcW w:w="1134" w:type="dxa"/>
            <w:shd w:val="clear" w:color="auto" w:fill="FFFFFF"/>
          </w:tcPr>
          <w:p w14:paraId="125198DD" w14:textId="10D09789" w:rsidR="009F08DC" w:rsidRPr="00B57B36" w:rsidRDefault="009F08DC" w:rsidP="009F08DC">
            <w:pPr>
              <w:pStyle w:val="CETBodytext"/>
              <w:ind w:right="-1"/>
              <w:jc w:val="center"/>
              <w:rPr>
                <w:rFonts w:cs="Arial"/>
                <w:szCs w:val="18"/>
                <w:lang w:val="en-GB"/>
              </w:rPr>
            </w:pPr>
            <w:r>
              <w:rPr>
                <w:rFonts w:cs="Arial"/>
                <w:szCs w:val="18"/>
                <w:lang w:val="en-GB"/>
              </w:rPr>
              <w:t>0.59</w:t>
            </w:r>
          </w:p>
        </w:tc>
        <w:tc>
          <w:tcPr>
            <w:tcW w:w="1134" w:type="dxa"/>
            <w:shd w:val="clear" w:color="auto" w:fill="FFFFFF"/>
          </w:tcPr>
          <w:p w14:paraId="5F62154C" w14:textId="368DF715" w:rsidR="009F08DC" w:rsidRPr="00B57B36" w:rsidRDefault="009F08DC" w:rsidP="009F08DC">
            <w:pPr>
              <w:pStyle w:val="CETBodytext"/>
              <w:ind w:right="-1"/>
              <w:jc w:val="center"/>
              <w:rPr>
                <w:rFonts w:cs="Arial"/>
                <w:szCs w:val="18"/>
                <w:lang w:val="en-GB"/>
              </w:rPr>
            </w:pPr>
            <w:r>
              <w:rPr>
                <w:rFonts w:cs="Arial"/>
                <w:szCs w:val="18"/>
                <w:lang w:val="en-GB"/>
              </w:rPr>
              <w:t>69</w:t>
            </w:r>
          </w:p>
        </w:tc>
      </w:tr>
      <w:tr w:rsidR="009F08DC" w:rsidRPr="00B57B36" w14:paraId="6817501A" w14:textId="77777777" w:rsidTr="00CD5E7C">
        <w:tc>
          <w:tcPr>
            <w:tcW w:w="1134" w:type="dxa"/>
            <w:shd w:val="clear" w:color="auto" w:fill="FFFFFF"/>
          </w:tcPr>
          <w:p w14:paraId="3843B979" w14:textId="1CFE0353" w:rsidR="009F08DC" w:rsidRDefault="009F08DC" w:rsidP="009F08DC">
            <w:pPr>
              <w:pStyle w:val="CETBodytext"/>
              <w:ind w:right="-1"/>
              <w:jc w:val="center"/>
              <w:rPr>
                <w:rFonts w:cs="Arial"/>
                <w:szCs w:val="18"/>
                <w:lang w:val="en-GB"/>
              </w:rPr>
            </w:pPr>
            <w:r>
              <w:rPr>
                <w:rFonts w:cs="Arial"/>
                <w:szCs w:val="18"/>
                <w:lang w:val="en-GB"/>
              </w:rPr>
              <w:t>90</w:t>
            </w:r>
          </w:p>
        </w:tc>
        <w:tc>
          <w:tcPr>
            <w:tcW w:w="1134" w:type="dxa"/>
            <w:shd w:val="clear" w:color="auto" w:fill="FFFFFF"/>
          </w:tcPr>
          <w:p w14:paraId="192F32AC" w14:textId="29072CF7" w:rsidR="009F08DC" w:rsidRPr="00B57B36" w:rsidRDefault="009F08DC" w:rsidP="009F08DC">
            <w:pPr>
              <w:pStyle w:val="CETBodytext"/>
              <w:ind w:right="-1"/>
              <w:jc w:val="center"/>
              <w:rPr>
                <w:rFonts w:cs="Arial"/>
                <w:szCs w:val="18"/>
                <w:lang w:val="en-GB"/>
              </w:rPr>
            </w:pPr>
            <w:r>
              <w:rPr>
                <w:rFonts w:cs="Arial"/>
                <w:szCs w:val="18"/>
                <w:lang w:val="en-GB"/>
              </w:rPr>
              <w:t>0.47</w:t>
            </w:r>
          </w:p>
        </w:tc>
        <w:tc>
          <w:tcPr>
            <w:tcW w:w="1134" w:type="dxa"/>
            <w:shd w:val="clear" w:color="auto" w:fill="FFFFFF"/>
          </w:tcPr>
          <w:p w14:paraId="42B7B08C" w14:textId="3D7AC846" w:rsidR="009F08DC" w:rsidRPr="00B57B36" w:rsidRDefault="009F08DC" w:rsidP="009F08DC">
            <w:pPr>
              <w:pStyle w:val="CETBodytext"/>
              <w:ind w:right="-1"/>
              <w:jc w:val="center"/>
              <w:rPr>
                <w:rFonts w:cs="Arial"/>
                <w:szCs w:val="18"/>
                <w:lang w:val="en-GB"/>
              </w:rPr>
            </w:pPr>
            <w:r>
              <w:rPr>
                <w:rFonts w:cs="Arial"/>
                <w:szCs w:val="18"/>
                <w:lang w:val="en-GB"/>
              </w:rPr>
              <w:t>55</w:t>
            </w:r>
          </w:p>
        </w:tc>
        <w:tc>
          <w:tcPr>
            <w:tcW w:w="1134" w:type="dxa"/>
            <w:shd w:val="clear" w:color="auto" w:fill="FFFFFF"/>
          </w:tcPr>
          <w:p w14:paraId="1BFCD051" w14:textId="2119E7E9" w:rsidR="009F08DC" w:rsidRPr="00B57B36" w:rsidRDefault="009F08DC" w:rsidP="009F08DC">
            <w:pPr>
              <w:pStyle w:val="CETBodytext"/>
              <w:ind w:right="-1"/>
              <w:jc w:val="center"/>
              <w:rPr>
                <w:rFonts w:cs="Arial"/>
                <w:szCs w:val="18"/>
                <w:lang w:val="en-GB"/>
              </w:rPr>
            </w:pPr>
            <w:r>
              <w:rPr>
                <w:rFonts w:cs="Arial"/>
                <w:szCs w:val="18"/>
                <w:lang w:val="en-GB"/>
              </w:rPr>
              <w:t>0.44</w:t>
            </w:r>
          </w:p>
        </w:tc>
        <w:tc>
          <w:tcPr>
            <w:tcW w:w="1134" w:type="dxa"/>
            <w:shd w:val="clear" w:color="auto" w:fill="FFFFFF"/>
          </w:tcPr>
          <w:p w14:paraId="4CD064A7" w14:textId="2586DA85" w:rsidR="009F08DC" w:rsidRPr="00B57B36" w:rsidRDefault="009F08DC" w:rsidP="009F08DC">
            <w:pPr>
              <w:pStyle w:val="CETBodytext"/>
              <w:ind w:right="-1"/>
              <w:jc w:val="center"/>
              <w:rPr>
                <w:rFonts w:cs="Arial"/>
                <w:szCs w:val="18"/>
                <w:lang w:val="en-GB"/>
              </w:rPr>
            </w:pPr>
            <w:r>
              <w:rPr>
                <w:rFonts w:cs="Arial"/>
                <w:szCs w:val="18"/>
                <w:lang w:val="en-GB"/>
              </w:rPr>
              <w:t>51</w:t>
            </w:r>
          </w:p>
        </w:tc>
        <w:tc>
          <w:tcPr>
            <w:tcW w:w="1134" w:type="dxa"/>
            <w:shd w:val="clear" w:color="auto" w:fill="FFFFFF"/>
          </w:tcPr>
          <w:p w14:paraId="71B24178" w14:textId="059BA070" w:rsidR="009F08DC" w:rsidRPr="00B57B36" w:rsidRDefault="009F08DC" w:rsidP="009F08DC">
            <w:pPr>
              <w:pStyle w:val="CETBodytext"/>
              <w:ind w:right="-1"/>
              <w:jc w:val="center"/>
              <w:rPr>
                <w:rFonts w:cs="Arial"/>
                <w:szCs w:val="18"/>
                <w:lang w:val="en-GB"/>
              </w:rPr>
            </w:pPr>
            <w:r>
              <w:rPr>
                <w:rFonts w:cs="Arial"/>
                <w:szCs w:val="18"/>
                <w:lang w:val="en-GB"/>
              </w:rPr>
              <w:t>0.42</w:t>
            </w:r>
          </w:p>
        </w:tc>
        <w:tc>
          <w:tcPr>
            <w:tcW w:w="1134" w:type="dxa"/>
            <w:shd w:val="clear" w:color="auto" w:fill="FFFFFF"/>
          </w:tcPr>
          <w:p w14:paraId="5E867A86" w14:textId="3CEB0728" w:rsidR="009F08DC" w:rsidRPr="00B57B36" w:rsidRDefault="009F08DC" w:rsidP="009F08DC">
            <w:pPr>
              <w:pStyle w:val="CETBodytext"/>
              <w:ind w:right="-1"/>
              <w:jc w:val="center"/>
              <w:rPr>
                <w:rFonts w:cs="Arial"/>
                <w:szCs w:val="18"/>
                <w:lang w:val="en-GB"/>
              </w:rPr>
            </w:pPr>
            <w:r>
              <w:rPr>
                <w:rFonts w:cs="Arial"/>
                <w:szCs w:val="18"/>
                <w:lang w:val="en-GB"/>
              </w:rPr>
              <w:t>49</w:t>
            </w:r>
          </w:p>
        </w:tc>
      </w:tr>
    </w:tbl>
    <w:p w14:paraId="1B9C6CB4" w14:textId="4A062543" w:rsidR="008D35AF" w:rsidRDefault="00440876" w:rsidP="00E11C55">
      <w:pPr>
        <w:pStyle w:val="CETBodytext"/>
      </w:pPr>
      <w:r>
        <w:t xml:space="preserve">It can be observed that the </w:t>
      </w:r>
      <w:r w:rsidR="001C3FA7">
        <w:t>tilt</w:t>
      </w:r>
      <w:r w:rsidR="00FD38CB">
        <w:t xml:space="preserve"> of the </w:t>
      </w:r>
      <w:r>
        <w:t xml:space="preserve">flame front is the main factor </w:t>
      </w:r>
      <w:r w:rsidR="00A73194">
        <w:t>influencing</w:t>
      </w:r>
      <w:r>
        <w:t xml:space="preserve"> the incident heat flux reach</w:t>
      </w:r>
      <w:r w:rsidR="00FD38CB">
        <w:t>ing</w:t>
      </w:r>
      <w:r>
        <w:t xml:space="preserve"> the surface</w:t>
      </w:r>
      <w:r w:rsidR="00BE483D">
        <w:t xml:space="preserve"> (Q)</w:t>
      </w:r>
      <w:r>
        <w:t xml:space="preserve">. For these </w:t>
      </w:r>
      <w:r w:rsidR="00FD38CB">
        <w:t>short</w:t>
      </w:r>
      <w:r>
        <w:t xml:space="preserve"> distances, a variation of </w:t>
      </w:r>
      <w:r w:rsidR="00657921">
        <w:t>a few</w:t>
      </w:r>
      <w:r>
        <w:t xml:space="preserve"> meters has no </w:t>
      </w:r>
      <w:r w:rsidR="00FD38CB">
        <w:t>effect</w:t>
      </w:r>
      <w:r w:rsidR="00657921">
        <w:t xml:space="preserve"> on </w:t>
      </w:r>
      <w:r w:rsidR="00FD38CB">
        <w:t xml:space="preserve">the </w:t>
      </w:r>
      <w:r w:rsidR="00657921">
        <w:t>results</w:t>
      </w:r>
      <w:r>
        <w:t xml:space="preserve">. </w:t>
      </w:r>
      <w:r w:rsidR="00A457EA">
        <w:t xml:space="preserve">In contrast, the variation in the flame front </w:t>
      </w:r>
      <w:r w:rsidR="001C3FA7">
        <w:t>tilt</w:t>
      </w:r>
      <w:r w:rsidR="00A457EA">
        <w:t xml:space="preserve"> has a significant </w:t>
      </w:r>
      <w:r w:rsidR="00FD38CB">
        <w:t>effect</w:t>
      </w:r>
      <w:r w:rsidR="00A457EA">
        <w:t xml:space="preserve">. </w:t>
      </w:r>
      <w:r w:rsidR="00A457EA" w:rsidRPr="008E54CB">
        <w:rPr>
          <w:color w:val="000000" w:themeColor="text1"/>
        </w:rPr>
        <w:t xml:space="preserve">This observation can be </w:t>
      </w:r>
      <w:r w:rsidR="008E54CB" w:rsidRPr="008E54CB">
        <w:rPr>
          <w:color w:val="000000" w:themeColor="text1"/>
        </w:rPr>
        <w:t>explained from</w:t>
      </w:r>
      <w:r w:rsidR="00A457EA" w:rsidRPr="008E54CB">
        <w:rPr>
          <w:color w:val="000000" w:themeColor="text1"/>
        </w:rPr>
        <w:t xml:space="preserve"> a geometric perspective, i.e., </w:t>
      </w:r>
      <w:r w:rsidR="00F41968">
        <w:rPr>
          <w:color w:val="000000" w:themeColor="text1"/>
        </w:rPr>
        <w:t>at</w:t>
      </w:r>
      <w:r w:rsidR="00A457EA" w:rsidRPr="008E54CB">
        <w:rPr>
          <w:color w:val="000000" w:themeColor="text1"/>
        </w:rPr>
        <w:t xml:space="preserve"> a small angle </w:t>
      </w:r>
      <w:r w:rsidR="00A457EA" w:rsidRPr="008E54CB">
        <w:rPr>
          <w:rFonts w:cs="Arial"/>
          <w:color w:val="000000" w:themeColor="text1"/>
        </w:rPr>
        <w:t>θ</w:t>
      </w:r>
      <w:r w:rsidR="00A457EA" w:rsidRPr="008E54CB">
        <w:rPr>
          <w:color w:val="000000" w:themeColor="text1"/>
        </w:rPr>
        <w:t xml:space="preserve">, </w:t>
      </w:r>
      <w:r w:rsidR="008E54CB" w:rsidRPr="008E54CB">
        <w:rPr>
          <w:color w:val="000000" w:themeColor="text1"/>
        </w:rPr>
        <w:t>the emitted heat flux</w:t>
      </w:r>
      <w:r w:rsidR="00F41968">
        <w:rPr>
          <w:color w:val="000000" w:themeColor="text1"/>
        </w:rPr>
        <w:t xml:space="preserve"> travels a shorter distance to reach the target</w:t>
      </w:r>
      <w:r w:rsidR="00A457EA" w:rsidRPr="008E54CB">
        <w:rPr>
          <w:color w:val="000000" w:themeColor="text1"/>
        </w:rPr>
        <w:t xml:space="preserve">. </w:t>
      </w:r>
      <w:r w:rsidR="00C37396">
        <w:t xml:space="preserve">The chosen </w:t>
      </w:r>
      <w:r w:rsidR="00FD38CB">
        <w:t>inclination</w:t>
      </w:r>
      <w:r w:rsidR="00C37396">
        <w:t xml:space="preserve"> is hypothetical because </w:t>
      </w:r>
      <w:r w:rsidR="00657921">
        <w:t>with</w:t>
      </w:r>
      <w:r w:rsidR="00C37396">
        <w:t xml:space="preserve"> a maximum distance between the </w:t>
      </w:r>
      <w:r w:rsidR="00FD169A">
        <w:t>two</w:t>
      </w:r>
      <w:r w:rsidR="00FD38CB">
        <w:t xml:space="preserve"> </w:t>
      </w:r>
      <w:r w:rsidR="00FD169A">
        <w:t>flame</w:t>
      </w:r>
      <w:r w:rsidR="00C37396">
        <w:t xml:space="preserve"> front</w:t>
      </w:r>
      <w:r w:rsidR="00FD38CB">
        <w:t>s</w:t>
      </w:r>
      <w:r w:rsidR="00C37396">
        <w:t xml:space="preserve"> of 10 m, the</w:t>
      </w:r>
      <w:r w:rsidR="007B1CEB">
        <w:t xml:space="preserve"> </w:t>
      </w:r>
      <w:r w:rsidR="00FD38CB">
        <w:t>inclination</w:t>
      </w:r>
      <w:r w:rsidR="007B1CEB">
        <w:t xml:space="preserve"> of</w:t>
      </w:r>
      <w:r w:rsidR="00C37396">
        <w:t xml:space="preserve"> </w:t>
      </w:r>
      <w:r w:rsidR="00FD38CB">
        <w:t xml:space="preserve">the </w:t>
      </w:r>
      <w:r w:rsidR="00C37396">
        <w:t>flame front</w:t>
      </w:r>
      <w:r w:rsidR="007B1CEB">
        <w:t xml:space="preserve"> </w:t>
      </w:r>
      <w:r w:rsidR="00C37396">
        <w:t>cannot be near 45</w:t>
      </w:r>
      <w:r w:rsidR="0029285E">
        <w:t xml:space="preserve"> </w:t>
      </w:r>
      <w:r w:rsidR="00C37396">
        <w:t>° due to total</w:t>
      </w:r>
      <w:r w:rsidR="008D35AF">
        <w:t xml:space="preserve"> </w:t>
      </w:r>
      <w:r w:rsidR="00C37396">
        <w:t>flame height</w:t>
      </w:r>
      <w:r w:rsidR="00657921">
        <w:t xml:space="preserve"> chosen</w:t>
      </w:r>
      <w:r w:rsidR="00C37396">
        <w:t>.</w:t>
      </w:r>
      <w:r w:rsidR="008D35AF">
        <w:t xml:space="preserve"> </w:t>
      </w:r>
      <w:r w:rsidR="00FD169A">
        <w:t xml:space="preserve">Thus, the maximum incident heat flux that the surface above </w:t>
      </w:r>
      <w:r w:rsidR="00FD38CB">
        <w:t xml:space="preserve">the </w:t>
      </w:r>
      <w:r w:rsidR="00FD169A">
        <w:t>pipeline can receive is 111 kW/m² per flame front, i.e.</w:t>
      </w:r>
      <w:r w:rsidR="00FD38CB">
        <w:t xml:space="preserve"> a maximum of</w:t>
      </w:r>
      <w:r w:rsidR="00FD169A">
        <w:t xml:space="preserve"> 222 kW/m</w:t>
      </w:r>
      <w:r w:rsidR="00FD38CB">
        <w:t>²</w:t>
      </w:r>
      <w:r w:rsidR="00FD169A">
        <w:t>.</w:t>
      </w:r>
      <w:r w:rsidR="0098430C">
        <w:t xml:space="preserve"> </w:t>
      </w:r>
      <w:r w:rsidR="00FD38CB">
        <w:t>Of course, this estimate is</w:t>
      </w:r>
      <w:r w:rsidR="00FD169A">
        <w:t xml:space="preserve"> </w:t>
      </w:r>
      <w:r w:rsidR="00BE483D">
        <w:t xml:space="preserve">only </w:t>
      </w:r>
      <w:r w:rsidR="00FD169A">
        <w:t xml:space="preserve">valid for this geometrical configuration with the </w:t>
      </w:r>
      <w:r w:rsidR="00FD38CB">
        <w:t>solid flame</w:t>
      </w:r>
      <w:r w:rsidR="00FD169A">
        <w:t xml:space="preserve"> </w:t>
      </w:r>
      <w:r w:rsidR="009948BD">
        <w:t xml:space="preserve">model, but it can be interesting to </w:t>
      </w:r>
      <w:r w:rsidR="009948BD" w:rsidRPr="009706E1">
        <w:rPr>
          <w:color w:val="000000" w:themeColor="text1"/>
        </w:rPr>
        <w:t>observe the reaction of the soil temperature distribution.</w:t>
      </w:r>
      <w:r w:rsidR="00BE483D">
        <w:rPr>
          <w:color w:val="000000" w:themeColor="text1"/>
        </w:rPr>
        <w:t xml:space="preserve"> </w:t>
      </w:r>
      <w:r w:rsidR="00FD38CB">
        <w:t>In order to</w:t>
      </w:r>
      <w:r w:rsidR="008D35AF">
        <w:t xml:space="preserve"> </w:t>
      </w:r>
      <w:r w:rsidR="00FD38CB">
        <w:t>study</w:t>
      </w:r>
      <w:r w:rsidR="008D35AF">
        <w:t xml:space="preserve"> the </w:t>
      </w:r>
      <w:r w:rsidR="00FD38CB">
        <w:t>worst-case</w:t>
      </w:r>
      <w:r w:rsidR="008D35AF">
        <w:t xml:space="preserve"> </w:t>
      </w:r>
      <w:r w:rsidR="008D35AF">
        <w:lastRenderedPageBreak/>
        <w:t xml:space="preserve">scenario, the previously discussed parameters (related to the incident heat flux and </w:t>
      </w:r>
      <w:r w:rsidR="00FD38CB">
        <w:t xml:space="preserve">the </w:t>
      </w:r>
      <w:r w:rsidR="008D35AF">
        <w:t xml:space="preserve">soil properties) were applied. The results, showing </w:t>
      </w:r>
      <w:r w:rsidR="00FD38CB">
        <w:t xml:space="preserve">the </w:t>
      </w:r>
      <w:r w:rsidR="008D35AF">
        <w:t xml:space="preserve">temperature distribution in depth, are </w:t>
      </w:r>
      <w:r w:rsidR="00FD38CB">
        <w:t>shown</w:t>
      </w:r>
      <w:r w:rsidR="008D35AF">
        <w:t xml:space="preserve"> in Figure 3.</w:t>
      </w:r>
    </w:p>
    <w:p w14:paraId="4BFEB2FF" w14:textId="45525B12" w:rsidR="005950E7" w:rsidRDefault="005950E7" w:rsidP="00E11C55">
      <w:pPr>
        <w:pStyle w:val="CETBodytext"/>
      </w:pPr>
    </w:p>
    <w:p w14:paraId="1594B34B" w14:textId="037CAAAB" w:rsidR="005950E7" w:rsidRPr="00E11C55" w:rsidRDefault="00655BF7" w:rsidP="00E11C55">
      <w:pPr>
        <w:pStyle w:val="CETBodytext"/>
      </w:pPr>
      <w:r>
        <w:rPr>
          <w:noProof/>
        </w:rPr>
        <w:drawing>
          <wp:anchor distT="0" distB="0" distL="114300" distR="114300" simplePos="0" relativeHeight="251667456" behindDoc="0" locked="1" layoutInCell="1" allowOverlap="1" wp14:anchorId="34E0F679" wp14:editId="578487B2">
            <wp:simplePos x="0" y="0"/>
            <wp:positionH relativeFrom="margin">
              <wp:align>left</wp:align>
            </wp:positionH>
            <wp:positionV relativeFrom="paragraph">
              <wp:posOffset>-144780</wp:posOffset>
            </wp:positionV>
            <wp:extent cx="4473575" cy="2300605"/>
            <wp:effectExtent l="0" t="0" r="3175" b="4445"/>
            <wp:wrapSquare wrapText="bothSides"/>
            <wp:docPr id="699409301" name="Image 4" descr="Une image contenant texte, diagramm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09301" name="Image 4" descr="Une image contenant texte, diagramme, ligne, Tracé&#10;&#10;Description générée automatiquement"/>
                    <pic:cNvPicPr/>
                  </pic:nvPicPr>
                  <pic:blipFill rotWithShape="1">
                    <a:blip r:embed="rId12"/>
                    <a:srcRect l="8195" r="7564" b="7780"/>
                    <a:stretch/>
                  </pic:blipFill>
                  <pic:spPr bwMode="auto">
                    <a:xfrm>
                      <a:off x="0" y="0"/>
                      <a:ext cx="4560453" cy="23455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DF9477" w14:textId="33F9DDC6" w:rsidR="007F6ED2" w:rsidRPr="007F6ED2" w:rsidRDefault="007F6ED2" w:rsidP="007F6ED2">
      <w:pPr>
        <w:pStyle w:val="CETBodytext"/>
      </w:pPr>
    </w:p>
    <w:p w14:paraId="05E34537" w14:textId="3B9AABF3" w:rsidR="007F6ED2" w:rsidRPr="007F6ED2" w:rsidRDefault="007F6ED2" w:rsidP="007F6ED2">
      <w:pPr>
        <w:pStyle w:val="CETBodytext"/>
      </w:pPr>
    </w:p>
    <w:p w14:paraId="005C24F2" w14:textId="5AFE74EC" w:rsidR="004B7D84" w:rsidRDefault="004B7D84" w:rsidP="004B7D84">
      <w:pPr>
        <w:pStyle w:val="CETBodytext"/>
      </w:pPr>
    </w:p>
    <w:p w14:paraId="6DD771D7" w14:textId="77777777" w:rsidR="004B7D84" w:rsidRDefault="004B7D84" w:rsidP="004B7D84">
      <w:pPr>
        <w:pStyle w:val="CETBodytext"/>
      </w:pPr>
    </w:p>
    <w:p w14:paraId="4B4B4661" w14:textId="77777777" w:rsidR="004B7D84" w:rsidRDefault="004B7D84" w:rsidP="004B7D84">
      <w:pPr>
        <w:pStyle w:val="CETBodytext"/>
      </w:pPr>
    </w:p>
    <w:p w14:paraId="6EFE43A0" w14:textId="77777777" w:rsidR="004B7D84" w:rsidRDefault="004B7D84" w:rsidP="004B7D84">
      <w:pPr>
        <w:pStyle w:val="CETBodytext"/>
      </w:pPr>
    </w:p>
    <w:p w14:paraId="4D1A2825" w14:textId="77777777" w:rsidR="004B7D84" w:rsidRDefault="004B7D84" w:rsidP="004B7D84">
      <w:pPr>
        <w:pStyle w:val="CETBodytext"/>
      </w:pPr>
    </w:p>
    <w:p w14:paraId="4CA6E7E2" w14:textId="77777777" w:rsidR="004B7D84" w:rsidRDefault="004B7D84" w:rsidP="004B7D84">
      <w:pPr>
        <w:pStyle w:val="CETBodytext"/>
      </w:pPr>
    </w:p>
    <w:p w14:paraId="2A9C2CB7" w14:textId="77777777" w:rsidR="004B7D84" w:rsidRDefault="004B7D84" w:rsidP="004B7D84">
      <w:pPr>
        <w:pStyle w:val="CETBodytext"/>
      </w:pPr>
    </w:p>
    <w:p w14:paraId="07953CD6" w14:textId="77777777" w:rsidR="004B7D84" w:rsidRDefault="004B7D84" w:rsidP="004B7D84">
      <w:pPr>
        <w:pStyle w:val="CETBodytext"/>
      </w:pPr>
    </w:p>
    <w:p w14:paraId="6E02B891" w14:textId="77777777" w:rsidR="006B35D5" w:rsidRDefault="006B35D5" w:rsidP="004B7D84">
      <w:pPr>
        <w:pStyle w:val="CETBodytext"/>
      </w:pPr>
    </w:p>
    <w:p w14:paraId="08E2986A" w14:textId="77777777" w:rsidR="006B35D5" w:rsidRDefault="006B35D5" w:rsidP="004B7D84">
      <w:pPr>
        <w:pStyle w:val="CETBodytext"/>
      </w:pPr>
    </w:p>
    <w:p w14:paraId="5DF3D84E" w14:textId="77777777" w:rsidR="006B35D5" w:rsidRDefault="006B35D5" w:rsidP="004B7D84">
      <w:pPr>
        <w:pStyle w:val="CETBodytext"/>
      </w:pPr>
    </w:p>
    <w:p w14:paraId="1274D790" w14:textId="77777777" w:rsidR="00FF000C" w:rsidRDefault="00FF000C" w:rsidP="004B7D84">
      <w:pPr>
        <w:pStyle w:val="CETBodytext"/>
      </w:pPr>
    </w:p>
    <w:p w14:paraId="5911F9AB" w14:textId="4610C3DA" w:rsidR="00027248" w:rsidRDefault="004B7D84" w:rsidP="00C64A3B">
      <w:pPr>
        <w:pStyle w:val="CETCaption"/>
      </w:pPr>
      <w:r w:rsidRPr="004B7D84">
        <w:rPr>
          <w:rStyle w:val="CETCaptionCarattere"/>
          <w:i/>
        </w:rPr>
        <w:t xml:space="preserve">Figure </w:t>
      </w:r>
      <w:r w:rsidR="00DB4E9C">
        <w:rPr>
          <w:rStyle w:val="CETCaptionCarattere"/>
          <w:i/>
        </w:rPr>
        <w:t>3</w:t>
      </w:r>
      <w:r w:rsidRPr="004B7D84">
        <w:rPr>
          <w:rStyle w:val="CETCaptionCarattere"/>
          <w:i/>
        </w:rPr>
        <w:t>: Temperature</w:t>
      </w:r>
      <w:r>
        <w:rPr>
          <w:rStyle w:val="CETCaptionCarattere"/>
          <w:i/>
        </w:rPr>
        <w:t xml:space="preserve"> (°C) </w:t>
      </w:r>
      <w:r w:rsidRPr="004B7D84">
        <w:rPr>
          <w:rStyle w:val="CETCaptionCarattere"/>
          <w:i/>
        </w:rPr>
        <w:t>profile in the s</w:t>
      </w:r>
      <w:r>
        <w:rPr>
          <w:rStyle w:val="CETCaptionCarattere"/>
          <w:i/>
        </w:rPr>
        <w:t>oil for a constant surface heat flux of 22</w:t>
      </w:r>
      <w:r w:rsidR="00D4044F">
        <w:rPr>
          <w:rStyle w:val="CETCaptionCarattere"/>
          <w:i/>
        </w:rPr>
        <w:t>2</w:t>
      </w:r>
      <w:r>
        <w:rPr>
          <w:rStyle w:val="CETCaptionCarattere"/>
          <w:i/>
        </w:rPr>
        <w:t xml:space="preserve"> kW/m² for a flame front inclined at 45° to the ground, with a thermal diffusivity of </w:t>
      </w:r>
      <w:r>
        <w:t>1.8 10</w:t>
      </w:r>
      <w:r w:rsidRPr="00397B6F">
        <w:rPr>
          <w:color w:val="000000" w:themeColor="text1"/>
          <w:vertAlign w:val="superscript"/>
        </w:rPr>
        <w:t>-6</w:t>
      </w:r>
      <w:r w:rsidRPr="00397B6F">
        <w:rPr>
          <w:color w:val="000000" w:themeColor="text1"/>
        </w:rPr>
        <w:t xml:space="preserve"> </w:t>
      </w:r>
      <w:r>
        <w:t>m²/s and thermal conductivity of 3.72 W/</w:t>
      </w:r>
      <w:r w:rsidR="00487242">
        <w:t>(</w:t>
      </w:r>
      <w:r>
        <w:t>m</w:t>
      </w:r>
      <w:r w:rsidR="00487242" w:rsidRPr="00280FAF">
        <w:rPr>
          <w:rFonts w:ascii="Times New Roman" w:eastAsia="SimSun" w:hAnsi="Times New Roman"/>
        </w:rPr>
        <w:t>·</w:t>
      </w:r>
      <w:r>
        <w:t>°C</w:t>
      </w:r>
      <w:r w:rsidR="00487242">
        <w:t>)</w:t>
      </w:r>
      <w:r>
        <w:t>.</w:t>
      </w:r>
    </w:p>
    <w:p w14:paraId="5B9BA1B6" w14:textId="3BFF83D1" w:rsidR="003E34FB" w:rsidRDefault="00FD38CB" w:rsidP="004500F7">
      <w:pPr>
        <w:pStyle w:val="CETBodytext"/>
      </w:pPr>
      <w:r>
        <w:t>Observation</w:t>
      </w:r>
      <w:r w:rsidR="004500F7">
        <w:t xml:space="preserve"> of the results showed that at the minimum legal depth of the pipeline</w:t>
      </w:r>
      <w:r w:rsidR="00BE483D">
        <w:t xml:space="preserve"> (0.8 m)</w:t>
      </w:r>
      <w:r w:rsidR="004500F7">
        <w:t xml:space="preserve">, the temperature is far from </w:t>
      </w:r>
      <w:r>
        <w:t>the critical</w:t>
      </w:r>
      <w:r w:rsidR="003E34FB">
        <w:t xml:space="preserve"> temperature</w:t>
      </w:r>
      <w:r>
        <w:t xml:space="preserve"> of the pipeline</w:t>
      </w:r>
      <w:r w:rsidR="008E54CB">
        <w:t xml:space="preserve">, </w:t>
      </w:r>
      <w:r w:rsidR="00E951EA">
        <w:t xml:space="preserve">which is </w:t>
      </w:r>
      <w:r>
        <w:t>about</w:t>
      </w:r>
      <w:r w:rsidR="004500F7">
        <w:t xml:space="preserve"> 425 °</w:t>
      </w:r>
      <w:r w:rsidR="008E54CB">
        <w:t xml:space="preserve">C </w:t>
      </w:r>
      <w:r>
        <w:t>according to the</w:t>
      </w:r>
      <w:r w:rsidR="008E54CB">
        <w:t xml:space="preserve"> previous study,</w:t>
      </w:r>
      <w:r w:rsidR="004500F7">
        <w:t xml:space="preserve"> even </w:t>
      </w:r>
      <w:r>
        <w:t>in</w:t>
      </w:r>
      <w:r w:rsidR="004500F7">
        <w:t xml:space="preserve"> this </w:t>
      </w:r>
      <w:r>
        <w:t xml:space="preserve">worst-case </w:t>
      </w:r>
      <w:r w:rsidR="004500F7">
        <w:t>scenario.</w:t>
      </w:r>
      <w:r w:rsidR="00E951EA">
        <w:t xml:space="preserve"> A hypothetical flame duration </w:t>
      </w:r>
      <w:r>
        <w:t>was</w:t>
      </w:r>
      <w:r w:rsidR="00E951EA">
        <w:t xml:space="preserve"> implemented to observe </w:t>
      </w:r>
      <w:r>
        <w:t>the temperature distribution</w:t>
      </w:r>
      <w:r w:rsidR="00E951EA">
        <w:t xml:space="preserve">. Even </w:t>
      </w:r>
      <w:r w:rsidR="002523EF">
        <w:t>in</w:t>
      </w:r>
      <w:r w:rsidR="00E951EA">
        <w:t xml:space="preserve"> a w</w:t>
      </w:r>
      <w:r w:rsidR="002523EF">
        <w:t>orst-case</w:t>
      </w:r>
      <w:r w:rsidR="00E951EA">
        <w:t xml:space="preserve"> </w:t>
      </w:r>
      <w:r>
        <w:t xml:space="preserve">scenario </w:t>
      </w:r>
      <w:r w:rsidR="002523EF">
        <w:t>involving</w:t>
      </w:r>
      <w:r w:rsidR="00E951EA">
        <w:t xml:space="preserve"> a total incident heat flux of 222 kW/m²</w:t>
      </w:r>
      <w:r w:rsidR="004500F7">
        <w:t xml:space="preserve"> </w:t>
      </w:r>
      <w:r w:rsidR="002523EF">
        <w:t xml:space="preserve">sustained </w:t>
      </w:r>
      <w:r w:rsidR="00E951EA">
        <w:t>for 4 hours</w:t>
      </w:r>
      <w:r w:rsidR="002523EF">
        <w:t xml:space="preserve"> (</w:t>
      </w:r>
      <w:r w:rsidR="002523EF" w:rsidRPr="002523EF">
        <w:t>which</w:t>
      </w:r>
      <w:r w:rsidR="002523EF">
        <w:t>,</w:t>
      </w:r>
      <w:r w:rsidR="002523EF" w:rsidRPr="002523EF">
        <w:t xml:space="preserve"> </w:t>
      </w:r>
      <w:r w:rsidR="002523EF">
        <w:t>in reality, is merely a phenomenon lasting a few minutes)</w:t>
      </w:r>
      <w:r w:rsidR="00E951EA">
        <w:t xml:space="preserve">, the temperature </w:t>
      </w:r>
      <w:r w:rsidR="00D928CB">
        <w:t xml:space="preserve">of the </w:t>
      </w:r>
      <w:r w:rsidR="00416355">
        <w:t>soil</w:t>
      </w:r>
      <w:r w:rsidR="00D928CB">
        <w:t xml:space="preserve"> in contact with the pipeline </w:t>
      </w:r>
      <w:r w:rsidR="002523EF">
        <w:t>remains unaffected</w:t>
      </w:r>
      <w:r w:rsidR="008E54CB">
        <w:t xml:space="preserve"> and </w:t>
      </w:r>
      <w:r w:rsidR="002523EF">
        <w:t>stays</w:t>
      </w:r>
      <w:r w:rsidR="008E54CB">
        <w:t xml:space="preserve"> at 30 °C</w:t>
      </w:r>
      <w:r w:rsidR="00E951EA">
        <w:t xml:space="preserve">. </w:t>
      </w:r>
      <w:r w:rsidR="003E34FB">
        <w:t>The</w:t>
      </w:r>
      <w:r w:rsidR="00416355">
        <w:t xml:space="preserve"> </w:t>
      </w:r>
      <w:r w:rsidR="00D928CB">
        <w:t>critical</w:t>
      </w:r>
      <w:r w:rsidR="003E34FB">
        <w:t xml:space="preserve"> temperature</w:t>
      </w:r>
      <w:r w:rsidR="00416355">
        <w:t xml:space="preserve"> of the pipeline</w:t>
      </w:r>
      <w:r w:rsidR="006D486F">
        <w:t xml:space="preserve"> is </w:t>
      </w:r>
      <w:r w:rsidR="00657921">
        <w:t xml:space="preserve">only </w:t>
      </w:r>
      <w:r w:rsidR="006D486F">
        <w:t xml:space="preserve">reached at 0.4 m for </w:t>
      </w:r>
      <w:r w:rsidR="00416355">
        <w:t xml:space="preserve">a </w:t>
      </w:r>
      <w:r w:rsidR="006D486F">
        <w:t xml:space="preserve">4 hour of fire and 0.06 m for </w:t>
      </w:r>
      <w:r w:rsidR="00416355">
        <w:t xml:space="preserve">a </w:t>
      </w:r>
      <w:r w:rsidR="006D486F">
        <w:t>15 min</w:t>
      </w:r>
      <w:r w:rsidR="00D4044F">
        <w:t>ute</w:t>
      </w:r>
      <w:r w:rsidR="006D486F">
        <w:t xml:space="preserve"> of fire.</w:t>
      </w:r>
      <w:r w:rsidR="008E54CB">
        <w:t xml:space="preserve"> </w:t>
      </w:r>
      <w:r w:rsidR="003E34FB">
        <w:t xml:space="preserve">Using this model, it would take 12 to 13 </w:t>
      </w:r>
      <w:r w:rsidR="00416355">
        <w:t xml:space="preserve">hours of </w:t>
      </w:r>
      <w:r w:rsidR="003E34FB">
        <w:t xml:space="preserve">continuous </w:t>
      </w:r>
      <w:r w:rsidR="00416355">
        <w:t xml:space="preserve">fire </w:t>
      </w:r>
      <w:r w:rsidR="003E34FB">
        <w:t xml:space="preserve">exposure to reach the </w:t>
      </w:r>
      <w:r w:rsidR="00E415D1">
        <w:t xml:space="preserve">critical </w:t>
      </w:r>
      <w:r w:rsidR="003E34FB">
        <w:t>temperature</w:t>
      </w:r>
      <w:r w:rsidR="00416355">
        <w:t xml:space="preserve"> of the pipeline</w:t>
      </w:r>
      <w:r w:rsidR="003E34FB">
        <w:t xml:space="preserve">. </w:t>
      </w:r>
    </w:p>
    <w:p w14:paraId="3E77E5C6" w14:textId="02625B7B" w:rsidR="00E415D1" w:rsidRDefault="00E415D1" w:rsidP="004500F7">
      <w:pPr>
        <w:pStyle w:val="CETBodytext"/>
      </w:pPr>
      <w:r>
        <w:t xml:space="preserve">Another aspect </w:t>
      </w:r>
      <w:r w:rsidR="00645075">
        <w:t>to consider</w:t>
      </w:r>
      <w:r>
        <w:t xml:space="preserve"> is </w:t>
      </w:r>
      <w:r w:rsidR="00416355">
        <w:t xml:space="preserve">the </w:t>
      </w:r>
      <w:r w:rsidR="00645075">
        <w:t>possible</w:t>
      </w:r>
      <w:r>
        <w:t xml:space="preserve"> damage </w:t>
      </w:r>
      <w:r w:rsidR="00645075">
        <w:t>to the</w:t>
      </w:r>
      <w:r>
        <w:t xml:space="preserve"> anti-corrosion coating. The critical temperature of the coating is </w:t>
      </w:r>
      <w:r w:rsidR="00416355">
        <w:t>assumed</w:t>
      </w:r>
      <w:r>
        <w:t xml:space="preserve"> at 60 °C </w:t>
      </w:r>
      <w:r w:rsidR="00416355">
        <w:t>in the</w:t>
      </w:r>
      <w:r>
        <w:t xml:space="preserve"> previous study</w:t>
      </w:r>
      <w:r w:rsidR="00416355">
        <w:t>,</w:t>
      </w:r>
      <w:r>
        <w:t xml:space="preserve"> but this value is</w:t>
      </w:r>
      <w:r w:rsidR="00416355">
        <w:t xml:space="preserve"> </w:t>
      </w:r>
      <w:r>
        <w:t xml:space="preserve">never reached </w:t>
      </w:r>
      <w:r w:rsidR="00416355">
        <w:t xml:space="preserve">even </w:t>
      </w:r>
      <w:r>
        <w:t xml:space="preserve">at </w:t>
      </w:r>
      <w:r w:rsidR="00416355">
        <w:t>a</w:t>
      </w:r>
      <w:r>
        <w:t xml:space="preserve"> depth of 0.8 m. For 4 hours of maintained heat flux, this value is reached at </w:t>
      </w:r>
      <w:r w:rsidR="00416355">
        <w:t>a</w:t>
      </w:r>
      <w:r>
        <w:t xml:space="preserve"> depth of 0.6 m. It would take approximately 7 hours of continuous</w:t>
      </w:r>
      <w:r w:rsidR="00416355">
        <w:t xml:space="preserve"> </w:t>
      </w:r>
      <w:r>
        <w:t>exposure to</w:t>
      </w:r>
      <w:r w:rsidR="00416355">
        <w:t xml:space="preserve"> wildfire to</w:t>
      </w:r>
      <w:r>
        <w:t xml:space="preserve"> reach this critical temperature. </w:t>
      </w:r>
    </w:p>
    <w:p w14:paraId="62CB942F" w14:textId="64E549CB" w:rsidR="00E415D1" w:rsidRPr="00027248" w:rsidRDefault="00444696" w:rsidP="004500F7">
      <w:pPr>
        <w:pStyle w:val="CETBodytext"/>
      </w:pPr>
      <w:r>
        <w:t>This shows that the soil layer, even</w:t>
      </w:r>
      <w:r w:rsidR="00416355">
        <w:t xml:space="preserve"> if it has </w:t>
      </w:r>
      <w:r>
        <w:t xml:space="preserve">an unfavorable composition, offers effective thermal insulation against external thermal stresses, </w:t>
      </w:r>
      <w:r w:rsidR="00416355">
        <w:t>protecting</w:t>
      </w:r>
      <w:r>
        <w:t xml:space="preserve"> both</w:t>
      </w:r>
      <w:r w:rsidR="00416355">
        <w:t xml:space="preserve"> the</w:t>
      </w:r>
      <w:r>
        <w:t xml:space="preserve"> integrity</w:t>
      </w:r>
      <w:r w:rsidR="00416355">
        <w:t xml:space="preserve"> of the pipeline</w:t>
      </w:r>
      <w:r>
        <w:t xml:space="preserve"> and its coating. </w:t>
      </w:r>
    </w:p>
    <w:p w14:paraId="51B1324B" w14:textId="5B28464E" w:rsidR="000A265A" w:rsidRDefault="00397B6F" w:rsidP="000A265A">
      <w:pPr>
        <w:pStyle w:val="CETHeading1"/>
        <w:rPr>
          <w:lang w:val="en-GB"/>
        </w:rPr>
      </w:pPr>
      <w:r w:rsidRPr="00B57B36">
        <w:rPr>
          <w:lang w:val="en-GB"/>
        </w:rPr>
        <w:t>Conclusions</w:t>
      </w:r>
    </w:p>
    <w:p w14:paraId="58045A54" w14:textId="7B85B13D" w:rsidR="00AB141B" w:rsidRDefault="00AB141B" w:rsidP="00AB141B">
      <w:pPr>
        <w:pStyle w:val="CETBodytext"/>
        <w:rPr>
          <w:lang w:val="en-GB"/>
        </w:rPr>
      </w:pPr>
      <w:r>
        <w:rPr>
          <w:lang w:val="en-GB"/>
        </w:rPr>
        <w:t>This study has</w:t>
      </w:r>
      <w:r w:rsidR="00B77AE3">
        <w:rPr>
          <w:lang w:val="en-GB"/>
        </w:rPr>
        <w:t xml:space="preserve"> focused on a method </w:t>
      </w:r>
      <w:r w:rsidR="00F41968">
        <w:rPr>
          <w:lang w:val="en-GB"/>
        </w:rPr>
        <w:t>for estimating</w:t>
      </w:r>
      <w:r w:rsidR="00B77AE3">
        <w:rPr>
          <w:lang w:val="en-GB"/>
        </w:rPr>
        <w:t xml:space="preserve"> the potential impact of wildfires on natural gas pipelines.</w:t>
      </w:r>
      <w:r w:rsidR="00F41968">
        <w:rPr>
          <w:lang w:val="en-GB"/>
        </w:rPr>
        <w:t xml:space="preserve"> It has been</w:t>
      </w:r>
      <w:r>
        <w:rPr>
          <w:lang w:val="en-GB"/>
        </w:rPr>
        <w:t xml:space="preserve"> demonstrated that buried pipelines have a minim</w:t>
      </w:r>
      <w:r w:rsidR="00F41968">
        <w:rPr>
          <w:lang w:val="en-GB"/>
        </w:rPr>
        <w:t>um</w:t>
      </w:r>
      <w:r>
        <w:rPr>
          <w:lang w:val="en-GB"/>
        </w:rPr>
        <w:t xml:space="preserve"> legal depth adapted to </w:t>
      </w:r>
      <w:r w:rsidR="00F41968">
        <w:rPr>
          <w:lang w:val="en-GB"/>
        </w:rPr>
        <w:t>the</w:t>
      </w:r>
      <w:r>
        <w:rPr>
          <w:lang w:val="en-GB"/>
        </w:rPr>
        <w:t xml:space="preserve"> increase </w:t>
      </w:r>
      <w:r w:rsidR="00F41968">
        <w:rPr>
          <w:lang w:val="en-GB"/>
        </w:rPr>
        <w:t>in</w:t>
      </w:r>
      <w:r>
        <w:rPr>
          <w:lang w:val="en-GB"/>
        </w:rPr>
        <w:t xml:space="preserve"> thermal condition</w:t>
      </w:r>
      <w:r w:rsidR="00F41968">
        <w:rPr>
          <w:lang w:val="en-GB"/>
        </w:rPr>
        <w:t>s</w:t>
      </w:r>
      <w:r>
        <w:rPr>
          <w:lang w:val="en-GB"/>
        </w:rPr>
        <w:t xml:space="preserve"> caused by wildfires. </w:t>
      </w:r>
      <w:r w:rsidR="00C427DF">
        <w:rPr>
          <w:lang w:val="en-GB"/>
        </w:rPr>
        <w:t xml:space="preserve">Indeed, even </w:t>
      </w:r>
      <w:r w:rsidR="00416355">
        <w:rPr>
          <w:lang w:val="en-GB"/>
        </w:rPr>
        <w:t>in the</w:t>
      </w:r>
      <w:r w:rsidR="00C427DF">
        <w:rPr>
          <w:lang w:val="en-GB"/>
        </w:rPr>
        <w:t xml:space="preserve"> worst-case scenario, where the incident heat flux reaches 222 kW/m² and sustained for hours, the distribution of temperatures in </w:t>
      </w:r>
      <w:r w:rsidR="00416355">
        <w:rPr>
          <w:lang w:val="en-GB"/>
        </w:rPr>
        <w:t>the ground</w:t>
      </w:r>
      <w:r w:rsidR="00C427DF">
        <w:rPr>
          <w:lang w:val="en-GB"/>
        </w:rPr>
        <w:t xml:space="preserve"> </w:t>
      </w:r>
      <w:r w:rsidR="00965626">
        <w:rPr>
          <w:lang w:val="en-GB"/>
        </w:rPr>
        <w:t>shows</w:t>
      </w:r>
      <w:r w:rsidR="00C427DF">
        <w:rPr>
          <w:lang w:val="en-GB"/>
        </w:rPr>
        <w:t xml:space="preserve"> </w:t>
      </w:r>
      <w:r w:rsidR="00416355">
        <w:rPr>
          <w:lang w:val="en-GB"/>
        </w:rPr>
        <w:t>no</w:t>
      </w:r>
      <w:r w:rsidR="00C427DF">
        <w:rPr>
          <w:lang w:val="en-GB"/>
        </w:rPr>
        <w:t xml:space="preserve"> difference </w:t>
      </w:r>
      <w:r w:rsidR="00416355">
        <w:rPr>
          <w:lang w:val="en-GB"/>
        </w:rPr>
        <w:t xml:space="preserve">with </w:t>
      </w:r>
      <w:r w:rsidR="00C427DF">
        <w:rPr>
          <w:lang w:val="en-GB"/>
        </w:rPr>
        <w:t>the depth</w:t>
      </w:r>
      <w:r w:rsidR="00416355">
        <w:rPr>
          <w:lang w:val="en-GB"/>
        </w:rPr>
        <w:t xml:space="preserve"> of the pipeline</w:t>
      </w:r>
      <w:r w:rsidR="00C427DF">
        <w:rPr>
          <w:lang w:val="en-GB"/>
        </w:rPr>
        <w:t>. This analysis, although simplified, confirm</w:t>
      </w:r>
      <w:r w:rsidR="00416355">
        <w:rPr>
          <w:lang w:val="en-GB"/>
        </w:rPr>
        <w:t>s</w:t>
      </w:r>
      <w:r w:rsidR="00C427DF">
        <w:rPr>
          <w:lang w:val="en-GB"/>
        </w:rPr>
        <w:t xml:space="preserve"> the robustness of curren</w:t>
      </w:r>
      <w:r w:rsidR="00416355">
        <w:rPr>
          <w:lang w:val="en-GB"/>
        </w:rPr>
        <w:t xml:space="preserve">t </w:t>
      </w:r>
      <w:r w:rsidR="00C427DF">
        <w:rPr>
          <w:lang w:val="en-GB"/>
        </w:rPr>
        <w:t>legal depth</w:t>
      </w:r>
      <w:r w:rsidR="00416355">
        <w:rPr>
          <w:lang w:val="en-GB"/>
        </w:rPr>
        <w:t xml:space="preserve"> standards</w:t>
      </w:r>
      <w:r w:rsidR="00C427DF">
        <w:rPr>
          <w:lang w:val="en-GB"/>
        </w:rPr>
        <w:t xml:space="preserve"> against </w:t>
      </w:r>
      <w:r w:rsidR="00416355">
        <w:rPr>
          <w:lang w:val="en-GB"/>
        </w:rPr>
        <w:t xml:space="preserve">the </w:t>
      </w:r>
      <w:r w:rsidR="00C427DF">
        <w:rPr>
          <w:lang w:val="en-GB"/>
        </w:rPr>
        <w:t xml:space="preserve">risk </w:t>
      </w:r>
      <w:r w:rsidR="00416355">
        <w:rPr>
          <w:lang w:val="en-GB"/>
        </w:rPr>
        <w:t>of</w:t>
      </w:r>
      <w:r w:rsidR="00C427DF">
        <w:rPr>
          <w:lang w:val="en-GB"/>
        </w:rPr>
        <w:t xml:space="preserve"> wildfire. </w:t>
      </w:r>
      <w:r>
        <w:rPr>
          <w:lang w:val="en-GB"/>
        </w:rPr>
        <w:t xml:space="preserve"> </w:t>
      </w:r>
    </w:p>
    <w:p w14:paraId="59AB7720" w14:textId="75E4F3C8" w:rsidR="00ED05FD" w:rsidRDefault="00C3074F" w:rsidP="00AB141B">
      <w:pPr>
        <w:pStyle w:val="CETBodytext"/>
        <w:rPr>
          <w:lang w:val="en-GB"/>
        </w:rPr>
      </w:pPr>
      <w:r>
        <w:rPr>
          <w:lang w:val="en-GB"/>
        </w:rPr>
        <w:t>However, it is important to be aware o</w:t>
      </w:r>
      <w:r w:rsidR="00BE483D">
        <w:rPr>
          <w:lang w:val="en-GB"/>
        </w:rPr>
        <w:t>f</w:t>
      </w:r>
      <w:r>
        <w:rPr>
          <w:lang w:val="en-GB"/>
        </w:rPr>
        <w:t xml:space="preserve"> the limitations of th</w:t>
      </w:r>
      <w:r w:rsidR="00BE483D">
        <w:rPr>
          <w:lang w:val="en-GB"/>
        </w:rPr>
        <w:t>ese</w:t>
      </w:r>
      <w:r>
        <w:rPr>
          <w:lang w:val="en-GB"/>
        </w:rPr>
        <w:t xml:space="preserve"> analyses. Here, a hypothetical </w:t>
      </w:r>
      <w:r w:rsidR="00416355">
        <w:rPr>
          <w:lang w:val="en-GB"/>
        </w:rPr>
        <w:t xml:space="preserve">flame front </w:t>
      </w:r>
      <w:r>
        <w:rPr>
          <w:lang w:val="en-GB"/>
        </w:rPr>
        <w:t xml:space="preserve">geometry has been </w:t>
      </w:r>
      <w:r w:rsidR="00BE483D">
        <w:rPr>
          <w:lang w:val="en-GB"/>
        </w:rPr>
        <w:t>considered</w:t>
      </w:r>
      <w:r>
        <w:rPr>
          <w:lang w:val="en-GB"/>
        </w:rPr>
        <w:t>, with a uniform repartition of the emissive</w:t>
      </w:r>
      <w:r w:rsidR="00416355">
        <w:rPr>
          <w:lang w:val="en-GB"/>
        </w:rPr>
        <w:t xml:space="preserve"> heat</w:t>
      </w:r>
      <w:r>
        <w:rPr>
          <w:lang w:val="en-GB"/>
        </w:rPr>
        <w:t xml:space="preserve"> flux due to the </w:t>
      </w:r>
      <w:r w:rsidR="00416355">
        <w:rPr>
          <w:lang w:val="en-GB"/>
        </w:rPr>
        <w:t>solid flame</w:t>
      </w:r>
      <w:r>
        <w:rPr>
          <w:lang w:val="en-GB"/>
        </w:rPr>
        <w:t xml:space="preserve"> model. It has already been shown in the literature that for wildfires, this model tends to overestimate the results</w:t>
      </w:r>
      <w:r w:rsidR="00DC43F5">
        <w:rPr>
          <w:lang w:val="en-GB"/>
        </w:rPr>
        <w:t xml:space="preserve"> and may be questionable for this application</w:t>
      </w:r>
      <w:r>
        <w:rPr>
          <w:lang w:val="en-GB"/>
        </w:rPr>
        <w:t>. Then, th</w:t>
      </w:r>
      <w:r w:rsidR="00DC43F5">
        <w:rPr>
          <w:lang w:val="en-GB"/>
        </w:rPr>
        <w:t>e</w:t>
      </w:r>
      <w:r>
        <w:rPr>
          <w:lang w:val="en-GB"/>
        </w:rPr>
        <w:t xml:space="preserve"> model for </w:t>
      </w:r>
      <w:r w:rsidR="00416355">
        <w:rPr>
          <w:lang w:val="en-GB"/>
        </w:rPr>
        <w:t xml:space="preserve">solving </w:t>
      </w:r>
      <w:r>
        <w:rPr>
          <w:lang w:val="en-GB"/>
        </w:rPr>
        <w:t>the thermal equation in one dimension</w:t>
      </w:r>
      <w:r w:rsidR="00DC43F5">
        <w:rPr>
          <w:lang w:val="en-GB"/>
        </w:rPr>
        <w:t xml:space="preserve"> in </w:t>
      </w:r>
      <w:r w:rsidR="00416355">
        <w:rPr>
          <w:lang w:val="en-GB"/>
        </w:rPr>
        <w:t xml:space="preserve">the </w:t>
      </w:r>
      <w:r w:rsidR="00DC43F5">
        <w:rPr>
          <w:lang w:val="en-GB"/>
        </w:rPr>
        <w:t>soil</w:t>
      </w:r>
      <w:r>
        <w:rPr>
          <w:lang w:val="en-GB"/>
        </w:rPr>
        <w:t xml:space="preserve"> </w:t>
      </w:r>
      <w:r w:rsidR="00416355">
        <w:rPr>
          <w:lang w:val="en-GB"/>
        </w:rPr>
        <w:t xml:space="preserve">also </w:t>
      </w:r>
      <w:r>
        <w:rPr>
          <w:lang w:val="en-GB"/>
        </w:rPr>
        <w:t xml:space="preserve">tends to also overestimate the results. Without </w:t>
      </w:r>
      <w:r w:rsidR="00BE483D">
        <w:rPr>
          <w:lang w:val="en-GB"/>
        </w:rPr>
        <w:t xml:space="preserve">the </w:t>
      </w:r>
      <w:r>
        <w:rPr>
          <w:lang w:val="en-GB"/>
        </w:rPr>
        <w:t>presence of air and water</w:t>
      </w:r>
      <w:r w:rsidR="00BE483D">
        <w:rPr>
          <w:lang w:val="en-GB"/>
        </w:rPr>
        <w:t xml:space="preserve"> in</w:t>
      </w:r>
      <w:r w:rsidR="00416355">
        <w:rPr>
          <w:lang w:val="en-GB"/>
        </w:rPr>
        <w:t xml:space="preserve"> the</w:t>
      </w:r>
      <w:r w:rsidR="00BE483D">
        <w:rPr>
          <w:lang w:val="en-GB"/>
        </w:rPr>
        <w:t xml:space="preserve"> soil,</w:t>
      </w:r>
      <w:r>
        <w:rPr>
          <w:lang w:val="en-GB"/>
        </w:rPr>
        <w:t xml:space="preserve"> </w:t>
      </w:r>
      <w:r w:rsidR="00BE483D">
        <w:rPr>
          <w:lang w:val="en-GB"/>
        </w:rPr>
        <w:t>where their</w:t>
      </w:r>
      <w:r>
        <w:rPr>
          <w:lang w:val="en-GB"/>
        </w:rPr>
        <w:t xml:space="preserve"> thermal </w:t>
      </w:r>
      <w:r w:rsidR="00BE483D">
        <w:rPr>
          <w:lang w:val="en-GB"/>
        </w:rPr>
        <w:t>properties are</w:t>
      </w:r>
      <w:r>
        <w:rPr>
          <w:lang w:val="en-GB"/>
        </w:rPr>
        <w:t xml:space="preserve"> lower than </w:t>
      </w:r>
      <w:r w:rsidR="00416355">
        <w:rPr>
          <w:lang w:val="en-GB"/>
        </w:rPr>
        <w:t xml:space="preserve">the </w:t>
      </w:r>
      <w:r>
        <w:rPr>
          <w:lang w:val="en-GB"/>
        </w:rPr>
        <w:t xml:space="preserve">solid material of </w:t>
      </w:r>
      <w:r w:rsidR="00416355">
        <w:rPr>
          <w:lang w:val="en-GB"/>
        </w:rPr>
        <w:t xml:space="preserve">the </w:t>
      </w:r>
      <w:r>
        <w:rPr>
          <w:lang w:val="en-GB"/>
        </w:rPr>
        <w:t>soil</w:t>
      </w:r>
      <w:r w:rsidR="00ED05FD">
        <w:rPr>
          <w:lang w:val="en-GB"/>
        </w:rPr>
        <w:t>, the distribution of temperature tends to be more important.</w:t>
      </w:r>
    </w:p>
    <w:p w14:paraId="7632B15F" w14:textId="56B05F8A" w:rsidR="00ED05FD" w:rsidRDefault="00ED05FD" w:rsidP="00AB141B">
      <w:pPr>
        <w:pStyle w:val="CETBodytext"/>
        <w:rPr>
          <w:lang w:val="en-GB"/>
        </w:rPr>
      </w:pPr>
      <w:r>
        <w:rPr>
          <w:lang w:val="en-GB"/>
        </w:rPr>
        <w:t xml:space="preserve">Furthermore, to estimate the </w:t>
      </w:r>
      <w:r w:rsidR="00416355">
        <w:rPr>
          <w:lang w:val="en-GB"/>
        </w:rPr>
        <w:t>emitted heat flux</w:t>
      </w:r>
      <w:r>
        <w:rPr>
          <w:lang w:val="en-GB"/>
        </w:rPr>
        <w:t xml:space="preserve"> of wildfire</w:t>
      </w:r>
      <w:r w:rsidR="009071C2">
        <w:rPr>
          <w:lang w:val="en-GB"/>
        </w:rPr>
        <w:t>s</w:t>
      </w:r>
      <w:r>
        <w:rPr>
          <w:lang w:val="en-GB"/>
        </w:rPr>
        <w:t>, a possible way is to use C</w:t>
      </w:r>
      <w:r w:rsidR="00DC43F5">
        <w:rPr>
          <w:lang w:val="en-GB"/>
        </w:rPr>
        <w:t>omputational Fluid Dynamics</w:t>
      </w:r>
      <w:r>
        <w:rPr>
          <w:lang w:val="en-GB"/>
        </w:rPr>
        <w:t xml:space="preserve"> tools as Fire Dynamics Simulato</w:t>
      </w:r>
      <w:r w:rsidR="00DC43F5">
        <w:rPr>
          <w:lang w:val="en-GB"/>
        </w:rPr>
        <w:t>r</w:t>
      </w:r>
      <w:r w:rsidR="002E0A45">
        <w:rPr>
          <w:lang w:val="en-GB"/>
        </w:rPr>
        <w:t xml:space="preserve"> (FDS)</w:t>
      </w:r>
      <w:r w:rsidR="00DC43F5">
        <w:rPr>
          <w:lang w:val="en-GB"/>
        </w:rPr>
        <w:t>. This code, developed by the National Institute of Standards and Technology (NIST)</w:t>
      </w:r>
      <w:r w:rsidR="00104C4F">
        <w:rPr>
          <w:lang w:val="en-GB"/>
        </w:rPr>
        <w:t>,</w:t>
      </w:r>
      <w:r w:rsidR="00DC43F5">
        <w:rPr>
          <w:lang w:val="en-GB"/>
        </w:rPr>
        <w:t xml:space="preserve"> is a </w:t>
      </w:r>
      <w:r w:rsidR="00BE483D">
        <w:rPr>
          <w:lang w:val="en-GB"/>
        </w:rPr>
        <w:t>LES code</w:t>
      </w:r>
      <w:r w:rsidR="00DC43F5">
        <w:rPr>
          <w:lang w:val="en-GB"/>
        </w:rPr>
        <w:t xml:space="preserve"> for low-speed flows, with an emphasis on smoke and heat transport from fires.</w:t>
      </w:r>
      <w:r w:rsidR="009071C2">
        <w:rPr>
          <w:lang w:val="en-GB"/>
        </w:rPr>
        <w:t xml:space="preserve"> </w:t>
      </w:r>
      <w:r w:rsidR="00DC43F5">
        <w:rPr>
          <w:lang w:val="en-GB"/>
        </w:rPr>
        <w:t xml:space="preserve">Several studies have been conducted to simulate vegetation </w:t>
      </w:r>
      <w:r w:rsidR="00104C4F">
        <w:rPr>
          <w:lang w:val="en-GB"/>
        </w:rPr>
        <w:t>burning</w:t>
      </w:r>
      <w:r w:rsidR="00DC43F5">
        <w:rPr>
          <w:lang w:val="en-GB"/>
        </w:rPr>
        <w:t xml:space="preserve"> under ambient conditions, considering not only </w:t>
      </w:r>
      <w:r w:rsidR="00104C4F">
        <w:rPr>
          <w:lang w:val="en-GB"/>
        </w:rPr>
        <w:t xml:space="preserve">the </w:t>
      </w:r>
      <w:r w:rsidR="00DC43F5">
        <w:rPr>
          <w:lang w:val="en-GB"/>
        </w:rPr>
        <w:t>r</w:t>
      </w:r>
      <w:r w:rsidR="00104C4F">
        <w:rPr>
          <w:lang w:val="en-GB"/>
        </w:rPr>
        <w:t>adiative</w:t>
      </w:r>
      <w:r w:rsidR="00DC43F5">
        <w:rPr>
          <w:lang w:val="en-GB"/>
        </w:rPr>
        <w:t xml:space="preserve"> heat flux but also additional factors </w:t>
      </w:r>
      <w:r w:rsidR="00104C4F">
        <w:rPr>
          <w:lang w:val="en-GB"/>
        </w:rPr>
        <w:t>that affect</w:t>
      </w:r>
      <w:r w:rsidR="00DC43F5">
        <w:rPr>
          <w:lang w:val="en-GB"/>
        </w:rPr>
        <w:t xml:space="preserve"> energy transfer in wildfires.</w:t>
      </w:r>
      <w:r w:rsidR="00DC43F5" w:rsidRPr="00DC43F5">
        <w:rPr>
          <w:lang w:val="en-GB"/>
        </w:rPr>
        <w:t xml:space="preserve"> </w:t>
      </w:r>
      <w:r w:rsidR="00DC43F5">
        <w:rPr>
          <w:lang w:val="en-GB"/>
        </w:rPr>
        <w:t>Above ground installations will be investigated with this tool in the future, as these structures are directly impacted by wildfire</w:t>
      </w:r>
      <w:r w:rsidR="009071C2">
        <w:rPr>
          <w:lang w:val="en-GB"/>
        </w:rPr>
        <w:t>s</w:t>
      </w:r>
      <w:r w:rsidR="00DC43F5">
        <w:rPr>
          <w:lang w:val="en-GB"/>
        </w:rPr>
        <w:t xml:space="preserve"> on the surface</w:t>
      </w:r>
      <w:r w:rsidR="00BE483D">
        <w:rPr>
          <w:lang w:val="en-GB"/>
        </w:rPr>
        <w:t>. I</w:t>
      </w:r>
      <w:r w:rsidR="00DC43F5">
        <w:rPr>
          <w:lang w:val="en-GB"/>
        </w:rPr>
        <w:t xml:space="preserve">t will be possible to evaluate, with more parameters, the thermal response </w:t>
      </w:r>
      <w:r w:rsidR="00DC43F5">
        <w:rPr>
          <w:lang w:val="en-GB"/>
        </w:rPr>
        <w:lastRenderedPageBreak/>
        <w:t xml:space="preserve">of </w:t>
      </w:r>
      <w:r w:rsidR="002E0A45">
        <w:rPr>
          <w:lang w:val="en-GB"/>
        </w:rPr>
        <w:t>equipment. The</w:t>
      </w:r>
      <w:r>
        <w:rPr>
          <w:lang w:val="en-GB"/>
        </w:rPr>
        <w:t xml:space="preserve"> </w:t>
      </w:r>
      <w:r w:rsidR="002E0A45">
        <w:rPr>
          <w:lang w:val="en-GB"/>
        </w:rPr>
        <w:t>main</w:t>
      </w:r>
      <w:r>
        <w:rPr>
          <w:lang w:val="en-GB"/>
        </w:rPr>
        <w:t xml:space="preserve"> limitation of this method is the </w:t>
      </w:r>
      <w:r w:rsidR="00104C4F">
        <w:rPr>
          <w:lang w:val="en-GB"/>
        </w:rPr>
        <w:t>need</w:t>
      </w:r>
      <w:r w:rsidR="002E0A45">
        <w:rPr>
          <w:lang w:val="en-GB"/>
        </w:rPr>
        <w:t xml:space="preserve"> for experimental input data, </w:t>
      </w:r>
      <w:r w:rsidR="00104C4F">
        <w:rPr>
          <w:lang w:val="en-GB"/>
        </w:rPr>
        <w:t>although</w:t>
      </w:r>
      <w:r w:rsidR="002E0A45">
        <w:rPr>
          <w:lang w:val="en-GB"/>
        </w:rPr>
        <w:t xml:space="preserve"> FDS</w:t>
      </w:r>
      <w:r w:rsidR="00104C4F">
        <w:rPr>
          <w:lang w:val="en-GB"/>
        </w:rPr>
        <w:t xml:space="preserve"> has </w:t>
      </w:r>
      <w:r w:rsidR="002E0A45">
        <w:rPr>
          <w:lang w:val="en-GB"/>
        </w:rPr>
        <w:t xml:space="preserve"> already be</w:t>
      </w:r>
      <w:r w:rsidR="00104C4F">
        <w:rPr>
          <w:lang w:val="en-GB"/>
        </w:rPr>
        <w:t>en</w:t>
      </w:r>
      <w:r w:rsidR="002E0A45">
        <w:rPr>
          <w:lang w:val="en-GB"/>
        </w:rPr>
        <w:t xml:space="preserve"> validated for surface fires, crown fires, and the transition from surface to crown fires in the canopy. </w:t>
      </w:r>
      <w:r>
        <w:rPr>
          <w:lang w:val="en-GB"/>
        </w:rPr>
        <w:t xml:space="preserve">Concerning the soil, more realistic </w:t>
      </w:r>
      <w:r w:rsidR="00104C4F">
        <w:rPr>
          <w:lang w:val="en-GB"/>
        </w:rPr>
        <w:t>models</w:t>
      </w:r>
      <w:r>
        <w:rPr>
          <w:lang w:val="en-GB"/>
        </w:rPr>
        <w:t xml:space="preserve"> are available to consider a heterogeneous soil</w:t>
      </w:r>
      <w:r w:rsidR="00B916F3">
        <w:rPr>
          <w:lang w:val="en-GB"/>
        </w:rPr>
        <w:t xml:space="preserve">, as </w:t>
      </w:r>
      <w:r w:rsidR="00104C4F">
        <w:rPr>
          <w:lang w:val="en-GB"/>
        </w:rPr>
        <w:t>mentioned</w:t>
      </w:r>
      <w:r w:rsidR="00B916F3">
        <w:rPr>
          <w:lang w:val="en-GB"/>
        </w:rPr>
        <w:t xml:space="preserve"> previously</w:t>
      </w:r>
      <w:r w:rsidR="002E0A45">
        <w:rPr>
          <w:lang w:val="en-GB"/>
        </w:rPr>
        <w:t xml:space="preserve"> and solving the heat equation in two dimensions is also an effective way to account for the thermal boundaries</w:t>
      </w:r>
      <w:r w:rsidR="00104C4F">
        <w:rPr>
          <w:lang w:val="en-GB"/>
        </w:rPr>
        <w:t xml:space="preserve"> at</w:t>
      </w:r>
      <w:r w:rsidR="002E0A45">
        <w:rPr>
          <w:lang w:val="en-GB"/>
        </w:rPr>
        <w:t xml:space="preserve"> the sides. </w:t>
      </w:r>
      <w:r w:rsidR="0029285E">
        <w:rPr>
          <w:lang w:val="en-GB"/>
        </w:rPr>
        <w:t xml:space="preserve">An approach on the “combustible” soils such as peatlands can also be an interesting topic because of their long burning time (several days or months). </w:t>
      </w:r>
    </w:p>
    <w:p w14:paraId="51969C53" w14:textId="04A3D6CF" w:rsidR="001E34FB" w:rsidRPr="00AB141B" w:rsidRDefault="001E34FB" w:rsidP="00AB141B">
      <w:pPr>
        <w:pStyle w:val="CETBodytext"/>
        <w:rPr>
          <w:lang w:val="en-GB"/>
        </w:rPr>
      </w:pPr>
      <w:r>
        <w:rPr>
          <w:lang w:val="en-GB"/>
        </w:rPr>
        <w:t>Furthermore, experiments will be conducted to obtain experimental data on buried pipelines and above</w:t>
      </w:r>
      <w:r w:rsidR="00104C4F">
        <w:rPr>
          <w:lang w:val="en-GB"/>
        </w:rPr>
        <w:t>-</w:t>
      </w:r>
      <w:r>
        <w:rPr>
          <w:lang w:val="en-GB"/>
        </w:rPr>
        <w:t>ground installations, which will allow for comparison between numerical simulations and real-world conditions.</w:t>
      </w:r>
    </w:p>
    <w:p w14:paraId="7B5F6FAE" w14:textId="77777777" w:rsidR="00E40761" w:rsidRDefault="00E40761" w:rsidP="00E40761">
      <w:pPr>
        <w:pStyle w:val="CETHeadingxx"/>
      </w:pPr>
      <w:r>
        <w:t>Nomenclature</w:t>
      </w:r>
    </w:p>
    <w:p w14:paraId="191F0A47" w14:textId="77777777" w:rsidR="00D83DB1" w:rsidRPr="00280FAF" w:rsidRDefault="00D83DB1" w:rsidP="00E40761">
      <w:pPr>
        <w:pStyle w:val="CETHeadingxx"/>
        <w:rPr>
          <w:lang w:val="en-GB"/>
        </w:rPr>
        <w:sectPr w:rsidR="00D83DB1" w:rsidRPr="00280FAF" w:rsidSect="00E40761">
          <w:type w:val="continuous"/>
          <w:pgSz w:w="11906" w:h="16838" w:code="9"/>
          <w:pgMar w:top="1701" w:right="1418" w:bottom="1701" w:left="1701" w:header="1701" w:footer="0" w:gutter="0"/>
          <w:cols w:space="708"/>
          <w:formProt w:val="0"/>
          <w:titlePg/>
          <w:docGrid w:linePitch="360"/>
        </w:sectPr>
      </w:pPr>
    </w:p>
    <w:p w14:paraId="05848FB1" w14:textId="4A94A3C7" w:rsidR="00E40761" w:rsidRPr="009071C2" w:rsidRDefault="00E40761" w:rsidP="009071C2">
      <w:pPr>
        <w:pStyle w:val="CETBodytext"/>
        <w:rPr>
          <w:rFonts w:eastAsia="SimSun"/>
        </w:rPr>
      </w:pPr>
      <w:r w:rsidRPr="009071C2">
        <w:rPr>
          <w:rFonts w:eastAsia="SimSun"/>
        </w:rPr>
        <w:t>D – distance</w:t>
      </w:r>
      <w:r w:rsidR="00CA6684" w:rsidRPr="009071C2">
        <w:rPr>
          <w:rFonts w:eastAsia="SimSun"/>
        </w:rPr>
        <w:t xml:space="preserve"> </w:t>
      </w:r>
      <w:r w:rsidRPr="009071C2">
        <w:rPr>
          <w:rFonts w:eastAsia="SimSun"/>
        </w:rPr>
        <w:t xml:space="preserve">flame </w:t>
      </w:r>
      <w:r w:rsidR="00CA6684" w:rsidRPr="009071C2">
        <w:rPr>
          <w:rFonts w:eastAsia="SimSun"/>
        </w:rPr>
        <w:t>front – ground surface</w:t>
      </w:r>
      <w:r w:rsidRPr="009071C2">
        <w:rPr>
          <w:rFonts w:eastAsia="SimSun"/>
        </w:rPr>
        <w:t xml:space="preserve"> above pipeline, m</w:t>
      </w:r>
    </w:p>
    <w:p w14:paraId="49893E29" w14:textId="77777777" w:rsidR="00E40761" w:rsidRPr="009071C2" w:rsidRDefault="00E40761" w:rsidP="009071C2">
      <w:pPr>
        <w:pStyle w:val="CETBodytext"/>
        <w:rPr>
          <w:rFonts w:eastAsia="SimSun"/>
        </w:rPr>
      </w:pPr>
      <w:r w:rsidRPr="009071C2">
        <w:rPr>
          <w:rFonts w:eastAsia="SimSun"/>
        </w:rPr>
        <w:t>E – surface emissive power, kW/m²</w:t>
      </w:r>
    </w:p>
    <w:p w14:paraId="312281F6" w14:textId="4F692986" w:rsidR="00E40761" w:rsidRPr="009071C2" w:rsidRDefault="00E40761" w:rsidP="009071C2">
      <w:pPr>
        <w:pStyle w:val="CETBodytext"/>
        <w:rPr>
          <w:rFonts w:eastAsia="SimSun"/>
        </w:rPr>
      </w:pPr>
      <w:r w:rsidRPr="009071C2">
        <w:rPr>
          <w:rFonts w:eastAsia="SimSun"/>
        </w:rPr>
        <w:t>F – view factor</w:t>
      </w:r>
      <w:r w:rsidR="00CA6684" w:rsidRPr="009071C2">
        <w:rPr>
          <w:rFonts w:eastAsia="SimSun"/>
        </w:rPr>
        <w:t>, -</w:t>
      </w:r>
    </w:p>
    <w:p w14:paraId="13E096C2" w14:textId="0B92BAD9" w:rsidR="00E40761" w:rsidRPr="009071C2" w:rsidRDefault="00E40761" w:rsidP="009071C2">
      <w:pPr>
        <w:pStyle w:val="CETBodytext"/>
        <w:rPr>
          <w:rFonts w:eastAsia="SimSun"/>
        </w:rPr>
      </w:pPr>
      <w:r w:rsidRPr="009071C2">
        <w:rPr>
          <w:rFonts w:eastAsia="SimSun"/>
        </w:rPr>
        <w:t xml:space="preserve">H – </w:t>
      </w:r>
      <w:r w:rsidR="00CA6684" w:rsidRPr="009071C2">
        <w:rPr>
          <w:rFonts w:eastAsia="SimSun"/>
        </w:rPr>
        <w:t>distance pipeline – ground surface</w:t>
      </w:r>
      <w:r w:rsidRPr="009071C2">
        <w:rPr>
          <w:rFonts w:eastAsia="SimSun"/>
        </w:rPr>
        <w:t>, m</w:t>
      </w:r>
    </w:p>
    <w:p w14:paraId="2A044288" w14:textId="77777777" w:rsidR="00E40761" w:rsidRPr="009071C2" w:rsidRDefault="00E40761" w:rsidP="009071C2">
      <w:pPr>
        <w:pStyle w:val="CETBodytext"/>
        <w:rPr>
          <w:rFonts w:eastAsia="SimSun"/>
        </w:rPr>
      </w:pPr>
      <w:r w:rsidRPr="009071C2">
        <w:rPr>
          <w:rFonts w:eastAsia="SimSun"/>
        </w:rPr>
        <w:t>Q – incident heat flux, kW/m²</w:t>
      </w:r>
    </w:p>
    <w:p w14:paraId="1280CB87" w14:textId="720CBE13" w:rsidR="00D83DB1" w:rsidRPr="009071C2" w:rsidRDefault="00E40761" w:rsidP="009071C2">
      <w:pPr>
        <w:pStyle w:val="CETBodytext"/>
        <w:rPr>
          <w:rFonts w:eastAsia="SimSun"/>
        </w:rPr>
      </w:pPr>
      <w:r w:rsidRPr="009071C2">
        <w:rPr>
          <w:rFonts w:eastAsia="SimSun"/>
        </w:rPr>
        <w:t xml:space="preserve">Lf – </w:t>
      </w:r>
      <w:r w:rsidR="00CA6684" w:rsidRPr="009071C2">
        <w:rPr>
          <w:rFonts w:eastAsia="SimSun"/>
        </w:rPr>
        <w:t>flame length</w:t>
      </w:r>
      <w:r w:rsidRPr="009071C2">
        <w:rPr>
          <w:rFonts w:eastAsia="SimSun"/>
        </w:rPr>
        <w:t>, m</w:t>
      </w:r>
    </w:p>
    <w:p w14:paraId="412B2F88" w14:textId="7AFD5946" w:rsidR="00E40761" w:rsidRPr="009071C2" w:rsidRDefault="00E40761" w:rsidP="009071C2">
      <w:pPr>
        <w:pStyle w:val="CETBodytext"/>
        <w:rPr>
          <w:rFonts w:eastAsia="SimSun"/>
        </w:rPr>
      </w:pPr>
      <w:proofErr w:type="spellStart"/>
      <w:r w:rsidRPr="009071C2">
        <w:rPr>
          <w:rFonts w:eastAsia="SimSun"/>
        </w:rPr>
        <w:t>T</w:t>
      </w:r>
      <w:r w:rsidR="0029285E">
        <w:rPr>
          <w:rFonts w:eastAsia="SimSun"/>
          <w:vertAlign w:val="subscript"/>
        </w:rPr>
        <w:t>f</w:t>
      </w:r>
      <w:proofErr w:type="spellEnd"/>
      <w:r w:rsidRPr="009071C2">
        <w:rPr>
          <w:rFonts w:eastAsia="SimSun"/>
        </w:rPr>
        <w:t xml:space="preserve"> – flame temperature, °C</w:t>
      </w:r>
    </w:p>
    <w:p w14:paraId="30CB3B84" w14:textId="77777777" w:rsidR="00E40761" w:rsidRPr="009071C2" w:rsidRDefault="00E40761" w:rsidP="009071C2">
      <w:pPr>
        <w:pStyle w:val="CETBodytext"/>
        <w:rPr>
          <w:rFonts w:eastAsia="SimSun"/>
        </w:rPr>
      </w:pPr>
      <w:r w:rsidRPr="009071C2">
        <w:rPr>
          <w:rFonts w:eastAsia="SimSun"/>
        </w:rPr>
        <w:t>W – flame front width, m</w:t>
      </w:r>
    </w:p>
    <w:p w14:paraId="727ABCC1" w14:textId="7146BE0E" w:rsidR="00D83DB1" w:rsidRPr="009071C2" w:rsidRDefault="00D83DB1" w:rsidP="009071C2">
      <w:pPr>
        <w:pStyle w:val="CETBodytext"/>
        <w:rPr>
          <w:rFonts w:eastAsia="SimSun"/>
        </w:rPr>
      </w:pPr>
      <w:r w:rsidRPr="009071C2">
        <w:t>α</w:t>
      </w:r>
      <w:r w:rsidRPr="009071C2">
        <w:rPr>
          <w:rFonts w:eastAsia="SimSun"/>
        </w:rPr>
        <w:t xml:space="preserve"> – thermal diffusivity, m²/s</w:t>
      </w:r>
    </w:p>
    <w:p w14:paraId="15C12E8D" w14:textId="0043DE40" w:rsidR="00D83DB1" w:rsidRPr="009071C2" w:rsidRDefault="00D83DB1" w:rsidP="009071C2">
      <w:pPr>
        <w:pStyle w:val="CETBodytext"/>
        <w:rPr>
          <w:rFonts w:eastAsia="SimSun"/>
        </w:rPr>
      </w:pPr>
      <w:r w:rsidRPr="009071C2">
        <w:rPr>
          <w:rFonts w:eastAsia="SimSun"/>
        </w:rPr>
        <w:t>ε – emissivity of soil, -</w:t>
      </w:r>
    </w:p>
    <w:p w14:paraId="73F35479" w14:textId="3D3B276A" w:rsidR="00D83DB1" w:rsidRPr="009071C2" w:rsidRDefault="00E40761" w:rsidP="009071C2">
      <w:pPr>
        <w:pStyle w:val="CETBodytext"/>
        <w:rPr>
          <w:rFonts w:eastAsia="SimSun"/>
        </w:rPr>
      </w:pPr>
      <w:r w:rsidRPr="009071C2">
        <w:rPr>
          <w:rFonts w:eastAsia="SimSun"/>
        </w:rPr>
        <w:t xml:space="preserve">θ – flame front </w:t>
      </w:r>
      <w:r w:rsidR="00B15EA0">
        <w:rPr>
          <w:rFonts w:eastAsia="SimSun"/>
        </w:rPr>
        <w:t>tilt</w:t>
      </w:r>
      <w:r w:rsidRPr="009071C2">
        <w:rPr>
          <w:rFonts w:eastAsia="SimSun"/>
        </w:rPr>
        <w:t>, °</w:t>
      </w:r>
      <w:r w:rsidR="00CA6684" w:rsidRPr="009071C2">
        <w:rPr>
          <w:rFonts w:eastAsia="SimSun"/>
        </w:rPr>
        <w:t xml:space="preserve"> </w:t>
      </w:r>
    </w:p>
    <w:p w14:paraId="7E768461" w14:textId="6BDAB0BB" w:rsidR="00D83DB1" w:rsidRPr="009071C2" w:rsidRDefault="00D83DB1" w:rsidP="009071C2">
      <w:pPr>
        <w:pStyle w:val="CETBodytext"/>
        <w:rPr>
          <w:rFonts w:eastAsia="SimSun"/>
        </w:rPr>
      </w:pPr>
      <w:r w:rsidRPr="009071C2">
        <w:rPr>
          <w:rFonts w:eastAsia="SimSun"/>
        </w:rPr>
        <w:t>λ – thermal conductivity, W/(m·°C)</w:t>
      </w:r>
    </w:p>
    <w:p w14:paraId="776B80F9" w14:textId="6EF22254" w:rsidR="00D83DB1" w:rsidRPr="009071C2" w:rsidRDefault="00D83DB1" w:rsidP="009071C2">
      <w:pPr>
        <w:pStyle w:val="CETBodytext"/>
        <w:rPr>
          <w:rFonts w:eastAsia="SimSun"/>
        </w:rPr>
      </w:pPr>
      <w:r w:rsidRPr="009071C2">
        <w:t xml:space="preserve">σ </w:t>
      </w:r>
      <w:r w:rsidR="009071C2" w:rsidRPr="009071C2">
        <w:rPr>
          <w:rFonts w:eastAsia="SimSun"/>
        </w:rPr>
        <w:t>–</w:t>
      </w:r>
      <w:r w:rsidRPr="009071C2">
        <w:t xml:space="preserve"> Stefan-Boltzmann constant, W/(m²</w:t>
      </w:r>
      <w:r w:rsidRPr="009071C2">
        <w:rPr>
          <w:rFonts w:eastAsia="SimSun"/>
        </w:rPr>
        <w:t>·</w:t>
      </w:r>
      <w:r w:rsidRPr="009071C2">
        <w:t>K</w:t>
      </w:r>
      <w:r w:rsidR="0029285E">
        <w:rPr>
          <w:vertAlign w:val="superscript"/>
        </w:rPr>
        <w:t>4</w:t>
      </w:r>
      <w:r w:rsidRPr="009071C2">
        <w:t>)</w:t>
      </w:r>
    </w:p>
    <w:p w14:paraId="43D93868" w14:textId="039B3DDA" w:rsidR="00D83DB1" w:rsidRPr="009071C2" w:rsidRDefault="00D83DB1" w:rsidP="009071C2">
      <w:pPr>
        <w:pStyle w:val="CETBodytext"/>
        <w:rPr>
          <w:rFonts w:eastAsia="SimSun"/>
        </w:rPr>
        <w:sectPr w:rsidR="00D83DB1" w:rsidRPr="009071C2" w:rsidSect="00D83DB1">
          <w:type w:val="continuous"/>
          <w:pgSz w:w="11906" w:h="16838" w:code="9"/>
          <w:pgMar w:top="1701" w:right="1418" w:bottom="1701" w:left="1701" w:header="1701" w:footer="0" w:gutter="0"/>
          <w:cols w:num="2" w:space="708"/>
          <w:formProt w:val="0"/>
          <w:titlePg/>
          <w:docGrid w:linePitch="360"/>
        </w:sectPr>
      </w:pPr>
      <w:r w:rsidRPr="009071C2">
        <w:rPr>
          <w:rFonts w:eastAsia="SimSun"/>
        </w:rPr>
        <w:t xml:space="preserve">τ </w:t>
      </w:r>
      <w:r w:rsidR="009071C2" w:rsidRPr="009071C2">
        <w:rPr>
          <w:rFonts w:eastAsia="SimSun"/>
        </w:rPr>
        <w:t>–</w:t>
      </w:r>
      <w:r w:rsidRPr="009071C2">
        <w:rPr>
          <w:rFonts w:eastAsia="SimSun"/>
        </w:rPr>
        <w:t xml:space="preserve"> transmissivity of air</w:t>
      </w:r>
      <w:r w:rsidR="0027511D">
        <w:rPr>
          <w:rFonts w:eastAsia="SimSun"/>
        </w:rPr>
        <w:t xml:space="preserve">, - </w:t>
      </w:r>
    </w:p>
    <w:p w14:paraId="4F4267C3" w14:textId="2F89CE42" w:rsidR="00E40761" w:rsidRPr="00E377D0" w:rsidRDefault="00E40761" w:rsidP="00E40761">
      <w:pPr>
        <w:pStyle w:val="CETBodytext"/>
        <w:jc w:val="left"/>
        <w:rPr>
          <w:rFonts w:eastAsia="SimSun"/>
        </w:rPr>
        <w:sectPr w:rsidR="00E40761" w:rsidRPr="00E377D0" w:rsidSect="00E40761">
          <w:type w:val="continuous"/>
          <w:pgSz w:w="11906" w:h="16838" w:code="9"/>
          <w:pgMar w:top="1701" w:right="1418" w:bottom="1701" w:left="1701" w:header="1701" w:footer="0" w:gutter="0"/>
          <w:cols w:num="2" w:space="708"/>
          <w:formProt w:val="0"/>
          <w:titlePg/>
          <w:docGrid w:linePitch="360"/>
        </w:sectPr>
      </w:pPr>
    </w:p>
    <w:p w14:paraId="64F232E8" w14:textId="77777777" w:rsidR="00C7169E" w:rsidRPr="00B57B36" w:rsidRDefault="00C7169E" w:rsidP="00C7169E">
      <w:pPr>
        <w:pStyle w:val="CETAcknowledgementstitle"/>
      </w:pPr>
      <w:r w:rsidRPr="00B57B36">
        <w:t>Acknowledgments</w:t>
      </w:r>
    </w:p>
    <w:p w14:paraId="400D9AA3" w14:textId="5A4CD260" w:rsidR="00C7169E" w:rsidRPr="00C7169E" w:rsidRDefault="00C7169E" w:rsidP="00C7169E">
      <w:pPr>
        <w:pStyle w:val="CETBodytext"/>
        <w:rPr>
          <w:lang w:val="en-GB"/>
        </w:rPr>
      </w:pPr>
      <w:r>
        <w:rPr>
          <w:lang w:val="en-GB"/>
        </w:rPr>
        <w:t xml:space="preserve">The authors are grateful to </w:t>
      </w:r>
      <w:proofErr w:type="spellStart"/>
      <w:r>
        <w:rPr>
          <w:lang w:val="en-GB"/>
        </w:rPr>
        <w:t>GRTgaz</w:t>
      </w:r>
      <w:proofErr w:type="spellEnd"/>
      <w:r>
        <w:rPr>
          <w:lang w:val="en-GB"/>
        </w:rPr>
        <w:t xml:space="preserve">, </w:t>
      </w:r>
      <w:r w:rsidR="004D2AAE">
        <w:rPr>
          <w:lang w:val="en-GB"/>
        </w:rPr>
        <w:t xml:space="preserve">Storengy and Téréga for </w:t>
      </w:r>
      <w:r w:rsidR="000A265A">
        <w:rPr>
          <w:lang w:val="en-GB"/>
        </w:rPr>
        <w:t xml:space="preserve">scientific and </w:t>
      </w:r>
      <w:r w:rsidR="004D2AAE">
        <w:rPr>
          <w:lang w:val="en-GB"/>
        </w:rPr>
        <w:t xml:space="preserve">financial support to this project. </w:t>
      </w:r>
    </w:p>
    <w:p w14:paraId="5A13856B" w14:textId="6FDE1C78" w:rsidR="006B4888" w:rsidRDefault="00600535" w:rsidP="004925A5">
      <w:pPr>
        <w:pStyle w:val="CETReference"/>
      </w:pPr>
      <w:r w:rsidRPr="00B57B36">
        <w:t>References</w:t>
      </w:r>
    </w:p>
    <w:p w14:paraId="5CBD90E0" w14:textId="722181E5" w:rsidR="00D52F2E" w:rsidRDefault="00D52F2E" w:rsidP="00D52F2E">
      <w:pPr>
        <w:pStyle w:val="CETReferencetext"/>
      </w:pPr>
      <w:r>
        <w:t xml:space="preserve">Billaud, Y., </w:t>
      </w:r>
      <w:proofErr w:type="spellStart"/>
      <w:r>
        <w:t>Kaiss</w:t>
      </w:r>
      <w:proofErr w:type="spellEnd"/>
      <w:r>
        <w:t>, A., Consalvi, J.-L., and Porterie, B.,</w:t>
      </w:r>
      <w:r w:rsidR="009C5887">
        <w:t xml:space="preserve"> </w:t>
      </w:r>
      <w:r>
        <w:t xml:space="preserve">2011, Monte </w:t>
      </w:r>
      <w:r w:rsidR="009C5887">
        <w:t>C</w:t>
      </w:r>
      <w:r>
        <w:t>arlo estimation of thermal radiation from wildland fires. International Journal of Thermal Sciences, 50(1):2–11.</w:t>
      </w:r>
    </w:p>
    <w:p w14:paraId="17EAC5C0" w14:textId="19D7BF44" w:rsidR="00D52F2E" w:rsidRDefault="00D52F2E" w:rsidP="00D52F2E">
      <w:pPr>
        <w:pStyle w:val="CETReferencetext"/>
      </w:pPr>
      <w:r>
        <w:t>Butler, B. W., 2010, Characterization of convective heating in full scale wildland fires</w:t>
      </w:r>
      <w:r w:rsidR="009C5887">
        <w:t>,</w:t>
      </w:r>
      <w:r>
        <w:t xml:space="preserve"> </w:t>
      </w:r>
      <w:r w:rsidRPr="00D52F2E">
        <w:t xml:space="preserve">In Viegas, D. X., ed. </w:t>
      </w:r>
      <w:r>
        <w:t>Proceedings of the VI International Conference on Forest Fire Research.</w:t>
      </w:r>
    </w:p>
    <w:p w14:paraId="5AFA45BD" w14:textId="6BAD20FE" w:rsidR="00D52F2E" w:rsidRDefault="00D52F2E" w:rsidP="00D52F2E">
      <w:pPr>
        <w:pStyle w:val="CETReferencetext"/>
      </w:pPr>
      <w:r>
        <w:t>Butler, B. W., Cohen, J., Latham, D. J., Schuette, R. D., Sopko, P., Shannon, K. S., Jimenez, D., and Bradshaw, L. S., 2004, Measurements of radiant emissive power and temperatures in crown fires</w:t>
      </w:r>
      <w:r w:rsidR="009C5887">
        <w:t>,</w:t>
      </w:r>
      <w:r>
        <w:t xml:space="preserve"> Canadian Journal of Forest Research, 34(8):1577–1587.</w:t>
      </w:r>
    </w:p>
    <w:p w14:paraId="45F3F351" w14:textId="4AAE801B" w:rsidR="00D52F2E" w:rsidRDefault="00D52F2E" w:rsidP="00D52F2E">
      <w:pPr>
        <w:pStyle w:val="CETReferencetext"/>
      </w:pPr>
      <w:r>
        <w:t>Cohen, J. D., 2004, Relating flame radiation to home ignition using modelling and experimental crown fires</w:t>
      </w:r>
      <w:r w:rsidR="009C5887">
        <w:t>,</w:t>
      </w:r>
      <w:r>
        <w:t xml:space="preserve"> Canadian Journal of Forest Research, 34(8):1616–1626.</w:t>
      </w:r>
    </w:p>
    <w:p w14:paraId="7865318E" w14:textId="2D8D8D3A" w:rsidR="00D52F2E" w:rsidRDefault="00D52F2E" w:rsidP="00D52F2E">
      <w:pPr>
        <w:pStyle w:val="CETReferencetext"/>
      </w:pPr>
      <w:r>
        <w:t xml:space="preserve">Heymes, F., </w:t>
      </w:r>
      <w:proofErr w:type="spellStart"/>
      <w:r>
        <w:t>Aprin</w:t>
      </w:r>
      <w:proofErr w:type="spellEnd"/>
      <w:r>
        <w:t xml:space="preserve">, L., Forestier, S., </w:t>
      </w:r>
      <w:proofErr w:type="spellStart"/>
      <w:r>
        <w:t>Slangen</w:t>
      </w:r>
      <w:proofErr w:type="spellEnd"/>
      <w:r>
        <w:t xml:space="preserve">, P., Baptiste Jarry, J., </w:t>
      </w:r>
      <w:proofErr w:type="spellStart"/>
      <w:r>
        <w:t>Fran¸cois</w:t>
      </w:r>
      <w:proofErr w:type="spellEnd"/>
      <w:r>
        <w:t xml:space="preserve">, H., and </w:t>
      </w:r>
      <w:proofErr w:type="spellStart"/>
      <w:r>
        <w:t>Dusserre</w:t>
      </w:r>
      <w:proofErr w:type="spellEnd"/>
      <w:r>
        <w:t>, G., 2013, Impact of a distant wildland fire on an LPG tank</w:t>
      </w:r>
      <w:r w:rsidR="009C5887">
        <w:t>,</w:t>
      </w:r>
      <w:r>
        <w:t xml:space="preserve"> Fire Safety Journal, 61:100–107.</w:t>
      </w:r>
    </w:p>
    <w:p w14:paraId="7505C0C7" w14:textId="1C4B785D" w:rsidR="00D52F2E" w:rsidRDefault="00D52F2E" w:rsidP="00D52F2E">
      <w:pPr>
        <w:pStyle w:val="CETReferencetext"/>
      </w:pPr>
      <w:r>
        <w:t>Massman, W. J., 2021, The challenges of an in-situ validation of a nonequilibrium model of soil heat and moisture dynamics during fires</w:t>
      </w:r>
      <w:r w:rsidR="009C5887">
        <w:t>,</w:t>
      </w:r>
      <w:r>
        <w:t xml:space="preserve"> Hydrology and Earth System Sciences, 25(2):685–709.</w:t>
      </w:r>
    </w:p>
    <w:p w14:paraId="34B0A8CD" w14:textId="5FD4DF3E" w:rsidR="00D52F2E" w:rsidRDefault="00D52F2E" w:rsidP="00D52F2E">
      <w:pPr>
        <w:pStyle w:val="CETReferencetext"/>
      </w:pPr>
      <w:r>
        <w:t>Mudan, K. S., 1987, Geometric view factors for thermal radiation hazard assessment</w:t>
      </w:r>
      <w:r w:rsidR="009C5887">
        <w:t>,</w:t>
      </w:r>
      <w:r>
        <w:t xml:space="preserve"> Fire Safety Journal, 12(2):89–96.</w:t>
      </w:r>
    </w:p>
    <w:p w14:paraId="100AB224" w14:textId="047D3E5D" w:rsidR="00D52F2E" w:rsidRDefault="00D52F2E" w:rsidP="00D52F2E">
      <w:pPr>
        <w:pStyle w:val="CETReferencetext"/>
      </w:pPr>
      <w:r>
        <w:t>Ochsner, T. E., Horton, R., and Ren, T., 2001, A new perspective on soil thermal properties</w:t>
      </w:r>
      <w:r w:rsidR="009C5887">
        <w:t>,</w:t>
      </w:r>
      <w:r>
        <w:t xml:space="preserve"> Soil Science Society of America Journal, 65(6):1641–1647.</w:t>
      </w:r>
    </w:p>
    <w:p w14:paraId="6C3711B4" w14:textId="28ACCE85" w:rsidR="00D52F2E" w:rsidRDefault="00D52F2E" w:rsidP="00D52F2E">
      <w:pPr>
        <w:pStyle w:val="CETReferencetext"/>
      </w:pPr>
      <w:r>
        <w:t>Popiel, C., Wojtkowiak, J., and Biernacka, B., 2001, Measurements of temperature distribution in ground</w:t>
      </w:r>
      <w:r w:rsidR="009C5887">
        <w:t>,</w:t>
      </w:r>
      <w:r>
        <w:t xml:space="preserve"> Experimental Thermal and Fluid Science, 25(5):301–309.</w:t>
      </w:r>
    </w:p>
    <w:p w14:paraId="2AE73EEE" w14:textId="592EBBA7" w:rsidR="00D52F2E" w:rsidRDefault="00D52F2E" w:rsidP="00D52F2E">
      <w:pPr>
        <w:pStyle w:val="CETReferencetext"/>
      </w:pPr>
      <w:r w:rsidRPr="00D52F2E">
        <w:t>Qin, Z., Li, W., Gao, M., and Zhang, H.,</w:t>
      </w:r>
      <w:r>
        <w:t xml:space="preserve"> 2006, Estimation of land surface emissivity for </w:t>
      </w:r>
      <w:proofErr w:type="spellStart"/>
      <w:r>
        <w:t>landsat</w:t>
      </w:r>
      <w:proofErr w:type="spellEnd"/>
      <w:r>
        <w:t xml:space="preserve"> TM6 and its application to </w:t>
      </w:r>
      <w:proofErr w:type="spellStart"/>
      <w:r>
        <w:t>lingxian</w:t>
      </w:r>
      <w:proofErr w:type="spellEnd"/>
      <w:r>
        <w:t xml:space="preserve"> region in north </w:t>
      </w:r>
      <w:r w:rsidR="009C5887">
        <w:t>C</w:t>
      </w:r>
      <w:r>
        <w:t>hina</w:t>
      </w:r>
      <w:r w:rsidR="009C5887">
        <w:t>,</w:t>
      </w:r>
      <w:r>
        <w:t xml:space="preserve"> In Ehlers, M. and Michel, U., editors, Proc. of SPIE Vol. 6366 636618-1, volume 6366.</w:t>
      </w:r>
    </w:p>
    <w:p w14:paraId="1A44F9DE" w14:textId="19265FFE" w:rsidR="00822D18" w:rsidRDefault="00A457EA" w:rsidP="00822D18">
      <w:pPr>
        <w:pStyle w:val="CETReferencetext"/>
      </w:pPr>
      <w:r w:rsidRPr="00A457EA">
        <w:t xml:space="preserve">Ricci F., Scarponi G.E., Pastor E., Munoz J.A., Planas E., </w:t>
      </w:r>
      <w:proofErr w:type="spellStart"/>
      <w:r w:rsidRPr="00A457EA">
        <w:t>Cozzani</w:t>
      </w:r>
      <w:proofErr w:type="spellEnd"/>
      <w:r w:rsidRPr="00A457EA">
        <w:t xml:space="preserve"> V., 2021, Vulnerability of Industrial Storage Tanks to Wildfire: a Case Study, Chemical Engineering Transactions, 86, 235-240</w:t>
      </w:r>
      <w:r w:rsidR="00822D18">
        <w:t>.</w:t>
      </w:r>
    </w:p>
    <w:p w14:paraId="3746E780" w14:textId="22D6D4E8" w:rsidR="00D52F2E" w:rsidRDefault="00D52F2E" w:rsidP="00D52F2E">
      <w:pPr>
        <w:pStyle w:val="CETReferencetext"/>
      </w:pPr>
      <w:r>
        <w:t>Richter, E. G., Fischer, E. C., Metz, A., and Wham, B. P., 2022, Simulation of heat transfer through soil for the investigation of wildfire impacts on buried pipelines</w:t>
      </w:r>
      <w:r w:rsidR="009C5887">
        <w:t>,</w:t>
      </w:r>
      <w:r>
        <w:t xml:space="preserve"> Fire Technology, 58(4):1889–1915.</w:t>
      </w:r>
    </w:p>
    <w:p w14:paraId="7654A8B5" w14:textId="09F603FE" w:rsidR="00D52F2E" w:rsidRDefault="00D52F2E" w:rsidP="00D52F2E">
      <w:pPr>
        <w:pStyle w:val="CETReferencetext"/>
      </w:pPr>
      <w:r>
        <w:t>Robinson, C. G., Wattis, Z. E., Dooley, C., and Popovic, S., 2018, Assessment of the threat from wildfires on above ground natural gas facilities</w:t>
      </w:r>
      <w:r w:rsidR="009C5887">
        <w:t>,</w:t>
      </w:r>
      <w:r>
        <w:t xml:space="preserve"> In Volume 2: Pipeline Safety Management Systems</w:t>
      </w:r>
      <w:r w:rsidR="009C5887">
        <w:t>;</w:t>
      </w:r>
      <w:r>
        <w:t xml:space="preserve"> Project Management, Design, Construction, and Environmental Issues; Strain Based Design; Risk and Reliability; Northern Offshore and Production Pipelines</w:t>
      </w:r>
      <w:r w:rsidR="009C5887">
        <w:t>,</w:t>
      </w:r>
      <w:r>
        <w:t xml:space="preserve"> American Society of Mechanical Engineers.</w:t>
      </w:r>
    </w:p>
    <w:p w14:paraId="551BF8E3" w14:textId="353C45CD" w:rsidR="00D52F2E" w:rsidRDefault="00D52F2E" w:rsidP="00D52F2E">
      <w:pPr>
        <w:pStyle w:val="CETReferencetext"/>
      </w:pPr>
      <w:r w:rsidRPr="00D52F2E">
        <w:t>Rossi, J., Simeoni, A., Moretti, B., and Leroy-Cancellieri, V., 2011, An ana</w:t>
      </w:r>
      <w:r>
        <w:t>lytical model based on radiative heating for the determination of safety distances for wildland fires</w:t>
      </w:r>
      <w:r w:rsidR="009C5887">
        <w:t>,</w:t>
      </w:r>
      <w:r>
        <w:t xml:space="preserve"> Fire Safety Journal, 46(8):520–527.1</w:t>
      </w:r>
    </w:p>
    <w:p w14:paraId="19C4FC68" w14:textId="1F758011" w:rsidR="004628D2" w:rsidRPr="004925A5" w:rsidRDefault="00D52F2E" w:rsidP="009071C2">
      <w:pPr>
        <w:pStyle w:val="CETReferencetext"/>
      </w:pPr>
      <w:r>
        <w:t xml:space="preserve">Zarate, L., </w:t>
      </w:r>
      <w:proofErr w:type="spellStart"/>
      <w:r>
        <w:t>Arnaldos</w:t>
      </w:r>
      <w:proofErr w:type="spellEnd"/>
      <w:r>
        <w:t>, J., and Casal, J., 2008, Establishing safety distances for wildland fires</w:t>
      </w:r>
      <w:r w:rsidR="009C5887">
        <w:t>,</w:t>
      </w:r>
      <w:r>
        <w:t xml:space="preserve"> Fire Safety Journal, 43(8):565–575</w:t>
      </w:r>
    </w:p>
    <w:sectPr w:rsidR="004628D2" w:rsidRPr="004925A5"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A670BA" w14:textId="77777777" w:rsidR="00510D75" w:rsidRDefault="00510D75" w:rsidP="004F5E36">
      <w:r>
        <w:separator/>
      </w:r>
    </w:p>
  </w:endnote>
  <w:endnote w:type="continuationSeparator" w:id="0">
    <w:p w14:paraId="5CB87BED" w14:textId="77777777" w:rsidR="00510D75" w:rsidRDefault="00510D7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1F21CF" w14:textId="77777777" w:rsidR="00510D75" w:rsidRDefault="00510D75" w:rsidP="004F5E36">
      <w:r>
        <w:separator/>
      </w:r>
    </w:p>
  </w:footnote>
  <w:footnote w:type="continuationSeparator" w:id="0">
    <w:p w14:paraId="69811F60" w14:textId="77777777" w:rsidR="00510D75" w:rsidRDefault="00510D75"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EFE5636"/>
    <w:multiLevelType w:val="hybridMultilevel"/>
    <w:tmpl w:val="4F62D1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au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2"/>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9"/>
  </w:num>
  <w:num w:numId="13" w16cid:durableId="695733619">
    <w:abstractNumId w:val="14"/>
  </w:num>
  <w:num w:numId="14" w16cid:durableId="145903400">
    <w:abstractNumId w:val="20"/>
  </w:num>
  <w:num w:numId="15" w16cid:durableId="19162326">
    <w:abstractNumId w:val="22"/>
  </w:num>
  <w:num w:numId="16" w16cid:durableId="1977102699">
    <w:abstractNumId w:val="21"/>
  </w:num>
  <w:num w:numId="17" w16cid:durableId="860774865">
    <w:abstractNumId w:val="13"/>
  </w:num>
  <w:num w:numId="18" w16cid:durableId="313221457">
    <w:abstractNumId w:val="14"/>
    <w:lvlOverride w:ilvl="0">
      <w:startOverride w:val="1"/>
    </w:lvlOverride>
  </w:num>
  <w:num w:numId="19" w16cid:durableId="534971577">
    <w:abstractNumId w:val="18"/>
  </w:num>
  <w:num w:numId="20" w16cid:durableId="1150947773">
    <w:abstractNumId w:val="17"/>
  </w:num>
  <w:num w:numId="21" w16cid:durableId="124660497">
    <w:abstractNumId w:val="16"/>
  </w:num>
  <w:num w:numId="22" w16cid:durableId="2099861471">
    <w:abstractNumId w:val="15"/>
  </w:num>
  <w:num w:numId="23" w16cid:durableId="84351335">
    <w:abstractNumId w:val="11"/>
  </w:num>
  <w:num w:numId="24" w16cid:durableId="21635840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4"/>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14D92"/>
    <w:rsid w:val="00027248"/>
    <w:rsid w:val="0003148D"/>
    <w:rsid w:val="00031EEC"/>
    <w:rsid w:val="000375E9"/>
    <w:rsid w:val="00051533"/>
    <w:rsid w:val="00051566"/>
    <w:rsid w:val="000562A9"/>
    <w:rsid w:val="00062A9A"/>
    <w:rsid w:val="00062E51"/>
    <w:rsid w:val="00063A5E"/>
    <w:rsid w:val="00065058"/>
    <w:rsid w:val="0007255C"/>
    <w:rsid w:val="00077C5D"/>
    <w:rsid w:val="00081D77"/>
    <w:rsid w:val="00086C39"/>
    <w:rsid w:val="00090C7F"/>
    <w:rsid w:val="000A03B2"/>
    <w:rsid w:val="000A265A"/>
    <w:rsid w:val="000B66C1"/>
    <w:rsid w:val="000B7B18"/>
    <w:rsid w:val="000D0268"/>
    <w:rsid w:val="000D34BE"/>
    <w:rsid w:val="000D4134"/>
    <w:rsid w:val="000E0B3C"/>
    <w:rsid w:val="000E102F"/>
    <w:rsid w:val="000E36F1"/>
    <w:rsid w:val="000E3A73"/>
    <w:rsid w:val="000E414A"/>
    <w:rsid w:val="000E75FD"/>
    <w:rsid w:val="000F093C"/>
    <w:rsid w:val="000F2BDA"/>
    <w:rsid w:val="000F787B"/>
    <w:rsid w:val="00101209"/>
    <w:rsid w:val="00104C4F"/>
    <w:rsid w:val="001122B3"/>
    <w:rsid w:val="001131E8"/>
    <w:rsid w:val="0012091F"/>
    <w:rsid w:val="00126BC2"/>
    <w:rsid w:val="001308B6"/>
    <w:rsid w:val="0013121F"/>
    <w:rsid w:val="00131FE6"/>
    <w:rsid w:val="0013263F"/>
    <w:rsid w:val="001331DF"/>
    <w:rsid w:val="00134DE4"/>
    <w:rsid w:val="0014034D"/>
    <w:rsid w:val="00140FE3"/>
    <w:rsid w:val="00144D16"/>
    <w:rsid w:val="00145837"/>
    <w:rsid w:val="001503F3"/>
    <w:rsid w:val="00150E59"/>
    <w:rsid w:val="00152DE3"/>
    <w:rsid w:val="00164CF9"/>
    <w:rsid w:val="001667A6"/>
    <w:rsid w:val="00174797"/>
    <w:rsid w:val="0018171E"/>
    <w:rsid w:val="00184AD6"/>
    <w:rsid w:val="001A14BE"/>
    <w:rsid w:val="001A4AF7"/>
    <w:rsid w:val="001B0349"/>
    <w:rsid w:val="001B1E93"/>
    <w:rsid w:val="001B65C1"/>
    <w:rsid w:val="001B7BD4"/>
    <w:rsid w:val="001C260F"/>
    <w:rsid w:val="001C3FA7"/>
    <w:rsid w:val="001C44C7"/>
    <w:rsid w:val="001C5C3A"/>
    <w:rsid w:val="001C684B"/>
    <w:rsid w:val="001D0BDE"/>
    <w:rsid w:val="001D0CFB"/>
    <w:rsid w:val="001D21AF"/>
    <w:rsid w:val="001D53FC"/>
    <w:rsid w:val="001E34FB"/>
    <w:rsid w:val="001E4BE9"/>
    <w:rsid w:val="001F42A5"/>
    <w:rsid w:val="001F7B9D"/>
    <w:rsid w:val="00201C93"/>
    <w:rsid w:val="00211A86"/>
    <w:rsid w:val="00215D11"/>
    <w:rsid w:val="00220AF3"/>
    <w:rsid w:val="00221F92"/>
    <w:rsid w:val="002224B4"/>
    <w:rsid w:val="002400B7"/>
    <w:rsid w:val="002447EF"/>
    <w:rsid w:val="00251336"/>
    <w:rsid w:val="00251550"/>
    <w:rsid w:val="002523EF"/>
    <w:rsid w:val="00263B05"/>
    <w:rsid w:val="0027221A"/>
    <w:rsid w:val="00273030"/>
    <w:rsid w:val="0027511D"/>
    <w:rsid w:val="00275B61"/>
    <w:rsid w:val="0027635C"/>
    <w:rsid w:val="00280FAF"/>
    <w:rsid w:val="00282656"/>
    <w:rsid w:val="0029285E"/>
    <w:rsid w:val="00296B83"/>
    <w:rsid w:val="002B4015"/>
    <w:rsid w:val="002B78CE"/>
    <w:rsid w:val="002C2FB6"/>
    <w:rsid w:val="002D2379"/>
    <w:rsid w:val="002E0A45"/>
    <w:rsid w:val="002E5399"/>
    <w:rsid w:val="002E5FA7"/>
    <w:rsid w:val="002F3309"/>
    <w:rsid w:val="002F3FE5"/>
    <w:rsid w:val="003008CE"/>
    <w:rsid w:val="0030096F"/>
    <w:rsid w:val="003009B7"/>
    <w:rsid w:val="00300B77"/>
    <w:rsid w:val="00300E56"/>
    <w:rsid w:val="0030152C"/>
    <w:rsid w:val="0030469C"/>
    <w:rsid w:val="0032156A"/>
    <w:rsid w:val="00321CA6"/>
    <w:rsid w:val="00323763"/>
    <w:rsid w:val="00323C5F"/>
    <w:rsid w:val="0033155A"/>
    <w:rsid w:val="00334C09"/>
    <w:rsid w:val="00345531"/>
    <w:rsid w:val="00352637"/>
    <w:rsid w:val="00352DA0"/>
    <w:rsid w:val="0036320D"/>
    <w:rsid w:val="003636D5"/>
    <w:rsid w:val="0036491A"/>
    <w:rsid w:val="00366BA2"/>
    <w:rsid w:val="00370E34"/>
    <w:rsid w:val="003723D4"/>
    <w:rsid w:val="00375999"/>
    <w:rsid w:val="003814D1"/>
    <w:rsid w:val="00381905"/>
    <w:rsid w:val="00384A0F"/>
    <w:rsid w:val="00384CC8"/>
    <w:rsid w:val="003871FD"/>
    <w:rsid w:val="00395DC6"/>
    <w:rsid w:val="00396D98"/>
    <w:rsid w:val="00397B6F"/>
    <w:rsid w:val="003A1E30"/>
    <w:rsid w:val="003A2829"/>
    <w:rsid w:val="003A7D1C"/>
    <w:rsid w:val="003B304B"/>
    <w:rsid w:val="003B3146"/>
    <w:rsid w:val="003B49CD"/>
    <w:rsid w:val="003C5748"/>
    <w:rsid w:val="003D1586"/>
    <w:rsid w:val="003D1E02"/>
    <w:rsid w:val="003D4A15"/>
    <w:rsid w:val="003E34FB"/>
    <w:rsid w:val="003E4BD2"/>
    <w:rsid w:val="003F015E"/>
    <w:rsid w:val="003F0695"/>
    <w:rsid w:val="003F7D25"/>
    <w:rsid w:val="00400414"/>
    <w:rsid w:val="0041446B"/>
    <w:rsid w:val="00416355"/>
    <w:rsid w:val="0044071E"/>
    <w:rsid w:val="00440876"/>
    <w:rsid w:val="0044329C"/>
    <w:rsid w:val="00444151"/>
    <w:rsid w:val="004442E3"/>
    <w:rsid w:val="00444696"/>
    <w:rsid w:val="004500F7"/>
    <w:rsid w:val="00453E24"/>
    <w:rsid w:val="00457456"/>
    <w:rsid w:val="004577FE"/>
    <w:rsid w:val="00457B9C"/>
    <w:rsid w:val="0046164A"/>
    <w:rsid w:val="004628D2"/>
    <w:rsid w:val="00462DCD"/>
    <w:rsid w:val="004648AD"/>
    <w:rsid w:val="004703A9"/>
    <w:rsid w:val="004760DE"/>
    <w:rsid w:val="004763D7"/>
    <w:rsid w:val="00487242"/>
    <w:rsid w:val="004925A5"/>
    <w:rsid w:val="004A004E"/>
    <w:rsid w:val="004A24CF"/>
    <w:rsid w:val="004B2163"/>
    <w:rsid w:val="004B7D84"/>
    <w:rsid w:val="004C3D1D"/>
    <w:rsid w:val="004C3D84"/>
    <w:rsid w:val="004C4BD8"/>
    <w:rsid w:val="004C7913"/>
    <w:rsid w:val="004D2AAE"/>
    <w:rsid w:val="004E045F"/>
    <w:rsid w:val="004E4DD6"/>
    <w:rsid w:val="004F5E36"/>
    <w:rsid w:val="00504E1A"/>
    <w:rsid w:val="00507B47"/>
    <w:rsid w:val="00507BEF"/>
    <w:rsid w:val="00507CC9"/>
    <w:rsid w:val="00510D75"/>
    <w:rsid w:val="005119A5"/>
    <w:rsid w:val="005278B7"/>
    <w:rsid w:val="0053054B"/>
    <w:rsid w:val="00532016"/>
    <w:rsid w:val="005346C8"/>
    <w:rsid w:val="00537648"/>
    <w:rsid w:val="00541D56"/>
    <w:rsid w:val="005424FC"/>
    <w:rsid w:val="00543E7D"/>
    <w:rsid w:val="005446B2"/>
    <w:rsid w:val="00547A68"/>
    <w:rsid w:val="005531C9"/>
    <w:rsid w:val="00554879"/>
    <w:rsid w:val="00570C43"/>
    <w:rsid w:val="00592274"/>
    <w:rsid w:val="005950E7"/>
    <w:rsid w:val="00595AA7"/>
    <w:rsid w:val="005A0BCC"/>
    <w:rsid w:val="005B2110"/>
    <w:rsid w:val="005B350B"/>
    <w:rsid w:val="005B61E6"/>
    <w:rsid w:val="005C1F30"/>
    <w:rsid w:val="005C77E1"/>
    <w:rsid w:val="005D14BF"/>
    <w:rsid w:val="005D2557"/>
    <w:rsid w:val="005D33C0"/>
    <w:rsid w:val="005D37F7"/>
    <w:rsid w:val="005D668A"/>
    <w:rsid w:val="005D6963"/>
    <w:rsid w:val="005D6A2F"/>
    <w:rsid w:val="005E0592"/>
    <w:rsid w:val="005E1A82"/>
    <w:rsid w:val="005E794C"/>
    <w:rsid w:val="005F0A28"/>
    <w:rsid w:val="005F0E5E"/>
    <w:rsid w:val="00600535"/>
    <w:rsid w:val="006022B8"/>
    <w:rsid w:val="00603C8E"/>
    <w:rsid w:val="00610CD6"/>
    <w:rsid w:val="006172B0"/>
    <w:rsid w:val="00620DEE"/>
    <w:rsid w:val="00621F92"/>
    <w:rsid w:val="0062280A"/>
    <w:rsid w:val="006231E1"/>
    <w:rsid w:val="00623ED6"/>
    <w:rsid w:val="00625639"/>
    <w:rsid w:val="00631B33"/>
    <w:rsid w:val="00634CC1"/>
    <w:rsid w:val="0064184D"/>
    <w:rsid w:val="006422CC"/>
    <w:rsid w:val="006431B9"/>
    <w:rsid w:val="00645075"/>
    <w:rsid w:val="00651D18"/>
    <w:rsid w:val="006524D2"/>
    <w:rsid w:val="00655BF7"/>
    <w:rsid w:val="00657921"/>
    <w:rsid w:val="00660E3E"/>
    <w:rsid w:val="00662E74"/>
    <w:rsid w:val="0066743C"/>
    <w:rsid w:val="0067490E"/>
    <w:rsid w:val="00680C23"/>
    <w:rsid w:val="00683E23"/>
    <w:rsid w:val="00693766"/>
    <w:rsid w:val="0069537C"/>
    <w:rsid w:val="006A3281"/>
    <w:rsid w:val="006A426E"/>
    <w:rsid w:val="006A6DE5"/>
    <w:rsid w:val="006B35D5"/>
    <w:rsid w:val="006B4888"/>
    <w:rsid w:val="006B4C15"/>
    <w:rsid w:val="006C0CE3"/>
    <w:rsid w:val="006C270A"/>
    <w:rsid w:val="006C2E45"/>
    <w:rsid w:val="006C359C"/>
    <w:rsid w:val="006C5579"/>
    <w:rsid w:val="006D486F"/>
    <w:rsid w:val="006D6E8B"/>
    <w:rsid w:val="006D7209"/>
    <w:rsid w:val="006E52EE"/>
    <w:rsid w:val="006E737D"/>
    <w:rsid w:val="006F4922"/>
    <w:rsid w:val="00707615"/>
    <w:rsid w:val="00707DD1"/>
    <w:rsid w:val="00713973"/>
    <w:rsid w:val="00713EF8"/>
    <w:rsid w:val="00720A24"/>
    <w:rsid w:val="00732386"/>
    <w:rsid w:val="0073367A"/>
    <w:rsid w:val="0073514D"/>
    <w:rsid w:val="00741E8A"/>
    <w:rsid w:val="00742CF1"/>
    <w:rsid w:val="007447F3"/>
    <w:rsid w:val="00752F9A"/>
    <w:rsid w:val="0075499F"/>
    <w:rsid w:val="00764F3F"/>
    <w:rsid w:val="007661C8"/>
    <w:rsid w:val="0077098D"/>
    <w:rsid w:val="00783FD0"/>
    <w:rsid w:val="00785BF9"/>
    <w:rsid w:val="007931FA"/>
    <w:rsid w:val="007A4861"/>
    <w:rsid w:val="007A7BBA"/>
    <w:rsid w:val="007B0C50"/>
    <w:rsid w:val="007B1690"/>
    <w:rsid w:val="007B1CEB"/>
    <w:rsid w:val="007B48F9"/>
    <w:rsid w:val="007C1A43"/>
    <w:rsid w:val="007D0951"/>
    <w:rsid w:val="007D52CC"/>
    <w:rsid w:val="007D610D"/>
    <w:rsid w:val="007E0465"/>
    <w:rsid w:val="007F6ED2"/>
    <w:rsid w:val="0080013E"/>
    <w:rsid w:val="00801759"/>
    <w:rsid w:val="00813288"/>
    <w:rsid w:val="00815D1A"/>
    <w:rsid w:val="008168FC"/>
    <w:rsid w:val="00822D18"/>
    <w:rsid w:val="00830996"/>
    <w:rsid w:val="008312F3"/>
    <w:rsid w:val="008345F1"/>
    <w:rsid w:val="0084274A"/>
    <w:rsid w:val="00855B55"/>
    <w:rsid w:val="0086522A"/>
    <w:rsid w:val="00865B07"/>
    <w:rsid w:val="008667EA"/>
    <w:rsid w:val="0087637F"/>
    <w:rsid w:val="0088799C"/>
    <w:rsid w:val="00892AD5"/>
    <w:rsid w:val="008A01FF"/>
    <w:rsid w:val="008A1512"/>
    <w:rsid w:val="008C0A48"/>
    <w:rsid w:val="008C54DB"/>
    <w:rsid w:val="008C6CA7"/>
    <w:rsid w:val="008D32B9"/>
    <w:rsid w:val="008D35AF"/>
    <w:rsid w:val="008D433B"/>
    <w:rsid w:val="008D4A16"/>
    <w:rsid w:val="008E5401"/>
    <w:rsid w:val="008E54CB"/>
    <w:rsid w:val="008E566E"/>
    <w:rsid w:val="0090161A"/>
    <w:rsid w:val="00901EB6"/>
    <w:rsid w:val="009041F8"/>
    <w:rsid w:val="00904C62"/>
    <w:rsid w:val="00905794"/>
    <w:rsid w:val="009071C2"/>
    <w:rsid w:val="00916074"/>
    <w:rsid w:val="00922BA8"/>
    <w:rsid w:val="00924DAC"/>
    <w:rsid w:val="00927058"/>
    <w:rsid w:val="00927646"/>
    <w:rsid w:val="00941031"/>
    <w:rsid w:val="00942750"/>
    <w:rsid w:val="00943F86"/>
    <w:rsid w:val="009450CE"/>
    <w:rsid w:val="009459BB"/>
    <w:rsid w:val="00947179"/>
    <w:rsid w:val="0095164B"/>
    <w:rsid w:val="0095223C"/>
    <w:rsid w:val="00954090"/>
    <w:rsid w:val="009573E7"/>
    <w:rsid w:val="00963E05"/>
    <w:rsid w:val="00964A45"/>
    <w:rsid w:val="00965626"/>
    <w:rsid w:val="00967843"/>
    <w:rsid w:val="00967D54"/>
    <w:rsid w:val="009706E1"/>
    <w:rsid w:val="00971028"/>
    <w:rsid w:val="0098430C"/>
    <w:rsid w:val="00986D26"/>
    <w:rsid w:val="00993B84"/>
    <w:rsid w:val="009948BD"/>
    <w:rsid w:val="00994C6A"/>
    <w:rsid w:val="00995DA3"/>
    <w:rsid w:val="00996483"/>
    <w:rsid w:val="00996F5A"/>
    <w:rsid w:val="009A502B"/>
    <w:rsid w:val="009B041A"/>
    <w:rsid w:val="009B3F85"/>
    <w:rsid w:val="009C37C3"/>
    <w:rsid w:val="009C5887"/>
    <w:rsid w:val="009C7C86"/>
    <w:rsid w:val="009D2018"/>
    <w:rsid w:val="009D279D"/>
    <w:rsid w:val="009D2FF7"/>
    <w:rsid w:val="009D5D6D"/>
    <w:rsid w:val="009E7884"/>
    <w:rsid w:val="009E788A"/>
    <w:rsid w:val="009F012B"/>
    <w:rsid w:val="009F08DC"/>
    <w:rsid w:val="009F0E08"/>
    <w:rsid w:val="009F444B"/>
    <w:rsid w:val="009F5E6B"/>
    <w:rsid w:val="00A00854"/>
    <w:rsid w:val="00A00D3A"/>
    <w:rsid w:val="00A079AE"/>
    <w:rsid w:val="00A10A1E"/>
    <w:rsid w:val="00A1763D"/>
    <w:rsid w:val="00A17CEC"/>
    <w:rsid w:val="00A27EF0"/>
    <w:rsid w:val="00A42361"/>
    <w:rsid w:val="00A457EA"/>
    <w:rsid w:val="00A50B20"/>
    <w:rsid w:val="00A51390"/>
    <w:rsid w:val="00A52D25"/>
    <w:rsid w:val="00A52DE6"/>
    <w:rsid w:val="00A60D13"/>
    <w:rsid w:val="00A63A52"/>
    <w:rsid w:val="00A64189"/>
    <w:rsid w:val="00A7223D"/>
    <w:rsid w:val="00A72745"/>
    <w:rsid w:val="00A73194"/>
    <w:rsid w:val="00A76EFC"/>
    <w:rsid w:val="00A82B69"/>
    <w:rsid w:val="00A8608D"/>
    <w:rsid w:val="00A87D50"/>
    <w:rsid w:val="00A91010"/>
    <w:rsid w:val="00A93349"/>
    <w:rsid w:val="00A93557"/>
    <w:rsid w:val="00A97F29"/>
    <w:rsid w:val="00AA702E"/>
    <w:rsid w:val="00AA7D26"/>
    <w:rsid w:val="00AB0964"/>
    <w:rsid w:val="00AB141B"/>
    <w:rsid w:val="00AB3F7E"/>
    <w:rsid w:val="00AB5011"/>
    <w:rsid w:val="00AC4B13"/>
    <w:rsid w:val="00AC5512"/>
    <w:rsid w:val="00AC7368"/>
    <w:rsid w:val="00AD16B9"/>
    <w:rsid w:val="00AE377D"/>
    <w:rsid w:val="00AE442C"/>
    <w:rsid w:val="00AF0EBA"/>
    <w:rsid w:val="00AF1613"/>
    <w:rsid w:val="00AF2463"/>
    <w:rsid w:val="00B02C8A"/>
    <w:rsid w:val="00B0560D"/>
    <w:rsid w:val="00B15EA0"/>
    <w:rsid w:val="00B17FBD"/>
    <w:rsid w:val="00B2377C"/>
    <w:rsid w:val="00B315A6"/>
    <w:rsid w:val="00B31813"/>
    <w:rsid w:val="00B33365"/>
    <w:rsid w:val="00B37DBD"/>
    <w:rsid w:val="00B45A7C"/>
    <w:rsid w:val="00B50170"/>
    <w:rsid w:val="00B50E55"/>
    <w:rsid w:val="00B52BDF"/>
    <w:rsid w:val="00B57B36"/>
    <w:rsid w:val="00B57E6F"/>
    <w:rsid w:val="00B77AE3"/>
    <w:rsid w:val="00B8368A"/>
    <w:rsid w:val="00B8686D"/>
    <w:rsid w:val="00B916F3"/>
    <w:rsid w:val="00B93F69"/>
    <w:rsid w:val="00B945B1"/>
    <w:rsid w:val="00BA0627"/>
    <w:rsid w:val="00BB1DDC"/>
    <w:rsid w:val="00BC1C31"/>
    <w:rsid w:val="00BC30C9"/>
    <w:rsid w:val="00BD077D"/>
    <w:rsid w:val="00BE3E58"/>
    <w:rsid w:val="00BE483D"/>
    <w:rsid w:val="00BE6D0A"/>
    <w:rsid w:val="00BF13CE"/>
    <w:rsid w:val="00C01616"/>
    <w:rsid w:val="00C0162B"/>
    <w:rsid w:val="00C068ED"/>
    <w:rsid w:val="00C20407"/>
    <w:rsid w:val="00C22E0C"/>
    <w:rsid w:val="00C3074F"/>
    <w:rsid w:val="00C345B1"/>
    <w:rsid w:val="00C37396"/>
    <w:rsid w:val="00C40142"/>
    <w:rsid w:val="00C427DF"/>
    <w:rsid w:val="00C52C3C"/>
    <w:rsid w:val="00C541AD"/>
    <w:rsid w:val="00C544FA"/>
    <w:rsid w:val="00C57182"/>
    <w:rsid w:val="00C57863"/>
    <w:rsid w:val="00C640AF"/>
    <w:rsid w:val="00C64A3B"/>
    <w:rsid w:val="00C64B63"/>
    <w:rsid w:val="00C655FD"/>
    <w:rsid w:val="00C674FA"/>
    <w:rsid w:val="00C7169E"/>
    <w:rsid w:val="00C75407"/>
    <w:rsid w:val="00C83205"/>
    <w:rsid w:val="00C841C6"/>
    <w:rsid w:val="00C870A8"/>
    <w:rsid w:val="00C902B9"/>
    <w:rsid w:val="00C93CA5"/>
    <w:rsid w:val="00C94434"/>
    <w:rsid w:val="00C9556E"/>
    <w:rsid w:val="00CA0D75"/>
    <w:rsid w:val="00CA1C95"/>
    <w:rsid w:val="00CA5A9C"/>
    <w:rsid w:val="00CA6684"/>
    <w:rsid w:val="00CB1442"/>
    <w:rsid w:val="00CC4C20"/>
    <w:rsid w:val="00CD3517"/>
    <w:rsid w:val="00CD5FE2"/>
    <w:rsid w:val="00CE7C68"/>
    <w:rsid w:val="00CF18C6"/>
    <w:rsid w:val="00D02B4C"/>
    <w:rsid w:val="00D02DEE"/>
    <w:rsid w:val="00D040C4"/>
    <w:rsid w:val="00D20AD1"/>
    <w:rsid w:val="00D23B6C"/>
    <w:rsid w:val="00D2582C"/>
    <w:rsid w:val="00D25C14"/>
    <w:rsid w:val="00D34B3D"/>
    <w:rsid w:val="00D35EB0"/>
    <w:rsid w:val="00D4044F"/>
    <w:rsid w:val="00D46B7E"/>
    <w:rsid w:val="00D52F2E"/>
    <w:rsid w:val="00D57C84"/>
    <w:rsid w:val="00D6057D"/>
    <w:rsid w:val="00D62BD0"/>
    <w:rsid w:val="00D71640"/>
    <w:rsid w:val="00D7211C"/>
    <w:rsid w:val="00D836C5"/>
    <w:rsid w:val="00D83DB1"/>
    <w:rsid w:val="00D84576"/>
    <w:rsid w:val="00D8501D"/>
    <w:rsid w:val="00D90157"/>
    <w:rsid w:val="00D928CB"/>
    <w:rsid w:val="00DA1399"/>
    <w:rsid w:val="00DA24C6"/>
    <w:rsid w:val="00DA4D7B"/>
    <w:rsid w:val="00DA70A4"/>
    <w:rsid w:val="00DB0ED5"/>
    <w:rsid w:val="00DB1FCF"/>
    <w:rsid w:val="00DB4E9C"/>
    <w:rsid w:val="00DB71AD"/>
    <w:rsid w:val="00DC2840"/>
    <w:rsid w:val="00DC43F5"/>
    <w:rsid w:val="00DC51B5"/>
    <w:rsid w:val="00DC73EE"/>
    <w:rsid w:val="00DD271C"/>
    <w:rsid w:val="00DE264A"/>
    <w:rsid w:val="00DF5072"/>
    <w:rsid w:val="00E02D18"/>
    <w:rsid w:val="00E041E7"/>
    <w:rsid w:val="00E11C55"/>
    <w:rsid w:val="00E159C3"/>
    <w:rsid w:val="00E23CA1"/>
    <w:rsid w:val="00E40761"/>
    <w:rsid w:val="00E409A8"/>
    <w:rsid w:val="00E415D1"/>
    <w:rsid w:val="00E42BFB"/>
    <w:rsid w:val="00E44DE8"/>
    <w:rsid w:val="00E50C12"/>
    <w:rsid w:val="00E55197"/>
    <w:rsid w:val="00E560AD"/>
    <w:rsid w:val="00E65B91"/>
    <w:rsid w:val="00E7209D"/>
    <w:rsid w:val="00E72EAD"/>
    <w:rsid w:val="00E77223"/>
    <w:rsid w:val="00E8528B"/>
    <w:rsid w:val="00E85B94"/>
    <w:rsid w:val="00E907B2"/>
    <w:rsid w:val="00E951EA"/>
    <w:rsid w:val="00E978D0"/>
    <w:rsid w:val="00EA4613"/>
    <w:rsid w:val="00EA7F91"/>
    <w:rsid w:val="00EB1523"/>
    <w:rsid w:val="00EB2F0D"/>
    <w:rsid w:val="00EC0E49"/>
    <w:rsid w:val="00EC101F"/>
    <w:rsid w:val="00EC1D9F"/>
    <w:rsid w:val="00ED05FD"/>
    <w:rsid w:val="00ED1AE3"/>
    <w:rsid w:val="00EE0131"/>
    <w:rsid w:val="00EE17B0"/>
    <w:rsid w:val="00EF06D9"/>
    <w:rsid w:val="00EF3B3C"/>
    <w:rsid w:val="00F014F8"/>
    <w:rsid w:val="00F10539"/>
    <w:rsid w:val="00F27EE4"/>
    <w:rsid w:val="00F3049E"/>
    <w:rsid w:val="00F30683"/>
    <w:rsid w:val="00F30C64"/>
    <w:rsid w:val="00F32BA2"/>
    <w:rsid w:val="00F32CDB"/>
    <w:rsid w:val="00F41968"/>
    <w:rsid w:val="00F41EE4"/>
    <w:rsid w:val="00F565FE"/>
    <w:rsid w:val="00F61B1D"/>
    <w:rsid w:val="00F63A70"/>
    <w:rsid w:val="00F63D8C"/>
    <w:rsid w:val="00F7534E"/>
    <w:rsid w:val="00F86B20"/>
    <w:rsid w:val="00F90565"/>
    <w:rsid w:val="00F93EDF"/>
    <w:rsid w:val="00FA1802"/>
    <w:rsid w:val="00FA21D0"/>
    <w:rsid w:val="00FA5F5F"/>
    <w:rsid w:val="00FB730C"/>
    <w:rsid w:val="00FC2695"/>
    <w:rsid w:val="00FC29C2"/>
    <w:rsid w:val="00FC3E03"/>
    <w:rsid w:val="00FC3F28"/>
    <w:rsid w:val="00FC3FC1"/>
    <w:rsid w:val="00FC70D3"/>
    <w:rsid w:val="00FD169A"/>
    <w:rsid w:val="00FD38CB"/>
    <w:rsid w:val="00FD563B"/>
    <w:rsid w:val="00FE2BA6"/>
    <w:rsid w:val="00FE546D"/>
    <w:rsid w:val="00FE5F9C"/>
    <w:rsid w:val="00FE604D"/>
    <w:rsid w:val="00FE6816"/>
    <w:rsid w:val="00FF000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3FF1ECEF-20A4-45D6-8CD9-8D228635E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re1">
    <w:name w:val="heading 1"/>
    <w:basedOn w:val="CETHeading1"/>
    <w:next w:val="Normal"/>
    <w:link w:val="Titre1Car"/>
    <w:uiPriority w:val="9"/>
    <w:rsid w:val="004F5E36"/>
    <w:pPr>
      <w:tabs>
        <w:tab w:val="clear" w:pos="360"/>
        <w:tab w:val="right" w:pos="7100"/>
      </w:tabs>
      <w:jc w:val="both"/>
      <w:outlineLvl w:val="0"/>
    </w:pPr>
    <w:rPr>
      <w:lang w:val="en-GB"/>
    </w:rPr>
  </w:style>
  <w:style w:type="paragraph" w:styleId="Titre2">
    <w:name w:val="heading 2"/>
    <w:basedOn w:val="Normal"/>
    <w:next w:val="Normal"/>
    <w:link w:val="Titre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ausimple1">
    <w:name w:val="Table Simple 1"/>
    <w:basedOn w:val="Tableau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Marquedecommentaire">
    <w:name w:val="annotation reference"/>
    <w:basedOn w:val="Policepardfaut"/>
    <w:uiPriority w:val="99"/>
    <w:semiHidden/>
    <w:unhideWhenUsed/>
    <w:rsid w:val="004577FE"/>
    <w:rPr>
      <w:sz w:val="16"/>
      <w:szCs w:val="16"/>
    </w:rPr>
  </w:style>
  <w:style w:type="paragraph" w:styleId="Textedebulles">
    <w:name w:val="Balloon Text"/>
    <w:basedOn w:val="Normal"/>
    <w:link w:val="TextedebullesCar"/>
    <w:uiPriority w:val="99"/>
    <w:semiHidden/>
    <w:unhideWhenUsed/>
    <w:rsid w:val="000D34B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34BE"/>
    <w:rPr>
      <w:rFonts w:ascii="Tahoma" w:hAnsi="Tahoma" w:cs="Tahoma"/>
      <w:sz w:val="16"/>
      <w:szCs w:val="16"/>
    </w:rPr>
  </w:style>
  <w:style w:type="paragraph" w:styleId="Bibliographie">
    <w:name w:val="Bibliography"/>
    <w:basedOn w:val="CETReferencetext"/>
    <w:uiPriority w:val="37"/>
    <w:unhideWhenUsed/>
    <w:rsid w:val="00631B33"/>
    <w:pPr>
      <w:spacing w:line="240" w:lineRule="auto"/>
      <w:ind w:left="720" w:hanging="720"/>
    </w:pPr>
  </w:style>
  <w:style w:type="paragraph" w:styleId="Corpsdetexte2">
    <w:name w:val="Body Text 2"/>
    <w:basedOn w:val="Normal"/>
    <w:link w:val="Corpsdetexte2Car"/>
    <w:uiPriority w:val="99"/>
    <w:semiHidden/>
    <w:unhideWhenUsed/>
    <w:rsid w:val="0003148D"/>
    <w:pPr>
      <w:spacing w:after="120" w:line="480" w:lineRule="auto"/>
    </w:pPr>
  </w:style>
  <w:style w:type="character" w:customStyle="1" w:styleId="Corpsdetexte2Car">
    <w:name w:val="Corps de texte 2 Car"/>
    <w:basedOn w:val="Policepardfaut"/>
    <w:link w:val="Corpsdetexte2"/>
    <w:uiPriority w:val="99"/>
    <w:semiHidden/>
    <w:rsid w:val="0003148D"/>
  </w:style>
  <w:style w:type="paragraph" w:styleId="Corpsdetexte3">
    <w:name w:val="Body Text 3"/>
    <w:basedOn w:val="Normal"/>
    <w:link w:val="Corpsdetexte3Car"/>
    <w:uiPriority w:val="99"/>
    <w:semiHidden/>
    <w:unhideWhenUsed/>
    <w:rsid w:val="0003148D"/>
    <w:pPr>
      <w:spacing w:after="120"/>
    </w:pPr>
    <w:rPr>
      <w:sz w:val="16"/>
      <w:szCs w:val="16"/>
    </w:rPr>
  </w:style>
  <w:style w:type="character" w:customStyle="1" w:styleId="Corpsdetexte3Car">
    <w:name w:val="Corps de texte 3 Car"/>
    <w:basedOn w:val="Policepardfaut"/>
    <w:link w:val="Corpsdetexte3"/>
    <w:uiPriority w:val="99"/>
    <w:semiHidden/>
    <w:rsid w:val="0003148D"/>
    <w:rPr>
      <w:sz w:val="16"/>
      <w:szCs w:val="16"/>
    </w:rPr>
  </w:style>
  <w:style w:type="paragraph" w:styleId="Corpsdetexte">
    <w:name w:val="Body Text"/>
    <w:basedOn w:val="Normal"/>
    <w:link w:val="CorpsdetexteCar"/>
    <w:uiPriority w:val="99"/>
    <w:semiHidden/>
    <w:unhideWhenUsed/>
    <w:rsid w:val="0003148D"/>
    <w:pPr>
      <w:spacing w:after="120"/>
    </w:pPr>
  </w:style>
  <w:style w:type="character" w:customStyle="1" w:styleId="CorpsdetexteCar">
    <w:name w:val="Corps de texte Car"/>
    <w:basedOn w:val="Policepardfaut"/>
    <w:link w:val="Corpsdetexte"/>
    <w:uiPriority w:val="99"/>
    <w:semiHidden/>
    <w:rsid w:val="0003148D"/>
  </w:style>
  <w:style w:type="paragraph" w:styleId="Date">
    <w:name w:val="Date"/>
    <w:basedOn w:val="Normal"/>
    <w:next w:val="Normal"/>
    <w:link w:val="DateCar"/>
    <w:uiPriority w:val="99"/>
    <w:semiHidden/>
    <w:unhideWhenUsed/>
    <w:rsid w:val="0003148D"/>
  </w:style>
  <w:style w:type="character" w:customStyle="1" w:styleId="DateCar">
    <w:name w:val="Date Car"/>
    <w:basedOn w:val="Policepardfaut"/>
    <w:link w:val="Date"/>
    <w:uiPriority w:val="99"/>
    <w:semiHidden/>
    <w:rsid w:val="0003148D"/>
  </w:style>
  <w:style w:type="paragraph" w:styleId="Lgende">
    <w:name w:val="caption"/>
    <w:basedOn w:val="Normal"/>
    <w:next w:val="Normal"/>
    <w:uiPriority w:val="35"/>
    <w:unhideWhenUsed/>
    <w:qFormat/>
    <w:rsid w:val="0003148D"/>
    <w:pPr>
      <w:spacing w:line="240" w:lineRule="auto"/>
    </w:pPr>
    <w:rPr>
      <w:b/>
      <w:bCs/>
      <w:color w:val="4F81BD" w:themeColor="accent1"/>
      <w:szCs w:val="18"/>
    </w:rPr>
  </w:style>
  <w:style w:type="paragraph" w:styleId="Liste">
    <w:name w:val="List"/>
    <w:basedOn w:val="Normal"/>
    <w:uiPriority w:val="99"/>
    <w:semiHidden/>
    <w:unhideWhenUsed/>
    <w:rsid w:val="0003148D"/>
    <w:pPr>
      <w:ind w:left="283" w:hanging="283"/>
      <w:contextualSpacing/>
    </w:pPr>
  </w:style>
  <w:style w:type="paragraph" w:styleId="Liste2">
    <w:name w:val="List 2"/>
    <w:basedOn w:val="Normal"/>
    <w:uiPriority w:val="99"/>
    <w:semiHidden/>
    <w:unhideWhenUsed/>
    <w:rsid w:val="0003148D"/>
    <w:pPr>
      <w:ind w:left="566" w:hanging="283"/>
      <w:contextualSpacing/>
    </w:pPr>
  </w:style>
  <w:style w:type="paragraph" w:styleId="Liste3">
    <w:name w:val="List 3"/>
    <w:basedOn w:val="Normal"/>
    <w:uiPriority w:val="99"/>
    <w:semiHidden/>
    <w:unhideWhenUsed/>
    <w:rsid w:val="0003148D"/>
    <w:pPr>
      <w:ind w:left="849" w:hanging="283"/>
      <w:contextualSpacing/>
    </w:pPr>
  </w:style>
  <w:style w:type="paragraph" w:styleId="Liste4">
    <w:name w:val="List 4"/>
    <w:basedOn w:val="Normal"/>
    <w:uiPriority w:val="99"/>
    <w:semiHidden/>
    <w:unhideWhenUsed/>
    <w:rsid w:val="0003148D"/>
    <w:pPr>
      <w:ind w:left="1132" w:hanging="283"/>
      <w:contextualSpacing/>
    </w:pPr>
  </w:style>
  <w:style w:type="paragraph" w:styleId="Liste5">
    <w:name w:val="List 5"/>
    <w:basedOn w:val="Normal"/>
    <w:uiPriority w:val="99"/>
    <w:semiHidden/>
    <w:unhideWhenUsed/>
    <w:rsid w:val="0003148D"/>
    <w:pPr>
      <w:ind w:left="1415" w:hanging="283"/>
      <w:contextualSpacing/>
    </w:pPr>
  </w:style>
  <w:style w:type="paragraph" w:styleId="Listecontinue">
    <w:name w:val="List Continue"/>
    <w:basedOn w:val="Normal"/>
    <w:uiPriority w:val="99"/>
    <w:semiHidden/>
    <w:unhideWhenUsed/>
    <w:rsid w:val="0003148D"/>
    <w:pPr>
      <w:spacing w:after="120"/>
      <w:ind w:left="283"/>
      <w:contextualSpacing/>
    </w:pPr>
  </w:style>
  <w:style w:type="paragraph" w:styleId="Listecontinue2">
    <w:name w:val="List Continue 2"/>
    <w:basedOn w:val="Normal"/>
    <w:uiPriority w:val="99"/>
    <w:semiHidden/>
    <w:unhideWhenUsed/>
    <w:rsid w:val="0003148D"/>
    <w:pPr>
      <w:spacing w:after="120"/>
      <w:ind w:left="566"/>
      <w:contextualSpacing/>
    </w:pPr>
  </w:style>
  <w:style w:type="paragraph" w:styleId="Listecontinue3">
    <w:name w:val="List Continue 3"/>
    <w:basedOn w:val="Normal"/>
    <w:uiPriority w:val="99"/>
    <w:semiHidden/>
    <w:unhideWhenUsed/>
    <w:rsid w:val="0003148D"/>
    <w:pPr>
      <w:spacing w:after="120"/>
      <w:ind w:left="849"/>
      <w:contextualSpacing/>
    </w:pPr>
  </w:style>
  <w:style w:type="paragraph" w:styleId="Listecontinue4">
    <w:name w:val="List Continue 4"/>
    <w:basedOn w:val="Normal"/>
    <w:uiPriority w:val="99"/>
    <w:semiHidden/>
    <w:unhideWhenUsed/>
    <w:rsid w:val="0003148D"/>
    <w:pPr>
      <w:spacing w:after="120"/>
      <w:ind w:left="1132"/>
      <w:contextualSpacing/>
    </w:pPr>
  </w:style>
  <w:style w:type="paragraph" w:styleId="Liste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ar"/>
    <w:uiPriority w:val="99"/>
    <w:semiHidden/>
    <w:unhideWhenUsed/>
    <w:rsid w:val="0003148D"/>
    <w:pPr>
      <w:spacing w:line="240" w:lineRule="auto"/>
      <w:ind w:left="4252"/>
    </w:pPr>
  </w:style>
  <w:style w:type="character" w:customStyle="1" w:styleId="SignatureCar">
    <w:name w:val="Signature Car"/>
    <w:basedOn w:val="Policepardfaut"/>
    <w:link w:val="Signature"/>
    <w:uiPriority w:val="99"/>
    <w:semiHidden/>
    <w:rsid w:val="0003148D"/>
  </w:style>
  <w:style w:type="paragraph" w:styleId="Signaturelectronique">
    <w:name w:val="E-mail Signature"/>
    <w:basedOn w:val="Normal"/>
    <w:link w:val="SignaturelectroniqueCar"/>
    <w:uiPriority w:val="99"/>
    <w:semiHidden/>
    <w:unhideWhenUsed/>
    <w:rsid w:val="0003148D"/>
    <w:pPr>
      <w:spacing w:line="240" w:lineRule="auto"/>
    </w:pPr>
  </w:style>
  <w:style w:type="character" w:customStyle="1" w:styleId="SignaturelectroniqueCar">
    <w:name w:val="Signature électronique Car"/>
    <w:basedOn w:val="Policepardfaut"/>
    <w:link w:val="Signaturelectronique"/>
    <w:uiPriority w:val="99"/>
    <w:semiHidden/>
    <w:rsid w:val="0003148D"/>
  </w:style>
  <w:style w:type="paragraph" w:styleId="Salutations">
    <w:name w:val="Salutation"/>
    <w:basedOn w:val="Normal"/>
    <w:next w:val="Normal"/>
    <w:link w:val="SalutationsCar"/>
    <w:uiPriority w:val="99"/>
    <w:semiHidden/>
    <w:unhideWhenUsed/>
    <w:rsid w:val="0003148D"/>
  </w:style>
  <w:style w:type="character" w:customStyle="1" w:styleId="SalutationsCar">
    <w:name w:val="Salutations Car"/>
    <w:basedOn w:val="Policepardfaut"/>
    <w:link w:val="Salutations"/>
    <w:uiPriority w:val="99"/>
    <w:semiHidden/>
    <w:rsid w:val="0003148D"/>
  </w:style>
  <w:style w:type="paragraph" w:styleId="Formuledepolitesse">
    <w:name w:val="Closing"/>
    <w:basedOn w:val="Normal"/>
    <w:link w:val="FormuledepolitesseCar"/>
    <w:uiPriority w:val="99"/>
    <w:semiHidden/>
    <w:unhideWhenUsed/>
    <w:rsid w:val="0003148D"/>
    <w:pPr>
      <w:spacing w:line="240" w:lineRule="auto"/>
      <w:ind w:left="4252"/>
    </w:pPr>
  </w:style>
  <w:style w:type="character" w:customStyle="1" w:styleId="FormuledepolitesseCar">
    <w:name w:val="Formule de politesse Car"/>
    <w:basedOn w:val="Policepardfaut"/>
    <w:link w:val="Formuledepolitesse"/>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desillustrations">
    <w:name w:val="table of figures"/>
    <w:basedOn w:val="Normal"/>
    <w:next w:val="Normal"/>
    <w:uiPriority w:val="99"/>
    <w:semiHidden/>
    <w:unhideWhenUsed/>
    <w:rsid w:val="0003148D"/>
  </w:style>
  <w:style w:type="paragraph" w:styleId="Tabledesrfrencesjuridiques">
    <w:name w:val="table of authorities"/>
    <w:basedOn w:val="Normal"/>
    <w:next w:val="Normal"/>
    <w:uiPriority w:val="99"/>
    <w:semiHidden/>
    <w:unhideWhenUsed/>
    <w:rsid w:val="0003148D"/>
    <w:pPr>
      <w:ind w:left="220" w:hanging="220"/>
    </w:pPr>
  </w:style>
  <w:style w:type="paragraph" w:styleId="Adressedestinatai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seHTML">
    <w:name w:val="HTML Address"/>
    <w:basedOn w:val="Normal"/>
    <w:link w:val="AdresseHTMLCar"/>
    <w:uiPriority w:val="99"/>
    <w:semiHidden/>
    <w:unhideWhenUsed/>
    <w:rsid w:val="0003148D"/>
    <w:pPr>
      <w:spacing w:line="240" w:lineRule="auto"/>
    </w:pPr>
    <w:rPr>
      <w:i/>
      <w:iCs/>
    </w:rPr>
  </w:style>
  <w:style w:type="character" w:customStyle="1" w:styleId="AdresseHTMLCar">
    <w:name w:val="Adresse HTML Car"/>
    <w:basedOn w:val="Policepardfaut"/>
    <w:link w:val="AdresseHTML"/>
    <w:uiPriority w:val="99"/>
    <w:semiHidden/>
    <w:rsid w:val="0003148D"/>
    <w:rPr>
      <w:i/>
      <w:iCs/>
    </w:rPr>
  </w:style>
  <w:style w:type="paragraph" w:styleId="Adresseexpditeur">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ttedemessage">
    <w:name w:val="Message Header"/>
    <w:basedOn w:val="Normal"/>
    <w:link w:val="En-ttedemessag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03148D"/>
    <w:rPr>
      <w:rFonts w:asciiTheme="majorHAnsi" w:eastAsiaTheme="majorEastAsia" w:hAnsiTheme="majorHAnsi" w:cstheme="majorBidi"/>
      <w:sz w:val="24"/>
      <w:szCs w:val="24"/>
      <w:shd w:val="pct20" w:color="auto" w:fill="auto"/>
    </w:rPr>
  </w:style>
  <w:style w:type="paragraph" w:styleId="Titredenote">
    <w:name w:val="Note Heading"/>
    <w:basedOn w:val="Normal"/>
    <w:next w:val="Normal"/>
    <w:link w:val="TitredenoteCar"/>
    <w:uiPriority w:val="99"/>
    <w:semiHidden/>
    <w:unhideWhenUsed/>
    <w:rsid w:val="0003148D"/>
    <w:pPr>
      <w:spacing w:line="240" w:lineRule="auto"/>
    </w:pPr>
  </w:style>
  <w:style w:type="character" w:customStyle="1" w:styleId="TitredenoteCar">
    <w:name w:val="Titre de note Car"/>
    <w:basedOn w:val="Policepardfaut"/>
    <w:link w:val="Titredenote"/>
    <w:uiPriority w:val="99"/>
    <w:semiHidden/>
    <w:rsid w:val="0003148D"/>
  </w:style>
  <w:style w:type="paragraph" w:styleId="Explorateurdedocuments">
    <w:name w:val="Document Map"/>
    <w:basedOn w:val="Normal"/>
    <w:link w:val="ExplorateurdedocumentsCar"/>
    <w:uiPriority w:val="99"/>
    <w:semiHidden/>
    <w:unhideWhenUsed/>
    <w:rsid w:val="0003148D"/>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enumros">
    <w:name w:val="List Number"/>
    <w:basedOn w:val="Normal"/>
    <w:uiPriority w:val="99"/>
    <w:semiHidden/>
    <w:unhideWhenUsed/>
    <w:rsid w:val="0003148D"/>
    <w:pPr>
      <w:numPr>
        <w:numId w:val="2"/>
      </w:numPr>
      <w:contextualSpacing/>
    </w:pPr>
  </w:style>
  <w:style w:type="paragraph" w:styleId="Listenumros2">
    <w:name w:val="List Number 2"/>
    <w:basedOn w:val="Normal"/>
    <w:uiPriority w:val="99"/>
    <w:semiHidden/>
    <w:unhideWhenUsed/>
    <w:rsid w:val="0003148D"/>
    <w:pPr>
      <w:numPr>
        <w:numId w:val="3"/>
      </w:numPr>
      <w:contextualSpacing/>
    </w:pPr>
  </w:style>
  <w:style w:type="paragraph" w:styleId="Listenumros3">
    <w:name w:val="List Number 3"/>
    <w:basedOn w:val="Normal"/>
    <w:uiPriority w:val="99"/>
    <w:semiHidden/>
    <w:unhideWhenUsed/>
    <w:rsid w:val="0003148D"/>
    <w:pPr>
      <w:numPr>
        <w:numId w:val="4"/>
      </w:numPr>
      <w:contextualSpacing/>
    </w:pPr>
  </w:style>
  <w:style w:type="paragraph" w:styleId="Listenumros4">
    <w:name w:val="List Number 4"/>
    <w:basedOn w:val="Normal"/>
    <w:uiPriority w:val="99"/>
    <w:semiHidden/>
    <w:unhideWhenUsed/>
    <w:rsid w:val="0003148D"/>
    <w:pPr>
      <w:numPr>
        <w:numId w:val="5"/>
      </w:numPr>
      <w:contextualSpacing/>
    </w:pPr>
  </w:style>
  <w:style w:type="paragraph" w:styleId="Listenumros5">
    <w:name w:val="List Number 5"/>
    <w:basedOn w:val="Normal"/>
    <w:uiPriority w:val="99"/>
    <w:semiHidden/>
    <w:unhideWhenUsed/>
    <w:rsid w:val="0003148D"/>
    <w:pPr>
      <w:numPr>
        <w:numId w:val="6"/>
      </w:numPr>
      <w:contextualSpacing/>
    </w:pPr>
  </w:style>
  <w:style w:type="paragraph" w:styleId="PrformatHTML">
    <w:name w:val="HTML Preformatted"/>
    <w:basedOn w:val="Normal"/>
    <w:link w:val="PrformatHTMLCar"/>
    <w:uiPriority w:val="99"/>
    <w:semiHidden/>
    <w:unhideWhenUsed/>
    <w:rsid w:val="0003148D"/>
    <w:pPr>
      <w:spacing w:line="240" w:lineRule="auto"/>
    </w:pPr>
    <w:rPr>
      <w:rFonts w:ascii="Consolas" w:hAnsi="Consolas" w:cs="Consolas"/>
    </w:rPr>
  </w:style>
  <w:style w:type="character" w:customStyle="1" w:styleId="PrformatHTMLCar">
    <w:name w:val="Préformaté HTML Car"/>
    <w:basedOn w:val="Policepardfaut"/>
    <w:link w:val="PrformatHTML"/>
    <w:uiPriority w:val="99"/>
    <w:semiHidden/>
    <w:rsid w:val="0003148D"/>
    <w:rPr>
      <w:rFonts w:ascii="Consolas" w:hAnsi="Consolas" w:cs="Consolas"/>
      <w:sz w:val="20"/>
      <w:szCs w:val="20"/>
    </w:rPr>
  </w:style>
  <w:style w:type="paragraph" w:styleId="Retrait1religne">
    <w:name w:val="Body Text First Indent"/>
    <w:basedOn w:val="Corpsdetexte"/>
    <w:link w:val="Retrait1religneCar"/>
    <w:uiPriority w:val="99"/>
    <w:semiHidden/>
    <w:unhideWhenUsed/>
    <w:rsid w:val="0003148D"/>
    <w:pPr>
      <w:spacing w:after="200"/>
      <w:ind w:firstLine="360"/>
    </w:pPr>
  </w:style>
  <w:style w:type="character" w:customStyle="1" w:styleId="Retrait1religneCar">
    <w:name w:val="Retrait 1re ligne Car"/>
    <w:basedOn w:val="CorpsdetexteCar"/>
    <w:link w:val="Retrait1religne"/>
    <w:uiPriority w:val="99"/>
    <w:semiHidden/>
    <w:rsid w:val="0003148D"/>
  </w:style>
  <w:style w:type="paragraph" w:styleId="Retraitcorpsdetexte">
    <w:name w:val="Body Text Indent"/>
    <w:basedOn w:val="Normal"/>
    <w:link w:val="RetraitcorpsdetexteCar"/>
    <w:uiPriority w:val="99"/>
    <w:semiHidden/>
    <w:unhideWhenUsed/>
    <w:rsid w:val="0003148D"/>
    <w:pPr>
      <w:spacing w:after="120"/>
      <w:ind w:left="283"/>
    </w:pPr>
  </w:style>
  <w:style w:type="character" w:customStyle="1" w:styleId="RetraitcorpsdetexteCar">
    <w:name w:val="Retrait corps de texte Car"/>
    <w:basedOn w:val="Policepardfaut"/>
    <w:link w:val="Retraitcorpsdetexte"/>
    <w:uiPriority w:val="99"/>
    <w:semiHidden/>
    <w:rsid w:val="0003148D"/>
  </w:style>
  <w:style w:type="paragraph" w:styleId="Retraitcorpset1relig">
    <w:name w:val="Body Text First Indent 2"/>
    <w:basedOn w:val="Retraitcorpsdetexte"/>
    <w:link w:val="Retraitcorpset1religCar"/>
    <w:uiPriority w:val="99"/>
    <w:semiHidden/>
    <w:unhideWhenUsed/>
    <w:rsid w:val="0003148D"/>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03148D"/>
  </w:style>
  <w:style w:type="paragraph" w:styleId="Listepuces">
    <w:name w:val="List Bullet"/>
    <w:basedOn w:val="Normal"/>
    <w:uiPriority w:val="99"/>
    <w:semiHidden/>
    <w:unhideWhenUsed/>
    <w:rsid w:val="0003148D"/>
    <w:pPr>
      <w:numPr>
        <w:numId w:val="7"/>
      </w:numPr>
      <w:contextualSpacing/>
    </w:pPr>
  </w:style>
  <w:style w:type="paragraph" w:styleId="Listepuces2">
    <w:name w:val="List Bullet 2"/>
    <w:basedOn w:val="Normal"/>
    <w:uiPriority w:val="99"/>
    <w:semiHidden/>
    <w:unhideWhenUsed/>
    <w:rsid w:val="0003148D"/>
    <w:pPr>
      <w:numPr>
        <w:numId w:val="8"/>
      </w:numPr>
      <w:contextualSpacing/>
    </w:pPr>
  </w:style>
  <w:style w:type="paragraph" w:styleId="Listepuces3">
    <w:name w:val="List Bullet 3"/>
    <w:basedOn w:val="Normal"/>
    <w:uiPriority w:val="99"/>
    <w:semiHidden/>
    <w:unhideWhenUsed/>
    <w:rsid w:val="0003148D"/>
    <w:pPr>
      <w:numPr>
        <w:numId w:val="9"/>
      </w:numPr>
      <w:contextualSpacing/>
    </w:pPr>
  </w:style>
  <w:style w:type="paragraph" w:styleId="Listepuces4">
    <w:name w:val="List Bullet 4"/>
    <w:basedOn w:val="Normal"/>
    <w:uiPriority w:val="99"/>
    <w:semiHidden/>
    <w:unhideWhenUsed/>
    <w:rsid w:val="0003148D"/>
    <w:pPr>
      <w:numPr>
        <w:numId w:val="10"/>
      </w:numPr>
      <w:contextualSpacing/>
    </w:pPr>
  </w:style>
  <w:style w:type="paragraph" w:styleId="Listepuces5">
    <w:name w:val="List Bullet 5"/>
    <w:basedOn w:val="Normal"/>
    <w:uiPriority w:val="99"/>
    <w:semiHidden/>
    <w:unhideWhenUsed/>
    <w:rsid w:val="0003148D"/>
    <w:pPr>
      <w:numPr>
        <w:numId w:val="11"/>
      </w:numPr>
      <w:contextualSpacing/>
    </w:pPr>
  </w:style>
  <w:style w:type="paragraph" w:styleId="Retraitcorpsdetexte2">
    <w:name w:val="Body Text Indent 2"/>
    <w:basedOn w:val="Normal"/>
    <w:link w:val="Retraitcorpsdetexte2Car"/>
    <w:uiPriority w:val="99"/>
    <w:semiHidden/>
    <w:unhideWhenUsed/>
    <w:rsid w:val="0003148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3148D"/>
  </w:style>
  <w:style w:type="paragraph" w:styleId="Retraitcorpsdetexte3">
    <w:name w:val="Body Text Indent 3"/>
    <w:basedOn w:val="Normal"/>
    <w:link w:val="Retraitcorpsdetexte3Car"/>
    <w:uiPriority w:val="99"/>
    <w:semiHidden/>
    <w:unhideWhenUsed/>
    <w:rsid w:val="0003148D"/>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3148D"/>
    <w:rPr>
      <w:sz w:val="16"/>
      <w:szCs w:val="16"/>
    </w:rPr>
  </w:style>
  <w:style w:type="paragraph" w:styleId="Retraitnormal">
    <w:name w:val="Normal Indent"/>
    <w:basedOn w:val="Normal"/>
    <w:uiPriority w:val="99"/>
    <w:semiHidden/>
    <w:unhideWhenUsed/>
    <w:rsid w:val="0003148D"/>
    <w:pPr>
      <w:ind w:left="720"/>
    </w:pPr>
  </w:style>
  <w:style w:type="paragraph" w:styleId="Commentaire">
    <w:name w:val="annotation text"/>
    <w:basedOn w:val="Normal"/>
    <w:link w:val="CommentaireCar"/>
    <w:uiPriority w:val="99"/>
    <w:unhideWhenUsed/>
    <w:rsid w:val="0003148D"/>
    <w:pPr>
      <w:spacing w:line="240" w:lineRule="auto"/>
    </w:pPr>
  </w:style>
  <w:style w:type="character" w:customStyle="1" w:styleId="CommentaireCar">
    <w:name w:val="Commentaire Car"/>
    <w:basedOn w:val="Policepardfaut"/>
    <w:link w:val="Commentaire"/>
    <w:uiPriority w:val="99"/>
    <w:rsid w:val="0003148D"/>
    <w:rPr>
      <w:sz w:val="20"/>
      <w:szCs w:val="20"/>
    </w:rPr>
  </w:style>
  <w:style w:type="paragraph" w:styleId="Objetducommentaire">
    <w:name w:val="annotation subject"/>
    <w:basedOn w:val="Commentaire"/>
    <w:next w:val="Commentaire"/>
    <w:link w:val="ObjetducommentaireCar"/>
    <w:uiPriority w:val="99"/>
    <w:semiHidden/>
    <w:unhideWhenUsed/>
    <w:rsid w:val="0003148D"/>
    <w:rPr>
      <w:b/>
      <w:bCs/>
    </w:rPr>
  </w:style>
  <w:style w:type="character" w:customStyle="1" w:styleId="ObjetducommentaireCar">
    <w:name w:val="Objet du commentaire Car"/>
    <w:basedOn w:val="CommentaireCar"/>
    <w:link w:val="Objetducommentaire"/>
    <w:uiPriority w:val="99"/>
    <w:semiHidden/>
    <w:rsid w:val="0003148D"/>
    <w:rPr>
      <w:b/>
      <w:bCs/>
      <w:sz w:val="20"/>
      <w:szCs w:val="20"/>
    </w:rPr>
  </w:style>
  <w:style w:type="paragraph" w:styleId="TM1">
    <w:name w:val="toc 1"/>
    <w:basedOn w:val="Normal"/>
    <w:next w:val="Normal"/>
    <w:autoRedefine/>
    <w:uiPriority w:val="39"/>
    <w:semiHidden/>
    <w:unhideWhenUsed/>
    <w:rsid w:val="0003148D"/>
    <w:pPr>
      <w:spacing w:after="100"/>
    </w:pPr>
  </w:style>
  <w:style w:type="paragraph" w:styleId="TM2">
    <w:name w:val="toc 2"/>
    <w:basedOn w:val="Normal"/>
    <w:next w:val="Normal"/>
    <w:autoRedefine/>
    <w:uiPriority w:val="39"/>
    <w:semiHidden/>
    <w:unhideWhenUsed/>
    <w:rsid w:val="0003148D"/>
    <w:pPr>
      <w:spacing w:after="100"/>
      <w:ind w:left="220"/>
    </w:pPr>
  </w:style>
  <w:style w:type="paragraph" w:styleId="TM3">
    <w:name w:val="toc 3"/>
    <w:basedOn w:val="Normal"/>
    <w:next w:val="Normal"/>
    <w:autoRedefine/>
    <w:uiPriority w:val="39"/>
    <w:semiHidden/>
    <w:unhideWhenUsed/>
    <w:rsid w:val="0003148D"/>
    <w:pPr>
      <w:spacing w:after="100"/>
      <w:ind w:left="440"/>
    </w:pPr>
  </w:style>
  <w:style w:type="paragraph" w:styleId="TM4">
    <w:name w:val="toc 4"/>
    <w:basedOn w:val="Normal"/>
    <w:next w:val="Normal"/>
    <w:autoRedefine/>
    <w:uiPriority w:val="39"/>
    <w:semiHidden/>
    <w:unhideWhenUsed/>
    <w:rsid w:val="0003148D"/>
    <w:pPr>
      <w:spacing w:after="100"/>
      <w:ind w:left="660"/>
    </w:pPr>
  </w:style>
  <w:style w:type="paragraph" w:styleId="TM5">
    <w:name w:val="toc 5"/>
    <w:basedOn w:val="Normal"/>
    <w:next w:val="Normal"/>
    <w:autoRedefine/>
    <w:uiPriority w:val="39"/>
    <w:semiHidden/>
    <w:unhideWhenUsed/>
    <w:rsid w:val="0003148D"/>
    <w:pPr>
      <w:spacing w:after="100"/>
      <w:ind w:left="880"/>
    </w:pPr>
  </w:style>
  <w:style w:type="paragraph" w:styleId="TM6">
    <w:name w:val="toc 6"/>
    <w:basedOn w:val="Normal"/>
    <w:next w:val="Normal"/>
    <w:autoRedefine/>
    <w:uiPriority w:val="39"/>
    <w:semiHidden/>
    <w:unhideWhenUsed/>
    <w:rsid w:val="0003148D"/>
    <w:pPr>
      <w:spacing w:after="100"/>
      <w:ind w:left="1100"/>
    </w:pPr>
  </w:style>
  <w:style w:type="paragraph" w:styleId="TM7">
    <w:name w:val="toc 7"/>
    <w:basedOn w:val="Normal"/>
    <w:next w:val="Normal"/>
    <w:autoRedefine/>
    <w:uiPriority w:val="39"/>
    <w:semiHidden/>
    <w:unhideWhenUsed/>
    <w:rsid w:val="0003148D"/>
    <w:pPr>
      <w:spacing w:after="100"/>
      <w:ind w:left="1320"/>
    </w:pPr>
  </w:style>
  <w:style w:type="paragraph" w:styleId="TM8">
    <w:name w:val="toc 8"/>
    <w:basedOn w:val="Normal"/>
    <w:next w:val="Normal"/>
    <w:autoRedefine/>
    <w:uiPriority w:val="39"/>
    <w:semiHidden/>
    <w:unhideWhenUsed/>
    <w:rsid w:val="0003148D"/>
    <w:pPr>
      <w:spacing w:after="100"/>
      <w:ind w:left="1540"/>
    </w:pPr>
  </w:style>
  <w:style w:type="paragraph" w:styleId="TM9">
    <w:name w:val="toc 9"/>
    <w:basedOn w:val="Normal"/>
    <w:next w:val="Normal"/>
    <w:autoRedefine/>
    <w:uiPriority w:val="39"/>
    <w:semiHidden/>
    <w:unhideWhenUsed/>
    <w:rsid w:val="0003148D"/>
    <w:pPr>
      <w:spacing w:after="100"/>
      <w:ind w:left="1760"/>
    </w:pPr>
  </w:style>
  <w:style w:type="paragraph" w:styleId="Normalcentr">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edemacro">
    <w:name w:val="macro"/>
    <w:link w:val="Textede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edemacroCar">
    <w:name w:val="Texte de macro Car"/>
    <w:basedOn w:val="Policepardfaut"/>
    <w:link w:val="Textedemacro"/>
    <w:uiPriority w:val="99"/>
    <w:semiHidden/>
    <w:rsid w:val="0003148D"/>
    <w:rPr>
      <w:rFonts w:ascii="Consolas" w:hAnsi="Consolas" w:cs="Consolas"/>
      <w:sz w:val="20"/>
      <w:szCs w:val="20"/>
    </w:rPr>
  </w:style>
  <w:style w:type="paragraph" w:styleId="Textebrut">
    <w:name w:val="Plain Text"/>
    <w:basedOn w:val="Normal"/>
    <w:link w:val="TextebrutCar"/>
    <w:uiPriority w:val="99"/>
    <w:semiHidden/>
    <w:unhideWhenUsed/>
    <w:rsid w:val="0003148D"/>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semiHidden/>
    <w:rsid w:val="0003148D"/>
    <w:rPr>
      <w:rFonts w:ascii="Consolas" w:hAnsi="Consolas" w:cs="Consolas"/>
      <w:sz w:val="21"/>
      <w:szCs w:val="21"/>
    </w:rPr>
  </w:style>
  <w:style w:type="paragraph" w:styleId="Notedebasdepage">
    <w:name w:val="footnote text"/>
    <w:basedOn w:val="Normal"/>
    <w:link w:val="NotedebasdepageCar"/>
    <w:uiPriority w:val="99"/>
    <w:semiHidden/>
    <w:unhideWhenUsed/>
    <w:rsid w:val="0003148D"/>
    <w:pPr>
      <w:spacing w:line="240" w:lineRule="auto"/>
    </w:pPr>
  </w:style>
  <w:style w:type="character" w:customStyle="1" w:styleId="NotedebasdepageCar">
    <w:name w:val="Note de bas de page Car"/>
    <w:basedOn w:val="Policepardfaut"/>
    <w:link w:val="Notedebasdepage"/>
    <w:uiPriority w:val="99"/>
    <w:semiHidden/>
    <w:rsid w:val="0003148D"/>
    <w:rPr>
      <w:sz w:val="20"/>
      <w:szCs w:val="20"/>
    </w:rPr>
  </w:style>
  <w:style w:type="paragraph" w:styleId="Notedefin">
    <w:name w:val="endnote text"/>
    <w:basedOn w:val="Normal"/>
    <w:link w:val="NotedefinCar"/>
    <w:uiPriority w:val="99"/>
    <w:semiHidden/>
    <w:unhideWhenUsed/>
    <w:rsid w:val="0003148D"/>
    <w:pPr>
      <w:spacing w:line="240" w:lineRule="auto"/>
    </w:pPr>
  </w:style>
  <w:style w:type="character" w:customStyle="1" w:styleId="NotedefinCar">
    <w:name w:val="Note de fin Car"/>
    <w:basedOn w:val="Policepardfaut"/>
    <w:link w:val="Notedefin"/>
    <w:uiPriority w:val="99"/>
    <w:semiHidden/>
    <w:rsid w:val="0003148D"/>
    <w:rPr>
      <w:sz w:val="20"/>
      <w:szCs w:val="20"/>
    </w:rPr>
  </w:style>
  <w:style w:type="character" w:customStyle="1" w:styleId="Titre1Car">
    <w:name w:val="Titre 1 Car"/>
    <w:basedOn w:val="Policepardfaut"/>
    <w:link w:val="Titre1"/>
    <w:uiPriority w:val="9"/>
    <w:rsid w:val="004F5E36"/>
    <w:rPr>
      <w:rFonts w:ascii="Arial" w:eastAsia="Times New Roman" w:hAnsi="Arial" w:cs="Times New Roman"/>
      <w:b/>
      <w:sz w:val="20"/>
      <w:szCs w:val="20"/>
      <w:lang w:val="en-GB"/>
    </w:rPr>
  </w:style>
  <w:style w:type="character" w:customStyle="1" w:styleId="Titre2Car">
    <w:name w:val="Titre 2 Car"/>
    <w:basedOn w:val="Policepardfaut"/>
    <w:link w:val="Titre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03148D"/>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03148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03148D"/>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03148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03148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3148D"/>
    <w:rPr>
      <w:rFonts w:asciiTheme="majorHAnsi" w:eastAsiaTheme="majorEastAsia" w:hAnsiTheme="majorHAnsi" w:cstheme="majorBidi"/>
      <w:i/>
      <w:iCs/>
      <w:color w:val="404040" w:themeColor="text1" w:themeTint="BF"/>
      <w:sz w:val="20"/>
      <w:szCs w:val="20"/>
    </w:rPr>
  </w:style>
  <w:style w:type="paragraph" w:styleId="Titreindex">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En-ttedetabledesmatires">
    <w:name w:val="TOC Heading"/>
    <w:basedOn w:val="Titre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Policepardfau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tte">
    <w:name w:val="header"/>
    <w:basedOn w:val="Normal"/>
    <w:link w:val="En-tteCar"/>
    <w:uiPriority w:val="99"/>
    <w:unhideWhenUsed/>
    <w:rsid w:val="005278B7"/>
    <w:pPr>
      <w:tabs>
        <w:tab w:val="clear" w:pos="7100"/>
        <w:tab w:val="center" w:pos="4819"/>
        <w:tab w:val="right" w:pos="9638"/>
      </w:tabs>
      <w:spacing w:line="240" w:lineRule="auto"/>
    </w:pPr>
  </w:style>
  <w:style w:type="character" w:customStyle="1" w:styleId="En-tteCar">
    <w:name w:val="En-tête Car"/>
    <w:basedOn w:val="Policepardfaut"/>
    <w:link w:val="En-tte"/>
    <w:uiPriority w:val="99"/>
    <w:rsid w:val="005278B7"/>
    <w:rPr>
      <w:rFonts w:ascii="Arial" w:eastAsia="Times New Roman" w:hAnsi="Arial" w:cs="Times New Roman"/>
      <w:sz w:val="18"/>
      <w:szCs w:val="20"/>
      <w:lang w:val="en-GB"/>
    </w:rPr>
  </w:style>
  <w:style w:type="paragraph" w:styleId="Pieddepage">
    <w:name w:val="footer"/>
    <w:basedOn w:val="Normal"/>
    <w:link w:val="PieddepageCar"/>
    <w:uiPriority w:val="99"/>
    <w:unhideWhenUsed/>
    <w:rsid w:val="005278B7"/>
    <w:pPr>
      <w:tabs>
        <w:tab w:val="clear" w:pos="7100"/>
        <w:tab w:val="center" w:pos="4819"/>
        <w:tab w:val="right" w:pos="9638"/>
      </w:tabs>
      <w:spacing w:line="240" w:lineRule="auto"/>
    </w:pPr>
  </w:style>
  <w:style w:type="character" w:customStyle="1" w:styleId="PieddepageCar">
    <w:name w:val="Pied de page Car"/>
    <w:basedOn w:val="Policepardfaut"/>
    <w:link w:val="Pieddepage"/>
    <w:uiPriority w:val="99"/>
    <w:rsid w:val="005278B7"/>
    <w:rPr>
      <w:rFonts w:ascii="Arial" w:eastAsia="Times New Roman" w:hAnsi="Arial" w:cs="Times New Roman"/>
      <w:sz w:val="18"/>
      <w:szCs w:val="20"/>
      <w:lang w:val="en-GB"/>
    </w:rPr>
  </w:style>
  <w:style w:type="table" w:styleId="Grilledutableau">
    <w:name w:val="Table Grid"/>
    <w:basedOn w:val="Tableau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04C62"/>
    <w:rPr>
      <w:color w:val="0000FF" w:themeColor="hyperlink"/>
      <w:u w:val="single"/>
    </w:rPr>
  </w:style>
  <w:style w:type="character" w:customStyle="1" w:styleId="eudoraheader">
    <w:name w:val="eudoraheader"/>
    <w:basedOn w:val="Policepardfau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phedeliste">
    <w:name w:val="List Paragraph"/>
    <w:basedOn w:val="Normal"/>
    <w:uiPriority w:val="34"/>
    <w:rsid w:val="00280FAF"/>
    <w:pPr>
      <w:ind w:left="720"/>
      <w:contextualSpacing/>
    </w:pPr>
  </w:style>
  <w:style w:type="character" w:customStyle="1" w:styleId="gmail-apple-converted-space">
    <w:name w:val="gmail-apple-converted-space"/>
    <w:basedOn w:val="Policepardfaut"/>
    <w:rsid w:val="00005A19"/>
  </w:style>
  <w:style w:type="character" w:styleId="Textedelespacerserv">
    <w:name w:val="Placeholder Text"/>
    <w:basedOn w:val="Policepardfaut"/>
    <w:uiPriority w:val="99"/>
    <w:semiHidden/>
    <w:rsid w:val="00C93CA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176896034">
      <w:bodyDiv w:val="1"/>
      <w:marLeft w:val="0"/>
      <w:marRight w:val="0"/>
      <w:marTop w:val="0"/>
      <w:marBottom w:val="0"/>
      <w:divBdr>
        <w:top w:val="none" w:sz="0" w:space="0" w:color="auto"/>
        <w:left w:val="none" w:sz="0" w:space="0" w:color="auto"/>
        <w:bottom w:val="none" w:sz="0" w:space="0" w:color="auto"/>
        <w:right w:val="none" w:sz="0" w:space="0" w:color="auto"/>
      </w:divBdr>
    </w:div>
    <w:div w:id="177041676">
      <w:bodyDiv w:val="1"/>
      <w:marLeft w:val="0"/>
      <w:marRight w:val="0"/>
      <w:marTop w:val="0"/>
      <w:marBottom w:val="0"/>
      <w:divBdr>
        <w:top w:val="none" w:sz="0" w:space="0" w:color="auto"/>
        <w:left w:val="none" w:sz="0" w:space="0" w:color="auto"/>
        <w:bottom w:val="none" w:sz="0" w:space="0" w:color="auto"/>
        <w:right w:val="none" w:sz="0" w:space="0" w:color="auto"/>
      </w:divBdr>
    </w:div>
    <w:div w:id="353263495">
      <w:bodyDiv w:val="1"/>
      <w:marLeft w:val="0"/>
      <w:marRight w:val="0"/>
      <w:marTop w:val="0"/>
      <w:marBottom w:val="0"/>
      <w:divBdr>
        <w:top w:val="none" w:sz="0" w:space="0" w:color="auto"/>
        <w:left w:val="none" w:sz="0" w:space="0" w:color="auto"/>
        <w:bottom w:val="none" w:sz="0" w:space="0" w:color="auto"/>
        <w:right w:val="none" w:sz="0" w:space="0" w:color="auto"/>
      </w:divBdr>
    </w:div>
    <w:div w:id="404302792">
      <w:bodyDiv w:val="1"/>
      <w:marLeft w:val="0"/>
      <w:marRight w:val="0"/>
      <w:marTop w:val="0"/>
      <w:marBottom w:val="0"/>
      <w:divBdr>
        <w:top w:val="none" w:sz="0" w:space="0" w:color="auto"/>
        <w:left w:val="none" w:sz="0" w:space="0" w:color="auto"/>
        <w:bottom w:val="none" w:sz="0" w:space="0" w:color="auto"/>
        <w:right w:val="none" w:sz="0" w:space="0" w:color="auto"/>
      </w:divBdr>
      <w:divsChild>
        <w:div w:id="1743940296">
          <w:marLeft w:val="0"/>
          <w:marRight w:val="0"/>
          <w:marTop w:val="0"/>
          <w:marBottom w:val="0"/>
          <w:divBdr>
            <w:top w:val="none" w:sz="0" w:space="0" w:color="auto"/>
            <w:left w:val="none" w:sz="0" w:space="0" w:color="auto"/>
            <w:bottom w:val="none" w:sz="0" w:space="0" w:color="auto"/>
            <w:right w:val="none" w:sz="0" w:space="0" w:color="auto"/>
          </w:divBdr>
          <w:divsChild>
            <w:div w:id="380176310">
              <w:marLeft w:val="0"/>
              <w:marRight w:val="0"/>
              <w:marTop w:val="0"/>
              <w:marBottom w:val="0"/>
              <w:divBdr>
                <w:top w:val="none" w:sz="0" w:space="0" w:color="auto"/>
                <w:left w:val="none" w:sz="0" w:space="0" w:color="auto"/>
                <w:bottom w:val="none" w:sz="0" w:space="0" w:color="auto"/>
                <w:right w:val="none" w:sz="0" w:space="0" w:color="auto"/>
              </w:divBdr>
              <w:divsChild>
                <w:div w:id="1583445384">
                  <w:marLeft w:val="0"/>
                  <w:marRight w:val="0"/>
                  <w:marTop w:val="0"/>
                  <w:marBottom w:val="0"/>
                  <w:divBdr>
                    <w:top w:val="none" w:sz="0" w:space="0" w:color="auto"/>
                    <w:left w:val="none" w:sz="0" w:space="0" w:color="auto"/>
                    <w:bottom w:val="none" w:sz="0" w:space="0" w:color="auto"/>
                    <w:right w:val="none" w:sz="0" w:space="0" w:color="auto"/>
                  </w:divBdr>
                  <w:divsChild>
                    <w:div w:id="9722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612946">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72752">
      <w:bodyDiv w:val="1"/>
      <w:marLeft w:val="0"/>
      <w:marRight w:val="0"/>
      <w:marTop w:val="0"/>
      <w:marBottom w:val="0"/>
      <w:divBdr>
        <w:top w:val="none" w:sz="0" w:space="0" w:color="auto"/>
        <w:left w:val="none" w:sz="0" w:space="0" w:color="auto"/>
        <w:bottom w:val="none" w:sz="0" w:space="0" w:color="auto"/>
        <w:right w:val="none" w:sz="0" w:space="0" w:color="auto"/>
      </w:divBdr>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66245">
      <w:bodyDiv w:val="1"/>
      <w:marLeft w:val="0"/>
      <w:marRight w:val="0"/>
      <w:marTop w:val="0"/>
      <w:marBottom w:val="0"/>
      <w:divBdr>
        <w:top w:val="none" w:sz="0" w:space="0" w:color="auto"/>
        <w:left w:val="none" w:sz="0" w:space="0" w:color="auto"/>
        <w:bottom w:val="none" w:sz="0" w:space="0" w:color="auto"/>
        <w:right w:val="none" w:sz="0" w:space="0" w:color="auto"/>
      </w:divBdr>
    </w:div>
    <w:div w:id="1036613632">
      <w:bodyDiv w:val="1"/>
      <w:marLeft w:val="0"/>
      <w:marRight w:val="0"/>
      <w:marTop w:val="0"/>
      <w:marBottom w:val="0"/>
      <w:divBdr>
        <w:top w:val="none" w:sz="0" w:space="0" w:color="auto"/>
        <w:left w:val="none" w:sz="0" w:space="0" w:color="auto"/>
        <w:bottom w:val="none" w:sz="0" w:space="0" w:color="auto"/>
        <w:right w:val="none" w:sz="0" w:space="0" w:color="auto"/>
      </w:divBdr>
    </w:div>
    <w:div w:id="1067461067">
      <w:bodyDiv w:val="1"/>
      <w:marLeft w:val="0"/>
      <w:marRight w:val="0"/>
      <w:marTop w:val="0"/>
      <w:marBottom w:val="0"/>
      <w:divBdr>
        <w:top w:val="none" w:sz="0" w:space="0" w:color="auto"/>
        <w:left w:val="none" w:sz="0" w:space="0" w:color="auto"/>
        <w:bottom w:val="none" w:sz="0" w:space="0" w:color="auto"/>
        <w:right w:val="none" w:sz="0" w:space="0" w:color="auto"/>
      </w:divBdr>
      <w:divsChild>
        <w:div w:id="1094085151">
          <w:marLeft w:val="0"/>
          <w:marRight w:val="0"/>
          <w:marTop w:val="0"/>
          <w:marBottom w:val="0"/>
          <w:divBdr>
            <w:top w:val="none" w:sz="0" w:space="0" w:color="auto"/>
            <w:left w:val="none" w:sz="0" w:space="0" w:color="auto"/>
            <w:bottom w:val="none" w:sz="0" w:space="0" w:color="auto"/>
            <w:right w:val="none" w:sz="0" w:space="0" w:color="auto"/>
          </w:divBdr>
          <w:divsChild>
            <w:div w:id="882211059">
              <w:marLeft w:val="0"/>
              <w:marRight w:val="0"/>
              <w:marTop w:val="0"/>
              <w:marBottom w:val="0"/>
              <w:divBdr>
                <w:top w:val="none" w:sz="0" w:space="0" w:color="auto"/>
                <w:left w:val="none" w:sz="0" w:space="0" w:color="auto"/>
                <w:bottom w:val="none" w:sz="0" w:space="0" w:color="auto"/>
                <w:right w:val="none" w:sz="0" w:space="0" w:color="auto"/>
              </w:divBdr>
              <w:divsChild>
                <w:div w:id="83231502">
                  <w:marLeft w:val="0"/>
                  <w:marRight w:val="0"/>
                  <w:marTop w:val="0"/>
                  <w:marBottom w:val="0"/>
                  <w:divBdr>
                    <w:top w:val="none" w:sz="0" w:space="0" w:color="auto"/>
                    <w:left w:val="none" w:sz="0" w:space="0" w:color="auto"/>
                    <w:bottom w:val="none" w:sz="0" w:space="0" w:color="auto"/>
                    <w:right w:val="none" w:sz="0" w:space="0" w:color="auto"/>
                  </w:divBdr>
                  <w:divsChild>
                    <w:div w:id="24033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732719">
      <w:bodyDiv w:val="1"/>
      <w:marLeft w:val="0"/>
      <w:marRight w:val="0"/>
      <w:marTop w:val="0"/>
      <w:marBottom w:val="0"/>
      <w:divBdr>
        <w:top w:val="none" w:sz="0" w:space="0" w:color="auto"/>
        <w:left w:val="none" w:sz="0" w:space="0" w:color="auto"/>
        <w:bottom w:val="none" w:sz="0" w:space="0" w:color="auto"/>
        <w:right w:val="none" w:sz="0" w:space="0" w:color="auto"/>
      </w:divBdr>
      <w:divsChild>
        <w:div w:id="294333445">
          <w:marLeft w:val="0"/>
          <w:marRight w:val="0"/>
          <w:marTop w:val="0"/>
          <w:marBottom w:val="0"/>
          <w:divBdr>
            <w:top w:val="none" w:sz="0" w:space="0" w:color="auto"/>
            <w:left w:val="none" w:sz="0" w:space="0" w:color="auto"/>
            <w:bottom w:val="none" w:sz="0" w:space="0" w:color="auto"/>
            <w:right w:val="none" w:sz="0" w:space="0" w:color="auto"/>
          </w:divBdr>
          <w:divsChild>
            <w:div w:id="1870529670">
              <w:marLeft w:val="0"/>
              <w:marRight w:val="0"/>
              <w:marTop w:val="0"/>
              <w:marBottom w:val="0"/>
              <w:divBdr>
                <w:top w:val="none" w:sz="0" w:space="0" w:color="auto"/>
                <w:left w:val="none" w:sz="0" w:space="0" w:color="auto"/>
                <w:bottom w:val="none" w:sz="0" w:space="0" w:color="auto"/>
                <w:right w:val="none" w:sz="0" w:space="0" w:color="auto"/>
              </w:divBdr>
              <w:divsChild>
                <w:div w:id="669720481">
                  <w:marLeft w:val="0"/>
                  <w:marRight w:val="0"/>
                  <w:marTop w:val="0"/>
                  <w:marBottom w:val="0"/>
                  <w:divBdr>
                    <w:top w:val="none" w:sz="0" w:space="0" w:color="auto"/>
                    <w:left w:val="none" w:sz="0" w:space="0" w:color="auto"/>
                    <w:bottom w:val="none" w:sz="0" w:space="0" w:color="auto"/>
                    <w:right w:val="none" w:sz="0" w:space="0" w:color="auto"/>
                  </w:divBdr>
                  <w:divsChild>
                    <w:div w:id="20735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024816">
      <w:bodyDiv w:val="1"/>
      <w:marLeft w:val="0"/>
      <w:marRight w:val="0"/>
      <w:marTop w:val="0"/>
      <w:marBottom w:val="0"/>
      <w:divBdr>
        <w:top w:val="none" w:sz="0" w:space="0" w:color="auto"/>
        <w:left w:val="none" w:sz="0" w:space="0" w:color="auto"/>
        <w:bottom w:val="none" w:sz="0" w:space="0" w:color="auto"/>
        <w:right w:val="none" w:sz="0" w:space="0" w:color="auto"/>
      </w:divBdr>
    </w:div>
    <w:div w:id="1239560252">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38201898">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42293166">
      <w:bodyDiv w:val="1"/>
      <w:marLeft w:val="0"/>
      <w:marRight w:val="0"/>
      <w:marTop w:val="0"/>
      <w:marBottom w:val="0"/>
      <w:divBdr>
        <w:top w:val="none" w:sz="0" w:space="0" w:color="auto"/>
        <w:left w:val="none" w:sz="0" w:space="0" w:color="auto"/>
        <w:bottom w:val="none" w:sz="0" w:space="0" w:color="auto"/>
        <w:right w:val="none" w:sz="0" w:space="0" w:color="auto"/>
      </w:divBdr>
      <w:divsChild>
        <w:div w:id="1296835746">
          <w:marLeft w:val="0"/>
          <w:marRight w:val="0"/>
          <w:marTop w:val="0"/>
          <w:marBottom w:val="0"/>
          <w:divBdr>
            <w:top w:val="none" w:sz="0" w:space="0" w:color="auto"/>
            <w:left w:val="none" w:sz="0" w:space="0" w:color="auto"/>
            <w:bottom w:val="none" w:sz="0" w:space="0" w:color="auto"/>
            <w:right w:val="none" w:sz="0" w:space="0" w:color="auto"/>
          </w:divBdr>
          <w:divsChild>
            <w:div w:id="1595161753">
              <w:marLeft w:val="0"/>
              <w:marRight w:val="0"/>
              <w:marTop w:val="0"/>
              <w:marBottom w:val="0"/>
              <w:divBdr>
                <w:top w:val="none" w:sz="0" w:space="0" w:color="auto"/>
                <w:left w:val="none" w:sz="0" w:space="0" w:color="auto"/>
                <w:bottom w:val="none" w:sz="0" w:space="0" w:color="auto"/>
                <w:right w:val="none" w:sz="0" w:space="0" w:color="auto"/>
              </w:divBdr>
              <w:divsChild>
                <w:div w:id="431322172">
                  <w:marLeft w:val="0"/>
                  <w:marRight w:val="0"/>
                  <w:marTop w:val="0"/>
                  <w:marBottom w:val="0"/>
                  <w:divBdr>
                    <w:top w:val="none" w:sz="0" w:space="0" w:color="auto"/>
                    <w:left w:val="none" w:sz="0" w:space="0" w:color="auto"/>
                    <w:bottom w:val="none" w:sz="0" w:space="0" w:color="auto"/>
                    <w:right w:val="none" w:sz="0" w:space="0" w:color="auto"/>
                  </w:divBdr>
                  <w:divsChild>
                    <w:div w:id="19092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42254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SourceType>JournalArticle</b:SourceType>
    <b:Title>An analytical model based on radiative heating for the determination of safety distances for wildland fires</b:Title>
    <b:Year>2011</b:Year>
    <b:StandardNumber>03797112</b:StandardNumber>
    <b:Publisher>Elsevier Ltd</b:Publisher>
    <b:Pages>520-527</b:Pages>
    <b:JournalName>Fire Safety Journal</b:JournalName>
    <b:Volume>46</b:Volume>
    <b:Issue>8</b:Issue>
    <b:Author>
      <b:Author>
        <b:NameList>
          <b:Person>
            <b:First>J. L.</b:First>
            <b:Last>Rossi</b:Last>
          </b:Person>
          <b:Person>
            <b:First>A.</b:First>
            <b:Last>Simeoni</b:Last>
          </b:Person>
          <b:Person>
            <b:First>B.</b:First>
            <b:Last>Moretti</b:Last>
          </b:Person>
          <b:Person>
            <b:First>V.</b:First>
            <b:Last>Leroy-Cancellieri</b:Last>
          </b:Person>
        </b:NameList>
      </b:Author>
    </b:Author>
    <b:Tag>Rossi</b:Tag>
    <b:Guid>{BDB270BC-27A1-46A4-AEF8-4F32273A5A96}</b:Guid>
    <b:LCID>en-GB</b:LCID>
    <b:RefOrder>1</b:RefOrder>
  </b:Source>
  <b:Source>
    <b:SourceType>JournalArticle</b:SourceType>
    <b:Title>Establishing safety distances for wildland fires</b:Title>
    <b:Year>2008</b:Year>
    <b:StandardNumber>03797112</b:StandardNumber>
    <b:Publisher>Elsevier Ltd</b:Publisher>
    <b:Pages>565-575</b:Pages>
    <b:JournalName>Fire Safety Journal</b:JournalName>
    <b:Volume>43</b:Volume>
    <b:Issue>8</b:Issue>
    <b:Author>
      <b:Author>
        <b:NameList>
          <b:Person>
            <b:First>Luis</b:First>
            <b:Last>Zárate</b:Last>
          </b:Person>
          <b:Person>
            <b:First>Josep</b:First>
            <b:Last>Arnaldos</b:Last>
          </b:Person>
          <b:Person>
            <b:First>Joaquim</b:First>
            <b:Last>Casal</b:Last>
          </b:Person>
        </b:NameList>
      </b:Author>
    </b:Author>
    <b:Tag>Zarate</b:Tag>
    <b:Guid>{245CB0F4-0408-4BBA-A084-1494AFB6ED5C}</b:Guid>
    <b:LCID>en-GB</b:LCID>
    <b:RefOrder>2</b:RefOrder>
  </b:Source>
  <b:Source>
    <b:SourceType>JournalArticle</b:SourceType>
    <b:Title>Estimation of land surface emissivity for Landsat TM6 and its application to Lingxian Region in north China</b:Title>
    <b:Year>2006</b:Year>
    <b:Month>9</b:Month>
    <b:StandardNumber>0819464619</b:StandardNumber>
    <b:StandardNumber>0277786X</b:StandardNumber>
    <b:Publisher>SPIE</b:Publisher>
    <b:Pages>636618</b:Pages>
    <b:JournalName>Remote Sensing for Environmental Monitoring, GIS Applications, and Geology VI</b:JournalName>
    <b:Volume>6366</b:Volume>
    <b:Author>
      <b:Author>
        <b:NameList>
          <b:Person>
            <b:First>Zhihao</b:First>
            <b:Last>Qin</b:Last>
          </b:Person>
          <b:Person>
            <b:First>Wenjuan</b:First>
            <b:Last>Li</b:Last>
          </b:Person>
          <b:Person>
            <b:First>Maofang</b:First>
            <b:Last>Gao</b:Last>
          </b:Person>
          <b:Person>
            <b:First>Hong'ou</b:First>
            <b:Last>Zhang</b:Last>
          </b:Person>
        </b:NameList>
      </b:Author>
    </b:Author>
    <b:Tag>Zhihao</b:Tag>
    <b:Guid>{8A71646B-F497-420B-A672-01C07C62640A}</b:Guid>
    <b:LCID>en-GB</b:LCID>
    <b:RefOrder>3</b:RefOrder>
  </b:Source>
  <b:Source>
    <b:SourceType>JournalArticle</b:SourceType>
    <b:Title>Impact of a distant wildland fire on an LPG tank</b:Title>
    <b:Year>2013</b:Year>
    <b:StandardNumber>03797112</b:StandardNumber>
    <b:Publisher>Elsevier Ltd</b:Publisher>
    <b:Pages>100-107</b:Pages>
    <b:JournalName>Fire Safety Journal</b:JournalName>
    <b:Volume>61</b:Volume>
    <b:Author>
      <b:Author>
        <b:NameList>
          <b:Person>
            <b:First>Frederic</b:First>
            <b:Last>Heymes</b:Last>
          </b:Person>
          <b:Person>
            <b:First>Laurent</b:First>
            <b:Last>Aprin</b:Last>
          </b:Person>
          <b:Person>
            <b:First>Serge</b:First>
            <b:Last>Forestier</b:Last>
          </b:Person>
          <b:Person>
            <b:First>Pierre</b:First>
            <b:Last>Slangen</b:Last>
          </b:Person>
          <b:Person>
            <b:First>Jean</b:First>
            <b:Last>Baptiste Jarry</b:Last>
          </b:Person>
          <b:Person>
            <b:First>Henri</b:First>
            <b:Last>François</b:Last>
          </b:Person>
          <b:Person>
            <b:First>Gilles</b:First>
            <b:Last>Dusserre</b:Last>
          </b:Person>
        </b:NameList>
      </b:Author>
    </b:Author>
    <b:Tag>Heymes</b:Tag>
    <b:Guid>{3893CED8-2712-4DF3-B17B-5D1185D5A37F}</b:Guid>
    <b:LCID>en-GB</b:LCID>
    <b:RefOrder>4</b:RefOrder>
  </b:Source>
  <b:Source>
    <b:SourceType>JournalArticle</b:SourceType>
    <b:Title>Measurements of radiant emissive power and temperatures in crown fires</b:Title>
    <b:Year>2004</b:Year>
    <b:Month>8</b:Month>
    <b:StandardNumber>00455067</b:StandardNumber>
    <b:Pages>1577-1587</b:Pages>
    <b:JournalName>Canadian Journal of Forest Research</b:JournalName>
    <b:Volume>34</b:Volume>
    <b:Issue>8</b:Issue>
    <b:Author>
      <b:Author>
        <b:NameList>
          <b:Person>
            <b:First>B. W.</b:First>
            <b:Last>Butler</b:Last>
          </b:Person>
          <b:Person>
            <b:First>J.</b:First>
            <b:Last>Cohen</b:Last>
          </b:Person>
          <b:Person>
            <b:First>D. J.</b:First>
            <b:Last>Latham</b:Last>
          </b:Person>
          <b:Person>
            <b:First>R. D.</b:First>
            <b:Last>Schuette</b:Last>
          </b:Person>
          <b:Person>
            <b:First>P.</b:First>
            <b:Last>Sopko</b:Last>
          </b:Person>
          <b:Person>
            <b:First>K. S.</b:First>
            <b:Last>Shannon</b:Last>
          </b:Person>
          <b:Person>
            <b:First>D.</b:First>
            <b:Last>Jimenez</b:Last>
          </b:Person>
          <b:Person>
            <b:First>L. S.</b:First>
            <b:Last>Bradshaw</b:Last>
          </b:Person>
        </b:NameList>
      </b:Author>
    </b:Author>
    <b:Tag>Butler2004</b:Tag>
    <b:Guid>{5E32D2E8-2F87-470C-9C97-6E93D908953F}</b:Guid>
    <b:LCID>en-GB</b:LCID>
    <b:RefOrder>5</b:RefOrder>
  </b:Source>
  <b:Source>
    <b:SourceType>JournalArticle</b:SourceType>
    <b:Title>Monte Carlo estimation of thermal radiation from wildland fires</b:Title>
    <b:Year>2011</b:Year>
    <b:Month>1</b:Month>
    <b:StandardNumber>12900729</b:StandardNumber>
    <b:Pages>2-11</b:Pages>
    <b:JournalName>International Journal of Thermal Sciences</b:JournalName>
    <b:Volume>50</b:Volume>
    <b:Issue>1</b:Issue>
    <b:Author>
      <b:Author>
        <b:NameList>
          <b:Person>
            <b:First>Y.</b:First>
            <b:Last>Billaud</b:Last>
          </b:Person>
          <b:Person>
            <b:First>A.</b:First>
            <b:Last>Kaiss</b:Last>
          </b:Person>
          <b:Person>
            <b:First>J. L.</b:First>
            <b:Last>Consalvi</b:Last>
          </b:Person>
          <b:Person>
            <b:First>B.</b:First>
            <b:Last>Porterie</b:Last>
          </b:Person>
        </b:NameList>
      </b:Author>
    </b:Author>
    <b:Tag>Billaud</b:Tag>
    <b:Guid>{A39F6EB8-FB39-4B0A-B945-CFA8AE24CDC7}</b:Guid>
    <b:LCID>en-GB</b:LCID>
    <b:RefOrder>6</b:RefOrder>
  </b:Source>
  <b:Source>
    <b:SourceType>JournalArticle</b:SourceType>
    <b:Title>Relating flame radiation to home ignition using modeling and experimental crown fires</b:Title>
    <b:Year>2011</b:Year>
    <b:Month>8</b:Month>
    <b:StandardNumber>00455067</b:StandardNumber>
    <b:Publisher> NRC Research Press Ottawa, Canada </b:Publisher>
    <b:Pages>1616-1626</b:Pages>
    <b:JournalName>https://doi.org/10.1139/x04-049</b:JournalName>
    <b:Volume>34</b:Volume>
    <b:Issue>8</b:Issue>
    <b:Author>
      <b:Author>
        <b:NameList>
          <b:Person>
            <b:First>Jack D.</b:First>
            <b:Last>Cohen</b:Last>
          </b:Person>
        </b:NameList>
      </b:Author>
    </b:Author>
    <b:URL>https://cdnsciencepub.com/doi/10.1139/x04-049</b:URL>
    <b:Tag>Cohen</b:Tag>
    <b:Guid>{7294EDBC-11DC-46C3-9A9D-B2030B055CE7}</b:Guid>
    <b:LCID>en-GB</b:LCID>
    <b:RefOrder>7</b:RefOrder>
  </b:Source>
  <b:Source>
    <b:SourceType>JournalArticle</b:SourceType>
    <b:Title>Simulation of Heat Transfer Through Soil for the Investigation of Wildfire Impacts on Buried Pipelines</b:Title>
    <b:Year>2022</b:Year>
    <b:Month>7</b:Month>
    <b:StandardNumber>15728099</b:StandardNumber>
    <b:Publisher>Springer</b:Publisher>
    <b:Pages>1889-1915</b:Pages>
    <b:JournalName>Fire Technology</b:JournalName>
    <b:Volume>58</b:Volume>
    <b:Issue>4</b:Issue>
    <b:Author>
      <b:Author>
        <b:NameList>
          <b:Person>
            <b:First>Edward G.</b:First>
            <b:Last>Richter</b:Last>
          </b:Person>
          <b:Person>
            <b:First>Erica C.</b:First>
            <b:Last>Fischer</b:Last>
          </b:Person>
          <b:Person>
            <b:First>Amy</b:First>
            <b:Last>Metz</b:Last>
          </b:Person>
          <b:Person>
            <b:First>Brad P.</b:First>
            <b:Last>Wham</b:Last>
          </b:Person>
        </b:NameList>
      </b:Author>
    </b:Author>
    <b:Tag>Richter</b:Tag>
    <b:Guid>{D4716D79-1FCA-48F1-BDBE-5065BAEE2BF5}</b:Guid>
    <b:LCID>en-GB</b:LCID>
    <b:RefOrder>8</b:RefOrder>
  </b:Source>
  <b:Source>
    <b:SourceType>JournalArticle</b:SourceType>
    <b:Title>The challenges of an in situ validation of a nonequilibrium model of soil heat and moisture dynamics during fires</b:Title>
    <b:Year>2021</b:Year>
    <b:Month>2</b:Month>
    <b:StandardNumber>16077938</b:StandardNumber>
    <b:Publisher>Copernicus GmbH</b:Publisher>
    <b:Pages>685-709</b:Pages>
    <b:JournalName>Hydrology and Earth System Sciences</b:JournalName>
    <b:Volume>25</b:Volume>
    <b:Issue>2</b:Issue>
    <b:Author>
      <b:Author>
        <b:NameList>
          <b:Person>
            <b:First>William J.</b:First>
            <b:Last>Massman</b:Last>
          </b:Person>
        </b:NameList>
      </b:Author>
    </b:Author>
    <b:Tag>Massmann</b:Tag>
    <b:Guid>{A7F124F8-6AF9-435A-A833-A19E4374F747}</b:Guid>
    <b:LCID>en-GB</b:LCID>
    <b:RefOrder>9</b:RefOrder>
  </b:Source>
  <b:Source>
    <b:SourceType>Report</b:SourceType>
    <b:Title>Characterization of convective heating in full scale wildland fires</b:Title>
    <b:Year>2010</b:Year>
    <b:Pages>2010</b:Pages>
    <b:Author>
      <b:Author>
        <b:NameList>
          <b:Person>
            <b:First>B W</b:First>
            <b:Last>Butler</b:Last>
          </b:Person>
        </b:NameList>
      </b:Author>
    </b:Author>
    <b:Tag>Butler2010</b:Tag>
    <b:Guid>{0E481155-2454-4DCD-B50C-E73387C8F22D}</b:Guid>
    <b:LCID>en-GB</b:LCID>
    <b:RefOrder>10</b:RefOrder>
  </b:Source>
  <b:Source>
    <b:SourceType>JournalArticle</b:SourceType>
    <b:Title>Geometric View Factors for Thermal Radiation Hazard Assessment</b:Title>
    <b:Year>1987</b:Year>
    <b:Pages>89-96</b:Pages>
    <b:JournalName>Fire Safety Journal</b:JournalName>
    <b:Volume>12</b:Volume>
    <b:Author>
      <b:Author>
        <b:NameList>
          <b:Person>
            <b:First>Krishna S</b:First>
            <b:Last>Mudan</b:Last>
          </b:Person>
        </b:NameList>
      </b:Author>
    </b:Author>
    <b:Tag>Mudan</b:Tag>
    <b:Guid>{9C6F522B-059D-4BF0-9F89-FD40F4DBE305}</b:Guid>
    <b:LCID>en-GB</b:LCID>
    <b:RefOrder>11</b:RefOrder>
  </b:Source>
  <b:Source>
    <b:SourceType>JournalArticle</b:SourceType>
    <b:Title>A New Perspective on Soil Thermal Properties</b:Title>
    <b:Author>
      <b:Author>
        <b:NameList>
          <b:Person>
            <b:First>Tyson E</b:First>
            <b:Last>Ochsner</b:Last>
          </b:Person>
          <b:Person>
            <b:First>Robert</b:First>
            <b:Last>Horton</b:Last>
          </b:Person>
          <b:Person>
            <b:First>Tusheng</b:First>
            <b:Last>Ren</b:Last>
          </b:Person>
        </b:NameList>
      </b:Author>
    </b:Author>
    <b:Tag>Ochsner</b:Tag>
    <b:Guid>{F7B21520-29EA-4B80-9DD7-357281C3236F}</b:Guid>
    <b:LCID>en-GB</b:LCID>
    <b:Year>2001</b:Year>
    <b:JournalName>Soil Sci. Soc. Am. J. 65</b:JournalName>
    <b:Pages>1641-1647</b:Pages>
    <b:RefOrder>12</b:RefOrder>
  </b:Source>
  <b:Source>
    <b:SourceType>JournalArticle</b:SourceType>
    <b:Title>Measurements of temperature distribution in ground</b:Title>
    <b:Author>
      <b:Author>
        <b:NameList>
          <b:Person>
            <b:First>C O</b:First>
            <b:Last>Popiel</b:Last>
          </b:Person>
          <b:Person>
            <b:First>J</b:First>
            <b:Last>Wojtkowiak</b:Last>
          </b:Person>
          <b:Person>
            <b:First>B</b:First>
            <b:Last>Biernacka</b:Last>
          </b:Person>
        </b:NameList>
      </b:Author>
    </b:Author>
    <b:URL>www.elsevier.com/locate/etfs</b:URL>
    <b:Tag>Popiel</b:Tag>
    <b:Guid>{D7AAF66C-A9B2-493F-8783-CEA16AC6C31D}</b:Guid>
    <b:Year>2001</b:Year>
    <b:LCID>en-GB</b:LCID>
    <b:JournalName>Experimental Thermal and Fluid Science </b:JournalName>
    <b:Pages>301-309</b:Pages>
    <b:RefOrder>13</b:RefOrder>
  </b:Source>
  <b:Source>
    <b:SourceType>JournalArticle</b:SourceType>
    <b:Title>Assessment of the threat from wildfires on above ground natural gas facilities </b:Title>
    <b:Year>2018</b:Year>
    <b:Author>
      <b:Author>
        <b:NameList>
          <b:Person>
            <b:First>Clive G</b:First>
            <b:Last>Robinson</b:Last>
          </b:Person>
          <b:Person>
            <b:First>Zoë E</b:First>
            <b:Last>Wattis</b:Last>
          </b:Person>
          <b:Person>
            <b:First>Colin</b:First>
            <b:Last>Dooley</b:Last>
          </b:Person>
        </b:NameList>
      </b:Author>
    </b:Author>
    <b:URL>https://proceedings.asmedigitalcollection.asme.org</b:URL>
    <b:Tag>Robinson</b:Tag>
    <b:Guid>{D5F3581E-10FE-4391-A826-579F34E8DFFB}</b:Guid>
    <b:LCID>en-GB</b:LCID>
    <b:JournalName>Proceedings of the 2018 12th International Pipeline Conference</b:JournalName>
    <b:RefOrder>14</b:RefOrder>
  </b:Source>
</b:Sources>
</file>

<file path=customXml/itemProps1.xml><?xml version="1.0" encoding="utf-8"?>
<ds:datastoreItem xmlns:ds="http://schemas.openxmlformats.org/officeDocument/2006/customXml" ds:itemID="{4AB6154C-22B1-41D0-BB44-1B32C3313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3251</TotalTime>
  <Pages>6</Pages>
  <Words>3944</Words>
  <Characters>21692</Characters>
  <Application>Microsoft Office Word</Application>
  <DocSecurity>0</DocSecurity>
  <Lines>180</Lines>
  <Paragraphs>51</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Dylan BERNARD</cp:lastModifiedBy>
  <cp:revision>108</cp:revision>
  <cp:lastPrinted>2024-12-11T15:21:00Z</cp:lastPrinted>
  <dcterms:created xsi:type="dcterms:W3CDTF">2024-02-20T10:29:00Z</dcterms:created>
  <dcterms:modified xsi:type="dcterms:W3CDTF">2024-12-11T15:25:00Z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id="fG78gVUq"/&gt;&lt;style id="http://www.zotero.org/styles/american-chemical-society" hasBibliography="1" bibliographyStyleHasBeenSet="0"/&gt;&lt;prefs&gt;&lt;pref name="fieldType" value="Field"/&gt;&lt;pref name="storeRe</vt:lpwstr>
  </property>
  <property fmtid="{D5CDD505-2E9C-101B-9397-08002B2CF9AE}" pid="3" name="ZOTERO_PREF_2">
    <vt:lpwstr>ferences" value="true"/&gt;&lt;/prefs&gt;&lt;/data&gt;</vt:lpwstr>
  </property>
</Properties>
</file>