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wmf" ContentType="image/x-wmf"/>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8"/>
        <w:tblW w:w="0" w:type="auto"/>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46"/>
        <w:gridCol w:w="1843"/>
      </w:tblGrid>
      <w:tr w14:paraId="5F33A44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2" w:hRule="atLeast"/>
          <w:jc w:val="center"/>
        </w:trPr>
        <w:tc>
          <w:tcPr>
            <w:tcW w:w="6946" w:type="dxa"/>
            <w:vMerge w:val="restart"/>
            <w:tcBorders>
              <w:right w:val="single" w:color="auto" w:sz="4" w:space="0"/>
            </w:tcBorders>
          </w:tcPr>
          <w:p w14:paraId="1BA2CB43">
            <w:pPr>
              <w:tabs>
                <w:tab w:val="left" w:pos="-108"/>
              </w:tabs>
              <w:ind w:left="-108"/>
              <w:jc w:val="left"/>
              <w:rPr>
                <w:rFonts w:cs="Arial"/>
                <w:b/>
                <w:bCs/>
                <w:i/>
                <w:iCs/>
                <w:color w:val="000066"/>
                <w:sz w:val="12"/>
                <w:szCs w:val="12"/>
                <w:lang w:eastAsia="it-IT"/>
              </w:rPr>
            </w:pPr>
            <w:bookmarkStart w:id="0" w:name="_Hlk145068772"/>
            <w:r>
              <w:rPr>
                <w:rFonts w:ascii="AdvP6960" w:hAnsi="AdvP6960" w:cs="AdvP6960"/>
                <w:color w:val="241F20"/>
                <w:szCs w:val="18"/>
                <w:lang w:val="it-IT" w:eastAsia="it-IT"/>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cet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40080" cy="373380"/>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type="textWrapping"/>
            </w:r>
          </w:p>
          <w:p w14:paraId="4F5C82F6">
            <w:pPr>
              <w:tabs>
                <w:tab w:val="left" w:pos="-108"/>
              </w:tabs>
              <w:ind w:left="-108"/>
              <w:rPr>
                <w:rFonts w:cs="Arial"/>
                <w:b/>
                <w:bCs/>
                <w:i/>
                <w:iCs/>
                <w:color w:val="000066"/>
                <w:sz w:val="22"/>
                <w:szCs w:val="22"/>
                <w:lang w:eastAsia="it-IT"/>
              </w:rPr>
            </w:pPr>
            <w:r>
              <w:rPr>
                <w:rFonts w:cs="Arial"/>
                <w:b/>
                <w:bCs/>
                <w:i/>
                <w:iCs/>
                <w:color w:val="000066"/>
                <w:sz w:val="22"/>
                <w:szCs w:val="22"/>
                <w:lang w:eastAsia="it-IT"/>
              </w:rPr>
              <w:t>VOL. xxx, 2025</w:t>
            </w:r>
          </w:p>
        </w:tc>
        <w:tc>
          <w:tcPr>
            <w:tcW w:w="1843" w:type="dxa"/>
            <w:tcBorders>
              <w:left w:val="single" w:color="auto" w:sz="4" w:space="0"/>
              <w:bottom w:val="nil"/>
              <w:right w:val="single" w:color="auto" w:sz="4" w:space="0"/>
            </w:tcBorders>
          </w:tcPr>
          <w:p w14:paraId="2B18E4FF">
            <w:pPr>
              <w:spacing w:line="140" w:lineRule="atLeast"/>
              <w:jc w:val="right"/>
              <w:rPr>
                <w:rFonts w:cs="Arial"/>
                <w:sz w:val="14"/>
                <w:szCs w:val="14"/>
              </w:rPr>
            </w:pPr>
            <w:r>
              <w:rPr>
                <w:rFonts w:cs="Arial"/>
                <w:sz w:val="14"/>
                <w:szCs w:val="14"/>
              </w:rPr>
              <w:t>A publication of</w:t>
            </w:r>
          </w:p>
          <w:p w14:paraId="7515C501">
            <w:pPr>
              <w:jc w:val="right"/>
            </w:pPr>
            <w:r>
              <w:rPr>
                <w:lang w:val="it-IT" w:eastAsia="it-IT"/>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aidiclogo_grand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70560" cy="358140"/>
                          </a:xfrm>
                          <a:prstGeom prst="rect">
                            <a:avLst/>
                          </a:prstGeom>
                          <a:noFill/>
                          <a:ln>
                            <a:noFill/>
                          </a:ln>
                        </pic:spPr>
                      </pic:pic>
                    </a:graphicData>
                  </a:graphic>
                </wp:inline>
              </w:drawing>
            </w:r>
          </w:p>
        </w:tc>
      </w:tr>
      <w:tr w14:paraId="6F31E60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946" w:type="dxa"/>
            <w:vMerge w:val="continue"/>
            <w:tcBorders>
              <w:right w:val="single" w:color="auto" w:sz="4" w:space="0"/>
            </w:tcBorders>
          </w:tcPr>
          <w:p w14:paraId="5B3348BC">
            <w:pPr>
              <w:tabs>
                <w:tab w:val="left" w:pos="-108"/>
              </w:tabs>
            </w:pPr>
          </w:p>
        </w:tc>
        <w:tc>
          <w:tcPr>
            <w:tcW w:w="1843" w:type="dxa"/>
            <w:tcBorders>
              <w:left w:val="single" w:color="auto" w:sz="4" w:space="0"/>
              <w:bottom w:val="nil"/>
              <w:right w:val="single" w:color="auto" w:sz="4" w:space="0"/>
            </w:tcBorders>
          </w:tcPr>
          <w:p w14:paraId="597A2C90">
            <w:pPr>
              <w:spacing w:line="140" w:lineRule="atLeast"/>
              <w:jc w:val="right"/>
              <w:rPr>
                <w:rFonts w:cs="Arial"/>
                <w:sz w:val="14"/>
                <w:szCs w:val="14"/>
              </w:rPr>
            </w:pPr>
            <w:r>
              <w:rPr>
                <w:rFonts w:cs="Arial"/>
                <w:sz w:val="14"/>
                <w:szCs w:val="14"/>
              </w:rPr>
              <w:t>The Italian Association</w:t>
            </w:r>
          </w:p>
          <w:p w14:paraId="3F0C691A">
            <w:pPr>
              <w:spacing w:line="140" w:lineRule="atLeast"/>
              <w:jc w:val="right"/>
              <w:rPr>
                <w:rFonts w:cs="Arial"/>
                <w:sz w:val="14"/>
                <w:szCs w:val="14"/>
              </w:rPr>
            </w:pPr>
            <w:r>
              <w:rPr>
                <w:rFonts w:cs="Arial"/>
                <w:sz w:val="14"/>
                <w:szCs w:val="14"/>
              </w:rPr>
              <w:t>of Chemical Engineering</w:t>
            </w:r>
          </w:p>
          <w:p w14:paraId="5A28EDA6">
            <w:pPr>
              <w:spacing w:line="140" w:lineRule="atLeast"/>
              <w:jc w:val="right"/>
              <w:rPr>
                <w:rFonts w:cs="Arial"/>
                <w:sz w:val="13"/>
                <w:szCs w:val="13"/>
              </w:rPr>
            </w:pPr>
            <w:r>
              <w:rPr>
                <w:rFonts w:cs="Arial"/>
                <w:sz w:val="13"/>
                <w:szCs w:val="13"/>
              </w:rPr>
              <w:t>Online at www.cetjournal.it</w:t>
            </w:r>
          </w:p>
        </w:tc>
      </w:tr>
      <w:tr w14:paraId="71BEF62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8789" w:type="dxa"/>
            <w:gridSpan w:val="2"/>
          </w:tcPr>
          <w:p w14:paraId="68526385">
            <w:pPr>
              <w:ind w:left="-107"/>
              <w:rPr>
                <w:rFonts w:ascii="Tahoma" w:hAnsi="Tahoma" w:cs="Tahoma"/>
                <w:b/>
                <w:bCs/>
                <w:color w:val="000000"/>
                <w:sz w:val="14"/>
                <w:szCs w:val="14"/>
                <w:shd w:val="clear" w:color="auto" w:fill="FFFFFF"/>
                <w:lang w:val="it-IT"/>
              </w:rPr>
            </w:pPr>
            <w:r>
              <w:rPr>
                <w:rFonts w:ascii="Tahoma" w:hAnsi="Tahoma" w:cs="Tahoma"/>
                <w:iCs/>
                <w:color w:val="333333"/>
                <w:sz w:val="14"/>
                <w:szCs w:val="14"/>
                <w:lang w:val="it-IT" w:eastAsia="it-IT"/>
              </w:rPr>
              <w:t>Guest Editors:</w:t>
            </w:r>
            <w:r>
              <w:rPr>
                <w:rFonts w:ascii="Aptos" w:hAnsi="Aptos" w:cs="Aptos" w:eastAsiaTheme="minorHAnsi"/>
                <w:sz w:val="22"/>
                <w:szCs w:val="22"/>
                <w:lang w:val="it-IT"/>
                <w14:ligatures w14:val="standardContextual"/>
              </w:rPr>
              <w:t xml:space="preserve"> </w:t>
            </w:r>
            <w:r>
              <w:rPr>
                <w:rFonts w:ascii="Tahoma" w:hAnsi="Tahoma" w:cs="Tahoma"/>
                <w:color w:val="000000"/>
                <w:sz w:val="14"/>
                <w:szCs w:val="14"/>
                <w:shd w:val="clear" w:color="auto" w:fill="FFFFFF"/>
                <w:lang w:val="it-IT"/>
              </w:rPr>
              <w:t>Bruno Fabiano, Valerio Cozzani</w:t>
            </w:r>
          </w:p>
          <w:p w14:paraId="3BC0E286">
            <w:pPr>
              <w:tabs>
                <w:tab w:val="left" w:pos="-108"/>
              </w:tabs>
              <w:spacing w:line="140" w:lineRule="atLeast"/>
              <w:ind w:left="-107"/>
              <w:jc w:val="left"/>
            </w:pPr>
            <w:r>
              <w:rPr>
                <w:rFonts w:ascii="Tahoma" w:hAnsi="Tahoma" w:cs="Tahoma"/>
                <w:iCs/>
                <w:color w:val="333333"/>
                <w:sz w:val="14"/>
                <w:szCs w:val="14"/>
                <w:lang w:eastAsia="it-IT"/>
              </w:rPr>
              <w:t>Copyright © 2025, AIDIC Servizi S.r.l.</w:t>
            </w:r>
            <w:r>
              <w:rPr>
                <w:rFonts w:ascii="Tahoma" w:hAnsi="Tahoma" w:cs="Tahoma"/>
                <w:iCs/>
                <w:color w:val="333333"/>
                <w:sz w:val="14"/>
                <w:szCs w:val="14"/>
                <w:lang w:eastAsia="it-IT"/>
              </w:rPr>
              <w:br w:type="textWrapping"/>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979-12-81206-xx-y</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bookmarkEnd w:id="0"/>
    </w:tbl>
    <w:p w14:paraId="45F667AC">
      <w:pPr>
        <w:pStyle w:val="95"/>
        <w:jc w:val="both"/>
      </w:pPr>
      <w:r>
        <w:rPr>
          <w:rFonts w:hint="eastAsia"/>
        </w:rPr>
        <w:t>Enhancing Maritime Traffic Resilience via a Hybrid</w:t>
      </w:r>
      <w:r>
        <w:rPr>
          <w:rFonts w:hint="eastAsia" w:eastAsia="宋体"/>
          <w:lang w:val="en-US" w:eastAsia="zh-CN"/>
        </w:rPr>
        <w:t xml:space="preserve"> </w:t>
      </w:r>
      <w:r>
        <w:rPr>
          <w:rFonts w:hint="eastAsia"/>
        </w:rPr>
        <w:t>Model of Markov Networks</w:t>
      </w:r>
      <w:r>
        <w:rPr>
          <w:rFonts w:hint="eastAsia" w:eastAsia="宋体"/>
          <w:lang w:val="en-US" w:eastAsia="zh-CN"/>
        </w:rPr>
        <w:t xml:space="preserve"> </w:t>
      </w:r>
      <w:r>
        <w:rPr>
          <w:rFonts w:hint="eastAsia"/>
        </w:rPr>
        <w:t>and DBN:Evidence from</w:t>
      </w:r>
      <w:r>
        <w:rPr>
          <w:rFonts w:hint="eastAsia" w:eastAsia="宋体"/>
          <w:lang w:val="en-US" w:eastAsia="zh-CN"/>
        </w:rPr>
        <w:t xml:space="preserve"> </w:t>
      </w:r>
      <w:r>
        <w:rPr>
          <w:rFonts w:hint="eastAsia"/>
        </w:rPr>
        <w:t>LNGFV Navigation</w:t>
      </w:r>
      <w:r>
        <w:t xml:space="preserve"> </w:t>
      </w:r>
    </w:p>
    <w:p w14:paraId="18F4172A">
      <w:pPr>
        <w:pStyle w:val="94"/>
      </w:pPr>
      <w:r>
        <w:rPr>
          <w:rFonts w:hint="eastAsia"/>
        </w:rPr>
        <w:t>Shenping Hu</w:t>
      </w:r>
      <w:r>
        <w:t xml:space="preserve">*, </w:t>
      </w:r>
      <w:r>
        <w:rPr>
          <w:rFonts w:hint="eastAsia"/>
        </w:rPr>
        <w:t>Chun Zou</w:t>
      </w:r>
      <w:r>
        <w:t xml:space="preserve"> </w:t>
      </w:r>
    </w:p>
    <w:p w14:paraId="67296C63">
      <w:pPr>
        <w:pStyle w:val="99"/>
      </w:pPr>
      <w:r>
        <w:rPr>
          <w:rFonts w:hint="eastAsia"/>
        </w:rPr>
        <w:t>Merchant Marine College, Shanghai Maritime University, Shanghai, China</w:t>
      </w:r>
    </w:p>
    <w:p w14:paraId="3B3012C4">
      <w:pPr>
        <w:pStyle w:val="143"/>
      </w:pPr>
      <w:r>
        <w:t>corresponding.author</w:t>
      </w:r>
      <w:r>
        <w:rPr>
          <w:rFonts w:hint="eastAsia" w:eastAsia="宋体"/>
          <w:lang w:val="en-US" w:eastAsia="zh-CN"/>
        </w:rPr>
        <w:t>:</w:t>
      </w:r>
      <w:r>
        <w:rPr>
          <w:rFonts w:hint="eastAsia"/>
        </w:rPr>
        <w:t>sphu@shmtu.edu.cn</w:t>
      </w:r>
    </w:p>
    <w:p w14:paraId="3E4CCC42">
      <w:pPr>
        <w:pStyle w:val="5"/>
        <w:rPr>
          <w:lang w:eastAsia="zh-CN"/>
        </w:rPr>
      </w:pPr>
      <w:bookmarkStart w:id="1" w:name="_Hlk495475023"/>
      <w:r>
        <w:rPr>
          <w:rFonts w:hint="eastAsia"/>
          <w:lang w:val="en-GB"/>
        </w:rPr>
        <w:t xml:space="preserve">In order to comprehensively understand the internal operation mechanism and external interaction relationship during the navigation of coupled systems such as </w:t>
      </w:r>
      <w:r>
        <w:rPr>
          <w:rFonts w:hint="eastAsia" w:eastAsia="宋体"/>
          <w:lang w:eastAsia="zh-CN"/>
        </w:rPr>
        <w:t>L</w:t>
      </w:r>
      <w:r>
        <w:rPr>
          <w:rFonts w:hint="eastAsia"/>
          <w:lang w:val="en-GB"/>
        </w:rPr>
        <w:t xml:space="preserve">iquefied </w:t>
      </w:r>
      <w:r>
        <w:rPr>
          <w:rFonts w:hint="eastAsia" w:eastAsia="宋体"/>
          <w:lang w:eastAsia="zh-CN"/>
        </w:rPr>
        <w:t>N</w:t>
      </w:r>
      <w:r>
        <w:rPr>
          <w:rFonts w:hint="eastAsia"/>
          <w:lang w:val="en-GB"/>
        </w:rPr>
        <w:t xml:space="preserve">atural </w:t>
      </w:r>
      <w:r>
        <w:rPr>
          <w:rFonts w:hint="eastAsia" w:eastAsia="宋体"/>
          <w:lang w:eastAsia="zh-CN"/>
        </w:rPr>
        <w:t>G</w:t>
      </w:r>
      <w:r>
        <w:rPr>
          <w:rFonts w:hint="eastAsia"/>
          <w:lang w:val="en-GB"/>
        </w:rPr>
        <w:t>as-</w:t>
      </w:r>
      <w:r>
        <w:rPr>
          <w:rFonts w:hint="eastAsia" w:eastAsia="宋体"/>
          <w:lang w:eastAsia="zh-CN"/>
        </w:rPr>
        <w:t>F</w:t>
      </w:r>
      <w:r>
        <w:rPr>
          <w:rFonts w:hint="eastAsia"/>
          <w:lang w:val="en-GB"/>
        </w:rPr>
        <w:t xml:space="preserve">ueled </w:t>
      </w:r>
      <w:r>
        <w:rPr>
          <w:rFonts w:hint="eastAsia" w:eastAsia="宋体"/>
          <w:lang w:eastAsia="zh-CN"/>
        </w:rPr>
        <w:t>V</w:t>
      </w:r>
      <w:r>
        <w:rPr>
          <w:rFonts w:hint="eastAsia"/>
          <w:lang w:val="en-GB"/>
        </w:rPr>
        <w:t>essels (LNGFV),</w:t>
      </w:r>
      <w:r>
        <w:rPr>
          <w:rFonts w:hint="eastAsia" w:eastAsia="宋体"/>
          <w:lang w:eastAsia="zh-CN"/>
        </w:rPr>
        <w:t>t</w:t>
      </w:r>
      <w:r>
        <w:rPr>
          <w:rFonts w:hint="eastAsia"/>
          <w:lang w:val="en-GB"/>
        </w:rPr>
        <w:t>his paper proposes a hybrid model that integrates the Causal Analysis based on System Theory (CAST) with Dynamic Bayesian Networks (DBN) to analyze the traffic resilience of</w:t>
      </w:r>
      <w:r>
        <w:rPr>
          <w:rFonts w:hint="eastAsia" w:eastAsia="宋体"/>
          <w:lang w:eastAsia="zh-CN"/>
        </w:rPr>
        <w:t xml:space="preserve"> </w:t>
      </w:r>
      <w:r>
        <w:rPr>
          <w:rFonts w:hint="eastAsia"/>
          <w:lang w:val="en-GB"/>
        </w:rPr>
        <w:t>LNGFV during navigation. Starting from the mechanism of system resilience, the study constructs a resilience evolution framework for LNGFV based on the Triple Protection Mechanism (TPM). The CAST method is employed to identify key influencing factors within the navigation safety control structure, and the integration of DBN with Hidden Markov Models (HMM) is used to quantify the dynamic characteristics of resilience. Through the analysis of LNGFV accident cases and environment data-driven simulations, the results indicate that the evolution of LNGFV traffic resilience follows a double U-shaped trend and is significantly positively correlated with the implementation effectiveness of TPM, demonstrating TPM's capability to maintain high resilience levels under external disturbances. This framework provides a systematic method and a new perspective for resilience assessment in complex shipping systems, supporting optimized decision-making for multi-level risk management.</w:t>
      </w:r>
    </w:p>
    <w:bookmarkEnd w:id="1"/>
    <w:p w14:paraId="2344DEC3">
      <w:pPr>
        <w:pStyle w:val="4"/>
        <w:rPr>
          <w:lang w:val="en-GB"/>
        </w:rPr>
      </w:pPr>
      <w:r>
        <w:rPr>
          <w:lang w:val="en-GB"/>
        </w:rPr>
        <w:t>Introduction</w:t>
      </w:r>
    </w:p>
    <w:p w14:paraId="2422B010">
      <w:pPr>
        <w:pStyle w:val="5"/>
      </w:pPr>
      <w:r>
        <w:rPr>
          <w:rFonts w:hint="eastAsia"/>
          <w:lang w:val="en-GB"/>
        </w:rPr>
        <w:t>Maritime traffic is one of the important modes of transportation and plays a key role in economic development. Studying its resilience ensures that in the event of natural disasters and emergencies, the maritime traffic system can recover quickly and safegua</w:t>
      </w:r>
      <w:r>
        <w:rPr>
          <w:rFonts w:hint="eastAsia"/>
          <w:color w:val="000000" w:themeColor="text1"/>
          <w:lang w:val="en-GB"/>
          <w14:textFill>
            <w14:solidFill>
              <w14:schemeClr w14:val="tx1"/>
            </w14:solidFill>
          </w14:textFill>
        </w:rPr>
        <w:t>rd the flow of goods. In recent years, with the increase of climate change and environmental uncertainty, more and more new energy vessels have appeared in maritime traffic. Liquefied Natural Gas (LNG), as a clean and efficient energy source (Thomson et al., 2015), has played an increasingly significant role in the global energy landscape and maritime trade. Over the past decade, the application of LNG fuel propulsion technology in newly built ocean-going vessels has seen a substantial increase, driven by both market price advantages and the increasingly sophisticated LNG supply chain. In the next 3 to 5 years, with the continuous development of carbon neutrality and zero-carbon fuel technologies, LNG fuel technology will remain one of the primary technological pathways for green shipping (Iannaccone et al., 2020). As an alternative fuel for traditional vessel propulsion, LNG poses higher complexity in the navigation and operation of LNGFV due to its special physicochemical properties of flammability, explosiveness, and ultra-low temperature, combined with the unique operational mode of LNGFV(Livanos et al., 2014). It is further required to make advance response plans and reduce losses by studying resilience. Enhancing the resilience of maritime traffic system involved LNGFV operation remains a current resear</w:t>
      </w:r>
      <w:r>
        <w:rPr>
          <w:rFonts w:hint="eastAsia"/>
          <w:lang w:val="en-GB"/>
        </w:rPr>
        <w:t>ch hotspot.</w:t>
      </w:r>
    </w:p>
    <w:p w14:paraId="61C92BC1">
      <w:pPr>
        <w:pStyle w:val="98"/>
      </w:pPr>
      <w:r>
        <w:rPr>
          <w:rFonts w:hint="eastAsia"/>
        </w:rPr>
        <w:t>Maritime traffic resilience from the perspective of safety-II mode</w:t>
      </w:r>
    </w:p>
    <w:p w14:paraId="7DA07210">
      <w:pPr>
        <w:pStyle w:val="152"/>
        <w:ind w:left="113" w:firstLine="0"/>
        <w:rPr>
          <w:color w:val="000000" w:themeColor="text1"/>
          <w14:textFill>
            <w14:solidFill>
              <w14:schemeClr w14:val="tx1"/>
            </w14:solidFill>
          </w14:textFill>
        </w:rPr>
      </w:pPr>
      <w:r>
        <w:rPr>
          <w:rFonts w:hint="eastAsia"/>
        </w:rPr>
        <w:t>Scholars have studied the theory of traffic resilience from different perspectives, including the stability, adaptability, and resilience of the system, and have formed a richer theoretical system to better understand the performance and coping strategies of traffic syste</w:t>
      </w:r>
      <w:r>
        <w:rPr>
          <w:rFonts w:hint="eastAsia"/>
          <w:color w:val="000000" w:themeColor="text1"/>
          <w14:textFill>
            <w14:solidFill>
              <w14:schemeClr w14:val="tx1"/>
            </w14:solidFill>
          </w14:textFill>
        </w:rPr>
        <w:t>ms in the face of various disturbances.</w:t>
      </w:r>
    </w:p>
    <w:p w14:paraId="0F44BFAF">
      <w:pPr>
        <w:pStyle w:val="152"/>
        <w:ind w:left="113"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Traditional models are developed from the perspective of analyzing the causality of accidents. Based on this, Hollnagel proposed the concepts of Safety-I and Safety-II Vanderhaegen et al. (201</w:t>
      </w:r>
      <w:r>
        <w:rPr>
          <w:rFonts w:hint="eastAsia" w:eastAsia="宋体"/>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 Safety-I aims to minimize the number of unsafe events and focuses on accident prevention based on the concept of safety management. However, as systems become increasingly complex, traditional models face challenges</w:t>
      </w:r>
      <w:r>
        <w:rPr>
          <w:rFonts w:hint="eastAsia"/>
        </w:rPr>
        <w:t>: it is almost impossible to comprehensively predict all potential failures, and a pure reliance on accident causality analysis is no longer applicable. Conversely, Safety-II recognize</w:t>
      </w:r>
      <w:r>
        <w:rPr>
          <w:rFonts w:hint="eastAsia"/>
          <w:color w:val="000000" w:themeColor="text1"/>
          <w14:textFill>
            <w14:solidFill>
              <w14:schemeClr w14:val="tx1"/>
            </w14:solidFill>
          </w14:textFill>
        </w:rPr>
        <w:t>s that systems are composed of highly complex activities that may change before their operational processes are described (Merandi et al., 2018). Safety-II complements Safety-I, it defines safety as "ensuring that everything goes right" and emphasizes the ability to succeed under different conditions defined in resilience engineering (van der Beek et al., 2015). The Safety-II perspective emphasizes that safety management needs to balance passive and active strategies, not only learning from accidents and failures but also encouraging proactive safety activities. This way, safety management can more effectively respond to complex and changing environments (Fan et al., 2022).  Although the application of the resilience concept differs across disciplines, its three key characteristics are widely recognized and provide a foundation for assessing and quantifying resilient systems. System resilience is a fundamental attribute of system safety, and studying resilience is a crucial path to comprehensively understanding the safety-related attributes of complex systems(Wang et al. 2023).</w:t>
      </w:r>
    </w:p>
    <w:p w14:paraId="5B7A5764">
      <w:pPr>
        <w:pStyle w:val="98"/>
      </w:pPr>
      <w:r>
        <w:rPr>
          <w:rFonts w:hint="eastAsia"/>
        </w:rPr>
        <w:t>Application of DBN in maritime traffic resilience assessment</w:t>
      </w:r>
    </w:p>
    <w:p w14:paraId="7F7787B8">
      <w:pPr>
        <w:pStyle w:val="5"/>
      </w:pPr>
      <w:r>
        <w:rPr>
          <w:rFonts w:hint="eastAsia"/>
        </w:rPr>
        <w:t>Quantitative assessment of traffic toughness with the help of mathematical modeling and simulation has becom</w:t>
      </w:r>
      <w:r>
        <w:rPr>
          <w:rFonts w:hint="eastAsia"/>
          <w:color w:val="000000" w:themeColor="text1"/>
          <w14:textFill>
            <w14:solidFill>
              <w14:schemeClr w14:val="tx1"/>
            </w14:solidFill>
          </w14:textFill>
        </w:rPr>
        <w:t>e a hot spot in research. For example, complex network theory is used to analyze the topology and anti-interference ability of the traffic network, and the toughness performance of the system is evaluated by simulating the traffic operation under different scenarios. LNGFV as a complex technological and societal system, the resilience can be quantitatively assessed. According to existing research literature, DBN is currently the mainstream technology for assessing the resilience of various complex systems and has been validated. (Yodo et al., 2017) By applying DBN to enhance the system's ability to withstand uncertainties and potential adverse operational environments, the resilience of typical complex systems is analyzed. (Cai et al., 2018) By considering time-dependent characteristics for system resilience assessment, the advantages of DBN have been further developed. Engineering systems have become a hot topic in discussions on DBN resilience assessment, as referenced in (Tong et al., 2020;Cai et al., 2021).</w:t>
      </w:r>
      <w:r>
        <w:rPr>
          <w:color w:val="000000" w:themeColor="text1"/>
          <w14:textFill>
            <w14:solidFill>
              <w14:schemeClr w14:val="tx1"/>
            </w14:solidFill>
          </w14:textFill>
        </w:rPr>
        <w:t xml:space="preserv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ADDIN EN.CITE &lt;EndNote&gt;&lt;Cite&gt;&lt;Author&gt;Vairo&lt;/Author&gt;&lt;Year&gt;2021&lt;/Year&gt;&lt;RecNum&gt;343&lt;/RecNum&gt;&lt;DisplayText&gt;(Vairo et al., 2021)&lt;/DisplayText&gt;&lt;record&gt;&lt;rec-number&gt;343&lt;/rec-number&gt;&lt;foreign-keys&gt;&lt;key app="EN" db-id="fs2ptrzzgr09tle9pxspe0seww9dttpr0pzd" timestamp="1739691455"&gt;343&lt;/key&gt;&lt;/foreign-keys&gt;&lt;ref-type name="Journal Article"&gt;17&lt;/ref-type&gt;&lt;contributors&gt;&lt;authors&gt;&lt;author&gt;Vairo, T.&lt;/author&gt;&lt;author&gt;Gualeni, P.&lt;/author&gt;&lt;author&gt;Reverberi, A. P.&lt;/author&gt;&lt;author&gt;Fabiano, B.&lt;/author&gt;&lt;/authors&gt;&lt;/contributors&gt;&lt;titles&gt;&lt;title&gt;Resilience Dynamic Assessment Based on Precursor Events: Application to Ship LNG Bunkering Operations&lt;/title&gt;&lt;secondary-title&gt;Sustainability&lt;/secondary-title&gt;&lt;/titles&gt;&lt;periodical&gt;&lt;full-title&gt;Sustainability&lt;/full-title&gt;&lt;/periodical&gt;&lt;volume&gt;13&lt;/volume&gt;&lt;number&gt;12&lt;/number&gt;&lt;dates&gt;&lt;year&gt;2021&lt;/year&gt;&lt;pub-dates&gt;&lt;date&gt;Jun&lt;/date&gt;&lt;/pub-dates&gt;&lt;/dates&gt;&lt;accession-num&gt;WOS:000666338200001&lt;/accession-num&gt;&lt;urls&gt;&lt;related-urls&gt;&lt;url&gt;&amp;lt;Go to ISI&amp;gt;://WOS:000666338200001&lt;/url&gt;&lt;/related-urls&gt;&lt;/urls&gt;&lt;custom7&gt;6836&lt;/custom7&gt;&lt;electronic-resource-num&gt;10.3390/su13126836&lt;/electronic-resource-num&gt;&lt;/record&gt;&lt;/Cite&gt;&lt;/EndNote&gt;</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w:t>
      </w:r>
      <w:r>
        <w:rPr>
          <w:rFonts w:hint="eastAsia" w:ascii="Arial" w:hAnsi="Arial"/>
          <w:color w:val="000000" w:themeColor="text1"/>
          <w14:textFill>
            <w14:solidFill>
              <w14:schemeClr w14:val="tx1"/>
            </w14:solidFill>
          </w14:textFill>
        </w:rPr>
        <w:t>Vairo et al., 2021</w:t>
      </w:r>
      <w:r>
        <w:rPr>
          <w:color w:val="000000" w:themeColor="text1"/>
          <w14:textFill>
            <w14:solidFill>
              <w14:schemeClr w14:val="tx1"/>
            </w14:solidFill>
          </w14:textFill>
        </w:rPr>
        <w:t>)</w:t>
      </w:r>
      <w:r>
        <w:rPr>
          <w:color w:val="000000" w:themeColor="text1"/>
          <w14:textFill>
            <w14:solidFill>
              <w14:schemeClr w14:val="tx1"/>
            </w14:solidFill>
          </w14:textFill>
        </w:rPr>
        <w:fldChar w:fldCharType="end"/>
      </w:r>
      <w:r>
        <w:rPr>
          <w:rFonts w:hint="eastAsia" w:eastAsia="宋体"/>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develops a resilience framework using Bayesian inference and MCMC simulations to assess the safety of LNG bunkering processes</w:t>
      </w:r>
      <w:r>
        <w:rPr>
          <w:rFonts w:hint="eastAsia" w:eastAsia="宋体"/>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 xml:space="preserve"> Additionally, DBN-based resilience assessment is also applicable to maritime-related infrastructure, which is crucial for the safe operation of maritime systems. In vessel’s networks, ports are widely regarded as critical nodes, and their resilience has been studied from different perspectives using probabilistic DBN models. (John et al., 2016) Studied the resilience of seaport systems against disruptions and quantified the comprehensive resilience of deep-sea ports (Hosseini et al., 2016) and river ports (Hossain et al., 2019) by applying DBN. Furthermore, (Qiao et al., 2021) simulated Arctic traffic routes using fuzzy DBN for quantitative resilience analysis.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ADDIN EN.CITE &lt;EndNote&gt;&lt;Cite&gt;&lt;Author&gt;Li&lt;/Author&gt;&lt;Year&gt;2022&lt;/Year&gt;&lt;RecNum&gt;344&lt;/RecNum&gt;&lt;DisplayText&gt;(Li et al., 2022)&lt;/DisplayText&gt;&lt;record&gt;&lt;rec-number&gt;344&lt;/rec-number&gt;&lt;foreign-keys&gt;&lt;key app="EN" db-id="fs2ptrzzgr09tle9pxspe0seww9dttpr0pzd" timestamp="1739691564"&gt;344&lt;/key&gt;&lt;/foreign-keys&gt;&lt;ref-type name="Journal Article"&gt;17&lt;/ref-type&gt;&lt;contributors&gt;&lt;authors&gt;&lt;author&gt;Li, Z.&lt;/author&gt;&lt;author&gt;Hu, S. P.&lt;/author&gt;&lt;author&gt;Zhu, X. M.&lt;/author&gt;&lt;author&gt;Gao, G. P.&lt;/author&gt;&lt;author&gt;Yao, C. Y.&lt;/author&gt;&lt;author&gt;Han, B.&lt;/author&gt;&lt;/authors&gt;&lt;/contributors&gt;&lt;titles&gt;&lt;title&gt;Using DBN and evidence-based reasoning to develop a risk performance model to interfere ship navigation process safety in Arctic waters&lt;/title&gt;&lt;secondary-title&gt;Process Safety and Environmental Protection&lt;/secondary-title&gt;&lt;/titles&gt;&lt;periodical&gt;&lt;full-title&gt;Process Safety and Environmental Protection&lt;/full-title&gt;&lt;/periodical&gt;&lt;pages&gt;357-372&lt;/pages&gt;&lt;volume&gt;162&lt;/volume&gt;&lt;dates&gt;&lt;year&gt;2022&lt;/year&gt;&lt;pub-dates&gt;&lt;date&gt;Jun&lt;/date&gt;&lt;/pub-dates&gt;&lt;/dates&gt;&lt;isbn&gt;0957-5820&lt;/isbn&gt;&lt;accession-num&gt;WOS:000803858200001&lt;/accession-num&gt;&lt;urls&gt;&lt;related-urls&gt;&lt;url&gt;&amp;lt;Go to ISI&amp;gt;://WOS:000803858200001&lt;/url&gt;&lt;/related-urls&gt;&lt;/urls&gt;&lt;electronic-resource-num&gt;10.1016/j.psep.2022.03.089&lt;/electronic-resource-num&gt;&lt;/record&gt;&lt;/Cite&gt;&lt;/EndNote&gt;</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(Li et al., 2022)</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proposes a DBN-based risk reasoning strategy for LNG ships in Arctic waters, integrating multi-source data and D-S evidence theory, validated by identifying key risks like icebergs and reefs.The interconnectivity of seaports has led to the development of supply chains, and their resilience assessment is also a hot issue, with (Ojha et al., 2018) and (Hosseini et al., 2022) using DBN to study it from the perspectives of risk propagation and disruption mitigation, respectively. Based on the abov</w:t>
      </w:r>
      <w:r>
        <w:rPr>
          <w:rFonts w:hint="eastAsia"/>
        </w:rPr>
        <w:t>e studies, this study selects DBN as the tool for resilience assessment of LNGFV.</w:t>
      </w:r>
    </w:p>
    <w:p w14:paraId="279E895E">
      <w:pPr>
        <w:pStyle w:val="4"/>
      </w:pPr>
      <w:r>
        <w:rPr>
          <w:rFonts w:hint="eastAsia" w:eastAsia="宋体"/>
          <w:lang w:eastAsia="zh-CN"/>
        </w:rPr>
        <w:t>M</w:t>
      </w:r>
      <w:r>
        <w:rPr>
          <w:rFonts w:hint="eastAsia"/>
        </w:rPr>
        <w:t>ethodology</w:t>
      </w:r>
    </w:p>
    <w:p w14:paraId="0808A7CE">
      <w:pPr>
        <w:pStyle w:val="98"/>
      </w:pPr>
      <w:r>
        <w:rPr>
          <w:rFonts w:hint="eastAsia"/>
        </w:rPr>
        <w:t>Traffic resilience for LNGFV system</w:t>
      </w:r>
    </w:p>
    <w:p w14:paraId="4F1A3658">
      <w:pPr>
        <w:textAlignment w:val="center"/>
      </w:pPr>
      <w:r>
        <w:rPr>
          <w:rFonts w:hint="eastAsia"/>
        </w:rPr>
        <w:t>According to the mathematical statement of the Maritime traffic resilience,the traffic resilience of LNGFV can be described as a comprehensive manifestation of the vessel's exposure to constantly changing external environment, the sensitivity issues arising from LNG fuel and involving its related fuel protection equipment, the adaptability of the vessel's subsystems to internal and external changes, as well as its emergency response status and self-recovery capabilities after being impacted.</w:t>
      </w:r>
    </w:p>
    <w:p w14:paraId="3BA3A3C3">
      <w:pPr>
        <w:textAlignment w:val="center"/>
        <w:rPr>
          <w:rFonts w:ascii="Times New Roman" w:hAnsi="Times New Roman"/>
          <w:b/>
          <w:bCs/>
          <w:position w:val="-78"/>
        </w:rPr>
      </w:pPr>
      <w:r>
        <w:rPr>
          <w:rFonts w:hint="eastAsia"/>
        </w:rPr>
        <w:t xml:space="preserve">The analysis of traffic resilience for LNGFV requires a description of the exposure,sensitivity, adaptability, and recoverability of the components of the maritime traffic system. Exposure focuses on the uncertain navigation surrounding conditions in which the vessel subsystem and LNG subsystem are located. Sensitivity primarily concerns the operational status of LNG fuel protection equipment. Adaptability addresses the state of the vessel under the combined influence of external environmental conditions and internal LNG fuel. The traffic resilience of LNGFV is the result of the combined and interactive effects of exposure factors to external environment, LNG sensitivity factors, vessel adaptability factors, and recovery factors.In summary, LNG traffic resilience is the comprehensive manifestation of the interaction among these four dimensions. By quantitatively analyzing the changes in the safety status of vessels under these four dimensions during traffic, the traffic system resilience can be assessed. </w:t>
      </w:r>
    </w:p>
    <w:p w14:paraId="0FCE48DC">
      <w:pPr>
        <w:pStyle w:val="98"/>
      </w:pPr>
      <w:r>
        <w:rPr>
          <w:rFonts w:hint="eastAsia"/>
        </w:rPr>
        <w:t>Model</w:t>
      </w:r>
    </w:p>
    <w:p w14:paraId="77CDCB4D">
      <w:pPr>
        <w:pStyle w:val="5"/>
        <w:rPr>
          <w:b/>
          <w:bCs/>
        </w:rPr>
      </w:pPr>
      <w:r>
        <w:rPr>
          <w:rFonts w:hint="eastAsia"/>
          <w:b/>
          <w:bCs/>
        </w:rPr>
        <w:t>2.2.</w:t>
      </w:r>
      <w:r>
        <w:rPr>
          <w:rFonts w:hint="eastAsia" w:eastAsia="宋体"/>
          <w:b/>
          <w:bCs/>
          <w:lang w:eastAsia="zh-CN"/>
        </w:rPr>
        <w:t>1</w:t>
      </w:r>
      <w:r>
        <w:rPr>
          <w:rFonts w:hint="eastAsia"/>
          <w:b/>
          <w:bCs/>
        </w:rPr>
        <w:t xml:space="preserve"> CAST method</w:t>
      </w:r>
    </w:p>
    <w:p w14:paraId="2CFD4FB2">
      <w:pPr>
        <w:pStyle w:val="5"/>
        <w:rPr>
          <w:color w:val="000000" w:themeColor="text1"/>
          <w14:textFill>
            <w14:solidFill>
              <w14:schemeClr w14:val="tx1"/>
            </w14:solidFill>
          </w14:textFill>
        </w:rPr>
      </w:pPr>
      <w:r>
        <w:rPr>
          <w:rFonts w:hint="eastAsia"/>
        </w:rPr>
        <w:t xml:space="preserve">CAST, a causal analysis method based on system theory, incorporates a system engineering perspective into safety analysis. Starting from the control safety structure, it comprehensively considers the interactions among social, human, and design factors, believing that accidents are caused by the cumulative behavioral effects of unsafe states of risk factors. </w:t>
      </w:r>
      <w:r>
        <w:rPr>
          <w:rFonts w:hint="eastAsia"/>
          <w:color w:val="000000" w:themeColor="text1"/>
          <w14:textFill>
            <w14:solidFill>
              <w14:schemeClr w14:val="tx1"/>
            </w14:solidFill>
          </w14:textFill>
        </w:rPr>
        <w:t>While the safety state of a single factor changes, it also has corresponding varying degrees of impact on other factors (Zhang et al., 2022).</w:t>
      </w:r>
    </w:p>
    <w:p w14:paraId="1B3FF670">
      <w:pPr>
        <w:pStyle w:val="5"/>
        <w:rPr>
          <w:b/>
          <w:bCs/>
        </w:rPr>
      </w:pPr>
      <w:r>
        <w:rPr>
          <w:rFonts w:hint="eastAsia"/>
          <w:b/>
          <w:bCs/>
        </w:rPr>
        <w:t>2.2.</w:t>
      </w:r>
      <w:r>
        <w:rPr>
          <w:rFonts w:hint="eastAsia" w:eastAsia="宋体"/>
          <w:b/>
          <w:bCs/>
          <w:lang w:eastAsia="zh-CN"/>
        </w:rPr>
        <w:t xml:space="preserve">2 </w:t>
      </w:r>
      <w:r>
        <w:rPr>
          <w:rFonts w:hint="eastAsia"/>
          <w:b/>
          <w:bCs/>
        </w:rPr>
        <w:t>Dynamic Bayesian network analysis method</w:t>
      </w:r>
    </w:p>
    <w:p w14:paraId="7FDDE6E6">
      <w:pPr>
        <w:pStyle w:val="5"/>
      </w:pPr>
      <w:r>
        <w:rPr>
          <w:rFonts w:hint="eastAsia"/>
        </w:rPr>
        <w:t>The core theoretical foundation of BN can be illustrated using Equations (</w:t>
      </w:r>
      <w:r>
        <w:rPr>
          <w:rFonts w:hint="eastAsia" w:eastAsia="宋体"/>
          <w:lang w:eastAsia="zh-CN"/>
        </w:rPr>
        <w:t>1</w:t>
      </w:r>
      <w:r>
        <w:rPr>
          <w:rFonts w:hint="eastAsia"/>
        </w:rPr>
        <w:t>) and (</w:t>
      </w:r>
      <w:r>
        <w:rPr>
          <w:rFonts w:hint="eastAsia" w:eastAsia="宋体"/>
          <w:lang w:eastAsia="zh-CN"/>
        </w:rPr>
        <w:t>2</w:t>
      </w:r>
      <w:r>
        <w:rPr>
          <w:rFonts w:hint="eastAsia"/>
        </w:rPr>
        <w:t>). Equation (</w:t>
      </w:r>
      <w:r>
        <w:rPr>
          <w:rFonts w:hint="eastAsia" w:eastAsia="宋体"/>
          <w:lang w:eastAsia="zh-CN"/>
        </w:rPr>
        <w:t>1</w:t>
      </w:r>
      <w:r>
        <w:rPr>
          <w:rFonts w:hint="eastAsia"/>
        </w:rPr>
        <w:t>) is Bayes' formula, used to describe the relationships between two conditional probabilities and to obtain the posterior probability of any node. Based on Bayes' formula, when new evidence is obtained for a parent node, the probabilities of intermediate and child nodes can also be updated. Equation (</w:t>
      </w:r>
      <w:r>
        <w:rPr>
          <w:rFonts w:hint="eastAsia" w:eastAsia="宋体"/>
          <w:lang w:eastAsia="zh-CN"/>
        </w:rPr>
        <w:t>2</w:t>
      </w:r>
      <w:r>
        <w:rPr>
          <w:rFonts w:hint="eastAsia"/>
        </w:rPr>
        <w:t>) is derived from the total probability formula and represents the multivariate joint probability distribution.</w:t>
      </w:r>
    </w:p>
    <w:p w14:paraId="7EEFF8F1">
      <w:pPr>
        <w:pStyle w:val="155"/>
        <w:rPr>
          <w:rFonts w:ascii="Times New Roman" w:hAnsi="Times New Roman" w:eastAsiaTheme="minorEastAsia"/>
          <w:lang w:val="en-US" w:eastAsia="zh-CN"/>
        </w:rPr>
      </w:pPr>
      <w:r>
        <w:rPr>
          <w:rFonts w:hint="eastAsia"/>
          <w:lang w:val="it-IT" w:eastAsia="zh-CN"/>
        </w:rPr>
        <w:object>
          <v:shape id="_x0000_i1025" o:spt="75" type="#_x0000_t75" style="height:24.45pt;width:85.6pt;" o:ole="t" filled="f" o:preferrelative="t" stroked="f" coordsize="21600,21600">
            <v:path/>
            <v:fill on="f" focussize="0,0"/>
            <v:stroke on="f" joinstyle="miter"/>
            <v:imagedata r:id="rId9" o:title=""/>
            <o:lock v:ext="edit" aspectratio="t"/>
            <w10:wrap type="none"/>
            <w10:anchorlock/>
          </v:shape>
          <o:OLEObject Type="Embed" ProgID="Equation.KSEE3" ShapeID="_x0000_i1025" DrawAspect="Content" ObjectID="_1468075725" r:id="rId8">
            <o:LockedField>false</o:LockedField>
          </o:OLEObject>
        </w:object>
      </w:r>
      <w:r>
        <w:rPr>
          <w:rFonts w:hint="eastAsia"/>
          <w:lang w:val="en-US" w:eastAsia="zh-CN"/>
        </w:rPr>
        <w:t xml:space="preserve">                                                                                                                                        </w:t>
      </w:r>
      <w:r>
        <w:rPr>
          <w:rFonts w:hint="eastAsia" w:ascii="Times New Roman" w:hAnsi="Times New Roman"/>
          <w:lang w:val="en-US" w:eastAsia="zh-CN"/>
        </w:rPr>
        <w:t xml:space="preserve">(1)  </w:t>
      </w:r>
    </w:p>
    <w:p w14:paraId="572E2B43">
      <w:pPr>
        <w:jc w:val="left"/>
        <w:textAlignment w:val="center"/>
        <w:rPr>
          <w:rFonts w:ascii="Times New Roman" w:hAnsi="Times New Roman" w:eastAsiaTheme="minorEastAsia"/>
          <w:lang w:val="en-US" w:eastAsia="zh-CN"/>
        </w:rPr>
      </w:pPr>
      <w:r>
        <w:rPr>
          <w:rFonts w:hint="eastAsia" w:ascii="Times New Roman" w:hAnsi="Times New Roman" w:eastAsiaTheme="minorEastAsia"/>
          <w:position w:val="-16"/>
          <w:lang w:eastAsia="zh-CN"/>
        </w:rPr>
        <w:object>
          <v:shape id="_x0000_i1026" o:spt="75" type="#_x0000_t75" style="height:18.35pt;width:150.8pt;" o:ole="t" filled="f" o:preferrelative="t" stroked="f" coordsize="21600,21600">
            <v:path/>
            <v:fill on="f" focussize="0,0"/>
            <v:stroke on="f" joinstyle="miter"/>
            <v:imagedata r:id="rId11" o:title=""/>
            <o:lock v:ext="edit" aspectratio="t"/>
            <w10:wrap type="none"/>
            <w10:anchorlock/>
          </v:shape>
          <o:OLEObject Type="Embed" ProgID="Equation.KSEE3" ShapeID="_x0000_i1026" DrawAspect="Content" ObjectID="_1468075726" r:id="rId10">
            <o:LockedField>false</o:LockedField>
          </o:OLEObject>
        </w:object>
      </w:r>
      <w:r>
        <w:rPr>
          <w:rFonts w:hint="eastAsia" w:ascii="Times New Roman" w:hAnsi="Times New Roman" w:eastAsiaTheme="minorEastAsia"/>
          <w:position w:val="-16"/>
          <w:lang w:val="en-US" w:eastAsia="zh-CN"/>
        </w:rPr>
        <w:t xml:space="preserve">                                                                                                                          (2)</w:t>
      </w:r>
    </w:p>
    <w:p w14:paraId="213E90F8">
      <w:pPr>
        <w:textAlignment w:val="center"/>
      </w:pPr>
      <w:r>
        <w:rPr>
          <w:rFonts w:hint="eastAsia"/>
        </w:rPr>
        <w:t>Where: P(X/Y) and P(Y/X) represent the posterior probabilities of variables X and Y (i.e., the conditional probabilities of X or Y given the occurrence of Y or X); P(X) and P(Y) represent the prior probabilities of variables X and Y; P(X1, X2, ..., Xn) represents the joint probability of multiple variables; and Pa(Xi) denotes the parent node of variable Xi.</w:t>
      </w:r>
    </w:p>
    <w:p w14:paraId="784C3595">
      <w:pPr>
        <w:textAlignment w:val="center"/>
      </w:pPr>
      <w:r>
        <w:rPr>
          <w:rFonts w:hint="eastAsia"/>
        </w:rPr>
        <w:t>Unlike static BN, traditional DBN consider Markov chain processes across time dimensions. By accounting for the uncertainty and variability of nodes over time, BN are extended into DBN with a time dimension to explicitly simulate system dynamics based on Markov processes. Therefore, the formula for DBN considering the time dimension is as follows:</w:t>
      </w:r>
    </w:p>
    <w:p w14:paraId="1EB09DE0">
      <w:pPr>
        <w:jc w:val="left"/>
        <w:textAlignment w:val="center"/>
        <w:rPr>
          <w:lang w:val="en-US"/>
        </w:rPr>
      </w:pPr>
      <w:r>
        <w:rPr>
          <w:rFonts w:hint="eastAsia" w:ascii="Times New Roman" w:hAnsi="Times New Roman" w:eastAsiaTheme="minorEastAsia"/>
          <w:position w:val="-16"/>
          <w:lang w:eastAsia="zh-CN"/>
        </w:rPr>
        <w:object>
          <v:shape id="_x0000_i1027" o:spt="75" type="#_x0000_t75" style="height:19pt;width:264.9pt;" o:ole="t" filled="f" o:preferrelative="t" stroked="f" coordsize="21600,21600">
            <v:path/>
            <v:fill on="f" focussize="0,0"/>
            <v:stroke on="f" joinstyle="miter"/>
            <v:imagedata r:id="rId13" o:title=""/>
            <o:lock v:ext="edit" aspectratio="t"/>
            <w10:wrap type="none"/>
            <w10:anchorlock/>
          </v:shape>
          <o:OLEObject Type="Embed" ProgID="Equation.KSEE3" ShapeID="_x0000_i1027" DrawAspect="Content" ObjectID="_1468075727" r:id="rId12">
            <o:LockedField>false</o:LockedField>
          </o:OLEObject>
        </w:object>
      </w:r>
      <w:r>
        <w:rPr>
          <w:rFonts w:hint="eastAsia" w:ascii="Times New Roman" w:hAnsi="Times New Roman" w:eastAsiaTheme="minorEastAsia"/>
          <w:position w:val="-16"/>
          <w:lang w:val="en-US" w:eastAsia="zh-CN"/>
        </w:rPr>
        <w:t xml:space="preserve">                                                                       (3)</w:t>
      </w:r>
    </w:p>
    <w:p w14:paraId="78A560E1">
      <w:pPr>
        <w:textAlignment w:val="center"/>
        <w:rPr>
          <w:color w:val="auto"/>
        </w:rPr>
      </w:pPr>
      <w:r>
        <w:rPr>
          <w:rFonts w:hint="eastAsia"/>
        </w:rPr>
        <w:t xml:space="preserve">However, for complex systems, there often exists the issue of unmeasurable parameters for some nodes, and traditional DBN have limitations in addressing this problem. In view of this, this study introduces the HMM method to improve the inference process of DBN. Assuming that the states of child nodes in the DBN are divided into four levels: S1, S2, S3, and S4, with n observable factors denoted as O1, O2, ..., and On, the markov transition process of the HMM-improved DBN is illustrated in </w:t>
      </w:r>
      <w:r>
        <w:rPr>
          <w:rFonts w:hint="eastAsia"/>
          <w:color w:val="auto"/>
        </w:rPr>
        <w:t xml:space="preserve">Figure </w:t>
      </w:r>
      <w:r>
        <w:rPr>
          <w:rFonts w:hint="eastAsia" w:eastAsia="宋体"/>
          <w:color w:val="auto"/>
          <w:lang w:val="en-US" w:eastAsia="zh-CN"/>
        </w:rPr>
        <w:t>1</w:t>
      </w:r>
      <w:r>
        <w:rPr>
          <w:rFonts w:hint="eastAsia"/>
          <w:color w:val="auto"/>
        </w:rPr>
        <w:t>.</w:t>
      </w:r>
    </w:p>
    <w:p w14:paraId="7B829504">
      <w:pPr>
        <w:jc w:val="left"/>
        <w:textAlignment w:val="center"/>
      </w:pPr>
      <w:r>
        <w:rPr>
          <w:rFonts w:hint="eastAsia" w:ascii="Times New Roman" w:hAnsi="Times New Roman" w:eastAsia="宋体"/>
          <w:szCs w:val="21"/>
        </w:rPr>
        <w:object>
          <v:shape id="_x0000_i1028" o:spt="75" type="#_x0000_t75" style="height:129.75pt;width:247.25pt;" o:ole="t" filled="f" o:preferrelative="t" stroked="f" coordsize="21600,21600">
            <v:path/>
            <v:fill on="f" focussize="0,0"/>
            <v:stroke on="f" joinstyle="miter"/>
            <v:imagedata r:id="rId15" o:title=""/>
            <o:lock v:ext="edit" aspectratio="f"/>
            <w10:wrap type="none"/>
            <w10:anchorlock/>
          </v:shape>
          <o:OLEObject Type="Embed" ProgID="Visio.Drawing.15" ShapeID="_x0000_i1028" DrawAspect="Content" ObjectID="_1468075728" r:id="rId14">
            <o:LockedField>false</o:LockedField>
          </o:OLEObject>
        </w:object>
      </w:r>
    </w:p>
    <w:p w14:paraId="5B9BAF44">
      <w:pPr>
        <w:pStyle w:val="102"/>
        <w:rPr>
          <w:rStyle w:val="104"/>
          <w:i/>
        </w:rPr>
      </w:pPr>
      <w:r>
        <w:rPr>
          <w:rStyle w:val="104"/>
          <w:i/>
        </w:rPr>
        <w:t>Figure 1:</w:t>
      </w:r>
      <w:r>
        <w:rPr>
          <w:rStyle w:val="104"/>
          <w:rFonts w:hint="eastAsia"/>
          <w:i/>
        </w:rPr>
        <w:t xml:space="preserve">  Markov transition process of HMM-Improved DBN</w:t>
      </w:r>
    </w:p>
    <w:p w14:paraId="7E9FA46F">
      <w:pPr>
        <w:pStyle w:val="98"/>
        <w:numPr>
          <w:ilvl w:val="2"/>
          <w:numId w:val="0"/>
        </w:numPr>
      </w:pPr>
      <w:r>
        <w:rPr>
          <w:rFonts w:hint="eastAsia" w:eastAsia="宋体"/>
          <w:lang w:eastAsia="zh-CN"/>
        </w:rPr>
        <w:t>3 Case study</w:t>
      </w:r>
      <w:r>
        <w:rPr>
          <w:rFonts w:hint="eastAsia"/>
        </w:rPr>
        <w:t xml:space="preserve"> </w:t>
      </w:r>
    </w:p>
    <w:p w14:paraId="7B79EC19">
      <w:pPr>
        <w:pStyle w:val="98"/>
        <w:numPr>
          <w:ilvl w:val="2"/>
          <w:numId w:val="0"/>
        </w:numPr>
      </w:pPr>
      <w:r>
        <w:rPr>
          <w:rFonts w:hint="eastAsia"/>
        </w:rPr>
        <w:t>3.</w:t>
      </w:r>
      <w:r>
        <w:rPr>
          <w:rFonts w:hint="eastAsia" w:eastAsia="宋体"/>
          <w:lang w:eastAsia="zh-CN"/>
        </w:rPr>
        <w:t>1</w:t>
      </w:r>
      <w:r>
        <w:rPr>
          <w:rFonts w:hint="eastAsia"/>
        </w:rPr>
        <w:t xml:space="preserve"> Application of the defined model</w:t>
      </w:r>
    </w:p>
    <w:p w14:paraId="0F6379B7">
      <w:pPr>
        <w:rPr>
          <w:b/>
          <w:bCs/>
          <w:lang w:val="en-US"/>
        </w:rPr>
      </w:pPr>
      <w:r>
        <w:rPr>
          <w:rFonts w:hint="eastAsia"/>
          <w:b/>
          <w:bCs/>
          <w:lang w:val="en-US"/>
        </w:rPr>
        <w:t>3.</w:t>
      </w:r>
      <w:r>
        <w:rPr>
          <w:rFonts w:hint="eastAsia" w:eastAsia="宋体"/>
          <w:b/>
          <w:bCs/>
          <w:lang w:val="en-US" w:eastAsia="zh-CN"/>
        </w:rPr>
        <w:t>1</w:t>
      </w:r>
      <w:r>
        <w:rPr>
          <w:rFonts w:hint="eastAsia"/>
          <w:b/>
          <w:bCs/>
          <w:lang w:val="en-US"/>
        </w:rPr>
        <w:t>.</w:t>
      </w:r>
      <w:r>
        <w:rPr>
          <w:rFonts w:hint="eastAsia" w:eastAsia="宋体"/>
          <w:b/>
          <w:bCs/>
          <w:lang w:val="en-US" w:eastAsia="zh-CN"/>
        </w:rPr>
        <w:t>1</w:t>
      </w:r>
      <w:r>
        <w:rPr>
          <w:rFonts w:hint="eastAsia"/>
          <w:b/>
          <w:bCs/>
          <w:lang w:val="en-US"/>
        </w:rPr>
        <w:t xml:space="preserve"> Establishing an evaluation index system for LNGFV traffic resilience</w:t>
      </w:r>
    </w:p>
    <w:p w14:paraId="7641140E">
      <w:pPr>
        <w:rPr>
          <w:lang w:val="en-US"/>
        </w:rPr>
      </w:pPr>
      <w:r>
        <w:rPr>
          <w:rFonts w:hint="eastAsia"/>
          <w:lang w:val="en-US"/>
        </w:rPr>
        <w:t xml:space="preserve">The resilience of LNGFV navigation is disturbed by various factors. The CAST method conducts a layer-by-layer analysis of the system from the physical layer to higher management layer. Additionally, combining resilience theory, resilience attributes such as adaptability, sensitivity, exposure, and recoverability are integrated into the CAST model. Based on the CAST method, a comprehensive analysis of the safety control structure of the LNGFV traffic system is conducted. Through the analysis results, the key causes of system accidents are identified, with a focus on analyzing the representation and determining metrics for LNGFV traffic resilience. Subsequently, an evaluation index system for LNGFV traffic resilience is proposed, as shown in </w:t>
      </w:r>
      <w:r>
        <w:rPr>
          <w:rFonts w:hint="eastAsia"/>
          <w:color w:val="0000FF"/>
          <w:lang w:val="en-US"/>
        </w:rPr>
        <w:t xml:space="preserve">Table </w:t>
      </w:r>
      <w:r>
        <w:rPr>
          <w:rFonts w:hint="eastAsia"/>
          <w:color w:val="0000FF"/>
          <w:lang w:val="en-US" w:eastAsia="zh-CN"/>
        </w:rPr>
        <w:t>2</w:t>
      </w:r>
      <w:r>
        <w:rPr>
          <w:rFonts w:hint="eastAsia"/>
          <w:lang w:val="en-US"/>
        </w:rPr>
        <w:t>.</w:t>
      </w:r>
    </w:p>
    <w:p w14:paraId="39AB4E3A">
      <w:pPr>
        <w:pStyle w:val="153"/>
        <w:rPr>
          <w:lang w:val="en-US"/>
        </w:rPr>
      </w:pPr>
      <w:r>
        <w:t xml:space="preserve">Table </w:t>
      </w:r>
      <w:r>
        <w:rPr>
          <w:rFonts w:hint="eastAsia" w:eastAsia="宋体"/>
          <w:lang w:val="en-US" w:eastAsia="zh-CN"/>
        </w:rPr>
        <w:t>2</w:t>
      </w:r>
      <w:r>
        <w:t xml:space="preserve">: </w:t>
      </w:r>
      <w:r>
        <w:rPr>
          <w:rFonts w:hint="eastAsia"/>
        </w:rPr>
        <w:t>Evaluation index system for LNGFV traffic resilience</w:t>
      </w:r>
    </w:p>
    <w:tbl>
      <w:tblPr>
        <w:tblStyle w:val="89"/>
        <w:tblW w:w="9019" w:type="dxa"/>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73"/>
        <w:gridCol w:w="1883"/>
        <w:gridCol w:w="4963"/>
      </w:tblGrid>
      <w:tr w14:paraId="38598517">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21" w:hRule="atLeast"/>
          <w:jc w:val="center"/>
        </w:trPr>
        <w:tc>
          <w:tcPr>
            <w:tcW w:w="2173" w:type="dxa"/>
            <w:tcBorders>
              <w:bottom w:val="single" w:color="000000" w:sz="4" w:space="0"/>
            </w:tcBorders>
            <w:shd w:val="clear" w:color="auto" w:fill="FFFFFF"/>
            <w:vAlign w:val="center"/>
          </w:tcPr>
          <w:p w14:paraId="7BE4EBB2">
            <w:r>
              <w:rPr>
                <w:rFonts w:hint="eastAsia"/>
              </w:rPr>
              <w:t>Target system</w:t>
            </w:r>
          </w:p>
        </w:tc>
        <w:tc>
          <w:tcPr>
            <w:tcW w:w="1883" w:type="dxa"/>
            <w:tcBorders>
              <w:bottom w:val="single" w:color="000000" w:sz="4" w:space="0"/>
            </w:tcBorders>
            <w:shd w:val="clear" w:color="auto" w:fill="FFFFFF"/>
            <w:vAlign w:val="center"/>
          </w:tcPr>
          <w:p w14:paraId="183309B2">
            <w:r>
              <w:rPr>
                <w:rFonts w:hint="eastAsia"/>
              </w:rPr>
              <w:t>Resilience attribute</w:t>
            </w:r>
          </w:p>
        </w:tc>
        <w:tc>
          <w:tcPr>
            <w:tcW w:w="4963" w:type="dxa"/>
            <w:tcBorders>
              <w:bottom w:val="single" w:color="000000" w:sz="4" w:space="0"/>
            </w:tcBorders>
            <w:shd w:val="clear" w:color="auto" w:fill="FFFFFF"/>
            <w:vAlign w:val="center"/>
          </w:tcPr>
          <w:p w14:paraId="7907B938">
            <w:r>
              <w:rPr>
                <w:rFonts w:hint="eastAsia"/>
              </w:rPr>
              <w:t>Influencing factors</w:t>
            </w:r>
          </w:p>
        </w:tc>
      </w:tr>
      <w:tr w14:paraId="4B5033D9">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2173" w:type="dxa"/>
            <w:vMerge w:val="restart"/>
            <w:tcBorders>
              <w:top w:val="single" w:color="000000" w:sz="4" w:space="0"/>
              <w:bottom w:val="nil"/>
            </w:tcBorders>
            <w:shd w:val="clear" w:color="auto" w:fill="FFFFFF"/>
            <w:vAlign w:val="center"/>
          </w:tcPr>
          <w:p w14:paraId="5D53A4FC">
            <w:bookmarkStart w:id="2" w:name="_GoBack"/>
            <w:bookmarkEnd w:id="2"/>
          </w:p>
          <w:p w14:paraId="6CED4B62"/>
          <w:p w14:paraId="6671E7C2"/>
          <w:p w14:paraId="3AD4F2BD"/>
          <w:p w14:paraId="167120C4"/>
          <w:p w14:paraId="0D02CC75"/>
          <w:p w14:paraId="3F6A6265"/>
          <w:p w14:paraId="6F4D97E0"/>
          <w:p w14:paraId="0EC86EC1"/>
          <w:p w14:paraId="3A4D97B0"/>
          <w:p w14:paraId="4DC10FE8"/>
          <w:p w14:paraId="028C1060"/>
          <w:p w14:paraId="525CE53A"/>
          <w:p w14:paraId="50D2BE4F"/>
          <w:p w14:paraId="3FDBBE2E"/>
          <w:p w14:paraId="6C1BD09C">
            <w:r>
              <w:rPr>
                <w:rFonts w:hint="eastAsia"/>
              </w:rPr>
              <w:t>LNGFV</w:t>
            </w:r>
          </w:p>
          <w:p w14:paraId="021EF214">
            <w:pPr>
              <w:rPr>
                <w:lang w:eastAsia="zh-CN"/>
              </w:rPr>
            </w:pPr>
            <w:r>
              <w:rPr>
                <w:rFonts w:hint="eastAsia"/>
                <w:lang w:eastAsia="zh-CN"/>
              </w:rPr>
              <w:t>traffic resilience</w:t>
            </w:r>
          </w:p>
        </w:tc>
        <w:tc>
          <w:tcPr>
            <w:tcW w:w="1883" w:type="dxa"/>
            <w:vMerge w:val="restart"/>
            <w:tcBorders>
              <w:top w:val="single" w:color="000000" w:sz="4" w:space="0"/>
              <w:bottom w:val="nil"/>
            </w:tcBorders>
            <w:shd w:val="clear" w:color="auto" w:fill="FFFFFF"/>
            <w:vAlign w:val="center"/>
          </w:tcPr>
          <w:p w14:paraId="7839910D"/>
          <w:p w14:paraId="537E8ADF">
            <w:r>
              <w:rPr>
                <w:rFonts w:hint="eastAsia"/>
              </w:rPr>
              <w:t>Adaptability factors</w:t>
            </w:r>
          </w:p>
        </w:tc>
        <w:tc>
          <w:tcPr>
            <w:tcW w:w="4963" w:type="dxa"/>
            <w:tcBorders>
              <w:top w:val="single" w:color="000000" w:sz="4" w:space="0"/>
              <w:tl2br w:val="nil"/>
              <w:tr2bl w:val="nil"/>
            </w:tcBorders>
            <w:shd w:val="clear" w:color="auto" w:fill="FFFFFF"/>
            <w:vAlign w:val="center"/>
          </w:tcPr>
          <w:p w14:paraId="38A27430">
            <w:r>
              <w:rPr>
                <w:rFonts w:hint="eastAsia"/>
                <w:lang w:eastAsia="zh-CN"/>
              </w:rPr>
              <w:t>Vessel</w:t>
            </w:r>
            <w:r>
              <w:rPr>
                <w:rFonts w:hint="eastAsia"/>
              </w:rPr>
              <w:t xml:space="preserve"> communication system (X1)</w:t>
            </w:r>
          </w:p>
        </w:tc>
      </w:tr>
      <w:tr w14:paraId="2883CA2C">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 w:hRule="atLeast"/>
          <w:jc w:val="center"/>
        </w:trPr>
        <w:tc>
          <w:tcPr>
            <w:tcW w:w="2173" w:type="dxa"/>
            <w:vMerge w:val="continue"/>
            <w:tcBorders>
              <w:top w:val="nil"/>
              <w:bottom w:val="nil"/>
            </w:tcBorders>
            <w:shd w:val="clear" w:color="auto" w:fill="FFFFFF"/>
          </w:tcPr>
          <w:p w14:paraId="5EE1E093"/>
        </w:tc>
        <w:tc>
          <w:tcPr>
            <w:tcW w:w="1883" w:type="dxa"/>
            <w:vMerge w:val="continue"/>
            <w:tcBorders>
              <w:top w:val="nil"/>
              <w:bottom w:val="nil"/>
            </w:tcBorders>
            <w:shd w:val="clear" w:color="auto" w:fill="FFFFFF"/>
            <w:vAlign w:val="center"/>
          </w:tcPr>
          <w:p w14:paraId="1A7151F4"/>
        </w:tc>
        <w:tc>
          <w:tcPr>
            <w:tcW w:w="4963" w:type="dxa"/>
            <w:tcBorders>
              <w:tl2br w:val="nil"/>
              <w:tr2bl w:val="nil"/>
            </w:tcBorders>
            <w:shd w:val="clear" w:color="auto" w:fill="FFFFFF"/>
            <w:vAlign w:val="center"/>
          </w:tcPr>
          <w:p w14:paraId="0861BC5C">
            <w:r>
              <w:rPr>
                <w:rFonts w:hint="eastAsia"/>
              </w:rPr>
              <w:t>Information</w:t>
            </w:r>
            <w:r>
              <w:rPr>
                <w:rFonts w:hint="eastAsia"/>
                <w:lang w:eastAsia="zh-CN"/>
              </w:rPr>
              <w:t xml:space="preserve"> </w:t>
            </w:r>
            <w:r>
              <w:rPr>
                <w:rFonts w:hint="eastAsia"/>
              </w:rPr>
              <w:t>perception system (X2)</w:t>
            </w:r>
          </w:p>
        </w:tc>
      </w:tr>
      <w:tr w14:paraId="4A2E29BE">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 w:hRule="atLeast"/>
          <w:jc w:val="center"/>
        </w:trPr>
        <w:tc>
          <w:tcPr>
            <w:tcW w:w="2173" w:type="dxa"/>
            <w:vMerge w:val="continue"/>
            <w:tcBorders>
              <w:top w:val="nil"/>
              <w:bottom w:val="nil"/>
            </w:tcBorders>
            <w:shd w:val="clear" w:color="auto" w:fill="FFFFFF"/>
          </w:tcPr>
          <w:p w14:paraId="62EFCF07"/>
        </w:tc>
        <w:tc>
          <w:tcPr>
            <w:tcW w:w="1883" w:type="dxa"/>
            <w:vMerge w:val="continue"/>
            <w:tcBorders>
              <w:top w:val="nil"/>
              <w:bottom w:val="nil"/>
            </w:tcBorders>
            <w:shd w:val="clear" w:color="auto" w:fill="FFFFFF"/>
            <w:vAlign w:val="center"/>
          </w:tcPr>
          <w:p w14:paraId="24E61F9A"/>
        </w:tc>
        <w:tc>
          <w:tcPr>
            <w:tcW w:w="4963" w:type="dxa"/>
            <w:tcBorders>
              <w:tl2br w:val="nil"/>
              <w:tr2bl w:val="nil"/>
            </w:tcBorders>
            <w:shd w:val="clear" w:color="auto" w:fill="FFFFFF"/>
            <w:vAlign w:val="center"/>
          </w:tcPr>
          <w:p w14:paraId="2B572B8A">
            <w:r>
              <w:rPr>
                <w:rFonts w:hint="eastAsia"/>
                <w:lang w:eastAsia="zh-CN"/>
              </w:rPr>
              <w:t>Vessel</w:t>
            </w:r>
            <w:r>
              <w:rPr>
                <w:rFonts w:hint="eastAsia"/>
              </w:rPr>
              <w:t xml:space="preserve"> monitoring</w:t>
            </w:r>
            <w:r>
              <w:rPr>
                <w:rFonts w:hint="eastAsia"/>
                <w:lang w:eastAsia="zh-CN"/>
              </w:rPr>
              <w:t xml:space="preserve"> </w:t>
            </w:r>
            <w:r>
              <w:rPr>
                <w:rFonts w:hint="eastAsia"/>
              </w:rPr>
              <w:t>system (X3)</w:t>
            </w:r>
          </w:p>
        </w:tc>
      </w:tr>
      <w:tr w14:paraId="6A8F6FA2">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 w:hRule="atLeast"/>
          <w:jc w:val="center"/>
        </w:trPr>
        <w:tc>
          <w:tcPr>
            <w:tcW w:w="2173" w:type="dxa"/>
            <w:vMerge w:val="continue"/>
            <w:tcBorders>
              <w:top w:val="nil"/>
              <w:bottom w:val="nil"/>
            </w:tcBorders>
            <w:shd w:val="clear" w:color="auto" w:fill="FFFFFF"/>
          </w:tcPr>
          <w:p w14:paraId="68044B57"/>
        </w:tc>
        <w:tc>
          <w:tcPr>
            <w:tcW w:w="1883" w:type="dxa"/>
            <w:vMerge w:val="continue"/>
            <w:tcBorders>
              <w:top w:val="nil"/>
              <w:bottom w:val="nil"/>
            </w:tcBorders>
            <w:shd w:val="clear" w:color="auto" w:fill="FFFFFF"/>
            <w:vAlign w:val="center"/>
          </w:tcPr>
          <w:p w14:paraId="07CB4956"/>
        </w:tc>
        <w:tc>
          <w:tcPr>
            <w:tcW w:w="4963" w:type="dxa"/>
            <w:tcBorders>
              <w:tl2br w:val="nil"/>
              <w:tr2bl w:val="nil"/>
            </w:tcBorders>
            <w:shd w:val="clear" w:color="auto" w:fill="FFFFFF"/>
            <w:vAlign w:val="center"/>
          </w:tcPr>
          <w:p w14:paraId="1CC91DF8">
            <w:r>
              <w:rPr>
                <w:rFonts w:hint="eastAsia"/>
              </w:rPr>
              <w:t>Hull structure and condition (X4)</w:t>
            </w:r>
          </w:p>
        </w:tc>
      </w:tr>
      <w:tr w14:paraId="3EF1958B">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 w:hRule="atLeast"/>
          <w:jc w:val="center"/>
        </w:trPr>
        <w:tc>
          <w:tcPr>
            <w:tcW w:w="2173" w:type="dxa"/>
            <w:vMerge w:val="continue"/>
            <w:tcBorders>
              <w:top w:val="nil"/>
              <w:bottom w:val="nil"/>
            </w:tcBorders>
            <w:shd w:val="clear" w:color="auto" w:fill="FFFFFF"/>
          </w:tcPr>
          <w:p w14:paraId="1BBA9111"/>
        </w:tc>
        <w:tc>
          <w:tcPr>
            <w:tcW w:w="1883" w:type="dxa"/>
            <w:vMerge w:val="continue"/>
            <w:tcBorders>
              <w:top w:val="nil"/>
              <w:bottom w:val="nil"/>
            </w:tcBorders>
            <w:shd w:val="clear" w:color="auto" w:fill="FFFFFF"/>
            <w:vAlign w:val="center"/>
          </w:tcPr>
          <w:p w14:paraId="5F5BEC46"/>
        </w:tc>
        <w:tc>
          <w:tcPr>
            <w:tcW w:w="4963" w:type="dxa"/>
            <w:tcBorders>
              <w:tl2br w:val="nil"/>
              <w:tr2bl w:val="nil"/>
            </w:tcBorders>
            <w:shd w:val="clear" w:color="auto" w:fill="FFFFFF"/>
            <w:vAlign w:val="center"/>
          </w:tcPr>
          <w:p w14:paraId="648434FC">
            <w:r>
              <w:rPr>
                <w:rFonts w:hint="eastAsia"/>
              </w:rPr>
              <w:t>Navigation assistance</w:t>
            </w:r>
            <w:r>
              <w:rPr>
                <w:rFonts w:hint="eastAsia"/>
                <w:lang w:eastAsia="zh-CN"/>
              </w:rPr>
              <w:t xml:space="preserve"> </w:t>
            </w:r>
            <w:r>
              <w:rPr>
                <w:rFonts w:hint="eastAsia"/>
              </w:rPr>
              <w:t>equipment (X5)</w:t>
            </w:r>
          </w:p>
        </w:tc>
      </w:tr>
      <w:tr w14:paraId="4B7013C8">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 w:hRule="atLeast"/>
          <w:jc w:val="center"/>
        </w:trPr>
        <w:tc>
          <w:tcPr>
            <w:tcW w:w="2173" w:type="dxa"/>
            <w:vMerge w:val="continue"/>
            <w:tcBorders>
              <w:top w:val="nil"/>
              <w:bottom w:val="nil"/>
            </w:tcBorders>
            <w:shd w:val="clear" w:color="auto" w:fill="FFFFFF"/>
          </w:tcPr>
          <w:p w14:paraId="5502C1D9"/>
        </w:tc>
        <w:tc>
          <w:tcPr>
            <w:tcW w:w="1883" w:type="dxa"/>
            <w:vMerge w:val="continue"/>
            <w:tcBorders>
              <w:top w:val="nil"/>
              <w:bottom w:val="nil"/>
            </w:tcBorders>
            <w:shd w:val="clear" w:color="auto" w:fill="FFFFFF"/>
            <w:vAlign w:val="center"/>
          </w:tcPr>
          <w:p w14:paraId="65D37F31"/>
        </w:tc>
        <w:tc>
          <w:tcPr>
            <w:tcW w:w="4963" w:type="dxa"/>
            <w:tcBorders>
              <w:tl2br w:val="nil"/>
              <w:tr2bl w:val="nil"/>
            </w:tcBorders>
            <w:shd w:val="clear" w:color="auto" w:fill="FFFFFF"/>
            <w:vAlign w:val="center"/>
          </w:tcPr>
          <w:p w14:paraId="7DC36113">
            <w:r>
              <w:rPr>
                <w:rFonts w:hint="eastAsia"/>
              </w:rPr>
              <w:t>Power system (X6)</w:t>
            </w:r>
          </w:p>
        </w:tc>
      </w:tr>
      <w:tr w14:paraId="5B212360">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 w:hRule="atLeast"/>
          <w:jc w:val="center"/>
        </w:trPr>
        <w:tc>
          <w:tcPr>
            <w:tcW w:w="2173" w:type="dxa"/>
            <w:vMerge w:val="continue"/>
            <w:tcBorders>
              <w:top w:val="nil"/>
              <w:bottom w:val="nil"/>
            </w:tcBorders>
            <w:shd w:val="clear" w:color="auto" w:fill="FFFFFF"/>
          </w:tcPr>
          <w:p w14:paraId="25B3BF7E"/>
        </w:tc>
        <w:tc>
          <w:tcPr>
            <w:tcW w:w="1883" w:type="dxa"/>
            <w:vMerge w:val="continue"/>
            <w:tcBorders>
              <w:top w:val="nil"/>
              <w:bottom w:val="nil"/>
            </w:tcBorders>
            <w:shd w:val="clear" w:color="auto" w:fill="FFFFFF"/>
            <w:vAlign w:val="center"/>
          </w:tcPr>
          <w:p w14:paraId="7BC60476"/>
        </w:tc>
        <w:tc>
          <w:tcPr>
            <w:tcW w:w="4963" w:type="dxa"/>
            <w:tcBorders>
              <w:tl2br w:val="nil"/>
              <w:tr2bl w:val="nil"/>
            </w:tcBorders>
            <w:shd w:val="clear" w:color="auto" w:fill="FFFFFF"/>
            <w:vAlign w:val="center"/>
          </w:tcPr>
          <w:p w14:paraId="76A60BD7">
            <w:r>
              <w:rPr>
                <w:rFonts w:hint="eastAsia"/>
                <w:lang w:eastAsia="zh-CN"/>
              </w:rPr>
              <w:t>vessel</w:t>
            </w:r>
            <w:r>
              <w:rPr>
                <w:rFonts w:hint="eastAsia"/>
              </w:rPr>
              <w:t xml:space="preserve"> control system (X7)</w:t>
            </w:r>
          </w:p>
        </w:tc>
      </w:tr>
      <w:tr w14:paraId="7D3FC73E">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 w:hRule="atLeast"/>
          <w:jc w:val="center"/>
        </w:trPr>
        <w:tc>
          <w:tcPr>
            <w:tcW w:w="2173" w:type="dxa"/>
            <w:vMerge w:val="continue"/>
            <w:tcBorders>
              <w:top w:val="nil"/>
              <w:bottom w:val="nil"/>
            </w:tcBorders>
            <w:shd w:val="clear" w:color="auto" w:fill="FFFFFF"/>
          </w:tcPr>
          <w:p w14:paraId="215705D9"/>
        </w:tc>
        <w:tc>
          <w:tcPr>
            <w:tcW w:w="1883" w:type="dxa"/>
            <w:vMerge w:val="continue"/>
            <w:tcBorders>
              <w:top w:val="nil"/>
              <w:bottom w:val="nil"/>
            </w:tcBorders>
            <w:shd w:val="clear" w:color="auto" w:fill="FFFFFF"/>
            <w:vAlign w:val="center"/>
          </w:tcPr>
          <w:p w14:paraId="228825DC"/>
        </w:tc>
        <w:tc>
          <w:tcPr>
            <w:tcW w:w="4963" w:type="dxa"/>
            <w:tcBorders>
              <w:tl2br w:val="nil"/>
              <w:tr2bl w:val="nil"/>
            </w:tcBorders>
            <w:shd w:val="clear" w:color="auto" w:fill="FFFFFF"/>
            <w:vAlign w:val="center"/>
          </w:tcPr>
          <w:p w14:paraId="5C211C19">
            <w:r>
              <w:rPr>
                <w:rFonts w:hint="eastAsia"/>
              </w:rPr>
              <w:t>Ventilation system (X8)</w:t>
            </w:r>
          </w:p>
        </w:tc>
      </w:tr>
      <w:tr w14:paraId="78DF85B2">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 w:hRule="atLeast"/>
          <w:jc w:val="center"/>
        </w:trPr>
        <w:tc>
          <w:tcPr>
            <w:tcW w:w="2173" w:type="dxa"/>
            <w:vMerge w:val="continue"/>
            <w:tcBorders>
              <w:top w:val="nil"/>
              <w:bottom w:val="nil"/>
            </w:tcBorders>
            <w:shd w:val="clear" w:color="auto" w:fill="FFFFFF"/>
          </w:tcPr>
          <w:p w14:paraId="12CB7F66"/>
        </w:tc>
        <w:tc>
          <w:tcPr>
            <w:tcW w:w="1883" w:type="dxa"/>
            <w:vMerge w:val="continue"/>
            <w:tcBorders>
              <w:top w:val="nil"/>
              <w:bottom w:val="nil"/>
            </w:tcBorders>
            <w:shd w:val="clear" w:color="auto" w:fill="FFFFFF"/>
            <w:vAlign w:val="center"/>
          </w:tcPr>
          <w:p w14:paraId="23E338DC"/>
        </w:tc>
        <w:tc>
          <w:tcPr>
            <w:tcW w:w="4963" w:type="dxa"/>
            <w:tcBorders>
              <w:tl2br w:val="nil"/>
              <w:tr2bl w:val="nil"/>
            </w:tcBorders>
            <w:shd w:val="clear" w:color="auto" w:fill="FFFFFF"/>
            <w:vAlign w:val="center"/>
          </w:tcPr>
          <w:p w14:paraId="5F090A5D">
            <w:r>
              <w:rPr>
                <w:rFonts w:hint="eastAsia"/>
              </w:rPr>
              <w:t>Security system (X9)</w:t>
            </w:r>
          </w:p>
        </w:tc>
      </w:tr>
      <w:tr w14:paraId="563A2483">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 w:hRule="atLeast"/>
          <w:jc w:val="center"/>
        </w:trPr>
        <w:tc>
          <w:tcPr>
            <w:tcW w:w="2173" w:type="dxa"/>
            <w:vMerge w:val="continue"/>
            <w:tcBorders>
              <w:top w:val="nil"/>
              <w:bottom w:val="nil"/>
            </w:tcBorders>
            <w:shd w:val="clear" w:color="auto" w:fill="FFFFFF"/>
          </w:tcPr>
          <w:p w14:paraId="3218FDCB"/>
        </w:tc>
        <w:tc>
          <w:tcPr>
            <w:tcW w:w="1883" w:type="dxa"/>
            <w:vMerge w:val="continue"/>
            <w:tcBorders>
              <w:top w:val="nil"/>
              <w:bottom w:val="nil"/>
            </w:tcBorders>
            <w:shd w:val="clear" w:color="auto" w:fill="FFFFFF"/>
            <w:vAlign w:val="center"/>
          </w:tcPr>
          <w:p w14:paraId="03CD1F9A"/>
        </w:tc>
        <w:tc>
          <w:tcPr>
            <w:tcW w:w="4963" w:type="dxa"/>
            <w:tcBorders>
              <w:tl2br w:val="nil"/>
              <w:tr2bl w:val="nil"/>
            </w:tcBorders>
            <w:shd w:val="clear" w:color="auto" w:fill="FFFFFF"/>
            <w:vAlign w:val="center"/>
          </w:tcPr>
          <w:p w14:paraId="6F421C07">
            <w:r>
              <w:rPr>
                <w:rFonts w:hint="eastAsia"/>
              </w:rPr>
              <w:t>Personnel operation (</w:t>
            </w:r>
            <w:r>
              <w:rPr>
                <w:rFonts w:hint="eastAsia"/>
                <w:lang w:eastAsia="zh-CN"/>
              </w:rPr>
              <w:t>vessel</w:t>
            </w:r>
            <w:r>
              <w:rPr>
                <w:rFonts w:hint="eastAsia"/>
              </w:rPr>
              <w:t>) (X10)</w:t>
            </w:r>
          </w:p>
        </w:tc>
      </w:tr>
      <w:tr w14:paraId="2E870876">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 w:hRule="atLeast"/>
          <w:jc w:val="center"/>
        </w:trPr>
        <w:tc>
          <w:tcPr>
            <w:tcW w:w="2173" w:type="dxa"/>
            <w:vMerge w:val="continue"/>
            <w:tcBorders>
              <w:top w:val="nil"/>
              <w:bottom w:val="nil"/>
            </w:tcBorders>
            <w:shd w:val="clear" w:color="auto" w:fill="FFFFFF"/>
          </w:tcPr>
          <w:p w14:paraId="0F97AC0E"/>
        </w:tc>
        <w:tc>
          <w:tcPr>
            <w:tcW w:w="1883" w:type="dxa"/>
            <w:vMerge w:val="restart"/>
            <w:tcBorders>
              <w:top w:val="nil"/>
              <w:bottom w:val="single" w:color="000000" w:sz="4" w:space="0"/>
            </w:tcBorders>
            <w:shd w:val="clear" w:color="auto" w:fill="FFFFFF"/>
            <w:vAlign w:val="center"/>
          </w:tcPr>
          <w:p w14:paraId="48B04F3B"/>
          <w:p w14:paraId="2EDC627A">
            <w:r>
              <w:rPr>
                <w:rFonts w:hint="eastAsia"/>
              </w:rPr>
              <w:t>Sensitivity factors</w:t>
            </w:r>
          </w:p>
        </w:tc>
        <w:tc>
          <w:tcPr>
            <w:tcW w:w="4963" w:type="dxa"/>
            <w:tcBorders>
              <w:tl2br w:val="nil"/>
              <w:tr2bl w:val="nil"/>
            </w:tcBorders>
            <w:shd w:val="clear" w:color="auto" w:fill="FFFFFF"/>
            <w:vAlign w:val="center"/>
          </w:tcPr>
          <w:p w14:paraId="57BAA634">
            <w:r>
              <w:rPr>
                <w:rFonts w:hint="eastAsia"/>
              </w:rPr>
              <w:t>Propulsion devices and locations (X11)</w:t>
            </w:r>
          </w:p>
        </w:tc>
      </w:tr>
      <w:tr w14:paraId="273DAF60">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2173" w:type="dxa"/>
            <w:vMerge w:val="continue"/>
            <w:tcBorders>
              <w:top w:val="nil"/>
              <w:bottom w:val="nil"/>
            </w:tcBorders>
            <w:shd w:val="clear" w:color="auto" w:fill="FFFFFF"/>
          </w:tcPr>
          <w:p w14:paraId="0D5C5C1B"/>
        </w:tc>
        <w:tc>
          <w:tcPr>
            <w:tcW w:w="1883" w:type="dxa"/>
            <w:vMerge w:val="continue"/>
            <w:tcBorders>
              <w:top w:val="single" w:color="000000" w:sz="4" w:space="0"/>
              <w:bottom w:val="single" w:color="000000" w:sz="4" w:space="0"/>
            </w:tcBorders>
            <w:shd w:val="clear" w:color="auto" w:fill="FFFFFF"/>
            <w:vAlign w:val="center"/>
          </w:tcPr>
          <w:p w14:paraId="2B4624FE"/>
        </w:tc>
        <w:tc>
          <w:tcPr>
            <w:tcW w:w="4963" w:type="dxa"/>
            <w:tcBorders>
              <w:tl2br w:val="nil"/>
              <w:tr2bl w:val="nil"/>
            </w:tcBorders>
            <w:shd w:val="clear" w:color="auto" w:fill="FFFFFF"/>
          </w:tcPr>
          <w:p w14:paraId="3D05EC0E">
            <w:r>
              <w:rPr>
                <w:rFonts w:hint="eastAsia"/>
              </w:rPr>
              <w:t>Piping valves (X12)</w:t>
            </w:r>
          </w:p>
        </w:tc>
      </w:tr>
      <w:tr w14:paraId="2EF68567">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2173" w:type="dxa"/>
            <w:vMerge w:val="continue"/>
            <w:tcBorders>
              <w:top w:val="nil"/>
              <w:bottom w:val="nil"/>
            </w:tcBorders>
            <w:shd w:val="clear" w:color="auto" w:fill="FFFFFF"/>
          </w:tcPr>
          <w:p w14:paraId="047DCAFF"/>
        </w:tc>
        <w:tc>
          <w:tcPr>
            <w:tcW w:w="1883" w:type="dxa"/>
            <w:vMerge w:val="continue"/>
            <w:tcBorders>
              <w:top w:val="single" w:color="000000" w:sz="4" w:space="0"/>
              <w:bottom w:val="single" w:color="000000" w:sz="4" w:space="0"/>
            </w:tcBorders>
            <w:shd w:val="clear" w:color="auto" w:fill="FFFFFF"/>
            <w:vAlign w:val="center"/>
          </w:tcPr>
          <w:p w14:paraId="68E1594C"/>
        </w:tc>
        <w:tc>
          <w:tcPr>
            <w:tcW w:w="4963" w:type="dxa"/>
            <w:tcBorders>
              <w:tl2br w:val="nil"/>
              <w:tr2bl w:val="nil"/>
            </w:tcBorders>
            <w:shd w:val="clear" w:color="auto" w:fill="FFFFFF"/>
          </w:tcPr>
          <w:p w14:paraId="282BAF73">
            <w:r>
              <w:rPr>
                <w:rFonts w:hint="eastAsia"/>
              </w:rPr>
              <w:t>Electronic control unit(ECU) (X13)</w:t>
            </w:r>
          </w:p>
        </w:tc>
      </w:tr>
      <w:tr w14:paraId="3D002243">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2173" w:type="dxa"/>
            <w:vMerge w:val="continue"/>
            <w:tcBorders>
              <w:top w:val="nil"/>
              <w:bottom w:val="nil"/>
            </w:tcBorders>
            <w:shd w:val="clear" w:color="auto" w:fill="FFFFFF"/>
          </w:tcPr>
          <w:p w14:paraId="426883DB"/>
        </w:tc>
        <w:tc>
          <w:tcPr>
            <w:tcW w:w="1883" w:type="dxa"/>
            <w:vMerge w:val="continue"/>
            <w:tcBorders>
              <w:top w:val="single" w:color="000000" w:sz="4" w:space="0"/>
              <w:bottom w:val="single" w:color="000000" w:sz="4" w:space="0"/>
            </w:tcBorders>
            <w:shd w:val="clear" w:color="auto" w:fill="FFFFFF"/>
            <w:vAlign w:val="center"/>
          </w:tcPr>
          <w:p w14:paraId="3E972E51"/>
        </w:tc>
        <w:tc>
          <w:tcPr>
            <w:tcW w:w="4963" w:type="dxa"/>
            <w:tcBorders>
              <w:tl2br w:val="nil"/>
              <w:tr2bl w:val="nil"/>
            </w:tcBorders>
            <w:shd w:val="clear" w:color="auto" w:fill="FFFFFF"/>
          </w:tcPr>
          <w:p w14:paraId="48D8B763">
            <w:r>
              <w:rPr>
                <w:rFonts w:hint="eastAsia"/>
              </w:rPr>
              <w:t>Physical containment system (X14)</w:t>
            </w:r>
          </w:p>
        </w:tc>
      </w:tr>
      <w:tr w14:paraId="1BD03AD1">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2173" w:type="dxa"/>
            <w:vMerge w:val="continue"/>
            <w:tcBorders>
              <w:top w:val="nil"/>
              <w:bottom w:val="nil"/>
            </w:tcBorders>
            <w:shd w:val="clear" w:color="auto" w:fill="FFFFFF"/>
          </w:tcPr>
          <w:p w14:paraId="492F4140"/>
        </w:tc>
        <w:tc>
          <w:tcPr>
            <w:tcW w:w="1883" w:type="dxa"/>
            <w:vMerge w:val="continue"/>
            <w:tcBorders>
              <w:top w:val="single" w:color="000000" w:sz="4" w:space="0"/>
              <w:bottom w:val="single" w:color="000000" w:sz="4" w:space="0"/>
            </w:tcBorders>
            <w:shd w:val="clear" w:color="auto" w:fill="FFFFFF"/>
            <w:vAlign w:val="center"/>
          </w:tcPr>
          <w:p w14:paraId="34E71715"/>
        </w:tc>
        <w:tc>
          <w:tcPr>
            <w:tcW w:w="4963" w:type="dxa"/>
            <w:tcBorders>
              <w:tl2br w:val="nil"/>
              <w:tr2bl w:val="nil"/>
            </w:tcBorders>
            <w:shd w:val="clear" w:color="auto" w:fill="FFFFFF"/>
          </w:tcPr>
          <w:p w14:paraId="206D4A83">
            <w:r>
              <w:rPr>
                <w:rFonts w:hint="eastAsia"/>
              </w:rPr>
              <w:t>Liquid and gas detection and alarm devices (X15)</w:t>
            </w:r>
          </w:p>
        </w:tc>
      </w:tr>
      <w:tr w14:paraId="69832B06">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2173" w:type="dxa"/>
            <w:vMerge w:val="continue"/>
            <w:tcBorders>
              <w:top w:val="nil"/>
              <w:bottom w:val="nil"/>
            </w:tcBorders>
            <w:shd w:val="clear" w:color="auto" w:fill="FFFFFF"/>
          </w:tcPr>
          <w:p w14:paraId="1E6D1262"/>
        </w:tc>
        <w:tc>
          <w:tcPr>
            <w:tcW w:w="1883" w:type="dxa"/>
            <w:vMerge w:val="continue"/>
            <w:tcBorders>
              <w:top w:val="single" w:color="000000" w:sz="4" w:space="0"/>
              <w:bottom w:val="single" w:color="000000" w:sz="4" w:space="0"/>
            </w:tcBorders>
            <w:shd w:val="clear" w:color="auto" w:fill="FFFFFF"/>
            <w:vAlign w:val="center"/>
          </w:tcPr>
          <w:p w14:paraId="596704C1"/>
        </w:tc>
        <w:tc>
          <w:tcPr>
            <w:tcW w:w="4963" w:type="dxa"/>
            <w:tcBorders>
              <w:bottom w:val="nil"/>
              <w:tl2br w:val="nil"/>
              <w:tr2bl w:val="nil"/>
            </w:tcBorders>
            <w:shd w:val="clear" w:color="auto" w:fill="FFFFFF"/>
          </w:tcPr>
          <w:p w14:paraId="602E4112">
            <w:r>
              <w:rPr>
                <w:rFonts w:hint="eastAsia"/>
              </w:rPr>
              <w:t>LNG storage locations and tanks (X16)</w:t>
            </w:r>
          </w:p>
        </w:tc>
      </w:tr>
      <w:tr w14:paraId="1081A003">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2173" w:type="dxa"/>
            <w:vMerge w:val="continue"/>
            <w:tcBorders>
              <w:top w:val="nil"/>
              <w:bottom w:val="nil"/>
            </w:tcBorders>
            <w:shd w:val="clear" w:color="auto" w:fill="FFFFFF"/>
          </w:tcPr>
          <w:p w14:paraId="68167D10"/>
        </w:tc>
        <w:tc>
          <w:tcPr>
            <w:tcW w:w="1883" w:type="dxa"/>
            <w:vMerge w:val="continue"/>
            <w:tcBorders>
              <w:top w:val="single" w:color="000000" w:sz="4" w:space="0"/>
              <w:bottom w:val="single" w:color="000000" w:sz="4" w:space="0"/>
            </w:tcBorders>
            <w:shd w:val="clear" w:color="auto" w:fill="FFFFFF"/>
            <w:vAlign w:val="center"/>
          </w:tcPr>
          <w:p w14:paraId="41C8C0A1"/>
        </w:tc>
        <w:tc>
          <w:tcPr>
            <w:tcW w:w="4963" w:type="dxa"/>
            <w:tcBorders>
              <w:top w:val="nil"/>
            </w:tcBorders>
            <w:shd w:val="clear" w:color="auto" w:fill="FFFFFF"/>
          </w:tcPr>
          <w:p w14:paraId="4D92B6F4">
            <w:r>
              <w:rPr>
                <w:rFonts w:hint="eastAsia"/>
              </w:rPr>
              <w:t>LNG efficiency(Heat exchanger) (X17)</w:t>
            </w:r>
          </w:p>
        </w:tc>
      </w:tr>
      <w:tr w14:paraId="2E2661FB">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2173" w:type="dxa"/>
            <w:vMerge w:val="continue"/>
            <w:tcBorders>
              <w:top w:val="nil"/>
              <w:bottom w:val="nil"/>
            </w:tcBorders>
            <w:shd w:val="clear" w:color="auto" w:fill="FFFFFF"/>
          </w:tcPr>
          <w:p w14:paraId="57E43FBF"/>
        </w:tc>
        <w:tc>
          <w:tcPr>
            <w:tcW w:w="1883" w:type="dxa"/>
            <w:vMerge w:val="continue"/>
            <w:tcBorders>
              <w:top w:val="single" w:color="000000" w:sz="4" w:space="0"/>
              <w:bottom w:val="single" w:color="000000" w:sz="4" w:space="0"/>
            </w:tcBorders>
            <w:shd w:val="clear" w:color="auto" w:fill="FFFFFF"/>
            <w:vAlign w:val="center"/>
          </w:tcPr>
          <w:p w14:paraId="6A6E661D"/>
        </w:tc>
        <w:tc>
          <w:tcPr>
            <w:tcW w:w="4963" w:type="dxa"/>
            <w:shd w:val="clear" w:color="auto" w:fill="FFFFFF"/>
          </w:tcPr>
          <w:p w14:paraId="28505DAC">
            <w:r>
              <w:rPr>
                <w:rFonts w:hint="eastAsia"/>
              </w:rPr>
              <w:t>Personnel operation (LNG) (X18)</w:t>
            </w:r>
          </w:p>
        </w:tc>
      </w:tr>
      <w:tr w14:paraId="36173BC0">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2173" w:type="dxa"/>
            <w:vMerge w:val="continue"/>
            <w:tcBorders>
              <w:top w:val="nil"/>
              <w:bottom w:val="nil"/>
            </w:tcBorders>
            <w:shd w:val="clear" w:color="auto" w:fill="FFFFFF"/>
          </w:tcPr>
          <w:p w14:paraId="1189B380"/>
        </w:tc>
        <w:tc>
          <w:tcPr>
            <w:tcW w:w="1883" w:type="dxa"/>
            <w:vMerge w:val="restart"/>
            <w:tcBorders>
              <w:top w:val="single" w:color="000000" w:sz="4" w:space="0"/>
              <w:bottom w:val="single" w:color="000000" w:sz="4" w:space="0"/>
            </w:tcBorders>
            <w:shd w:val="clear" w:color="auto" w:fill="FFFFFF"/>
            <w:vAlign w:val="center"/>
          </w:tcPr>
          <w:p w14:paraId="6AB7FCC1"/>
          <w:p w14:paraId="2F686E5A"/>
          <w:p w14:paraId="545E3E4C">
            <w:r>
              <w:rPr>
                <w:rFonts w:hint="eastAsia"/>
              </w:rPr>
              <w:t>Exposure factors</w:t>
            </w:r>
          </w:p>
          <w:p w14:paraId="3E88CE04"/>
        </w:tc>
        <w:tc>
          <w:tcPr>
            <w:tcW w:w="4963" w:type="dxa"/>
            <w:shd w:val="clear" w:color="auto" w:fill="FFFFFF"/>
            <w:vAlign w:val="center"/>
          </w:tcPr>
          <w:p w14:paraId="21543237">
            <w:r>
              <w:rPr>
                <w:rFonts w:hint="eastAsia"/>
              </w:rPr>
              <w:t>Traffic density (X19)</w:t>
            </w:r>
          </w:p>
        </w:tc>
      </w:tr>
      <w:tr w14:paraId="5F286441">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2173" w:type="dxa"/>
            <w:vMerge w:val="continue"/>
            <w:tcBorders>
              <w:top w:val="nil"/>
              <w:bottom w:val="nil"/>
            </w:tcBorders>
            <w:shd w:val="clear" w:color="auto" w:fill="FFFFFF"/>
          </w:tcPr>
          <w:p w14:paraId="345C1170"/>
        </w:tc>
        <w:tc>
          <w:tcPr>
            <w:tcW w:w="1883" w:type="dxa"/>
            <w:vMerge w:val="continue"/>
            <w:tcBorders>
              <w:top w:val="single" w:color="000000" w:sz="4" w:space="0"/>
              <w:bottom w:val="single" w:color="000000" w:sz="4" w:space="0"/>
            </w:tcBorders>
            <w:shd w:val="clear" w:color="auto" w:fill="FFFFFF"/>
            <w:vAlign w:val="center"/>
          </w:tcPr>
          <w:p w14:paraId="4B15C39D"/>
        </w:tc>
        <w:tc>
          <w:tcPr>
            <w:tcW w:w="4963" w:type="dxa"/>
            <w:shd w:val="clear" w:color="auto" w:fill="FFFFFF"/>
            <w:vAlign w:val="center"/>
          </w:tcPr>
          <w:p w14:paraId="1CFE3448">
            <w:r>
              <w:rPr>
                <w:rFonts w:hint="eastAsia"/>
              </w:rPr>
              <w:t>Route intersections (X20)</w:t>
            </w:r>
          </w:p>
        </w:tc>
      </w:tr>
      <w:tr w14:paraId="2CD1A3F2">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2173" w:type="dxa"/>
            <w:vMerge w:val="continue"/>
            <w:tcBorders>
              <w:top w:val="nil"/>
              <w:bottom w:val="nil"/>
            </w:tcBorders>
            <w:shd w:val="clear" w:color="auto" w:fill="FFFFFF"/>
          </w:tcPr>
          <w:p w14:paraId="2B9AF100"/>
        </w:tc>
        <w:tc>
          <w:tcPr>
            <w:tcW w:w="1883" w:type="dxa"/>
            <w:vMerge w:val="continue"/>
            <w:tcBorders>
              <w:top w:val="single" w:color="000000" w:sz="4" w:space="0"/>
              <w:bottom w:val="single" w:color="000000" w:sz="4" w:space="0"/>
            </w:tcBorders>
            <w:shd w:val="clear" w:color="auto" w:fill="FFFFFF"/>
            <w:vAlign w:val="center"/>
          </w:tcPr>
          <w:p w14:paraId="721C493D"/>
        </w:tc>
        <w:tc>
          <w:tcPr>
            <w:tcW w:w="4963" w:type="dxa"/>
            <w:shd w:val="clear" w:color="auto" w:fill="FFFFFF"/>
            <w:vAlign w:val="center"/>
          </w:tcPr>
          <w:p w14:paraId="4232AADC">
            <w:r>
              <w:rPr>
                <w:rFonts w:hint="eastAsia"/>
              </w:rPr>
              <w:t>Wind (X21)</w:t>
            </w:r>
          </w:p>
        </w:tc>
      </w:tr>
      <w:tr w14:paraId="43772910">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2173" w:type="dxa"/>
            <w:vMerge w:val="continue"/>
            <w:tcBorders>
              <w:top w:val="nil"/>
              <w:bottom w:val="nil"/>
            </w:tcBorders>
            <w:shd w:val="clear" w:color="auto" w:fill="FFFFFF"/>
          </w:tcPr>
          <w:p w14:paraId="018B5595"/>
        </w:tc>
        <w:tc>
          <w:tcPr>
            <w:tcW w:w="1883" w:type="dxa"/>
            <w:vMerge w:val="continue"/>
            <w:tcBorders>
              <w:top w:val="single" w:color="000000" w:sz="4" w:space="0"/>
              <w:bottom w:val="single" w:color="000000" w:sz="4" w:space="0"/>
            </w:tcBorders>
            <w:shd w:val="clear" w:color="auto" w:fill="FFFFFF"/>
            <w:vAlign w:val="center"/>
          </w:tcPr>
          <w:p w14:paraId="595EE05C"/>
        </w:tc>
        <w:tc>
          <w:tcPr>
            <w:tcW w:w="4963" w:type="dxa"/>
            <w:shd w:val="clear" w:color="auto" w:fill="FFFFFF"/>
            <w:vAlign w:val="center"/>
          </w:tcPr>
          <w:p w14:paraId="27D22236">
            <w:r>
              <w:rPr>
                <w:rFonts w:hint="eastAsia"/>
              </w:rPr>
              <w:t>Current (X22)</w:t>
            </w:r>
          </w:p>
        </w:tc>
      </w:tr>
      <w:tr w14:paraId="72D2D5D8">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2173" w:type="dxa"/>
            <w:vMerge w:val="continue"/>
            <w:tcBorders>
              <w:top w:val="nil"/>
              <w:bottom w:val="nil"/>
            </w:tcBorders>
            <w:shd w:val="clear" w:color="auto" w:fill="FFFFFF"/>
          </w:tcPr>
          <w:p w14:paraId="4D6F3489"/>
        </w:tc>
        <w:tc>
          <w:tcPr>
            <w:tcW w:w="1883" w:type="dxa"/>
            <w:vMerge w:val="continue"/>
            <w:tcBorders>
              <w:top w:val="single" w:color="000000" w:sz="4" w:space="0"/>
              <w:bottom w:val="single" w:color="000000" w:sz="4" w:space="0"/>
            </w:tcBorders>
            <w:shd w:val="clear" w:color="auto" w:fill="FFFFFF"/>
            <w:vAlign w:val="center"/>
          </w:tcPr>
          <w:p w14:paraId="3E3F50EC"/>
        </w:tc>
        <w:tc>
          <w:tcPr>
            <w:tcW w:w="4963" w:type="dxa"/>
            <w:shd w:val="clear" w:color="auto" w:fill="FFFFFF"/>
            <w:vAlign w:val="center"/>
          </w:tcPr>
          <w:p w14:paraId="1E104FD1">
            <w:r>
              <w:rPr>
                <w:rFonts w:hint="eastAsia"/>
              </w:rPr>
              <w:t>Wave height (X23)</w:t>
            </w:r>
          </w:p>
        </w:tc>
      </w:tr>
      <w:tr w14:paraId="2A1F55D8">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2173" w:type="dxa"/>
            <w:vMerge w:val="continue"/>
            <w:tcBorders>
              <w:top w:val="nil"/>
              <w:bottom w:val="nil"/>
            </w:tcBorders>
            <w:shd w:val="clear" w:color="auto" w:fill="FFFFFF"/>
          </w:tcPr>
          <w:p w14:paraId="1D62C644"/>
        </w:tc>
        <w:tc>
          <w:tcPr>
            <w:tcW w:w="1883" w:type="dxa"/>
            <w:vMerge w:val="continue"/>
            <w:tcBorders>
              <w:top w:val="single" w:color="000000" w:sz="4" w:space="0"/>
              <w:bottom w:val="single" w:color="000000" w:sz="4" w:space="0"/>
            </w:tcBorders>
            <w:shd w:val="clear" w:color="auto" w:fill="FFFFFF"/>
            <w:vAlign w:val="center"/>
          </w:tcPr>
          <w:p w14:paraId="715CEFD9"/>
        </w:tc>
        <w:tc>
          <w:tcPr>
            <w:tcW w:w="4963" w:type="dxa"/>
            <w:shd w:val="clear" w:color="auto" w:fill="FFFFFF"/>
            <w:vAlign w:val="center"/>
          </w:tcPr>
          <w:p w14:paraId="156A4D2C">
            <w:r>
              <w:rPr>
                <w:rFonts w:hint="eastAsia"/>
              </w:rPr>
              <w:t>Visibility (X24)</w:t>
            </w:r>
          </w:p>
        </w:tc>
      </w:tr>
      <w:tr w14:paraId="1BDBAB10">
        <w:tblPrEx>
          <w:tblCellMar>
            <w:top w:w="0" w:type="dxa"/>
            <w:left w:w="108" w:type="dxa"/>
            <w:bottom w:w="0" w:type="dxa"/>
            <w:right w:w="108" w:type="dxa"/>
          </w:tblCellMar>
        </w:tblPrEx>
        <w:trPr>
          <w:trHeight w:val="221" w:hRule="atLeast"/>
          <w:jc w:val="center"/>
        </w:trPr>
        <w:tc>
          <w:tcPr>
            <w:tcW w:w="2173" w:type="dxa"/>
            <w:vMerge w:val="continue"/>
            <w:tcBorders>
              <w:top w:val="nil"/>
              <w:bottom w:val="single" w:color="000000" w:sz="4" w:space="0"/>
            </w:tcBorders>
            <w:shd w:val="clear" w:color="auto" w:fill="FFFFFF"/>
          </w:tcPr>
          <w:p w14:paraId="0F2D168A"/>
        </w:tc>
        <w:tc>
          <w:tcPr>
            <w:tcW w:w="1883" w:type="dxa"/>
            <w:vMerge w:val="restart"/>
            <w:tcBorders>
              <w:top w:val="single" w:color="000000" w:sz="4" w:space="0"/>
              <w:bottom w:val="single" w:color="000000" w:sz="4" w:space="0"/>
            </w:tcBorders>
            <w:shd w:val="clear" w:color="auto" w:fill="FFFFFF"/>
            <w:vAlign w:val="center"/>
          </w:tcPr>
          <w:p w14:paraId="4FC66228"/>
          <w:p w14:paraId="08B070F3"/>
          <w:p w14:paraId="73E9DAA3">
            <w:r>
              <w:rPr>
                <w:rFonts w:hint="eastAsia"/>
              </w:rPr>
              <w:t>Recovery factors</w:t>
            </w:r>
          </w:p>
          <w:p w14:paraId="6D75A08A"/>
        </w:tc>
        <w:tc>
          <w:tcPr>
            <w:tcW w:w="4963" w:type="dxa"/>
            <w:shd w:val="clear" w:color="auto" w:fill="FFFFFF"/>
            <w:vAlign w:val="center"/>
          </w:tcPr>
          <w:p w14:paraId="549CBBC1">
            <w:r>
              <w:rPr>
                <w:rFonts w:hint="eastAsia"/>
              </w:rPr>
              <w:t>Crew safety awareness (X25)</w:t>
            </w:r>
          </w:p>
        </w:tc>
      </w:tr>
      <w:tr w14:paraId="52122931">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2173" w:type="dxa"/>
            <w:vMerge w:val="continue"/>
            <w:tcBorders>
              <w:top w:val="single" w:color="000000" w:sz="4" w:space="0"/>
              <w:bottom w:val="single" w:color="000000" w:sz="4" w:space="0"/>
            </w:tcBorders>
            <w:shd w:val="clear" w:color="auto" w:fill="FFFFFF"/>
          </w:tcPr>
          <w:p w14:paraId="553E5762"/>
        </w:tc>
        <w:tc>
          <w:tcPr>
            <w:tcW w:w="1883" w:type="dxa"/>
            <w:vMerge w:val="continue"/>
            <w:tcBorders>
              <w:top w:val="single" w:color="000000" w:sz="4" w:space="0"/>
              <w:bottom w:val="single" w:color="000000" w:sz="4" w:space="0"/>
              <w:tl2br w:val="nil"/>
              <w:tr2bl w:val="nil"/>
            </w:tcBorders>
            <w:shd w:val="clear" w:color="auto" w:fill="FFFFFF"/>
          </w:tcPr>
          <w:p w14:paraId="53AB2AE2"/>
        </w:tc>
        <w:tc>
          <w:tcPr>
            <w:tcW w:w="4963" w:type="dxa"/>
            <w:shd w:val="clear" w:color="auto" w:fill="FFFFFF"/>
            <w:vAlign w:val="center"/>
          </w:tcPr>
          <w:p w14:paraId="68990999">
            <w:r>
              <w:rPr>
                <w:rFonts w:hint="eastAsia"/>
              </w:rPr>
              <w:t>Captain's</w:t>
            </w:r>
            <w:r>
              <w:rPr>
                <w:rFonts w:hint="eastAsia"/>
                <w:lang w:eastAsia="zh-CN"/>
              </w:rPr>
              <w:t xml:space="preserve"> </w:t>
            </w:r>
            <w:r>
              <w:rPr>
                <w:rFonts w:hint="eastAsia"/>
              </w:rPr>
              <w:t>management level (X26)</w:t>
            </w:r>
          </w:p>
        </w:tc>
      </w:tr>
      <w:tr w14:paraId="38D2F491">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2173" w:type="dxa"/>
            <w:vMerge w:val="continue"/>
            <w:tcBorders>
              <w:top w:val="single" w:color="000000" w:sz="4" w:space="0"/>
              <w:bottom w:val="single" w:color="000000" w:sz="4" w:space="0"/>
            </w:tcBorders>
            <w:shd w:val="clear" w:color="auto" w:fill="FFFFFF"/>
          </w:tcPr>
          <w:p w14:paraId="1DC32B3F"/>
        </w:tc>
        <w:tc>
          <w:tcPr>
            <w:tcW w:w="1883" w:type="dxa"/>
            <w:vMerge w:val="continue"/>
            <w:tcBorders>
              <w:top w:val="single" w:color="000000" w:sz="4" w:space="0"/>
              <w:bottom w:val="single" w:color="000000" w:sz="4" w:space="0"/>
              <w:tl2br w:val="nil"/>
              <w:tr2bl w:val="nil"/>
            </w:tcBorders>
            <w:shd w:val="clear" w:color="auto" w:fill="FFFFFF"/>
          </w:tcPr>
          <w:p w14:paraId="635EDFAF"/>
        </w:tc>
        <w:tc>
          <w:tcPr>
            <w:tcW w:w="4963" w:type="dxa"/>
            <w:shd w:val="clear" w:color="auto" w:fill="FFFFFF"/>
            <w:vAlign w:val="center"/>
          </w:tcPr>
          <w:p w14:paraId="49B82792">
            <w:r>
              <w:rPr>
                <w:rFonts w:hint="eastAsia"/>
              </w:rPr>
              <w:t>Accident experience (X27)</w:t>
            </w:r>
          </w:p>
        </w:tc>
      </w:tr>
      <w:tr w14:paraId="36C466B7">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2173" w:type="dxa"/>
            <w:vMerge w:val="continue"/>
            <w:tcBorders>
              <w:top w:val="single" w:color="000000" w:sz="4" w:space="0"/>
              <w:bottom w:val="single" w:color="000000" w:sz="4" w:space="0"/>
            </w:tcBorders>
            <w:shd w:val="clear" w:color="auto" w:fill="FFFFFF"/>
          </w:tcPr>
          <w:p w14:paraId="0FFD2111"/>
        </w:tc>
        <w:tc>
          <w:tcPr>
            <w:tcW w:w="1883" w:type="dxa"/>
            <w:vMerge w:val="continue"/>
            <w:tcBorders>
              <w:top w:val="single" w:color="000000" w:sz="4" w:space="0"/>
              <w:bottom w:val="single" w:color="000000" w:sz="4" w:space="0"/>
              <w:tl2br w:val="nil"/>
              <w:tr2bl w:val="nil"/>
            </w:tcBorders>
            <w:shd w:val="clear" w:color="auto" w:fill="FFFFFF"/>
          </w:tcPr>
          <w:p w14:paraId="7CEA3A1A"/>
        </w:tc>
        <w:tc>
          <w:tcPr>
            <w:tcW w:w="4963" w:type="dxa"/>
            <w:shd w:val="clear" w:color="auto" w:fill="FFFFFF"/>
            <w:vAlign w:val="center"/>
          </w:tcPr>
          <w:p w14:paraId="40C3E8BD">
            <w:r>
              <w:rPr>
                <w:rFonts w:hint="eastAsia"/>
              </w:rPr>
              <w:t>Emergency drills (X28)</w:t>
            </w:r>
          </w:p>
        </w:tc>
      </w:tr>
      <w:tr w14:paraId="6DFC1F4D">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2173" w:type="dxa"/>
            <w:vMerge w:val="continue"/>
            <w:tcBorders>
              <w:top w:val="single" w:color="000000" w:sz="4" w:space="0"/>
              <w:bottom w:val="single" w:color="000000" w:sz="4" w:space="0"/>
            </w:tcBorders>
            <w:shd w:val="clear" w:color="auto" w:fill="FFFFFF"/>
          </w:tcPr>
          <w:p w14:paraId="27A53BF8"/>
        </w:tc>
        <w:tc>
          <w:tcPr>
            <w:tcW w:w="1883" w:type="dxa"/>
            <w:vMerge w:val="continue"/>
            <w:tcBorders>
              <w:top w:val="single" w:color="000000" w:sz="4" w:space="0"/>
              <w:bottom w:val="single" w:color="000000" w:sz="4" w:space="0"/>
              <w:tl2br w:val="nil"/>
              <w:tr2bl w:val="nil"/>
            </w:tcBorders>
            <w:shd w:val="clear" w:color="auto" w:fill="FFFFFF"/>
          </w:tcPr>
          <w:p w14:paraId="08FA697F"/>
        </w:tc>
        <w:tc>
          <w:tcPr>
            <w:tcW w:w="4963" w:type="dxa"/>
            <w:shd w:val="clear" w:color="auto" w:fill="FFFFFF"/>
            <w:vAlign w:val="center"/>
          </w:tcPr>
          <w:p w14:paraId="09ADDCCB">
            <w:pPr>
              <w:rPr>
                <w:lang w:eastAsia="zh-CN"/>
              </w:rPr>
            </w:pPr>
            <w:r>
              <w:rPr>
                <w:rFonts w:hint="eastAsia"/>
              </w:rPr>
              <w:t xml:space="preserve">Equipment redundancy </w:t>
            </w:r>
            <w:r>
              <w:rPr>
                <w:rFonts w:hint="eastAsia"/>
                <w:lang w:eastAsia="zh-CN"/>
              </w:rPr>
              <w:t>(X29)</w:t>
            </w:r>
          </w:p>
        </w:tc>
      </w:tr>
      <w:tr w14:paraId="7C2E91C6">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2173" w:type="dxa"/>
            <w:vMerge w:val="continue"/>
            <w:tcBorders>
              <w:top w:val="single" w:color="000000" w:sz="4" w:space="0"/>
              <w:bottom w:val="single" w:color="000000" w:sz="4" w:space="0"/>
            </w:tcBorders>
            <w:shd w:val="clear" w:color="auto" w:fill="FFFFFF"/>
          </w:tcPr>
          <w:p w14:paraId="7C49B8B7"/>
        </w:tc>
        <w:tc>
          <w:tcPr>
            <w:tcW w:w="1883" w:type="dxa"/>
            <w:vMerge w:val="continue"/>
            <w:tcBorders>
              <w:top w:val="single" w:color="000000" w:sz="4" w:space="0"/>
              <w:bottom w:val="single" w:color="000000" w:sz="4" w:space="0"/>
              <w:tl2br w:val="nil"/>
              <w:tr2bl w:val="nil"/>
            </w:tcBorders>
            <w:shd w:val="clear" w:color="auto" w:fill="FFFFFF"/>
          </w:tcPr>
          <w:p w14:paraId="33404C7A"/>
        </w:tc>
        <w:tc>
          <w:tcPr>
            <w:tcW w:w="4963" w:type="dxa"/>
            <w:shd w:val="clear" w:color="auto" w:fill="FFFFFF"/>
            <w:vAlign w:val="center"/>
          </w:tcPr>
          <w:p w14:paraId="44C2B1DF">
            <w:r>
              <w:rPr>
                <w:rFonts w:hint="eastAsia"/>
              </w:rPr>
              <w:t>Emergency plan Redundancy (X30)</w:t>
            </w:r>
          </w:p>
        </w:tc>
      </w:tr>
      <w:tr w14:paraId="3EEDAA32">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2173" w:type="dxa"/>
            <w:vMerge w:val="continue"/>
            <w:tcBorders>
              <w:top w:val="single" w:color="000000" w:sz="4" w:space="0"/>
              <w:bottom w:val="single" w:color="000000" w:sz="4" w:space="0"/>
            </w:tcBorders>
            <w:shd w:val="clear" w:color="auto" w:fill="FFFFFF"/>
          </w:tcPr>
          <w:p w14:paraId="219B4A00"/>
        </w:tc>
        <w:tc>
          <w:tcPr>
            <w:tcW w:w="1883" w:type="dxa"/>
            <w:vMerge w:val="continue"/>
            <w:tcBorders>
              <w:top w:val="single" w:color="000000" w:sz="4" w:space="0"/>
              <w:bottom w:val="single" w:color="000000" w:sz="4" w:space="0"/>
              <w:tl2br w:val="nil"/>
              <w:tr2bl w:val="nil"/>
            </w:tcBorders>
            <w:shd w:val="clear" w:color="auto" w:fill="FFFFFF"/>
          </w:tcPr>
          <w:p w14:paraId="5D729938"/>
        </w:tc>
        <w:tc>
          <w:tcPr>
            <w:tcW w:w="4963" w:type="dxa"/>
            <w:shd w:val="clear" w:color="auto" w:fill="FFFFFF"/>
            <w:vAlign w:val="center"/>
          </w:tcPr>
          <w:p w14:paraId="106CF487">
            <w:r>
              <w:rPr>
                <w:rFonts w:hint="eastAsia"/>
              </w:rPr>
              <w:t>Emergency system (X31)</w:t>
            </w:r>
          </w:p>
        </w:tc>
      </w:tr>
      <w:tr w14:paraId="4FE648E2">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2173" w:type="dxa"/>
            <w:vMerge w:val="continue"/>
            <w:tcBorders>
              <w:top w:val="single" w:color="000000" w:sz="4" w:space="0"/>
              <w:bottom w:val="single" w:color="000000" w:sz="4" w:space="0"/>
            </w:tcBorders>
            <w:shd w:val="clear" w:color="auto" w:fill="FFFFFF"/>
          </w:tcPr>
          <w:p w14:paraId="3EA7211F"/>
        </w:tc>
        <w:tc>
          <w:tcPr>
            <w:tcW w:w="1883" w:type="dxa"/>
            <w:vMerge w:val="continue"/>
            <w:tcBorders>
              <w:top w:val="single" w:color="000000" w:sz="4" w:space="0"/>
              <w:bottom w:val="single" w:color="000000" w:sz="4" w:space="0"/>
              <w:tl2br w:val="nil"/>
              <w:tr2bl w:val="nil"/>
            </w:tcBorders>
            <w:shd w:val="clear" w:color="auto" w:fill="FFFFFF"/>
          </w:tcPr>
          <w:p w14:paraId="2CAE7DC0"/>
        </w:tc>
        <w:tc>
          <w:tcPr>
            <w:tcW w:w="4963" w:type="dxa"/>
            <w:shd w:val="clear" w:color="auto" w:fill="FFFFFF"/>
          </w:tcPr>
          <w:p w14:paraId="3D1B0046">
            <w:r>
              <w:rPr>
                <w:rFonts w:hint="eastAsia"/>
              </w:rPr>
              <w:t>Emergency shutdown (ESD) system (X32)</w:t>
            </w:r>
          </w:p>
        </w:tc>
      </w:tr>
    </w:tbl>
    <w:p w14:paraId="5086DC91">
      <w:pPr>
        <w:jc w:val="center"/>
        <w:rPr>
          <w:lang w:val="en-US"/>
        </w:rPr>
      </w:pPr>
    </w:p>
    <w:p w14:paraId="60C8980A">
      <w:pPr>
        <w:rPr>
          <w:b/>
          <w:bCs/>
          <w:lang w:val="en-US"/>
        </w:rPr>
      </w:pPr>
      <w:r>
        <w:rPr>
          <w:rFonts w:hint="eastAsia"/>
          <w:b/>
          <w:bCs/>
          <w:lang w:val="en-US"/>
        </w:rPr>
        <w:t>3.</w:t>
      </w:r>
      <w:r>
        <w:rPr>
          <w:rFonts w:hint="eastAsia" w:eastAsia="宋体"/>
          <w:b/>
          <w:bCs/>
          <w:lang w:val="en-US" w:eastAsia="zh-CN"/>
        </w:rPr>
        <w:t>1</w:t>
      </w:r>
      <w:r>
        <w:rPr>
          <w:rFonts w:hint="eastAsia"/>
          <w:b/>
          <w:bCs/>
          <w:lang w:val="en-US"/>
        </w:rPr>
        <w:t>.</w:t>
      </w:r>
      <w:r>
        <w:rPr>
          <w:rFonts w:hint="eastAsia" w:eastAsia="宋体"/>
          <w:b/>
          <w:bCs/>
          <w:lang w:val="en-US" w:eastAsia="zh-CN"/>
        </w:rPr>
        <w:t xml:space="preserve">2 </w:t>
      </w:r>
      <w:r>
        <w:rPr>
          <w:rFonts w:hint="eastAsia"/>
          <w:b/>
          <w:bCs/>
          <w:lang w:val="en-US"/>
        </w:rPr>
        <w:t>Establishing the DBN structure</w:t>
      </w:r>
    </w:p>
    <w:p w14:paraId="0A7DB105">
      <w:pPr>
        <w:rPr>
          <w:color w:val="auto"/>
          <w:lang w:val="en-US"/>
        </w:rPr>
      </w:pPr>
      <w:r>
        <w:rPr>
          <w:rFonts w:hint="eastAsia"/>
          <w:lang w:val="en-US"/>
        </w:rPr>
        <w:t>Based on the constructed resilience indicator system for the LNGFV system, the analysis</w:t>
      </w:r>
      <w:r>
        <w:rPr>
          <w:rFonts w:hint="eastAsia" w:eastAsia="宋体"/>
          <w:lang w:val="en-US" w:eastAsia="zh-CN"/>
        </w:rPr>
        <w:t xml:space="preserve"> </w:t>
      </w:r>
      <w:r>
        <w:rPr>
          <w:rFonts w:hint="eastAsia"/>
          <w:lang w:val="en-US"/>
        </w:rPr>
        <w:t>results from CAST, and the information transmission paths within the safety control loop, a DBN</w:t>
      </w:r>
      <w:r>
        <w:rPr>
          <w:rFonts w:hint="eastAsia" w:eastAsia="宋体"/>
          <w:lang w:val="en-US" w:eastAsia="zh-CN"/>
        </w:rPr>
        <w:t xml:space="preserve"> </w:t>
      </w:r>
      <w:r>
        <w:rPr>
          <w:rFonts w:hint="eastAsia"/>
          <w:lang w:val="en-US"/>
        </w:rPr>
        <w:t>rule-based network model is established, as shown</w:t>
      </w:r>
      <w:r>
        <w:rPr>
          <w:rFonts w:hint="eastAsia"/>
          <w:color w:val="auto"/>
          <w:lang w:val="en-US"/>
        </w:rPr>
        <w:t xml:space="preserve"> in Figure </w:t>
      </w:r>
      <w:r>
        <w:rPr>
          <w:rFonts w:hint="eastAsia" w:eastAsia="宋体"/>
          <w:color w:val="auto"/>
          <w:lang w:val="en-US" w:eastAsia="zh-CN"/>
        </w:rPr>
        <w:t>2</w:t>
      </w:r>
      <w:r>
        <w:rPr>
          <w:rFonts w:hint="eastAsia"/>
          <w:color w:val="auto"/>
          <w:lang w:val="en-US"/>
        </w:rPr>
        <w:t>.</w:t>
      </w:r>
    </w:p>
    <w:p w14:paraId="12FCCA30">
      <w:pPr>
        <w:jc w:val="left"/>
      </w:pPr>
      <w:r>
        <w:drawing>
          <wp:inline distT="0" distB="0" distL="114300" distR="114300">
            <wp:extent cx="2946400" cy="1800860"/>
            <wp:effectExtent l="0" t="0" r="10160" b="12700"/>
            <wp:docPr id="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pic:cNvPicPr>
                      <a:picLocks noChangeAspect="1"/>
                    </pic:cNvPicPr>
                  </pic:nvPicPr>
                  <pic:blipFill>
                    <a:blip r:embed="rId16"/>
                    <a:stretch>
                      <a:fillRect/>
                    </a:stretch>
                  </pic:blipFill>
                  <pic:spPr>
                    <a:xfrm>
                      <a:off x="0" y="0"/>
                      <a:ext cx="2946400" cy="1800860"/>
                    </a:xfrm>
                    <a:prstGeom prst="rect">
                      <a:avLst/>
                    </a:prstGeom>
                    <a:noFill/>
                    <a:ln>
                      <a:noFill/>
                    </a:ln>
                  </pic:spPr>
                </pic:pic>
              </a:graphicData>
            </a:graphic>
          </wp:inline>
        </w:drawing>
      </w:r>
    </w:p>
    <w:p w14:paraId="06E53DDA">
      <w:pPr>
        <w:pStyle w:val="102"/>
        <w:rPr>
          <w:rStyle w:val="104"/>
          <w:i/>
        </w:rPr>
      </w:pPr>
      <w:r>
        <w:rPr>
          <w:rStyle w:val="104"/>
          <w:i/>
        </w:rPr>
        <w:t>Figure</w:t>
      </w:r>
      <w:r>
        <w:rPr>
          <w:rStyle w:val="104"/>
          <w:rFonts w:hint="eastAsia" w:eastAsia="宋体"/>
          <w:i/>
          <w:lang w:val="en-US" w:eastAsia="zh-CN"/>
        </w:rPr>
        <w:t xml:space="preserve"> 2</w:t>
      </w:r>
      <w:r>
        <w:rPr>
          <w:rStyle w:val="104"/>
          <w:i/>
        </w:rPr>
        <w:t>:</w:t>
      </w:r>
      <w:r>
        <w:rPr>
          <w:rStyle w:val="104"/>
          <w:rFonts w:hint="eastAsia"/>
          <w:i/>
        </w:rPr>
        <w:t xml:space="preserve">  Information on inbound routes and vessel trajectories for LNGFV</w:t>
      </w:r>
    </w:p>
    <w:p w14:paraId="23828055">
      <w:pPr>
        <w:rPr>
          <w:lang w:val="en-US"/>
        </w:rPr>
      </w:pPr>
      <w:r>
        <w:rPr>
          <w:rFonts w:hint="eastAsia"/>
          <w:lang w:val="en-US"/>
        </w:rPr>
        <w:t>The relevant attributes of nodes in the DBN model can be classified according to their</w:t>
      </w:r>
      <w:r>
        <w:rPr>
          <w:rFonts w:hint="eastAsia" w:eastAsia="宋体"/>
          <w:lang w:val="en-US" w:eastAsia="zh-CN"/>
        </w:rPr>
        <w:t xml:space="preserve"> </w:t>
      </w:r>
      <w:r>
        <w:rPr>
          <w:rFonts w:hint="eastAsia"/>
          <w:lang w:val="en-US"/>
        </w:rPr>
        <w:t>different properties. For intermediate nodes, leaf nodes, and static root nodes, their states are</w:t>
      </w:r>
      <w:r>
        <w:rPr>
          <w:rFonts w:hint="eastAsia" w:eastAsia="宋体"/>
          <w:lang w:val="en-US" w:eastAsia="zh-CN"/>
        </w:rPr>
        <w:t xml:space="preserve"> </w:t>
      </w:r>
      <w:r>
        <w:rPr>
          <w:rFonts w:hint="eastAsia"/>
          <w:lang w:val="en-US"/>
        </w:rPr>
        <w:t>divided into "Yes" and "No" represented by Y and N, based on whether an event might occur. For</w:t>
      </w:r>
      <w:r>
        <w:rPr>
          <w:rFonts w:hint="eastAsia" w:eastAsia="宋体"/>
          <w:lang w:val="en-US" w:eastAsia="zh-CN"/>
        </w:rPr>
        <w:t xml:space="preserve"> </w:t>
      </w:r>
      <w:r>
        <w:rPr>
          <w:rFonts w:hint="eastAsia"/>
          <w:lang w:val="en-US"/>
        </w:rPr>
        <w:t xml:space="preserve">dynamic nodes, six nodes—traffic density, route intersection, wind, </w:t>
      </w:r>
      <w:r>
        <w:rPr>
          <w:rFonts w:hint="eastAsia"/>
          <w:color w:val="000000" w:themeColor="text1"/>
          <w:lang w:val="en-US"/>
          <w14:textFill>
            <w14:solidFill>
              <w14:schemeClr w14:val="tx1"/>
            </w14:solidFill>
          </w14:textFill>
        </w:rPr>
        <w:t>current, wave height, tides, and visibility—are classified into four risk status levels. The classification refers to (Li et al., 2021). For intermediate and leaf nodes, the model input is a conditional probability table. For</w:t>
      </w:r>
      <w:r>
        <w:rPr>
          <w:rFonts w:hint="eastAsia" w:eastAsia="宋体"/>
          <w:color w:val="000000" w:themeColor="text1"/>
          <w:lang w:val="en-US" w:eastAsia="zh-CN"/>
          <w14:textFill>
            <w14:solidFill>
              <w14:schemeClr w14:val="tx1"/>
            </w14:solidFill>
          </w14:textFill>
        </w:rPr>
        <w:t xml:space="preserve"> </w:t>
      </w:r>
      <w:r>
        <w:rPr>
          <w:rFonts w:hint="eastAsia"/>
          <w:color w:val="000000" w:themeColor="text1"/>
          <w:lang w:val="en-US"/>
          <w14:textFill>
            <w14:solidFill>
              <w14:schemeClr w14:val="tx1"/>
            </w14:solidFill>
          </w14:textFill>
        </w:rPr>
        <w:t>dynamic environment no</w:t>
      </w:r>
      <w:r>
        <w:rPr>
          <w:rFonts w:hint="eastAsia"/>
          <w:lang w:val="en-US"/>
        </w:rPr>
        <w:t>des, the model input consists of a prior probability table and a state</w:t>
      </w:r>
      <w:r>
        <w:rPr>
          <w:rFonts w:hint="eastAsia" w:eastAsia="宋体"/>
          <w:lang w:val="en-US" w:eastAsia="zh-CN"/>
        </w:rPr>
        <w:t xml:space="preserve"> </w:t>
      </w:r>
      <w:r>
        <w:rPr>
          <w:rFonts w:hint="eastAsia"/>
          <w:lang w:val="en-US"/>
        </w:rPr>
        <w:t>transition matrix.</w:t>
      </w:r>
    </w:p>
    <w:p w14:paraId="6081EFD4">
      <w:pPr>
        <w:pStyle w:val="98"/>
        <w:numPr>
          <w:ilvl w:val="2"/>
          <w:numId w:val="0"/>
        </w:numPr>
      </w:pPr>
      <w:r>
        <w:rPr>
          <w:rFonts w:hint="eastAsia"/>
        </w:rPr>
        <w:t>3.</w:t>
      </w:r>
      <w:r>
        <w:rPr>
          <w:rFonts w:hint="eastAsia" w:eastAsia="宋体"/>
          <w:lang w:eastAsia="zh-CN"/>
        </w:rPr>
        <w:t>2</w:t>
      </w:r>
      <w:r>
        <w:rPr>
          <w:rFonts w:hint="eastAsia"/>
        </w:rPr>
        <w:t xml:space="preserve"> Simulation results</w:t>
      </w:r>
    </w:p>
    <w:p w14:paraId="73DA85A2">
      <w:pPr>
        <w:jc w:val="left"/>
        <w:rPr>
          <w:lang w:val="en-US"/>
        </w:rPr>
      </w:pPr>
      <w:r>
        <w:rPr>
          <w:rFonts w:hint="eastAsia"/>
          <w:lang w:val="en-US"/>
        </w:rPr>
        <w:t xml:space="preserve">Based on the duration of the accident, it is divided into 20 equal time slices. The relevant parameters of the trained DBN are input for DBN simulation to obtain the changes in LNGFV traffic resilience during this accident, as shown in </w:t>
      </w:r>
      <w:r>
        <w:rPr>
          <w:rFonts w:hint="eastAsia"/>
          <w:color w:val="0000FF"/>
          <w:lang w:val="en-US"/>
        </w:rPr>
        <w:t xml:space="preserve">Figure </w:t>
      </w:r>
      <w:r>
        <w:rPr>
          <w:rFonts w:hint="eastAsia" w:eastAsia="宋体"/>
          <w:color w:val="0000FF"/>
          <w:lang w:val="en-US" w:eastAsia="zh-CN"/>
        </w:rPr>
        <w:t>3</w:t>
      </w:r>
      <w:r>
        <w:rPr>
          <w:rFonts w:hint="eastAsia"/>
          <w:color w:val="0000FF"/>
          <w:lang w:val="en-US"/>
        </w:rPr>
        <w:t>(a)</w:t>
      </w:r>
      <w:r>
        <w:rPr>
          <w:rFonts w:hint="eastAsia"/>
          <w:lang w:val="en-US"/>
        </w:rPr>
        <w:t xml:space="preserve">. The resilience performances of LNGFV navigation are simulated, with the results presented in </w:t>
      </w:r>
      <w:r>
        <w:rPr>
          <w:rFonts w:hint="eastAsia"/>
          <w:color w:val="0000FF"/>
          <w:lang w:val="en-US"/>
        </w:rPr>
        <w:t xml:space="preserve">Figure </w:t>
      </w:r>
      <w:r>
        <w:rPr>
          <w:rFonts w:hint="eastAsia"/>
          <w:color w:val="0000FF"/>
          <w:lang w:val="en-US" w:eastAsia="zh-CN"/>
        </w:rPr>
        <w:t>3</w:t>
      </w:r>
      <w:r>
        <w:rPr>
          <w:rFonts w:hint="eastAsia"/>
          <w:color w:val="0000FF"/>
          <w:lang w:val="en-US"/>
        </w:rPr>
        <w:t>(b)</w:t>
      </w:r>
      <w:r>
        <w:rPr>
          <w:rFonts w:hint="eastAsia"/>
          <w:lang w:val="en-US"/>
        </w:rPr>
        <w:t xml:space="preserve">. </w:t>
      </w:r>
    </w:p>
    <w:p w14:paraId="21458E17">
      <w:pPr>
        <w:jc w:val="left"/>
        <w:rPr>
          <w:rFonts w:ascii="Times New Roman" w:hAnsi="Times New Roman"/>
        </w:rPr>
      </w:pPr>
      <w:r>
        <w:rPr>
          <w:rFonts w:ascii="Times New Roman" w:hAnsi="Times New Roman"/>
        </w:rPr>
        <w:object>
          <v:shape id="_x0000_i1029" o:spt="75" alt="" type="#_x0000_t75" style="height:127pt;width:341.65pt;" o:ole="t" filled="f" o:preferrelative="t" stroked="f" coordsize="21600,21600">
            <v:path/>
            <v:fill on="f" focussize="0,0"/>
            <v:stroke on="f"/>
            <v:imagedata r:id="rId18" o:title=""/>
            <o:lock v:ext="edit" aspectratio="f"/>
            <w10:wrap type="none"/>
            <w10:anchorlock/>
          </v:shape>
          <o:OLEObject Type="Embed" ProgID="Visio.Drawing.15" ShapeID="_x0000_i1029" DrawAspect="Content" ObjectID="_1468075729" r:id="rId17">
            <o:LockedField>false</o:LockedField>
          </o:OLEObject>
        </w:object>
      </w:r>
    </w:p>
    <w:p w14:paraId="0468D41D">
      <w:pPr>
        <w:pStyle w:val="102"/>
        <w:rPr>
          <w:rStyle w:val="104"/>
          <w:i/>
        </w:rPr>
      </w:pPr>
      <w:r>
        <w:rPr>
          <w:rStyle w:val="104"/>
          <w:i/>
        </w:rPr>
        <w:t>Figure</w:t>
      </w:r>
      <w:r>
        <w:rPr>
          <w:rStyle w:val="104"/>
          <w:rFonts w:hint="eastAsia" w:eastAsia="宋体"/>
          <w:i/>
          <w:lang w:val="en-US" w:eastAsia="zh-CN"/>
        </w:rPr>
        <w:t xml:space="preserve"> 3</w:t>
      </w:r>
      <w:r>
        <w:rPr>
          <w:rStyle w:val="104"/>
          <w:i/>
        </w:rPr>
        <w:t>:</w:t>
      </w:r>
      <w:r>
        <w:rPr>
          <w:rStyle w:val="104"/>
          <w:rFonts w:hint="eastAsia"/>
          <w:i/>
        </w:rPr>
        <w:t xml:space="preserve">  Simulation results of vessel traffic resilience during the accident process</w:t>
      </w:r>
    </w:p>
    <w:p w14:paraId="449E0226">
      <w:pPr>
        <w:pStyle w:val="102"/>
        <w:spacing w:before="0" w:after="0" w:line="240" w:lineRule="auto"/>
        <w:rPr>
          <w:i w:val="0"/>
          <w:lang w:val="en-US"/>
        </w:rPr>
      </w:pPr>
      <w:r>
        <w:rPr>
          <w:rFonts w:hint="eastAsia"/>
          <w:i w:val="0"/>
          <w:lang w:val="en-US"/>
        </w:rPr>
        <w:t>The simulation results reveal the following:</w:t>
      </w:r>
    </w:p>
    <w:p w14:paraId="7CC54CAF">
      <w:pPr>
        <w:pStyle w:val="102"/>
        <w:spacing w:before="0" w:after="0" w:line="240" w:lineRule="auto"/>
        <w:rPr>
          <w:i w:val="0"/>
          <w:lang w:val="en-US"/>
        </w:rPr>
      </w:pPr>
      <w:r>
        <w:rPr>
          <w:rFonts w:hint="eastAsia"/>
          <w:i w:val="0"/>
          <w:lang w:val="en-US"/>
        </w:rPr>
        <w:t>(1) After the initial impact, LNGFV shows a rapid decline in resilience, followed by a gradual increase in the middle stage. In the mid-to-late stage, resilience levels again show a rapid decline, and at the end, they demonstrate an increasing trend. The overall evolution of traffic resilience throughout the accident follows a double "U"-shaped curve, which aligns with the actual situation where the LNGFV experienced two impacts during the accident.</w:t>
      </w:r>
    </w:p>
    <w:p w14:paraId="381BD075">
      <w:pPr>
        <w:pStyle w:val="102"/>
        <w:spacing w:before="0" w:after="0" w:line="240" w:lineRule="auto"/>
        <w:rPr>
          <w:i w:val="0"/>
          <w:lang w:val="en-US"/>
        </w:rPr>
      </w:pPr>
      <w:r>
        <w:rPr>
          <w:rFonts w:hint="eastAsia"/>
          <w:i w:val="0"/>
          <w:lang w:val="en-US"/>
        </w:rPr>
        <w:t>(2) Adaptability, sensitivity, exposure, and recoverability exhibit significant dynamic changes within their respective time periods, highlighting the crucial roles of these key characteristics in the LNGFV traffic resilience system. The varying characteristics of these four resilience indicators reflect the vessel's resilience levels and response capabilities at different stages. In the early stage, the vessel is relatively safe and has strong response capabilities. In the middle stage, due to external environmental impacts and reduced sensitivity of protective equipment, adaptability and recoverability are challenged. In the later stage, through emergency measures and recovery processes, the vessel gradually restores its adaptability and emergency response capabilities. In summary, the LNGFV traffic resilience performance demonstrates a multi-layered risk management strategy and reflects the effectiveness of TPM in managing liquefied natural gas fuel leakage risks and enhancing the vessel's overall resilience.</w:t>
      </w:r>
    </w:p>
    <w:p w14:paraId="1E18EE26">
      <w:pPr>
        <w:pStyle w:val="102"/>
        <w:spacing w:before="0" w:after="0" w:line="240" w:lineRule="auto"/>
        <w:rPr>
          <w:i w:val="0"/>
          <w:lang w:val="en-US"/>
        </w:rPr>
      </w:pPr>
      <w:r>
        <w:rPr>
          <w:rFonts w:hint="eastAsia"/>
          <w:i w:val="0"/>
          <w:lang w:val="en-US"/>
        </w:rPr>
        <w:t>(3) The ultimate goal of conducting CAST analysis is to propose countermeasures based on the analysis results. After analyzing the LNGFV accident case, it was determined that the accident was caused by a failure in the UPS within the vessel's power system, resulting in a loss of engine power and subsequent propulsion failure. During the navigation of LNGFV, the UPS is responsible for powering loads such as computer control systems, communication systems, and monitoring systems. Once the UPS fails, it can cause immeasurable losses to the entire system.</w:t>
      </w:r>
    </w:p>
    <w:p w14:paraId="3D74F2E2">
      <w:pPr>
        <w:pStyle w:val="4"/>
        <w:numPr>
          <w:ilvl w:val="1"/>
          <w:numId w:val="0"/>
        </w:numPr>
      </w:pPr>
      <w:r>
        <w:rPr>
          <w:rFonts w:hint="eastAsia" w:eastAsia="宋体"/>
          <w:lang w:eastAsia="zh-CN"/>
        </w:rPr>
        <w:t>4</w:t>
      </w:r>
      <w:r>
        <w:rPr>
          <w:rFonts w:hint="eastAsia"/>
        </w:rPr>
        <w:t xml:space="preserve"> Conclusion</w:t>
      </w:r>
    </w:p>
    <w:p w14:paraId="4A96A217">
      <w:pPr>
        <w:pStyle w:val="102"/>
        <w:spacing w:before="0" w:after="0" w:line="240" w:lineRule="auto"/>
        <w:rPr>
          <w:i w:val="0"/>
          <w:lang w:val="en-US"/>
        </w:rPr>
      </w:pPr>
      <w:r>
        <w:rPr>
          <w:rFonts w:hint="eastAsia"/>
          <w:i w:val="0"/>
          <w:lang w:val="en-US"/>
        </w:rPr>
        <w:t>This study puts forward a complex system resilience analysis framework that combines CAST and DBN to explore the evolution of vessel traffic resilience. It establishes a safety control structure for the vessel traffic process, employs CAST analysis techniques to identify key causes impacting traffic resilience, and constructs an index system for vessel traffic resilience analysis, thereby building a DBN model for quantitative resilience analysis.</w:t>
      </w:r>
    </w:p>
    <w:p w14:paraId="0FD52BF8">
      <w:pPr>
        <w:pStyle w:val="102"/>
        <w:spacing w:before="0" w:after="0" w:line="240" w:lineRule="auto"/>
        <w:rPr>
          <w:i w:val="0"/>
          <w:lang w:val="en-US"/>
        </w:rPr>
      </w:pPr>
      <w:r>
        <w:rPr>
          <w:rFonts w:hint="eastAsia"/>
          <w:i w:val="0"/>
          <w:lang w:val="en-US"/>
        </w:rPr>
        <w:t>In combination with specific accident cases of LNGFV traffic process, the HMM method is introduced to infer unobservable parameters in the DBN. Through DBN simulation, the conclusion shows that the evolution mechanism of LNGFV traffic resilience presents a double "U"-shaped curve characteristic. The level of LNGFV traffic resilience shows a high positive correlation with the effective operation of TPM. The effective implementation of TPM can ensure that the resilience of LNGFV remains at a more secure level.</w:t>
      </w:r>
    </w:p>
    <w:p w14:paraId="000473E2">
      <w:pPr>
        <w:pStyle w:val="102"/>
        <w:spacing w:before="0" w:after="0" w:line="240" w:lineRule="auto"/>
        <w:rPr>
          <w:i w:val="0"/>
          <w:lang w:val="en-US"/>
        </w:rPr>
      </w:pPr>
      <w:r>
        <w:rPr>
          <w:rFonts w:hint="eastAsia"/>
          <w:i w:val="0"/>
          <w:lang w:val="en-US"/>
        </w:rPr>
        <w:t>The maritime transportation resilience network is a complex system requiring a comprehensive hierarchical control structure to fully understand its elements and ensure accurate resilience evaluation. Simplifying this structure could hinder a thorough analysis and impact final results. Future research will focus on modeling this complex network using CAST's framework.</w:t>
      </w:r>
    </w:p>
    <w:p w14:paraId="45DE4DB6">
      <w:pPr>
        <w:pStyle w:val="154"/>
      </w:pPr>
      <w:r>
        <w:t>Acknowledgments</w:t>
      </w:r>
    </w:p>
    <w:p w14:paraId="7C582A30">
      <w:pPr>
        <w:pStyle w:val="5"/>
        <w:rPr>
          <w:lang w:val="en-GB"/>
        </w:rPr>
      </w:pPr>
      <w:r>
        <w:rPr>
          <w:rFonts w:hint="eastAsia"/>
          <w:lang w:val="en-GB"/>
        </w:rPr>
        <w:t xml:space="preserve">This work is supported by funding from the National Natural Science Foundation of China (Grant No. 52272353). The views expressed remain solely those of the authors. </w:t>
      </w:r>
    </w:p>
    <w:p w14:paraId="5D5770CB">
      <w:pPr>
        <w:pStyle w:val="101"/>
      </w:pPr>
      <w:r>
        <w:t>References</w:t>
      </w:r>
    </w:p>
    <w:p w14:paraId="7E8EF13C">
      <w:pPr>
        <w:pStyle w:val="108"/>
      </w:pPr>
      <w:r>
        <w:rPr>
          <w:rFonts w:hint="eastAsia"/>
        </w:rPr>
        <w:t>Cai B.P., Xie M., Liu Y.H., Liu Y.L., Feng Q., 2018, Availability-based engineering resilience metric and its corresponding evaluation methodology, Reliability Engineering &amp; System Safety, 172, 216–224.</w:t>
      </w:r>
    </w:p>
    <w:p w14:paraId="4CC994AA">
      <w:pPr>
        <w:pStyle w:val="108"/>
      </w:pPr>
      <w:r>
        <w:rPr>
          <w:rFonts w:hint="eastAsia"/>
        </w:rPr>
        <w:t>Cai B.P., Zhang Y.P., Wang H.F., Liu Y.H., Ji R.J., Gao C.T., Kong X.D., Liu J., 2021, Resilience evaluation methodology of engineering systems with dynamic-Bayesian-network-based degradation and maintenance, Reliability Engineering &amp; System Safety, 209.</w:t>
      </w:r>
    </w:p>
    <w:p w14:paraId="6C591FFD">
      <w:pPr>
        <w:pStyle w:val="108"/>
      </w:pPr>
      <w:r>
        <w:rPr>
          <w:rFonts w:hint="eastAsia"/>
        </w:rPr>
        <w:t>Fan S.Q., Yang Z.L., 2022, Safety and security co-analysis in transport systems: Current state and regulatory development, Transportation Research Part A: Policy and Practice, 166, 369–388.</w:t>
      </w:r>
    </w:p>
    <w:p w14:paraId="322D0BC5">
      <w:pPr>
        <w:pStyle w:val="108"/>
      </w:pPr>
      <w:r>
        <w:rPr>
          <w:rFonts w:hint="eastAsia"/>
        </w:rPr>
        <w:t>Hosseini S., Barker K., 2016, Modeling infrastructure resilience using Bayesian networks: A case study of inland waterway ports, Computers &amp; Industrial Engineering, 93, 252–266.</w:t>
      </w:r>
    </w:p>
    <w:p w14:paraId="05295CE9">
      <w:pPr>
        <w:pStyle w:val="108"/>
      </w:pPr>
      <w:r>
        <w:rPr>
          <w:rFonts w:hint="eastAsia"/>
        </w:rPr>
        <w:t>Hosseini S., Ivanov D., 2022, A new resilience measure for supply networks with the ripple effect considerations: a Bayesian network approach, Annals of Operations Research, 319(1), 581–607.</w:t>
      </w:r>
    </w:p>
    <w:p w14:paraId="1EDE100B">
      <w:pPr>
        <w:pStyle w:val="108"/>
      </w:pPr>
      <w:r>
        <w:rPr>
          <w:rFonts w:hint="eastAsia"/>
        </w:rPr>
        <w:t>John A., Yang Z.L., Riahi R., Wang J., 2016, A risk assessment approach to improve the resilience of a seaport system using Bayesian networks, Ocean Engineering, 111, 136–147.</w:t>
      </w:r>
    </w:p>
    <w:p w14:paraId="481A2EB7">
      <w:pPr>
        <w:pStyle w:val="108"/>
      </w:pPr>
      <w:r>
        <w:rPr>
          <w:rFonts w:hint="eastAsia"/>
        </w:rPr>
        <w:t>Kammouh O., Gardoni P., Cimellaro G.P., 2020, Probabilistic framework to evaluate the resilience of engineering systems using Bayesian and dynamic Bayesian networks, Reliability Engineering &amp; System Safety, 198.</w:t>
      </w:r>
    </w:p>
    <w:p w14:paraId="2F7F0F94">
      <w:pPr>
        <w:pStyle w:val="108"/>
      </w:pPr>
      <w:r>
        <w:rPr>
          <w:rFonts w:hint="eastAsia"/>
        </w:rPr>
        <w:t>Li Z., Hu S.P., Zhu X.M., Gao G.P., Yao C.Y., Han B., 2022, Using DBN and evidence-based reasoning to develop a risk performance model to interfere ship navigation process safety in Arctic waters, Process Safety and Environmental Protection, 162, 357–372.</w:t>
      </w:r>
    </w:p>
    <w:p w14:paraId="3885663A">
      <w:pPr>
        <w:pStyle w:val="108"/>
      </w:pPr>
      <w:r>
        <w:rPr>
          <w:rFonts w:hint="eastAsia"/>
        </w:rPr>
        <w:t>Livanos G.A., Theotokatos G., Pagonis D.N., 2014, Techno-economic investigation of alternative propulsion plants for Ferries and RoRo ships, Energy Conversion and Management, 79, 640–651.</w:t>
      </w:r>
    </w:p>
    <w:p w14:paraId="70AF8128">
      <w:pPr>
        <w:pStyle w:val="108"/>
      </w:pPr>
      <w:r>
        <w:rPr>
          <w:rFonts w:hint="eastAsia"/>
        </w:rPr>
        <w:t>Merandi J., Vannatta K., Davis J.T., McClead R.E., Brilli R., Bartman T., 2018, Safety II Behavior in a Pediatric Intensive Care Unit, Pediatrics, 141(6).</w:t>
      </w:r>
    </w:p>
    <w:p w14:paraId="17FABD51">
      <w:pPr>
        <w:pStyle w:val="108"/>
      </w:pPr>
      <w:r>
        <w:rPr>
          <w:rFonts w:hint="eastAsia"/>
        </w:rPr>
        <w:t>Ojha R., Ghadge A., Tiwari M.K., Bititci U.S., 2018, Bayesian network modelling for supply chain risk propagation, International Journal of Production Research, 56(17), 5795–5819.</w:t>
      </w:r>
    </w:p>
    <w:p w14:paraId="179FCFBF">
      <w:pPr>
        <w:pStyle w:val="108"/>
      </w:pPr>
      <w:r>
        <w:rPr>
          <w:rFonts w:hint="eastAsia"/>
        </w:rPr>
        <w:t>Qiao W.L., Ma X.X., Liu Y., Lan H., 2021, Resilience Assessment for the Northern Sea Route Based on a Fuzzy Bayesian Network, Applied Sciences-Basel, 11(8).</w:t>
      </w:r>
    </w:p>
    <w:p w14:paraId="68F19DD6">
      <w:pPr>
        <w:pStyle w:val="108"/>
      </w:pPr>
      <w:r>
        <w:rPr>
          <w:rFonts w:hint="eastAsia"/>
        </w:rPr>
        <w:t>Thomson H., Corbett J.J., Winebrake J.J., 2015, Natural gas as a marine fuel, Energy Policy, 87, 153–167.</w:t>
      </w:r>
    </w:p>
    <w:p w14:paraId="18411793">
      <w:pPr>
        <w:pStyle w:val="108"/>
      </w:pPr>
      <w:r>
        <w:rPr>
          <w:rFonts w:hint="eastAsia"/>
        </w:rPr>
        <w:t>Tong Q., Yang M., Zinetullina A., 2020, A Dynamic Bayesian Network-based approach to Resilience Assessment of Engineered Systems, Journal of Loss Prevention in the Process Industries, 65.</w:t>
      </w:r>
    </w:p>
    <w:p w14:paraId="14322D69">
      <w:pPr>
        <w:pStyle w:val="108"/>
      </w:pPr>
      <w:r>
        <w:rPr>
          <w:rFonts w:hint="eastAsia"/>
        </w:rPr>
        <w:t>van der Beek D., Schraagen J.M., 2015, ADAPTER: Analysing and developing adaptability and performance in teams to enhance resilience, Reliability Engineering &amp; System Safety, 141, 33–44.</w:t>
      </w:r>
    </w:p>
    <w:p w14:paraId="6404C1CD">
      <w:pPr>
        <w:pStyle w:val="108"/>
        <w:rPr>
          <w:rFonts w:hint="eastAsia"/>
        </w:rPr>
      </w:pPr>
      <w:r>
        <w:rPr>
          <w:rFonts w:hint="eastAsia"/>
        </w:rPr>
        <w:t>Vanderhaegen F., 2015, Safety-I and Safety-II, the past and future of safety management, Cognition Technology &amp; Work, 17(3), 461–464.</w:t>
      </w:r>
    </w:p>
    <w:p w14:paraId="5B0043B6">
      <w:pPr>
        <w:pStyle w:val="108"/>
        <w:rPr>
          <w:rFonts w:hint="eastAsia"/>
          <w:lang w:eastAsia="zh-CN"/>
        </w:rPr>
      </w:pPr>
      <w:r>
        <w:rPr>
          <w:rFonts w:hint="eastAsia"/>
          <w:lang w:eastAsia="zh-CN"/>
        </w:rPr>
        <w:t>Vairo T., Gualeni P., Reverberi A.P., Fabiano B., 2021, Resilience Dynamic Assessment Based on Precursor Events: Application to Ship LNG Bunkering Operations, Sustainability, 13(12).</w:t>
      </w:r>
    </w:p>
    <w:p w14:paraId="258BB934">
      <w:pPr>
        <w:pStyle w:val="108"/>
      </w:pPr>
      <w:r>
        <w:rPr>
          <w:rFonts w:hint="eastAsia"/>
        </w:rPr>
        <w:t>Wang J.S., Wang X.J., Feng Y.W., Cao Y.H., Guo Z.C., Liu Z.J., 2023, Assessing the Connectivity Reliability of a Maritime Transport Network: A Case of Imported Crude Oil in China, Journal of Marine Science and Engineering, 11(8).</w:t>
      </w:r>
    </w:p>
    <w:p w14:paraId="7C4CD0A9">
      <w:pPr>
        <w:pStyle w:val="108"/>
      </w:pPr>
      <w:r>
        <w:rPr>
          <w:rFonts w:hint="eastAsia"/>
        </w:rPr>
        <w:t>Yodo N., Wang P.F., Zhou Z., 2017, Predictive Resilience Analysis of Complex Systems Using Dynamic Bayesian Networks, IEEE Transactions on Reliability, 66(3), 761–770.</w:t>
      </w:r>
    </w:p>
    <w:p w14:paraId="29EDDC41">
      <w:pPr>
        <w:pStyle w:val="108"/>
      </w:pPr>
      <w:r>
        <w:rPr>
          <w:rFonts w:hint="eastAsia"/>
        </w:rPr>
        <w:t>Zhang Y.Y., Dong C.T., Guo W.Q., Dai J.B., Zhao Z.M., 2022, Systems theoretic accident model and process (STAMP): A literature review, Safety Science, 152.</w:t>
      </w:r>
    </w:p>
    <w:p w14:paraId="42FBD035">
      <w:pPr>
        <w:pStyle w:val="108"/>
      </w:pPr>
    </w:p>
    <w:p w14:paraId="25278301">
      <w:pPr>
        <w:pStyle w:val="108"/>
      </w:pPr>
    </w:p>
    <w:sectPr>
      <w:type w:val="continuous"/>
      <w:pgSz w:w="11906" w:h="16838"/>
      <w:pgMar w:top="1701" w:right="1418" w:bottom="1701" w:left="1701" w:header="1701" w:footer="0" w:gutter="0"/>
      <w:pgBorders>
        <w:top w:val="none" w:sz="0" w:space="0"/>
        <w:left w:val="none" w:sz="0" w:space="0"/>
        <w:bottom w:val="none" w:sz="0" w:space="0"/>
        <w:right w:val="none" w:sz="0" w:space="0"/>
      </w:pgBorders>
      <w:cols w:space="708" w:num="1"/>
      <w:formProt w:val="0"/>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AdvP6960">
    <w:altName w:val="Cambria"/>
    <w:panose1 w:val="00000000000000000000"/>
    <w:charset w:val="4D"/>
    <w:family w:val="roman"/>
    <w:pitch w:val="default"/>
    <w:sig w:usb0="00000000" w:usb1="00000000" w:usb2="00000000" w:usb3="00000000" w:csb0="00000001" w:csb1="00000000"/>
  </w:font>
  <w:font w:name="Aptos">
    <w:altName w:val="Segoe Print"/>
    <w:panose1 w:val="00000000000000000000"/>
    <w:charset w:val="00"/>
    <w:family w:val="swiss"/>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6"/>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49"/>
      <w:lvlText w:val="%1."/>
      <w:lvlJc w:val="left"/>
      <w:pPr>
        <w:tabs>
          <w:tab w:val="left" w:pos="1209"/>
        </w:tabs>
        <w:ind w:left="1209" w:hanging="360"/>
      </w:pPr>
    </w:lvl>
  </w:abstractNum>
  <w:abstractNum w:abstractNumId="2">
    <w:nsid w:val="FFFFFF7E"/>
    <w:multiLevelType w:val="singleLevel"/>
    <w:tmpl w:val="FFFFFF7E"/>
    <w:lvl w:ilvl="0" w:tentative="0">
      <w:start w:val="1"/>
      <w:numFmt w:val="decimal"/>
      <w:pStyle w:val="38"/>
      <w:lvlText w:val="%1."/>
      <w:lvlJc w:val="left"/>
      <w:pPr>
        <w:tabs>
          <w:tab w:val="left" w:pos="926"/>
        </w:tabs>
        <w:ind w:left="926" w:hanging="360"/>
      </w:pPr>
    </w:lvl>
  </w:abstractNum>
  <w:abstractNum w:abstractNumId="3">
    <w:nsid w:val="FFFFFF7F"/>
    <w:multiLevelType w:val="singleLevel"/>
    <w:tmpl w:val="FFFFFF7F"/>
    <w:lvl w:ilvl="0" w:tentative="0">
      <w:start w:val="1"/>
      <w:numFmt w:val="decimal"/>
      <w:pStyle w:val="16"/>
      <w:lvlText w:val="%1."/>
      <w:lvlJc w:val="left"/>
      <w:pPr>
        <w:tabs>
          <w:tab w:val="left" w:pos="643"/>
        </w:tabs>
        <w:ind w:left="643" w:hanging="360"/>
      </w:pPr>
    </w:lvl>
  </w:abstractNum>
  <w:abstractNum w:abstractNumId="4">
    <w:nsid w:val="FFFFFF80"/>
    <w:multiLevelType w:val="singleLevel"/>
    <w:tmpl w:val="FFFFFF80"/>
    <w:lvl w:ilvl="0" w:tentative="0">
      <w:start w:val="1"/>
      <w:numFmt w:val="bullet"/>
      <w:pStyle w:val="48"/>
      <w:lvlText w:val=""/>
      <w:lvlJc w:val="left"/>
      <w:pPr>
        <w:tabs>
          <w:tab w:val="left" w:pos="1492"/>
        </w:tabs>
        <w:ind w:left="1492" w:hanging="360"/>
      </w:pPr>
      <w:rPr>
        <w:rFonts w:hint="default" w:ascii="Symbol" w:hAnsi="Symbol"/>
      </w:rPr>
    </w:lvl>
  </w:abstractNum>
  <w:abstractNum w:abstractNumId="5">
    <w:nsid w:val="FFFFFF81"/>
    <w:multiLevelType w:val="singleLevel"/>
    <w:tmpl w:val="FFFFFF81"/>
    <w:lvl w:ilvl="0" w:tentative="0">
      <w:start w:val="1"/>
      <w:numFmt w:val="bullet"/>
      <w:pStyle w:val="19"/>
      <w:lvlText w:val=""/>
      <w:lvlJc w:val="left"/>
      <w:pPr>
        <w:tabs>
          <w:tab w:val="left" w:pos="1209"/>
        </w:tabs>
        <w:ind w:left="1209" w:hanging="360"/>
      </w:pPr>
      <w:rPr>
        <w:rFonts w:hint="default" w:ascii="Symbol" w:hAnsi="Symbol"/>
      </w:rPr>
    </w:lvl>
  </w:abstractNum>
  <w:abstractNum w:abstractNumId="6">
    <w:nsid w:val="FFFFFF82"/>
    <w:multiLevelType w:val="singleLevel"/>
    <w:tmpl w:val="FFFFFF82"/>
    <w:lvl w:ilvl="0" w:tentative="0">
      <w:start w:val="1"/>
      <w:numFmt w:val="bullet"/>
      <w:pStyle w:val="35"/>
      <w:lvlText w:val=""/>
      <w:lvlJc w:val="left"/>
      <w:pPr>
        <w:tabs>
          <w:tab w:val="left" w:pos="926"/>
        </w:tabs>
        <w:ind w:left="926" w:hanging="360"/>
      </w:pPr>
      <w:rPr>
        <w:rFonts w:hint="default" w:ascii="Symbol" w:hAnsi="Symbol"/>
      </w:rPr>
    </w:lvl>
  </w:abstractNum>
  <w:abstractNum w:abstractNumId="7">
    <w:nsid w:val="FFFFFF83"/>
    <w:multiLevelType w:val="singleLevel"/>
    <w:tmpl w:val="FFFFFF83"/>
    <w:lvl w:ilvl="0" w:tentative="0">
      <w:start w:val="1"/>
      <w:numFmt w:val="bullet"/>
      <w:pStyle w:val="42"/>
      <w:lvlText w:val=""/>
      <w:lvlJc w:val="left"/>
      <w:pPr>
        <w:tabs>
          <w:tab w:val="left" w:pos="643"/>
        </w:tabs>
        <w:ind w:left="643" w:hanging="360"/>
      </w:pPr>
      <w:rPr>
        <w:rFonts w:hint="default" w:ascii="Symbol" w:hAnsi="Symbol"/>
      </w:rPr>
    </w:lvl>
  </w:abstractNum>
  <w:abstractNum w:abstractNumId="8">
    <w:nsid w:val="FFFFFF88"/>
    <w:multiLevelType w:val="singleLevel"/>
    <w:tmpl w:val="FFFFFF88"/>
    <w:lvl w:ilvl="0" w:tentative="0">
      <w:start w:val="1"/>
      <w:numFmt w:val="decimal"/>
      <w:pStyle w:val="22"/>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6"/>
      <w:lvlText w:val=""/>
      <w:lvlJc w:val="left"/>
      <w:pPr>
        <w:tabs>
          <w:tab w:val="left" w:pos="360"/>
        </w:tabs>
        <w:ind w:left="360" w:hanging="360"/>
      </w:pPr>
      <w:rPr>
        <w:rFonts w:hint="default" w:ascii="Symbol" w:hAnsi="Symbol"/>
      </w:rPr>
    </w:lvl>
  </w:abstractNum>
  <w:abstractNum w:abstractNumId="10">
    <w:nsid w:val="2438217E"/>
    <w:multiLevelType w:val="multilevel"/>
    <w:tmpl w:val="2438217E"/>
    <w:lvl w:ilvl="0" w:tentative="0">
      <w:start w:val="1"/>
      <w:numFmt w:val="decimal"/>
      <w:suff w:val="space"/>
      <w:lvlText w:val="Chapter %1"/>
      <w:lvlJc w:val="left"/>
      <w:pPr>
        <w:ind w:left="0" w:firstLine="0"/>
      </w:pPr>
      <w:rPr>
        <w:rFonts w:hint="default"/>
      </w:rPr>
    </w:lvl>
    <w:lvl w:ilvl="1" w:tentative="0">
      <w:start w:val="1"/>
      <w:numFmt w:val="decimal"/>
      <w:pStyle w:val="4"/>
      <w:suff w:val="space"/>
      <w:lvlText w:val="%2."/>
      <w:lvlJc w:val="left"/>
      <w:pPr>
        <w:ind w:left="0" w:firstLine="0"/>
      </w:pPr>
      <w:rPr>
        <w:rFonts w:hint="default"/>
      </w:rPr>
    </w:lvl>
    <w:lvl w:ilvl="2" w:tentative="0">
      <w:start w:val="1"/>
      <w:numFmt w:val="decimal"/>
      <w:pStyle w:val="98"/>
      <w:suff w:val="space"/>
      <w:lvlText w:val="%2.%3"/>
      <w:lvlJc w:val="left"/>
      <w:pPr>
        <w:ind w:left="0" w:firstLine="0"/>
      </w:pPr>
      <w:rPr>
        <w:rFonts w:hint="default"/>
      </w:rPr>
    </w:lvl>
    <w:lvl w:ilvl="3" w:tentative="0">
      <w:start w:val="1"/>
      <w:numFmt w:val="decimal"/>
      <w:suff w:val="space"/>
      <w:lvlText w:val="%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3.%4.%5.%6.%7.%8.%9."/>
      <w:lvlJc w:val="left"/>
      <w:pPr>
        <w:ind w:left="0" w:firstLine="0"/>
      </w:pPr>
      <w:rPr>
        <w:rFonts w:hint="default"/>
      </w:rPr>
    </w:lvl>
  </w:abstractNum>
  <w:abstractNum w:abstractNumId="11">
    <w:nsid w:val="351E0394"/>
    <w:multiLevelType w:val="multilevel"/>
    <w:tmpl w:val="351E0394"/>
    <w:lvl w:ilvl="0" w:tentative="0">
      <w:start w:val="1"/>
      <w:numFmt w:val="bullet"/>
      <w:pStyle w:val="146"/>
      <w:lvlText w:val=""/>
      <w:lvlJc w:val="left"/>
      <w:pPr>
        <w:ind w:left="340" w:hanging="227"/>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5AD311D0"/>
    <w:multiLevelType w:val="multilevel"/>
    <w:tmpl w:val="5AD311D0"/>
    <w:lvl w:ilvl="0" w:tentative="0">
      <w:start w:val="1"/>
      <w:numFmt w:val="decimal"/>
      <w:pStyle w:val="147"/>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6865266D"/>
    <w:multiLevelType w:val="multilevel"/>
    <w:tmpl w:val="6865266D"/>
    <w:lvl w:ilvl="0" w:tentative="0">
      <w:start w:val="1"/>
      <w:numFmt w:val="lowerLetter"/>
      <w:pStyle w:val="148"/>
      <w:lvlText w:val="%1."/>
      <w:lvlJc w:val="left"/>
      <w:pPr>
        <w:ind w:left="340" w:hanging="227"/>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0"/>
  </w:num>
  <w:num w:numId="2">
    <w:abstractNumId w:val="3"/>
  </w:num>
  <w:num w:numId="3">
    <w:abstractNumId w:val="5"/>
  </w:num>
  <w:num w:numId="4">
    <w:abstractNumId w:val="8"/>
  </w:num>
  <w:num w:numId="5">
    <w:abstractNumId w:val="9"/>
  </w:num>
  <w:num w:numId="6">
    <w:abstractNumId w:val="6"/>
  </w:num>
  <w:num w:numId="7">
    <w:abstractNumId w:val="2"/>
  </w:num>
  <w:num w:numId="8">
    <w:abstractNumId w:val="7"/>
  </w:num>
  <w:num w:numId="9">
    <w:abstractNumId w:val="4"/>
  </w:num>
  <w:num w:numId="10">
    <w:abstractNumId w:val="1"/>
  </w:num>
  <w:num w:numId="11">
    <w:abstractNumId w:val="0"/>
  </w:num>
  <w:num w:numId="12">
    <w:abstractNumId w:val="11"/>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Layout" w:val="&lt;ENLayout&gt;&lt;Style&gt;Transp Sci 复制1&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s2ptrzzgr09tle9pxspe0seww9dttpr0pzd&quot;&gt;我的EndNote库&lt;record-ids&gt;&lt;item&gt;343&lt;/item&gt;&lt;item&gt;344&lt;/item&gt;&lt;/record-ids&gt;&lt;/item&gt;&lt;/Libraries&gt;"/>
  </w:docVars>
  <w:rsids>
    <w:rsidRoot w:val="000E414A"/>
    <w:rsid w:val="000027C0"/>
    <w:rsid w:val="000052FB"/>
    <w:rsid w:val="00005A19"/>
    <w:rsid w:val="000117CB"/>
    <w:rsid w:val="0003148D"/>
    <w:rsid w:val="00031EEC"/>
    <w:rsid w:val="00042621"/>
    <w:rsid w:val="00051566"/>
    <w:rsid w:val="000562A9"/>
    <w:rsid w:val="00062A9A"/>
    <w:rsid w:val="00062E51"/>
    <w:rsid w:val="00065058"/>
    <w:rsid w:val="00086C39"/>
    <w:rsid w:val="000A03B2"/>
    <w:rsid w:val="000B267C"/>
    <w:rsid w:val="000D0268"/>
    <w:rsid w:val="000D34BE"/>
    <w:rsid w:val="000E0B3C"/>
    <w:rsid w:val="000E102F"/>
    <w:rsid w:val="000E36F1"/>
    <w:rsid w:val="000E3A73"/>
    <w:rsid w:val="000E414A"/>
    <w:rsid w:val="000E75FD"/>
    <w:rsid w:val="000F093C"/>
    <w:rsid w:val="000F787B"/>
    <w:rsid w:val="0012091F"/>
    <w:rsid w:val="00126BC2"/>
    <w:rsid w:val="001308B6"/>
    <w:rsid w:val="0013121F"/>
    <w:rsid w:val="00131FE6"/>
    <w:rsid w:val="0013263F"/>
    <w:rsid w:val="001331DF"/>
    <w:rsid w:val="00134DE4"/>
    <w:rsid w:val="0014034D"/>
    <w:rsid w:val="00140FE3"/>
    <w:rsid w:val="00144D16"/>
    <w:rsid w:val="00150E59"/>
    <w:rsid w:val="00152DE3"/>
    <w:rsid w:val="00164CF9"/>
    <w:rsid w:val="001667A6"/>
    <w:rsid w:val="0018171E"/>
    <w:rsid w:val="00184AD6"/>
    <w:rsid w:val="001A4AF7"/>
    <w:rsid w:val="001B0349"/>
    <w:rsid w:val="001B1E93"/>
    <w:rsid w:val="001B65C1"/>
    <w:rsid w:val="001C260F"/>
    <w:rsid w:val="001C5C3A"/>
    <w:rsid w:val="001C684B"/>
    <w:rsid w:val="001D0CFB"/>
    <w:rsid w:val="001D21AF"/>
    <w:rsid w:val="001D53FC"/>
    <w:rsid w:val="001F42A5"/>
    <w:rsid w:val="001F7B9D"/>
    <w:rsid w:val="00201C93"/>
    <w:rsid w:val="002224B4"/>
    <w:rsid w:val="002447EF"/>
    <w:rsid w:val="00251550"/>
    <w:rsid w:val="00263B05"/>
    <w:rsid w:val="0027221A"/>
    <w:rsid w:val="00275B61"/>
    <w:rsid w:val="00280FAF"/>
    <w:rsid w:val="00282656"/>
    <w:rsid w:val="00296B83"/>
    <w:rsid w:val="002B4015"/>
    <w:rsid w:val="002B78CE"/>
    <w:rsid w:val="002C2FB6"/>
    <w:rsid w:val="002E5FA7"/>
    <w:rsid w:val="002F3309"/>
    <w:rsid w:val="003008CE"/>
    <w:rsid w:val="003009B7"/>
    <w:rsid w:val="00300E56"/>
    <w:rsid w:val="0030152C"/>
    <w:rsid w:val="0030469C"/>
    <w:rsid w:val="0032156A"/>
    <w:rsid w:val="00321CA6"/>
    <w:rsid w:val="00323763"/>
    <w:rsid w:val="00323C5F"/>
    <w:rsid w:val="00334C09"/>
    <w:rsid w:val="003723D4"/>
    <w:rsid w:val="00381905"/>
    <w:rsid w:val="00384CC8"/>
    <w:rsid w:val="003871FD"/>
    <w:rsid w:val="003A1E30"/>
    <w:rsid w:val="003A2829"/>
    <w:rsid w:val="003A7D1C"/>
    <w:rsid w:val="003B304B"/>
    <w:rsid w:val="003B3146"/>
    <w:rsid w:val="003B49CD"/>
    <w:rsid w:val="003D1E02"/>
    <w:rsid w:val="003F015E"/>
    <w:rsid w:val="003F0201"/>
    <w:rsid w:val="00400414"/>
    <w:rsid w:val="0041446B"/>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C3D1D"/>
    <w:rsid w:val="004C3D84"/>
    <w:rsid w:val="004C7913"/>
    <w:rsid w:val="004E4DD6"/>
    <w:rsid w:val="004F5E36"/>
    <w:rsid w:val="00507B47"/>
    <w:rsid w:val="00507BEF"/>
    <w:rsid w:val="00507CC9"/>
    <w:rsid w:val="005119A5"/>
    <w:rsid w:val="005278B7"/>
    <w:rsid w:val="00532016"/>
    <w:rsid w:val="005346C8"/>
    <w:rsid w:val="005424FC"/>
    <w:rsid w:val="00543E7D"/>
    <w:rsid w:val="00547A68"/>
    <w:rsid w:val="005531C9"/>
    <w:rsid w:val="00554879"/>
    <w:rsid w:val="00570C43"/>
    <w:rsid w:val="00592274"/>
    <w:rsid w:val="005A0BCC"/>
    <w:rsid w:val="005B2110"/>
    <w:rsid w:val="005B350B"/>
    <w:rsid w:val="005B61E6"/>
    <w:rsid w:val="005C77E1"/>
    <w:rsid w:val="005D668A"/>
    <w:rsid w:val="005D6A2F"/>
    <w:rsid w:val="005E0592"/>
    <w:rsid w:val="005E1A82"/>
    <w:rsid w:val="005E794C"/>
    <w:rsid w:val="005F0A28"/>
    <w:rsid w:val="005F0E5E"/>
    <w:rsid w:val="00600535"/>
    <w:rsid w:val="00610CD6"/>
    <w:rsid w:val="00620DEE"/>
    <w:rsid w:val="00621F92"/>
    <w:rsid w:val="0062280A"/>
    <w:rsid w:val="006231E1"/>
    <w:rsid w:val="00625639"/>
    <w:rsid w:val="00631B33"/>
    <w:rsid w:val="0064184D"/>
    <w:rsid w:val="006422CC"/>
    <w:rsid w:val="00651D18"/>
    <w:rsid w:val="00660E3E"/>
    <w:rsid w:val="00662E74"/>
    <w:rsid w:val="00680C23"/>
    <w:rsid w:val="00683E23"/>
    <w:rsid w:val="00693766"/>
    <w:rsid w:val="006A3281"/>
    <w:rsid w:val="006A6DE5"/>
    <w:rsid w:val="006B4888"/>
    <w:rsid w:val="006C2E45"/>
    <w:rsid w:val="006C359C"/>
    <w:rsid w:val="006C5579"/>
    <w:rsid w:val="006D6E8B"/>
    <w:rsid w:val="006D7209"/>
    <w:rsid w:val="006E737D"/>
    <w:rsid w:val="00707DD1"/>
    <w:rsid w:val="00713973"/>
    <w:rsid w:val="00720A24"/>
    <w:rsid w:val="00732386"/>
    <w:rsid w:val="0073514D"/>
    <w:rsid w:val="00742CF1"/>
    <w:rsid w:val="007447F3"/>
    <w:rsid w:val="0075499F"/>
    <w:rsid w:val="007661C8"/>
    <w:rsid w:val="0077098D"/>
    <w:rsid w:val="00785BF9"/>
    <w:rsid w:val="007931FA"/>
    <w:rsid w:val="007A4861"/>
    <w:rsid w:val="007A7BBA"/>
    <w:rsid w:val="007B0C50"/>
    <w:rsid w:val="007B48F9"/>
    <w:rsid w:val="007C1A43"/>
    <w:rsid w:val="007D0951"/>
    <w:rsid w:val="007D610D"/>
    <w:rsid w:val="0080013E"/>
    <w:rsid w:val="00801759"/>
    <w:rsid w:val="00813288"/>
    <w:rsid w:val="008168FC"/>
    <w:rsid w:val="00830996"/>
    <w:rsid w:val="008345F1"/>
    <w:rsid w:val="00865B07"/>
    <w:rsid w:val="008667EA"/>
    <w:rsid w:val="0087637F"/>
    <w:rsid w:val="00892AD5"/>
    <w:rsid w:val="008A1512"/>
    <w:rsid w:val="008D32B9"/>
    <w:rsid w:val="008D433B"/>
    <w:rsid w:val="008D4A16"/>
    <w:rsid w:val="008E5401"/>
    <w:rsid w:val="008E566E"/>
    <w:rsid w:val="0090161A"/>
    <w:rsid w:val="00901EB6"/>
    <w:rsid w:val="009041F8"/>
    <w:rsid w:val="00904C62"/>
    <w:rsid w:val="00922BA8"/>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93B84"/>
    <w:rsid w:val="00994C6A"/>
    <w:rsid w:val="00996483"/>
    <w:rsid w:val="00996F5A"/>
    <w:rsid w:val="009B041A"/>
    <w:rsid w:val="009C37C3"/>
    <w:rsid w:val="009C7C86"/>
    <w:rsid w:val="009D2FF7"/>
    <w:rsid w:val="009E7884"/>
    <w:rsid w:val="009E788A"/>
    <w:rsid w:val="009F0E08"/>
    <w:rsid w:val="00A079AE"/>
    <w:rsid w:val="00A1763D"/>
    <w:rsid w:val="00A17CEC"/>
    <w:rsid w:val="00A27EF0"/>
    <w:rsid w:val="00A42361"/>
    <w:rsid w:val="00A50B20"/>
    <w:rsid w:val="00A51390"/>
    <w:rsid w:val="00A60D13"/>
    <w:rsid w:val="00A7223D"/>
    <w:rsid w:val="00A72745"/>
    <w:rsid w:val="00A76EFC"/>
    <w:rsid w:val="00A87D50"/>
    <w:rsid w:val="00A91010"/>
    <w:rsid w:val="00A97F29"/>
    <w:rsid w:val="00AA702E"/>
    <w:rsid w:val="00AA7D26"/>
    <w:rsid w:val="00AB0964"/>
    <w:rsid w:val="00AB3F7E"/>
    <w:rsid w:val="00AB5011"/>
    <w:rsid w:val="00AC7368"/>
    <w:rsid w:val="00AD16B9"/>
    <w:rsid w:val="00AE377D"/>
    <w:rsid w:val="00AF0EBA"/>
    <w:rsid w:val="00AF2463"/>
    <w:rsid w:val="00B02C8A"/>
    <w:rsid w:val="00B17FBD"/>
    <w:rsid w:val="00B315A6"/>
    <w:rsid w:val="00B31813"/>
    <w:rsid w:val="00B33365"/>
    <w:rsid w:val="00B57B36"/>
    <w:rsid w:val="00B57E6F"/>
    <w:rsid w:val="00B8686D"/>
    <w:rsid w:val="00B93F69"/>
    <w:rsid w:val="00BB1DDC"/>
    <w:rsid w:val="00BC30C9"/>
    <w:rsid w:val="00BD077D"/>
    <w:rsid w:val="00BE3E58"/>
    <w:rsid w:val="00BF13CE"/>
    <w:rsid w:val="00C01616"/>
    <w:rsid w:val="00C0162B"/>
    <w:rsid w:val="00C068ED"/>
    <w:rsid w:val="00C22E0C"/>
    <w:rsid w:val="00C345B1"/>
    <w:rsid w:val="00C40142"/>
    <w:rsid w:val="00C52C3C"/>
    <w:rsid w:val="00C57182"/>
    <w:rsid w:val="00C57863"/>
    <w:rsid w:val="00C640AF"/>
    <w:rsid w:val="00C64B63"/>
    <w:rsid w:val="00C655FD"/>
    <w:rsid w:val="00C75407"/>
    <w:rsid w:val="00C841C6"/>
    <w:rsid w:val="00C870A8"/>
    <w:rsid w:val="00C94434"/>
    <w:rsid w:val="00CA0D75"/>
    <w:rsid w:val="00CA1C95"/>
    <w:rsid w:val="00CA5A9C"/>
    <w:rsid w:val="00CC4C20"/>
    <w:rsid w:val="00CD3517"/>
    <w:rsid w:val="00CD5FE2"/>
    <w:rsid w:val="00CE7C68"/>
    <w:rsid w:val="00D02B4C"/>
    <w:rsid w:val="00D040C4"/>
    <w:rsid w:val="00D20AD1"/>
    <w:rsid w:val="00D2582C"/>
    <w:rsid w:val="00D46B7E"/>
    <w:rsid w:val="00D57C84"/>
    <w:rsid w:val="00D6057D"/>
    <w:rsid w:val="00D71640"/>
    <w:rsid w:val="00D7676F"/>
    <w:rsid w:val="00D836C5"/>
    <w:rsid w:val="00D84576"/>
    <w:rsid w:val="00DA1399"/>
    <w:rsid w:val="00DA24C6"/>
    <w:rsid w:val="00DA4D7B"/>
    <w:rsid w:val="00DC2840"/>
    <w:rsid w:val="00DC73EE"/>
    <w:rsid w:val="00DD271C"/>
    <w:rsid w:val="00DE264A"/>
    <w:rsid w:val="00DF5072"/>
    <w:rsid w:val="00E02D18"/>
    <w:rsid w:val="00E041E7"/>
    <w:rsid w:val="00E23CA1"/>
    <w:rsid w:val="00E409A8"/>
    <w:rsid w:val="00E50C12"/>
    <w:rsid w:val="00E65B91"/>
    <w:rsid w:val="00E7209D"/>
    <w:rsid w:val="00E72EAD"/>
    <w:rsid w:val="00E77223"/>
    <w:rsid w:val="00E8528B"/>
    <w:rsid w:val="00E85B94"/>
    <w:rsid w:val="00E978D0"/>
    <w:rsid w:val="00EA4613"/>
    <w:rsid w:val="00EA7F91"/>
    <w:rsid w:val="00EB1523"/>
    <w:rsid w:val="00EC0E49"/>
    <w:rsid w:val="00EC101F"/>
    <w:rsid w:val="00EC1D9F"/>
    <w:rsid w:val="00EE0131"/>
    <w:rsid w:val="00EE17B0"/>
    <w:rsid w:val="00EF06D9"/>
    <w:rsid w:val="00F27EE4"/>
    <w:rsid w:val="00F3049E"/>
    <w:rsid w:val="00F30C64"/>
    <w:rsid w:val="00F32BA2"/>
    <w:rsid w:val="00F32CDB"/>
    <w:rsid w:val="00F41EE4"/>
    <w:rsid w:val="00F565FE"/>
    <w:rsid w:val="00F63A70"/>
    <w:rsid w:val="00F63D8C"/>
    <w:rsid w:val="00F7534E"/>
    <w:rsid w:val="00F93EDF"/>
    <w:rsid w:val="00FA1802"/>
    <w:rsid w:val="00FA21D0"/>
    <w:rsid w:val="00FA5F5F"/>
    <w:rsid w:val="00FB730C"/>
    <w:rsid w:val="00FC2695"/>
    <w:rsid w:val="00FC3E03"/>
    <w:rsid w:val="00FC3FC1"/>
    <w:rsid w:val="023615AF"/>
    <w:rsid w:val="0972111F"/>
    <w:rsid w:val="117016A9"/>
    <w:rsid w:val="138C7281"/>
    <w:rsid w:val="1DD261D8"/>
    <w:rsid w:val="21841550"/>
    <w:rsid w:val="231D6147"/>
    <w:rsid w:val="28F90ABD"/>
    <w:rsid w:val="2EE9177F"/>
    <w:rsid w:val="312D1C4B"/>
    <w:rsid w:val="38325D99"/>
    <w:rsid w:val="40524283"/>
    <w:rsid w:val="47415EC3"/>
    <w:rsid w:val="4ADD17CC"/>
    <w:rsid w:val="4D3D4B6D"/>
    <w:rsid w:val="53E3308D"/>
    <w:rsid w:val="553A70E4"/>
    <w:rsid w:val="68D0468F"/>
    <w:rsid w:val="6CB247D7"/>
    <w:rsid w:val="6CC4450B"/>
    <w:rsid w:val="73171838"/>
    <w:rsid w:val="73255B05"/>
    <w:rsid w:val="747F7695"/>
    <w:rsid w:val="7B0F7299"/>
  </w:rsids>
  <m:mathPr>
    <m:mathFont m:val="Cambria Math"/>
    <m:brkBin m:val="before"/>
    <m:brkBinSub m:val="--"/>
    <m:smallFrac m:val="0"/>
    <m:dispDef/>
    <m:lMargin m:val="0"/>
    <m:rMargin m:val="0"/>
    <m:defJc m:val="centerGroup"/>
    <m:wrapIndent m:val="1440"/>
    <m:intLim m:val="subSup"/>
    <m:naryLim m:val="undOvr"/>
  </m:mathPr>
  <w:doNotAutoCompressPictures/>
  <w:themeFontLang w:val="it-IT" w:eastAsia="zh-CN"/>
  <w:clrSchemeMapping w:bg1="light1" w:t1="dark1" w:bg2="light2" w:t2="dark2" w:accent1="accent1" w:accent2="accent2" w:accent3="accent3" w:accent4="accent4" w:accent5="accent5" w:accent6="accent6" w:hyperlink="hyperlink" w:followedHyperlink="followedHyperlink"/>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iPriority="39" w:name="toc 1"/>
    <w:lsdException w:qFormat="1" w:uiPriority="39" w:name="toc 2"/>
    <w:lsdException w:qFormat="1" w:uiPriority="39"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qFormat="1" w:uiPriority="99" w:name="index heading"/>
    <w:lsdException w:qFormat="1" w:uiPriority="35" w:name="caption"/>
    <w:lsdException w:qFormat="1" w:uiPriority="99" w:name="table of figures"/>
    <w:lsdException w:qFormat="1" w:uiPriority="99" w:name="envelope address"/>
    <w:lsdException w:qFormat="1"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unhideWhenUsed="0" w:uiPriority="10" w:semiHidden="0" w:name="Title"/>
    <w:lsdException w:qFormat="1" w:uiPriority="99" w:name="Closing"/>
    <w:lsdException w:qFormat="1" w:uiPriority="99" w:name="Signature"/>
    <w:lsdException w:qFormat="1" w:uiPriority="1" w:semiHidden="0" w:name="Default Paragraph Font"/>
    <w:lsdException w:qFormat="1" w:uiPriority="99" w:name="Body Text"/>
    <w:lsdException w:qFormat="1" w:uiPriority="99"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unhideWhenUsed="0" w:uiPriority="11" w:semiHidden="0" w:name="Subtitle"/>
    <w:lsdException w:qFormat="1" w:uiPriority="99" w:name="Salutation"/>
    <w:lsdException w:qFormat="1" w:uiPriority="99" w:name="Date"/>
    <w:lsdException w:qFormat="1" w:uiPriority="99"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qFormat="1" w:uiPriority="99" w:name="Document Map"/>
    <w:lsdException w:qFormat="1" w:uiPriority="99" w:name="Plain Text"/>
    <w:lsdException w:qFormat="1" w:uiPriority="99" w:name="E-mail Signature"/>
    <w:lsdException w:qFormat="1" w:uiPriority="99"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qFormat="1" w:unhideWhenUsed="0" w:uiPriority="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tabs>
        <w:tab w:val="right" w:pos="7100"/>
      </w:tabs>
      <w:spacing w:line="264" w:lineRule="auto"/>
      <w:jc w:val="both"/>
    </w:pPr>
    <w:rPr>
      <w:rFonts w:ascii="Arial" w:hAnsi="Arial" w:eastAsia="Times New Roman" w:cs="Times New Roman"/>
      <w:sz w:val="18"/>
      <w:lang w:val="en-GB" w:eastAsia="en-US" w:bidi="ar-SA"/>
    </w:rPr>
  </w:style>
  <w:style w:type="paragraph" w:styleId="3">
    <w:name w:val="heading 1"/>
    <w:basedOn w:val="4"/>
    <w:next w:val="1"/>
    <w:link w:val="133"/>
    <w:qFormat/>
    <w:uiPriority w:val="9"/>
    <w:pPr>
      <w:tabs>
        <w:tab w:val="left" w:pos="360"/>
        <w:tab w:val="right" w:pos="7100"/>
      </w:tabs>
      <w:jc w:val="both"/>
      <w:outlineLvl w:val="0"/>
    </w:pPr>
    <w:rPr>
      <w:lang w:val="en-GB"/>
    </w:rPr>
  </w:style>
  <w:style w:type="paragraph" w:styleId="6">
    <w:name w:val="heading 2"/>
    <w:basedOn w:val="1"/>
    <w:next w:val="1"/>
    <w:link w:val="134"/>
    <w:semiHidden/>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7">
    <w:name w:val="heading 3"/>
    <w:basedOn w:val="1"/>
    <w:next w:val="1"/>
    <w:link w:val="135"/>
    <w:semiHidden/>
    <w:unhideWhenUsed/>
    <w:qFormat/>
    <w:uiPriority w:val="9"/>
    <w:pPr>
      <w:keepNext/>
      <w:keepLines/>
      <w:spacing w:before="20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8">
    <w:name w:val="heading 4"/>
    <w:basedOn w:val="1"/>
    <w:next w:val="1"/>
    <w:link w:val="136"/>
    <w:semiHidden/>
    <w:unhideWhenUsed/>
    <w:qFormat/>
    <w:uiPriority w:val="9"/>
    <w:pPr>
      <w:keepNext/>
      <w:keepLines/>
      <w:spacing w:before="20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9">
    <w:name w:val="heading 5"/>
    <w:basedOn w:val="1"/>
    <w:next w:val="1"/>
    <w:link w:val="137"/>
    <w:semiHidden/>
    <w:unhideWhenUsed/>
    <w:qFormat/>
    <w:uiPriority w:val="9"/>
    <w:pPr>
      <w:keepNext/>
      <w:keepLines/>
      <w:spacing w:before="200"/>
      <w:outlineLvl w:val="4"/>
    </w:pPr>
    <w:rPr>
      <w:rFonts w:asciiTheme="majorHAnsi" w:hAnsiTheme="majorHAnsi" w:eastAsiaTheme="majorEastAsia" w:cstheme="majorBidi"/>
      <w:color w:val="254061" w:themeColor="accent1" w:themeShade="80"/>
    </w:rPr>
  </w:style>
  <w:style w:type="paragraph" w:styleId="10">
    <w:name w:val="heading 6"/>
    <w:basedOn w:val="1"/>
    <w:next w:val="1"/>
    <w:link w:val="138"/>
    <w:semiHidden/>
    <w:unhideWhenUsed/>
    <w:qFormat/>
    <w:uiPriority w:val="9"/>
    <w:pPr>
      <w:keepNext/>
      <w:keepLines/>
      <w:spacing w:before="200"/>
      <w:outlineLvl w:val="5"/>
    </w:pPr>
    <w:rPr>
      <w:rFonts w:asciiTheme="majorHAnsi" w:hAnsiTheme="majorHAnsi" w:eastAsiaTheme="majorEastAsia" w:cstheme="majorBidi"/>
      <w:i/>
      <w:iCs/>
      <w:color w:val="254061" w:themeColor="accent1" w:themeShade="80"/>
    </w:rPr>
  </w:style>
  <w:style w:type="paragraph" w:styleId="11">
    <w:name w:val="heading 7"/>
    <w:basedOn w:val="1"/>
    <w:next w:val="1"/>
    <w:link w:val="139"/>
    <w:semiHidden/>
    <w:unhideWhenUsed/>
    <w:qFormat/>
    <w:uiPriority w:val="9"/>
    <w:pPr>
      <w:keepNext/>
      <w:keepLines/>
      <w:spacing w:before="20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2">
    <w:name w:val="heading 8"/>
    <w:basedOn w:val="1"/>
    <w:next w:val="1"/>
    <w:link w:val="140"/>
    <w:semiHidden/>
    <w:unhideWhenUsed/>
    <w:qFormat/>
    <w:uiPriority w:val="9"/>
    <w:pPr>
      <w:keepNext/>
      <w:keepLines/>
      <w:spacing w:before="200"/>
      <w:outlineLvl w:val="7"/>
    </w:pPr>
    <w:rPr>
      <w:rFonts w:asciiTheme="majorHAnsi" w:hAnsiTheme="majorHAnsi" w:eastAsiaTheme="majorEastAsia" w:cstheme="majorBidi"/>
      <w:color w:val="404040" w:themeColor="text1" w:themeTint="BF"/>
      <w14:textFill>
        <w14:solidFill>
          <w14:schemeClr w14:val="tx1">
            <w14:lumMod w14:val="75000"/>
            <w14:lumOff w14:val="25000"/>
          </w14:schemeClr>
        </w14:solidFill>
      </w14:textFill>
    </w:rPr>
  </w:style>
  <w:style w:type="paragraph" w:styleId="13">
    <w:name w:val="heading 9"/>
    <w:basedOn w:val="1"/>
    <w:next w:val="1"/>
    <w:link w:val="141"/>
    <w:semiHidden/>
    <w:unhideWhenUsed/>
    <w:qFormat/>
    <w:uiPriority w:val="9"/>
    <w:pPr>
      <w:keepNext/>
      <w:keepLines/>
      <w:spacing w:before="200"/>
      <w:outlineLvl w:val="8"/>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default="1" w:styleId="91">
    <w:name w:val="Default Paragraph Font"/>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29"/>
    <w:semiHidden/>
    <w:unhideWhenUsed/>
    <w:qFormat/>
    <w:uiPriority w:val="99"/>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eastAsiaTheme="minorHAnsi"/>
      <w:lang w:val="it-IT" w:eastAsia="en-US" w:bidi="ar-SA"/>
    </w:rPr>
  </w:style>
  <w:style w:type="paragraph" w:customStyle="1" w:styleId="4">
    <w:name w:val="CET Heading1"/>
    <w:next w:val="5"/>
    <w:qFormat/>
    <w:uiPriority w:val="0"/>
    <w:pPr>
      <w:keepNext/>
      <w:numPr>
        <w:ilvl w:val="1"/>
        <w:numId w:val="1"/>
      </w:numPr>
      <w:tabs>
        <w:tab w:val="left" w:pos="360"/>
      </w:tabs>
      <w:suppressAutoHyphens/>
      <w:spacing w:before="240" w:after="120"/>
    </w:pPr>
    <w:rPr>
      <w:rFonts w:ascii="Arial" w:hAnsi="Arial" w:eastAsia="Times New Roman" w:cs="Times New Roman"/>
      <w:b/>
      <w:lang w:val="en-US" w:eastAsia="en-US" w:bidi="ar-SA"/>
    </w:rPr>
  </w:style>
  <w:style w:type="paragraph" w:customStyle="1" w:styleId="5">
    <w:name w:val="CET Body text"/>
    <w:link w:val="100"/>
    <w:qFormat/>
    <w:uiPriority w:val="0"/>
    <w:pPr>
      <w:tabs>
        <w:tab w:val="right" w:pos="7100"/>
      </w:tabs>
      <w:spacing w:line="264" w:lineRule="auto"/>
      <w:jc w:val="both"/>
    </w:pPr>
    <w:rPr>
      <w:rFonts w:ascii="Arial" w:hAnsi="Arial" w:eastAsia="Times New Roman" w:cs="Times New Roman"/>
      <w:sz w:val="18"/>
      <w:lang w:val="en-US" w:eastAsia="en-US" w:bidi="ar-SA"/>
    </w:rPr>
  </w:style>
  <w:style w:type="paragraph" w:styleId="14">
    <w:name w:val="List 3"/>
    <w:basedOn w:val="1"/>
    <w:semiHidden/>
    <w:unhideWhenUsed/>
    <w:qFormat/>
    <w:uiPriority w:val="99"/>
    <w:pPr>
      <w:ind w:left="849" w:hanging="283"/>
      <w:contextualSpacing/>
    </w:pPr>
  </w:style>
  <w:style w:type="paragraph" w:styleId="15">
    <w:name w:val="toc 7"/>
    <w:basedOn w:val="1"/>
    <w:next w:val="1"/>
    <w:autoRedefine/>
    <w:semiHidden/>
    <w:unhideWhenUsed/>
    <w:qFormat/>
    <w:uiPriority w:val="39"/>
    <w:pPr>
      <w:spacing w:after="100"/>
      <w:ind w:left="1320"/>
    </w:pPr>
  </w:style>
  <w:style w:type="paragraph" w:styleId="16">
    <w:name w:val="List Number 2"/>
    <w:basedOn w:val="1"/>
    <w:semiHidden/>
    <w:unhideWhenUsed/>
    <w:qFormat/>
    <w:uiPriority w:val="99"/>
    <w:pPr>
      <w:numPr>
        <w:ilvl w:val="0"/>
        <w:numId w:val="2"/>
      </w:numPr>
      <w:contextualSpacing/>
    </w:pPr>
  </w:style>
  <w:style w:type="paragraph" w:styleId="17">
    <w:name w:val="table of authorities"/>
    <w:basedOn w:val="1"/>
    <w:next w:val="1"/>
    <w:semiHidden/>
    <w:unhideWhenUsed/>
    <w:qFormat/>
    <w:uiPriority w:val="99"/>
    <w:pPr>
      <w:ind w:left="220" w:hanging="220"/>
    </w:pPr>
  </w:style>
  <w:style w:type="paragraph" w:styleId="18">
    <w:name w:val="Note Heading"/>
    <w:basedOn w:val="1"/>
    <w:next w:val="1"/>
    <w:link w:val="119"/>
    <w:semiHidden/>
    <w:unhideWhenUsed/>
    <w:qFormat/>
    <w:uiPriority w:val="99"/>
    <w:pPr>
      <w:spacing w:line="240" w:lineRule="auto"/>
    </w:pPr>
  </w:style>
  <w:style w:type="paragraph" w:styleId="19">
    <w:name w:val="List Bullet 4"/>
    <w:basedOn w:val="1"/>
    <w:semiHidden/>
    <w:unhideWhenUsed/>
    <w:qFormat/>
    <w:uiPriority w:val="99"/>
    <w:pPr>
      <w:numPr>
        <w:ilvl w:val="0"/>
        <w:numId w:val="3"/>
      </w:numPr>
      <w:contextualSpacing/>
    </w:pPr>
  </w:style>
  <w:style w:type="paragraph" w:styleId="20">
    <w:name w:val="index 8"/>
    <w:basedOn w:val="1"/>
    <w:next w:val="1"/>
    <w:autoRedefine/>
    <w:semiHidden/>
    <w:unhideWhenUsed/>
    <w:qFormat/>
    <w:uiPriority w:val="99"/>
    <w:pPr>
      <w:spacing w:line="240" w:lineRule="auto"/>
      <w:ind w:left="1760" w:hanging="220"/>
    </w:pPr>
  </w:style>
  <w:style w:type="paragraph" w:styleId="21">
    <w:name w:val="E-mail Signature"/>
    <w:basedOn w:val="1"/>
    <w:link w:val="114"/>
    <w:semiHidden/>
    <w:unhideWhenUsed/>
    <w:qFormat/>
    <w:uiPriority w:val="99"/>
    <w:pPr>
      <w:spacing w:line="240" w:lineRule="auto"/>
    </w:pPr>
  </w:style>
  <w:style w:type="paragraph" w:styleId="22">
    <w:name w:val="List Number"/>
    <w:basedOn w:val="1"/>
    <w:semiHidden/>
    <w:unhideWhenUsed/>
    <w:qFormat/>
    <w:uiPriority w:val="99"/>
    <w:pPr>
      <w:numPr>
        <w:ilvl w:val="0"/>
        <w:numId w:val="4"/>
      </w:numPr>
      <w:contextualSpacing/>
    </w:pPr>
  </w:style>
  <w:style w:type="paragraph" w:styleId="23">
    <w:name w:val="Normal Indent"/>
    <w:basedOn w:val="1"/>
    <w:semiHidden/>
    <w:unhideWhenUsed/>
    <w:qFormat/>
    <w:uiPriority w:val="99"/>
    <w:pPr>
      <w:ind w:left="720"/>
    </w:pPr>
  </w:style>
  <w:style w:type="paragraph" w:styleId="24">
    <w:name w:val="caption"/>
    <w:basedOn w:val="1"/>
    <w:next w:val="1"/>
    <w:semiHidden/>
    <w:unhideWhenUsed/>
    <w:qFormat/>
    <w:uiPriority w:val="35"/>
    <w:pPr>
      <w:spacing w:line="240" w:lineRule="auto"/>
    </w:pPr>
    <w:rPr>
      <w:b/>
      <w:bCs/>
      <w:color w:val="4F81BD" w:themeColor="accent1"/>
      <w:szCs w:val="18"/>
      <w14:textFill>
        <w14:solidFill>
          <w14:schemeClr w14:val="accent1"/>
        </w14:solidFill>
      </w14:textFill>
    </w:rPr>
  </w:style>
  <w:style w:type="paragraph" w:styleId="25">
    <w:name w:val="index 5"/>
    <w:basedOn w:val="1"/>
    <w:next w:val="1"/>
    <w:autoRedefine/>
    <w:semiHidden/>
    <w:unhideWhenUsed/>
    <w:qFormat/>
    <w:uiPriority w:val="99"/>
    <w:pPr>
      <w:spacing w:line="240" w:lineRule="auto"/>
      <w:ind w:left="1100" w:hanging="220"/>
    </w:pPr>
  </w:style>
  <w:style w:type="paragraph" w:styleId="26">
    <w:name w:val="List Bullet"/>
    <w:basedOn w:val="1"/>
    <w:semiHidden/>
    <w:unhideWhenUsed/>
    <w:qFormat/>
    <w:uiPriority w:val="99"/>
    <w:pPr>
      <w:numPr>
        <w:ilvl w:val="0"/>
        <w:numId w:val="5"/>
      </w:numPr>
      <w:contextualSpacing/>
    </w:pPr>
  </w:style>
  <w:style w:type="paragraph" w:styleId="27">
    <w:name w:val="envelope address"/>
    <w:basedOn w:val="1"/>
    <w:semiHidden/>
    <w:unhideWhenUsed/>
    <w:qFormat/>
    <w:uiPriority w:val="99"/>
    <w:pPr>
      <w:framePr w:w="7920" w:h="1980" w:hRule="exact" w:hSpace="180" w:wrap="auto" w:vAnchor="margin" w:hAnchor="page" w:xAlign="center" w:yAlign="bottom"/>
      <w:spacing w:line="240" w:lineRule="auto"/>
      <w:ind w:left="2880"/>
    </w:pPr>
    <w:rPr>
      <w:rFonts w:asciiTheme="majorHAnsi" w:hAnsiTheme="majorHAnsi" w:eastAsiaTheme="majorEastAsia" w:cstheme="majorBidi"/>
      <w:sz w:val="24"/>
      <w:szCs w:val="24"/>
    </w:rPr>
  </w:style>
  <w:style w:type="paragraph" w:styleId="28">
    <w:name w:val="Document Map"/>
    <w:basedOn w:val="1"/>
    <w:link w:val="120"/>
    <w:semiHidden/>
    <w:unhideWhenUsed/>
    <w:qFormat/>
    <w:uiPriority w:val="99"/>
    <w:pPr>
      <w:spacing w:line="240" w:lineRule="auto"/>
    </w:pPr>
    <w:rPr>
      <w:rFonts w:ascii="Tahoma" w:hAnsi="Tahoma" w:cs="Tahoma"/>
      <w:sz w:val="16"/>
      <w:szCs w:val="16"/>
    </w:rPr>
  </w:style>
  <w:style w:type="paragraph" w:styleId="29">
    <w:name w:val="toa heading"/>
    <w:basedOn w:val="1"/>
    <w:next w:val="1"/>
    <w:semiHidden/>
    <w:unhideWhenUsed/>
    <w:qFormat/>
    <w:uiPriority w:val="99"/>
    <w:pPr>
      <w:spacing w:before="120"/>
    </w:pPr>
    <w:rPr>
      <w:rFonts w:asciiTheme="majorHAnsi" w:hAnsiTheme="majorHAnsi" w:eastAsiaTheme="majorEastAsia" w:cstheme="majorBidi"/>
      <w:b/>
      <w:bCs/>
      <w:sz w:val="24"/>
      <w:szCs w:val="24"/>
    </w:rPr>
  </w:style>
  <w:style w:type="paragraph" w:styleId="30">
    <w:name w:val="annotation text"/>
    <w:basedOn w:val="1"/>
    <w:link w:val="127"/>
    <w:unhideWhenUsed/>
    <w:qFormat/>
    <w:uiPriority w:val="99"/>
    <w:pPr>
      <w:spacing w:line="240" w:lineRule="auto"/>
    </w:pPr>
  </w:style>
  <w:style w:type="paragraph" w:styleId="31">
    <w:name w:val="index 6"/>
    <w:basedOn w:val="1"/>
    <w:next w:val="1"/>
    <w:autoRedefine/>
    <w:semiHidden/>
    <w:unhideWhenUsed/>
    <w:qFormat/>
    <w:uiPriority w:val="99"/>
    <w:pPr>
      <w:spacing w:line="240" w:lineRule="auto"/>
      <w:ind w:left="1320" w:hanging="220"/>
    </w:pPr>
  </w:style>
  <w:style w:type="paragraph" w:styleId="32">
    <w:name w:val="Salutation"/>
    <w:basedOn w:val="1"/>
    <w:next w:val="1"/>
    <w:link w:val="115"/>
    <w:semiHidden/>
    <w:unhideWhenUsed/>
    <w:qFormat/>
    <w:uiPriority w:val="99"/>
  </w:style>
  <w:style w:type="paragraph" w:styleId="33">
    <w:name w:val="Body Text 3"/>
    <w:basedOn w:val="1"/>
    <w:link w:val="110"/>
    <w:semiHidden/>
    <w:unhideWhenUsed/>
    <w:qFormat/>
    <w:uiPriority w:val="99"/>
    <w:pPr>
      <w:spacing w:after="120"/>
    </w:pPr>
    <w:rPr>
      <w:sz w:val="16"/>
      <w:szCs w:val="16"/>
    </w:rPr>
  </w:style>
  <w:style w:type="paragraph" w:styleId="34">
    <w:name w:val="Closing"/>
    <w:basedOn w:val="1"/>
    <w:link w:val="116"/>
    <w:semiHidden/>
    <w:unhideWhenUsed/>
    <w:qFormat/>
    <w:uiPriority w:val="99"/>
    <w:pPr>
      <w:spacing w:line="240" w:lineRule="auto"/>
      <w:ind w:left="4252"/>
    </w:pPr>
  </w:style>
  <w:style w:type="paragraph" w:styleId="35">
    <w:name w:val="List Bullet 3"/>
    <w:basedOn w:val="1"/>
    <w:semiHidden/>
    <w:unhideWhenUsed/>
    <w:qFormat/>
    <w:uiPriority w:val="99"/>
    <w:pPr>
      <w:numPr>
        <w:ilvl w:val="0"/>
        <w:numId w:val="6"/>
      </w:numPr>
      <w:contextualSpacing/>
    </w:pPr>
  </w:style>
  <w:style w:type="paragraph" w:styleId="36">
    <w:name w:val="Body Text"/>
    <w:basedOn w:val="1"/>
    <w:link w:val="111"/>
    <w:semiHidden/>
    <w:unhideWhenUsed/>
    <w:qFormat/>
    <w:uiPriority w:val="99"/>
    <w:pPr>
      <w:spacing w:after="120"/>
    </w:pPr>
  </w:style>
  <w:style w:type="paragraph" w:styleId="37">
    <w:name w:val="Body Text Indent"/>
    <w:basedOn w:val="1"/>
    <w:link w:val="123"/>
    <w:semiHidden/>
    <w:unhideWhenUsed/>
    <w:qFormat/>
    <w:uiPriority w:val="99"/>
    <w:pPr>
      <w:spacing w:after="120"/>
      <w:ind w:left="283"/>
    </w:pPr>
  </w:style>
  <w:style w:type="paragraph" w:styleId="38">
    <w:name w:val="List Number 3"/>
    <w:basedOn w:val="1"/>
    <w:semiHidden/>
    <w:unhideWhenUsed/>
    <w:qFormat/>
    <w:uiPriority w:val="99"/>
    <w:pPr>
      <w:numPr>
        <w:ilvl w:val="0"/>
        <w:numId w:val="7"/>
      </w:numPr>
      <w:contextualSpacing/>
    </w:pPr>
  </w:style>
  <w:style w:type="paragraph" w:styleId="39">
    <w:name w:val="List 2"/>
    <w:basedOn w:val="1"/>
    <w:semiHidden/>
    <w:unhideWhenUsed/>
    <w:qFormat/>
    <w:uiPriority w:val="99"/>
    <w:pPr>
      <w:ind w:left="566" w:hanging="283"/>
      <w:contextualSpacing/>
    </w:pPr>
  </w:style>
  <w:style w:type="paragraph" w:styleId="40">
    <w:name w:val="List Continue"/>
    <w:basedOn w:val="1"/>
    <w:semiHidden/>
    <w:unhideWhenUsed/>
    <w:qFormat/>
    <w:uiPriority w:val="99"/>
    <w:pPr>
      <w:spacing w:after="120"/>
      <w:ind w:left="283"/>
      <w:contextualSpacing/>
    </w:pPr>
  </w:style>
  <w:style w:type="paragraph" w:styleId="41">
    <w:name w:val="Block Text"/>
    <w:basedOn w:val="1"/>
    <w:semiHidden/>
    <w:unhideWhenUsed/>
    <w:qFormat/>
    <w:uiPriority w:val="99"/>
    <w:pPr>
      <w:pBdr>
        <w:top w:val="single" w:color="4F81BD" w:themeColor="accent1" w:sz="2" w:space="10"/>
        <w:left w:val="single" w:color="4F81BD" w:themeColor="accent1" w:sz="2" w:space="10"/>
        <w:bottom w:val="single" w:color="4F81BD" w:themeColor="accent1" w:sz="2" w:space="10"/>
        <w:right w:val="single" w:color="4F81BD" w:themeColor="accent1" w:sz="2" w:space="10"/>
      </w:pBdr>
      <w:ind w:left="1152" w:right="1152"/>
    </w:pPr>
    <w:rPr>
      <w:rFonts w:eastAsiaTheme="minorEastAsia"/>
      <w:i/>
      <w:iCs/>
      <w:color w:val="4F81BD" w:themeColor="accent1"/>
      <w14:textFill>
        <w14:solidFill>
          <w14:schemeClr w14:val="accent1"/>
        </w14:solidFill>
      </w14:textFill>
    </w:rPr>
  </w:style>
  <w:style w:type="paragraph" w:styleId="42">
    <w:name w:val="List Bullet 2"/>
    <w:basedOn w:val="1"/>
    <w:semiHidden/>
    <w:unhideWhenUsed/>
    <w:qFormat/>
    <w:uiPriority w:val="99"/>
    <w:pPr>
      <w:numPr>
        <w:ilvl w:val="0"/>
        <w:numId w:val="8"/>
      </w:numPr>
      <w:contextualSpacing/>
    </w:pPr>
  </w:style>
  <w:style w:type="paragraph" w:styleId="43">
    <w:name w:val="HTML Address"/>
    <w:basedOn w:val="1"/>
    <w:link w:val="117"/>
    <w:semiHidden/>
    <w:unhideWhenUsed/>
    <w:qFormat/>
    <w:uiPriority w:val="99"/>
    <w:pPr>
      <w:spacing w:line="240" w:lineRule="auto"/>
    </w:pPr>
    <w:rPr>
      <w:i/>
      <w:iCs/>
    </w:rPr>
  </w:style>
  <w:style w:type="paragraph" w:styleId="44">
    <w:name w:val="index 4"/>
    <w:basedOn w:val="1"/>
    <w:next w:val="1"/>
    <w:autoRedefine/>
    <w:semiHidden/>
    <w:unhideWhenUsed/>
    <w:qFormat/>
    <w:uiPriority w:val="99"/>
    <w:pPr>
      <w:spacing w:line="240" w:lineRule="auto"/>
      <w:ind w:left="880" w:hanging="220"/>
    </w:pPr>
  </w:style>
  <w:style w:type="paragraph" w:styleId="45">
    <w:name w:val="toc 5"/>
    <w:basedOn w:val="1"/>
    <w:next w:val="1"/>
    <w:autoRedefine/>
    <w:semiHidden/>
    <w:unhideWhenUsed/>
    <w:qFormat/>
    <w:uiPriority w:val="39"/>
    <w:pPr>
      <w:spacing w:after="100"/>
      <w:ind w:left="880"/>
    </w:pPr>
  </w:style>
  <w:style w:type="paragraph" w:styleId="46">
    <w:name w:val="toc 3"/>
    <w:basedOn w:val="1"/>
    <w:next w:val="1"/>
    <w:autoRedefine/>
    <w:semiHidden/>
    <w:unhideWhenUsed/>
    <w:qFormat/>
    <w:uiPriority w:val="39"/>
    <w:pPr>
      <w:spacing w:after="100"/>
      <w:ind w:left="440"/>
    </w:pPr>
  </w:style>
  <w:style w:type="paragraph" w:styleId="47">
    <w:name w:val="Plain Text"/>
    <w:basedOn w:val="1"/>
    <w:link w:val="130"/>
    <w:semiHidden/>
    <w:unhideWhenUsed/>
    <w:qFormat/>
    <w:uiPriority w:val="99"/>
    <w:pPr>
      <w:spacing w:line="240" w:lineRule="auto"/>
    </w:pPr>
    <w:rPr>
      <w:rFonts w:ascii="Consolas" w:hAnsi="Consolas" w:cs="Consolas"/>
      <w:sz w:val="21"/>
      <w:szCs w:val="21"/>
    </w:rPr>
  </w:style>
  <w:style w:type="paragraph" w:styleId="48">
    <w:name w:val="List Bullet 5"/>
    <w:basedOn w:val="1"/>
    <w:semiHidden/>
    <w:unhideWhenUsed/>
    <w:qFormat/>
    <w:uiPriority w:val="99"/>
    <w:pPr>
      <w:numPr>
        <w:ilvl w:val="0"/>
        <w:numId w:val="9"/>
      </w:numPr>
      <w:contextualSpacing/>
    </w:pPr>
  </w:style>
  <w:style w:type="paragraph" w:styleId="49">
    <w:name w:val="List Number 4"/>
    <w:basedOn w:val="1"/>
    <w:semiHidden/>
    <w:unhideWhenUsed/>
    <w:qFormat/>
    <w:uiPriority w:val="99"/>
    <w:pPr>
      <w:numPr>
        <w:ilvl w:val="0"/>
        <w:numId w:val="10"/>
      </w:numPr>
      <w:contextualSpacing/>
    </w:pPr>
  </w:style>
  <w:style w:type="paragraph" w:styleId="50">
    <w:name w:val="toc 8"/>
    <w:basedOn w:val="1"/>
    <w:next w:val="1"/>
    <w:autoRedefine/>
    <w:semiHidden/>
    <w:unhideWhenUsed/>
    <w:qFormat/>
    <w:uiPriority w:val="39"/>
    <w:pPr>
      <w:spacing w:after="100"/>
      <w:ind w:left="1540"/>
    </w:pPr>
  </w:style>
  <w:style w:type="paragraph" w:styleId="51">
    <w:name w:val="index 3"/>
    <w:basedOn w:val="1"/>
    <w:next w:val="1"/>
    <w:autoRedefine/>
    <w:semiHidden/>
    <w:unhideWhenUsed/>
    <w:qFormat/>
    <w:uiPriority w:val="99"/>
    <w:pPr>
      <w:spacing w:line="240" w:lineRule="auto"/>
      <w:ind w:left="660" w:hanging="220"/>
    </w:pPr>
  </w:style>
  <w:style w:type="paragraph" w:styleId="52">
    <w:name w:val="Date"/>
    <w:basedOn w:val="1"/>
    <w:next w:val="1"/>
    <w:link w:val="112"/>
    <w:semiHidden/>
    <w:unhideWhenUsed/>
    <w:qFormat/>
    <w:uiPriority w:val="99"/>
  </w:style>
  <w:style w:type="paragraph" w:styleId="53">
    <w:name w:val="Body Text Indent 2"/>
    <w:basedOn w:val="1"/>
    <w:link w:val="125"/>
    <w:semiHidden/>
    <w:unhideWhenUsed/>
    <w:qFormat/>
    <w:uiPriority w:val="99"/>
    <w:pPr>
      <w:spacing w:after="120" w:line="480" w:lineRule="auto"/>
      <w:ind w:left="283"/>
    </w:pPr>
  </w:style>
  <w:style w:type="paragraph" w:styleId="54">
    <w:name w:val="endnote text"/>
    <w:basedOn w:val="1"/>
    <w:link w:val="132"/>
    <w:semiHidden/>
    <w:unhideWhenUsed/>
    <w:qFormat/>
    <w:uiPriority w:val="99"/>
    <w:pPr>
      <w:spacing w:line="240" w:lineRule="auto"/>
    </w:pPr>
  </w:style>
  <w:style w:type="paragraph" w:styleId="55">
    <w:name w:val="List Continue 5"/>
    <w:basedOn w:val="1"/>
    <w:semiHidden/>
    <w:unhideWhenUsed/>
    <w:qFormat/>
    <w:uiPriority w:val="99"/>
    <w:pPr>
      <w:spacing w:after="120"/>
      <w:ind w:left="1415"/>
      <w:contextualSpacing/>
    </w:pPr>
  </w:style>
  <w:style w:type="paragraph" w:styleId="56">
    <w:name w:val="Balloon Text"/>
    <w:basedOn w:val="1"/>
    <w:link w:val="106"/>
    <w:semiHidden/>
    <w:unhideWhenUsed/>
    <w:qFormat/>
    <w:uiPriority w:val="99"/>
    <w:pPr>
      <w:spacing w:line="240" w:lineRule="auto"/>
    </w:pPr>
    <w:rPr>
      <w:rFonts w:ascii="Tahoma" w:hAnsi="Tahoma" w:cs="Tahoma"/>
      <w:sz w:val="16"/>
      <w:szCs w:val="16"/>
    </w:rPr>
  </w:style>
  <w:style w:type="paragraph" w:styleId="57">
    <w:name w:val="footer"/>
    <w:basedOn w:val="1"/>
    <w:link w:val="150"/>
    <w:unhideWhenUsed/>
    <w:qFormat/>
    <w:uiPriority w:val="99"/>
    <w:pPr>
      <w:tabs>
        <w:tab w:val="center" w:pos="4819"/>
        <w:tab w:val="right" w:pos="9638"/>
        <w:tab w:val="clear" w:pos="7100"/>
      </w:tabs>
      <w:spacing w:line="240" w:lineRule="auto"/>
    </w:pPr>
  </w:style>
  <w:style w:type="paragraph" w:styleId="58">
    <w:name w:val="envelope return"/>
    <w:basedOn w:val="1"/>
    <w:semiHidden/>
    <w:unhideWhenUsed/>
    <w:qFormat/>
    <w:uiPriority w:val="99"/>
    <w:pPr>
      <w:spacing w:line="240" w:lineRule="auto"/>
    </w:pPr>
    <w:rPr>
      <w:rFonts w:asciiTheme="majorHAnsi" w:hAnsiTheme="majorHAnsi" w:eastAsiaTheme="majorEastAsia" w:cstheme="majorBidi"/>
    </w:rPr>
  </w:style>
  <w:style w:type="paragraph" w:styleId="59">
    <w:name w:val="header"/>
    <w:basedOn w:val="1"/>
    <w:link w:val="149"/>
    <w:unhideWhenUsed/>
    <w:qFormat/>
    <w:uiPriority w:val="99"/>
    <w:pPr>
      <w:tabs>
        <w:tab w:val="center" w:pos="4819"/>
        <w:tab w:val="right" w:pos="9638"/>
        <w:tab w:val="clear" w:pos="7100"/>
      </w:tabs>
      <w:spacing w:line="240" w:lineRule="auto"/>
    </w:pPr>
  </w:style>
  <w:style w:type="paragraph" w:styleId="60">
    <w:name w:val="Signature"/>
    <w:basedOn w:val="1"/>
    <w:link w:val="113"/>
    <w:semiHidden/>
    <w:unhideWhenUsed/>
    <w:qFormat/>
    <w:uiPriority w:val="99"/>
    <w:pPr>
      <w:spacing w:line="240" w:lineRule="auto"/>
      <w:ind w:left="4252"/>
    </w:pPr>
  </w:style>
  <w:style w:type="paragraph" w:styleId="61">
    <w:name w:val="toc 1"/>
    <w:basedOn w:val="1"/>
    <w:next w:val="1"/>
    <w:autoRedefine/>
    <w:semiHidden/>
    <w:unhideWhenUsed/>
    <w:qFormat/>
    <w:uiPriority w:val="39"/>
    <w:pPr>
      <w:spacing w:after="100"/>
    </w:pPr>
  </w:style>
  <w:style w:type="paragraph" w:styleId="62">
    <w:name w:val="List Continue 4"/>
    <w:basedOn w:val="1"/>
    <w:semiHidden/>
    <w:unhideWhenUsed/>
    <w:qFormat/>
    <w:uiPriority w:val="99"/>
    <w:pPr>
      <w:spacing w:after="120"/>
      <w:ind w:left="1132"/>
      <w:contextualSpacing/>
    </w:pPr>
  </w:style>
  <w:style w:type="paragraph" w:styleId="63">
    <w:name w:val="toc 4"/>
    <w:basedOn w:val="1"/>
    <w:next w:val="1"/>
    <w:autoRedefine/>
    <w:semiHidden/>
    <w:unhideWhenUsed/>
    <w:qFormat/>
    <w:uiPriority w:val="39"/>
    <w:pPr>
      <w:spacing w:after="100"/>
      <w:ind w:left="660"/>
    </w:pPr>
  </w:style>
  <w:style w:type="paragraph" w:styleId="64">
    <w:name w:val="index heading"/>
    <w:basedOn w:val="1"/>
    <w:next w:val="65"/>
    <w:semiHidden/>
    <w:unhideWhenUsed/>
    <w:qFormat/>
    <w:uiPriority w:val="99"/>
    <w:rPr>
      <w:rFonts w:asciiTheme="majorHAnsi" w:hAnsiTheme="majorHAnsi" w:eastAsiaTheme="majorEastAsia" w:cstheme="majorBidi"/>
      <w:b/>
      <w:bCs/>
    </w:rPr>
  </w:style>
  <w:style w:type="paragraph" w:styleId="65">
    <w:name w:val="index 1"/>
    <w:basedOn w:val="1"/>
    <w:next w:val="1"/>
    <w:autoRedefine/>
    <w:semiHidden/>
    <w:unhideWhenUsed/>
    <w:qFormat/>
    <w:uiPriority w:val="99"/>
    <w:pPr>
      <w:spacing w:line="240" w:lineRule="auto"/>
      <w:ind w:left="220" w:hanging="220"/>
    </w:pPr>
  </w:style>
  <w:style w:type="paragraph" w:styleId="66">
    <w:name w:val="List Number 5"/>
    <w:basedOn w:val="1"/>
    <w:semiHidden/>
    <w:unhideWhenUsed/>
    <w:qFormat/>
    <w:uiPriority w:val="99"/>
    <w:pPr>
      <w:numPr>
        <w:ilvl w:val="0"/>
        <w:numId w:val="11"/>
      </w:numPr>
      <w:contextualSpacing/>
    </w:pPr>
  </w:style>
  <w:style w:type="paragraph" w:styleId="67">
    <w:name w:val="List"/>
    <w:basedOn w:val="1"/>
    <w:semiHidden/>
    <w:unhideWhenUsed/>
    <w:qFormat/>
    <w:uiPriority w:val="99"/>
    <w:pPr>
      <w:ind w:left="283" w:hanging="283"/>
      <w:contextualSpacing/>
    </w:pPr>
  </w:style>
  <w:style w:type="paragraph" w:styleId="68">
    <w:name w:val="footnote text"/>
    <w:basedOn w:val="1"/>
    <w:link w:val="131"/>
    <w:semiHidden/>
    <w:unhideWhenUsed/>
    <w:qFormat/>
    <w:uiPriority w:val="99"/>
    <w:pPr>
      <w:spacing w:line="240" w:lineRule="auto"/>
    </w:pPr>
  </w:style>
  <w:style w:type="paragraph" w:styleId="69">
    <w:name w:val="toc 6"/>
    <w:basedOn w:val="1"/>
    <w:next w:val="1"/>
    <w:autoRedefine/>
    <w:semiHidden/>
    <w:unhideWhenUsed/>
    <w:qFormat/>
    <w:uiPriority w:val="39"/>
    <w:pPr>
      <w:spacing w:after="100"/>
      <w:ind w:left="1100"/>
    </w:pPr>
  </w:style>
  <w:style w:type="paragraph" w:styleId="70">
    <w:name w:val="List 5"/>
    <w:basedOn w:val="1"/>
    <w:semiHidden/>
    <w:unhideWhenUsed/>
    <w:qFormat/>
    <w:uiPriority w:val="99"/>
    <w:pPr>
      <w:ind w:left="1415" w:hanging="283"/>
      <w:contextualSpacing/>
    </w:pPr>
  </w:style>
  <w:style w:type="paragraph" w:styleId="71">
    <w:name w:val="Body Text Indent 3"/>
    <w:basedOn w:val="1"/>
    <w:link w:val="126"/>
    <w:semiHidden/>
    <w:unhideWhenUsed/>
    <w:qFormat/>
    <w:uiPriority w:val="99"/>
    <w:pPr>
      <w:spacing w:after="120"/>
      <w:ind w:left="283"/>
    </w:pPr>
    <w:rPr>
      <w:sz w:val="16"/>
      <w:szCs w:val="16"/>
    </w:rPr>
  </w:style>
  <w:style w:type="paragraph" w:styleId="72">
    <w:name w:val="index 7"/>
    <w:basedOn w:val="1"/>
    <w:next w:val="1"/>
    <w:autoRedefine/>
    <w:semiHidden/>
    <w:unhideWhenUsed/>
    <w:qFormat/>
    <w:uiPriority w:val="99"/>
    <w:pPr>
      <w:spacing w:line="240" w:lineRule="auto"/>
      <w:ind w:left="1540" w:hanging="220"/>
    </w:pPr>
  </w:style>
  <w:style w:type="paragraph" w:styleId="73">
    <w:name w:val="index 9"/>
    <w:basedOn w:val="1"/>
    <w:next w:val="1"/>
    <w:autoRedefine/>
    <w:semiHidden/>
    <w:unhideWhenUsed/>
    <w:qFormat/>
    <w:uiPriority w:val="99"/>
    <w:pPr>
      <w:spacing w:line="240" w:lineRule="auto"/>
      <w:ind w:left="1980" w:hanging="220"/>
    </w:pPr>
  </w:style>
  <w:style w:type="paragraph" w:styleId="74">
    <w:name w:val="table of figures"/>
    <w:basedOn w:val="1"/>
    <w:next w:val="1"/>
    <w:semiHidden/>
    <w:unhideWhenUsed/>
    <w:qFormat/>
    <w:uiPriority w:val="99"/>
  </w:style>
  <w:style w:type="paragraph" w:styleId="75">
    <w:name w:val="toc 2"/>
    <w:basedOn w:val="1"/>
    <w:next w:val="1"/>
    <w:autoRedefine/>
    <w:semiHidden/>
    <w:unhideWhenUsed/>
    <w:qFormat/>
    <w:uiPriority w:val="39"/>
    <w:pPr>
      <w:spacing w:after="100"/>
      <w:ind w:left="220"/>
    </w:pPr>
  </w:style>
  <w:style w:type="paragraph" w:styleId="76">
    <w:name w:val="toc 9"/>
    <w:basedOn w:val="1"/>
    <w:next w:val="1"/>
    <w:autoRedefine/>
    <w:semiHidden/>
    <w:unhideWhenUsed/>
    <w:qFormat/>
    <w:uiPriority w:val="39"/>
    <w:pPr>
      <w:spacing w:after="100"/>
      <w:ind w:left="1760"/>
    </w:pPr>
  </w:style>
  <w:style w:type="paragraph" w:styleId="77">
    <w:name w:val="Body Text 2"/>
    <w:basedOn w:val="1"/>
    <w:link w:val="109"/>
    <w:semiHidden/>
    <w:unhideWhenUsed/>
    <w:qFormat/>
    <w:uiPriority w:val="99"/>
    <w:pPr>
      <w:spacing w:after="120" w:line="480" w:lineRule="auto"/>
    </w:pPr>
  </w:style>
  <w:style w:type="paragraph" w:styleId="78">
    <w:name w:val="List 4"/>
    <w:basedOn w:val="1"/>
    <w:semiHidden/>
    <w:unhideWhenUsed/>
    <w:qFormat/>
    <w:uiPriority w:val="99"/>
    <w:pPr>
      <w:ind w:left="1132" w:hanging="283"/>
      <w:contextualSpacing/>
    </w:pPr>
  </w:style>
  <w:style w:type="paragraph" w:styleId="79">
    <w:name w:val="List Continue 2"/>
    <w:basedOn w:val="1"/>
    <w:semiHidden/>
    <w:unhideWhenUsed/>
    <w:qFormat/>
    <w:uiPriority w:val="99"/>
    <w:pPr>
      <w:spacing w:after="120"/>
      <w:ind w:left="566"/>
      <w:contextualSpacing/>
    </w:pPr>
  </w:style>
  <w:style w:type="paragraph" w:styleId="80">
    <w:name w:val="Message Header"/>
    <w:basedOn w:val="1"/>
    <w:link w:val="118"/>
    <w:semiHidden/>
    <w:unhideWhenUsed/>
    <w:qFormat/>
    <w:uiPriority w:val="99"/>
    <w:pPr>
      <w:pBdr>
        <w:top w:val="single" w:color="auto" w:sz="6" w:space="1"/>
        <w:left w:val="single" w:color="auto" w:sz="6" w:space="1"/>
        <w:bottom w:val="single" w:color="auto" w:sz="6" w:space="1"/>
        <w:right w:val="single" w:color="auto" w:sz="6" w:space="1"/>
      </w:pBdr>
      <w:shd w:val="pct20" w:color="auto" w:fill="auto"/>
      <w:spacing w:line="240" w:lineRule="auto"/>
      <w:ind w:left="1134" w:hanging="1134"/>
    </w:pPr>
    <w:rPr>
      <w:rFonts w:asciiTheme="majorHAnsi" w:hAnsiTheme="majorHAnsi" w:eastAsiaTheme="majorEastAsia" w:cstheme="majorBidi"/>
      <w:sz w:val="24"/>
      <w:szCs w:val="24"/>
    </w:rPr>
  </w:style>
  <w:style w:type="paragraph" w:styleId="81">
    <w:name w:val="HTML Preformatted"/>
    <w:basedOn w:val="1"/>
    <w:link w:val="121"/>
    <w:semiHidden/>
    <w:unhideWhenUsed/>
    <w:qFormat/>
    <w:uiPriority w:val="99"/>
    <w:pPr>
      <w:spacing w:line="240" w:lineRule="auto"/>
    </w:pPr>
    <w:rPr>
      <w:rFonts w:ascii="Consolas" w:hAnsi="Consolas" w:cs="Consolas"/>
    </w:rPr>
  </w:style>
  <w:style w:type="paragraph" w:styleId="82">
    <w:name w:val="Normal (Web)"/>
    <w:basedOn w:val="1"/>
    <w:semiHidden/>
    <w:unhideWhenUsed/>
    <w:qFormat/>
    <w:uiPriority w:val="99"/>
    <w:rPr>
      <w:sz w:val="24"/>
      <w:szCs w:val="24"/>
    </w:rPr>
  </w:style>
  <w:style w:type="paragraph" w:styleId="83">
    <w:name w:val="List Continue 3"/>
    <w:basedOn w:val="1"/>
    <w:semiHidden/>
    <w:unhideWhenUsed/>
    <w:qFormat/>
    <w:uiPriority w:val="99"/>
    <w:pPr>
      <w:spacing w:after="120"/>
      <w:ind w:left="849"/>
      <w:contextualSpacing/>
    </w:pPr>
  </w:style>
  <w:style w:type="paragraph" w:styleId="84">
    <w:name w:val="index 2"/>
    <w:basedOn w:val="1"/>
    <w:next w:val="1"/>
    <w:autoRedefine/>
    <w:semiHidden/>
    <w:unhideWhenUsed/>
    <w:qFormat/>
    <w:uiPriority w:val="99"/>
    <w:pPr>
      <w:spacing w:line="240" w:lineRule="auto"/>
      <w:ind w:left="440" w:hanging="220"/>
    </w:pPr>
  </w:style>
  <w:style w:type="paragraph" w:styleId="85">
    <w:name w:val="annotation subject"/>
    <w:basedOn w:val="30"/>
    <w:next w:val="30"/>
    <w:link w:val="128"/>
    <w:semiHidden/>
    <w:unhideWhenUsed/>
    <w:qFormat/>
    <w:uiPriority w:val="99"/>
    <w:rPr>
      <w:b/>
      <w:bCs/>
    </w:rPr>
  </w:style>
  <w:style w:type="paragraph" w:styleId="86">
    <w:name w:val="Body Text First Indent"/>
    <w:basedOn w:val="36"/>
    <w:link w:val="122"/>
    <w:semiHidden/>
    <w:unhideWhenUsed/>
    <w:qFormat/>
    <w:uiPriority w:val="99"/>
    <w:pPr>
      <w:spacing w:after="200"/>
      <w:ind w:firstLine="360"/>
    </w:pPr>
  </w:style>
  <w:style w:type="paragraph" w:styleId="87">
    <w:name w:val="Body Text First Indent 2"/>
    <w:basedOn w:val="37"/>
    <w:link w:val="124"/>
    <w:semiHidden/>
    <w:unhideWhenUsed/>
    <w:qFormat/>
    <w:uiPriority w:val="99"/>
    <w:pPr>
      <w:spacing w:after="200"/>
      <w:ind w:left="360" w:firstLine="360"/>
    </w:pPr>
  </w:style>
  <w:style w:type="table" w:styleId="89">
    <w:name w:val="Table Grid"/>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Simple 1"/>
    <w:basedOn w:val="88"/>
    <w:semiHidden/>
    <w:qFormat/>
    <w:uiPriority w:val="0"/>
    <w:pPr>
      <w:numPr>
        <w:ilvl w:val="3"/>
        <w:numId w:val="1"/>
      </w:numPr>
      <w:spacing w:line="264" w:lineRule="auto"/>
      <w:jc w:val="both"/>
    </w:pPr>
    <w:rPr>
      <w:rFonts w:eastAsia="Times New Roman"/>
      <w:lang w:eastAsia="it-IT"/>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character" w:styleId="92">
    <w:name w:val="Hyperlink"/>
    <w:basedOn w:val="91"/>
    <w:unhideWhenUsed/>
    <w:qFormat/>
    <w:uiPriority w:val="99"/>
    <w:rPr>
      <w:color w:val="0000FF" w:themeColor="hyperlink"/>
      <w:u w:val="single"/>
      <w14:textFill>
        <w14:solidFill>
          <w14:schemeClr w14:val="hlink"/>
        </w14:solidFill>
      </w14:textFill>
    </w:rPr>
  </w:style>
  <w:style w:type="character" w:styleId="93">
    <w:name w:val="annotation reference"/>
    <w:basedOn w:val="91"/>
    <w:semiHidden/>
    <w:unhideWhenUsed/>
    <w:qFormat/>
    <w:uiPriority w:val="99"/>
    <w:rPr>
      <w:sz w:val="16"/>
      <w:szCs w:val="16"/>
    </w:rPr>
  </w:style>
  <w:style w:type="paragraph" w:customStyle="1" w:styleId="94">
    <w:name w:val="CET Authors"/>
    <w:basedOn w:val="5"/>
    <w:link w:val="96"/>
    <w:qFormat/>
    <w:uiPriority w:val="0"/>
    <w:pPr>
      <w:keepNext/>
      <w:suppressAutoHyphens/>
      <w:spacing w:after="120"/>
    </w:pPr>
    <w:rPr>
      <w:sz w:val="24"/>
      <w:lang w:val="en-GB"/>
    </w:rPr>
  </w:style>
  <w:style w:type="paragraph" w:customStyle="1" w:styleId="95">
    <w:name w:val="CET Title"/>
    <w:next w:val="94"/>
    <w:link w:val="97"/>
    <w:qFormat/>
    <w:uiPriority w:val="0"/>
    <w:pPr>
      <w:suppressAutoHyphens/>
      <w:spacing w:before="480" w:after="120" w:line="264" w:lineRule="auto"/>
      <w:jc w:val="center"/>
      <w:outlineLvl w:val="0"/>
    </w:pPr>
    <w:rPr>
      <w:rFonts w:ascii="Arial" w:hAnsi="Arial" w:eastAsia="Times New Roman" w:cs="Times New Roman"/>
      <w:sz w:val="32"/>
      <w:lang w:val="en-GB" w:eastAsia="en-US" w:bidi="ar-SA"/>
    </w:rPr>
  </w:style>
  <w:style w:type="character" w:customStyle="1" w:styleId="96">
    <w:name w:val="CET Authors Carattere"/>
    <w:link w:val="94"/>
    <w:qFormat/>
    <w:uiPriority w:val="0"/>
    <w:rPr>
      <w:rFonts w:ascii="Arial" w:hAnsi="Arial" w:eastAsia="Times New Roman" w:cs="Times New Roman"/>
      <w:sz w:val="24"/>
      <w:szCs w:val="20"/>
      <w:lang w:val="en-GB"/>
    </w:rPr>
  </w:style>
  <w:style w:type="character" w:customStyle="1" w:styleId="97">
    <w:name w:val="CET Title Carattere"/>
    <w:link w:val="95"/>
    <w:qFormat/>
    <w:uiPriority w:val="0"/>
    <w:rPr>
      <w:rFonts w:ascii="Arial" w:hAnsi="Arial" w:eastAsia="Times New Roman" w:cs="Times New Roman"/>
      <w:sz w:val="32"/>
      <w:szCs w:val="20"/>
      <w:lang w:val="en-GB"/>
    </w:rPr>
  </w:style>
  <w:style w:type="paragraph" w:customStyle="1" w:styleId="98">
    <w:name w:val="CET headingx"/>
    <w:next w:val="5"/>
    <w:link w:val="103"/>
    <w:autoRedefine/>
    <w:qFormat/>
    <w:uiPriority w:val="0"/>
    <w:pPr>
      <w:keepNext/>
      <w:numPr>
        <w:ilvl w:val="2"/>
        <w:numId w:val="1"/>
      </w:numPr>
      <w:suppressAutoHyphens/>
      <w:spacing w:before="120" w:after="120"/>
    </w:pPr>
    <w:rPr>
      <w:rFonts w:ascii="Arial" w:hAnsi="Arial" w:eastAsia="Times New Roman" w:cs="Times New Roman"/>
      <w:b/>
      <w:sz w:val="18"/>
      <w:lang w:val="en-US" w:eastAsia="en-US" w:bidi="ar-SA"/>
    </w:rPr>
  </w:style>
  <w:style w:type="paragraph" w:customStyle="1" w:styleId="99">
    <w:name w:val="CET Address"/>
    <w:link w:val="144"/>
    <w:qFormat/>
    <w:uiPriority w:val="0"/>
    <w:pPr>
      <w:keepNext/>
      <w:suppressAutoHyphens/>
      <w:spacing w:line="276" w:lineRule="auto"/>
      <w:contextualSpacing/>
    </w:pPr>
    <w:rPr>
      <w:rFonts w:ascii="Arial" w:hAnsi="Arial" w:eastAsia="Times New Roman" w:cs="Times New Roman"/>
      <w:sz w:val="16"/>
      <w:lang w:val="en-GB" w:eastAsia="en-US" w:bidi="ar-SA"/>
    </w:rPr>
  </w:style>
  <w:style w:type="character" w:customStyle="1" w:styleId="100">
    <w:name w:val="CET Body text Carattere"/>
    <w:link w:val="5"/>
    <w:qFormat/>
    <w:uiPriority w:val="0"/>
    <w:rPr>
      <w:rFonts w:ascii="Arial" w:hAnsi="Arial" w:eastAsia="Times New Roman" w:cs="Times New Roman"/>
      <w:sz w:val="18"/>
      <w:szCs w:val="20"/>
      <w:lang w:val="en-US"/>
    </w:rPr>
  </w:style>
  <w:style w:type="paragraph" w:customStyle="1" w:styleId="101">
    <w:name w:val="CET Reference"/>
    <w:qFormat/>
    <w:uiPriority w:val="0"/>
    <w:pPr>
      <w:spacing w:before="200" w:after="120"/>
    </w:pPr>
    <w:rPr>
      <w:rFonts w:ascii="Arial" w:hAnsi="Arial" w:eastAsia="Times New Roman" w:cs="Times New Roman"/>
      <w:b/>
      <w:sz w:val="18"/>
      <w:lang w:val="en-GB" w:eastAsia="en-US" w:bidi="ar-SA"/>
    </w:rPr>
  </w:style>
  <w:style w:type="paragraph" w:customStyle="1" w:styleId="102">
    <w:name w:val="CET Caption"/>
    <w:link w:val="104"/>
    <w:qFormat/>
    <w:uiPriority w:val="0"/>
    <w:pPr>
      <w:spacing w:before="240" w:after="240" w:line="264" w:lineRule="auto"/>
      <w:jc w:val="both"/>
    </w:pPr>
    <w:rPr>
      <w:rFonts w:ascii="Arial" w:hAnsi="Arial" w:eastAsia="Times New Roman" w:cs="Times New Roman"/>
      <w:i/>
      <w:sz w:val="18"/>
      <w:lang w:val="en-GB" w:eastAsia="en-US" w:bidi="ar-SA"/>
    </w:rPr>
  </w:style>
  <w:style w:type="character" w:customStyle="1" w:styleId="103">
    <w:name w:val="CET headingx Carattere"/>
    <w:link w:val="98"/>
    <w:qFormat/>
    <w:uiPriority w:val="0"/>
    <w:rPr>
      <w:rFonts w:ascii="Arial" w:hAnsi="Arial" w:eastAsia="Times New Roman" w:cs="Times New Roman"/>
      <w:b/>
      <w:sz w:val="18"/>
      <w:szCs w:val="20"/>
      <w:lang w:val="en-US"/>
    </w:rPr>
  </w:style>
  <w:style w:type="character" w:customStyle="1" w:styleId="104">
    <w:name w:val="CET Caption Carattere"/>
    <w:link w:val="102"/>
    <w:qFormat/>
    <w:uiPriority w:val="0"/>
    <w:rPr>
      <w:rFonts w:ascii="Arial" w:hAnsi="Arial" w:eastAsia="Times New Roman" w:cs="Times New Roman"/>
      <w:i/>
      <w:sz w:val="18"/>
      <w:szCs w:val="20"/>
      <w:lang w:val="en-GB"/>
    </w:rPr>
  </w:style>
  <w:style w:type="paragraph" w:customStyle="1" w:styleId="105">
    <w:name w:val="CET Body text (Italic)"/>
    <w:basedOn w:val="5"/>
    <w:qFormat/>
    <w:uiPriority w:val="0"/>
    <w:rPr>
      <w:i/>
      <w:lang w:val="en-GB"/>
    </w:rPr>
  </w:style>
  <w:style w:type="character" w:customStyle="1" w:styleId="106">
    <w:name w:val="批注框文本 字符"/>
    <w:basedOn w:val="91"/>
    <w:link w:val="56"/>
    <w:semiHidden/>
    <w:qFormat/>
    <w:uiPriority w:val="99"/>
    <w:rPr>
      <w:rFonts w:ascii="Tahoma" w:hAnsi="Tahoma" w:cs="Tahoma"/>
      <w:sz w:val="16"/>
      <w:szCs w:val="16"/>
    </w:rPr>
  </w:style>
  <w:style w:type="paragraph" w:customStyle="1" w:styleId="107">
    <w:name w:val="书目1"/>
    <w:basedOn w:val="108"/>
    <w:unhideWhenUsed/>
    <w:qFormat/>
    <w:uiPriority w:val="37"/>
    <w:pPr>
      <w:spacing w:line="240" w:lineRule="auto"/>
      <w:ind w:left="720" w:hanging="720"/>
    </w:pPr>
  </w:style>
  <w:style w:type="paragraph" w:customStyle="1" w:styleId="108">
    <w:name w:val="CET Reference text"/>
    <w:qFormat/>
    <w:uiPriority w:val="0"/>
    <w:pPr>
      <w:spacing w:line="264" w:lineRule="auto"/>
      <w:ind w:left="284" w:hanging="284"/>
      <w:jc w:val="both"/>
    </w:pPr>
    <w:rPr>
      <w:rFonts w:ascii="Arial" w:hAnsi="Arial" w:eastAsia="Times New Roman" w:cs="Times New Roman"/>
      <w:sz w:val="18"/>
      <w:lang w:val="en-GB" w:eastAsia="en-US" w:bidi="ar-SA"/>
    </w:rPr>
  </w:style>
  <w:style w:type="character" w:customStyle="1" w:styleId="109">
    <w:name w:val="正文文本 2 字符"/>
    <w:basedOn w:val="91"/>
    <w:link w:val="77"/>
    <w:semiHidden/>
    <w:qFormat/>
    <w:uiPriority w:val="99"/>
  </w:style>
  <w:style w:type="character" w:customStyle="1" w:styleId="110">
    <w:name w:val="正文文本 3 字符"/>
    <w:basedOn w:val="91"/>
    <w:link w:val="33"/>
    <w:semiHidden/>
    <w:qFormat/>
    <w:uiPriority w:val="99"/>
    <w:rPr>
      <w:sz w:val="16"/>
      <w:szCs w:val="16"/>
    </w:rPr>
  </w:style>
  <w:style w:type="character" w:customStyle="1" w:styleId="111">
    <w:name w:val="正文文本 字符"/>
    <w:basedOn w:val="91"/>
    <w:link w:val="36"/>
    <w:semiHidden/>
    <w:qFormat/>
    <w:uiPriority w:val="99"/>
  </w:style>
  <w:style w:type="character" w:customStyle="1" w:styleId="112">
    <w:name w:val="日期 字符"/>
    <w:basedOn w:val="91"/>
    <w:link w:val="52"/>
    <w:semiHidden/>
    <w:qFormat/>
    <w:uiPriority w:val="99"/>
  </w:style>
  <w:style w:type="character" w:customStyle="1" w:styleId="113">
    <w:name w:val="签名 字符"/>
    <w:basedOn w:val="91"/>
    <w:link w:val="60"/>
    <w:semiHidden/>
    <w:qFormat/>
    <w:uiPriority w:val="99"/>
  </w:style>
  <w:style w:type="character" w:customStyle="1" w:styleId="114">
    <w:name w:val="电子邮件签名 字符"/>
    <w:basedOn w:val="91"/>
    <w:link w:val="21"/>
    <w:semiHidden/>
    <w:qFormat/>
    <w:uiPriority w:val="99"/>
  </w:style>
  <w:style w:type="character" w:customStyle="1" w:styleId="115">
    <w:name w:val="称呼 字符"/>
    <w:basedOn w:val="91"/>
    <w:link w:val="32"/>
    <w:semiHidden/>
    <w:qFormat/>
    <w:uiPriority w:val="99"/>
  </w:style>
  <w:style w:type="character" w:customStyle="1" w:styleId="116">
    <w:name w:val="结束语 字符"/>
    <w:basedOn w:val="91"/>
    <w:link w:val="34"/>
    <w:semiHidden/>
    <w:qFormat/>
    <w:uiPriority w:val="99"/>
  </w:style>
  <w:style w:type="character" w:customStyle="1" w:styleId="117">
    <w:name w:val="HTML 地址 字符"/>
    <w:basedOn w:val="91"/>
    <w:link w:val="43"/>
    <w:semiHidden/>
    <w:qFormat/>
    <w:uiPriority w:val="99"/>
    <w:rPr>
      <w:i/>
      <w:iCs/>
    </w:rPr>
  </w:style>
  <w:style w:type="character" w:customStyle="1" w:styleId="118">
    <w:name w:val="信息标题 字符"/>
    <w:basedOn w:val="91"/>
    <w:link w:val="80"/>
    <w:semiHidden/>
    <w:qFormat/>
    <w:uiPriority w:val="99"/>
    <w:rPr>
      <w:rFonts w:asciiTheme="majorHAnsi" w:hAnsiTheme="majorHAnsi" w:eastAsiaTheme="majorEastAsia" w:cstheme="majorBidi"/>
      <w:sz w:val="24"/>
      <w:szCs w:val="24"/>
      <w:shd w:val="pct20" w:color="auto" w:fill="auto"/>
    </w:rPr>
  </w:style>
  <w:style w:type="character" w:customStyle="1" w:styleId="119">
    <w:name w:val="注释标题 字符"/>
    <w:basedOn w:val="91"/>
    <w:link w:val="18"/>
    <w:semiHidden/>
    <w:qFormat/>
    <w:uiPriority w:val="99"/>
  </w:style>
  <w:style w:type="character" w:customStyle="1" w:styleId="120">
    <w:name w:val="文档结构图 字符"/>
    <w:basedOn w:val="91"/>
    <w:link w:val="28"/>
    <w:semiHidden/>
    <w:qFormat/>
    <w:uiPriority w:val="99"/>
    <w:rPr>
      <w:rFonts w:ascii="Tahoma" w:hAnsi="Tahoma" w:cs="Tahoma"/>
      <w:sz w:val="16"/>
      <w:szCs w:val="16"/>
    </w:rPr>
  </w:style>
  <w:style w:type="character" w:customStyle="1" w:styleId="121">
    <w:name w:val="HTML 预设格式 字符"/>
    <w:basedOn w:val="91"/>
    <w:link w:val="81"/>
    <w:semiHidden/>
    <w:qFormat/>
    <w:uiPriority w:val="99"/>
    <w:rPr>
      <w:rFonts w:ascii="Consolas" w:hAnsi="Consolas" w:cs="Consolas"/>
      <w:sz w:val="20"/>
      <w:szCs w:val="20"/>
    </w:rPr>
  </w:style>
  <w:style w:type="character" w:customStyle="1" w:styleId="122">
    <w:name w:val="正文文本首行缩进 字符"/>
    <w:basedOn w:val="111"/>
    <w:link w:val="86"/>
    <w:semiHidden/>
    <w:qFormat/>
    <w:uiPriority w:val="99"/>
  </w:style>
  <w:style w:type="character" w:customStyle="1" w:styleId="123">
    <w:name w:val="正文文本缩进 字符"/>
    <w:basedOn w:val="91"/>
    <w:link w:val="37"/>
    <w:semiHidden/>
    <w:qFormat/>
    <w:uiPriority w:val="99"/>
  </w:style>
  <w:style w:type="character" w:customStyle="1" w:styleId="124">
    <w:name w:val="正文文本首行缩进 2 字符"/>
    <w:basedOn w:val="123"/>
    <w:link w:val="87"/>
    <w:semiHidden/>
    <w:qFormat/>
    <w:uiPriority w:val="99"/>
  </w:style>
  <w:style w:type="character" w:customStyle="1" w:styleId="125">
    <w:name w:val="正文文本缩进 2 字符"/>
    <w:basedOn w:val="91"/>
    <w:link w:val="53"/>
    <w:semiHidden/>
    <w:qFormat/>
    <w:uiPriority w:val="99"/>
  </w:style>
  <w:style w:type="character" w:customStyle="1" w:styleId="126">
    <w:name w:val="正文文本缩进 3 字符"/>
    <w:basedOn w:val="91"/>
    <w:link w:val="71"/>
    <w:semiHidden/>
    <w:qFormat/>
    <w:uiPriority w:val="99"/>
    <w:rPr>
      <w:sz w:val="16"/>
      <w:szCs w:val="16"/>
    </w:rPr>
  </w:style>
  <w:style w:type="character" w:customStyle="1" w:styleId="127">
    <w:name w:val="批注文字 字符"/>
    <w:basedOn w:val="91"/>
    <w:link w:val="30"/>
    <w:qFormat/>
    <w:uiPriority w:val="99"/>
    <w:rPr>
      <w:sz w:val="20"/>
      <w:szCs w:val="20"/>
    </w:rPr>
  </w:style>
  <w:style w:type="character" w:customStyle="1" w:styleId="128">
    <w:name w:val="批注主题 字符"/>
    <w:basedOn w:val="127"/>
    <w:link w:val="85"/>
    <w:semiHidden/>
    <w:qFormat/>
    <w:uiPriority w:val="99"/>
    <w:rPr>
      <w:b/>
      <w:bCs/>
      <w:sz w:val="20"/>
      <w:szCs w:val="20"/>
    </w:rPr>
  </w:style>
  <w:style w:type="character" w:customStyle="1" w:styleId="129">
    <w:name w:val="宏文本 字符"/>
    <w:basedOn w:val="91"/>
    <w:link w:val="2"/>
    <w:semiHidden/>
    <w:qFormat/>
    <w:uiPriority w:val="99"/>
    <w:rPr>
      <w:rFonts w:ascii="Consolas" w:hAnsi="Consolas" w:cs="Consolas"/>
      <w:sz w:val="20"/>
      <w:szCs w:val="20"/>
    </w:rPr>
  </w:style>
  <w:style w:type="character" w:customStyle="1" w:styleId="130">
    <w:name w:val="纯文本 字符"/>
    <w:basedOn w:val="91"/>
    <w:link w:val="47"/>
    <w:semiHidden/>
    <w:qFormat/>
    <w:uiPriority w:val="99"/>
    <w:rPr>
      <w:rFonts w:ascii="Consolas" w:hAnsi="Consolas" w:cs="Consolas"/>
      <w:sz w:val="21"/>
      <w:szCs w:val="21"/>
    </w:rPr>
  </w:style>
  <w:style w:type="character" w:customStyle="1" w:styleId="131">
    <w:name w:val="脚注文本 字符"/>
    <w:basedOn w:val="91"/>
    <w:link w:val="68"/>
    <w:semiHidden/>
    <w:qFormat/>
    <w:uiPriority w:val="99"/>
    <w:rPr>
      <w:sz w:val="20"/>
      <w:szCs w:val="20"/>
    </w:rPr>
  </w:style>
  <w:style w:type="character" w:customStyle="1" w:styleId="132">
    <w:name w:val="尾注文本 字符"/>
    <w:basedOn w:val="91"/>
    <w:link w:val="54"/>
    <w:semiHidden/>
    <w:qFormat/>
    <w:uiPriority w:val="99"/>
    <w:rPr>
      <w:sz w:val="20"/>
      <w:szCs w:val="20"/>
    </w:rPr>
  </w:style>
  <w:style w:type="character" w:customStyle="1" w:styleId="133">
    <w:name w:val="标题 1 字符"/>
    <w:basedOn w:val="91"/>
    <w:link w:val="3"/>
    <w:qFormat/>
    <w:uiPriority w:val="9"/>
    <w:rPr>
      <w:rFonts w:ascii="Arial" w:hAnsi="Arial" w:eastAsia="Times New Roman" w:cs="Times New Roman"/>
      <w:b/>
      <w:sz w:val="20"/>
      <w:szCs w:val="20"/>
      <w:lang w:val="en-GB"/>
    </w:rPr>
  </w:style>
  <w:style w:type="character" w:customStyle="1" w:styleId="134">
    <w:name w:val="标题 2 字符"/>
    <w:basedOn w:val="91"/>
    <w:link w:val="6"/>
    <w:semiHidden/>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35">
    <w:name w:val="标题 3 字符"/>
    <w:basedOn w:val="91"/>
    <w:link w:val="7"/>
    <w:semiHidden/>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36">
    <w:name w:val="标题 4 字符"/>
    <w:basedOn w:val="91"/>
    <w:link w:val="8"/>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37">
    <w:name w:val="标题 5 字符"/>
    <w:basedOn w:val="91"/>
    <w:link w:val="9"/>
    <w:semiHidden/>
    <w:qFormat/>
    <w:uiPriority w:val="9"/>
    <w:rPr>
      <w:rFonts w:asciiTheme="majorHAnsi" w:hAnsiTheme="majorHAnsi" w:eastAsiaTheme="majorEastAsia" w:cstheme="majorBidi"/>
      <w:color w:val="254061" w:themeColor="accent1" w:themeShade="80"/>
    </w:rPr>
  </w:style>
  <w:style w:type="character" w:customStyle="1" w:styleId="138">
    <w:name w:val="标题 6 字符"/>
    <w:basedOn w:val="91"/>
    <w:link w:val="10"/>
    <w:semiHidden/>
    <w:qFormat/>
    <w:uiPriority w:val="9"/>
    <w:rPr>
      <w:rFonts w:asciiTheme="majorHAnsi" w:hAnsiTheme="majorHAnsi" w:eastAsiaTheme="majorEastAsia" w:cstheme="majorBidi"/>
      <w:i/>
      <w:iCs/>
      <w:color w:val="254061" w:themeColor="accent1" w:themeShade="80"/>
    </w:rPr>
  </w:style>
  <w:style w:type="character" w:customStyle="1" w:styleId="139">
    <w:name w:val="标题 7 字符"/>
    <w:basedOn w:val="91"/>
    <w:link w:val="11"/>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40">
    <w:name w:val="标题 8 字符"/>
    <w:basedOn w:val="91"/>
    <w:link w:val="12"/>
    <w:semiHidden/>
    <w:qFormat/>
    <w:uiPriority w:val="9"/>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141">
    <w:name w:val="标题 9 字符"/>
    <w:basedOn w:val="91"/>
    <w:link w:val="13"/>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customStyle="1" w:styleId="142">
    <w:name w:val="TOC 标题1"/>
    <w:basedOn w:val="3"/>
    <w:next w:val="1"/>
    <w:semiHidden/>
    <w:unhideWhenUsed/>
    <w:qFormat/>
    <w:uiPriority w:val="39"/>
    <w:pPr>
      <w:outlineLvl w:val="9"/>
    </w:pPr>
  </w:style>
  <w:style w:type="paragraph" w:customStyle="1" w:styleId="143">
    <w:name w:val="CET email"/>
    <w:next w:val="5"/>
    <w:qFormat/>
    <w:uiPriority w:val="0"/>
    <w:pPr>
      <w:spacing w:after="240" w:line="276" w:lineRule="auto"/>
    </w:pPr>
    <w:rPr>
      <w:rFonts w:ascii="Arial" w:hAnsi="Arial" w:eastAsia="Times New Roman" w:cs="Times New Roman"/>
      <w:sz w:val="16"/>
      <w:lang w:val="en-GB" w:eastAsia="en-US" w:bidi="ar-SA"/>
    </w:rPr>
  </w:style>
  <w:style w:type="character" w:customStyle="1" w:styleId="144">
    <w:name w:val="CET Address Carattere"/>
    <w:basedOn w:val="91"/>
    <w:link w:val="99"/>
    <w:qFormat/>
    <w:uiPriority w:val="0"/>
    <w:rPr>
      <w:rFonts w:ascii="Arial" w:hAnsi="Arial" w:eastAsia="Times New Roman" w:cs="Times New Roman"/>
      <w:sz w:val="16"/>
      <w:szCs w:val="20"/>
      <w:lang w:val="en-GB"/>
    </w:rPr>
  </w:style>
  <w:style w:type="paragraph" w:customStyle="1" w:styleId="145">
    <w:name w:val="CET Body text (Bold)"/>
    <w:basedOn w:val="5"/>
    <w:qFormat/>
    <w:uiPriority w:val="0"/>
    <w:rPr>
      <w:b/>
    </w:rPr>
  </w:style>
  <w:style w:type="paragraph" w:customStyle="1" w:styleId="146">
    <w:name w:val="CET numbering (bullets)"/>
    <w:qFormat/>
    <w:uiPriority w:val="0"/>
    <w:pPr>
      <w:numPr>
        <w:ilvl w:val="0"/>
        <w:numId w:val="12"/>
      </w:numPr>
      <w:spacing w:line="264" w:lineRule="auto"/>
    </w:pPr>
    <w:rPr>
      <w:rFonts w:ascii="Arial" w:hAnsi="Arial" w:eastAsia="Times New Roman" w:cs="Times New Roman"/>
      <w:sz w:val="18"/>
      <w:lang w:val="en-GB" w:eastAsia="en-US" w:bidi="ar-SA"/>
    </w:rPr>
  </w:style>
  <w:style w:type="paragraph" w:customStyle="1" w:styleId="147">
    <w:name w:val="CET numbering (1"/>
    <w:qFormat/>
    <w:uiPriority w:val="0"/>
    <w:pPr>
      <w:numPr>
        <w:ilvl w:val="0"/>
        <w:numId w:val="13"/>
      </w:numPr>
      <w:spacing w:line="264" w:lineRule="auto"/>
      <w:ind w:left="340" w:hanging="227"/>
    </w:pPr>
    <w:rPr>
      <w:rFonts w:ascii="Arial" w:hAnsi="Arial" w:eastAsia="Times New Roman" w:cs="Times New Roman"/>
      <w:sz w:val="18"/>
      <w:lang w:val="en-US" w:eastAsia="en-US" w:bidi="ar-SA"/>
    </w:rPr>
  </w:style>
  <w:style w:type="paragraph" w:customStyle="1" w:styleId="148">
    <w:name w:val="CET numbering (a"/>
    <w:qFormat/>
    <w:uiPriority w:val="0"/>
    <w:pPr>
      <w:numPr>
        <w:ilvl w:val="0"/>
        <w:numId w:val="14"/>
      </w:numPr>
      <w:spacing w:line="264" w:lineRule="auto"/>
    </w:pPr>
    <w:rPr>
      <w:rFonts w:ascii="Arial" w:hAnsi="Arial" w:eastAsia="Times New Roman" w:cs="Times New Roman"/>
      <w:sz w:val="18"/>
      <w:lang w:val="en-GB" w:eastAsia="en-US" w:bidi="ar-SA"/>
    </w:rPr>
  </w:style>
  <w:style w:type="character" w:customStyle="1" w:styleId="149">
    <w:name w:val="页眉 字符"/>
    <w:basedOn w:val="91"/>
    <w:link w:val="59"/>
    <w:qFormat/>
    <w:uiPriority w:val="99"/>
    <w:rPr>
      <w:rFonts w:ascii="Arial" w:hAnsi="Arial" w:eastAsia="Times New Roman" w:cs="Times New Roman"/>
      <w:sz w:val="18"/>
      <w:szCs w:val="20"/>
      <w:lang w:val="en-GB"/>
    </w:rPr>
  </w:style>
  <w:style w:type="character" w:customStyle="1" w:styleId="150">
    <w:name w:val="页脚 字符"/>
    <w:basedOn w:val="91"/>
    <w:link w:val="57"/>
    <w:qFormat/>
    <w:uiPriority w:val="99"/>
    <w:rPr>
      <w:rFonts w:ascii="Arial" w:hAnsi="Arial" w:eastAsia="Times New Roman" w:cs="Times New Roman"/>
      <w:sz w:val="18"/>
      <w:szCs w:val="20"/>
      <w:lang w:val="en-GB"/>
    </w:rPr>
  </w:style>
  <w:style w:type="character" w:customStyle="1" w:styleId="151">
    <w:name w:val="eudoraheader"/>
    <w:basedOn w:val="91"/>
    <w:qFormat/>
    <w:uiPriority w:val="0"/>
  </w:style>
  <w:style w:type="paragraph" w:customStyle="1" w:styleId="152">
    <w:name w:val="CET List bullets"/>
    <w:qFormat/>
    <w:uiPriority w:val="0"/>
    <w:pPr>
      <w:spacing w:line="264" w:lineRule="auto"/>
      <w:ind w:left="340" w:hanging="227"/>
      <w:jc w:val="both"/>
    </w:pPr>
    <w:rPr>
      <w:rFonts w:ascii="Arial" w:hAnsi="Arial" w:eastAsia="Times New Roman" w:cs="Times New Roman"/>
      <w:sz w:val="18"/>
      <w:lang w:val="en-GB" w:eastAsia="en-US" w:bidi="ar-SA"/>
    </w:rPr>
  </w:style>
  <w:style w:type="paragraph" w:customStyle="1" w:styleId="153">
    <w:name w:val="CET Table title"/>
    <w:qFormat/>
    <w:uiPriority w:val="0"/>
    <w:pPr>
      <w:keepNext/>
      <w:spacing w:before="240" w:after="80" w:line="240" w:lineRule="exact"/>
    </w:pPr>
    <w:rPr>
      <w:rFonts w:ascii="Arial" w:hAnsi="Arial" w:eastAsia="Times New Roman" w:cs="Times New Roman"/>
      <w:i/>
      <w:sz w:val="18"/>
      <w:lang w:val="en-GB" w:eastAsia="en-US" w:bidi="ar-SA"/>
    </w:rPr>
  </w:style>
  <w:style w:type="paragraph" w:customStyle="1" w:styleId="154">
    <w:name w:val="CET Acknowledgements title"/>
    <w:next w:val="5"/>
    <w:qFormat/>
    <w:uiPriority w:val="0"/>
    <w:pPr>
      <w:spacing w:before="200" w:after="120" w:line="276" w:lineRule="auto"/>
    </w:pPr>
    <w:rPr>
      <w:rFonts w:ascii="Arial" w:hAnsi="Arial" w:eastAsia="Times New Roman" w:cs="Times New Roman"/>
      <w:b/>
      <w:sz w:val="18"/>
      <w:lang w:val="en-GB" w:eastAsia="en-US" w:bidi="ar-SA"/>
    </w:rPr>
  </w:style>
  <w:style w:type="paragraph" w:customStyle="1" w:styleId="155">
    <w:name w:val="CET Equation"/>
    <w:basedOn w:val="5"/>
    <w:next w:val="5"/>
    <w:qFormat/>
    <w:uiPriority w:val="0"/>
    <w:pPr>
      <w:spacing w:before="120" w:after="120"/>
      <w:jc w:val="left"/>
    </w:pPr>
    <w:rPr>
      <w:lang w:val="en-GB"/>
    </w:rPr>
  </w:style>
  <w:style w:type="paragraph" w:customStyle="1" w:styleId="156">
    <w:name w:val="CET Headingxx"/>
    <w:basedOn w:val="98"/>
    <w:link w:val="157"/>
    <w:qFormat/>
    <w:uiPriority w:val="0"/>
    <w:pPr>
      <w:numPr>
        <w:ilvl w:val="0"/>
        <w:numId w:val="0"/>
      </w:numPr>
    </w:pPr>
  </w:style>
  <w:style w:type="character" w:customStyle="1" w:styleId="157">
    <w:name w:val="CET Headingxx Char"/>
    <w:basedOn w:val="103"/>
    <w:link w:val="156"/>
    <w:qFormat/>
    <w:uiPriority w:val="0"/>
    <w:rPr>
      <w:rFonts w:ascii="Arial" w:hAnsi="Arial" w:eastAsia="Times New Roman" w:cs="Times New Roman"/>
      <w:sz w:val="18"/>
      <w:szCs w:val="20"/>
      <w:lang w:val="en-US"/>
    </w:rPr>
  </w:style>
  <w:style w:type="paragraph" w:styleId="158">
    <w:name w:val="List Paragraph"/>
    <w:basedOn w:val="1"/>
    <w:qFormat/>
    <w:uiPriority w:val="34"/>
    <w:pPr>
      <w:ind w:left="720"/>
      <w:contextualSpacing/>
    </w:pPr>
  </w:style>
  <w:style w:type="character" w:customStyle="1" w:styleId="159">
    <w:name w:val="gmail-apple-converted-space"/>
    <w:basedOn w:val="91"/>
    <w:qFormat/>
    <w:uiPriority w:val="0"/>
  </w:style>
  <w:style w:type="paragraph" w:customStyle="1" w:styleId="160">
    <w:name w:val="First Paragraph"/>
    <w:basedOn w:val="36"/>
    <w:next w:val="36"/>
    <w:qFormat/>
    <w:uiPriority w:val="0"/>
  </w:style>
  <w:style w:type="paragraph" w:customStyle="1" w:styleId="161">
    <w:name w:val="EndNote Bibliography Title"/>
    <w:basedOn w:val="1"/>
    <w:link w:val="162"/>
    <w:qFormat/>
    <w:uiPriority w:val="0"/>
    <w:pPr>
      <w:jc w:val="center"/>
    </w:pPr>
    <w:rPr>
      <w:rFonts w:cs="Arial"/>
      <w:lang w:val="en-US"/>
    </w:rPr>
  </w:style>
  <w:style w:type="character" w:customStyle="1" w:styleId="162">
    <w:name w:val="EndNote Bibliography Title 字符"/>
    <w:basedOn w:val="100"/>
    <w:link w:val="161"/>
    <w:qFormat/>
    <w:uiPriority w:val="0"/>
    <w:rPr>
      <w:rFonts w:ascii="Arial" w:hAnsi="Arial" w:eastAsia="Times New Roman" w:cs="Arial"/>
      <w:sz w:val="18"/>
      <w:szCs w:val="20"/>
      <w:lang w:val="en-US" w:eastAsia="en-US"/>
    </w:rPr>
  </w:style>
  <w:style w:type="paragraph" w:customStyle="1" w:styleId="163">
    <w:name w:val="EndNote Bibliography"/>
    <w:basedOn w:val="1"/>
    <w:link w:val="164"/>
    <w:qFormat/>
    <w:uiPriority w:val="0"/>
    <w:pPr>
      <w:spacing w:line="240" w:lineRule="auto"/>
    </w:pPr>
    <w:rPr>
      <w:rFonts w:cs="Arial"/>
      <w:lang w:val="en-US"/>
    </w:rPr>
  </w:style>
  <w:style w:type="character" w:customStyle="1" w:styleId="164">
    <w:name w:val="EndNote Bibliography 字符"/>
    <w:basedOn w:val="100"/>
    <w:link w:val="163"/>
    <w:qFormat/>
    <w:uiPriority w:val="0"/>
    <w:rPr>
      <w:rFonts w:ascii="Arial" w:hAnsi="Arial" w:eastAsia="Times New Roman" w:cs="Arial"/>
      <w:sz w:val="18"/>
      <w:szCs w:val="20"/>
      <w:lang w:val="en-US"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1.bin"/><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8.emf"/><Relationship Id="rId17" Type="http://schemas.openxmlformats.org/officeDocument/2006/relationships/package" Target="embeddings/Microsoft_Visio___2.vsdx"/><Relationship Id="rId16" Type="http://schemas.openxmlformats.org/officeDocument/2006/relationships/image" Target="media/image7.png"/><Relationship Id="rId15" Type="http://schemas.openxmlformats.org/officeDocument/2006/relationships/image" Target="media/image6.emf"/><Relationship Id="rId14" Type="http://schemas.openxmlformats.org/officeDocument/2006/relationships/package" Target="embeddings/Microsoft_Visio___1.vsdx"/><Relationship Id="rId13" Type="http://schemas.openxmlformats.org/officeDocument/2006/relationships/image" Target="media/image5.wmf"/><Relationship Id="rId12" Type="http://schemas.openxmlformats.org/officeDocument/2006/relationships/oleObject" Target="embeddings/oleObject3.bin"/><Relationship Id="rId11" Type="http://schemas.openxmlformats.org/officeDocument/2006/relationships/image" Target="media/image4.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Dipartimento CMIC - Politecnico di Milano</Company>
  <Pages>6</Pages>
  <Words>3293</Words>
  <Characters>19651</Characters>
  <Lines>206</Lines>
  <Paragraphs>58</Paragraphs>
  <TotalTime>1</TotalTime>
  <ScaleCrop>false</ScaleCrop>
  <LinksUpToDate>false</LinksUpToDate>
  <CharactersWithSpaces>23166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2024-02-20T10:29:00Z</dcterms:created>
  <dc:creator>raffaella</dc:creator>
  <cp:lastModifiedBy>邹春</cp:lastModifiedBy>
  <cp:lastPrinted>2015-05-12T18:31:00Z</cp:lastPrinted>
  <dcterms:modified xsi:type="dcterms:W3CDTF">2025-02-16T09:54:04Z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KSOProductBuildVer">
    <vt:lpwstr>2052-12.1.0.19770</vt:lpwstr>
  </property>
  <property fmtid="{D5CDD505-2E9C-101B-9397-08002B2CF9AE}" pid="5" name="ICV">
    <vt:lpwstr>007C65BDD7D44883A31B39BC9A5027EE_13</vt:lpwstr>
  </property>
  <property fmtid="{D5CDD505-2E9C-101B-9397-08002B2CF9AE}" pid="6" name="KSOTemplateDocerSaveRecord">
    <vt:lpwstr>eyJoZGlkIjoiZDVhZmQ0MDQ0YWE1NDMxOGQ5ZjgxOGMxOGQ0OGNmMjQiLCJ1c2VySWQiOiIxNjEzODkyNDQ1In0=</vt:lpwstr>
  </property>
</Properties>
</file>