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77114328"/>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3FE73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E321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A007E"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2041C" w:rsidRDefault="000D0268" w:rsidP="00CD5FE2">
            <w:pPr>
              <w:spacing w:line="140" w:lineRule="atLeast"/>
              <w:jc w:val="right"/>
              <w:rPr>
                <w:rFonts w:cs="Arial"/>
                <w:sz w:val="13"/>
                <w:szCs w:val="13"/>
                <w:lang w:val="da-DK"/>
              </w:rPr>
            </w:pPr>
            <w:r w:rsidRPr="0002041C">
              <w:rPr>
                <w:rFonts w:cs="Arial"/>
                <w:sz w:val="13"/>
                <w:szCs w:val="13"/>
                <w:lang w:val="da-DK"/>
              </w:rPr>
              <w:t>Online at www.cetjournal.it</w:t>
            </w:r>
          </w:p>
        </w:tc>
      </w:tr>
      <w:tr w:rsidR="000A03B2" w:rsidRPr="00B57B36" w14:paraId="2D1B7169" w14:textId="77777777" w:rsidTr="00DE264A">
        <w:trPr>
          <w:trHeight w:val="68"/>
          <w:jc w:val="center"/>
        </w:trPr>
        <w:tc>
          <w:tcPr>
            <w:tcW w:w="8789" w:type="dxa"/>
            <w:gridSpan w:val="2"/>
          </w:tcPr>
          <w:p w14:paraId="1D8DD3C9" w14:textId="5296D598" w:rsidR="00AA7D26" w:rsidRPr="001C40F0" w:rsidRDefault="00AA7D26" w:rsidP="00AA7D26">
            <w:pPr>
              <w:ind w:left="-107"/>
              <w:outlineLvl w:val="2"/>
              <w:rPr>
                <w:rFonts w:ascii="Tahoma" w:hAnsi="Tahoma" w:cs="Tahoma"/>
                <w:bCs/>
                <w:color w:val="000000"/>
                <w:sz w:val="14"/>
                <w:szCs w:val="14"/>
                <w:lang w:val="en-US" w:eastAsia="it-IT"/>
              </w:rPr>
            </w:pPr>
            <w:r w:rsidRPr="001C40F0">
              <w:rPr>
                <w:rFonts w:ascii="Tahoma" w:hAnsi="Tahoma" w:cs="Tahoma"/>
                <w:iCs/>
                <w:color w:val="333333"/>
                <w:sz w:val="14"/>
                <w:szCs w:val="14"/>
                <w:lang w:val="en-US" w:eastAsia="it-IT"/>
              </w:rPr>
              <w:t>Guest Editors:</w:t>
            </w:r>
            <w:r w:rsidRPr="001C40F0">
              <w:rPr>
                <w:rFonts w:ascii="Tahoma" w:hAnsi="Tahoma" w:cs="Tahoma"/>
                <w:color w:val="000000"/>
                <w:sz w:val="14"/>
                <w:szCs w:val="14"/>
                <w:shd w:val="clear" w:color="auto" w:fill="FFFFFF"/>
                <w:lang w:val="en-US"/>
              </w:rPr>
              <w:t xml:space="preserve"> </w:t>
            </w:r>
          </w:p>
          <w:p w14:paraId="1B0F1814" w14:textId="4811B41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1C40F0">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w:t>
            </w:r>
          </w:p>
        </w:tc>
      </w:tr>
    </w:tbl>
    <w:p w14:paraId="2E667253" w14:textId="52261DE8" w:rsidR="00E978D0" w:rsidRPr="00B57B36" w:rsidRDefault="0002041C" w:rsidP="00E978D0">
      <w:pPr>
        <w:pStyle w:val="CETTitle"/>
      </w:pPr>
      <w:r>
        <w:t xml:space="preserve">Implications </w:t>
      </w:r>
      <w:r w:rsidR="002558D8">
        <w:t>for Using Digital Twins to Enhance Safety in Warehouse 4.0 Design</w:t>
      </w:r>
    </w:p>
    <w:p w14:paraId="0488FED2" w14:textId="7082C1AF" w:rsidR="00B57E6F" w:rsidRPr="001710DA" w:rsidRDefault="00150E7B" w:rsidP="00B57E6F">
      <w:pPr>
        <w:pStyle w:val="CETAuthors"/>
      </w:pPr>
      <w:r w:rsidRPr="001710DA">
        <w:t>Jing Wu*</w:t>
      </w:r>
      <w:r w:rsidR="00B57E6F" w:rsidRPr="001710DA">
        <w:t xml:space="preserve">, </w:t>
      </w:r>
      <w:r w:rsidR="007431D5" w:rsidRPr="001710DA">
        <w:t>Junru Ren</w:t>
      </w:r>
      <w:r w:rsidR="00B57E6F" w:rsidRPr="001710DA">
        <w:t xml:space="preserve">, </w:t>
      </w:r>
      <w:r w:rsidR="008A4E1E" w:rsidRPr="001710DA">
        <w:t xml:space="preserve">Ole Ravn, </w:t>
      </w:r>
      <w:r w:rsidR="00BD7E99" w:rsidRPr="001710DA">
        <w:t xml:space="preserve">Lazaros </w:t>
      </w:r>
      <w:r w:rsidR="00D239DE" w:rsidRPr="001710DA">
        <w:t>Nalpantidis</w:t>
      </w:r>
    </w:p>
    <w:p w14:paraId="3D72B0B0" w14:textId="24B9F380" w:rsidR="00B57E6F" w:rsidRPr="00B57B36" w:rsidRDefault="000542BB" w:rsidP="00B57E6F">
      <w:pPr>
        <w:pStyle w:val="CETAddress"/>
      </w:pPr>
      <w:r w:rsidRPr="000542BB">
        <w:t xml:space="preserve">Department of Electrical and Photonics Engineering, Technical University of Denmark, 2800, Kgs. Lyngby, Denmark </w:t>
      </w:r>
    </w:p>
    <w:p w14:paraId="73F1267A" w14:textId="2434B537" w:rsidR="00B57E6F" w:rsidRPr="00CE3217" w:rsidRDefault="00B57E6F" w:rsidP="00B57E6F">
      <w:pPr>
        <w:pStyle w:val="CETemail"/>
        <w:rPr>
          <w:lang w:val="fr-FR"/>
        </w:rPr>
      </w:pPr>
      <w:r>
        <w:t xml:space="preserve"> </w:t>
      </w:r>
      <w:r w:rsidR="008A4E1E">
        <w:rPr>
          <w:lang w:val="fr-FR"/>
        </w:rPr>
        <w:t>jinwu</w:t>
      </w:r>
      <w:r w:rsidR="001710DA" w:rsidRPr="00DE30CC">
        <w:t>@dtu.dk</w:t>
      </w:r>
    </w:p>
    <w:p w14:paraId="20C15CD2" w14:textId="77777777" w:rsidR="00103986" w:rsidRPr="00103986" w:rsidRDefault="00103986" w:rsidP="00103986">
      <w:pPr>
        <w:pStyle w:val="CETBodytext"/>
        <w:rPr>
          <w:lang w:val="en-GB"/>
        </w:rPr>
      </w:pPr>
      <w:bookmarkStart w:id="1" w:name="_Hlk495475023"/>
      <w:r w:rsidRPr="00103986">
        <w:rPr>
          <w:lang w:val="en-GB"/>
        </w:rPr>
        <w:t xml:space="preserve">Warehouse 4.0 is the digital transformation of traditional warehouse operations by integrating advanced technologies and automation systems. Digital twin (DT) technology is one of the technologies that can be leveraged to enhance safety in warehouse 4.0 design. This paper addresses three research questions: </w:t>
      </w:r>
      <w:bookmarkStart w:id="2" w:name="_Hlk176512406"/>
      <w:r w:rsidRPr="00103986">
        <w:rPr>
          <w:lang w:val="en-GB"/>
        </w:rPr>
        <w:t xml:space="preserve">1. How do these DT technologies affect safety authorities in assessing the quality of designs? 2. How can DT technologies facilitate early consideration of warehouse 4.0 design in the system lifecycle? 3. What are the implications of using DT technologies for risk assessment and the development of safety cases in human-robot collaboration scenarios? </w:t>
      </w:r>
      <w:bookmarkEnd w:id="2"/>
    </w:p>
    <w:p w14:paraId="3512B6F9" w14:textId="75475DA3" w:rsidR="00103986" w:rsidRDefault="00103986" w:rsidP="00103986">
      <w:pPr>
        <w:pStyle w:val="CETBodytext"/>
        <w:rPr>
          <w:lang w:val="en-GB"/>
        </w:rPr>
      </w:pPr>
      <w:r w:rsidRPr="00103986">
        <w:rPr>
          <w:lang w:val="en-GB"/>
        </w:rPr>
        <w:t xml:space="preserve">By addressing these research questions, this </w:t>
      </w:r>
      <w:bookmarkStart w:id="3" w:name="_Hlk182937498"/>
      <w:r w:rsidRPr="00103986">
        <w:rPr>
          <w:lang w:val="en-GB"/>
        </w:rPr>
        <w:t xml:space="preserve">paper aims to provide a deeper understanding of the role of DT technologies in designing safer </w:t>
      </w:r>
      <w:r w:rsidR="00E370BB">
        <w:rPr>
          <w:lang w:val="en-GB"/>
        </w:rPr>
        <w:t xml:space="preserve">intelligent </w:t>
      </w:r>
      <w:r w:rsidRPr="00103986">
        <w:rPr>
          <w:lang w:val="en-GB"/>
        </w:rPr>
        <w:t>warehouses for the future. Through the integration of DT simulations, early design considerations, and comprehensive risk assessments, stakeholders can leverage DT technologies to proactively enhance safety within Warehouse 4.0 environments, fostering a culture of safety and innovation in the logistics and supply chain industry.</w:t>
      </w:r>
    </w:p>
    <w:bookmarkEnd w:id="3"/>
    <w:p w14:paraId="7D31993B" w14:textId="77777777" w:rsidR="002B651A" w:rsidRPr="00103986" w:rsidRDefault="002B651A" w:rsidP="00103986">
      <w:pPr>
        <w:pStyle w:val="CETBodytext"/>
        <w:rPr>
          <w:lang w:val="en-GB"/>
        </w:rPr>
      </w:pPr>
    </w:p>
    <w:p w14:paraId="37A61FCE" w14:textId="4C43D923" w:rsidR="00DA24C6" w:rsidRPr="00103986" w:rsidRDefault="00103986" w:rsidP="00103986">
      <w:pPr>
        <w:pStyle w:val="CETBodytext"/>
        <w:rPr>
          <w:lang w:val="en-GB"/>
        </w:rPr>
      </w:pPr>
      <w:r w:rsidRPr="00103986">
        <w:rPr>
          <w:lang w:val="en-GB"/>
        </w:rPr>
        <w:t xml:space="preserve">Keywords: Artificial intelligence, Digital twin, Loss prevention, Design for Safety, Warehouse 4.0. </w:t>
      </w:r>
      <w:bookmarkEnd w:id="1"/>
    </w:p>
    <w:p w14:paraId="476B2F2E" w14:textId="77777777" w:rsidR="00600535" w:rsidRPr="00B57B36" w:rsidRDefault="00600535" w:rsidP="00600535">
      <w:pPr>
        <w:pStyle w:val="CETHeading1"/>
        <w:rPr>
          <w:lang w:val="en-GB"/>
        </w:rPr>
      </w:pPr>
      <w:r w:rsidRPr="00B57B36">
        <w:rPr>
          <w:lang w:val="en-GB"/>
        </w:rPr>
        <w:t>Introduction</w:t>
      </w:r>
    </w:p>
    <w:p w14:paraId="67DF779A" w14:textId="2A2E3C58" w:rsidR="00852735" w:rsidRDefault="00FF0EDA" w:rsidP="00600535">
      <w:pPr>
        <w:pStyle w:val="CETBodytext"/>
        <w:rPr>
          <w:lang w:val="en-GB"/>
        </w:rPr>
      </w:pPr>
      <w:r w:rsidRPr="00FF0EDA">
        <w:rPr>
          <w:lang w:val="en-GB"/>
        </w:rPr>
        <w:t>Intelligent warehouses, often referred to as Warehouse 4.0, are becoming increasingly vital due to the growing digitization and automation of manufacturing processes in supply chain management. The digital transformation and the emergence of new technologies are reshaping Warehouse 4.0, impacting working conditions and altering the associated risks</w:t>
      </w:r>
      <w:r w:rsidR="00BF726B">
        <w:rPr>
          <w:lang w:val="en-GB"/>
        </w:rPr>
        <w:fldChar w:fldCharType="begin" w:fldLock="1"/>
      </w:r>
      <w:r w:rsidR="005634C1">
        <w:rPr>
          <w:lang w:val="en-GB"/>
        </w:rPr>
        <w:instrText>ADDIN CSL_CITATION {"citationItems":[{"id":"ITEM-1","itemData":{"DOI":"10.3390/app12104811","author":[{"dropping-particle":"","family":"Ramasubramanian","given":"A K","non-dropping-particle":"","parse-names":false,"suffix":""},{"dropping-particle":"","family":"Mathew","given":"R","non-dropping-particle":"","parse-names":false,"suffix":""},{"dropping-particle":"","family":"Kelly","given":"M","non-dropping-particle":"","parse-names":false,"suffix":""},{"dropping-particle":"","family":"Hargaden","given":"V","non-dropping-particle":"","parse-names":false,"suffix":""},{"dropping-particle":"","family":"Papakostas","given":"N","non-dropping-particle":"","parse-names":false,"suffix":""}],"container-title":"Applied Sciences (Switzerland)","id":"ITEM-1","issue":"10","issued":{"date-parts":[["2022"]]},"note":"Export Date: 12 September 2024; Cited By: 32","title":"Digital Twin for Human-Robot Collaboration in Manufacturing: Review and Outlook","type":"article-journal","volume":"12"},"uris":["http://www.mendeley.com/documents/?uuid=89bef012-9c12-412c-ab73-7ccbd8d0e2ba"]}],"mendeley":{"formattedCitation":"(Ramasubramanian et al. 2022)","plainTextFormattedCitation":"(Ramasubramanian et al. 2022)","previouslyFormattedCitation":"(Ramasubramanian et al. 2022)"},"properties":{"noteIndex":0},"schema":"https://github.com/citation-style-language/schema/raw/master/csl-citation.json"}</w:instrText>
      </w:r>
      <w:r w:rsidR="00BF726B">
        <w:rPr>
          <w:lang w:val="en-GB"/>
        </w:rPr>
        <w:fldChar w:fldCharType="separate"/>
      </w:r>
      <w:r w:rsidR="00BF726B" w:rsidRPr="00BF726B">
        <w:rPr>
          <w:noProof/>
          <w:lang w:val="en-GB"/>
        </w:rPr>
        <w:t>(Ramasubramanian et al. 2022)</w:t>
      </w:r>
      <w:r w:rsidR="00BF726B">
        <w:rPr>
          <w:lang w:val="en-GB"/>
        </w:rPr>
        <w:fldChar w:fldCharType="end"/>
      </w:r>
      <w:r w:rsidRPr="00FF0EDA">
        <w:rPr>
          <w:lang w:val="en-GB"/>
        </w:rPr>
        <w:t>. Ensuring safety has become a shared priority among various stakeholders, including technology providers, system designers, integrators, users, safety experts, and regulatory bodies. During the design phase—the first step in the system lifecycle—addressing safety is critical for preventing hazards and reducing costs</w:t>
      </w:r>
      <w:r w:rsidR="00B74C45">
        <w:rPr>
          <w:lang w:val="en-GB"/>
        </w:rPr>
        <w:fldChar w:fldCharType="begin" w:fldLock="1"/>
      </w:r>
      <w:r w:rsidR="00C664D6">
        <w:rPr>
          <w:lang w:val="en-GB"/>
        </w:rPr>
        <w:instrText>ADDIN CSL_CITATION {"citationItems":[{"id":"ITEM-1","itemData":{"DOI":"https://doi.org/10.1016/bs.mcps.2024.07.003","ISBN":"2468-6514","abstract":"This chapter explores process safety principles (PSPs) within energy system design, focusing on their role in the prevention and control of incidents. It delves into the integration of PSPs with established design paradigms such as Design for Safety (DfS) and Risk-Informed Design (RID), which are pivotal in creating a robust framework for safety throughout the design process. The chapter is structured to provide a comprehensive overview of the complexity of energy system design, including an examination of the impact of industry evolution and safety science development. It investigates the role of PSPs in ensuring energy system safety by reducing risks and presents the energy design process, followed by an exploration of the challenges and opportunities for further improvements in design practices. The chapter concludes with an analysis of the opportunities and challenges for enhancing energy system design and the implications for the future of safety in energy systems. It underscores the importance of a disciplined approach to integrating PSPs to achieve high levels of safety and reliability in energy systems from the design phase.","author":[{"dropping-particle":"","family":"Wu","given":"Jing","non-dropping-particle":"","parse-names":false,"suffix":""},{"dropping-particle":"","family":"Lind","given":"Morten","non-dropping-particle":"","parse-names":false,"suffix":""},{"dropping-particle":"","family":"Li","given":"Ruixue","non-dropping-particle":"","parse-names":false,"suffix":""},{"dropping-particle":"","family":"Zhang","given":"Xinxin","non-dropping-particle":"","parse-names":false,"suffix":""}],"container-title":"Methods in Chemical Process Safety","editor":[{"dropping-particle":"","family":"Khan","given":"Faisal I","non-dropping-particle":"","parse-names":false,"suffix":""},{"dropping-particle":"","family":"Pistikopoulos","given":"Efstratios N","non-dropping-particle":"","parse-names":false,"suffix":""},{"dropping-particle":"","family":"Sajid","given":"Zaman","non-dropping-particle":"","parse-names":false,"suffix":""}],"id":"ITEM-1","issued":{"date-parts":[["2024"]]},"page":"133-172","publisher":"Elsevier","title":"Chapter Five - Integration of process safety principles in energy system design","type":"chapter","volume":"8"},"uris":["http://www.mendeley.com/documents/?uuid=e7179b6e-95cc-3347-97a4-fe04ed68078a"]}],"mendeley":{"formattedCitation":"(J. Wu, Lind, et al. 2024)","manualFormatting":"(Wu et al. 2024)","plainTextFormattedCitation":"(J. Wu, Lind, et al. 2024)","previouslyFormattedCitation":"(Wu, Lind, et al. 2024)"},"properties":{"noteIndex":0},"schema":"https://github.com/citation-style-language/schema/raw/master/csl-citation.json"}</w:instrText>
      </w:r>
      <w:r w:rsidR="00B74C45">
        <w:rPr>
          <w:lang w:val="en-GB"/>
        </w:rPr>
        <w:fldChar w:fldCharType="separate"/>
      </w:r>
      <w:r w:rsidR="009A022C" w:rsidRPr="009A022C">
        <w:rPr>
          <w:noProof/>
          <w:lang w:val="en-GB"/>
        </w:rPr>
        <w:t>(Wu et al. 2024)</w:t>
      </w:r>
      <w:r w:rsidR="00B74C45">
        <w:rPr>
          <w:lang w:val="en-GB"/>
        </w:rPr>
        <w:fldChar w:fldCharType="end"/>
      </w:r>
      <w:r w:rsidRPr="00FF0EDA">
        <w:rPr>
          <w:lang w:val="en-GB"/>
        </w:rPr>
        <w:t xml:space="preserve">. </w:t>
      </w:r>
    </w:p>
    <w:p w14:paraId="7479CDE5" w14:textId="19F157DA" w:rsidR="00EB3154" w:rsidRDefault="00A53418" w:rsidP="00600535">
      <w:pPr>
        <w:pStyle w:val="CETBodytext"/>
        <w:rPr>
          <w:lang w:val="en-GB"/>
        </w:rPr>
      </w:pPr>
      <w:r>
        <w:rPr>
          <w:noProof/>
          <w:lang w:val="en-GB"/>
        </w:rPr>
        <w:drawing>
          <wp:inline distT="0" distB="0" distL="0" distR="0" wp14:anchorId="5AC40D13" wp14:editId="16486574">
            <wp:extent cx="2315485" cy="1310185"/>
            <wp:effectExtent l="0" t="0" r="8890" b="4445"/>
            <wp:docPr id="1685446003"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46003" name="Picture 1" descr="A graph with a line going up&#10;&#10;Description automatically generated"/>
                    <pic:cNvPicPr/>
                  </pic:nvPicPr>
                  <pic:blipFill>
                    <a:blip r:embed="rId10"/>
                    <a:stretch>
                      <a:fillRect/>
                    </a:stretch>
                  </pic:blipFill>
                  <pic:spPr>
                    <a:xfrm>
                      <a:off x="0" y="0"/>
                      <a:ext cx="2340938" cy="1324587"/>
                    </a:xfrm>
                    <a:prstGeom prst="rect">
                      <a:avLst/>
                    </a:prstGeom>
                  </pic:spPr>
                </pic:pic>
              </a:graphicData>
            </a:graphic>
          </wp:inline>
        </w:drawing>
      </w:r>
    </w:p>
    <w:p w14:paraId="5AE04BB4" w14:textId="2E451DF0" w:rsidR="00EB3154" w:rsidRDefault="00EB3154" w:rsidP="00EB3154">
      <w:pPr>
        <w:pStyle w:val="CETCaption"/>
      </w:pPr>
      <w:r w:rsidRPr="00BD077D">
        <w:rPr>
          <w:rStyle w:val="CETCaptionCarattere"/>
          <w:i/>
        </w:rPr>
        <w:t xml:space="preserve">Figure 1: </w:t>
      </w:r>
      <w:r w:rsidR="00510842">
        <w:rPr>
          <w:rStyle w:val="CETCaptionCarattere"/>
          <w:i/>
        </w:rPr>
        <w:t xml:space="preserve">The increasing </w:t>
      </w:r>
      <w:r w:rsidR="00E31C0D">
        <w:rPr>
          <w:rStyle w:val="CETCaptionCarattere"/>
          <w:i/>
        </w:rPr>
        <w:t xml:space="preserve">trend of research in </w:t>
      </w:r>
      <w:r w:rsidR="00E31C0D" w:rsidRPr="0045074E">
        <w:t>“Warehouse” AND “Safety” AND “Human-Robot Collaboration” AND “Digital Twin” in Scopus</w:t>
      </w:r>
      <w:r w:rsidR="00E31C0D">
        <w:t>.</w:t>
      </w:r>
    </w:p>
    <w:p w14:paraId="02194A98" w14:textId="66FF2D2E" w:rsidR="0043695C" w:rsidRDefault="0045074E" w:rsidP="00600535">
      <w:pPr>
        <w:pStyle w:val="CETBodytext"/>
        <w:rPr>
          <w:lang w:val="en-GB"/>
        </w:rPr>
      </w:pPr>
      <w:r w:rsidRPr="0045074E">
        <w:rPr>
          <w:lang w:val="en-GB"/>
        </w:rPr>
        <w:t>By searching “Warehouse” AND “Safety” AND “Human-Robot Collaboration” AND “Digital Twin” in Scopus, there are 1</w:t>
      </w:r>
      <w:r w:rsidR="00617E42">
        <w:rPr>
          <w:lang w:val="en-GB"/>
        </w:rPr>
        <w:t>36</w:t>
      </w:r>
      <w:r w:rsidRPr="0045074E">
        <w:rPr>
          <w:lang w:val="en-GB"/>
        </w:rPr>
        <w:t xml:space="preserve"> documents are found</w:t>
      </w:r>
      <w:r w:rsidR="00EB3154">
        <w:rPr>
          <w:lang w:val="en-GB"/>
        </w:rPr>
        <w:t xml:space="preserve"> as shown in Figure 1</w:t>
      </w:r>
      <w:r w:rsidR="00704C78" w:rsidRPr="00704C78">
        <w:rPr>
          <w:rFonts w:hint="eastAsia"/>
          <w:lang w:val="en-GB"/>
        </w:rPr>
        <w:t>,</w:t>
      </w:r>
      <w:r w:rsidR="00704C78">
        <w:rPr>
          <w:rFonts w:eastAsiaTheme="minorEastAsia" w:hint="eastAsia"/>
          <w:lang w:val="en-GB" w:eastAsia="zh-CN"/>
        </w:rPr>
        <w:t xml:space="preserve"> which indicates that </w:t>
      </w:r>
      <w:r w:rsidR="00E11F43">
        <w:rPr>
          <w:rFonts w:eastAsiaTheme="minorEastAsia"/>
          <w:lang w:val="en-GB" w:eastAsia="zh-CN"/>
        </w:rPr>
        <w:t xml:space="preserve">it is a relatively </w:t>
      </w:r>
      <w:r w:rsidR="00C37B34">
        <w:rPr>
          <w:rFonts w:eastAsiaTheme="minorEastAsia"/>
          <w:lang w:val="en-GB" w:eastAsia="zh-CN"/>
        </w:rPr>
        <w:t xml:space="preserve">new research </w:t>
      </w:r>
      <w:r w:rsidR="00C37B34">
        <w:rPr>
          <w:rFonts w:eastAsiaTheme="minorEastAsia"/>
          <w:lang w:val="en-GB" w:eastAsia="zh-CN"/>
        </w:rPr>
        <w:lastRenderedPageBreak/>
        <w:t>domain</w:t>
      </w:r>
      <w:r w:rsidR="009229E1">
        <w:rPr>
          <w:rFonts w:eastAsiaTheme="minorEastAsia"/>
          <w:lang w:val="en-GB" w:eastAsia="zh-CN"/>
        </w:rPr>
        <w:t xml:space="preserve"> since 2019</w:t>
      </w:r>
      <w:r w:rsidR="00C37B34">
        <w:rPr>
          <w:rFonts w:eastAsiaTheme="minorEastAsia"/>
          <w:lang w:val="en-GB" w:eastAsia="zh-CN"/>
        </w:rPr>
        <w:t>. A</w:t>
      </w:r>
      <w:r w:rsidR="00704C78">
        <w:rPr>
          <w:rFonts w:eastAsiaTheme="minorEastAsia" w:hint="eastAsia"/>
          <w:lang w:val="en-GB" w:eastAsia="zh-CN"/>
        </w:rPr>
        <w:t>fter 20</w:t>
      </w:r>
      <w:r w:rsidR="009229E1">
        <w:rPr>
          <w:rFonts w:eastAsiaTheme="minorEastAsia"/>
          <w:lang w:val="en-GB" w:eastAsia="zh-CN"/>
        </w:rPr>
        <w:t>22</w:t>
      </w:r>
      <w:r w:rsidR="00704C78">
        <w:rPr>
          <w:rFonts w:eastAsiaTheme="minorEastAsia" w:hint="eastAsia"/>
          <w:lang w:val="en-GB" w:eastAsia="zh-CN"/>
        </w:rPr>
        <w:t xml:space="preserve">, there is </w:t>
      </w:r>
      <w:r w:rsidR="009940EF">
        <w:rPr>
          <w:rFonts w:eastAsiaTheme="minorEastAsia"/>
          <w:lang w:val="en-GB" w:eastAsia="zh-CN"/>
        </w:rPr>
        <w:t>a dramatic</w:t>
      </w:r>
      <w:r w:rsidR="009940EF">
        <w:rPr>
          <w:rFonts w:eastAsiaTheme="minorEastAsia" w:hint="eastAsia"/>
          <w:lang w:val="en-GB" w:eastAsia="zh-CN"/>
        </w:rPr>
        <w:t xml:space="preserve"> increase </w:t>
      </w:r>
      <w:r w:rsidR="00762CE4">
        <w:rPr>
          <w:rFonts w:eastAsiaTheme="minorEastAsia"/>
          <w:lang w:val="en-GB" w:eastAsia="zh-CN"/>
        </w:rPr>
        <w:t xml:space="preserve">in the </w:t>
      </w:r>
      <w:r w:rsidR="009940EF">
        <w:rPr>
          <w:rFonts w:eastAsiaTheme="minorEastAsia" w:hint="eastAsia"/>
          <w:lang w:val="en-GB" w:eastAsia="zh-CN"/>
        </w:rPr>
        <w:t>trend</w:t>
      </w:r>
      <w:r w:rsidR="00706F80">
        <w:rPr>
          <w:rFonts w:eastAsiaTheme="minorEastAsia" w:hint="eastAsia"/>
          <w:lang w:val="en-GB" w:eastAsia="zh-CN"/>
        </w:rPr>
        <w:t xml:space="preserve"> </w:t>
      </w:r>
      <w:r w:rsidR="00706F80">
        <w:rPr>
          <w:rFonts w:eastAsiaTheme="minorEastAsia"/>
          <w:lang w:val="en-GB" w:eastAsia="zh-CN"/>
        </w:rPr>
        <w:t>of</w:t>
      </w:r>
      <w:r w:rsidR="00706F80">
        <w:rPr>
          <w:rFonts w:eastAsiaTheme="minorEastAsia" w:hint="eastAsia"/>
          <w:lang w:val="en-GB" w:eastAsia="zh-CN"/>
        </w:rPr>
        <w:t xml:space="preserve"> carrying out relevant research</w:t>
      </w:r>
      <w:r w:rsidRPr="0045074E">
        <w:rPr>
          <w:lang w:val="en-GB"/>
        </w:rPr>
        <w:t>.</w:t>
      </w:r>
      <w:r w:rsidR="00E472FD">
        <w:rPr>
          <w:lang w:val="en-GB"/>
        </w:rPr>
        <w:t xml:space="preserve"> </w:t>
      </w:r>
      <w:r w:rsidR="00A25805">
        <w:rPr>
          <w:lang w:val="en-GB"/>
        </w:rPr>
        <w:t xml:space="preserve">Of the 136 documents, 50 </w:t>
      </w:r>
      <w:r w:rsidR="0058217A">
        <w:rPr>
          <w:lang w:val="en-GB"/>
        </w:rPr>
        <w:t xml:space="preserve">have more than 10 citations. </w:t>
      </w:r>
      <w:r w:rsidR="00A556E1">
        <w:rPr>
          <w:lang w:val="en-GB"/>
        </w:rPr>
        <w:t xml:space="preserve">The 50 research </w:t>
      </w:r>
      <w:r w:rsidR="005A007E">
        <w:rPr>
          <w:lang w:val="en-GB"/>
        </w:rPr>
        <w:t xml:space="preserve">papers </w:t>
      </w:r>
      <w:r w:rsidR="00A556E1">
        <w:rPr>
          <w:lang w:val="en-GB"/>
        </w:rPr>
        <w:t xml:space="preserve">are </w:t>
      </w:r>
      <w:r w:rsidR="009459CA">
        <w:rPr>
          <w:lang w:val="en-GB"/>
        </w:rPr>
        <w:t>studied</w:t>
      </w:r>
      <w:r w:rsidR="00A556E1">
        <w:rPr>
          <w:lang w:val="en-GB"/>
        </w:rPr>
        <w:t xml:space="preserve"> more carefully in the paper. </w:t>
      </w:r>
      <w:r w:rsidRPr="0045074E">
        <w:rPr>
          <w:lang w:val="en-GB"/>
        </w:rPr>
        <w:t xml:space="preserve"> </w:t>
      </w:r>
      <w:r w:rsidR="004E1B8A">
        <w:rPr>
          <w:lang w:val="en-GB"/>
        </w:rPr>
        <w:t>Reviewing these documents is believed to give a baseline for the research in the paper and</w:t>
      </w:r>
      <w:r w:rsidRPr="0045074E">
        <w:rPr>
          <w:lang w:val="en-GB"/>
        </w:rPr>
        <w:t xml:space="preserve"> clarify critical gaps and opportunities within the current digital twin</w:t>
      </w:r>
      <w:r w:rsidR="0076296E">
        <w:rPr>
          <w:lang w:val="en-GB"/>
        </w:rPr>
        <w:t xml:space="preserve"> (DT)</w:t>
      </w:r>
      <w:r w:rsidRPr="0045074E">
        <w:rPr>
          <w:lang w:val="en-GB"/>
        </w:rPr>
        <w:t xml:space="preserve"> technology application for safety, helping to align the research objectives with warehouse 4.0 industry needs.</w:t>
      </w:r>
      <w:r w:rsidR="00852735">
        <w:rPr>
          <w:lang w:val="en-GB"/>
        </w:rPr>
        <w:t xml:space="preserve"> </w:t>
      </w:r>
      <w:r w:rsidR="00FF0EDA" w:rsidRPr="00FF0EDA">
        <w:rPr>
          <w:lang w:val="en-GB"/>
        </w:rPr>
        <w:t>This paper explores three key research questions:</w:t>
      </w:r>
      <w:r w:rsidR="0043695C">
        <w:rPr>
          <w:lang w:val="en-GB"/>
        </w:rPr>
        <w:t xml:space="preserve"> </w:t>
      </w:r>
    </w:p>
    <w:p w14:paraId="50E84065" w14:textId="77777777" w:rsidR="00CD57A8" w:rsidRDefault="00CD57A8" w:rsidP="00CD57A8">
      <w:pPr>
        <w:pStyle w:val="CETListbullets"/>
        <w:numPr>
          <w:ilvl w:val="0"/>
          <w:numId w:val="13"/>
        </w:numPr>
      </w:pPr>
      <w:r w:rsidRPr="0043695C">
        <w:t>How do these DT technologies affect safety authorities in assessing the quality of designs?</w:t>
      </w:r>
    </w:p>
    <w:p w14:paraId="04B62D8A" w14:textId="77777777" w:rsidR="00CD57A8" w:rsidRDefault="00CD57A8" w:rsidP="00CD57A8">
      <w:pPr>
        <w:pStyle w:val="CETListbullets"/>
        <w:numPr>
          <w:ilvl w:val="0"/>
          <w:numId w:val="13"/>
        </w:numPr>
      </w:pPr>
      <w:r w:rsidRPr="0043695C">
        <w:t xml:space="preserve">How can DT technologies facilitate early consideration of warehouse 4.0 design in the system lifecycle? </w:t>
      </w:r>
    </w:p>
    <w:p w14:paraId="370A1607" w14:textId="28059206" w:rsidR="00CD57A8" w:rsidRDefault="00CD57A8" w:rsidP="00CD57A8">
      <w:pPr>
        <w:pStyle w:val="CETListbullets"/>
        <w:numPr>
          <w:ilvl w:val="0"/>
          <w:numId w:val="13"/>
        </w:numPr>
      </w:pPr>
      <w:r w:rsidRPr="0043695C">
        <w:t>What are the implications of using DT technologies for risk assessment and the development of safety cases in human-robot collaboration scenarios?</w:t>
      </w:r>
    </w:p>
    <w:p w14:paraId="7ED3F699" w14:textId="3EB35A7D" w:rsidR="00E370BB" w:rsidRDefault="00824548" w:rsidP="00CD57A8">
      <w:pPr>
        <w:pStyle w:val="CETListbullets"/>
        <w:ind w:left="0" w:firstLine="0"/>
      </w:pPr>
      <w:r w:rsidRPr="00824548">
        <w:t xml:space="preserve">By </w:t>
      </w:r>
      <w:r>
        <w:t>addressing</w:t>
      </w:r>
      <w:r w:rsidRPr="00824548">
        <w:t xml:space="preserve"> these questions, the paper seeks to provide deeper insights into the role of DT technologies in creating safer, more efficient intelligent warehouses, with a particular focus on robotic solutions in Warehouse 4.0 design</w:t>
      </w:r>
      <w:r w:rsidR="00D169D1">
        <w:fldChar w:fldCharType="begin" w:fldLock="1"/>
      </w:r>
      <w:r w:rsidR="00954A0B">
        <w:instrText>ADDIN CSL_CITATION {"citationItems":[{"id":"ITEM-1","itemData":{"DOI":"10.1016/j.cogr.2021.06.001","author":[{"dropping-particle":"","family":"Javaid","given":"M","non-dropping-particle":"","parse-names":false,"suffix":""},{"dropping-particle":"","family":"Haleem","given":"A","non-dropping-particle":"","parse-names":false,"suffix":""},{"dropping-particle":"","family":"Singh","given":"R P","non-dropping-particle":"","parse-names":false,"suffix":""},{"dropping-particle":"","family":"Suman","given":"R","non-dropping-particle":"","parse-names":false,"suffix":""}],"container-title":"Cognitive Robotics","id":"ITEM-1","issued":{"date-parts":[["2021"]]},"note":"Export Date: 12 September 2024; Cited By: 243","page":"58-75","title":"Substantial capabilities of robotics in enhancing industry 4.0 implementation","type":"article-journal","volume":"1"},"uris":["http://www.mendeley.com/documents/?uuid=62ab88e2-7a82-4748-9f77-949bb05b2744"]},{"id":"ITEM-2","itemData":{"DOI":"10.3390/s21196340","author":[{"dropping-particle":"","family":"Huang","given":"Z","non-dropping-particle":"","parse-names":false,"suffix":""},{"dropping-particle":"","family":"Shen","given":"Y","non-dropping-particle":"","parse-names":false,"suffix":""},{"dropping-particle":"","family":"Li","given":"J","non-dropping-particle":"","parse-names":false,"suffix":""},{"dropping-particle":"","family":"Fey","given":"M","non-dropping-particle":"","parse-names":false,"suffix":""},{"dropping-particle":"","family":"Brecher","given":"C","non-dropping-particle":"","parse-names":false,"suffix":""}],"container-title":"Sensors","id":"ITEM-2","issue":"19","issued":{"date-parts":[["2021"]]},"note":"Export Date: 12 September 2024; Cited By: 137","title":"A survey on AI-driven digital twins in industry 4.0: Smart manufacturing and advanced robotics","type":"article-journal","volume":"21"},"uris":["http://www.mendeley.com/documents/?uuid=f242a062-a1d8-49b1-8ae5-79e31711c0b3"]}],"mendeley":{"formattedCitation":"(Javaid et al. 2021; Huang et al. 2021)","plainTextFormattedCitation":"(Javaid et al. 2021; Huang et al. 2021)","previouslyFormattedCitation":"(Javaid et al. 2021; Huang et al. 2021)"},"properties":{"noteIndex":0},"schema":"https://github.com/citation-style-language/schema/raw/master/csl-citation.json"}</w:instrText>
      </w:r>
      <w:r w:rsidR="00D169D1">
        <w:fldChar w:fldCharType="separate"/>
      </w:r>
      <w:r w:rsidR="003F67C4" w:rsidRPr="003F67C4">
        <w:rPr>
          <w:noProof/>
        </w:rPr>
        <w:t>(Javaid et al. 2021; Huang et al. 2021)</w:t>
      </w:r>
      <w:r w:rsidR="00D169D1">
        <w:fldChar w:fldCharType="end"/>
      </w:r>
      <w:r w:rsidR="002E66B7">
        <w:t xml:space="preserve">. </w:t>
      </w:r>
    </w:p>
    <w:p w14:paraId="029C9355" w14:textId="24F32848" w:rsidR="00E370BB" w:rsidRDefault="00C13A86" w:rsidP="00CD57A8">
      <w:pPr>
        <w:pStyle w:val="CETHeading1"/>
      </w:pPr>
      <w:r>
        <w:t>Background and Literature Review</w:t>
      </w:r>
    </w:p>
    <w:p w14:paraId="61A9B77A" w14:textId="0D3864B5" w:rsidR="00600535" w:rsidRPr="00B57B36" w:rsidRDefault="00C5443F" w:rsidP="00FA5F5F">
      <w:pPr>
        <w:pStyle w:val="CETheadingx"/>
      </w:pPr>
      <w:r w:rsidRPr="00C5443F">
        <w:t xml:space="preserve">Warehouse 4.0 and </w:t>
      </w:r>
      <w:r w:rsidR="00F13E27">
        <w:t>d</w:t>
      </w:r>
      <w:r w:rsidRPr="00C5443F">
        <w:t xml:space="preserve">igital </w:t>
      </w:r>
      <w:r w:rsidR="00F13E27">
        <w:t>t</w:t>
      </w:r>
      <w:r w:rsidRPr="00C5443F">
        <w:t>ransformation</w:t>
      </w:r>
    </w:p>
    <w:p w14:paraId="1F7A89A5" w14:textId="547EB66E" w:rsidR="00600535" w:rsidRPr="007E3578" w:rsidRDefault="00034853" w:rsidP="008C42F9">
      <w:pPr>
        <w:pStyle w:val="CETListbullets"/>
        <w:ind w:left="0" w:firstLine="0"/>
        <w:rPr>
          <w:rFonts w:eastAsiaTheme="minorEastAsia"/>
          <w:lang w:eastAsia="zh-CN"/>
        </w:rPr>
      </w:pPr>
      <w:r>
        <w:t>Warehouse 4.0 is driven by the digi</w:t>
      </w:r>
      <w:r w:rsidR="00BB79AD">
        <w:t xml:space="preserve">tization and automation of processes to meet the evolving demands of modern supply chain management. </w:t>
      </w:r>
      <w:r w:rsidR="002C3E46">
        <w:t xml:space="preserve">The ultimate goal is to design warehouses that balance human workers with the use of </w:t>
      </w:r>
      <w:r w:rsidR="00DF5F26">
        <w:t>Industry</w:t>
      </w:r>
      <w:r w:rsidR="00F9090E">
        <w:t xml:space="preserve"> 4.0</w:t>
      </w:r>
      <w:r w:rsidR="002C3E46">
        <w:t xml:space="preserve"> technolog</w:t>
      </w:r>
      <w:r w:rsidR="00F9090E">
        <w:t>ies</w:t>
      </w:r>
      <w:r w:rsidR="002C3E46">
        <w:t xml:space="preserve">. </w:t>
      </w:r>
      <w:r w:rsidR="007F5E29">
        <w:t xml:space="preserve">Industry 4.0 technologies </w:t>
      </w:r>
      <w:r w:rsidR="00A957E1">
        <w:t xml:space="preserve">transform warehouse operations, enabling more efficient, </w:t>
      </w:r>
      <w:r w:rsidR="00BF5334">
        <w:rPr>
          <w:rFonts w:eastAsiaTheme="minorEastAsia" w:hint="eastAsia"/>
          <w:lang w:eastAsia="zh-CN"/>
        </w:rPr>
        <w:t xml:space="preserve">reliable, </w:t>
      </w:r>
      <w:r w:rsidR="00CA3BF1">
        <w:t>flexible, and scalable logistics systems</w:t>
      </w:r>
      <w:r w:rsidR="00570511">
        <w:t xml:space="preserve">. </w:t>
      </w:r>
      <w:r w:rsidR="002C2704">
        <w:t>DT</w:t>
      </w:r>
      <w:r w:rsidR="003F50EA">
        <w:t xml:space="preserve"> is one of the industry 4.0 technologies</w:t>
      </w:r>
      <w:r w:rsidR="005634C1">
        <w:fldChar w:fldCharType="begin" w:fldLock="1"/>
      </w:r>
      <w:r w:rsidR="002475CC">
        <w:instrText>ADDIN CSL_CITATION {"citationItems":[{"id":"ITEM-1","itemData":{"DOI":"10.1016/j.jii.2022.100383","author":[{"dropping-particle":"","family":"Sharma","given":"A","non-dropping-particle":"","parse-names":false,"suffix":""},{"dropping-particle":"","family":"Kosasih","given":"E","non-dropping-particle":"","parse-names":false,"suffix":""},{"dropping-particle":"","family":"Zhang","given":"J","non-dropping-particle":"","parse-names":false,"suffix":""},{"dropping-particle":"","family":"Brintrup","given":"A","non-dropping-particle":"","parse-names":false,"suffix":""},{"dropping-particle":"","family":"Calinescu","given":"A","non-dropping-particle":"","parse-names":false,"suffix":""}],"container-title":"Journal of Industrial Information Integration","id":"ITEM-1","issued":{"date-parts":[["2022"]]},"note":"Export Date: 12 September 2024; Cited By: 153","title":"Digital Twins: State of the art theory and practice, challenges, and open research questions","type":"article-journal","volume":"30"},"uris":["http://www.mendeley.com/documents/?uuid=402cb28c-befd-4e37-aa87-6d28ae705c00"]}],"mendeley":{"formattedCitation":"(Sharma et al. 2022)","plainTextFormattedCitation":"(Sharma et al. 2022)","previouslyFormattedCitation":"(Sharma et al. 2022)"},"properties":{"noteIndex":0},"schema":"https://github.com/citation-style-language/schema/raw/master/csl-citation.json"}</w:instrText>
      </w:r>
      <w:r w:rsidR="005634C1">
        <w:fldChar w:fldCharType="separate"/>
      </w:r>
      <w:r w:rsidR="005634C1" w:rsidRPr="005634C1">
        <w:rPr>
          <w:noProof/>
        </w:rPr>
        <w:t>(Sharma et al. 2022)</w:t>
      </w:r>
      <w:r w:rsidR="005634C1">
        <w:fldChar w:fldCharType="end"/>
      </w:r>
      <w:r w:rsidR="003F50EA">
        <w:t xml:space="preserve">. </w:t>
      </w:r>
      <w:r w:rsidR="00704D2D">
        <w:rPr>
          <w:rFonts w:eastAsiaTheme="minorEastAsia" w:hint="eastAsia"/>
          <w:lang w:eastAsia="zh-CN"/>
        </w:rPr>
        <w:t xml:space="preserve">DT </w:t>
      </w:r>
      <w:r w:rsidR="00704D2D" w:rsidRPr="00704D2D">
        <w:t xml:space="preserve">is a software tool that enables the digital reflection of real-life scenarios. Researchers can conduct lifelike 3D modelling on the studied object and its surrounding environments, simulate the actions of the subject through precise dynamics and kinematics computing, and optimize algorithms based on simulation results. It is a toolkit integrated with modelling, simulation, and visualization functions via the communication between the physical machine and its digital counterpart.  </w:t>
      </w:r>
      <w:r w:rsidR="00CF4985">
        <w:t xml:space="preserve">In some of the </w:t>
      </w:r>
      <w:r w:rsidR="00445043">
        <w:t>literature</w:t>
      </w:r>
      <w:r w:rsidR="002475CC">
        <w:fldChar w:fldCharType="begin" w:fldLock="1"/>
      </w:r>
      <w:r w:rsidR="00967BA2">
        <w:instrText>ADDIN CSL_CITATION {"citationItems":[{"id":"ITEM-1","itemData":{"DOI":"10.1109/TII.2018.2873186","ISSN":"19410050, 15513203","abstract":"Digital twin (DT) is one of the most promising enabling technologies for realizing smart manufacturing and Industry 4.0. DTs are characterized by the seamless integration between the cyber and physical spaces. The importance of DTs is increasingly recognized by both academia and industry. It has been almost 15 years since the concept of the DT was initially proposed. To date, many DT applications have been successfully implemented in different industries, including product design, production, prognostics and health management, and some other fields. However, at present, no paper has focused on the review of DT applications in industry. In an effort to understand the development and application of DTs in industry, this paper thoroughly reviews the state-of-the-art of the DT research concerning the key components of DTs, the current development of DTs, and the major DT applications in industry. This paper also outlines the current challenges and some possible directions for future work.","author":[{"dropping-particle":"","family":"Tao","given":"Fei","non-dropping-particle":"","parse-names":false,"suffix":""},{"dropping-particle":"","family":"Zhang","given":"He","non-dropping-particle":"","parse-names":false,"suffix":""},{"dropping-particle":"","family":"Liu","given":"Ang","non-dropping-particle":"","parse-names":false,"suffix":""},{"dropping-particle":"","family":"Nee","given":"A Y C","non-dropping-particle":"","parse-names":false,"suffix":""}],"container-title":"Ieee Transactions on Industrial Informatics","id":"ITEM-1","issue":"4","issued":{"date-parts":[["2019"]]},"language":"eng","page":"2405-2415","publisher":"IEEE Computer Society","title":"Digital Twin in Industry: State-of-the-Art","type":"article-journal","volume":"15"},"uris":["http://www.mendeley.com/documents/?uuid=6dc8e38a-1acd-4825-8a32-6aaaf3aca455"]}],"mendeley":{"formattedCitation":"(Tao et al. 2019)","plainTextFormattedCitation":"(Tao et al. 2019)","previouslyFormattedCitation":"(Tao et al. 2019)"},"properties":{"noteIndex":0},"schema":"https://github.com/citation-style-language/schema/raw/master/csl-citation.json"}</w:instrText>
      </w:r>
      <w:r w:rsidR="002475CC">
        <w:fldChar w:fldCharType="separate"/>
      </w:r>
      <w:r w:rsidR="002475CC" w:rsidRPr="002475CC">
        <w:rPr>
          <w:noProof/>
        </w:rPr>
        <w:t>(Tao et al. 2019)</w:t>
      </w:r>
      <w:r w:rsidR="002475CC">
        <w:fldChar w:fldCharType="end"/>
      </w:r>
      <w:r w:rsidR="00445043">
        <w:t xml:space="preserve">, the </w:t>
      </w:r>
      <w:r w:rsidR="008D263F">
        <w:t xml:space="preserve">data </w:t>
      </w:r>
      <w:r w:rsidR="00445043">
        <w:t xml:space="preserve">communication </w:t>
      </w:r>
      <w:r w:rsidR="008D263F">
        <w:t>infrastructure</w:t>
      </w:r>
      <w:r w:rsidR="00445043">
        <w:t xml:space="preserve"> between the physical and digital components can determine the difference between concepts such as digital twins</w:t>
      </w:r>
      <w:r w:rsidR="00041191">
        <w:t>, digital models</w:t>
      </w:r>
      <w:r w:rsidR="0066355E">
        <w:t>,</w:t>
      </w:r>
      <w:r w:rsidR="00041191">
        <w:t xml:space="preserve"> and digital shadows</w:t>
      </w:r>
      <w:r w:rsidR="0066355E">
        <w:t xml:space="preserve">. </w:t>
      </w:r>
      <w:r w:rsidR="004552A9">
        <w:rPr>
          <w:rFonts w:eastAsiaTheme="minorEastAsia" w:hint="eastAsia"/>
          <w:lang w:eastAsia="zh-CN"/>
        </w:rPr>
        <w:t xml:space="preserve">DT has been applied in many research fields for various purposes. </w:t>
      </w:r>
      <w:r w:rsidR="002C2704">
        <w:t>DT is used for safety</w:t>
      </w:r>
      <w:r w:rsidR="008B5040">
        <w:rPr>
          <w:rFonts w:eastAsiaTheme="minorEastAsia" w:hint="eastAsia"/>
          <w:lang w:eastAsia="zh-CN"/>
        </w:rPr>
        <w:t xml:space="preserve">-related </w:t>
      </w:r>
      <w:r w:rsidR="002C2704">
        <w:t>applications</w:t>
      </w:r>
      <w:r w:rsidR="00954A0B">
        <w:fldChar w:fldCharType="begin" w:fldLock="1"/>
      </w:r>
      <w:r w:rsidR="00C45391">
        <w:instrText>ADDIN CSL_CITATION {"citationItems":[{"id":"ITEM-1","itemData":{"DOI":"https://doi.org/10.1016/j.cie.2021.107137","ISSN":"0360-8352","abstract":"The increasing diffusion of digitalization in industry and society is forcing the adopting of tools based on new enabling technologies. This phenomenon is clearly observable in the manufacturing sector, where, due to the diffusion of Industry 4.0 paradigm, physical processes are integrating effectively with digital ones. One recent innovative technology is the Digital Twin (DT), where digital models and physical ones communicate – by sharing data as well as information – usually in a bidirectional way. As recent studies have analyzed the current level of adoption of DT technologies in the manufacturing sector, less effort has been focused on evaluating applications in the safety domain. Theoretically, the DT inherent capability of acquiring data from the physical world - usually developed in real time – together with the potentiality of reliable data processing could support a more effective diffusion of dynamic risk assessment models as well as real time alert management systems for improving safety. Otherwise, the actual capability of real applications highly depends on the level of complexity of the specific DT. The aim of the study is to provide a methodology to assess current application of DT technologies; the framework has been developed in the safety domain aiming to point out to researchers as well as technicians in a clear way the capabilities of a specific DT application. The framework has been adopted for analyzing current applications of DT in the scientific literature aiming to propose a theoretical validation. The application has outlined that, although the number of DT applications in the safety field is not so large, the current tools developed are characterized by a high level of complexity thus providing higher reliability to support the specific safety problem in analysis. Further developments will be oriented towards developing a quantitative assessment framework to integrate the proposed tool.","author":[{"dropping-particle":"","family":"Agnusdei","given":"Giulio Paolo","non-dropping-particle":"","parse-names":false,"suffix":""},{"dropping-particle":"","family":"Elia","given":"Valerio","non-dropping-particle":"","parse-names":false,"suffix":""},{"dropping-particle":"","family":"Gnoni","given":"Maria Grazia","non-dropping-particle":"","parse-names":false,"suffix":""}],"container-title":"Computers &amp; Industrial Engineering","id":"ITEM-1","issued":{"date-parts":[["2021"]]},"page":"107137","title":"A classification proposal of digital twin applications in the safety domain","type":"article-journal","volume":"154"},"uris":["http://www.mendeley.com/documents/?uuid=3bbd392d-3ef2-4403-81ac-5bd9c7605a72"]},{"id":"ITEM-2","itemData":{"DOI":"10.1016/j.ress.2024.110040","ISSN":"0951-8320","author":[{"dropping-particle":"","family":"Zio","given":"Enrico","non-dropping-particle":"","parse-names":false,"suffix":""},{"dropping-particle":"","family":"Miqueles","given":"Leonardo","non-dropping-particle":"","parse-names":false,"suffix":""}],"container-title":"Reliability Engineering and System Safety","id":"ITEM-2","issued":{"date-parts":[["2024"]]},"page":"110040","publisher":"Elsevier Ltd","title":"Digital Twins in safety analysis, risk assessment and emergency management","type":"article-journal"},"uris":["http://www.mendeley.com/documents/?uuid=71a4eb18-0b86-4252-b1bf-a30b3c0e651a"]}],"mendeley":{"formattedCitation":"(Agnusdei, Elia, and Gnoni 2021; Zio and Miqueles 2024)","plainTextFormattedCitation":"(Agnusdei, Elia, and Gnoni 2021; Zio and Miqueles 2024)","previouslyFormattedCitation":"(Agnusdei, Elia, and Gnoni 2021; Zio and Miqueles 2024)"},"properties":{"noteIndex":0},"schema":"https://github.com/citation-style-language/schema/raw/master/csl-citation.json"}</w:instrText>
      </w:r>
      <w:r w:rsidR="00954A0B">
        <w:fldChar w:fldCharType="separate"/>
      </w:r>
      <w:r w:rsidR="00954A0B" w:rsidRPr="00954A0B">
        <w:rPr>
          <w:noProof/>
        </w:rPr>
        <w:t>(Agnusdei, Elia, and Gnoni 2021; Zio and Miqueles 2024)</w:t>
      </w:r>
      <w:r w:rsidR="00954A0B">
        <w:fldChar w:fldCharType="end"/>
      </w:r>
      <w:r w:rsidR="001C415D">
        <w:t xml:space="preserve"> because there are new safety challenges in warehouse 4.0. </w:t>
      </w:r>
    </w:p>
    <w:p w14:paraId="2D23C16F" w14:textId="75D0D62D" w:rsidR="00771A19" w:rsidRDefault="00771A19" w:rsidP="008C42F9">
      <w:pPr>
        <w:pStyle w:val="CETListbullets"/>
        <w:ind w:left="0" w:firstLine="0"/>
      </w:pPr>
    </w:p>
    <w:p w14:paraId="6B4C63E5" w14:textId="52155380" w:rsidR="00600535" w:rsidRDefault="0076611F" w:rsidP="00FA5F5F">
      <w:pPr>
        <w:pStyle w:val="CETheadingx"/>
      </w:pPr>
      <w:r w:rsidRPr="0076611F">
        <w:t xml:space="preserve">Safety </w:t>
      </w:r>
      <w:r w:rsidR="003039E0">
        <w:t>c</w:t>
      </w:r>
      <w:r w:rsidR="00F13E27">
        <w:t>hallenges</w:t>
      </w:r>
      <w:r w:rsidRPr="0076611F">
        <w:t xml:space="preserve"> in </w:t>
      </w:r>
      <w:r w:rsidR="003039E0">
        <w:t>w</w:t>
      </w:r>
      <w:r w:rsidRPr="0076611F">
        <w:t>arehouse 4.0</w:t>
      </w:r>
    </w:p>
    <w:p w14:paraId="34C2C81E" w14:textId="18741E38" w:rsidR="005710E9" w:rsidRDefault="00D13E3A" w:rsidP="00720C8A">
      <w:pPr>
        <w:pStyle w:val="CETBodytext"/>
      </w:pPr>
      <w:r>
        <w:t xml:space="preserve">By </w:t>
      </w:r>
      <w:r w:rsidR="008440EB">
        <w:t>examining</w:t>
      </w:r>
      <w:r>
        <w:t xml:space="preserve"> the</w:t>
      </w:r>
      <w:r w:rsidR="00B16C68">
        <w:t xml:space="preserve"> </w:t>
      </w:r>
      <w:r w:rsidR="002A7514">
        <w:t>examples of robot-related fatal accidents in Table 1, the factors that may contribute to accidents can be categorized into unsafe human behavior, unsafe robots</w:t>
      </w:r>
      <w:r w:rsidR="001F75D9">
        <w:t>,</w:t>
      </w:r>
      <w:r w:rsidR="00FD2C66">
        <w:t xml:space="preserve"> </w:t>
      </w:r>
      <w:r w:rsidR="00837565">
        <w:t>unsafe</w:t>
      </w:r>
      <w:r w:rsidR="00FD2C66">
        <w:t xml:space="preserve"> human-</w:t>
      </w:r>
      <w:r w:rsidR="00F57E64">
        <w:t xml:space="preserve">robot </w:t>
      </w:r>
      <w:r w:rsidR="00FD2C66">
        <w:t>collaboration</w:t>
      </w:r>
      <w:r w:rsidR="00837565">
        <w:t>, and failure in management</w:t>
      </w:r>
      <w:r w:rsidR="00FD2C66">
        <w:t xml:space="preserve">. </w:t>
      </w:r>
      <w:r w:rsidR="001B23EE" w:rsidRPr="001B23EE">
        <w:t>Human errors, such as entering restricted zones, misinterpreting safety warnings, or failing to adhere to established protocols, are a leading cause of accidents in automated environments.</w:t>
      </w:r>
      <w:r w:rsidR="005710E9">
        <w:t xml:space="preserve"> </w:t>
      </w:r>
      <w:r w:rsidR="00217118" w:rsidRPr="00217118">
        <w:t>Malfunctions or failures in robotic systems, including hardware defects, software bugs, or unpredictable behaviors, pose a direct risk</w:t>
      </w:r>
      <w:r w:rsidR="00217118">
        <w:t xml:space="preserve">. </w:t>
      </w:r>
      <w:r w:rsidR="007D67A0" w:rsidRPr="007D67A0">
        <w:t>As warehouses increasingly implement collaborative robots (</w:t>
      </w:r>
      <w:proofErr w:type="spellStart"/>
      <w:r w:rsidR="007D67A0" w:rsidRPr="007D67A0">
        <w:t>cobots</w:t>
      </w:r>
      <w:proofErr w:type="spellEnd"/>
      <w:r w:rsidR="007D67A0" w:rsidRPr="007D67A0">
        <w:t>) designed to work alongside humans, ensuring safe interaction becomes a critical challenge.</w:t>
      </w:r>
      <w:r w:rsidR="0014668E" w:rsidRPr="0014668E">
        <w:t xml:space="preserve"> Poor management practices, such as inadequate safety training, lack of regular maintenance, or insufficient risk assessments, can </w:t>
      </w:r>
      <w:r w:rsidR="00741FA5">
        <w:t>manifest</w:t>
      </w:r>
      <w:r w:rsidR="0014668E" w:rsidRPr="0014668E">
        <w:t xml:space="preserve"> hazards. Management failures can also include delays in adopting necessary safety technologies or neglecting to enforce safety protocols rigorously.</w:t>
      </w:r>
    </w:p>
    <w:p w14:paraId="15760FC0" w14:textId="378FA17D" w:rsidR="00B076AB" w:rsidRDefault="00E45100" w:rsidP="00720C8A">
      <w:pPr>
        <w:pStyle w:val="CETBodytext"/>
      </w:pPr>
      <w:r w:rsidRPr="00E45100">
        <w:t xml:space="preserve">To address these challenges, it is widely accepted that hazards should be mitigated or eliminated during the design phase. Incorporating safety measures early on ensures inherent safety by addressing potential risks before they manifest in the operational environment. </w:t>
      </w:r>
      <w:r w:rsidR="00B076AB">
        <w:t>The next section will explore the role of DT in design for safety</w:t>
      </w:r>
      <w:r w:rsidR="00967BA2">
        <w:fldChar w:fldCharType="begin" w:fldLock="1"/>
      </w:r>
      <w:r w:rsidR="00AC1418">
        <w:instrText>ADDIN CSL_CITATION {"citationItems":[{"id":"ITEM-1","itemData":{"DOI":"https://doi.org/10.1016/bs.mcps.2024.07.003","ISBN":"2468-6514","abstract":"This chapter explores process safety principles (PSPs) within energy system design, focusing on their role in the prevention and control of incidents. It delves into the integration of PSPs with established design paradigms such as Design for Safety (DfS) and Risk-Informed Design (RID), which are pivotal in creating a robust framework for safety throughout the design process. The chapter is structured to provide a comprehensive overview of the complexity of energy system design, including an examination of the impact of industry evolution and safety science development. It investigates the role of PSPs in ensuring energy system safety by reducing risks and presents the energy design process, followed by an exploration of the challenges and opportunities for further improvements in design practices. The chapter concludes with an analysis of the opportunities and challenges for enhancing energy system design and the implications for the future of safety in energy systems. It underscores the importance of a disciplined approach to integrating PSPs to achieve high levels of safety and reliability in energy systems from the design phase.","author":[{"dropping-particle":"","family":"Wu","given":"Jing","non-dropping-particle":"","parse-names":false,"suffix":""},{"dropping-particle":"","family":"Lind","given":"Morten","non-dropping-particle":"","parse-names":false,"suffix":""},{"dropping-particle":"","family":"Li","given":"Ruixue","non-dropping-particle":"","parse-names":false,"suffix":""},{"dropping-particle":"","family":"Zhang","given":"Xinxin","non-dropping-particle":"","parse-names":false,"suffix":""}],"container-title":"Methods in Chemical Process Safety","editor":[{"dropping-particle":"","family":"Khan","given":"Faisal I","non-dropping-particle":"","parse-names":false,"suffix":""},{"dropping-particle":"","family":"Pistikopoulos","given":"Efstratios N","non-dropping-particle":"","parse-names":false,"suffix":""},{"dropping-particle":"","family":"Sajid","given":"Zaman","non-dropping-particle":"","parse-names":false,"suffix":""}],"id":"ITEM-1","issued":{"date-parts":[["2024"]]},"page":"133-172","publisher":"Elsevier","title":"Chapter Five - Integration of process safety principles in energy system design","type":"chapter","volume":"8"},"uris":["http://www.mendeley.com/documents/?uuid=e7179b6e-95cc-3347-97a4-fe04ed68078a"]}],"mendeley":{"formattedCitation":"(J. Wu, Lind, et al. 2024)","manualFormatting":"(Wu et al. 2024)","plainTextFormattedCitation":"(J. Wu, Lind, et al. 2024)","previouslyFormattedCitation":"(Wu, Lind, et al. 2024)"},"properties":{"noteIndex":0},"schema":"https://github.com/citation-style-language/schema/raw/master/csl-citation.json"}</w:instrText>
      </w:r>
      <w:r w:rsidR="00967BA2">
        <w:fldChar w:fldCharType="separate"/>
      </w:r>
      <w:r w:rsidR="009A022C" w:rsidRPr="009A022C">
        <w:rPr>
          <w:noProof/>
        </w:rPr>
        <w:t>(Wu</w:t>
      </w:r>
      <w:r w:rsidR="007C578A">
        <w:rPr>
          <w:noProof/>
        </w:rPr>
        <w:t xml:space="preserve"> </w:t>
      </w:r>
      <w:r w:rsidR="009A022C" w:rsidRPr="009A022C">
        <w:rPr>
          <w:noProof/>
        </w:rPr>
        <w:t>et al. 2024)</w:t>
      </w:r>
      <w:r w:rsidR="00967BA2">
        <w:fldChar w:fldCharType="end"/>
      </w:r>
      <w:r w:rsidR="00B076AB">
        <w:t xml:space="preserve">. </w:t>
      </w:r>
    </w:p>
    <w:p w14:paraId="51563D9E" w14:textId="703D5063" w:rsidR="002E194E" w:rsidRPr="00EB25C4" w:rsidRDefault="002E194E" w:rsidP="002E194E">
      <w:pPr>
        <w:pStyle w:val="CETTabletitle"/>
      </w:pPr>
      <w:r w:rsidRPr="00B57B36">
        <w:t>Table 1:</w:t>
      </w:r>
      <w:r w:rsidR="00CA3768">
        <w:t xml:space="preserve"> Robot-related fatal accidents</w:t>
      </w:r>
      <w:r w:rsidR="00906CC3">
        <w:t xml:space="preserve"> </w:t>
      </w:r>
      <w:r w:rsidR="00C57F4C">
        <w:t>examples</w:t>
      </w:r>
      <w:r w:rsidR="001D07B5">
        <w:t xml:space="preserve"> </w:t>
      </w:r>
      <w:r w:rsidR="00906CC3">
        <w:t>(Source:</w:t>
      </w:r>
      <w:r w:rsidR="00EB25C4">
        <w:t> U</w:t>
      </w:r>
      <w:r w:rsidR="001D07B5">
        <w:t>.S.</w:t>
      </w:r>
      <w:r w:rsidR="00EB25C4">
        <w:t xml:space="preserve"> </w:t>
      </w:r>
      <w:r w:rsidR="00EB25C4" w:rsidRPr="00EB25C4">
        <w:t>Occupational Safety and Health Administration)</w:t>
      </w:r>
      <w:r w:rsidR="00906CC3">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4"/>
        <w:gridCol w:w="992"/>
        <w:gridCol w:w="2693"/>
        <w:gridCol w:w="4820"/>
      </w:tblGrid>
      <w:tr w:rsidR="00030BAA" w:rsidRPr="00B57B36" w14:paraId="26010B07" w14:textId="77777777" w:rsidTr="001D07B5">
        <w:tc>
          <w:tcPr>
            <w:tcW w:w="284" w:type="dxa"/>
            <w:tcBorders>
              <w:top w:val="single" w:sz="12" w:space="0" w:color="008000"/>
              <w:bottom w:val="single" w:sz="6" w:space="0" w:color="008000"/>
            </w:tcBorders>
            <w:shd w:val="clear" w:color="auto" w:fill="FFFFFF"/>
          </w:tcPr>
          <w:p w14:paraId="7486B0D6" w14:textId="2C2504F2" w:rsidR="00030BAA" w:rsidRPr="00B57B36" w:rsidRDefault="00030BAA" w:rsidP="00CA2E27">
            <w:pPr>
              <w:pStyle w:val="CETBodytext"/>
              <w:rPr>
                <w:lang w:val="en-GB"/>
              </w:rPr>
            </w:pPr>
            <w:r>
              <w:rPr>
                <w:lang w:val="en-GB"/>
              </w:rPr>
              <w:t>No.</w:t>
            </w:r>
          </w:p>
        </w:tc>
        <w:tc>
          <w:tcPr>
            <w:tcW w:w="992" w:type="dxa"/>
            <w:tcBorders>
              <w:top w:val="single" w:sz="12" w:space="0" w:color="008000"/>
              <w:bottom w:val="single" w:sz="6" w:space="0" w:color="008000"/>
            </w:tcBorders>
            <w:shd w:val="clear" w:color="auto" w:fill="FFFFFF"/>
          </w:tcPr>
          <w:p w14:paraId="6E3AE4CB" w14:textId="755A0288" w:rsidR="00030BAA" w:rsidRPr="00B57B36" w:rsidRDefault="00030BAA" w:rsidP="00CA2E27">
            <w:pPr>
              <w:pStyle w:val="CETBodytext"/>
              <w:rPr>
                <w:lang w:val="en-GB"/>
              </w:rPr>
            </w:pPr>
            <w:r>
              <w:rPr>
                <w:lang w:val="en-GB"/>
              </w:rPr>
              <w:t>Date</w:t>
            </w:r>
          </w:p>
        </w:tc>
        <w:tc>
          <w:tcPr>
            <w:tcW w:w="2693" w:type="dxa"/>
            <w:tcBorders>
              <w:top w:val="single" w:sz="12" w:space="0" w:color="008000"/>
              <w:bottom w:val="single" w:sz="6" w:space="0" w:color="008000"/>
            </w:tcBorders>
            <w:shd w:val="clear" w:color="auto" w:fill="FFFFFF"/>
          </w:tcPr>
          <w:p w14:paraId="6468450B" w14:textId="0E52EE46" w:rsidR="00030BAA" w:rsidRPr="00B57B36" w:rsidRDefault="00030BAA" w:rsidP="00CA2E27">
            <w:pPr>
              <w:pStyle w:val="CETBodytext"/>
              <w:rPr>
                <w:lang w:val="en-GB"/>
              </w:rPr>
            </w:pPr>
            <w:r>
              <w:rPr>
                <w:lang w:val="en-GB"/>
              </w:rPr>
              <w:t>Accident title</w:t>
            </w:r>
          </w:p>
        </w:tc>
        <w:tc>
          <w:tcPr>
            <w:tcW w:w="4820" w:type="dxa"/>
            <w:tcBorders>
              <w:top w:val="single" w:sz="12" w:space="0" w:color="008000"/>
              <w:bottom w:val="single" w:sz="6" w:space="0" w:color="008000"/>
            </w:tcBorders>
            <w:shd w:val="clear" w:color="auto" w:fill="FFFFFF"/>
          </w:tcPr>
          <w:p w14:paraId="0F2D963C" w14:textId="76DB1D9F" w:rsidR="00030BAA" w:rsidRPr="00B57B36" w:rsidRDefault="00741C2A" w:rsidP="00CA2E27">
            <w:pPr>
              <w:pStyle w:val="CETBodytext"/>
              <w:ind w:right="-1"/>
              <w:rPr>
                <w:rFonts w:cs="Arial"/>
                <w:szCs w:val="18"/>
                <w:lang w:val="en-GB"/>
              </w:rPr>
            </w:pPr>
            <w:r>
              <w:rPr>
                <w:rFonts w:cs="Arial"/>
                <w:szCs w:val="18"/>
                <w:lang w:val="en-GB"/>
              </w:rPr>
              <w:t>Causes of the accident</w:t>
            </w:r>
            <w:r w:rsidR="00030BAA">
              <w:rPr>
                <w:rFonts w:cs="Arial"/>
                <w:szCs w:val="18"/>
                <w:lang w:val="en-GB"/>
              </w:rPr>
              <w:t xml:space="preserve"> </w:t>
            </w:r>
          </w:p>
        </w:tc>
      </w:tr>
      <w:tr w:rsidR="00355E7C" w:rsidRPr="00B57B36" w14:paraId="0A6E0C75" w14:textId="77777777" w:rsidTr="001D07B5">
        <w:tc>
          <w:tcPr>
            <w:tcW w:w="284" w:type="dxa"/>
            <w:shd w:val="clear" w:color="auto" w:fill="FFFFFF"/>
          </w:tcPr>
          <w:p w14:paraId="1110CE62" w14:textId="27302AAB" w:rsidR="00355E7C" w:rsidRPr="00B57B36" w:rsidRDefault="00355E7C" w:rsidP="00355E7C">
            <w:pPr>
              <w:pStyle w:val="CETBodytext"/>
              <w:rPr>
                <w:lang w:val="en-GB"/>
              </w:rPr>
            </w:pPr>
            <w:r>
              <w:rPr>
                <w:lang w:val="en-GB"/>
              </w:rPr>
              <w:t>1</w:t>
            </w:r>
          </w:p>
        </w:tc>
        <w:tc>
          <w:tcPr>
            <w:tcW w:w="992" w:type="dxa"/>
            <w:shd w:val="clear" w:color="auto" w:fill="FFFFFF"/>
          </w:tcPr>
          <w:p w14:paraId="4CCA39FA" w14:textId="04EBFFDB" w:rsidR="00355E7C" w:rsidRPr="00B57B36" w:rsidRDefault="00355E7C" w:rsidP="00355E7C">
            <w:pPr>
              <w:pStyle w:val="CETBodytext"/>
              <w:rPr>
                <w:lang w:val="en-GB"/>
              </w:rPr>
            </w:pPr>
            <w:r w:rsidRPr="00901E96">
              <w:t>02/22/2024</w:t>
            </w:r>
          </w:p>
        </w:tc>
        <w:tc>
          <w:tcPr>
            <w:tcW w:w="2693" w:type="dxa"/>
            <w:shd w:val="clear" w:color="auto" w:fill="FFFFFF"/>
          </w:tcPr>
          <w:p w14:paraId="051F0464" w14:textId="598A2B13" w:rsidR="00355E7C" w:rsidRPr="00B57B36" w:rsidRDefault="00355E7C" w:rsidP="00355E7C">
            <w:pPr>
              <w:pStyle w:val="CETBodytext"/>
              <w:rPr>
                <w:lang w:val="en-GB"/>
              </w:rPr>
            </w:pPr>
            <w:r w:rsidRPr="003337B8">
              <w:t>Employee Dies From Chest Injuries When Crushed By Robot Arm</w:t>
            </w:r>
          </w:p>
        </w:tc>
        <w:tc>
          <w:tcPr>
            <w:tcW w:w="4820" w:type="dxa"/>
            <w:shd w:val="clear" w:color="auto" w:fill="FFFFFF"/>
          </w:tcPr>
          <w:p w14:paraId="125302F7" w14:textId="77777777" w:rsidR="00355E7C" w:rsidRDefault="00355E7C" w:rsidP="00355E7C">
            <w:pPr>
              <w:rPr>
                <w:szCs w:val="18"/>
              </w:rPr>
            </w:pPr>
            <w:r w:rsidRPr="007214D9">
              <w:rPr>
                <w:szCs w:val="18"/>
              </w:rPr>
              <w:t>Unsafe Entry into the Robotic Area</w:t>
            </w:r>
          </w:p>
          <w:p w14:paraId="15A56811" w14:textId="77777777" w:rsidR="00355E7C" w:rsidRDefault="00355E7C" w:rsidP="00355E7C">
            <w:pPr>
              <w:rPr>
                <w:szCs w:val="18"/>
              </w:rPr>
            </w:pPr>
            <w:r w:rsidRPr="007214D9">
              <w:rPr>
                <w:szCs w:val="18"/>
              </w:rPr>
              <w:t>Failure to Deactivate Machinery</w:t>
            </w:r>
          </w:p>
          <w:p w14:paraId="05961FB5" w14:textId="77777777" w:rsidR="00355E7C" w:rsidRDefault="00355E7C" w:rsidP="00355E7C">
            <w:pPr>
              <w:rPr>
                <w:szCs w:val="18"/>
              </w:rPr>
            </w:pPr>
            <w:r>
              <w:rPr>
                <w:szCs w:val="18"/>
              </w:rPr>
              <w:t>Human error</w:t>
            </w:r>
          </w:p>
          <w:p w14:paraId="11F81845" w14:textId="6B4B19D3" w:rsidR="00355E7C" w:rsidRPr="00B57B36" w:rsidRDefault="00355E7C" w:rsidP="00355E7C">
            <w:pPr>
              <w:pStyle w:val="CETBodytext"/>
              <w:ind w:right="-1"/>
              <w:rPr>
                <w:rFonts w:cs="Arial"/>
                <w:szCs w:val="18"/>
                <w:lang w:val="en-GB"/>
              </w:rPr>
            </w:pPr>
            <w:r>
              <w:rPr>
                <w:szCs w:val="18"/>
              </w:rPr>
              <w:t>Lack of adequate safeguards</w:t>
            </w:r>
          </w:p>
        </w:tc>
      </w:tr>
      <w:tr w:rsidR="00235625" w:rsidRPr="00B57B36" w14:paraId="1E711F06" w14:textId="77777777" w:rsidTr="001D07B5">
        <w:tc>
          <w:tcPr>
            <w:tcW w:w="284" w:type="dxa"/>
            <w:shd w:val="clear" w:color="auto" w:fill="FFFFFF"/>
          </w:tcPr>
          <w:p w14:paraId="3AE09F79" w14:textId="6100C525" w:rsidR="00235625" w:rsidRPr="00B57B36" w:rsidRDefault="00235625" w:rsidP="00235625">
            <w:pPr>
              <w:pStyle w:val="CETBodytext"/>
              <w:ind w:right="-1"/>
              <w:rPr>
                <w:rFonts w:cs="Arial"/>
                <w:szCs w:val="18"/>
                <w:lang w:val="en-GB"/>
              </w:rPr>
            </w:pPr>
            <w:r>
              <w:rPr>
                <w:rFonts w:cs="Arial"/>
                <w:szCs w:val="18"/>
                <w:lang w:val="en-GB"/>
              </w:rPr>
              <w:t>2</w:t>
            </w:r>
          </w:p>
        </w:tc>
        <w:tc>
          <w:tcPr>
            <w:tcW w:w="992" w:type="dxa"/>
            <w:shd w:val="clear" w:color="auto" w:fill="FFFFFF"/>
          </w:tcPr>
          <w:p w14:paraId="5652BCEC" w14:textId="6CC3337F" w:rsidR="00235625" w:rsidRPr="00B57B36" w:rsidRDefault="00235625" w:rsidP="00235625">
            <w:pPr>
              <w:pStyle w:val="CETBodytext"/>
              <w:ind w:right="-1"/>
              <w:rPr>
                <w:rFonts w:cs="Arial"/>
                <w:szCs w:val="18"/>
                <w:lang w:val="en-GB"/>
              </w:rPr>
            </w:pPr>
            <w:r w:rsidRPr="00901E96">
              <w:t>08/28/2023</w:t>
            </w:r>
          </w:p>
        </w:tc>
        <w:tc>
          <w:tcPr>
            <w:tcW w:w="2693" w:type="dxa"/>
            <w:shd w:val="clear" w:color="auto" w:fill="FFFFFF"/>
          </w:tcPr>
          <w:p w14:paraId="3F268D04" w14:textId="24A36CA5" w:rsidR="00235625" w:rsidRPr="00B57B36" w:rsidRDefault="00235625" w:rsidP="00235625">
            <w:pPr>
              <w:pStyle w:val="CETBodytext"/>
              <w:ind w:right="-1"/>
              <w:rPr>
                <w:rFonts w:cs="Arial"/>
                <w:szCs w:val="18"/>
                <w:lang w:val="en-GB"/>
              </w:rPr>
            </w:pPr>
            <w:r w:rsidRPr="003337B8">
              <w:t>Employee Is Killed When Head Is Crushed Between Die</w:t>
            </w:r>
          </w:p>
        </w:tc>
        <w:tc>
          <w:tcPr>
            <w:tcW w:w="4820" w:type="dxa"/>
            <w:shd w:val="clear" w:color="auto" w:fill="FFFFFF"/>
          </w:tcPr>
          <w:p w14:paraId="44FC9FC7" w14:textId="2A114C08" w:rsidR="00235625" w:rsidRPr="00B57B36" w:rsidRDefault="00235625" w:rsidP="00235625">
            <w:pPr>
              <w:pStyle w:val="CETBodytext"/>
              <w:ind w:right="-1"/>
              <w:rPr>
                <w:rFonts w:cs="Arial"/>
                <w:szCs w:val="18"/>
                <w:lang w:val="en-GB"/>
              </w:rPr>
            </w:pPr>
            <w:r>
              <w:rPr>
                <w:szCs w:val="18"/>
              </w:rPr>
              <w:t>T</w:t>
            </w:r>
            <w:r w:rsidRPr="007214D9">
              <w:rPr>
                <w:szCs w:val="18"/>
              </w:rPr>
              <w:t>he accident was caused by the lack of proper safety protocols, such as lockout/tagout, and the employee's manual interaction with the injection molding machine's drop tray while it was still in operation, which resulted in the mold dies cycling and fatally injuring her.</w:t>
            </w:r>
          </w:p>
        </w:tc>
      </w:tr>
      <w:tr w:rsidR="00E724DF" w:rsidRPr="00B57B36" w14:paraId="1D84AF70" w14:textId="77777777" w:rsidTr="001D07B5">
        <w:tc>
          <w:tcPr>
            <w:tcW w:w="284" w:type="dxa"/>
            <w:shd w:val="clear" w:color="auto" w:fill="FFFFFF"/>
          </w:tcPr>
          <w:p w14:paraId="2E632CFA" w14:textId="75981346" w:rsidR="00E724DF" w:rsidRPr="00B57B36" w:rsidRDefault="00E724DF" w:rsidP="00E724DF">
            <w:pPr>
              <w:pStyle w:val="CETBodytext"/>
              <w:ind w:right="-1"/>
              <w:rPr>
                <w:rFonts w:cs="Arial"/>
                <w:szCs w:val="18"/>
                <w:lang w:val="en-GB"/>
              </w:rPr>
            </w:pPr>
            <w:r>
              <w:rPr>
                <w:rFonts w:cs="Arial"/>
                <w:szCs w:val="18"/>
                <w:lang w:val="en-GB"/>
              </w:rPr>
              <w:lastRenderedPageBreak/>
              <w:t>3</w:t>
            </w:r>
          </w:p>
        </w:tc>
        <w:tc>
          <w:tcPr>
            <w:tcW w:w="992" w:type="dxa"/>
            <w:shd w:val="clear" w:color="auto" w:fill="FFFFFF"/>
          </w:tcPr>
          <w:p w14:paraId="2DC14578" w14:textId="179B7F28" w:rsidR="00E724DF" w:rsidRPr="00B57B36" w:rsidRDefault="00E724DF" w:rsidP="00E724DF">
            <w:pPr>
              <w:pStyle w:val="CETBodytext"/>
              <w:ind w:right="-1"/>
              <w:rPr>
                <w:rFonts w:cs="Arial"/>
                <w:szCs w:val="18"/>
                <w:lang w:val="en-GB"/>
              </w:rPr>
            </w:pPr>
            <w:r w:rsidRPr="00901E96">
              <w:t>11/29/2022</w:t>
            </w:r>
          </w:p>
        </w:tc>
        <w:tc>
          <w:tcPr>
            <w:tcW w:w="2693" w:type="dxa"/>
            <w:shd w:val="clear" w:color="auto" w:fill="FFFFFF"/>
          </w:tcPr>
          <w:p w14:paraId="6A92CD7B" w14:textId="2C8BA945" w:rsidR="00E724DF" w:rsidRPr="00B57B36" w:rsidRDefault="00E724DF" w:rsidP="00E724DF">
            <w:pPr>
              <w:pStyle w:val="CETBodytext"/>
              <w:ind w:right="-1"/>
              <w:rPr>
                <w:rFonts w:cs="Arial"/>
                <w:szCs w:val="18"/>
                <w:lang w:val="en-GB"/>
              </w:rPr>
            </w:pPr>
            <w:r w:rsidRPr="003337B8">
              <w:t>Employee Is Killed While Lubricating Machine Rollers</w:t>
            </w:r>
          </w:p>
        </w:tc>
        <w:tc>
          <w:tcPr>
            <w:tcW w:w="4820" w:type="dxa"/>
            <w:shd w:val="clear" w:color="auto" w:fill="FFFFFF"/>
          </w:tcPr>
          <w:p w14:paraId="1CE1CD10" w14:textId="2F67FE59" w:rsidR="00E724DF" w:rsidRPr="00B57B36" w:rsidRDefault="00E724DF" w:rsidP="00E724DF">
            <w:pPr>
              <w:pStyle w:val="CETBodytext"/>
              <w:ind w:right="-1"/>
              <w:rPr>
                <w:rFonts w:cs="Arial"/>
                <w:szCs w:val="18"/>
                <w:lang w:val="en-GB"/>
              </w:rPr>
            </w:pPr>
            <w:r>
              <w:rPr>
                <w:szCs w:val="18"/>
              </w:rPr>
              <w:t>T</w:t>
            </w:r>
            <w:r w:rsidRPr="007214D9">
              <w:rPr>
                <w:szCs w:val="18"/>
              </w:rPr>
              <w:t>he accident was caused by the activation of the robot arm due to the employee inadvertently triggering the photo eye sensor while performing maintenance in an energized robotic cell, compounded by the absence of proper lockout/tagout procedures and safety protocols.</w:t>
            </w:r>
          </w:p>
        </w:tc>
      </w:tr>
      <w:tr w:rsidR="007D5608" w:rsidRPr="00B57B36" w14:paraId="2E76B104" w14:textId="77777777" w:rsidTr="001D07B5">
        <w:tc>
          <w:tcPr>
            <w:tcW w:w="284" w:type="dxa"/>
            <w:shd w:val="clear" w:color="auto" w:fill="FFFFFF"/>
          </w:tcPr>
          <w:p w14:paraId="4835661E" w14:textId="662867C7" w:rsidR="007D5608" w:rsidRPr="00B57B36" w:rsidRDefault="007D5608" w:rsidP="007D5608">
            <w:pPr>
              <w:pStyle w:val="CETBodytext"/>
              <w:ind w:right="-1"/>
              <w:rPr>
                <w:rFonts w:cs="Arial"/>
                <w:szCs w:val="18"/>
                <w:lang w:val="en-GB"/>
              </w:rPr>
            </w:pPr>
            <w:r>
              <w:rPr>
                <w:rFonts w:cs="Arial"/>
                <w:szCs w:val="18"/>
                <w:lang w:val="en-GB"/>
              </w:rPr>
              <w:t>4</w:t>
            </w:r>
          </w:p>
        </w:tc>
        <w:tc>
          <w:tcPr>
            <w:tcW w:w="992" w:type="dxa"/>
            <w:shd w:val="clear" w:color="auto" w:fill="FFFFFF"/>
          </w:tcPr>
          <w:p w14:paraId="439B6D8F" w14:textId="4369EA49" w:rsidR="007D5608" w:rsidRPr="00B57B36" w:rsidRDefault="007D5608" w:rsidP="007D5608">
            <w:pPr>
              <w:pStyle w:val="CETBodytext"/>
              <w:ind w:right="-1"/>
              <w:rPr>
                <w:rFonts w:cs="Arial"/>
                <w:szCs w:val="18"/>
                <w:lang w:val="en-GB"/>
              </w:rPr>
            </w:pPr>
            <w:r w:rsidRPr="00901E96">
              <w:t>09/01/2022</w:t>
            </w:r>
          </w:p>
        </w:tc>
        <w:tc>
          <w:tcPr>
            <w:tcW w:w="2693" w:type="dxa"/>
            <w:shd w:val="clear" w:color="auto" w:fill="FFFFFF"/>
          </w:tcPr>
          <w:p w14:paraId="3CC6D207" w14:textId="04E97FCE" w:rsidR="007D5608" w:rsidRPr="00B57B36" w:rsidRDefault="007D5608" w:rsidP="007D5608">
            <w:pPr>
              <w:pStyle w:val="CETBodytext"/>
              <w:ind w:right="-1"/>
              <w:rPr>
                <w:rFonts w:cs="Arial"/>
                <w:szCs w:val="18"/>
                <w:lang w:val="en-GB"/>
              </w:rPr>
            </w:pPr>
            <w:r w:rsidRPr="003337B8">
              <w:t>Employee Is Killed When Crushed By Spot Welding Robot</w:t>
            </w:r>
          </w:p>
        </w:tc>
        <w:tc>
          <w:tcPr>
            <w:tcW w:w="4820" w:type="dxa"/>
            <w:shd w:val="clear" w:color="auto" w:fill="FFFFFF"/>
          </w:tcPr>
          <w:p w14:paraId="32743088" w14:textId="5213BF3B" w:rsidR="007D5608" w:rsidRPr="00B57B36" w:rsidRDefault="007D5608" w:rsidP="007D5608">
            <w:pPr>
              <w:pStyle w:val="CETBodytext"/>
              <w:ind w:right="-1"/>
              <w:rPr>
                <w:rFonts w:cs="Arial"/>
                <w:szCs w:val="18"/>
                <w:lang w:val="en-GB"/>
              </w:rPr>
            </w:pPr>
            <w:r w:rsidRPr="00956164">
              <w:rPr>
                <w:szCs w:val="18"/>
              </w:rPr>
              <w:t>The cause of this accident was the failure to properly lock out the spot welding robot before the employee began working with the welding tip cartridge. Since the robot was not deactivated, it unexpectedly activated while the employee was placing welding tips into the cartridge, resulting in fatal crushing injuries to the employee's upper torso.</w:t>
            </w:r>
          </w:p>
        </w:tc>
      </w:tr>
      <w:tr w:rsidR="007D5608" w:rsidRPr="00B57B36" w14:paraId="6ECEDB0B" w14:textId="77777777" w:rsidTr="001D07B5">
        <w:tc>
          <w:tcPr>
            <w:tcW w:w="284" w:type="dxa"/>
            <w:shd w:val="clear" w:color="auto" w:fill="FFFFFF"/>
          </w:tcPr>
          <w:p w14:paraId="318EE220" w14:textId="3722272B" w:rsidR="007D5608" w:rsidRPr="00B57B36" w:rsidRDefault="007D5608" w:rsidP="007D5608">
            <w:pPr>
              <w:pStyle w:val="CETBodytext"/>
              <w:ind w:right="-1"/>
              <w:rPr>
                <w:rFonts w:cs="Arial"/>
                <w:szCs w:val="18"/>
                <w:lang w:val="en-GB"/>
              </w:rPr>
            </w:pPr>
            <w:r>
              <w:rPr>
                <w:rFonts w:cs="Arial"/>
                <w:szCs w:val="18"/>
                <w:lang w:val="en-GB"/>
              </w:rPr>
              <w:t>5</w:t>
            </w:r>
          </w:p>
        </w:tc>
        <w:tc>
          <w:tcPr>
            <w:tcW w:w="992" w:type="dxa"/>
            <w:shd w:val="clear" w:color="auto" w:fill="FFFFFF"/>
          </w:tcPr>
          <w:p w14:paraId="5185BD4A" w14:textId="514DDAAB" w:rsidR="007D5608" w:rsidRPr="00B57B36" w:rsidRDefault="007D5608" w:rsidP="007D5608">
            <w:pPr>
              <w:pStyle w:val="CETBodytext"/>
              <w:ind w:right="-1"/>
              <w:rPr>
                <w:rFonts w:cs="Arial"/>
                <w:szCs w:val="18"/>
                <w:lang w:val="en-GB"/>
              </w:rPr>
            </w:pPr>
            <w:r w:rsidRPr="00901E96">
              <w:t>11/03/2021</w:t>
            </w:r>
          </w:p>
        </w:tc>
        <w:tc>
          <w:tcPr>
            <w:tcW w:w="2693" w:type="dxa"/>
            <w:shd w:val="clear" w:color="auto" w:fill="FFFFFF"/>
          </w:tcPr>
          <w:p w14:paraId="12BBADA8" w14:textId="0CD8BD1C" w:rsidR="007D5608" w:rsidRPr="00B57B36" w:rsidRDefault="007D5608" w:rsidP="007D5608">
            <w:pPr>
              <w:pStyle w:val="CETBodytext"/>
              <w:ind w:right="-1"/>
              <w:rPr>
                <w:rFonts w:cs="Arial"/>
                <w:szCs w:val="18"/>
                <w:lang w:val="en-GB"/>
              </w:rPr>
            </w:pPr>
            <w:r w:rsidRPr="003337B8">
              <w:t>Employee Is Killed When Entangled In Machine</w:t>
            </w:r>
          </w:p>
        </w:tc>
        <w:tc>
          <w:tcPr>
            <w:tcW w:w="4820" w:type="dxa"/>
            <w:shd w:val="clear" w:color="auto" w:fill="FFFFFF"/>
          </w:tcPr>
          <w:p w14:paraId="4501BD7A" w14:textId="264DF7A8" w:rsidR="007D5608" w:rsidRPr="00B57B36" w:rsidRDefault="00AA14F1" w:rsidP="007D5608">
            <w:pPr>
              <w:pStyle w:val="CETBodytext"/>
              <w:ind w:right="-1"/>
              <w:rPr>
                <w:rFonts w:cs="Arial"/>
                <w:szCs w:val="18"/>
                <w:lang w:val="en-GB"/>
              </w:rPr>
            </w:pPr>
            <w:r w:rsidRPr="00956164">
              <w:rPr>
                <w:szCs w:val="18"/>
              </w:rPr>
              <w:t>The cause of this accident was the failure to properly isolate and lock out the gantry robot while the employee was performing maintenance work on the deenergized machine.</w:t>
            </w:r>
          </w:p>
        </w:tc>
      </w:tr>
      <w:tr w:rsidR="007D5608" w:rsidRPr="00B57B36" w14:paraId="145F8E55" w14:textId="77777777" w:rsidTr="001D07B5">
        <w:tc>
          <w:tcPr>
            <w:tcW w:w="284" w:type="dxa"/>
            <w:shd w:val="clear" w:color="auto" w:fill="FFFFFF"/>
          </w:tcPr>
          <w:p w14:paraId="4A262E88" w14:textId="34456959" w:rsidR="007D5608" w:rsidRPr="00B57B36" w:rsidRDefault="007D5608" w:rsidP="007D5608">
            <w:pPr>
              <w:pStyle w:val="CETBodytext"/>
              <w:ind w:right="-1"/>
              <w:rPr>
                <w:rFonts w:cs="Arial"/>
                <w:szCs w:val="18"/>
                <w:lang w:val="en-GB"/>
              </w:rPr>
            </w:pPr>
            <w:r>
              <w:rPr>
                <w:rFonts w:cs="Arial"/>
                <w:szCs w:val="18"/>
                <w:lang w:val="en-GB"/>
              </w:rPr>
              <w:t>6</w:t>
            </w:r>
          </w:p>
        </w:tc>
        <w:tc>
          <w:tcPr>
            <w:tcW w:w="992" w:type="dxa"/>
            <w:shd w:val="clear" w:color="auto" w:fill="FFFFFF"/>
          </w:tcPr>
          <w:p w14:paraId="35D3FEBC" w14:textId="32CABE65" w:rsidR="007D5608" w:rsidRPr="00B57B36" w:rsidRDefault="007D5608" w:rsidP="007D5608">
            <w:pPr>
              <w:pStyle w:val="CETBodytext"/>
              <w:ind w:right="-1"/>
              <w:rPr>
                <w:rFonts w:cs="Arial"/>
                <w:szCs w:val="18"/>
                <w:lang w:val="en-GB"/>
              </w:rPr>
            </w:pPr>
            <w:r w:rsidRPr="00901E96">
              <w:t>01/14/2021</w:t>
            </w:r>
          </w:p>
        </w:tc>
        <w:tc>
          <w:tcPr>
            <w:tcW w:w="2693" w:type="dxa"/>
            <w:shd w:val="clear" w:color="auto" w:fill="FFFFFF"/>
          </w:tcPr>
          <w:p w14:paraId="20E03848" w14:textId="71DB8248" w:rsidR="007D5608" w:rsidRPr="00B57B36" w:rsidRDefault="007D5608" w:rsidP="007D5608">
            <w:pPr>
              <w:pStyle w:val="CETBodytext"/>
              <w:ind w:right="-1"/>
              <w:rPr>
                <w:rFonts w:cs="Arial"/>
                <w:szCs w:val="18"/>
                <w:lang w:val="en-GB"/>
              </w:rPr>
            </w:pPr>
            <w:r w:rsidRPr="003337B8">
              <w:t>Employee Is Killed When Caught In Between Okura Robotic Pall</w:t>
            </w:r>
          </w:p>
        </w:tc>
        <w:tc>
          <w:tcPr>
            <w:tcW w:w="4820" w:type="dxa"/>
            <w:shd w:val="clear" w:color="auto" w:fill="FFFFFF"/>
          </w:tcPr>
          <w:p w14:paraId="54DBEEA8" w14:textId="754075BD" w:rsidR="007D5608" w:rsidRPr="00B57B36" w:rsidRDefault="000032B1" w:rsidP="007D5608">
            <w:pPr>
              <w:pStyle w:val="CETBodytext"/>
              <w:ind w:right="-1"/>
              <w:rPr>
                <w:rFonts w:cs="Arial"/>
                <w:szCs w:val="18"/>
                <w:lang w:val="en-GB"/>
              </w:rPr>
            </w:pPr>
            <w:r w:rsidRPr="00956164">
              <w:rPr>
                <w:szCs w:val="18"/>
              </w:rPr>
              <w:t>The cause of the accident was the employee working inside the robotic cell cage without properly deactivating or locking out the Okura Robotic Palletizer arm. While the employee was servicing the machine, the robotic arm remained energized and active, causing it to strike and trap the employee between the arm and the rollers, resulting in fatal crushing injuries.</w:t>
            </w:r>
          </w:p>
        </w:tc>
      </w:tr>
      <w:tr w:rsidR="007D5608" w:rsidRPr="00B57B36" w14:paraId="21C4D056" w14:textId="77777777" w:rsidTr="001D07B5">
        <w:tc>
          <w:tcPr>
            <w:tcW w:w="284" w:type="dxa"/>
            <w:shd w:val="clear" w:color="auto" w:fill="FFFFFF"/>
          </w:tcPr>
          <w:p w14:paraId="3D1B38A8" w14:textId="65E7552B" w:rsidR="007D5608" w:rsidRPr="00B57B36" w:rsidRDefault="007D5608" w:rsidP="007D5608">
            <w:pPr>
              <w:pStyle w:val="CETBodytext"/>
              <w:ind w:right="-1"/>
              <w:rPr>
                <w:rFonts w:cs="Arial"/>
                <w:szCs w:val="18"/>
                <w:lang w:val="en-GB"/>
              </w:rPr>
            </w:pPr>
            <w:r>
              <w:rPr>
                <w:rFonts w:cs="Arial"/>
                <w:szCs w:val="18"/>
                <w:lang w:val="en-GB"/>
              </w:rPr>
              <w:t>7</w:t>
            </w:r>
          </w:p>
        </w:tc>
        <w:tc>
          <w:tcPr>
            <w:tcW w:w="992" w:type="dxa"/>
            <w:shd w:val="clear" w:color="auto" w:fill="FFFFFF"/>
          </w:tcPr>
          <w:p w14:paraId="58594E03" w14:textId="26F6EE3A" w:rsidR="007D5608" w:rsidRPr="00B57B36" w:rsidRDefault="007D5608" w:rsidP="007D5608">
            <w:pPr>
              <w:pStyle w:val="CETBodytext"/>
              <w:ind w:right="-1"/>
              <w:rPr>
                <w:rFonts w:cs="Arial"/>
                <w:szCs w:val="18"/>
                <w:lang w:val="en-GB"/>
              </w:rPr>
            </w:pPr>
            <w:r w:rsidRPr="00901E96">
              <w:t>10/16/2019</w:t>
            </w:r>
          </w:p>
        </w:tc>
        <w:tc>
          <w:tcPr>
            <w:tcW w:w="2693" w:type="dxa"/>
            <w:shd w:val="clear" w:color="auto" w:fill="FFFFFF"/>
          </w:tcPr>
          <w:p w14:paraId="75129FC7" w14:textId="0D21FD52" w:rsidR="007D5608" w:rsidRPr="00B57B36" w:rsidRDefault="007D5608" w:rsidP="007D5608">
            <w:pPr>
              <w:pStyle w:val="CETBodytext"/>
              <w:ind w:right="-1"/>
              <w:rPr>
                <w:rFonts w:cs="Arial"/>
                <w:szCs w:val="18"/>
                <w:lang w:val="en-GB"/>
              </w:rPr>
            </w:pPr>
            <w:r w:rsidRPr="003337B8">
              <w:t>Employee Is Struck By Rejected Fiber Concrete Board And Crus</w:t>
            </w:r>
          </w:p>
        </w:tc>
        <w:tc>
          <w:tcPr>
            <w:tcW w:w="4820" w:type="dxa"/>
            <w:shd w:val="clear" w:color="auto" w:fill="FFFFFF"/>
          </w:tcPr>
          <w:p w14:paraId="66889B90" w14:textId="0BC050E8" w:rsidR="007D5608" w:rsidRPr="00B57B36" w:rsidRDefault="00051B6E" w:rsidP="007D5608">
            <w:pPr>
              <w:pStyle w:val="CETBodytext"/>
              <w:ind w:right="-1"/>
              <w:rPr>
                <w:rFonts w:cs="Arial"/>
                <w:szCs w:val="18"/>
                <w:lang w:val="en-GB"/>
              </w:rPr>
            </w:pPr>
            <w:r>
              <w:rPr>
                <w:szCs w:val="18"/>
              </w:rPr>
              <w:t>T</w:t>
            </w:r>
            <w:r w:rsidRPr="00956164">
              <w:rPr>
                <w:szCs w:val="18"/>
              </w:rPr>
              <w:t>he accident was caused by a combination of human error in bypassing LOTO safety procedures, failure to isolate hazardous energy, and inadequate safety controls (like guarding or machine shutdown mechanisms).</w:t>
            </w:r>
          </w:p>
        </w:tc>
      </w:tr>
      <w:tr w:rsidR="00906CC3" w:rsidRPr="00B57B36" w14:paraId="727DBC50" w14:textId="77777777" w:rsidTr="001D07B5">
        <w:tc>
          <w:tcPr>
            <w:tcW w:w="284" w:type="dxa"/>
            <w:shd w:val="clear" w:color="auto" w:fill="FFFFFF"/>
          </w:tcPr>
          <w:p w14:paraId="792C9E28" w14:textId="76BB4AA7" w:rsidR="00906CC3" w:rsidRPr="00B57B36" w:rsidRDefault="00906CC3" w:rsidP="00906CC3">
            <w:pPr>
              <w:pStyle w:val="CETBodytext"/>
              <w:ind w:right="-1"/>
              <w:rPr>
                <w:rFonts w:cs="Arial"/>
                <w:szCs w:val="18"/>
                <w:lang w:val="en-GB"/>
              </w:rPr>
            </w:pPr>
            <w:r>
              <w:rPr>
                <w:rFonts w:cs="Arial"/>
                <w:szCs w:val="18"/>
                <w:lang w:val="en-GB"/>
              </w:rPr>
              <w:t>8</w:t>
            </w:r>
          </w:p>
        </w:tc>
        <w:tc>
          <w:tcPr>
            <w:tcW w:w="992" w:type="dxa"/>
            <w:shd w:val="clear" w:color="auto" w:fill="FFFFFF"/>
          </w:tcPr>
          <w:p w14:paraId="3FBC5898" w14:textId="6A1DF020" w:rsidR="00906CC3" w:rsidRPr="00B57B36" w:rsidRDefault="00906CC3" w:rsidP="00906CC3">
            <w:pPr>
              <w:pStyle w:val="CETBodytext"/>
              <w:ind w:right="-1"/>
              <w:rPr>
                <w:rFonts w:cs="Arial"/>
                <w:szCs w:val="18"/>
                <w:lang w:val="en-GB"/>
              </w:rPr>
            </w:pPr>
            <w:r w:rsidRPr="00901E96">
              <w:t>01/10/2019</w:t>
            </w:r>
          </w:p>
        </w:tc>
        <w:tc>
          <w:tcPr>
            <w:tcW w:w="2693" w:type="dxa"/>
            <w:shd w:val="clear" w:color="auto" w:fill="FFFFFF"/>
          </w:tcPr>
          <w:p w14:paraId="379FA6FF" w14:textId="6BFFDB53" w:rsidR="00906CC3" w:rsidRPr="00B57B36" w:rsidRDefault="00906CC3" w:rsidP="00906CC3">
            <w:pPr>
              <w:pStyle w:val="CETBodytext"/>
              <w:ind w:right="-1"/>
              <w:rPr>
                <w:rFonts w:cs="Arial"/>
                <w:szCs w:val="18"/>
                <w:lang w:val="en-GB"/>
              </w:rPr>
            </w:pPr>
            <w:r w:rsidRPr="003337B8">
              <w:t>Employee Is Crushed And Killed By Wind-Up Machine</w:t>
            </w:r>
          </w:p>
        </w:tc>
        <w:tc>
          <w:tcPr>
            <w:tcW w:w="4820" w:type="dxa"/>
            <w:shd w:val="clear" w:color="auto" w:fill="FFFFFF"/>
          </w:tcPr>
          <w:p w14:paraId="02D64E12" w14:textId="1578C717" w:rsidR="00906CC3" w:rsidRPr="00B57B36" w:rsidRDefault="00906CC3" w:rsidP="00906CC3">
            <w:pPr>
              <w:pStyle w:val="CETBodytext"/>
              <w:ind w:right="-1"/>
              <w:rPr>
                <w:rFonts w:cs="Arial"/>
                <w:szCs w:val="18"/>
                <w:lang w:val="en-GB"/>
              </w:rPr>
            </w:pPr>
            <w:r>
              <w:rPr>
                <w:szCs w:val="18"/>
              </w:rPr>
              <w:t>T</w:t>
            </w:r>
            <w:r w:rsidRPr="00956164">
              <w:rPr>
                <w:szCs w:val="18"/>
              </w:rPr>
              <w:t xml:space="preserve">he accident was </w:t>
            </w:r>
            <w:r>
              <w:rPr>
                <w:szCs w:val="18"/>
              </w:rPr>
              <w:t>cau</w:t>
            </w:r>
            <w:r w:rsidRPr="00956164">
              <w:rPr>
                <w:szCs w:val="18"/>
              </w:rPr>
              <w:t>sed by a combination of failure to lockout the machine, lack of proper safety guarding or interlocks, unsafe positioning, and potentially inadequate training or supervision. These factors created a hazardous situation where the machine's automatic primary arm cycled while the employee's head was in its path, resulting in a fatal injury.</w:t>
            </w:r>
          </w:p>
        </w:tc>
      </w:tr>
    </w:tbl>
    <w:p w14:paraId="5741900F" w14:textId="43D62645" w:rsidR="00453E24" w:rsidRDefault="00E9133B" w:rsidP="00453E24">
      <w:pPr>
        <w:pStyle w:val="CETHeading1"/>
      </w:pPr>
      <w:r w:rsidRPr="00E9133B">
        <w:t>Digital Twin Technolog</w:t>
      </w:r>
      <w:r w:rsidR="0061023C">
        <w:t>y</w:t>
      </w:r>
      <w:r w:rsidRPr="00E9133B">
        <w:t xml:space="preserve"> and Design </w:t>
      </w:r>
      <w:r w:rsidR="00CE7940">
        <w:t xml:space="preserve">for </w:t>
      </w:r>
      <w:r w:rsidRPr="00E9133B">
        <w:t>Safety</w:t>
      </w:r>
    </w:p>
    <w:p w14:paraId="0636B784" w14:textId="06DDA9F3" w:rsidR="00453E24" w:rsidRDefault="00A9065C" w:rsidP="00453E24">
      <w:pPr>
        <w:pStyle w:val="CETheadingx"/>
        <w:rPr>
          <w:lang w:val="en-GB"/>
        </w:rPr>
      </w:pPr>
      <w:r w:rsidRPr="00A9065C">
        <w:rPr>
          <w:lang w:val="en-GB"/>
        </w:rPr>
        <w:t xml:space="preserve">DT in </w:t>
      </w:r>
      <w:r w:rsidR="00F21D0C">
        <w:rPr>
          <w:lang w:val="en-GB"/>
        </w:rPr>
        <w:t>assessing</w:t>
      </w:r>
      <w:r w:rsidRPr="00A9065C">
        <w:rPr>
          <w:lang w:val="en-GB"/>
        </w:rPr>
        <w:t xml:space="preserve"> </w:t>
      </w:r>
      <w:r w:rsidR="00A21B0A">
        <w:rPr>
          <w:lang w:val="en-GB"/>
        </w:rPr>
        <w:t>d</w:t>
      </w:r>
      <w:r w:rsidRPr="00A9065C">
        <w:rPr>
          <w:lang w:val="en-GB"/>
        </w:rPr>
        <w:t>esign</w:t>
      </w:r>
      <w:r w:rsidR="00A532D3">
        <w:rPr>
          <w:lang w:val="en-GB"/>
        </w:rPr>
        <w:t xml:space="preserve"> </w:t>
      </w:r>
      <w:r w:rsidR="00002E61">
        <w:rPr>
          <w:lang w:val="en-GB"/>
        </w:rPr>
        <w:t xml:space="preserve">from safety </w:t>
      </w:r>
      <w:r w:rsidR="00C2418A">
        <w:rPr>
          <w:lang w:val="en-GB"/>
        </w:rPr>
        <w:t>authorities’ perspective</w:t>
      </w:r>
    </w:p>
    <w:p w14:paraId="7E34F46A" w14:textId="14AA3538" w:rsidR="00FA5CB7" w:rsidRDefault="002E2CA3" w:rsidP="00FA5CB7">
      <w:pPr>
        <w:pStyle w:val="CETBodytext"/>
        <w:rPr>
          <w:lang w:val="en-GB"/>
        </w:rPr>
      </w:pPr>
      <w:r>
        <w:rPr>
          <w:lang w:val="en-GB"/>
        </w:rPr>
        <w:t>DT</w:t>
      </w:r>
      <w:r w:rsidR="00525D16" w:rsidRPr="00525D16">
        <w:rPr>
          <w:lang w:val="en-GB"/>
        </w:rPr>
        <w:t xml:space="preserve"> </w:t>
      </w:r>
      <w:r w:rsidR="0014210D">
        <w:rPr>
          <w:lang w:val="en-GB"/>
        </w:rPr>
        <w:t>can facilitate</w:t>
      </w:r>
      <w:r w:rsidR="00525D16" w:rsidRPr="00525D16">
        <w:rPr>
          <w:lang w:val="en-GB"/>
        </w:rPr>
        <w:t xml:space="preserve"> digital scene constructions in the design phase, allowing experts from safety authorities to have an intuitive view of the aspect of the designed system, its surroundings, and the objects to interact with. This technology facilitates a more comprehensive evaluation of the design specification, reasonability of application scenarios, and the feasibility of machines and equipment in general. By mathematical modelling and dynamics computing, the designed system is functionalized to mimic jobs in real life, where the experts can zoom into units such as single motors and sensors, checking performance based on data instead of making predictions based on prior knowledge</w:t>
      </w:r>
      <w:r w:rsidR="00A72835">
        <w:rPr>
          <w:lang w:val="en-GB"/>
        </w:rPr>
        <w:t xml:space="preserve"> (e.g. domain knowledge)</w:t>
      </w:r>
      <w:r w:rsidR="00525D16" w:rsidRPr="00525D16">
        <w:rPr>
          <w:lang w:val="en-GB"/>
        </w:rPr>
        <w:t xml:space="preserve"> and description in natural language</w:t>
      </w:r>
      <w:r w:rsidR="00A72835">
        <w:rPr>
          <w:lang w:val="en-GB"/>
        </w:rPr>
        <w:t xml:space="preserve"> (e.g. operating manuals)</w:t>
      </w:r>
      <w:r w:rsidR="00525D16" w:rsidRPr="00525D16">
        <w:rPr>
          <w:lang w:val="en-GB"/>
        </w:rPr>
        <w:t>.</w:t>
      </w:r>
    </w:p>
    <w:p w14:paraId="7F2D6B4B" w14:textId="430C4B90" w:rsidR="005C6584" w:rsidRPr="00FA5CB7" w:rsidRDefault="005C6584" w:rsidP="00FA5CB7">
      <w:pPr>
        <w:pStyle w:val="CETBodytext"/>
        <w:rPr>
          <w:lang w:val="en-GB"/>
        </w:rPr>
      </w:pPr>
      <w:r w:rsidRPr="005C6584">
        <w:rPr>
          <w:lang w:val="en-GB"/>
        </w:rPr>
        <w:t xml:space="preserve">Despite their potential, DTs also present challenges for safety authorities. Discrepancies between the DT and the real system, such as those caused by incomplete </w:t>
      </w:r>
      <w:proofErr w:type="spellStart"/>
      <w:r w:rsidRPr="005C6584">
        <w:rPr>
          <w:lang w:val="en-GB"/>
        </w:rPr>
        <w:t>modeling</w:t>
      </w:r>
      <w:proofErr w:type="spellEnd"/>
      <w:r w:rsidRPr="005C6584">
        <w:rPr>
          <w:lang w:val="en-GB"/>
        </w:rPr>
        <w:t xml:space="preserve"> of software </w:t>
      </w:r>
      <w:proofErr w:type="spellStart"/>
      <w:r w:rsidRPr="005C6584">
        <w:rPr>
          <w:lang w:val="en-GB"/>
        </w:rPr>
        <w:t>behavior</w:t>
      </w:r>
      <w:proofErr w:type="spellEnd"/>
      <w:r w:rsidRPr="005C6584">
        <w:rPr>
          <w:lang w:val="en-GB"/>
        </w:rPr>
        <w:t xml:space="preserve"> or environmental interactions, can undermine their reliability. Addressing this gap requires robust methods for synchronizing the DT with the real system, as well as continuous validation to ensure fidelity.</w:t>
      </w:r>
      <w:r w:rsidR="0000639B">
        <w:rPr>
          <w:lang w:val="en-GB"/>
        </w:rPr>
        <w:t xml:space="preserve"> This point will be discussed further in </w:t>
      </w:r>
      <w:r w:rsidR="002D6858">
        <w:rPr>
          <w:lang w:val="en-GB"/>
        </w:rPr>
        <w:t xml:space="preserve">the </w:t>
      </w:r>
      <w:r w:rsidR="0000639B">
        <w:rPr>
          <w:lang w:val="en-GB"/>
        </w:rPr>
        <w:t>discussion section.</w:t>
      </w:r>
    </w:p>
    <w:p w14:paraId="2CC4BE65" w14:textId="64AB53FA" w:rsidR="006545F6" w:rsidRDefault="006545F6" w:rsidP="006545F6">
      <w:pPr>
        <w:pStyle w:val="CETheadingx"/>
        <w:rPr>
          <w:lang w:val="en-GB"/>
        </w:rPr>
      </w:pPr>
      <w:r w:rsidRPr="006545F6">
        <w:rPr>
          <w:lang w:val="en-GB"/>
        </w:rPr>
        <w:t xml:space="preserve">DT in </w:t>
      </w:r>
      <w:r>
        <w:rPr>
          <w:lang w:val="en-GB"/>
        </w:rPr>
        <w:t>e</w:t>
      </w:r>
      <w:r w:rsidRPr="006545F6">
        <w:rPr>
          <w:lang w:val="en-GB"/>
        </w:rPr>
        <w:t xml:space="preserve">arly </w:t>
      </w:r>
      <w:r>
        <w:rPr>
          <w:lang w:val="en-GB"/>
        </w:rPr>
        <w:t>d</w:t>
      </w:r>
      <w:r w:rsidRPr="006545F6">
        <w:rPr>
          <w:lang w:val="en-GB"/>
        </w:rPr>
        <w:t xml:space="preserve">esign </w:t>
      </w:r>
      <w:r>
        <w:rPr>
          <w:lang w:val="en-GB"/>
        </w:rPr>
        <w:t>p</w:t>
      </w:r>
      <w:r w:rsidRPr="006545F6">
        <w:rPr>
          <w:lang w:val="en-GB"/>
        </w:rPr>
        <w:t>hases</w:t>
      </w:r>
      <w:r w:rsidR="00C2418A">
        <w:rPr>
          <w:lang w:val="en-GB"/>
        </w:rPr>
        <w:t xml:space="preserve"> from the designer perspective</w:t>
      </w:r>
    </w:p>
    <w:p w14:paraId="56B7DA06" w14:textId="19D6FE64" w:rsidR="00222D39" w:rsidRPr="00222D39" w:rsidRDefault="00222D39" w:rsidP="00222D39">
      <w:pPr>
        <w:pStyle w:val="CETBodytext"/>
        <w:rPr>
          <w:lang w:val="en-GB"/>
        </w:rPr>
      </w:pPr>
      <w:r w:rsidRPr="00222D39">
        <w:rPr>
          <w:lang w:val="en-GB"/>
        </w:rPr>
        <w:t xml:space="preserve">Applying digital twins in the early design phase helps with set design, equipment selection, and robot function design. Specifically, by setting locations of cargo and room facilities, designers can make plans on room space, layout, and routes for humans and robots walking. Additionally, there are numerous well-built models of robots and smart sensors to be imported to </w:t>
      </w:r>
      <w:r w:rsidR="008E1543">
        <w:rPr>
          <w:lang w:val="en-GB"/>
        </w:rPr>
        <w:t>DTs</w:t>
      </w:r>
      <w:r w:rsidRPr="00222D39">
        <w:rPr>
          <w:lang w:val="en-GB"/>
        </w:rPr>
        <w:t xml:space="preserve"> to test the abilities of task conducting, efficiency, and robustness and select the types with the best values. Eventually, by integrating the designed layout with preferred implementations, the designer can evaluate the overall design quality without early purchase cost.   </w:t>
      </w:r>
    </w:p>
    <w:p w14:paraId="2A8FF5B6" w14:textId="27AAFD12" w:rsidR="00586859" w:rsidRDefault="005D530E" w:rsidP="00586859">
      <w:pPr>
        <w:pStyle w:val="CETheadingx"/>
        <w:rPr>
          <w:lang w:val="en-GB"/>
        </w:rPr>
      </w:pPr>
      <w:r w:rsidRPr="005D530E">
        <w:rPr>
          <w:lang w:val="en-GB"/>
        </w:rPr>
        <w:lastRenderedPageBreak/>
        <w:t xml:space="preserve">DT for </w:t>
      </w:r>
      <w:r>
        <w:rPr>
          <w:lang w:val="en-GB"/>
        </w:rPr>
        <w:t>r</w:t>
      </w:r>
      <w:r w:rsidRPr="005D530E">
        <w:rPr>
          <w:lang w:val="en-GB"/>
        </w:rPr>
        <w:t xml:space="preserve">isk </w:t>
      </w:r>
      <w:r>
        <w:rPr>
          <w:lang w:val="en-GB"/>
        </w:rPr>
        <w:t>a</w:t>
      </w:r>
      <w:r w:rsidRPr="005D530E">
        <w:rPr>
          <w:lang w:val="en-GB"/>
        </w:rPr>
        <w:t>ssessment</w:t>
      </w:r>
      <w:r w:rsidR="00DC6A48">
        <w:rPr>
          <w:lang w:val="en-GB"/>
        </w:rPr>
        <w:t xml:space="preserve"> from O</w:t>
      </w:r>
      <w:r w:rsidR="00DE1547">
        <w:rPr>
          <w:lang w:val="en-GB"/>
        </w:rPr>
        <w:t xml:space="preserve">HS </w:t>
      </w:r>
      <w:r w:rsidR="002A2546">
        <w:rPr>
          <w:lang w:val="en-GB"/>
        </w:rPr>
        <w:t>professionals’ perspective</w:t>
      </w:r>
    </w:p>
    <w:p w14:paraId="5099ACF2" w14:textId="3F31E352" w:rsidR="004D6CD3" w:rsidRPr="004D6CD3" w:rsidRDefault="009F3E12" w:rsidP="004D6CD3">
      <w:pPr>
        <w:pStyle w:val="CETBodytext"/>
        <w:rPr>
          <w:lang w:val="en-GB"/>
        </w:rPr>
      </w:pPr>
      <w:r w:rsidRPr="009F3E12">
        <w:rPr>
          <w:lang w:val="en-GB"/>
        </w:rPr>
        <w:t xml:space="preserve">In the case of </w:t>
      </w:r>
      <w:r w:rsidR="00813AC3">
        <w:rPr>
          <w:lang w:val="en-GB"/>
        </w:rPr>
        <w:t>human-robot</w:t>
      </w:r>
      <w:r w:rsidRPr="009F3E12">
        <w:rPr>
          <w:lang w:val="en-GB"/>
        </w:rPr>
        <w:t xml:space="preserve"> collaboration, besides the application in </w:t>
      </w:r>
      <w:r w:rsidR="00813AC3">
        <w:rPr>
          <w:lang w:val="en-GB"/>
        </w:rPr>
        <w:t xml:space="preserve">the </w:t>
      </w:r>
      <w:r w:rsidRPr="009F3E12">
        <w:rPr>
          <w:lang w:val="en-GB"/>
        </w:rPr>
        <w:t xml:space="preserve">design phase, </w:t>
      </w:r>
      <w:r w:rsidR="00F907F8">
        <w:rPr>
          <w:lang w:val="en-GB"/>
        </w:rPr>
        <w:t>DTs</w:t>
      </w:r>
      <w:r w:rsidRPr="009F3E12">
        <w:rPr>
          <w:lang w:val="en-GB"/>
        </w:rPr>
        <w:t xml:space="preserve"> can be used as a visualization tool to monitor the real-time movement of robots and humans. This function is also called digital shadow, where the states, such as </w:t>
      </w:r>
      <w:r w:rsidR="00813AC3">
        <w:rPr>
          <w:lang w:val="en-GB"/>
        </w:rPr>
        <w:t xml:space="preserve">the </w:t>
      </w:r>
      <w:r w:rsidRPr="009F3E12">
        <w:rPr>
          <w:lang w:val="en-GB"/>
        </w:rPr>
        <w:t xml:space="preserve">positions of each agent, will be sent to the </w:t>
      </w:r>
      <w:r w:rsidR="00F907F8">
        <w:rPr>
          <w:lang w:val="en-GB"/>
        </w:rPr>
        <w:t>DT</w:t>
      </w:r>
      <w:r w:rsidRPr="009F3E12">
        <w:rPr>
          <w:lang w:val="en-GB"/>
        </w:rPr>
        <w:t xml:space="preserve">, and update the movement of the digital counterparts. The real-time visualization enables </w:t>
      </w:r>
      <w:r w:rsidR="00813AC3">
        <w:rPr>
          <w:lang w:val="en-GB"/>
        </w:rPr>
        <w:t>quantitative remote monitoring of the warehouse status</w:t>
      </w:r>
      <w:r w:rsidRPr="009F3E12">
        <w:rPr>
          <w:lang w:val="en-GB"/>
        </w:rPr>
        <w:t>. Risk assessment methods can be implemented</w:t>
      </w:r>
      <w:r w:rsidR="00813AC3">
        <w:rPr>
          <w:lang w:val="en-GB"/>
        </w:rPr>
        <w:t>, and data can be collected</w:t>
      </w:r>
      <w:r w:rsidRPr="009F3E12">
        <w:rPr>
          <w:lang w:val="en-GB"/>
        </w:rPr>
        <w:t xml:space="preserve"> from the real world. For example, people can assess the collision risk once receiving the position of robots and humans based on trajectory prediction algorithms, and manually interevent robot actions if necessary.    </w:t>
      </w:r>
    </w:p>
    <w:p w14:paraId="149B29D7" w14:textId="4B311E31" w:rsidR="005D530E" w:rsidRDefault="00272557" w:rsidP="008F22BB">
      <w:pPr>
        <w:pStyle w:val="CETHeading1"/>
        <w:rPr>
          <w:lang w:val="en-GB"/>
        </w:rPr>
      </w:pPr>
      <w:r>
        <w:rPr>
          <w:lang w:val="en-GB"/>
        </w:rPr>
        <w:t>Case study</w:t>
      </w:r>
    </w:p>
    <w:p w14:paraId="41F0A733" w14:textId="77777777" w:rsidR="00272557" w:rsidRDefault="00272557" w:rsidP="00272557">
      <w:pPr>
        <w:pStyle w:val="CETBodytext"/>
        <w:rPr>
          <w:lang w:val="en-GB"/>
        </w:rPr>
      </w:pPr>
      <w:r>
        <w:rPr>
          <w:lang w:val="en-GB"/>
        </w:rPr>
        <w:t xml:space="preserve">Mobile robots are commonly responsible for logistics tasks, leading to smart warehouses. Safety assessment of the working mobile robots in the design phase enables long-term and efficient system operation. However, hazards and risk management are complicated on mobile robots due to their large working area and necessary interaction with humans and surrounding objects. </w:t>
      </w:r>
    </w:p>
    <w:p w14:paraId="484B26BE" w14:textId="4EF2D7BB" w:rsidR="00272557" w:rsidRDefault="00272557" w:rsidP="00272557">
      <w:pPr>
        <w:pStyle w:val="CETBodytext"/>
        <w:rPr>
          <w:lang w:val="en-GB"/>
        </w:rPr>
      </w:pPr>
      <w:r>
        <w:rPr>
          <w:lang w:val="en-GB"/>
        </w:rPr>
        <w:t xml:space="preserve">The case study carried out by </w:t>
      </w:r>
      <w:r w:rsidRPr="00C45391">
        <w:rPr>
          <w:noProof/>
          <w:lang w:val="en-GB"/>
        </w:rPr>
        <w:t>Ren et al.</w:t>
      </w:r>
      <w:r>
        <w:rPr>
          <w:lang w:val="en-GB"/>
        </w:rPr>
        <w:fldChar w:fldCharType="begin" w:fldLock="1"/>
      </w:r>
      <w:r>
        <w:rPr>
          <w:lang w:val="en-GB"/>
        </w:rPr>
        <w:instrText>ADDIN CSL_CITATION {"citationItems":[{"id":"ITEM-1","itemData":{"author":[{"dropping-particle":"","family":"Ren","given":"Junru","non-dropping-particle":"","parse-names":false,"suffix":""},{"dropping-particle":"","family":"Wu","given":"Jing","non-dropping-particle":"","parse-names":false,"suffix":""},{"dropping-particle":"","family":"Ravn","given":"Ole","non-dropping-particle":"","parse-names":false,"suffix":""},{"dropping-particle":"","family":"Nalpantidis","given":"Lazaros","non-dropping-particle":"","parse-names":false,"suffix":""}],"container-title":"the 5th International Conference on Supply Chain (5th Olympus ICSC) , Katerini, Greece, from May 24th to 26th, 2024.","id":"ITEM-1","issued":{"date-parts":[["2024"]]},"title":"Safer Human-Robot Collaborative Environments​ through in-simulation Risk Estimation and Function-Centric Hazard Analysis​","type":"paper-conference"},"uris":["http://www.mendeley.com/documents/?uuid=7d130a71-20b3-4dbc-8054-26958d5fbf41"]}],"mendeley":{"formattedCitation":"(Ren et al. 2024)","manualFormatting":"( 2024)","plainTextFormattedCitation":"(Ren et al. 2024)","previouslyFormattedCitation":"(Ren et al. 2024)"},"properties":{"noteIndex":0},"schema":"https://github.com/citation-style-language/schema/raw/master/csl-citation.json"}</w:instrText>
      </w:r>
      <w:r>
        <w:rPr>
          <w:lang w:val="en-GB"/>
        </w:rPr>
        <w:fldChar w:fldCharType="separate"/>
      </w:r>
      <w:r w:rsidRPr="00C45391">
        <w:rPr>
          <w:noProof/>
          <w:lang w:val="en-GB"/>
        </w:rPr>
        <w:t>( 2024)</w:t>
      </w:r>
      <w:r>
        <w:rPr>
          <w:lang w:val="en-GB"/>
        </w:rPr>
        <w:fldChar w:fldCharType="end"/>
      </w:r>
      <w:r>
        <w:rPr>
          <w:lang w:val="en-GB"/>
        </w:rPr>
        <w:t xml:space="preserve"> </w:t>
      </w:r>
      <w:r w:rsidR="00E45A7B">
        <w:rPr>
          <w:lang w:val="en-GB"/>
        </w:rPr>
        <w:t>from</w:t>
      </w:r>
      <w:r w:rsidR="00CB03B7">
        <w:rPr>
          <w:lang w:val="en-GB"/>
        </w:rPr>
        <w:t xml:space="preserve"> </w:t>
      </w:r>
      <w:r w:rsidR="00954FBF">
        <w:rPr>
          <w:lang w:val="en-GB"/>
        </w:rPr>
        <w:t xml:space="preserve">our research </w:t>
      </w:r>
      <w:r w:rsidR="00CB03B7">
        <w:rPr>
          <w:lang w:val="en-GB"/>
        </w:rPr>
        <w:t xml:space="preserve">group </w:t>
      </w:r>
      <w:r>
        <w:rPr>
          <w:lang w:val="en-GB"/>
        </w:rPr>
        <w:t xml:space="preserve">performed function-centric hazard identification (step 1) and verified hazards through DT (step 2). In addition, the study performed a quantitative risk assessment (step 3) using the Kalman filter, taking the collision hazard as an example. In this study, the DT provides a platform for designing and validating the risk estimation module. </w:t>
      </w:r>
    </w:p>
    <w:p w14:paraId="3A33733D" w14:textId="77777777" w:rsidR="006251B4" w:rsidRDefault="006251B4" w:rsidP="00272557">
      <w:pPr>
        <w:pStyle w:val="CETBodytext"/>
        <w:rPr>
          <w:lang w:val="en-GB"/>
        </w:rPr>
      </w:pPr>
    </w:p>
    <w:p w14:paraId="7B8ED6EA" w14:textId="04F008C6" w:rsidR="00C66688" w:rsidRDefault="00C66688" w:rsidP="00272557">
      <w:pPr>
        <w:pStyle w:val="CETBodytext"/>
        <w:rPr>
          <w:lang w:val="en-GB"/>
        </w:rPr>
      </w:pPr>
      <w:r>
        <w:rPr>
          <w:lang w:val="en-GB"/>
        </w:rPr>
        <w:t xml:space="preserve">In this case study, the simulation is used to verify and complement additional hazards. A Kalman </w:t>
      </w:r>
      <w:r w:rsidR="001B0768">
        <w:rPr>
          <w:lang w:val="en-GB"/>
        </w:rPr>
        <w:t>filter-based method</w:t>
      </w:r>
      <w:r>
        <w:rPr>
          <w:lang w:val="en-GB"/>
        </w:rPr>
        <w:t xml:space="preserve"> is used to estimate the collision risk score of the system, to determine the probability and severity of the risk. More results can be found in </w:t>
      </w:r>
      <w:r w:rsidR="007B6D35">
        <w:rPr>
          <w:lang w:val="en-GB"/>
        </w:rPr>
        <w:t xml:space="preserve">PhD thesis by Ren (2024). </w:t>
      </w:r>
    </w:p>
    <w:p w14:paraId="061A315A" w14:textId="77777777" w:rsidR="00272557" w:rsidRDefault="00272557" w:rsidP="00272557">
      <w:pPr>
        <w:pStyle w:val="CETBodytext"/>
        <w:rPr>
          <w:lang w:val="en-GB"/>
        </w:rPr>
      </w:pPr>
      <w:r>
        <w:rPr>
          <w:noProof/>
        </w:rPr>
        <w:drawing>
          <wp:inline distT="0" distB="0" distL="0" distR="0" wp14:anchorId="05018358" wp14:editId="26187487">
            <wp:extent cx="5579745" cy="2411730"/>
            <wp:effectExtent l="0" t="0" r="1905" b="7620"/>
            <wp:docPr id="1084793401" name="Picture 4" descr="A diagram of a process&#10;&#10;Description automatically generated">
              <a:extLst xmlns:a="http://schemas.openxmlformats.org/drawingml/2006/main">
                <a:ext uri="{FF2B5EF4-FFF2-40B4-BE49-F238E27FC236}">
                  <a16:creationId xmlns:a16="http://schemas.microsoft.com/office/drawing/2014/main" id="{E22223A8-3E30-0714-C73D-92DD5C8CD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a process&#10;&#10;Description automatically generated">
                      <a:extLst>
                        <a:ext uri="{FF2B5EF4-FFF2-40B4-BE49-F238E27FC236}">
                          <a16:creationId xmlns:a16="http://schemas.microsoft.com/office/drawing/2014/main" id="{E22223A8-3E30-0714-C73D-92DD5C8CD96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79745" cy="2411730"/>
                    </a:xfrm>
                    <a:prstGeom prst="rect">
                      <a:avLst/>
                    </a:prstGeom>
                  </pic:spPr>
                </pic:pic>
              </a:graphicData>
            </a:graphic>
          </wp:inline>
        </w:drawing>
      </w:r>
    </w:p>
    <w:p w14:paraId="7DE5451C" w14:textId="42B20C22" w:rsidR="00586859" w:rsidRPr="002032B7" w:rsidRDefault="00272557" w:rsidP="00F85E87">
      <w:pPr>
        <w:pStyle w:val="CETCaption"/>
      </w:pPr>
      <w:r w:rsidRPr="00BD077D">
        <w:rPr>
          <w:rStyle w:val="CETCaptionCarattere"/>
          <w:i/>
        </w:rPr>
        <w:t xml:space="preserve">Figure 1: </w:t>
      </w:r>
      <w:r>
        <w:rPr>
          <w:rStyle w:val="CETCaptionCarattere"/>
          <w:i/>
        </w:rPr>
        <w:t xml:space="preserve">The illustration of implementing simulation in the safety analysis process of a human-robot collaboration autonomous system </w:t>
      </w:r>
      <w:r>
        <w:rPr>
          <w:rStyle w:val="CETCaptionCarattere"/>
          <w:rFonts w:cs="Arial"/>
          <w:i/>
        </w:rPr>
        <w:t>[</w:t>
      </w:r>
      <w:r>
        <w:rPr>
          <w:rStyle w:val="CETCaptionCarattere"/>
          <w:i/>
        </w:rPr>
        <w:t xml:space="preserve">adapted from </w:t>
      </w:r>
      <w:r>
        <w:rPr>
          <w:rStyle w:val="CETCaptionCarattere"/>
          <w:i/>
        </w:rPr>
        <w:fldChar w:fldCharType="begin" w:fldLock="1"/>
      </w:r>
      <w:r w:rsidR="005310FA">
        <w:rPr>
          <w:rStyle w:val="CETCaptionCarattere"/>
          <w:i/>
        </w:rPr>
        <w:instrText>ADDIN CSL_CITATION {"citationItems":[{"id":"ITEM-1","itemData":{"author":[{"dropping-particle":"","family":"Ren","given":"Junru","non-dropping-particle":"","parse-names":false,"suffix":""},{"dropping-particle":"","family":"Wu","given":"Jing","non-dropping-particle":"","parse-names":false,"suffix":""},{"dropping-particle":"","family":"Ravn","given":"Ole","non-dropping-particle":"","parse-names":false,"suffix":""},{"dropping-particle":"","family":"Nalpantidis","given":"Lazaros","non-dropping-particle":"","parse-names":false,"suffix":""}],"container-title":"the 5th International Conference on Supply Chain (5th Olympus ICSC) , Katerini, Greece, from May 24th to 26th, 2024.","id":"ITEM-1","issued":{"date-parts":[["2024"]]},"title":"Safer Human-Robot Collaborative Environments​ through in-simulation Risk Estimation and Function-Centric Hazard Analysis​","type":"paper-conference"},"uris":["http://www.mendeley.com/documents/?uuid=7d130a71-20b3-4dbc-8054-26958d5fbf41"]}],"mendeley":{"formattedCitation":"(Ren et al. 2024)","plainTextFormattedCitation":"(Ren et al. 2024)","previouslyFormattedCitation":"(Ren et al. 2024)"},"properties":{"noteIndex":0},"schema":"https://github.com/citation-style-language/schema/raw/master/csl-citation.json"}</w:instrText>
      </w:r>
      <w:r>
        <w:rPr>
          <w:rStyle w:val="CETCaptionCarattere"/>
          <w:i/>
        </w:rPr>
        <w:fldChar w:fldCharType="separate"/>
      </w:r>
      <w:r w:rsidRPr="008D0589">
        <w:rPr>
          <w:rStyle w:val="CETCaptionCarattere"/>
          <w:noProof/>
        </w:rPr>
        <w:t>(Ren et al. 2024)</w:t>
      </w:r>
      <w:r>
        <w:rPr>
          <w:rStyle w:val="CETCaptionCarattere"/>
          <w:i/>
        </w:rPr>
        <w:fldChar w:fldCharType="end"/>
      </w:r>
      <w:r>
        <w:rPr>
          <w:rStyle w:val="CETCaptionCarattere"/>
          <w:rFonts w:cs="Arial"/>
          <w:i/>
        </w:rPr>
        <w:t>]</w:t>
      </w:r>
      <w:r w:rsidR="00F85E87">
        <w:t>.</w:t>
      </w:r>
    </w:p>
    <w:p w14:paraId="0269AAE8" w14:textId="63C5AC0B" w:rsidR="004E6959" w:rsidRPr="00662B2C" w:rsidRDefault="00476CDC" w:rsidP="00662B2C">
      <w:pPr>
        <w:pStyle w:val="CETHeading1"/>
        <w:rPr>
          <w:lang w:val="en-GB"/>
        </w:rPr>
      </w:pPr>
      <w:r>
        <w:rPr>
          <w:lang w:val="en-GB"/>
        </w:rPr>
        <w:t>Discussions</w:t>
      </w:r>
    </w:p>
    <w:p w14:paraId="29D0A942" w14:textId="53F53E73" w:rsidR="0012775E" w:rsidRDefault="00184801" w:rsidP="00A508F4">
      <w:pPr>
        <w:pStyle w:val="CETheadingx"/>
        <w:rPr>
          <w:lang w:val="en-GB"/>
        </w:rPr>
      </w:pPr>
      <w:r>
        <w:rPr>
          <w:lang w:val="en-GB"/>
        </w:rPr>
        <w:t xml:space="preserve">DT </w:t>
      </w:r>
      <w:r w:rsidR="000529DD">
        <w:rPr>
          <w:lang w:val="en-GB"/>
        </w:rPr>
        <w:t>for inherent safety</w:t>
      </w:r>
    </w:p>
    <w:p w14:paraId="4E2E5B57" w14:textId="77777777" w:rsidR="00662B2C" w:rsidRPr="00662B2C" w:rsidRDefault="00662B2C" w:rsidP="00662B2C">
      <w:pPr>
        <w:pStyle w:val="CETBodytext"/>
        <w:rPr>
          <w:lang w:val="en-GB"/>
        </w:rPr>
      </w:pPr>
      <w:r w:rsidRPr="00662B2C">
        <w:rPr>
          <w:lang w:val="en-GB"/>
        </w:rPr>
        <w:t>As the safety requirements for robotics continue to grow, there is a concern that the corresponding robotics risk control measures are not keeping pace. The standardized three-step risk control approach for robotics includes:</w:t>
      </w:r>
    </w:p>
    <w:p w14:paraId="6372F2D1" w14:textId="12D4392F" w:rsidR="00662B2C" w:rsidRPr="00662B2C" w:rsidRDefault="00662B2C" w:rsidP="006F462B">
      <w:pPr>
        <w:pStyle w:val="CETBodytext"/>
        <w:numPr>
          <w:ilvl w:val="0"/>
          <w:numId w:val="35"/>
        </w:numPr>
        <w:rPr>
          <w:lang w:val="en-GB"/>
        </w:rPr>
      </w:pPr>
      <w:r w:rsidRPr="00662B2C">
        <w:rPr>
          <w:lang w:val="en-GB"/>
        </w:rPr>
        <w:t>Step 1-Inherently safe design measures</w:t>
      </w:r>
    </w:p>
    <w:p w14:paraId="4BDA3070" w14:textId="72A28C20" w:rsidR="00662B2C" w:rsidRPr="00662B2C" w:rsidRDefault="00662B2C" w:rsidP="006F462B">
      <w:pPr>
        <w:pStyle w:val="CETBodytext"/>
        <w:numPr>
          <w:ilvl w:val="0"/>
          <w:numId w:val="35"/>
        </w:numPr>
        <w:rPr>
          <w:lang w:val="en-GB"/>
        </w:rPr>
      </w:pPr>
      <w:r w:rsidRPr="00662B2C">
        <w:rPr>
          <w:lang w:val="en-GB"/>
        </w:rPr>
        <w:t>Step 2-Safeguarding implementation of complementary protective measures</w:t>
      </w:r>
    </w:p>
    <w:p w14:paraId="0C8123D7" w14:textId="60E68F79" w:rsidR="00662B2C" w:rsidRPr="00662B2C" w:rsidRDefault="00662B2C" w:rsidP="006F462B">
      <w:pPr>
        <w:pStyle w:val="CETBodytext"/>
        <w:numPr>
          <w:ilvl w:val="0"/>
          <w:numId w:val="35"/>
        </w:numPr>
        <w:rPr>
          <w:lang w:val="en-GB"/>
        </w:rPr>
      </w:pPr>
      <w:r w:rsidRPr="00662B2C">
        <w:rPr>
          <w:lang w:val="en-GB"/>
        </w:rPr>
        <w:t>Step3-Information for use</w:t>
      </w:r>
    </w:p>
    <w:p w14:paraId="514898D7" w14:textId="6A936CAB" w:rsidR="00662B2C" w:rsidRPr="00662B2C" w:rsidRDefault="00662B2C" w:rsidP="00662B2C">
      <w:pPr>
        <w:pStyle w:val="CETBodytext"/>
        <w:rPr>
          <w:lang w:val="en-GB"/>
        </w:rPr>
      </w:pPr>
      <w:r w:rsidRPr="00662B2C">
        <w:rPr>
          <w:lang w:val="en-GB"/>
        </w:rPr>
        <w:t>Functional safety concepts are widely accepted and form an integral part of the three-step risk reduction measures. These concepts aim to reduce risks by implementing safety functions and mechanisms within the robot system.</w:t>
      </w:r>
    </w:p>
    <w:p w14:paraId="2B34C130" w14:textId="37249DD4" w:rsidR="00337320" w:rsidRDefault="00662B2C" w:rsidP="00337320">
      <w:pPr>
        <w:pStyle w:val="CETBodytext"/>
        <w:rPr>
          <w:lang w:val="en-GB"/>
        </w:rPr>
      </w:pPr>
      <w:r w:rsidRPr="00662B2C">
        <w:rPr>
          <w:lang w:val="en-GB"/>
        </w:rPr>
        <w:t xml:space="preserve">However, the validation and verification techniques, or testing methods, to assess whether the requirements for risk reduction are met are often insufficient. Contextual understanding is crucial in testing, as it requires considering the specific operating environment, potential interactions with humans, and the range of potential scenarios and risks that the robot may encounter. Effective testing methods should encompass real-world </w:t>
      </w:r>
      <w:r w:rsidRPr="00662B2C">
        <w:rPr>
          <w:lang w:val="en-GB"/>
        </w:rPr>
        <w:lastRenderedPageBreak/>
        <w:t>conditions and adequately evaluate the robot's performance and safety features to ensure they meet the desired risk reduction goals.</w:t>
      </w:r>
      <w:r w:rsidR="00B45043">
        <w:rPr>
          <w:lang w:val="en-GB"/>
        </w:rPr>
        <w:t xml:space="preserve"> </w:t>
      </w:r>
      <w:r w:rsidR="00337320" w:rsidRPr="00337320">
        <w:rPr>
          <w:lang w:val="en-GB"/>
        </w:rPr>
        <w:t>In this context, DT</w:t>
      </w:r>
      <w:r w:rsidR="00D97BF1">
        <w:rPr>
          <w:lang w:val="en-GB"/>
        </w:rPr>
        <w:t xml:space="preserve"> </w:t>
      </w:r>
      <w:r w:rsidR="00337320" w:rsidRPr="00337320">
        <w:rPr>
          <w:lang w:val="en-GB"/>
        </w:rPr>
        <w:t>technology can play a pivotal role, particularly in the preliminary design and optimization stages. By simulating and testing machine functionalities early in the development process, DT allows for the integration of safety measures earlier in the system lifecycle, ensuring that risks are addressed from the outset.</w:t>
      </w:r>
    </w:p>
    <w:p w14:paraId="3788D585" w14:textId="437E17CE" w:rsidR="00184801" w:rsidRDefault="00D05058" w:rsidP="00337320">
      <w:pPr>
        <w:pStyle w:val="CETheadingx"/>
        <w:rPr>
          <w:lang w:val="en-GB"/>
        </w:rPr>
      </w:pPr>
      <w:r>
        <w:rPr>
          <w:lang w:val="en-GB"/>
        </w:rPr>
        <w:t xml:space="preserve">The gap between the real </w:t>
      </w:r>
      <w:r w:rsidR="00214F8C">
        <w:rPr>
          <w:lang w:val="en-GB"/>
        </w:rPr>
        <w:t>system</w:t>
      </w:r>
      <w:r w:rsidR="00542087">
        <w:rPr>
          <w:lang w:val="en-GB"/>
        </w:rPr>
        <w:t xml:space="preserve"> </w:t>
      </w:r>
      <w:r>
        <w:rPr>
          <w:lang w:val="en-GB"/>
        </w:rPr>
        <w:t xml:space="preserve">and the </w:t>
      </w:r>
      <w:r w:rsidR="00214F8C">
        <w:rPr>
          <w:lang w:val="en-GB"/>
        </w:rPr>
        <w:t>digital model</w:t>
      </w:r>
    </w:p>
    <w:p w14:paraId="0FFF2C7C" w14:textId="609D7606" w:rsidR="00781663" w:rsidRPr="00781663" w:rsidRDefault="00781663" w:rsidP="005D255B">
      <w:pPr>
        <w:pStyle w:val="CETBodytext"/>
        <w:rPr>
          <w:lang w:val="en-GB"/>
        </w:rPr>
      </w:pPr>
      <w:r w:rsidRPr="00781663">
        <w:rPr>
          <w:lang w:val="en-GB"/>
        </w:rPr>
        <w:t xml:space="preserve">One of the fundamental challenges in developing DTs for complex systems like mobile robots lies in accurately replicating both the physical and software components of the real system. While it is relatively straightforward to model geometrical, dynamical, and physical properties, capturing the </w:t>
      </w:r>
      <w:proofErr w:type="spellStart"/>
      <w:r w:rsidR="00A95878">
        <w:rPr>
          <w:lang w:val="en-GB"/>
        </w:rPr>
        <w:t>behavior</w:t>
      </w:r>
      <w:proofErr w:type="spellEnd"/>
      <w:r w:rsidRPr="00781663">
        <w:rPr>
          <w:lang w:val="en-GB"/>
        </w:rPr>
        <w:t xml:space="preserve"> driven by internal software presents a significant hurdle. </w:t>
      </w:r>
    </w:p>
    <w:p w14:paraId="4B5A4173" w14:textId="77777777" w:rsidR="00781663" w:rsidRPr="00781663" w:rsidRDefault="00781663" w:rsidP="00781663">
      <w:pPr>
        <w:pStyle w:val="CETBodytext"/>
        <w:rPr>
          <w:lang w:val="en-GB"/>
        </w:rPr>
      </w:pPr>
    </w:p>
    <w:p w14:paraId="62F380F9" w14:textId="1E783FB8" w:rsidR="00781663" w:rsidRPr="00781663" w:rsidRDefault="00781663" w:rsidP="00781663">
      <w:pPr>
        <w:pStyle w:val="CETBodytext"/>
        <w:rPr>
          <w:lang w:val="en-GB"/>
        </w:rPr>
      </w:pPr>
      <w:r w:rsidRPr="00781663">
        <w:rPr>
          <w:lang w:val="en-GB"/>
        </w:rPr>
        <w:t xml:space="preserve">This experience highlights the inherent complexity of bridging the gap between real systems and digital models. Simplifications or assumptions made during </w:t>
      </w:r>
      <w:r w:rsidR="005D255B">
        <w:rPr>
          <w:lang w:val="en-GB"/>
        </w:rPr>
        <w:t xml:space="preserve">modelling </w:t>
      </w:r>
      <w:r w:rsidRPr="00781663">
        <w:rPr>
          <w:lang w:val="en-GB"/>
        </w:rPr>
        <w:t xml:space="preserve">can fail to account for the emergent, dynamic nature of real-world operations. This issue is particularly </w:t>
      </w:r>
      <w:r w:rsidR="00EA71B4">
        <w:rPr>
          <w:lang w:val="en-GB"/>
        </w:rPr>
        <w:t xml:space="preserve">relevant </w:t>
      </w:r>
      <w:r w:rsidRPr="00781663">
        <w:rPr>
          <w:lang w:val="en-GB"/>
        </w:rPr>
        <w:t xml:space="preserve">when developing </w:t>
      </w:r>
      <w:r w:rsidR="00414898">
        <w:rPr>
          <w:lang w:val="en-GB"/>
        </w:rPr>
        <w:t>DTs</w:t>
      </w:r>
      <w:r w:rsidRPr="00781663">
        <w:rPr>
          <w:lang w:val="en-GB"/>
        </w:rPr>
        <w:t xml:space="preserve"> for third-party systems, where full visibility into internal processes and decision-making logic may not be possible. Ultimately, achieving high fidelity in </w:t>
      </w:r>
      <w:r w:rsidR="00C6798A">
        <w:rPr>
          <w:lang w:val="en-GB"/>
        </w:rPr>
        <w:t>DTs</w:t>
      </w:r>
      <w:r w:rsidRPr="00781663">
        <w:rPr>
          <w:lang w:val="en-GB"/>
        </w:rPr>
        <w:t xml:space="preserve"> requires a comprehensive approach that integrates not only physical and dynamical accuracy but also the </w:t>
      </w:r>
      <w:proofErr w:type="spellStart"/>
      <w:r w:rsidR="00284D16">
        <w:rPr>
          <w:lang w:val="en-GB"/>
        </w:rPr>
        <w:t>behaviors</w:t>
      </w:r>
      <w:proofErr w:type="spellEnd"/>
      <w:r w:rsidRPr="00781663">
        <w:rPr>
          <w:lang w:val="en-GB"/>
        </w:rPr>
        <w:t xml:space="preserve"> dictated by software and environmental interactions.</w:t>
      </w:r>
    </w:p>
    <w:p w14:paraId="68D26B83" w14:textId="0092001B" w:rsidR="00600535" w:rsidRPr="00B57B36" w:rsidRDefault="00600535" w:rsidP="00600535">
      <w:pPr>
        <w:pStyle w:val="CETHeading1"/>
        <w:rPr>
          <w:lang w:val="en-GB"/>
        </w:rPr>
      </w:pPr>
      <w:r w:rsidRPr="00B57B36">
        <w:rPr>
          <w:lang w:val="en-GB"/>
        </w:rPr>
        <w:t>Conclusions</w:t>
      </w:r>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45412D0B" w14:textId="36CF05AC" w:rsidR="0006107A" w:rsidRPr="00B57B36" w:rsidRDefault="00EF3EFA" w:rsidP="0006107A">
      <w:pPr>
        <w:pStyle w:val="CETBodytext"/>
        <w:rPr>
          <w:lang w:val="en-GB"/>
        </w:rPr>
      </w:pPr>
      <w:r w:rsidRPr="00EF3EFA">
        <w:rPr>
          <w:lang w:val="en-GB"/>
        </w:rPr>
        <w:t>The aim of the present work was to</w:t>
      </w:r>
      <w:r w:rsidR="001167AC">
        <w:rPr>
          <w:lang w:val="en-GB"/>
        </w:rPr>
        <w:t xml:space="preserve"> </w:t>
      </w:r>
      <w:r w:rsidR="001167AC" w:rsidRPr="001167AC">
        <w:rPr>
          <w:lang w:val="en-GB"/>
        </w:rPr>
        <w:t>provide a deeper understanding of the role of DT technologies in designing safer intelligent warehouses for the future. Through the integration of DT simulations, early design considerations, and comprehensive risk assessments, stakeholders can leverage DT technologies to proactively enhance safety within Warehouse 4.0 environments, fostering a culture of safety and innovation in the logistics and supply chain industry.</w:t>
      </w:r>
      <w:r w:rsidRPr="00EF3EFA">
        <w:rPr>
          <w:lang w:val="en-GB"/>
        </w:rPr>
        <w:t xml:space="preserve"> </w:t>
      </w:r>
      <w:r w:rsidR="00D141DF">
        <w:rPr>
          <w:lang w:val="en-GB"/>
        </w:rPr>
        <w:t xml:space="preserve">The case study </w:t>
      </w:r>
      <w:r w:rsidR="00F96658">
        <w:rPr>
          <w:lang w:val="en-GB"/>
        </w:rPr>
        <w:t xml:space="preserve">showed the capability of DT </w:t>
      </w:r>
      <w:r w:rsidR="00DF5969">
        <w:rPr>
          <w:lang w:val="en-GB"/>
        </w:rPr>
        <w:t>to enhance</w:t>
      </w:r>
      <w:r w:rsidR="00F96658">
        <w:rPr>
          <w:lang w:val="en-GB"/>
        </w:rPr>
        <w:t xml:space="preserve"> risk management. </w:t>
      </w:r>
      <w:r w:rsidR="00BB2E40">
        <w:rPr>
          <w:lang w:val="en-GB"/>
        </w:rPr>
        <w:t xml:space="preserve">The discrepancies between the real system and the digital models are </w:t>
      </w:r>
      <w:r w:rsidR="00BF3D49">
        <w:rPr>
          <w:lang w:val="en-GB"/>
        </w:rPr>
        <w:t>focused</w:t>
      </w:r>
      <w:r w:rsidR="009D2A68">
        <w:rPr>
          <w:lang w:val="en-GB"/>
        </w:rPr>
        <w:t xml:space="preserve"> in the discussion. </w:t>
      </w:r>
      <w:r w:rsidR="00BD7DDF">
        <w:rPr>
          <w:lang w:val="en-GB"/>
        </w:rPr>
        <w:t>It</w:t>
      </w:r>
      <w:r w:rsidR="00614294">
        <w:rPr>
          <w:lang w:val="en-GB"/>
        </w:rPr>
        <w:t xml:space="preserve"> may </w:t>
      </w:r>
      <w:r w:rsidR="00B7711F">
        <w:rPr>
          <w:lang w:val="en-GB"/>
        </w:rPr>
        <w:t xml:space="preserve">undermine their </w:t>
      </w:r>
      <w:r w:rsidR="00C763BA">
        <w:rPr>
          <w:lang w:val="en-GB"/>
        </w:rPr>
        <w:t xml:space="preserve">trust in </w:t>
      </w:r>
      <w:r w:rsidR="00BB5D0D">
        <w:rPr>
          <w:lang w:val="en-GB"/>
        </w:rPr>
        <w:t xml:space="preserve">digital model </w:t>
      </w:r>
      <w:r w:rsidR="00A92482">
        <w:rPr>
          <w:lang w:val="en-GB"/>
        </w:rPr>
        <w:t>performance</w:t>
      </w:r>
      <w:r w:rsidR="00BD7DDF">
        <w:rPr>
          <w:lang w:val="en-GB"/>
        </w:rPr>
        <w:t xml:space="preserve">, </w:t>
      </w:r>
      <w:r w:rsidR="00C84895">
        <w:rPr>
          <w:lang w:val="en-GB"/>
        </w:rPr>
        <w:t xml:space="preserve">which </w:t>
      </w:r>
      <w:r w:rsidR="00737A53">
        <w:rPr>
          <w:lang w:val="en-GB"/>
        </w:rPr>
        <w:t xml:space="preserve">requires a more </w:t>
      </w:r>
      <w:r w:rsidR="008C2972">
        <w:rPr>
          <w:lang w:val="en-GB"/>
        </w:rPr>
        <w:t xml:space="preserve">science-based framework and method </w:t>
      </w:r>
      <w:r w:rsidR="002E0118">
        <w:rPr>
          <w:lang w:val="en-GB"/>
        </w:rPr>
        <w:t xml:space="preserve">to validate the assumptions behind the </w:t>
      </w:r>
      <w:r w:rsidR="007978CC">
        <w:rPr>
          <w:lang w:val="en-GB"/>
        </w:rPr>
        <w:t xml:space="preserve">digital models against the real systems. </w:t>
      </w:r>
      <w:r w:rsidR="008968D8">
        <w:rPr>
          <w:lang w:val="en-GB"/>
        </w:rPr>
        <w:t xml:space="preserve">The goal-oriented modelling approach </w:t>
      </w:r>
      <w:r w:rsidR="00965219">
        <w:rPr>
          <w:lang w:val="en-GB"/>
        </w:rPr>
        <w:fldChar w:fldCharType="begin" w:fldLock="1"/>
      </w:r>
      <w:r w:rsidR="00BB149F">
        <w:rPr>
          <w:lang w:val="en-GB"/>
        </w:rPr>
        <w:instrText>ADDIN CSL_CITATION {"citationItems":[{"id":"ITEM-1","itemData":{"DOI":"10.5220/0012681500003687","ISBN":"978-989-758-696-5","author":[{"dropping-particle":"","family":"Jesus Raja","given":"Jeshwitha","non-dropping-particle":"","parse-names":false,"suffix":""},{"dropping-particle":"","family":"Manjunath","given":"Meenakshi","non-dropping-particle":"","parse-names":false,"suffix":""},{"dropping-particle":"","family":"Daun","given":"Marian","non-dropping-particle":"","parse-names":false,"suffix":""}],"container-title":"Proceedings of the 19th International Conference on Evaluation of Novel Approaches to Software Engineering","id":"ITEM-1","issued":{"date-parts":[["2024"]]},"note":"Export Date: 12 September 2024; Cited By: 0","page":"466-473","publisher":"SCITEPRESS - Science and Technology Publications","title":"Towards a Goal-Oriented Approach for Engineering Digital Twins of Robotic Systems","type":"paper-conference"},"uris":["http://www.mendeley.com/documents/?uuid=b7e1d1a7-c5e3-4ea3-97c8-54cba31a376e"]}],"mendeley":{"formattedCitation":"(Jesus Raja, Manjunath, and Daun 2024)","plainTextFormattedCitation":"(Jesus Raja, Manjunath, and Daun 2024)","previouslyFormattedCitation":"(Jesus Raja, Manjunath, and Daun 2024)"},"properties":{"noteIndex":0},"schema":"https://github.com/citation-style-language/schema/raw/master/csl-citation.json"}</w:instrText>
      </w:r>
      <w:r w:rsidR="00965219">
        <w:rPr>
          <w:lang w:val="en-GB"/>
        </w:rPr>
        <w:fldChar w:fldCharType="separate"/>
      </w:r>
      <w:r w:rsidR="00965219" w:rsidRPr="00965219">
        <w:rPr>
          <w:noProof/>
          <w:lang w:val="en-GB"/>
        </w:rPr>
        <w:t>(Jesus, Manjunath, and Daun 2024)</w:t>
      </w:r>
      <w:r w:rsidR="00965219">
        <w:rPr>
          <w:lang w:val="en-GB"/>
        </w:rPr>
        <w:fldChar w:fldCharType="end"/>
      </w:r>
      <w:r w:rsidR="008968D8">
        <w:rPr>
          <w:lang w:val="en-GB"/>
        </w:rPr>
        <w:t xml:space="preserve"> could be the cost-effective option for developing digital twins. </w:t>
      </w:r>
      <w:r w:rsidR="000C4A2D">
        <w:rPr>
          <w:lang w:val="en-GB"/>
        </w:rPr>
        <w:t>Fundamentally, the</w:t>
      </w:r>
      <w:r w:rsidR="007A6539">
        <w:rPr>
          <w:lang w:val="en-GB"/>
        </w:rPr>
        <w:t xml:space="preserve"> action theory</w:t>
      </w:r>
      <w:r w:rsidR="00BB149F">
        <w:rPr>
          <w:lang w:val="en-GB"/>
        </w:rPr>
        <w:fldChar w:fldCharType="begin" w:fldLock="1"/>
      </w:r>
      <w:r w:rsidR="009A022C">
        <w:rPr>
          <w:lang w:val="en-GB"/>
        </w:rPr>
        <w:instrText>ADDIN CSL_CITATION {"citationItems":[{"id":"ITEM-1","itemData":{"author":[{"dropping-particle":"","family":"Wu","given":"Jing","non-dropping-particle":"","parse-names":false,"suffix":""},{"dropping-particle":"","family":"Ren","given":"Junru","non-dropping-particle":"","parse-names":false,"suffix":""},{"dropping-particle":"","family":"Li","given":"Ruixue","non-dropping-particle":"","parse-names":false,"suffix":""},{"dropping-particle":"","family":"Zhang","given":"Xinxin","non-dropping-particle":"","parse-names":false,"suffix":""},{"dropping-particle":"","family":"Lind","given":"Morten","non-dropping-particle":"","parse-names":false,"suffix":""}],"container-title":"International Workshop on Functional Modeling and Safety Related Issues of Socio-Technical Systems","id":"ITEM-1","issued":{"date-parts":[["2024"]]},"page":"13-16","title":"Decoding Risk Management: The Crucial Means-End Aspect of Countermeasures and Hazards","type":"paper-conference"},"uris":["http://www.mendeley.com/documents/?uuid=32f22329-a7ee-49a4-a054-2366585c8b63"]}],"mendeley":{"formattedCitation":"(J. Wu, Ren, et al. 2024)","manualFormatting":"(Wu et al. 2024)","plainTextFormattedCitation":"(J. Wu, Ren, et al. 2024)","previouslyFormattedCitation":"(Wu, Ren, et al. 2024)"},"properties":{"noteIndex":0},"schema":"https://github.com/citation-style-language/schema/raw/master/csl-citation.json"}</w:instrText>
      </w:r>
      <w:r w:rsidR="00BB149F">
        <w:rPr>
          <w:lang w:val="en-GB"/>
        </w:rPr>
        <w:fldChar w:fldCharType="separate"/>
      </w:r>
      <w:r w:rsidR="00BB149F" w:rsidRPr="00BB149F">
        <w:rPr>
          <w:noProof/>
          <w:lang w:val="en-GB"/>
        </w:rPr>
        <w:t>(Wu</w:t>
      </w:r>
      <w:r w:rsidR="00A702AA">
        <w:rPr>
          <w:noProof/>
          <w:lang w:val="en-GB"/>
        </w:rPr>
        <w:t xml:space="preserve"> </w:t>
      </w:r>
      <w:r w:rsidR="00BB149F" w:rsidRPr="00BB149F">
        <w:rPr>
          <w:noProof/>
          <w:lang w:val="en-GB"/>
        </w:rPr>
        <w:t>et al. 2024)</w:t>
      </w:r>
      <w:r w:rsidR="00BB149F">
        <w:rPr>
          <w:lang w:val="en-GB"/>
        </w:rPr>
        <w:fldChar w:fldCharType="end"/>
      </w:r>
      <w:r w:rsidR="007A6539">
        <w:rPr>
          <w:lang w:val="en-GB"/>
        </w:rPr>
        <w:t xml:space="preserve"> may play an important role in such </w:t>
      </w:r>
      <w:r w:rsidR="00BA46CC">
        <w:rPr>
          <w:lang w:val="en-GB"/>
        </w:rPr>
        <w:t xml:space="preserve">a </w:t>
      </w:r>
      <w:r w:rsidR="007A6539">
        <w:rPr>
          <w:lang w:val="en-GB"/>
        </w:rPr>
        <w:t xml:space="preserve">goal-oriented modelling approach. </w:t>
      </w:r>
      <w:r w:rsidR="00C67A1F">
        <w:rPr>
          <w:lang w:val="en-GB"/>
        </w:rPr>
        <w:t>The work by</w:t>
      </w:r>
      <w:r w:rsidR="009A022C">
        <w:rPr>
          <w:lang w:val="en-GB"/>
        </w:rPr>
        <w:t xml:space="preserve"> </w:t>
      </w:r>
      <w:r w:rsidR="00F41792" w:rsidRPr="009A022C">
        <w:rPr>
          <w:noProof/>
          <w:lang w:val="en-GB"/>
        </w:rPr>
        <w:t>Wu et al.</w:t>
      </w:r>
      <w:r w:rsidR="009A022C">
        <w:rPr>
          <w:lang w:val="en-GB"/>
        </w:rPr>
        <w:fldChar w:fldCharType="begin" w:fldLock="1"/>
      </w:r>
      <w:r w:rsidR="00F41792">
        <w:rPr>
          <w:lang w:val="en-GB"/>
        </w:rPr>
        <w:instrText>ADDIN CSL_CITATION {"citationItems":[{"id":"ITEM-1","itemData":{"DOI":"10.1080/08839514.2018.1447431","ISSN":"0883-9514","author":[{"dropping-particle":"","family":"Wu","given":"Haiyan","non-dropping-particle":"","parse-names":false,"suffix":""},{"dropping-particle":"","family":"Bateman","given":"Rikke","non-dropping-particle":"","parse-names":false,"suffix":""},{"dropping-particle":"","family":"Zhang","given":"Xinxin","non-dropping-particle":"","parse-names":false,"suffix":""},{"dropping-particle":"","family":"Lind","given":"Morten","non-dropping-particle":"","parse-names":false,"suffix":""}],"container-title":"Applied Artificial Intelligence","id":"ITEM-1","issue":"3","issued":{"date-parts":[["2018","3","16"]]},"page":"229-252","title":"Functional Modeling for Monitoring of Robotic System","type":"article-journal","volume":"32"},"uris":["http://www.mendeley.com/documents/?uuid=e08b0701-6a5b-30e8-b6ba-0898f57e4e01"]}],"mendeley":{"formattedCitation":"(H. Wu et al. 2018)","manualFormatting":"(2018)","plainTextFormattedCitation":"(H. Wu et al. 2018)"},"properties":{"noteIndex":0},"schema":"https://github.com/citation-style-language/schema/raw/master/csl-citation.json"}</w:instrText>
      </w:r>
      <w:r w:rsidR="009A022C">
        <w:rPr>
          <w:lang w:val="en-GB"/>
        </w:rPr>
        <w:fldChar w:fldCharType="separate"/>
      </w:r>
      <w:r w:rsidR="009A022C" w:rsidRPr="009A022C">
        <w:rPr>
          <w:noProof/>
          <w:lang w:val="en-GB"/>
        </w:rPr>
        <w:t>(2018)</w:t>
      </w:r>
      <w:r w:rsidR="009A022C">
        <w:rPr>
          <w:lang w:val="en-GB"/>
        </w:rPr>
        <w:fldChar w:fldCharType="end"/>
      </w:r>
      <w:r w:rsidR="00C67A1F">
        <w:rPr>
          <w:lang w:val="en-GB"/>
        </w:rPr>
        <w:t xml:space="preserve"> </w:t>
      </w:r>
      <w:r w:rsidR="009A022C">
        <w:rPr>
          <w:lang w:val="en-GB"/>
        </w:rPr>
        <w:t xml:space="preserve">has demonstrated the value of applying </w:t>
      </w:r>
      <w:r w:rsidR="004026A4">
        <w:rPr>
          <w:lang w:val="en-GB"/>
        </w:rPr>
        <w:t>action</w:t>
      </w:r>
      <w:r w:rsidR="009A022C">
        <w:rPr>
          <w:lang w:val="en-GB"/>
        </w:rPr>
        <w:t xml:space="preserve"> theory </w:t>
      </w:r>
      <w:r w:rsidR="00AF386C">
        <w:rPr>
          <w:lang w:val="en-GB"/>
        </w:rPr>
        <w:t xml:space="preserve">for monitoring </w:t>
      </w:r>
      <w:r w:rsidR="009A022C">
        <w:rPr>
          <w:lang w:val="en-GB"/>
        </w:rPr>
        <w:t>robotic</w:t>
      </w:r>
      <w:r w:rsidR="00AF386C">
        <w:rPr>
          <w:lang w:val="en-GB"/>
        </w:rPr>
        <w:t xml:space="preserve"> systems</w:t>
      </w:r>
      <w:r w:rsidR="009A022C">
        <w:rPr>
          <w:lang w:val="en-GB"/>
        </w:rPr>
        <w:t xml:space="preserve">. </w:t>
      </w:r>
      <w:r w:rsidR="003E080D">
        <w:rPr>
          <w:lang w:val="en-GB"/>
        </w:rPr>
        <w:t xml:space="preserve">Future work will </w:t>
      </w:r>
      <w:r w:rsidR="00145295">
        <w:rPr>
          <w:lang w:val="en-GB"/>
        </w:rPr>
        <w:t>explore</w:t>
      </w:r>
      <w:r w:rsidR="003E080D">
        <w:rPr>
          <w:lang w:val="en-GB"/>
        </w:rPr>
        <w:t xml:space="preserve"> the opportunities offered by action theory and digital </w:t>
      </w:r>
      <w:r w:rsidR="00145295">
        <w:rPr>
          <w:lang w:val="en-GB"/>
        </w:rPr>
        <w:t xml:space="preserve">simulation platforms such as </w:t>
      </w:r>
      <w:r w:rsidR="00145295" w:rsidRPr="00145295">
        <w:rPr>
          <w:lang w:val="en-GB"/>
        </w:rPr>
        <w:t>Omniverse Isaac Sim</w:t>
      </w:r>
      <w:r w:rsidR="00997AFE">
        <w:rPr>
          <w:lang w:val="en-GB"/>
        </w:rPr>
        <w:t xml:space="preserve"> to develop safety cases for testing and validation</w:t>
      </w:r>
      <w:r w:rsidR="00862E62">
        <w:rPr>
          <w:lang w:val="en-GB"/>
        </w:rPr>
        <w:t xml:space="preserve"> of robotics applications. </w:t>
      </w:r>
    </w:p>
    <w:p w14:paraId="33F8138F" w14:textId="171433FD" w:rsidR="00600535" w:rsidRPr="00B57B36" w:rsidRDefault="00600535" w:rsidP="00EF3EFA">
      <w:pPr>
        <w:pStyle w:val="CETBodytext"/>
        <w:rPr>
          <w:lang w:val="en-GB"/>
        </w:rPr>
      </w:pPr>
    </w:p>
    <w:p w14:paraId="4F1327F8" w14:textId="77777777" w:rsidR="00600535" w:rsidRPr="002C014A" w:rsidRDefault="00600535" w:rsidP="00600535">
      <w:pPr>
        <w:pStyle w:val="CETReference"/>
        <w:rPr>
          <w:lang w:val="it-IT"/>
        </w:rPr>
      </w:pPr>
      <w:r w:rsidRPr="002C014A">
        <w:rPr>
          <w:lang w:val="it-IT"/>
        </w:rPr>
        <w:t>References</w:t>
      </w:r>
    </w:p>
    <w:p w14:paraId="01051357" w14:textId="05AD1CFE" w:rsidR="009A022C" w:rsidRPr="00583219" w:rsidRDefault="005310FA" w:rsidP="00583219">
      <w:pPr>
        <w:pStyle w:val="CETReferencetext"/>
      </w:pPr>
      <w:r>
        <w:fldChar w:fldCharType="begin" w:fldLock="1"/>
      </w:r>
      <w:r w:rsidRPr="00BB54B9">
        <w:rPr>
          <w:lang w:val="it-IT"/>
        </w:rPr>
        <w:instrText xml:space="preserve">ADDIN Mendeley Bibliography CSL_BIBLIOGRAPHY </w:instrText>
      </w:r>
      <w:r>
        <w:fldChar w:fldCharType="separate"/>
      </w:r>
      <w:r w:rsidR="009A022C" w:rsidRPr="00BB54B9">
        <w:rPr>
          <w:lang w:val="it-IT"/>
        </w:rPr>
        <w:t>Agnusdei, G</w:t>
      </w:r>
      <w:r w:rsidR="00BB54B9">
        <w:rPr>
          <w:lang w:val="it-IT"/>
        </w:rPr>
        <w:t>.</w:t>
      </w:r>
      <w:r w:rsidR="009A022C" w:rsidRPr="00BB54B9">
        <w:rPr>
          <w:lang w:val="it-IT"/>
        </w:rPr>
        <w:t xml:space="preserve"> </w:t>
      </w:r>
      <w:r w:rsidR="00BB54B9">
        <w:rPr>
          <w:lang w:val="it-IT"/>
        </w:rPr>
        <w:t>P.</w:t>
      </w:r>
      <w:r w:rsidR="009A022C" w:rsidRPr="00BB54B9">
        <w:rPr>
          <w:lang w:val="it-IT"/>
        </w:rPr>
        <w:t xml:space="preserve">, </w:t>
      </w:r>
      <w:r w:rsidR="00F728A6" w:rsidRPr="00BB54B9">
        <w:rPr>
          <w:lang w:val="it-IT"/>
        </w:rPr>
        <w:t xml:space="preserve">Elia </w:t>
      </w:r>
      <w:r w:rsidR="009A022C" w:rsidRPr="00BB54B9">
        <w:rPr>
          <w:lang w:val="it-IT"/>
        </w:rPr>
        <w:t>V</w:t>
      </w:r>
      <w:r w:rsidR="00F728A6">
        <w:rPr>
          <w:lang w:val="it-IT"/>
        </w:rPr>
        <w:t>.</w:t>
      </w:r>
      <w:r w:rsidR="009A022C" w:rsidRPr="00BB54B9">
        <w:rPr>
          <w:lang w:val="it-IT"/>
        </w:rPr>
        <w:t>, and Maria Grazia G</w:t>
      </w:r>
      <w:r w:rsidR="008C29A7">
        <w:rPr>
          <w:lang w:val="it-IT"/>
        </w:rPr>
        <w:t>.</w:t>
      </w:r>
      <w:r w:rsidR="00644993">
        <w:rPr>
          <w:lang w:val="it-IT"/>
        </w:rPr>
        <w:t>,</w:t>
      </w:r>
      <w:r w:rsidR="009A022C" w:rsidRPr="00BB54B9">
        <w:rPr>
          <w:lang w:val="it-IT"/>
        </w:rPr>
        <w:t xml:space="preserve"> </w:t>
      </w:r>
      <w:r w:rsidR="009A022C" w:rsidRPr="00644993">
        <w:rPr>
          <w:lang w:val="it-IT"/>
        </w:rPr>
        <w:t xml:space="preserve">2021. </w:t>
      </w:r>
      <w:r w:rsidR="009A022C" w:rsidRPr="00583219">
        <w:t>A Classification Proposal of Digital Twin Applications in the Safety Domain</w:t>
      </w:r>
      <w:r w:rsidR="004222A8">
        <w:t>,</w:t>
      </w:r>
      <w:r w:rsidR="009A022C" w:rsidRPr="00583219">
        <w:t xml:space="preserve"> Computers &amp; Industrial Engineering 154</w:t>
      </w:r>
      <w:r w:rsidR="00603A62">
        <w:t>,</w:t>
      </w:r>
      <w:r w:rsidR="009A022C" w:rsidRPr="00583219">
        <w:t xml:space="preserve"> 107137. https://doi.org/https://doi.org/10.1016/j.cie.2021.107137.</w:t>
      </w:r>
    </w:p>
    <w:p w14:paraId="3AC396D2" w14:textId="1F5CFC0C" w:rsidR="009A022C" w:rsidRPr="00583219" w:rsidRDefault="009A022C" w:rsidP="00583219">
      <w:pPr>
        <w:pStyle w:val="CETReferencetext"/>
      </w:pPr>
      <w:r w:rsidRPr="00583219">
        <w:t>Huang, Z</w:t>
      </w:r>
      <w:r w:rsidR="00AF748A">
        <w:t>.</w:t>
      </w:r>
      <w:r w:rsidRPr="00583219">
        <w:t xml:space="preserve">, </w:t>
      </w:r>
      <w:r w:rsidR="00AF748A" w:rsidRPr="00583219">
        <w:t xml:space="preserve">Shen </w:t>
      </w:r>
      <w:r w:rsidRPr="00583219">
        <w:t>Y</w:t>
      </w:r>
      <w:r w:rsidR="00AF748A">
        <w:t>.</w:t>
      </w:r>
      <w:r w:rsidRPr="00583219">
        <w:t>, Li</w:t>
      </w:r>
      <w:r w:rsidR="003F5815">
        <w:t xml:space="preserve"> J.</w:t>
      </w:r>
      <w:r w:rsidRPr="00583219">
        <w:t xml:space="preserve">, </w:t>
      </w:r>
      <w:r w:rsidR="003F5815" w:rsidRPr="00583219">
        <w:t xml:space="preserve">Fey </w:t>
      </w:r>
      <w:r w:rsidRPr="00583219">
        <w:t>M</w:t>
      </w:r>
      <w:r w:rsidR="00D466EB">
        <w:t>.</w:t>
      </w:r>
      <w:r w:rsidRPr="00583219">
        <w:t>, and Brecher</w:t>
      </w:r>
      <w:r w:rsidR="00D466EB" w:rsidRPr="00D466EB">
        <w:t xml:space="preserve"> </w:t>
      </w:r>
      <w:r w:rsidR="00D466EB" w:rsidRPr="00583219">
        <w:t>C</w:t>
      </w:r>
      <w:r w:rsidR="00D466EB">
        <w:t>.,</w:t>
      </w:r>
      <w:r w:rsidRPr="00583219">
        <w:t xml:space="preserve"> 2021. A Survey on AI-Driven Digital Twins in Industry 4.0: Smart Manufacturing and Advanced Robotics</w:t>
      </w:r>
      <w:r w:rsidR="00D466EB">
        <w:t>,</w:t>
      </w:r>
      <w:r w:rsidRPr="00583219">
        <w:t xml:space="preserve"> Sensors 21 (19). https://doi.org/10.3390/s21196340.</w:t>
      </w:r>
    </w:p>
    <w:p w14:paraId="7C7DC230" w14:textId="2631FDE5" w:rsidR="009A022C" w:rsidRPr="00583219" w:rsidRDefault="009A022C" w:rsidP="00583219">
      <w:pPr>
        <w:pStyle w:val="CETReferencetext"/>
      </w:pPr>
      <w:r w:rsidRPr="00583219">
        <w:t>Javaid, M</w:t>
      </w:r>
      <w:r w:rsidR="00E5125D">
        <w:t>.</w:t>
      </w:r>
      <w:r w:rsidRPr="00583219">
        <w:t>, Haleem</w:t>
      </w:r>
      <w:r w:rsidR="00E5125D" w:rsidRPr="00E5125D">
        <w:t xml:space="preserve"> </w:t>
      </w:r>
      <w:r w:rsidR="00E5125D" w:rsidRPr="00583219">
        <w:t>A</w:t>
      </w:r>
      <w:r w:rsidR="00E5125D">
        <w:t>.</w:t>
      </w:r>
      <w:r w:rsidRPr="00583219">
        <w:t>, Singh</w:t>
      </w:r>
      <w:r w:rsidR="00E5125D" w:rsidRPr="00E5125D">
        <w:t xml:space="preserve"> </w:t>
      </w:r>
      <w:r w:rsidR="00E5125D" w:rsidRPr="00583219">
        <w:t>R</w:t>
      </w:r>
      <w:r w:rsidR="00E5125D">
        <w:t>.</w:t>
      </w:r>
      <w:r w:rsidR="00E5125D" w:rsidRPr="00583219">
        <w:t xml:space="preserve"> P</w:t>
      </w:r>
      <w:r w:rsidR="00E5125D">
        <w:t>.</w:t>
      </w:r>
      <w:r w:rsidRPr="00583219">
        <w:t>, and Suman</w:t>
      </w:r>
      <w:r w:rsidR="007C0738" w:rsidRPr="007C0738">
        <w:t xml:space="preserve"> </w:t>
      </w:r>
      <w:r w:rsidR="007C0738" w:rsidRPr="00583219">
        <w:t>R</w:t>
      </w:r>
      <w:r w:rsidR="007C0738">
        <w:t>,</w:t>
      </w:r>
      <w:r w:rsidRPr="00583219">
        <w:t xml:space="preserve"> 2021. Substantial Capabilities of Robotics in Enhancing Industry 4.0 Implementation</w:t>
      </w:r>
      <w:r w:rsidR="007C0738">
        <w:t>,</w:t>
      </w:r>
      <w:r w:rsidRPr="00583219">
        <w:t xml:space="preserve"> Cognitive Robotics 1: 58–75. https://doi.org/10.1016/j.cogr.2021.06.001.</w:t>
      </w:r>
    </w:p>
    <w:p w14:paraId="7F8FB72D" w14:textId="195299F7" w:rsidR="009A022C" w:rsidRPr="00583219" w:rsidRDefault="009A022C" w:rsidP="00583219">
      <w:pPr>
        <w:pStyle w:val="CETReferencetext"/>
      </w:pPr>
      <w:r w:rsidRPr="00583219">
        <w:t>Jesus R</w:t>
      </w:r>
      <w:r w:rsidR="00C6362B">
        <w:t>.</w:t>
      </w:r>
      <w:r w:rsidRPr="00583219">
        <w:t xml:space="preserve">, Meenakshi Manjunath, </w:t>
      </w:r>
      <w:r w:rsidR="00C6362B" w:rsidRPr="00583219">
        <w:t>J</w:t>
      </w:r>
      <w:r w:rsidR="00C6362B">
        <w:t>.</w:t>
      </w:r>
      <w:r w:rsidR="00C6362B" w:rsidRPr="00583219">
        <w:t xml:space="preserve">, </w:t>
      </w:r>
      <w:r w:rsidRPr="00583219">
        <w:t>and Daun</w:t>
      </w:r>
      <w:r w:rsidR="00C6362B" w:rsidRPr="00C6362B">
        <w:t xml:space="preserve"> </w:t>
      </w:r>
      <w:r w:rsidR="00C6362B" w:rsidRPr="00583219">
        <w:t>M</w:t>
      </w:r>
      <w:r w:rsidRPr="00583219">
        <w:t>.</w:t>
      </w:r>
      <w:r w:rsidR="00DA71DD">
        <w:t>,</w:t>
      </w:r>
      <w:r w:rsidRPr="00583219">
        <w:t xml:space="preserve"> 2024. Towards a Goal-Oriented Approach for Engineering Digital Twins of Robotic Systems</w:t>
      </w:r>
      <w:r w:rsidR="00DA71DD">
        <w:t>,</w:t>
      </w:r>
      <w:r w:rsidRPr="00583219">
        <w:t xml:space="preserve"> In Proceedings of the 19th International Conference on Evaluation of Novel Approaches to Software Engineering, 466–73. SCITEPRESS - Science and Technology Publications. https://doi.org/10.5220/0012681500003687.</w:t>
      </w:r>
    </w:p>
    <w:p w14:paraId="47733069" w14:textId="790B4ED4" w:rsidR="009A022C" w:rsidRDefault="009A022C" w:rsidP="00583219">
      <w:pPr>
        <w:pStyle w:val="CETReferencetext"/>
      </w:pPr>
      <w:r w:rsidRPr="00583219">
        <w:t>Ramasubramanian, A</w:t>
      </w:r>
      <w:r w:rsidR="00DA71DD">
        <w:t>.</w:t>
      </w:r>
      <w:r w:rsidRPr="00583219">
        <w:t xml:space="preserve"> K</w:t>
      </w:r>
      <w:r w:rsidR="00DA71DD">
        <w:t>.</w:t>
      </w:r>
      <w:r w:rsidRPr="00583219">
        <w:t>, Mathew</w:t>
      </w:r>
      <w:r w:rsidR="00DA71DD" w:rsidRPr="00DA71DD">
        <w:t xml:space="preserve"> </w:t>
      </w:r>
      <w:r w:rsidR="00DA71DD" w:rsidRPr="00583219">
        <w:t>R</w:t>
      </w:r>
      <w:r w:rsidR="00DA71DD">
        <w:t>.</w:t>
      </w:r>
      <w:r w:rsidRPr="00583219">
        <w:t>, Kelly</w:t>
      </w:r>
      <w:r w:rsidR="00DA71DD" w:rsidRPr="00DA71DD">
        <w:t xml:space="preserve"> </w:t>
      </w:r>
      <w:r w:rsidR="00DA71DD" w:rsidRPr="00583219">
        <w:t>M</w:t>
      </w:r>
      <w:r w:rsidR="00DA71DD">
        <w:t>.</w:t>
      </w:r>
      <w:r w:rsidRPr="00583219">
        <w:t>, Hargaden</w:t>
      </w:r>
      <w:r w:rsidR="00DA71DD" w:rsidRPr="00DA71DD">
        <w:t xml:space="preserve"> </w:t>
      </w:r>
      <w:r w:rsidR="00DA71DD" w:rsidRPr="00583219">
        <w:t>V</w:t>
      </w:r>
      <w:r w:rsidR="00DA71DD">
        <w:t>.</w:t>
      </w:r>
      <w:r w:rsidRPr="00583219">
        <w:t>, and Papakostas</w:t>
      </w:r>
      <w:r w:rsidR="00DA71DD" w:rsidRPr="00DA71DD">
        <w:t xml:space="preserve"> </w:t>
      </w:r>
      <w:r w:rsidR="00DA71DD" w:rsidRPr="00583219">
        <w:t>N</w:t>
      </w:r>
      <w:r w:rsidR="00DA71DD">
        <w:t>.,</w:t>
      </w:r>
      <w:r w:rsidRPr="00583219">
        <w:t xml:space="preserve"> 2022. Digital Twin for Human-Robot Collaboration in Manufacturing: Review and Outlook</w:t>
      </w:r>
      <w:r w:rsidR="002246BA">
        <w:t>,</w:t>
      </w:r>
      <w:r w:rsidRPr="00583219">
        <w:t xml:space="preserve"> Applied Sciences (Switzerland) 12 (10). https://doi.org/10.3390/app12104811.</w:t>
      </w:r>
    </w:p>
    <w:p w14:paraId="7808AFCC" w14:textId="5DCE689E" w:rsidR="001B0768" w:rsidRPr="001B0768" w:rsidRDefault="001B0768" w:rsidP="00583219">
      <w:pPr>
        <w:pStyle w:val="CETReferencetext"/>
        <w:rPr>
          <w:lang w:val="en-US"/>
        </w:rPr>
      </w:pPr>
      <w:r w:rsidRPr="001B0768">
        <w:rPr>
          <w:lang w:val="da-DK"/>
        </w:rPr>
        <w:t xml:space="preserve">Ren, J., 2024. </w:t>
      </w:r>
      <w:r w:rsidRPr="001B0768">
        <w:rPr>
          <w:lang w:val="en-US"/>
        </w:rPr>
        <w:t>Digital</w:t>
      </w:r>
      <w:r>
        <w:rPr>
          <w:lang w:val="en-US"/>
        </w:rPr>
        <w:t xml:space="preserve">izing Autonomous Systems Monitoring, PhD thesis, </w:t>
      </w:r>
      <w:r w:rsidR="006503B3">
        <w:rPr>
          <w:lang w:val="en-US"/>
        </w:rPr>
        <w:t xml:space="preserve">Technical University of Denmark. </w:t>
      </w:r>
    </w:p>
    <w:p w14:paraId="2914F7C0" w14:textId="23F606DD" w:rsidR="009A022C" w:rsidRPr="00583219" w:rsidRDefault="009A022C" w:rsidP="00583219">
      <w:pPr>
        <w:pStyle w:val="CETReferencetext"/>
      </w:pPr>
      <w:r w:rsidRPr="001B0768">
        <w:rPr>
          <w:lang w:val="en-US"/>
        </w:rPr>
        <w:t>Ren, J</w:t>
      </w:r>
      <w:r w:rsidR="002246BA" w:rsidRPr="001B0768">
        <w:rPr>
          <w:lang w:val="en-US"/>
        </w:rPr>
        <w:t>.</w:t>
      </w:r>
      <w:r w:rsidRPr="001B0768">
        <w:rPr>
          <w:lang w:val="en-US"/>
        </w:rPr>
        <w:t>, Wu</w:t>
      </w:r>
      <w:r w:rsidR="002246BA" w:rsidRPr="001B0768">
        <w:rPr>
          <w:lang w:val="en-US"/>
        </w:rPr>
        <w:t xml:space="preserve"> J.</w:t>
      </w:r>
      <w:r w:rsidRPr="001B0768">
        <w:rPr>
          <w:lang w:val="en-US"/>
        </w:rPr>
        <w:t>, Ravn</w:t>
      </w:r>
      <w:r w:rsidR="002246BA" w:rsidRPr="001B0768">
        <w:rPr>
          <w:lang w:val="en-US"/>
        </w:rPr>
        <w:t xml:space="preserve"> O.</w:t>
      </w:r>
      <w:r w:rsidRPr="001B0768">
        <w:rPr>
          <w:lang w:val="en-US"/>
        </w:rPr>
        <w:t>, and Nalpantidis</w:t>
      </w:r>
      <w:r w:rsidR="002246BA" w:rsidRPr="001B0768">
        <w:rPr>
          <w:lang w:val="en-US"/>
        </w:rPr>
        <w:t xml:space="preserve"> L.</w:t>
      </w:r>
      <w:r w:rsidR="00A73B58" w:rsidRPr="001B0768">
        <w:rPr>
          <w:lang w:val="en-US"/>
        </w:rPr>
        <w:t xml:space="preserve">, </w:t>
      </w:r>
      <w:r w:rsidRPr="001B0768">
        <w:rPr>
          <w:lang w:val="en-US"/>
        </w:rPr>
        <w:t xml:space="preserve">2024. </w:t>
      </w:r>
      <w:r w:rsidRPr="00583219">
        <w:t>Safer Human-Robot Collaborative Environments​ through in-Simulation Risk Estimation and Function-Centric Hazard Analysis​</w:t>
      </w:r>
      <w:r w:rsidR="00A73B58">
        <w:t>,</w:t>
      </w:r>
      <w:r w:rsidRPr="00583219">
        <w:t xml:space="preserve"> In The 5th International Conference on Supply Chain (5th Olympus ICSC), Katerini, Greece, from May 24th to 26th, 2024.</w:t>
      </w:r>
    </w:p>
    <w:p w14:paraId="24713ECB" w14:textId="74C80F87" w:rsidR="009A022C" w:rsidRPr="00583219" w:rsidRDefault="009A022C" w:rsidP="00583219">
      <w:pPr>
        <w:pStyle w:val="CETReferencetext"/>
      </w:pPr>
      <w:r w:rsidRPr="00583219">
        <w:t>Sharma, A</w:t>
      </w:r>
      <w:r w:rsidR="00A73B58">
        <w:t>.</w:t>
      </w:r>
      <w:r w:rsidRPr="00583219">
        <w:t>, Kosasih</w:t>
      </w:r>
      <w:r w:rsidR="00A73B58" w:rsidRPr="00A73B58">
        <w:t xml:space="preserve"> </w:t>
      </w:r>
      <w:r w:rsidR="00A73B58" w:rsidRPr="00583219">
        <w:t>E</w:t>
      </w:r>
      <w:r w:rsidR="00A73B58">
        <w:t>.</w:t>
      </w:r>
      <w:r w:rsidRPr="00583219">
        <w:t>, Zhang</w:t>
      </w:r>
      <w:r w:rsidR="00A73B58" w:rsidRPr="00A73B58">
        <w:t xml:space="preserve"> </w:t>
      </w:r>
      <w:r w:rsidR="00A73B58" w:rsidRPr="00583219">
        <w:t>J</w:t>
      </w:r>
      <w:r w:rsidR="00A73B58">
        <w:t>.</w:t>
      </w:r>
      <w:r w:rsidRPr="00583219">
        <w:t>, Brintrup</w:t>
      </w:r>
      <w:r w:rsidR="00A73B58" w:rsidRPr="00A73B58">
        <w:t xml:space="preserve"> </w:t>
      </w:r>
      <w:r w:rsidR="00A73B58" w:rsidRPr="00583219">
        <w:t>A</w:t>
      </w:r>
      <w:r w:rsidR="00A73B58">
        <w:t>.</w:t>
      </w:r>
      <w:r w:rsidRPr="00583219">
        <w:t>, and Calinescu</w:t>
      </w:r>
      <w:r w:rsidR="00A73B58" w:rsidRPr="00A73B58">
        <w:t xml:space="preserve"> </w:t>
      </w:r>
      <w:r w:rsidR="00A73B58" w:rsidRPr="00583219">
        <w:t>A</w:t>
      </w:r>
      <w:r w:rsidR="00A73B58">
        <w:t>.,</w:t>
      </w:r>
      <w:r w:rsidRPr="00583219">
        <w:t xml:space="preserve"> 2022. Digital Twins: State of the Art Theory and Practice, Challenges, and Open Research Questions</w:t>
      </w:r>
      <w:r w:rsidR="00186DF5">
        <w:t xml:space="preserve">, </w:t>
      </w:r>
      <w:r w:rsidRPr="00583219">
        <w:t>Journal of Industrial Information Integration 30. https://doi.org/10.1016/j.jii.2022.100383.</w:t>
      </w:r>
    </w:p>
    <w:p w14:paraId="2782B482" w14:textId="3447CF58" w:rsidR="009A022C" w:rsidRPr="00583219" w:rsidRDefault="009A022C" w:rsidP="00583219">
      <w:pPr>
        <w:pStyle w:val="CETReferencetext"/>
      </w:pPr>
      <w:r w:rsidRPr="00583219">
        <w:lastRenderedPageBreak/>
        <w:t>Tao, F</w:t>
      </w:r>
      <w:r w:rsidR="00186DF5">
        <w:t>.</w:t>
      </w:r>
      <w:r w:rsidRPr="00583219">
        <w:t>, Zhang</w:t>
      </w:r>
      <w:r w:rsidR="00186DF5" w:rsidRPr="00186DF5">
        <w:t xml:space="preserve"> </w:t>
      </w:r>
      <w:r w:rsidR="00186DF5" w:rsidRPr="00583219">
        <w:t>H</w:t>
      </w:r>
      <w:r w:rsidR="00186DF5">
        <w:t>.</w:t>
      </w:r>
      <w:r w:rsidRPr="00583219">
        <w:t>, Liu</w:t>
      </w:r>
      <w:r w:rsidR="00186DF5" w:rsidRPr="00186DF5">
        <w:t xml:space="preserve"> </w:t>
      </w:r>
      <w:r w:rsidR="00186DF5" w:rsidRPr="00583219">
        <w:t>A</w:t>
      </w:r>
      <w:r w:rsidR="00186DF5">
        <w:t>.</w:t>
      </w:r>
      <w:r w:rsidRPr="00583219">
        <w:t>, and Nee</w:t>
      </w:r>
      <w:r w:rsidR="00186DF5" w:rsidRPr="00186DF5">
        <w:t xml:space="preserve"> </w:t>
      </w:r>
      <w:r w:rsidR="00186DF5" w:rsidRPr="00583219">
        <w:t>A</w:t>
      </w:r>
      <w:r w:rsidR="00186DF5">
        <w:t>.</w:t>
      </w:r>
      <w:r w:rsidR="00186DF5" w:rsidRPr="00583219">
        <w:t xml:space="preserve"> Y</w:t>
      </w:r>
      <w:r w:rsidR="00186DF5">
        <w:t>.</w:t>
      </w:r>
      <w:r w:rsidR="00186DF5" w:rsidRPr="00583219">
        <w:t xml:space="preserve"> C</w:t>
      </w:r>
      <w:r w:rsidRPr="00583219">
        <w:t>.</w:t>
      </w:r>
      <w:r w:rsidR="00DC7451">
        <w:t>,</w:t>
      </w:r>
      <w:r w:rsidRPr="00583219">
        <w:t xml:space="preserve"> 2019. Digital Twin in Industry: State-of-the-Art</w:t>
      </w:r>
      <w:r w:rsidR="00DC7451">
        <w:t>,</w:t>
      </w:r>
      <w:r w:rsidRPr="00583219">
        <w:t xml:space="preserve"> Ieee Transactions on Industrial Informatics 15 (4): 2405–15. https://doi.org/10.1109/TII.2018.2873186.</w:t>
      </w:r>
    </w:p>
    <w:p w14:paraId="5C53B2FF" w14:textId="2551A397" w:rsidR="009A022C" w:rsidRPr="00583219" w:rsidRDefault="009A022C" w:rsidP="00583219">
      <w:pPr>
        <w:pStyle w:val="CETReferencetext"/>
      </w:pPr>
      <w:r w:rsidRPr="00583219">
        <w:t>Wu, H</w:t>
      </w:r>
      <w:r w:rsidR="00DC7451">
        <w:t>.</w:t>
      </w:r>
      <w:r w:rsidRPr="00583219">
        <w:t>, Bateman</w:t>
      </w:r>
      <w:r w:rsidR="00DC7451" w:rsidRPr="00DC7451">
        <w:t xml:space="preserve"> </w:t>
      </w:r>
      <w:r w:rsidR="00DC7451" w:rsidRPr="00583219">
        <w:t>R</w:t>
      </w:r>
      <w:r w:rsidR="00DC7451">
        <w:t>.</w:t>
      </w:r>
      <w:r w:rsidRPr="00583219">
        <w:t>, Zhang</w:t>
      </w:r>
      <w:r w:rsidR="00DC7451" w:rsidRPr="00DC7451">
        <w:t xml:space="preserve"> </w:t>
      </w:r>
      <w:r w:rsidR="00DC7451" w:rsidRPr="00583219">
        <w:t>X</w:t>
      </w:r>
      <w:r w:rsidR="00DC7451">
        <w:t>.</w:t>
      </w:r>
      <w:r w:rsidRPr="00583219">
        <w:t xml:space="preserve">, and Lind. </w:t>
      </w:r>
      <w:r w:rsidR="00DC7451" w:rsidRPr="00583219">
        <w:t>M</w:t>
      </w:r>
      <w:r w:rsidR="00EB123F">
        <w:t>.,</w:t>
      </w:r>
      <w:r w:rsidR="00DC7451" w:rsidRPr="00583219">
        <w:t xml:space="preserve"> </w:t>
      </w:r>
      <w:r w:rsidRPr="00583219">
        <w:t>2018. Functional Modeling for Monitoring of Robotic System</w:t>
      </w:r>
      <w:r w:rsidR="00EB123F">
        <w:t>,</w:t>
      </w:r>
      <w:r w:rsidRPr="00583219">
        <w:t xml:space="preserve"> Applied Artificial Intelligence 32 (3): 229–52. https://doi.org/10.1080/08839514.2018.1447431.</w:t>
      </w:r>
    </w:p>
    <w:p w14:paraId="1206BD53" w14:textId="195135B9" w:rsidR="009A022C" w:rsidRPr="00583219" w:rsidRDefault="009A022C" w:rsidP="00583219">
      <w:pPr>
        <w:pStyle w:val="CETReferencetext"/>
      </w:pPr>
      <w:r w:rsidRPr="00583219">
        <w:t>Wu, J</w:t>
      </w:r>
      <w:r w:rsidR="00EB123F">
        <w:t>.</w:t>
      </w:r>
      <w:r w:rsidRPr="00583219">
        <w:t>, Lind</w:t>
      </w:r>
      <w:r w:rsidR="00EB123F" w:rsidRPr="00EB123F">
        <w:t xml:space="preserve"> </w:t>
      </w:r>
      <w:r w:rsidR="00EB123F" w:rsidRPr="00583219">
        <w:t>M</w:t>
      </w:r>
      <w:r w:rsidR="00EB123F">
        <w:t>.</w:t>
      </w:r>
      <w:r w:rsidRPr="00583219">
        <w:t>, Li</w:t>
      </w:r>
      <w:r w:rsidR="00EB123F" w:rsidRPr="00EB123F">
        <w:t xml:space="preserve"> </w:t>
      </w:r>
      <w:r w:rsidR="00EB123F" w:rsidRPr="00583219">
        <w:t>R</w:t>
      </w:r>
      <w:r w:rsidR="00EB123F">
        <w:t>.</w:t>
      </w:r>
      <w:r w:rsidRPr="00583219">
        <w:t>, and Zhang</w:t>
      </w:r>
      <w:r w:rsidR="00EB123F" w:rsidRPr="00EB123F">
        <w:t xml:space="preserve"> </w:t>
      </w:r>
      <w:r w:rsidR="00EB123F" w:rsidRPr="00583219">
        <w:t>X</w:t>
      </w:r>
      <w:r w:rsidR="00EB123F">
        <w:t>.,</w:t>
      </w:r>
      <w:r w:rsidRPr="00583219">
        <w:t xml:space="preserve"> 2024. Chapter Five - Integration of Process Safety Principles in Energy System Design</w:t>
      </w:r>
      <w:r w:rsidR="00A23865">
        <w:t>,</w:t>
      </w:r>
      <w:r w:rsidRPr="00583219">
        <w:t xml:space="preserve"> In Methods in Chemical Process Safety, edited by Faisal I Khan, Efstratios N Pistikopoulos, and Zaman Sajid, 8:133–72. Elsevier. https://doi.org/https://doi.org/10.1016/bs.mcps.2024.07.003.</w:t>
      </w:r>
    </w:p>
    <w:p w14:paraId="2799E714" w14:textId="4439F828" w:rsidR="009A022C" w:rsidRPr="00583219" w:rsidRDefault="009A022C" w:rsidP="00583219">
      <w:pPr>
        <w:pStyle w:val="CETReferencetext"/>
      </w:pPr>
      <w:r w:rsidRPr="00583219">
        <w:t>Wu, J</w:t>
      </w:r>
      <w:r w:rsidR="00A23865">
        <w:t>.</w:t>
      </w:r>
      <w:r w:rsidRPr="00583219">
        <w:t>, Ren</w:t>
      </w:r>
      <w:r w:rsidR="00A23865" w:rsidRPr="00A23865">
        <w:t xml:space="preserve"> </w:t>
      </w:r>
      <w:r w:rsidR="00A23865" w:rsidRPr="00583219">
        <w:t>J</w:t>
      </w:r>
      <w:r w:rsidR="000360B2">
        <w:t>.</w:t>
      </w:r>
      <w:r w:rsidRPr="00583219">
        <w:t>, Li</w:t>
      </w:r>
      <w:r w:rsidR="000360B2" w:rsidRPr="000360B2">
        <w:t xml:space="preserve"> </w:t>
      </w:r>
      <w:r w:rsidR="000360B2" w:rsidRPr="00583219">
        <w:t>R</w:t>
      </w:r>
      <w:r w:rsidR="000360B2">
        <w:t>.</w:t>
      </w:r>
      <w:r w:rsidRPr="00583219">
        <w:t>, Zhang</w:t>
      </w:r>
      <w:r w:rsidR="000360B2" w:rsidRPr="000360B2">
        <w:t xml:space="preserve"> </w:t>
      </w:r>
      <w:r w:rsidR="000360B2" w:rsidRPr="00583219">
        <w:t>X</w:t>
      </w:r>
      <w:r w:rsidR="000360B2">
        <w:t>.</w:t>
      </w:r>
      <w:r w:rsidRPr="00583219">
        <w:t>, and Lind</w:t>
      </w:r>
      <w:r w:rsidR="000360B2" w:rsidRPr="000360B2">
        <w:t xml:space="preserve"> </w:t>
      </w:r>
      <w:r w:rsidR="000360B2" w:rsidRPr="00583219">
        <w:t>M</w:t>
      </w:r>
      <w:r w:rsidR="008F7067">
        <w:t xml:space="preserve">., </w:t>
      </w:r>
      <w:r w:rsidRPr="00583219">
        <w:t>2024. Decoding Risk Management: The Crucial Means-End Aspect of Countermeasures and Hazards</w:t>
      </w:r>
      <w:r w:rsidR="008F7067">
        <w:t>,</w:t>
      </w:r>
      <w:r w:rsidRPr="00583219">
        <w:t xml:space="preserve"> In International Workshop on Functional Modeling and Safety Related Issues of Socio-Technical Systems, 13–16.</w:t>
      </w:r>
    </w:p>
    <w:p w14:paraId="5642C082" w14:textId="2B24BD55" w:rsidR="009A022C" w:rsidRPr="00583219" w:rsidRDefault="009A022C" w:rsidP="00583219">
      <w:pPr>
        <w:pStyle w:val="CETReferencetext"/>
      </w:pPr>
      <w:r w:rsidRPr="00583219">
        <w:t>Zio, E</w:t>
      </w:r>
      <w:r w:rsidR="008F7067">
        <w:t>.</w:t>
      </w:r>
      <w:r w:rsidRPr="00583219">
        <w:t>, and Miqueles</w:t>
      </w:r>
      <w:r w:rsidR="008F7067" w:rsidRPr="008F7067">
        <w:t xml:space="preserve"> </w:t>
      </w:r>
      <w:r w:rsidR="008F7067" w:rsidRPr="00583219">
        <w:t>L</w:t>
      </w:r>
      <w:r w:rsidR="008F7067">
        <w:t>.,</w:t>
      </w:r>
      <w:r w:rsidRPr="00583219">
        <w:t xml:space="preserve"> 2024. Digital Twins in Safety Analysis, Risk Assessment and Emergency </w:t>
      </w:r>
      <w:r w:rsidR="00CE103B" w:rsidRPr="00583219">
        <w:t>Management</w:t>
      </w:r>
      <w:r w:rsidR="00CE103B">
        <w:t xml:space="preserve">, </w:t>
      </w:r>
      <w:r w:rsidR="00CE103B" w:rsidRPr="00583219">
        <w:t>Reliability</w:t>
      </w:r>
      <w:r w:rsidRPr="00583219">
        <w:t xml:space="preserve"> Engineering and System Safety, 110040. https://doi.org/10.1016/j.ress.2024.110040.</w:t>
      </w:r>
    </w:p>
    <w:p w14:paraId="5149A88A" w14:textId="2E847CC5" w:rsidR="006B4888" w:rsidRDefault="005310FA" w:rsidP="00172C4C">
      <w:pPr>
        <w:pStyle w:val="CETReferencetext"/>
      </w:pPr>
      <w:r>
        <w:fldChar w:fldCharType="end"/>
      </w: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96D6" w14:textId="77777777" w:rsidR="00841A0D" w:rsidRDefault="00841A0D" w:rsidP="004F5E36">
      <w:r>
        <w:separator/>
      </w:r>
    </w:p>
  </w:endnote>
  <w:endnote w:type="continuationSeparator" w:id="0">
    <w:p w14:paraId="22C35768" w14:textId="77777777" w:rsidR="00841A0D" w:rsidRDefault="00841A0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28A7" w14:textId="77777777" w:rsidR="00841A0D" w:rsidRDefault="00841A0D" w:rsidP="004F5E36">
      <w:r>
        <w:separator/>
      </w:r>
    </w:p>
  </w:footnote>
  <w:footnote w:type="continuationSeparator" w:id="0">
    <w:p w14:paraId="18F911AF" w14:textId="77777777" w:rsidR="00841A0D" w:rsidRDefault="00841A0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268"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D94957"/>
    <w:multiLevelType w:val="hybridMultilevel"/>
    <w:tmpl w:val="8836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645430158">
    <w:abstractNumId w:val="10"/>
  </w:num>
  <w:num w:numId="24" w16cid:durableId="1404719069">
    <w:abstractNumId w:val="10"/>
  </w:num>
  <w:num w:numId="25" w16cid:durableId="555699834">
    <w:abstractNumId w:val="10"/>
  </w:num>
  <w:num w:numId="26" w16cid:durableId="1211918147">
    <w:abstractNumId w:val="10"/>
  </w:num>
  <w:num w:numId="27" w16cid:durableId="996231094">
    <w:abstractNumId w:val="10"/>
  </w:num>
  <w:num w:numId="28" w16cid:durableId="1294557137">
    <w:abstractNumId w:val="10"/>
  </w:num>
  <w:num w:numId="29" w16cid:durableId="1416364295">
    <w:abstractNumId w:val="10"/>
  </w:num>
  <w:num w:numId="30" w16cid:durableId="1893956816">
    <w:abstractNumId w:val="10"/>
  </w:num>
  <w:num w:numId="31" w16cid:durableId="1615867268">
    <w:abstractNumId w:val="10"/>
  </w:num>
  <w:num w:numId="32" w16cid:durableId="2099981486">
    <w:abstractNumId w:val="10"/>
  </w:num>
  <w:num w:numId="33" w16cid:durableId="1649898237">
    <w:abstractNumId w:val="10"/>
  </w:num>
  <w:num w:numId="34" w16cid:durableId="171382334">
    <w:abstractNumId w:val="10"/>
  </w:num>
  <w:num w:numId="35" w16cid:durableId="196745667">
    <w:abstractNumId w:val="21"/>
  </w:num>
  <w:num w:numId="36" w16cid:durableId="265970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61"/>
    <w:rsid w:val="000032B1"/>
    <w:rsid w:val="000052FB"/>
    <w:rsid w:val="0000639B"/>
    <w:rsid w:val="00010EB9"/>
    <w:rsid w:val="000110AE"/>
    <w:rsid w:val="000117CB"/>
    <w:rsid w:val="000150E0"/>
    <w:rsid w:val="0001684B"/>
    <w:rsid w:val="0002041C"/>
    <w:rsid w:val="00021CB2"/>
    <w:rsid w:val="000279D1"/>
    <w:rsid w:val="00030BAA"/>
    <w:rsid w:val="0003148D"/>
    <w:rsid w:val="00031EEC"/>
    <w:rsid w:val="0003452A"/>
    <w:rsid w:val="00034853"/>
    <w:rsid w:val="000360B2"/>
    <w:rsid w:val="00041191"/>
    <w:rsid w:val="000437A8"/>
    <w:rsid w:val="00044D2E"/>
    <w:rsid w:val="00051566"/>
    <w:rsid w:val="00051B6E"/>
    <w:rsid w:val="000529DD"/>
    <w:rsid w:val="000542BB"/>
    <w:rsid w:val="0005567E"/>
    <w:rsid w:val="000562A9"/>
    <w:rsid w:val="00060E6E"/>
    <w:rsid w:val="0006107A"/>
    <w:rsid w:val="00062A9A"/>
    <w:rsid w:val="00065058"/>
    <w:rsid w:val="000738C8"/>
    <w:rsid w:val="000764C7"/>
    <w:rsid w:val="00082154"/>
    <w:rsid w:val="00086C39"/>
    <w:rsid w:val="000A03B2"/>
    <w:rsid w:val="000A760F"/>
    <w:rsid w:val="000B2C23"/>
    <w:rsid w:val="000B5047"/>
    <w:rsid w:val="000C4A2D"/>
    <w:rsid w:val="000C5C87"/>
    <w:rsid w:val="000C5FA9"/>
    <w:rsid w:val="000D0268"/>
    <w:rsid w:val="000D34BE"/>
    <w:rsid w:val="000D7DBD"/>
    <w:rsid w:val="000E102F"/>
    <w:rsid w:val="000E2060"/>
    <w:rsid w:val="000E36F1"/>
    <w:rsid w:val="000E3A73"/>
    <w:rsid w:val="000E414A"/>
    <w:rsid w:val="000E7361"/>
    <w:rsid w:val="000F093C"/>
    <w:rsid w:val="000F787B"/>
    <w:rsid w:val="0010033B"/>
    <w:rsid w:val="00103986"/>
    <w:rsid w:val="00105467"/>
    <w:rsid w:val="001161CD"/>
    <w:rsid w:val="001167AC"/>
    <w:rsid w:val="0012091F"/>
    <w:rsid w:val="00126BC2"/>
    <w:rsid w:val="0012775E"/>
    <w:rsid w:val="001308B6"/>
    <w:rsid w:val="0013121F"/>
    <w:rsid w:val="00131FE6"/>
    <w:rsid w:val="0013263F"/>
    <w:rsid w:val="001331DF"/>
    <w:rsid w:val="00134DE4"/>
    <w:rsid w:val="0014034D"/>
    <w:rsid w:val="0014210D"/>
    <w:rsid w:val="00144D16"/>
    <w:rsid w:val="00145295"/>
    <w:rsid w:val="0014668E"/>
    <w:rsid w:val="00150E59"/>
    <w:rsid w:val="00150E7B"/>
    <w:rsid w:val="001511C3"/>
    <w:rsid w:val="00152DE3"/>
    <w:rsid w:val="00156F74"/>
    <w:rsid w:val="00162217"/>
    <w:rsid w:val="00164CF9"/>
    <w:rsid w:val="001667A6"/>
    <w:rsid w:val="00170BEB"/>
    <w:rsid w:val="001710DA"/>
    <w:rsid w:val="00172C4C"/>
    <w:rsid w:val="001746DF"/>
    <w:rsid w:val="00184801"/>
    <w:rsid w:val="00184AD6"/>
    <w:rsid w:val="00186DF5"/>
    <w:rsid w:val="00186E8E"/>
    <w:rsid w:val="001875E5"/>
    <w:rsid w:val="00191864"/>
    <w:rsid w:val="001A0F41"/>
    <w:rsid w:val="001A4AF7"/>
    <w:rsid w:val="001A7E64"/>
    <w:rsid w:val="001A7F94"/>
    <w:rsid w:val="001B0349"/>
    <w:rsid w:val="001B0768"/>
    <w:rsid w:val="001B1E93"/>
    <w:rsid w:val="001B23EE"/>
    <w:rsid w:val="001B65C1"/>
    <w:rsid w:val="001B6764"/>
    <w:rsid w:val="001C40F0"/>
    <w:rsid w:val="001C415D"/>
    <w:rsid w:val="001C53AD"/>
    <w:rsid w:val="001C684B"/>
    <w:rsid w:val="001D07B5"/>
    <w:rsid w:val="001D0CFB"/>
    <w:rsid w:val="001D21AF"/>
    <w:rsid w:val="001D53FC"/>
    <w:rsid w:val="001F1EF5"/>
    <w:rsid w:val="001F42A5"/>
    <w:rsid w:val="001F665D"/>
    <w:rsid w:val="001F75D9"/>
    <w:rsid w:val="001F7B9D"/>
    <w:rsid w:val="00201C93"/>
    <w:rsid w:val="002032B7"/>
    <w:rsid w:val="002107A7"/>
    <w:rsid w:val="00214F8C"/>
    <w:rsid w:val="00217118"/>
    <w:rsid w:val="002224B4"/>
    <w:rsid w:val="00222D39"/>
    <w:rsid w:val="002246BA"/>
    <w:rsid w:val="00230E5C"/>
    <w:rsid w:val="00235625"/>
    <w:rsid w:val="002447EF"/>
    <w:rsid w:val="002475CC"/>
    <w:rsid w:val="00251550"/>
    <w:rsid w:val="00252C6B"/>
    <w:rsid w:val="002558D8"/>
    <w:rsid w:val="00263B05"/>
    <w:rsid w:val="00270272"/>
    <w:rsid w:val="00270417"/>
    <w:rsid w:val="0027221A"/>
    <w:rsid w:val="00272557"/>
    <w:rsid w:val="00275B61"/>
    <w:rsid w:val="00280FAF"/>
    <w:rsid w:val="00282656"/>
    <w:rsid w:val="00282DDD"/>
    <w:rsid w:val="00284A46"/>
    <w:rsid w:val="00284D16"/>
    <w:rsid w:val="00286D03"/>
    <w:rsid w:val="00296B83"/>
    <w:rsid w:val="002A2546"/>
    <w:rsid w:val="002A25C5"/>
    <w:rsid w:val="002A7514"/>
    <w:rsid w:val="002B4015"/>
    <w:rsid w:val="002B651A"/>
    <w:rsid w:val="002B78CE"/>
    <w:rsid w:val="002C014A"/>
    <w:rsid w:val="002C2704"/>
    <w:rsid w:val="002C2FB6"/>
    <w:rsid w:val="002C3E46"/>
    <w:rsid w:val="002C5829"/>
    <w:rsid w:val="002C7F1A"/>
    <w:rsid w:val="002D6858"/>
    <w:rsid w:val="002E0118"/>
    <w:rsid w:val="002E194E"/>
    <w:rsid w:val="002E2CA3"/>
    <w:rsid w:val="002E4CAD"/>
    <w:rsid w:val="002E5FA7"/>
    <w:rsid w:val="002E66B7"/>
    <w:rsid w:val="002F3309"/>
    <w:rsid w:val="002F42BB"/>
    <w:rsid w:val="003008CE"/>
    <w:rsid w:val="003009B7"/>
    <w:rsid w:val="00300E56"/>
    <w:rsid w:val="0030152C"/>
    <w:rsid w:val="003039E0"/>
    <w:rsid w:val="0030469C"/>
    <w:rsid w:val="00321CA6"/>
    <w:rsid w:val="00323763"/>
    <w:rsid w:val="00323C5F"/>
    <w:rsid w:val="003243AD"/>
    <w:rsid w:val="003325E7"/>
    <w:rsid w:val="00334C09"/>
    <w:rsid w:val="003355E6"/>
    <w:rsid w:val="00337059"/>
    <w:rsid w:val="00337320"/>
    <w:rsid w:val="00355E7C"/>
    <w:rsid w:val="00360D21"/>
    <w:rsid w:val="003723D4"/>
    <w:rsid w:val="003742F1"/>
    <w:rsid w:val="0037538A"/>
    <w:rsid w:val="003769AB"/>
    <w:rsid w:val="00381905"/>
    <w:rsid w:val="00384CC8"/>
    <w:rsid w:val="00384D78"/>
    <w:rsid w:val="003871FD"/>
    <w:rsid w:val="003956BC"/>
    <w:rsid w:val="00397C45"/>
    <w:rsid w:val="003A0CE8"/>
    <w:rsid w:val="003A1E30"/>
    <w:rsid w:val="003A2829"/>
    <w:rsid w:val="003A6FC6"/>
    <w:rsid w:val="003A7D1C"/>
    <w:rsid w:val="003B304B"/>
    <w:rsid w:val="003B3146"/>
    <w:rsid w:val="003D3E98"/>
    <w:rsid w:val="003E080D"/>
    <w:rsid w:val="003F015E"/>
    <w:rsid w:val="003F26FA"/>
    <w:rsid w:val="003F50EA"/>
    <w:rsid w:val="003F5815"/>
    <w:rsid w:val="003F67C4"/>
    <w:rsid w:val="00400414"/>
    <w:rsid w:val="0040135B"/>
    <w:rsid w:val="004026A4"/>
    <w:rsid w:val="00406D4C"/>
    <w:rsid w:val="0041446B"/>
    <w:rsid w:val="00414898"/>
    <w:rsid w:val="0041701F"/>
    <w:rsid w:val="004176D0"/>
    <w:rsid w:val="004222A8"/>
    <w:rsid w:val="004266A6"/>
    <w:rsid w:val="00431084"/>
    <w:rsid w:val="00431107"/>
    <w:rsid w:val="00436534"/>
    <w:rsid w:val="0043695C"/>
    <w:rsid w:val="0044071E"/>
    <w:rsid w:val="0044329C"/>
    <w:rsid w:val="004439E7"/>
    <w:rsid w:val="00445043"/>
    <w:rsid w:val="0045074E"/>
    <w:rsid w:val="004522B1"/>
    <w:rsid w:val="00453E24"/>
    <w:rsid w:val="004552A9"/>
    <w:rsid w:val="00457456"/>
    <w:rsid w:val="004577FE"/>
    <w:rsid w:val="00457B9C"/>
    <w:rsid w:val="0046164A"/>
    <w:rsid w:val="004628D2"/>
    <w:rsid w:val="00462DCD"/>
    <w:rsid w:val="004648AD"/>
    <w:rsid w:val="00466131"/>
    <w:rsid w:val="004703A9"/>
    <w:rsid w:val="004760DE"/>
    <w:rsid w:val="004761E9"/>
    <w:rsid w:val="004763D7"/>
    <w:rsid w:val="00476CDC"/>
    <w:rsid w:val="00481235"/>
    <w:rsid w:val="004838A4"/>
    <w:rsid w:val="004A004E"/>
    <w:rsid w:val="004A24CF"/>
    <w:rsid w:val="004A770E"/>
    <w:rsid w:val="004B5898"/>
    <w:rsid w:val="004C3D1D"/>
    <w:rsid w:val="004C3D84"/>
    <w:rsid w:val="004C7913"/>
    <w:rsid w:val="004D4FEE"/>
    <w:rsid w:val="004D6CD3"/>
    <w:rsid w:val="004E1B8A"/>
    <w:rsid w:val="004E4DD6"/>
    <w:rsid w:val="004E6959"/>
    <w:rsid w:val="004F1DE9"/>
    <w:rsid w:val="004F5E36"/>
    <w:rsid w:val="00507B47"/>
    <w:rsid w:val="00507BEF"/>
    <w:rsid w:val="00507CC9"/>
    <w:rsid w:val="00510842"/>
    <w:rsid w:val="005119A5"/>
    <w:rsid w:val="0051240B"/>
    <w:rsid w:val="00516AAC"/>
    <w:rsid w:val="00521025"/>
    <w:rsid w:val="00525D16"/>
    <w:rsid w:val="005278B7"/>
    <w:rsid w:val="005310FA"/>
    <w:rsid w:val="00532016"/>
    <w:rsid w:val="005346C8"/>
    <w:rsid w:val="00537BA0"/>
    <w:rsid w:val="00542087"/>
    <w:rsid w:val="00543E7D"/>
    <w:rsid w:val="00547A68"/>
    <w:rsid w:val="00550E59"/>
    <w:rsid w:val="005531C9"/>
    <w:rsid w:val="0055678C"/>
    <w:rsid w:val="00557375"/>
    <w:rsid w:val="005634C1"/>
    <w:rsid w:val="005668A9"/>
    <w:rsid w:val="00570511"/>
    <w:rsid w:val="00570C43"/>
    <w:rsid w:val="005710E9"/>
    <w:rsid w:val="0058217A"/>
    <w:rsid w:val="00583219"/>
    <w:rsid w:val="00586859"/>
    <w:rsid w:val="00587918"/>
    <w:rsid w:val="005925E7"/>
    <w:rsid w:val="005A007E"/>
    <w:rsid w:val="005B2110"/>
    <w:rsid w:val="005B61E6"/>
    <w:rsid w:val="005C6584"/>
    <w:rsid w:val="005C77E1"/>
    <w:rsid w:val="005D255B"/>
    <w:rsid w:val="005D530E"/>
    <w:rsid w:val="005D668A"/>
    <w:rsid w:val="005D6793"/>
    <w:rsid w:val="005D6A2F"/>
    <w:rsid w:val="005E1A82"/>
    <w:rsid w:val="005E373A"/>
    <w:rsid w:val="005E794C"/>
    <w:rsid w:val="005F0A28"/>
    <w:rsid w:val="005F0E5E"/>
    <w:rsid w:val="00600535"/>
    <w:rsid w:val="00603A62"/>
    <w:rsid w:val="0061023C"/>
    <w:rsid w:val="00610CD6"/>
    <w:rsid w:val="00614294"/>
    <w:rsid w:val="00617E42"/>
    <w:rsid w:val="006206D1"/>
    <w:rsid w:val="00620DEE"/>
    <w:rsid w:val="00621F92"/>
    <w:rsid w:val="0062280A"/>
    <w:rsid w:val="00624871"/>
    <w:rsid w:val="006251B4"/>
    <w:rsid w:val="00625639"/>
    <w:rsid w:val="00630ABF"/>
    <w:rsid w:val="00631B33"/>
    <w:rsid w:val="0064184D"/>
    <w:rsid w:val="006422CC"/>
    <w:rsid w:val="00642F58"/>
    <w:rsid w:val="00644993"/>
    <w:rsid w:val="006503B3"/>
    <w:rsid w:val="00653CBA"/>
    <w:rsid w:val="006545F6"/>
    <w:rsid w:val="00656DF1"/>
    <w:rsid w:val="00660E3E"/>
    <w:rsid w:val="00662B2C"/>
    <w:rsid w:val="00662E74"/>
    <w:rsid w:val="0066355E"/>
    <w:rsid w:val="00680C23"/>
    <w:rsid w:val="00693766"/>
    <w:rsid w:val="00694262"/>
    <w:rsid w:val="0069634C"/>
    <w:rsid w:val="006A23E9"/>
    <w:rsid w:val="006A3281"/>
    <w:rsid w:val="006B117A"/>
    <w:rsid w:val="006B3F4A"/>
    <w:rsid w:val="006B4888"/>
    <w:rsid w:val="006C2E45"/>
    <w:rsid w:val="006C3215"/>
    <w:rsid w:val="006C359C"/>
    <w:rsid w:val="006C4F0E"/>
    <w:rsid w:val="006C5579"/>
    <w:rsid w:val="006C6193"/>
    <w:rsid w:val="006D6E8B"/>
    <w:rsid w:val="006D7959"/>
    <w:rsid w:val="006E737D"/>
    <w:rsid w:val="006F1EB6"/>
    <w:rsid w:val="006F462B"/>
    <w:rsid w:val="00704C78"/>
    <w:rsid w:val="00704D2D"/>
    <w:rsid w:val="00704FCF"/>
    <w:rsid w:val="00706BE5"/>
    <w:rsid w:val="00706CA4"/>
    <w:rsid w:val="00706F80"/>
    <w:rsid w:val="00711A6A"/>
    <w:rsid w:val="00711DD2"/>
    <w:rsid w:val="00713973"/>
    <w:rsid w:val="00720A24"/>
    <w:rsid w:val="00720C8A"/>
    <w:rsid w:val="00732386"/>
    <w:rsid w:val="0073514D"/>
    <w:rsid w:val="00737A53"/>
    <w:rsid w:val="00741C2A"/>
    <w:rsid w:val="00741FA5"/>
    <w:rsid w:val="00741FEA"/>
    <w:rsid w:val="007431D5"/>
    <w:rsid w:val="007447F3"/>
    <w:rsid w:val="00745AF7"/>
    <w:rsid w:val="0075499F"/>
    <w:rsid w:val="00756761"/>
    <w:rsid w:val="0076296E"/>
    <w:rsid w:val="00762CE4"/>
    <w:rsid w:val="007654DF"/>
    <w:rsid w:val="0076611F"/>
    <w:rsid w:val="007661C8"/>
    <w:rsid w:val="0076696D"/>
    <w:rsid w:val="0077098D"/>
    <w:rsid w:val="00771A19"/>
    <w:rsid w:val="00773B75"/>
    <w:rsid w:val="00781663"/>
    <w:rsid w:val="007931FA"/>
    <w:rsid w:val="007978CC"/>
    <w:rsid w:val="00797C5E"/>
    <w:rsid w:val="007A4861"/>
    <w:rsid w:val="007A6539"/>
    <w:rsid w:val="007A7BBA"/>
    <w:rsid w:val="007B0C50"/>
    <w:rsid w:val="007B48F9"/>
    <w:rsid w:val="007B6D35"/>
    <w:rsid w:val="007C0738"/>
    <w:rsid w:val="007C19FA"/>
    <w:rsid w:val="007C1A43"/>
    <w:rsid w:val="007C578A"/>
    <w:rsid w:val="007C7616"/>
    <w:rsid w:val="007D0951"/>
    <w:rsid w:val="007D5608"/>
    <w:rsid w:val="007D67A0"/>
    <w:rsid w:val="007E3578"/>
    <w:rsid w:val="007F5E29"/>
    <w:rsid w:val="007F756D"/>
    <w:rsid w:val="0080013E"/>
    <w:rsid w:val="00813288"/>
    <w:rsid w:val="00813AC3"/>
    <w:rsid w:val="008168FC"/>
    <w:rsid w:val="00816A49"/>
    <w:rsid w:val="00824548"/>
    <w:rsid w:val="00830996"/>
    <w:rsid w:val="00833AB8"/>
    <w:rsid w:val="008345F1"/>
    <w:rsid w:val="00837565"/>
    <w:rsid w:val="00841A0D"/>
    <w:rsid w:val="00842344"/>
    <w:rsid w:val="00843EAC"/>
    <w:rsid w:val="008440EB"/>
    <w:rsid w:val="00844CE7"/>
    <w:rsid w:val="00852735"/>
    <w:rsid w:val="00857C2C"/>
    <w:rsid w:val="00862E62"/>
    <w:rsid w:val="00865B07"/>
    <w:rsid w:val="008667EA"/>
    <w:rsid w:val="008742B3"/>
    <w:rsid w:val="0087637F"/>
    <w:rsid w:val="00880C92"/>
    <w:rsid w:val="0088743E"/>
    <w:rsid w:val="00892AD5"/>
    <w:rsid w:val="00894704"/>
    <w:rsid w:val="008968D8"/>
    <w:rsid w:val="008A1512"/>
    <w:rsid w:val="008A4E1E"/>
    <w:rsid w:val="008A6467"/>
    <w:rsid w:val="008B1A7A"/>
    <w:rsid w:val="008B5040"/>
    <w:rsid w:val="008B7C03"/>
    <w:rsid w:val="008C0001"/>
    <w:rsid w:val="008C2972"/>
    <w:rsid w:val="008C29A7"/>
    <w:rsid w:val="008C42F9"/>
    <w:rsid w:val="008D0589"/>
    <w:rsid w:val="008D1E89"/>
    <w:rsid w:val="008D263F"/>
    <w:rsid w:val="008D32B9"/>
    <w:rsid w:val="008D433B"/>
    <w:rsid w:val="008D4A16"/>
    <w:rsid w:val="008D6C6A"/>
    <w:rsid w:val="008E1543"/>
    <w:rsid w:val="008E566E"/>
    <w:rsid w:val="008F22BB"/>
    <w:rsid w:val="008F7067"/>
    <w:rsid w:val="0090161A"/>
    <w:rsid w:val="00901EB6"/>
    <w:rsid w:val="00902EDA"/>
    <w:rsid w:val="00904C62"/>
    <w:rsid w:val="00906CC3"/>
    <w:rsid w:val="009214C1"/>
    <w:rsid w:val="009229E1"/>
    <w:rsid w:val="00922BA8"/>
    <w:rsid w:val="00924AFE"/>
    <w:rsid w:val="00924DAC"/>
    <w:rsid w:val="00927058"/>
    <w:rsid w:val="00942750"/>
    <w:rsid w:val="009450CE"/>
    <w:rsid w:val="00945668"/>
    <w:rsid w:val="009459BB"/>
    <w:rsid w:val="009459CA"/>
    <w:rsid w:val="00947179"/>
    <w:rsid w:val="0095164B"/>
    <w:rsid w:val="00954090"/>
    <w:rsid w:val="00954A0B"/>
    <w:rsid w:val="00954FBF"/>
    <w:rsid w:val="009573E7"/>
    <w:rsid w:val="00957EC3"/>
    <w:rsid w:val="0096178A"/>
    <w:rsid w:val="00963E05"/>
    <w:rsid w:val="00963E5D"/>
    <w:rsid w:val="00963E89"/>
    <w:rsid w:val="00964A45"/>
    <w:rsid w:val="00965219"/>
    <w:rsid w:val="00967843"/>
    <w:rsid w:val="00967BA2"/>
    <w:rsid w:val="00967D54"/>
    <w:rsid w:val="00971028"/>
    <w:rsid w:val="00973EC3"/>
    <w:rsid w:val="00980192"/>
    <w:rsid w:val="00993B84"/>
    <w:rsid w:val="009940EF"/>
    <w:rsid w:val="00996483"/>
    <w:rsid w:val="00996F5A"/>
    <w:rsid w:val="00997AFE"/>
    <w:rsid w:val="009A022C"/>
    <w:rsid w:val="009A5887"/>
    <w:rsid w:val="009B041A"/>
    <w:rsid w:val="009B49E7"/>
    <w:rsid w:val="009C0638"/>
    <w:rsid w:val="009C37C3"/>
    <w:rsid w:val="009C7C86"/>
    <w:rsid w:val="009D2A68"/>
    <w:rsid w:val="009D2FF7"/>
    <w:rsid w:val="009E7884"/>
    <w:rsid w:val="009E788A"/>
    <w:rsid w:val="009F0E08"/>
    <w:rsid w:val="009F13D8"/>
    <w:rsid w:val="009F2455"/>
    <w:rsid w:val="009F3E12"/>
    <w:rsid w:val="00A04D54"/>
    <w:rsid w:val="00A147B3"/>
    <w:rsid w:val="00A1763D"/>
    <w:rsid w:val="00A17CEC"/>
    <w:rsid w:val="00A21B0A"/>
    <w:rsid w:val="00A22174"/>
    <w:rsid w:val="00A23865"/>
    <w:rsid w:val="00A25805"/>
    <w:rsid w:val="00A27EC2"/>
    <w:rsid w:val="00A27EF0"/>
    <w:rsid w:val="00A313C2"/>
    <w:rsid w:val="00A31EA2"/>
    <w:rsid w:val="00A3662B"/>
    <w:rsid w:val="00A42361"/>
    <w:rsid w:val="00A508F4"/>
    <w:rsid w:val="00A50B20"/>
    <w:rsid w:val="00A51390"/>
    <w:rsid w:val="00A532D3"/>
    <w:rsid w:val="00A53418"/>
    <w:rsid w:val="00A556E1"/>
    <w:rsid w:val="00A60D13"/>
    <w:rsid w:val="00A702AA"/>
    <w:rsid w:val="00A7223D"/>
    <w:rsid w:val="00A72745"/>
    <w:rsid w:val="00A72835"/>
    <w:rsid w:val="00A73B58"/>
    <w:rsid w:val="00A744B3"/>
    <w:rsid w:val="00A76EFC"/>
    <w:rsid w:val="00A87D50"/>
    <w:rsid w:val="00A9065C"/>
    <w:rsid w:val="00A91009"/>
    <w:rsid w:val="00A91010"/>
    <w:rsid w:val="00A92482"/>
    <w:rsid w:val="00A957E1"/>
    <w:rsid w:val="00A95878"/>
    <w:rsid w:val="00A97F29"/>
    <w:rsid w:val="00AA14F1"/>
    <w:rsid w:val="00AA186D"/>
    <w:rsid w:val="00AA21CC"/>
    <w:rsid w:val="00AA702E"/>
    <w:rsid w:val="00AA7044"/>
    <w:rsid w:val="00AA7D26"/>
    <w:rsid w:val="00AB0964"/>
    <w:rsid w:val="00AB5011"/>
    <w:rsid w:val="00AC1418"/>
    <w:rsid w:val="00AC7368"/>
    <w:rsid w:val="00AD16B9"/>
    <w:rsid w:val="00AE377D"/>
    <w:rsid w:val="00AF0EBA"/>
    <w:rsid w:val="00AF2327"/>
    <w:rsid w:val="00AF386C"/>
    <w:rsid w:val="00AF4409"/>
    <w:rsid w:val="00AF748A"/>
    <w:rsid w:val="00B02C8A"/>
    <w:rsid w:val="00B076AB"/>
    <w:rsid w:val="00B115FE"/>
    <w:rsid w:val="00B15EBF"/>
    <w:rsid w:val="00B16C68"/>
    <w:rsid w:val="00B17FBD"/>
    <w:rsid w:val="00B252EF"/>
    <w:rsid w:val="00B315A6"/>
    <w:rsid w:val="00B31813"/>
    <w:rsid w:val="00B31C65"/>
    <w:rsid w:val="00B33365"/>
    <w:rsid w:val="00B351FC"/>
    <w:rsid w:val="00B43CDA"/>
    <w:rsid w:val="00B45043"/>
    <w:rsid w:val="00B468A2"/>
    <w:rsid w:val="00B538B3"/>
    <w:rsid w:val="00B57B36"/>
    <w:rsid w:val="00B57E6F"/>
    <w:rsid w:val="00B62757"/>
    <w:rsid w:val="00B74C45"/>
    <w:rsid w:val="00B7711F"/>
    <w:rsid w:val="00B8686D"/>
    <w:rsid w:val="00B9291B"/>
    <w:rsid w:val="00B93F69"/>
    <w:rsid w:val="00BA1C1B"/>
    <w:rsid w:val="00BA46CC"/>
    <w:rsid w:val="00BB149F"/>
    <w:rsid w:val="00BB1DDC"/>
    <w:rsid w:val="00BB2E40"/>
    <w:rsid w:val="00BB54B9"/>
    <w:rsid w:val="00BB5D0D"/>
    <w:rsid w:val="00BB79AD"/>
    <w:rsid w:val="00BC30C9"/>
    <w:rsid w:val="00BD077D"/>
    <w:rsid w:val="00BD7DDF"/>
    <w:rsid w:val="00BD7E99"/>
    <w:rsid w:val="00BE0380"/>
    <w:rsid w:val="00BE3E58"/>
    <w:rsid w:val="00BE61F8"/>
    <w:rsid w:val="00BE7D16"/>
    <w:rsid w:val="00BF3D49"/>
    <w:rsid w:val="00BF5334"/>
    <w:rsid w:val="00BF726B"/>
    <w:rsid w:val="00C01616"/>
    <w:rsid w:val="00C0162B"/>
    <w:rsid w:val="00C068ED"/>
    <w:rsid w:val="00C1170E"/>
    <w:rsid w:val="00C1269A"/>
    <w:rsid w:val="00C13A86"/>
    <w:rsid w:val="00C22E0C"/>
    <w:rsid w:val="00C2418A"/>
    <w:rsid w:val="00C345B1"/>
    <w:rsid w:val="00C36C5D"/>
    <w:rsid w:val="00C37B34"/>
    <w:rsid w:val="00C40142"/>
    <w:rsid w:val="00C45391"/>
    <w:rsid w:val="00C469C0"/>
    <w:rsid w:val="00C52C3C"/>
    <w:rsid w:val="00C5443F"/>
    <w:rsid w:val="00C57182"/>
    <w:rsid w:val="00C57863"/>
    <w:rsid w:val="00C57F4C"/>
    <w:rsid w:val="00C625CA"/>
    <w:rsid w:val="00C6362B"/>
    <w:rsid w:val="00C640AF"/>
    <w:rsid w:val="00C655FD"/>
    <w:rsid w:val="00C664D6"/>
    <w:rsid w:val="00C66688"/>
    <w:rsid w:val="00C6798A"/>
    <w:rsid w:val="00C67A1F"/>
    <w:rsid w:val="00C75407"/>
    <w:rsid w:val="00C763BA"/>
    <w:rsid w:val="00C83AA1"/>
    <w:rsid w:val="00C84895"/>
    <w:rsid w:val="00C870A8"/>
    <w:rsid w:val="00C9250B"/>
    <w:rsid w:val="00C9287E"/>
    <w:rsid w:val="00C94434"/>
    <w:rsid w:val="00CA0D4A"/>
    <w:rsid w:val="00CA0D75"/>
    <w:rsid w:val="00CA1C95"/>
    <w:rsid w:val="00CA3768"/>
    <w:rsid w:val="00CA3BF1"/>
    <w:rsid w:val="00CA5A9C"/>
    <w:rsid w:val="00CB03B7"/>
    <w:rsid w:val="00CC4C20"/>
    <w:rsid w:val="00CD2CB9"/>
    <w:rsid w:val="00CD3517"/>
    <w:rsid w:val="00CD57A8"/>
    <w:rsid w:val="00CD5FE2"/>
    <w:rsid w:val="00CE103B"/>
    <w:rsid w:val="00CE3217"/>
    <w:rsid w:val="00CE7940"/>
    <w:rsid w:val="00CE7C68"/>
    <w:rsid w:val="00CF4985"/>
    <w:rsid w:val="00D02B4C"/>
    <w:rsid w:val="00D040C4"/>
    <w:rsid w:val="00D04BCE"/>
    <w:rsid w:val="00D05058"/>
    <w:rsid w:val="00D13E3A"/>
    <w:rsid w:val="00D141DF"/>
    <w:rsid w:val="00D14DE1"/>
    <w:rsid w:val="00D169D1"/>
    <w:rsid w:val="00D20AD1"/>
    <w:rsid w:val="00D239DE"/>
    <w:rsid w:val="00D325E4"/>
    <w:rsid w:val="00D36F53"/>
    <w:rsid w:val="00D41CF8"/>
    <w:rsid w:val="00D466EB"/>
    <w:rsid w:val="00D46B7E"/>
    <w:rsid w:val="00D57C84"/>
    <w:rsid w:val="00D6057D"/>
    <w:rsid w:val="00D648EC"/>
    <w:rsid w:val="00D71640"/>
    <w:rsid w:val="00D73607"/>
    <w:rsid w:val="00D836C5"/>
    <w:rsid w:val="00D84576"/>
    <w:rsid w:val="00D97BF1"/>
    <w:rsid w:val="00DA1399"/>
    <w:rsid w:val="00DA1517"/>
    <w:rsid w:val="00DA24C6"/>
    <w:rsid w:val="00DA4D7B"/>
    <w:rsid w:val="00DA53A8"/>
    <w:rsid w:val="00DA71DD"/>
    <w:rsid w:val="00DB1C90"/>
    <w:rsid w:val="00DB25E8"/>
    <w:rsid w:val="00DC30A3"/>
    <w:rsid w:val="00DC60AF"/>
    <w:rsid w:val="00DC6A48"/>
    <w:rsid w:val="00DC6B26"/>
    <w:rsid w:val="00DC7451"/>
    <w:rsid w:val="00DD271C"/>
    <w:rsid w:val="00DD5002"/>
    <w:rsid w:val="00DD51DD"/>
    <w:rsid w:val="00DE0561"/>
    <w:rsid w:val="00DE1547"/>
    <w:rsid w:val="00DE264A"/>
    <w:rsid w:val="00DF0329"/>
    <w:rsid w:val="00DF5072"/>
    <w:rsid w:val="00DF5969"/>
    <w:rsid w:val="00DF5F26"/>
    <w:rsid w:val="00E02D18"/>
    <w:rsid w:val="00E041E7"/>
    <w:rsid w:val="00E11F43"/>
    <w:rsid w:val="00E14398"/>
    <w:rsid w:val="00E20266"/>
    <w:rsid w:val="00E23AF4"/>
    <w:rsid w:val="00E23CA1"/>
    <w:rsid w:val="00E31C0D"/>
    <w:rsid w:val="00E322EC"/>
    <w:rsid w:val="00E33DD7"/>
    <w:rsid w:val="00E370BB"/>
    <w:rsid w:val="00E409A8"/>
    <w:rsid w:val="00E4279F"/>
    <w:rsid w:val="00E44218"/>
    <w:rsid w:val="00E45100"/>
    <w:rsid w:val="00E45A7B"/>
    <w:rsid w:val="00E472FD"/>
    <w:rsid w:val="00E50C12"/>
    <w:rsid w:val="00E5125D"/>
    <w:rsid w:val="00E5579A"/>
    <w:rsid w:val="00E650D3"/>
    <w:rsid w:val="00E65B91"/>
    <w:rsid w:val="00E70E8E"/>
    <w:rsid w:val="00E7209D"/>
    <w:rsid w:val="00E724DF"/>
    <w:rsid w:val="00E72EAD"/>
    <w:rsid w:val="00E77223"/>
    <w:rsid w:val="00E8528B"/>
    <w:rsid w:val="00E85B94"/>
    <w:rsid w:val="00E870B6"/>
    <w:rsid w:val="00E911E9"/>
    <w:rsid w:val="00E9133B"/>
    <w:rsid w:val="00E978D0"/>
    <w:rsid w:val="00EA4613"/>
    <w:rsid w:val="00EA6B6D"/>
    <w:rsid w:val="00EA71B4"/>
    <w:rsid w:val="00EA7F91"/>
    <w:rsid w:val="00EB09CE"/>
    <w:rsid w:val="00EB123F"/>
    <w:rsid w:val="00EB1523"/>
    <w:rsid w:val="00EB25C4"/>
    <w:rsid w:val="00EB2956"/>
    <w:rsid w:val="00EB3154"/>
    <w:rsid w:val="00EB7BAC"/>
    <w:rsid w:val="00EC0E49"/>
    <w:rsid w:val="00EC101F"/>
    <w:rsid w:val="00EC1D9F"/>
    <w:rsid w:val="00EE0131"/>
    <w:rsid w:val="00EE17B0"/>
    <w:rsid w:val="00EF06D9"/>
    <w:rsid w:val="00EF3EFA"/>
    <w:rsid w:val="00EF6579"/>
    <w:rsid w:val="00F05940"/>
    <w:rsid w:val="00F13E27"/>
    <w:rsid w:val="00F21D0C"/>
    <w:rsid w:val="00F3049E"/>
    <w:rsid w:val="00F30C64"/>
    <w:rsid w:val="00F32BA2"/>
    <w:rsid w:val="00F32CDB"/>
    <w:rsid w:val="00F35B18"/>
    <w:rsid w:val="00F41792"/>
    <w:rsid w:val="00F435FE"/>
    <w:rsid w:val="00F5651A"/>
    <w:rsid w:val="00F565FE"/>
    <w:rsid w:val="00F57E64"/>
    <w:rsid w:val="00F6117B"/>
    <w:rsid w:val="00F63A70"/>
    <w:rsid w:val="00F63D8C"/>
    <w:rsid w:val="00F728A6"/>
    <w:rsid w:val="00F745C4"/>
    <w:rsid w:val="00F7534E"/>
    <w:rsid w:val="00F7572F"/>
    <w:rsid w:val="00F77F48"/>
    <w:rsid w:val="00F82F06"/>
    <w:rsid w:val="00F85E87"/>
    <w:rsid w:val="00F907F8"/>
    <w:rsid w:val="00F9090E"/>
    <w:rsid w:val="00F93EDF"/>
    <w:rsid w:val="00F94F98"/>
    <w:rsid w:val="00F96658"/>
    <w:rsid w:val="00FA1802"/>
    <w:rsid w:val="00FA21D0"/>
    <w:rsid w:val="00FA5CB7"/>
    <w:rsid w:val="00FA5F5F"/>
    <w:rsid w:val="00FB730C"/>
    <w:rsid w:val="00FB7958"/>
    <w:rsid w:val="00FC0DBB"/>
    <w:rsid w:val="00FC2695"/>
    <w:rsid w:val="00FC3E03"/>
    <w:rsid w:val="00FC3FC1"/>
    <w:rsid w:val="00FD03E5"/>
    <w:rsid w:val="00FD2C66"/>
    <w:rsid w:val="00FD777C"/>
    <w:rsid w:val="00FE699A"/>
    <w:rsid w:val="00FE6EB6"/>
    <w:rsid w:val="00FF0E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EB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17597">
      <w:bodyDiv w:val="1"/>
      <w:marLeft w:val="0"/>
      <w:marRight w:val="0"/>
      <w:marTop w:val="0"/>
      <w:marBottom w:val="0"/>
      <w:divBdr>
        <w:top w:val="none" w:sz="0" w:space="0" w:color="auto"/>
        <w:left w:val="none" w:sz="0" w:space="0" w:color="auto"/>
        <w:bottom w:val="none" w:sz="0" w:space="0" w:color="auto"/>
        <w:right w:val="none" w:sz="0" w:space="0" w:color="auto"/>
      </w:divBdr>
    </w:div>
    <w:div w:id="7035599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DF6DA5-D90C-4DDD-9F96-718F70E0142D}">
  <we:reference id="f78a3046-9e99-4300-aa2b-5814002b01a2" version="1.55.1.0" store="EXCatalog" storeType="EXCatalog"/>
  <we:alternateReferences>
    <we:reference id="WA104382081" version="1.55.1.0" store="da-DK" storeType="OMEX"/>
  </we:alternateReferences>
  <we:properties>
    <we:property name="MENDELEY_CITATIONS" value="[]"/>
    <we:property name="MENDELEY_CITATIONS_LOCALE_CODE" value="&quot;en-US&quot;"/>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6377</Words>
  <Characters>37818</Characters>
  <Application>Microsoft Office Word</Application>
  <DocSecurity>0</DocSecurity>
  <Lines>640</Lines>
  <Paragraphs>269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Jing Wu</cp:lastModifiedBy>
  <cp:revision>7</cp:revision>
  <cp:lastPrinted>2024-09-05T08:50:00Z</cp:lastPrinted>
  <dcterms:created xsi:type="dcterms:W3CDTF">2025-02-28T15:43:00Z</dcterms:created>
  <dcterms:modified xsi:type="dcterms:W3CDTF">2025-02-28T16:04:00Z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a1bf518346139f3d10be68c372f6f9a7a7128c57b299c59a96eadf270ef3fb64</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http://www.zotero.org/styles/chemical-engineering-science</vt:lpwstr>
  </property>
  <property fmtid="{D5CDD505-2E9C-101B-9397-08002B2CF9AE}" pid="10" name="Mendeley Recent Style Name 2_1">
    <vt:lpwstr>Chemical Engineering Science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Citation Style_1">
    <vt:lpwstr>http://www.zotero.org/styles/chicago-author-date</vt:lpwstr>
  </property>
  <property fmtid="{D5CDD505-2E9C-101B-9397-08002B2CF9AE}" pid="27" name="Mendeley Unique User Id_1">
    <vt:lpwstr>e0a8cb89-c7a0-3142-bbc3-01979ed859c0</vt:lpwstr>
  </property>
</Properties>
</file>