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6D7EF7"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6D7EF7" w:rsidRDefault="000A03B2" w:rsidP="00DE264A">
            <w:pPr>
              <w:tabs>
                <w:tab w:val="left" w:pos="-108"/>
              </w:tabs>
              <w:ind w:left="-108"/>
              <w:jc w:val="left"/>
              <w:rPr>
                <w:rFonts w:cs="Arial"/>
                <w:b/>
                <w:bCs/>
                <w:i/>
                <w:iCs/>
                <w:color w:val="000066"/>
                <w:sz w:val="12"/>
                <w:szCs w:val="12"/>
                <w:lang w:eastAsia="it-IT"/>
              </w:rPr>
            </w:pPr>
            <w:r w:rsidRPr="006D7EF7">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6D7EF7">
              <w:rPr>
                <w:rFonts w:ascii="AdvP6960" w:hAnsi="AdvP6960" w:cs="AdvP6960"/>
                <w:color w:val="241F20"/>
                <w:szCs w:val="18"/>
                <w:lang w:eastAsia="it-IT"/>
              </w:rPr>
              <w:t xml:space="preserve"> </w:t>
            </w:r>
            <w:r w:rsidRPr="006D7EF7">
              <w:rPr>
                <w:rFonts w:cs="Arial"/>
                <w:b/>
                <w:bCs/>
                <w:i/>
                <w:iCs/>
                <w:color w:val="000066"/>
                <w:sz w:val="24"/>
                <w:szCs w:val="24"/>
                <w:lang w:eastAsia="it-IT"/>
              </w:rPr>
              <w:t>CHEMICAL ENGINEERING</w:t>
            </w:r>
            <w:r w:rsidRPr="006D7EF7">
              <w:rPr>
                <w:rFonts w:cs="Arial"/>
                <w:b/>
                <w:bCs/>
                <w:i/>
                <w:iCs/>
                <w:color w:val="0033FF"/>
                <w:sz w:val="24"/>
                <w:szCs w:val="24"/>
                <w:lang w:eastAsia="it-IT"/>
              </w:rPr>
              <w:t xml:space="preserve"> </w:t>
            </w:r>
            <w:r w:rsidRPr="006D7EF7">
              <w:rPr>
                <w:rFonts w:cs="Arial"/>
                <w:b/>
                <w:bCs/>
                <w:i/>
                <w:iCs/>
                <w:color w:val="666666"/>
                <w:sz w:val="24"/>
                <w:szCs w:val="24"/>
                <w:lang w:eastAsia="it-IT"/>
              </w:rPr>
              <w:t>TRANSACTIONS</w:t>
            </w:r>
            <w:r w:rsidRPr="006D7EF7">
              <w:rPr>
                <w:color w:val="333333"/>
                <w:sz w:val="24"/>
                <w:szCs w:val="24"/>
                <w:lang w:eastAsia="it-IT"/>
              </w:rPr>
              <w:t xml:space="preserve"> </w:t>
            </w:r>
            <w:r w:rsidRPr="006D7EF7">
              <w:rPr>
                <w:rFonts w:cs="Arial"/>
                <w:b/>
                <w:bCs/>
                <w:i/>
                <w:iCs/>
                <w:color w:val="000066"/>
                <w:sz w:val="27"/>
                <w:szCs w:val="27"/>
                <w:lang w:eastAsia="it-IT"/>
              </w:rPr>
              <w:br/>
            </w:r>
          </w:p>
          <w:p w14:paraId="4B780582" w14:textId="3E3A69C2" w:rsidR="000A03B2" w:rsidRPr="006D7EF7" w:rsidRDefault="00A76EFC" w:rsidP="00B57E6F">
            <w:pPr>
              <w:tabs>
                <w:tab w:val="left" w:pos="-108"/>
              </w:tabs>
              <w:ind w:left="-108"/>
              <w:rPr>
                <w:rFonts w:cs="Arial"/>
                <w:b/>
                <w:bCs/>
                <w:i/>
                <w:iCs/>
                <w:color w:val="000066"/>
                <w:sz w:val="22"/>
                <w:szCs w:val="22"/>
                <w:lang w:eastAsia="it-IT"/>
              </w:rPr>
            </w:pPr>
            <w:r w:rsidRPr="006D7EF7">
              <w:rPr>
                <w:rFonts w:cs="Arial"/>
                <w:b/>
                <w:bCs/>
                <w:i/>
                <w:iCs/>
                <w:color w:val="000066"/>
                <w:sz w:val="22"/>
                <w:szCs w:val="22"/>
                <w:lang w:eastAsia="it-IT"/>
              </w:rPr>
              <w:t xml:space="preserve">VOL. </w:t>
            </w:r>
            <w:r w:rsidR="00825DD9" w:rsidRPr="006D7EF7">
              <w:rPr>
                <w:rFonts w:cs="Arial"/>
                <w:b/>
                <w:bCs/>
                <w:i/>
                <w:iCs/>
                <w:color w:val="000066"/>
                <w:sz w:val="22"/>
                <w:szCs w:val="22"/>
                <w:lang w:eastAsia="it-IT"/>
              </w:rPr>
              <w:t>xxx</w:t>
            </w:r>
            <w:r w:rsidR="007B48F9" w:rsidRPr="006D7EF7">
              <w:rPr>
                <w:rFonts w:cs="Arial"/>
                <w:b/>
                <w:bCs/>
                <w:i/>
                <w:iCs/>
                <w:color w:val="000066"/>
                <w:sz w:val="22"/>
                <w:szCs w:val="22"/>
                <w:lang w:eastAsia="it-IT"/>
              </w:rPr>
              <w:t>,</w:t>
            </w:r>
            <w:r w:rsidR="00FA5F5F" w:rsidRPr="006D7EF7">
              <w:rPr>
                <w:rFonts w:cs="Arial"/>
                <w:b/>
                <w:bCs/>
                <w:i/>
                <w:iCs/>
                <w:color w:val="000066"/>
                <w:sz w:val="22"/>
                <w:szCs w:val="22"/>
                <w:lang w:eastAsia="it-IT"/>
              </w:rPr>
              <w:t xml:space="preserve"> 20</w:t>
            </w:r>
            <w:r w:rsidR="00DF5072" w:rsidRPr="006D7EF7">
              <w:rPr>
                <w:rFonts w:cs="Arial"/>
                <w:b/>
                <w:bCs/>
                <w:i/>
                <w:iCs/>
                <w:color w:val="000066"/>
                <w:sz w:val="22"/>
                <w:szCs w:val="22"/>
                <w:lang w:eastAsia="it-IT"/>
              </w:rPr>
              <w:t>2</w:t>
            </w:r>
            <w:r w:rsidR="00961BDA" w:rsidRPr="006D7EF7">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6D7EF7" w:rsidRDefault="000A03B2" w:rsidP="00CD5FE2">
            <w:pPr>
              <w:spacing w:line="140" w:lineRule="atLeast"/>
              <w:jc w:val="right"/>
              <w:rPr>
                <w:rFonts w:cs="Arial"/>
                <w:sz w:val="14"/>
                <w:szCs w:val="14"/>
              </w:rPr>
            </w:pPr>
            <w:r w:rsidRPr="006D7EF7">
              <w:rPr>
                <w:rFonts w:cs="Arial"/>
                <w:sz w:val="14"/>
                <w:szCs w:val="14"/>
              </w:rPr>
              <w:t>A publication of</w:t>
            </w:r>
          </w:p>
          <w:p w14:paraId="599E5441" w14:textId="77777777" w:rsidR="000A03B2" w:rsidRPr="006D7EF7" w:rsidRDefault="000A03B2" w:rsidP="00CD5FE2">
            <w:pPr>
              <w:jc w:val="right"/>
            </w:pPr>
            <w:r w:rsidRPr="006D7EF7">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773FE4" w14:paraId="380FA3CD" w14:textId="77777777" w:rsidTr="00DE264A">
        <w:trPr>
          <w:trHeight w:val="567"/>
          <w:jc w:val="center"/>
        </w:trPr>
        <w:tc>
          <w:tcPr>
            <w:tcW w:w="6946" w:type="dxa"/>
            <w:vMerge/>
            <w:tcBorders>
              <w:right w:val="single" w:sz="4" w:space="0" w:color="auto"/>
            </w:tcBorders>
          </w:tcPr>
          <w:p w14:paraId="39E5E4C1" w14:textId="77777777" w:rsidR="000A03B2" w:rsidRPr="006D7EF7"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6D7EF7" w:rsidRDefault="000A03B2" w:rsidP="00CD5FE2">
            <w:pPr>
              <w:spacing w:line="140" w:lineRule="atLeast"/>
              <w:jc w:val="right"/>
              <w:rPr>
                <w:rFonts w:cs="Arial"/>
                <w:sz w:val="14"/>
                <w:szCs w:val="14"/>
              </w:rPr>
            </w:pPr>
            <w:r w:rsidRPr="006D7EF7">
              <w:rPr>
                <w:rFonts w:cs="Arial"/>
                <w:sz w:val="14"/>
                <w:szCs w:val="14"/>
              </w:rPr>
              <w:t>The Italian Association</w:t>
            </w:r>
          </w:p>
          <w:p w14:paraId="7522B1D2" w14:textId="77777777" w:rsidR="000A03B2" w:rsidRPr="006D7EF7" w:rsidRDefault="000A03B2" w:rsidP="00CD5FE2">
            <w:pPr>
              <w:spacing w:line="140" w:lineRule="atLeast"/>
              <w:jc w:val="right"/>
              <w:rPr>
                <w:rFonts w:cs="Arial"/>
                <w:sz w:val="14"/>
                <w:szCs w:val="14"/>
              </w:rPr>
            </w:pPr>
            <w:r w:rsidRPr="006D7EF7">
              <w:rPr>
                <w:rFonts w:cs="Arial"/>
                <w:sz w:val="14"/>
                <w:szCs w:val="14"/>
              </w:rPr>
              <w:t>of Chemical Engineering</w:t>
            </w:r>
          </w:p>
          <w:p w14:paraId="4F0CC5DE" w14:textId="47FDB2FC" w:rsidR="000A03B2" w:rsidRPr="00273E53" w:rsidRDefault="000D0268" w:rsidP="00CD5FE2">
            <w:pPr>
              <w:spacing w:line="140" w:lineRule="atLeast"/>
              <w:jc w:val="right"/>
              <w:rPr>
                <w:rFonts w:cs="Arial"/>
                <w:sz w:val="13"/>
                <w:szCs w:val="13"/>
                <w:lang w:val="nb-NO"/>
              </w:rPr>
            </w:pPr>
            <w:r w:rsidRPr="00273E53">
              <w:rPr>
                <w:rFonts w:cs="Arial"/>
                <w:sz w:val="13"/>
                <w:szCs w:val="13"/>
                <w:lang w:val="nb-NO"/>
              </w:rPr>
              <w:t>Online at www.cetjournal.it</w:t>
            </w:r>
          </w:p>
        </w:tc>
      </w:tr>
      <w:tr w:rsidR="000A03B2" w:rsidRPr="006D7EF7" w14:paraId="2D1B7169" w14:textId="77777777" w:rsidTr="00DE264A">
        <w:trPr>
          <w:trHeight w:val="68"/>
          <w:jc w:val="center"/>
        </w:trPr>
        <w:tc>
          <w:tcPr>
            <w:tcW w:w="8789" w:type="dxa"/>
            <w:gridSpan w:val="2"/>
          </w:tcPr>
          <w:p w14:paraId="4B0BB442" w14:textId="55CD634B" w:rsidR="00300E56" w:rsidRPr="00273E53" w:rsidRDefault="00300E56" w:rsidP="00B57E6F">
            <w:pPr>
              <w:ind w:left="-107"/>
              <w:outlineLvl w:val="2"/>
              <w:rPr>
                <w:rFonts w:ascii="Tahoma" w:hAnsi="Tahoma" w:cs="Tahoma"/>
                <w:bCs/>
                <w:color w:val="000000"/>
                <w:sz w:val="14"/>
                <w:szCs w:val="14"/>
                <w:lang w:val="it-IT" w:eastAsia="it-IT"/>
              </w:rPr>
            </w:pPr>
            <w:r w:rsidRPr="00273E53">
              <w:rPr>
                <w:rFonts w:ascii="Tahoma" w:hAnsi="Tahoma" w:cs="Tahoma"/>
                <w:iCs/>
                <w:color w:val="333333"/>
                <w:sz w:val="14"/>
                <w:szCs w:val="14"/>
                <w:lang w:val="it-IT" w:eastAsia="it-IT"/>
              </w:rPr>
              <w:t>Guest Editors:</w:t>
            </w:r>
            <w:r w:rsidR="00904C62" w:rsidRPr="00273E53">
              <w:rPr>
                <w:rFonts w:ascii="Tahoma" w:hAnsi="Tahoma" w:cs="Tahoma"/>
                <w:iCs/>
                <w:color w:val="333333"/>
                <w:sz w:val="14"/>
                <w:szCs w:val="14"/>
                <w:lang w:val="it-IT" w:eastAsia="it-IT"/>
              </w:rPr>
              <w:t xml:space="preserve"> </w:t>
            </w:r>
            <w:r w:rsidR="00B57E6F" w:rsidRPr="00273E53">
              <w:rPr>
                <w:rFonts w:ascii="Tahoma" w:hAnsi="Tahoma" w:cs="Tahoma"/>
                <w:color w:val="000000"/>
                <w:sz w:val="14"/>
                <w:szCs w:val="14"/>
                <w:shd w:val="clear" w:color="auto" w:fill="FFFFFF"/>
                <w:lang w:val="it-IT"/>
              </w:rPr>
              <w:t xml:space="preserve">Valerio Cozzani, </w:t>
            </w:r>
            <w:r w:rsidR="001331DF" w:rsidRPr="00273E53">
              <w:rPr>
                <w:rFonts w:ascii="Tahoma" w:hAnsi="Tahoma" w:cs="Tahoma"/>
                <w:color w:val="000000"/>
                <w:sz w:val="14"/>
                <w:szCs w:val="14"/>
                <w:shd w:val="clear" w:color="auto" w:fill="FFFFFF"/>
                <w:lang w:val="it-IT"/>
              </w:rPr>
              <w:t>Bruno Fabiano</w:t>
            </w:r>
          </w:p>
          <w:p w14:paraId="1B0F1814" w14:textId="7E8B8C7E" w:rsidR="000A03B2" w:rsidRPr="006D7EF7" w:rsidRDefault="00FA5F5F" w:rsidP="00B57E6F">
            <w:pPr>
              <w:tabs>
                <w:tab w:val="left" w:pos="-108"/>
              </w:tabs>
              <w:spacing w:line="140" w:lineRule="atLeast"/>
              <w:ind w:left="-107"/>
              <w:jc w:val="left"/>
            </w:pPr>
            <w:r w:rsidRPr="006D7EF7">
              <w:rPr>
                <w:rFonts w:ascii="Tahoma" w:hAnsi="Tahoma" w:cs="Tahoma"/>
                <w:iCs/>
                <w:color w:val="333333"/>
                <w:sz w:val="14"/>
                <w:szCs w:val="14"/>
                <w:lang w:eastAsia="it-IT"/>
              </w:rPr>
              <w:t>Copyright © 20</w:t>
            </w:r>
            <w:r w:rsidR="00DF5072" w:rsidRPr="006D7EF7">
              <w:rPr>
                <w:rFonts w:ascii="Tahoma" w:hAnsi="Tahoma" w:cs="Tahoma"/>
                <w:iCs/>
                <w:color w:val="333333"/>
                <w:sz w:val="14"/>
                <w:szCs w:val="14"/>
                <w:lang w:eastAsia="it-IT"/>
              </w:rPr>
              <w:t>2</w:t>
            </w:r>
            <w:r w:rsidR="00825DD9" w:rsidRPr="006D7EF7">
              <w:rPr>
                <w:rFonts w:ascii="Tahoma" w:hAnsi="Tahoma" w:cs="Tahoma"/>
                <w:iCs/>
                <w:color w:val="333333"/>
                <w:sz w:val="14"/>
                <w:szCs w:val="14"/>
                <w:lang w:eastAsia="it-IT"/>
              </w:rPr>
              <w:t>4</w:t>
            </w:r>
            <w:r w:rsidR="00904C62" w:rsidRPr="006D7EF7">
              <w:rPr>
                <w:rFonts w:ascii="Tahoma" w:hAnsi="Tahoma" w:cs="Tahoma"/>
                <w:iCs/>
                <w:color w:val="333333"/>
                <w:sz w:val="14"/>
                <w:szCs w:val="14"/>
                <w:lang w:eastAsia="it-IT"/>
              </w:rPr>
              <w:t>, AIDIC Servizi S.r.l.</w:t>
            </w:r>
            <w:r w:rsidR="00300E56" w:rsidRPr="006D7EF7">
              <w:rPr>
                <w:rFonts w:ascii="Tahoma" w:hAnsi="Tahoma" w:cs="Tahoma"/>
                <w:iCs/>
                <w:color w:val="333333"/>
                <w:sz w:val="14"/>
                <w:szCs w:val="14"/>
                <w:lang w:eastAsia="it-IT"/>
              </w:rPr>
              <w:br/>
            </w:r>
            <w:r w:rsidR="00300E56" w:rsidRPr="006D7EF7">
              <w:rPr>
                <w:rFonts w:ascii="Tahoma" w:hAnsi="Tahoma" w:cs="Tahoma"/>
                <w:b/>
                <w:iCs/>
                <w:color w:val="000000"/>
                <w:sz w:val="14"/>
                <w:szCs w:val="14"/>
                <w:lang w:eastAsia="it-IT"/>
              </w:rPr>
              <w:t>ISBN</w:t>
            </w:r>
            <w:r w:rsidR="00300E56" w:rsidRPr="006D7EF7">
              <w:rPr>
                <w:rFonts w:ascii="Tahoma" w:hAnsi="Tahoma" w:cs="Tahoma"/>
                <w:iCs/>
                <w:color w:val="000000"/>
                <w:sz w:val="14"/>
                <w:szCs w:val="14"/>
                <w:lang w:eastAsia="it-IT"/>
              </w:rPr>
              <w:t xml:space="preserve"> </w:t>
            </w:r>
            <w:r w:rsidR="00825DD9" w:rsidRPr="006D7EF7">
              <w:rPr>
                <w:rFonts w:ascii="Tahoma" w:hAnsi="Tahoma" w:cs="Tahoma"/>
                <w:sz w:val="14"/>
                <w:szCs w:val="14"/>
                <w:lang w:eastAsia="it-IT"/>
              </w:rPr>
              <w:t>979-12-81206-11-3</w:t>
            </w:r>
            <w:r w:rsidR="007B48F9" w:rsidRPr="006D7EF7">
              <w:rPr>
                <w:rFonts w:ascii="Tahoma" w:hAnsi="Tahoma" w:cs="Tahoma"/>
                <w:iCs/>
                <w:color w:val="333333"/>
                <w:sz w:val="14"/>
                <w:szCs w:val="14"/>
                <w:lang w:eastAsia="it-IT"/>
              </w:rPr>
              <w:t>;</w:t>
            </w:r>
            <w:r w:rsidR="00300E56" w:rsidRPr="006D7EF7">
              <w:rPr>
                <w:rFonts w:ascii="Tahoma" w:hAnsi="Tahoma" w:cs="Tahoma"/>
                <w:iCs/>
                <w:color w:val="333333"/>
                <w:sz w:val="14"/>
                <w:szCs w:val="14"/>
                <w:lang w:eastAsia="it-IT"/>
              </w:rPr>
              <w:t xml:space="preserve"> </w:t>
            </w:r>
            <w:r w:rsidR="00300E56" w:rsidRPr="006D7EF7">
              <w:rPr>
                <w:rFonts w:ascii="Tahoma" w:hAnsi="Tahoma" w:cs="Tahoma"/>
                <w:b/>
                <w:iCs/>
                <w:color w:val="333333"/>
                <w:sz w:val="14"/>
                <w:szCs w:val="14"/>
                <w:lang w:eastAsia="it-IT"/>
              </w:rPr>
              <w:t>ISSN</w:t>
            </w:r>
            <w:r w:rsidR="00300E56" w:rsidRPr="006D7EF7">
              <w:rPr>
                <w:rFonts w:ascii="Tahoma" w:hAnsi="Tahoma" w:cs="Tahoma"/>
                <w:iCs/>
                <w:color w:val="333333"/>
                <w:sz w:val="14"/>
                <w:szCs w:val="14"/>
                <w:lang w:eastAsia="it-IT"/>
              </w:rPr>
              <w:t xml:space="preserve"> 2283-9216</w:t>
            </w:r>
          </w:p>
        </w:tc>
      </w:tr>
    </w:tbl>
    <w:p w14:paraId="10DAA130" w14:textId="77777777" w:rsidR="000A03B2" w:rsidRPr="006D7EF7" w:rsidRDefault="000A03B2" w:rsidP="000A03B2">
      <w:pPr>
        <w:pStyle w:val="CETAuthors"/>
        <w:sectPr w:rsidR="000A03B2" w:rsidRPr="006D7EF7" w:rsidSect="00CD5FE2">
          <w:type w:val="continuous"/>
          <w:pgSz w:w="11906" w:h="16838" w:code="9"/>
          <w:pgMar w:top="1701" w:right="1418" w:bottom="1701" w:left="1701" w:header="1701" w:footer="0" w:gutter="0"/>
          <w:cols w:space="708"/>
          <w:titlePg/>
          <w:docGrid w:linePitch="360"/>
        </w:sectPr>
      </w:pPr>
    </w:p>
    <w:p w14:paraId="2E667253" w14:textId="24475630" w:rsidR="00E978D0" w:rsidRPr="006D7EF7" w:rsidRDefault="00D25E01" w:rsidP="00665323">
      <w:pPr>
        <w:pStyle w:val="CETTitle"/>
      </w:pPr>
      <w:r w:rsidRPr="006D7EF7">
        <w:t>M</w:t>
      </w:r>
      <w:r w:rsidR="00E23176" w:rsidRPr="006D7EF7">
        <w:t>onitoring</w:t>
      </w:r>
      <w:r w:rsidRPr="006D7EF7">
        <w:t xml:space="preserve"> Optimisation of a Retrofitted </w:t>
      </w:r>
      <w:r w:rsidR="005940C6" w:rsidRPr="006D7EF7">
        <w:t xml:space="preserve">Hydrogen </w:t>
      </w:r>
      <w:r w:rsidRPr="006D7EF7">
        <w:t>Pipeline Using Markov State Model</w:t>
      </w:r>
    </w:p>
    <w:p w14:paraId="5DFD23F8" w14:textId="5A18DD64" w:rsidR="00CC4DFA" w:rsidRPr="00D41D65" w:rsidRDefault="00D41D65" w:rsidP="00CC4DFA">
      <w:pPr>
        <w:pStyle w:val="CETAuthors"/>
        <w:rPr>
          <w:lang w:val="it-IT"/>
        </w:rPr>
      </w:pPr>
      <w:r w:rsidRPr="00D41D65">
        <w:rPr>
          <w:lang w:val="it-IT"/>
        </w:rPr>
        <w:t>Giulia Collina</w:t>
      </w:r>
      <w:r>
        <w:rPr>
          <w:vertAlign w:val="superscript"/>
          <w:lang w:val="it-IT"/>
        </w:rPr>
        <w:t>a</w:t>
      </w:r>
      <w:r w:rsidR="001F7CAE">
        <w:rPr>
          <w:vertAlign w:val="superscript"/>
          <w:lang w:val="it-IT"/>
        </w:rPr>
        <w:t>,*</w:t>
      </w:r>
      <w:r w:rsidRPr="00D41D65">
        <w:rPr>
          <w:lang w:val="it-IT"/>
        </w:rPr>
        <w:t>, Alessandro Campari</w:t>
      </w:r>
      <w:r w:rsidRPr="00D41D65">
        <w:rPr>
          <w:vertAlign w:val="superscript"/>
          <w:lang w:val="it-IT"/>
        </w:rPr>
        <w:t>a</w:t>
      </w:r>
      <w:r>
        <w:rPr>
          <w:lang w:val="it-IT"/>
        </w:rPr>
        <w:t>, Jørn Vatn</w:t>
      </w:r>
      <w:r w:rsidRPr="00D41D65">
        <w:rPr>
          <w:vertAlign w:val="superscript"/>
          <w:lang w:val="it-IT"/>
        </w:rPr>
        <w:t>a</w:t>
      </w:r>
      <w:r w:rsidR="00DA140F" w:rsidRPr="00D41D65">
        <w:rPr>
          <w:lang w:val="it-IT"/>
        </w:rPr>
        <w:t xml:space="preserve">, </w:t>
      </w:r>
      <w:r w:rsidR="00DA140F">
        <w:rPr>
          <w:lang w:val="it-IT"/>
        </w:rPr>
        <w:t>Marta Bucelli</w:t>
      </w:r>
      <w:r w:rsidR="00DA140F" w:rsidRPr="00D41D65">
        <w:rPr>
          <w:vertAlign w:val="superscript"/>
          <w:lang w:val="it-IT"/>
        </w:rPr>
        <w:t>b</w:t>
      </w:r>
    </w:p>
    <w:p w14:paraId="5359CEB7" w14:textId="77777777" w:rsidR="00CC4DFA" w:rsidRPr="006D7EF7" w:rsidRDefault="00CC4DFA" w:rsidP="00CC4DFA">
      <w:pPr>
        <w:pStyle w:val="Default"/>
        <w:rPr>
          <w:rStyle w:val="CETAddressCarattere"/>
          <w:rFonts w:eastAsiaTheme="minorHAnsi"/>
        </w:rPr>
      </w:pPr>
      <w:r w:rsidRPr="006D7EF7">
        <w:rPr>
          <w:vertAlign w:val="superscript"/>
        </w:rPr>
        <w:t>a</w:t>
      </w:r>
      <w:r w:rsidRPr="006D7EF7">
        <w:t xml:space="preserve"> </w:t>
      </w:r>
      <w:r w:rsidRPr="006D7EF7">
        <w:rPr>
          <w:rStyle w:val="CETAddressCarattere"/>
          <w:rFonts w:eastAsiaTheme="minorHAnsi"/>
        </w:rPr>
        <w:t>Department of Mechanical and Industrial Engineering, Norwegian University of Science and Technology NTNU, Richard Birkelands vei 2B, 7034 Trondheim, Norway</w:t>
      </w:r>
    </w:p>
    <w:p w14:paraId="375C125B" w14:textId="55F36601" w:rsidR="00CC4DFA" w:rsidRPr="006D7EF7" w:rsidRDefault="00CC4DFA" w:rsidP="00CC4DFA">
      <w:pPr>
        <w:pStyle w:val="Default"/>
      </w:pPr>
      <w:r w:rsidRPr="006D7EF7">
        <w:rPr>
          <w:vertAlign w:val="superscript"/>
        </w:rPr>
        <w:t>b</w:t>
      </w:r>
      <w:r w:rsidRPr="006D7EF7">
        <w:rPr>
          <w:rStyle w:val="CETAddressCarattere"/>
          <w:rFonts w:eastAsiaTheme="minorHAnsi"/>
        </w:rPr>
        <w:t xml:space="preserve"> Department of Gas Technology, SINTEF Energy Research, Kolbjørn Hejes vei 1A, 7034 Trondheim, Norway</w:t>
      </w:r>
    </w:p>
    <w:p w14:paraId="6238F8A9" w14:textId="77777777" w:rsidR="00CC4DFA" w:rsidRPr="006D7EF7" w:rsidRDefault="00CC4DFA" w:rsidP="00CC4DFA">
      <w:pPr>
        <w:pStyle w:val="CETemail"/>
      </w:pPr>
      <w:r w:rsidRPr="006D7EF7">
        <w:t xml:space="preserve"> giulia.collina@ntnu.no </w:t>
      </w:r>
    </w:p>
    <w:p w14:paraId="46BBE011" w14:textId="145250E9" w:rsidR="002D0E56" w:rsidRPr="006D7EF7" w:rsidRDefault="002D0E56" w:rsidP="002D0E56">
      <w:pPr>
        <w:pStyle w:val="CETBodytext"/>
        <w:rPr>
          <w:lang w:val="en-GB"/>
        </w:rPr>
      </w:pPr>
      <w:r w:rsidRPr="006D7EF7">
        <w:rPr>
          <w:lang w:val="en-GB"/>
        </w:rPr>
        <w:t xml:space="preserve">The lower volumetric energy density of hydrogen compared to natural gas </w:t>
      </w:r>
      <w:r w:rsidR="008B00DF" w:rsidRPr="006D7EF7">
        <w:rPr>
          <w:lang w:val="en-GB"/>
        </w:rPr>
        <w:t>requires</w:t>
      </w:r>
      <w:r w:rsidRPr="006D7EF7">
        <w:rPr>
          <w:lang w:val="en-GB"/>
        </w:rPr>
        <w:t xml:space="preserve"> cost-effective transport solutions. Compressed hydrogen transport via pipelines has been considered the most economical for distances under 3000 km</w:t>
      </w:r>
      <w:r w:rsidR="00FB7E00" w:rsidRPr="006D7EF7">
        <w:rPr>
          <w:lang w:val="en-GB"/>
        </w:rPr>
        <w:t>.</w:t>
      </w:r>
      <w:r w:rsidRPr="006D7EF7">
        <w:rPr>
          <w:lang w:val="en-GB"/>
        </w:rPr>
        <w:t xml:space="preserve"> Retrofitting existing natural gas pipelines is </w:t>
      </w:r>
      <w:r w:rsidR="00AC72CA" w:rsidRPr="006D7EF7">
        <w:rPr>
          <w:lang w:val="en-GB"/>
        </w:rPr>
        <w:t>cruci</w:t>
      </w:r>
      <w:r w:rsidR="0077660C" w:rsidRPr="006D7EF7">
        <w:rPr>
          <w:lang w:val="en-GB"/>
        </w:rPr>
        <w:t>a</w:t>
      </w:r>
      <w:r w:rsidR="00AC72CA" w:rsidRPr="006D7EF7">
        <w:rPr>
          <w:lang w:val="en-GB"/>
        </w:rPr>
        <w:t>l</w:t>
      </w:r>
      <w:r w:rsidRPr="006D7EF7">
        <w:rPr>
          <w:lang w:val="en-GB"/>
        </w:rPr>
        <w:t xml:space="preserve"> for</w:t>
      </w:r>
      <w:r w:rsidR="0077660C" w:rsidRPr="006D7EF7">
        <w:rPr>
          <w:lang w:val="en-GB"/>
        </w:rPr>
        <w:t xml:space="preserve"> efficiently</w:t>
      </w:r>
      <w:r w:rsidRPr="006D7EF7">
        <w:rPr>
          <w:lang w:val="en-GB"/>
        </w:rPr>
        <w:t xml:space="preserve"> delivering hydrogen</w:t>
      </w:r>
      <w:r w:rsidR="006F7B97" w:rsidRPr="006D7EF7">
        <w:rPr>
          <w:lang w:val="en-GB"/>
        </w:rPr>
        <w:t> since it is expected to penetrate</w:t>
      </w:r>
      <w:r w:rsidR="00E04054" w:rsidRPr="006D7EF7">
        <w:rPr>
          <w:lang w:val="en-GB"/>
        </w:rPr>
        <w:t xml:space="preserve"> </w:t>
      </w:r>
      <w:r w:rsidR="006F7B97" w:rsidRPr="006D7EF7">
        <w:rPr>
          <w:lang w:val="en-GB"/>
        </w:rPr>
        <w:t>and decarbonize several sectors</w:t>
      </w:r>
      <w:r w:rsidR="00AC72CA" w:rsidRPr="006D7EF7">
        <w:rPr>
          <w:lang w:val="en-GB"/>
        </w:rPr>
        <w:t>. However</w:t>
      </w:r>
      <w:r w:rsidR="0012189C" w:rsidRPr="006D7EF7">
        <w:rPr>
          <w:lang w:val="en-GB"/>
        </w:rPr>
        <w:t>,</w:t>
      </w:r>
      <w:r w:rsidRPr="006D7EF7">
        <w:rPr>
          <w:lang w:val="en-GB"/>
        </w:rPr>
        <w:t xml:space="preserve"> </w:t>
      </w:r>
      <w:r w:rsidR="00E915EB" w:rsidRPr="006D7EF7">
        <w:rPr>
          <w:lang w:val="en-GB"/>
        </w:rPr>
        <w:t>its interaction with most metallic materials makes this approach challenging.</w:t>
      </w:r>
      <w:r w:rsidR="00FB7E00" w:rsidRPr="006D7EF7">
        <w:rPr>
          <w:lang w:val="en-GB"/>
        </w:rPr>
        <w:t xml:space="preserve"> Pipelines are often subject to cyclic loads due to pressure fluctuations, which can </w:t>
      </w:r>
      <w:r w:rsidR="00A9699A" w:rsidRPr="006D7EF7">
        <w:rPr>
          <w:lang w:val="en-GB"/>
        </w:rPr>
        <w:t xml:space="preserve">result in </w:t>
      </w:r>
      <w:r w:rsidR="00FB7E00" w:rsidRPr="006D7EF7">
        <w:rPr>
          <w:lang w:val="en-GB"/>
        </w:rPr>
        <w:t>accelerate</w:t>
      </w:r>
      <w:r w:rsidR="00A9699A" w:rsidRPr="006D7EF7">
        <w:rPr>
          <w:lang w:val="en-GB"/>
        </w:rPr>
        <w:t>d</w:t>
      </w:r>
      <w:r w:rsidR="00FB7E00" w:rsidRPr="006D7EF7">
        <w:rPr>
          <w:lang w:val="en-GB"/>
        </w:rPr>
        <w:t xml:space="preserve"> fatigue crack growth</w:t>
      </w:r>
      <w:r w:rsidR="00A9699A" w:rsidRPr="006D7EF7">
        <w:rPr>
          <w:lang w:val="en-GB"/>
        </w:rPr>
        <w:t xml:space="preserve"> in hydrogen environments. This enhanced degradation reduces the expected lifetime of the infrastructure</w:t>
      </w:r>
      <w:r w:rsidR="00FB7E00" w:rsidRPr="006D7EF7">
        <w:rPr>
          <w:lang w:val="en-GB"/>
        </w:rPr>
        <w:t>.</w:t>
      </w:r>
      <w:r w:rsidR="00A9699A" w:rsidRPr="006D7EF7">
        <w:rPr>
          <w:lang w:val="en-GB"/>
        </w:rPr>
        <w:t xml:space="preserve"> </w:t>
      </w:r>
      <w:r w:rsidRPr="006D7EF7">
        <w:rPr>
          <w:lang w:val="en-GB"/>
        </w:rPr>
        <w:t xml:space="preserve">Ensuring rigorous maintenance and inspection protocols is essential </w:t>
      </w:r>
      <w:r w:rsidR="00E04054" w:rsidRPr="006D7EF7">
        <w:rPr>
          <w:lang w:val="en-GB"/>
        </w:rPr>
        <w:t xml:space="preserve">to </w:t>
      </w:r>
      <w:r w:rsidR="00081698" w:rsidRPr="006D7EF7">
        <w:rPr>
          <w:lang w:val="en-GB"/>
        </w:rPr>
        <w:t xml:space="preserve">detect potential </w:t>
      </w:r>
      <w:r w:rsidR="00A9699A" w:rsidRPr="006D7EF7">
        <w:rPr>
          <w:lang w:val="en-GB"/>
        </w:rPr>
        <w:t xml:space="preserve">structural defects </w:t>
      </w:r>
      <w:r w:rsidR="00081698" w:rsidRPr="006D7EF7">
        <w:rPr>
          <w:lang w:val="en-GB"/>
        </w:rPr>
        <w:t>and prevent failures</w:t>
      </w:r>
      <w:r w:rsidRPr="006D7EF7">
        <w:rPr>
          <w:lang w:val="en-GB"/>
        </w:rPr>
        <w:t>.</w:t>
      </w:r>
      <w:r w:rsidR="00A9699A" w:rsidRPr="006D7EF7">
        <w:rPr>
          <w:lang w:val="en-GB"/>
        </w:rPr>
        <w:t xml:space="preserve"> </w:t>
      </w:r>
      <w:r w:rsidR="00E04054" w:rsidRPr="006D7EF7">
        <w:rPr>
          <w:lang w:val="en-GB"/>
        </w:rPr>
        <w:t>T</w:t>
      </w:r>
      <w:r w:rsidR="00081698" w:rsidRPr="006D7EF7">
        <w:rPr>
          <w:lang w:val="en-GB"/>
        </w:rPr>
        <w:t xml:space="preserve">his study </w:t>
      </w:r>
      <w:r w:rsidR="00B74F17" w:rsidRPr="006D7EF7">
        <w:rPr>
          <w:lang w:val="en-GB"/>
        </w:rPr>
        <w:t xml:space="preserve">investigates further </w:t>
      </w:r>
      <w:r w:rsidR="00081698" w:rsidRPr="006D7EF7">
        <w:rPr>
          <w:lang w:val="en-GB"/>
        </w:rPr>
        <w:t xml:space="preserve">the issue of retrofitting pipelines for hydrogen transportation. </w:t>
      </w:r>
      <w:r w:rsidR="00137689" w:rsidRPr="006D7EF7">
        <w:rPr>
          <w:lang w:val="en-GB"/>
        </w:rPr>
        <w:t>Combining</w:t>
      </w:r>
      <w:r w:rsidR="00F6394E" w:rsidRPr="006D7EF7">
        <w:rPr>
          <w:lang w:val="en-GB"/>
        </w:rPr>
        <w:t xml:space="preserve"> a physical model and the Markov state model, which helps</w:t>
      </w:r>
      <w:r w:rsidR="00137689" w:rsidRPr="006D7EF7">
        <w:rPr>
          <w:lang w:val="en-GB"/>
        </w:rPr>
        <w:t xml:space="preserve"> con</w:t>
      </w:r>
      <w:r w:rsidR="0032371B" w:rsidRPr="006D7EF7">
        <w:rPr>
          <w:lang w:val="en-GB"/>
        </w:rPr>
        <w:t>sid</w:t>
      </w:r>
      <w:r w:rsidR="00137689" w:rsidRPr="006D7EF7">
        <w:rPr>
          <w:lang w:val="en-GB"/>
        </w:rPr>
        <w:t>er the</w:t>
      </w:r>
      <w:r w:rsidR="0032371B" w:rsidRPr="006D7EF7">
        <w:rPr>
          <w:lang w:val="en-GB"/>
        </w:rPr>
        <w:t xml:space="preserve"> variab</w:t>
      </w:r>
      <w:r w:rsidR="00A9699A" w:rsidRPr="006D7EF7">
        <w:rPr>
          <w:lang w:val="en-GB"/>
        </w:rPr>
        <w:t>le and stochastic nature of the pressure fluctuations</w:t>
      </w:r>
      <w:r w:rsidR="00137689" w:rsidRPr="006D7EF7">
        <w:rPr>
          <w:lang w:val="en-GB"/>
        </w:rPr>
        <w:t xml:space="preserve">, </w:t>
      </w:r>
      <w:r w:rsidR="00A761DC" w:rsidRPr="006D7EF7">
        <w:rPr>
          <w:lang w:val="en-GB"/>
        </w:rPr>
        <w:t>provides an inspection and maintenance plan for a</w:t>
      </w:r>
      <w:r w:rsidR="0032371B" w:rsidRPr="006D7EF7">
        <w:rPr>
          <w:lang w:val="en-GB"/>
        </w:rPr>
        <w:t xml:space="preserve">n existing pipeline connecting Norway and </w:t>
      </w:r>
      <w:r w:rsidR="00A0398D">
        <w:rPr>
          <w:lang w:val="en-GB"/>
        </w:rPr>
        <w:t xml:space="preserve">the </w:t>
      </w:r>
      <w:r w:rsidR="0032371B" w:rsidRPr="006D7EF7">
        <w:rPr>
          <w:lang w:val="en-GB"/>
        </w:rPr>
        <w:t>U</w:t>
      </w:r>
      <w:r w:rsidR="003A62C6" w:rsidRPr="006D7EF7">
        <w:rPr>
          <w:lang w:val="en-GB"/>
        </w:rPr>
        <w:t xml:space="preserve">nited </w:t>
      </w:r>
      <w:r w:rsidR="0032371B" w:rsidRPr="006D7EF7">
        <w:rPr>
          <w:lang w:val="en-GB"/>
        </w:rPr>
        <w:t>K</w:t>
      </w:r>
      <w:r w:rsidR="003A62C6" w:rsidRPr="006D7EF7">
        <w:rPr>
          <w:lang w:val="en-GB"/>
        </w:rPr>
        <w:t>ingdom</w:t>
      </w:r>
      <w:r w:rsidR="00267C1A" w:rsidRPr="006D7EF7">
        <w:rPr>
          <w:lang w:val="en-GB"/>
        </w:rPr>
        <w:t>.</w:t>
      </w:r>
    </w:p>
    <w:p w14:paraId="476B2F2E" w14:textId="77777777" w:rsidR="00600535" w:rsidRPr="006D7EF7" w:rsidRDefault="00600535" w:rsidP="003D25A6">
      <w:pPr>
        <w:pStyle w:val="CETHeading1"/>
        <w:rPr>
          <w:lang w:val="en-GB"/>
        </w:rPr>
      </w:pPr>
      <w:r w:rsidRPr="006D7EF7">
        <w:rPr>
          <w:lang w:val="en-GB"/>
        </w:rPr>
        <w:t>Introduction</w:t>
      </w:r>
    </w:p>
    <w:p w14:paraId="5A694623" w14:textId="0F5F45C2" w:rsidR="00465855" w:rsidRPr="006D7EF7" w:rsidRDefault="00465855" w:rsidP="00465855">
      <w:pPr>
        <w:pStyle w:val="CETBodytext"/>
        <w:rPr>
          <w:lang w:val="en-GB"/>
        </w:rPr>
      </w:pPr>
      <w:r w:rsidRPr="006D7EF7">
        <w:rPr>
          <w:lang w:val="en-GB"/>
        </w:rPr>
        <w:t>The urgent need to mitigate climate change has stimulated significant interest in hydrogen (H</w:t>
      </w:r>
      <w:r w:rsidRPr="006D7EF7">
        <w:rPr>
          <w:vertAlign w:val="subscript"/>
          <w:lang w:val="en-GB"/>
        </w:rPr>
        <w:t>2</w:t>
      </w:r>
      <w:r w:rsidRPr="006D7EF7">
        <w:rPr>
          <w:lang w:val="en-GB"/>
        </w:rPr>
        <w:t>) and its potential as a versatile and clean energy carrier able to pivot the decarbonisation of different sectors, including transportation, industry, and power generation (IEA, 2021). Therefore, the emerging hydrogen supply chain requires building an infrastructure for hydrogen transmission. Nevertheless, the physiochemical properties of this energy carrier make its handling and transport extremely challenging. In fact, H</w:t>
      </w:r>
      <w:r w:rsidRPr="006D7EF7">
        <w:rPr>
          <w:vertAlign w:val="subscript"/>
          <w:lang w:val="en-GB"/>
        </w:rPr>
        <w:t>2</w:t>
      </w:r>
      <w:r w:rsidRPr="006D7EF7">
        <w:rPr>
          <w:lang w:val="en-GB"/>
        </w:rPr>
        <w:t xml:space="preserve"> has a very low density (0.089 kg/m</w:t>
      </w:r>
      <w:r w:rsidRPr="006D7EF7">
        <w:rPr>
          <w:vertAlign w:val="superscript"/>
          <w:lang w:val="en-GB"/>
        </w:rPr>
        <w:t>3</w:t>
      </w:r>
      <w:r w:rsidRPr="006D7EF7">
        <w:rPr>
          <w:lang w:val="en-GB"/>
        </w:rPr>
        <w:t xml:space="preserve">) and low boiling point (20.39 K), calling for critical transportation solutions (Guo et al., 2024). Hydrogen can be delivered to consumers either in compressed or liquefied form or through chemical carriers such as ammonia or liquid organic hydrogen carriers. For distances shorter than 3000 km, transporting compressed hydrogen via pipelines is considered the most cost-effective option (Ortiz et al., 2016). However, the experience with large-scale </w:t>
      </w:r>
      <w:r w:rsidR="00595757">
        <w:rPr>
          <w:lang w:val="en-GB"/>
        </w:rPr>
        <w:t xml:space="preserve">hydrogen </w:t>
      </w:r>
      <w:r w:rsidRPr="006D7EF7">
        <w:rPr>
          <w:lang w:val="en-GB"/>
        </w:rPr>
        <w:t>transport is limited</w:t>
      </w:r>
      <w:r w:rsidR="00595757">
        <w:rPr>
          <w:lang w:val="en-GB"/>
        </w:rPr>
        <w:t>,</w:t>
      </w:r>
      <w:r w:rsidRPr="006D7EF7">
        <w:rPr>
          <w:lang w:val="en-GB"/>
        </w:rPr>
        <w:t xml:space="preserve"> and constructing dedicated </w:t>
      </w:r>
      <w:r w:rsidRPr="0001253D">
        <w:rPr>
          <w:lang w:val="en-GB"/>
        </w:rPr>
        <w:t>new</w:t>
      </w:r>
      <w:r w:rsidRPr="006D7EF7">
        <w:rPr>
          <w:i/>
          <w:iCs/>
          <w:lang w:val="en-GB"/>
        </w:rPr>
        <w:t xml:space="preserve"> </w:t>
      </w:r>
      <w:r w:rsidRPr="006D7EF7">
        <w:rPr>
          <w:lang w:val="en-GB"/>
        </w:rPr>
        <w:t>pipelines is costly. Hence, the retrofit of the existing pipeline grid, originally designed for natural gas transportation, acquires interest. Besides its critical flammability properties (Guo et al</w:t>
      </w:r>
      <w:r w:rsidR="00A215B6">
        <w:rPr>
          <w:lang w:val="en-GB"/>
        </w:rPr>
        <w:t>.</w:t>
      </w:r>
      <w:r w:rsidRPr="006D7EF7">
        <w:rPr>
          <w:lang w:val="en-GB"/>
        </w:rPr>
        <w:t>, 2024), hydrogen can also permeate and embrittle metallic materials due to its small size (Abohamzeh et al., 2021), making the retrofit of existing infrastructures challeng</w:t>
      </w:r>
      <w:r w:rsidR="00D535A0">
        <w:rPr>
          <w:lang w:val="en-GB"/>
        </w:rPr>
        <w:t>ing</w:t>
      </w:r>
      <w:r w:rsidRPr="006D7EF7">
        <w:rPr>
          <w:lang w:val="en-GB"/>
        </w:rPr>
        <w:t>. A pipeline is frequently exposed to cyclic loads, which may result from pressure fluctuations due to variable hydrogen demand during the day (addressed through the line packing) and/or seabed movements in the case of subsea pipelines. Although not fully understood, the presence of hydrogen can decrease the threshold stress intensity factor (</w:t>
      </w:r>
      <m:oMath>
        <m:sSub>
          <m:sSubPr>
            <m:ctrlPr>
              <w:rPr>
                <w:rFonts w:ascii="Cambria Math" w:hAnsi="Cambria Math"/>
                <w:i/>
                <w:lang w:val="en-GB"/>
              </w:rPr>
            </m:ctrlPr>
          </m:sSubPr>
          <m:e>
            <m:r>
              <w:rPr>
                <w:rFonts w:ascii="Cambria Math" w:hAnsi="Cambria Math"/>
                <w:lang w:val="en-GB"/>
              </w:rPr>
              <m:t>ΔK</m:t>
            </m:r>
          </m:e>
          <m:sub>
            <m:r>
              <w:rPr>
                <w:rFonts w:ascii="Cambria Math" w:hAnsi="Cambria Math"/>
                <w:lang w:val="en-GB"/>
              </w:rPr>
              <m:t>th</m:t>
            </m:r>
          </m:sub>
        </m:sSub>
      </m:oMath>
      <w:r w:rsidRPr="006D7EF7">
        <w:rPr>
          <w:lang w:val="en-GB"/>
        </w:rPr>
        <w:t>), facilitating crack initiation and propagation and determining a shorter operational lifespan for the pipeline (Lipiäinen et al., 2023).</w:t>
      </w:r>
    </w:p>
    <w:p w14:paraId="4CF10761" w14:textId="6104D2F9" w:rsidR="00C472F5" w:rsidRPr="006D7EF7" w:rsidRDefault="00465855" w:rsidP="0001253D">
      <w:pPr>
        <w:pStyle w:val="CETBodytext"/>
        <w:rPr>
          <w:lang w:val="en-GB"/>
        </w:rPr>
      </w:pPr>
      <w:r w:rsidRPr="006D7EF7">
        <w:rPr>
          <w:lang w:val="en-GB"/>
        </w:rPr>
        <w:t xml:space="preserve">Given these challenges, the importance of rigorous maintenance and inspection protocols cannot be understated. Implementing advanced monitoring techniques and predictive maintenance strategies will be crucial in ensuring the safety and efficiency of hydrogen systems. A few studies on maintenance approaches for hydrogen services have been recently published, addressing the possibility of adopting Risk-Based </w:t>
      </w:r>
      <w:r w:rsidRPr="006D7EF7">
        <w:rPr>
          <w:lang w:val="en-GB"/>
        </w:rPr>
        <w:lastRenderedPageBreak/>
        <w:t xml:space="preserve">Maintenance approaches and highlighting the limitations and challenges (Campari et al., 2024), (Collina et al., 2024). Unlike previous research, this study proposes the application of a Markov State Model to optimise the maintenance and inspection planning for an existing pipeline connecting Norway and the United Kingdom. It is assumed </w:t>
      </w:r>
      <w:r w:rsidR="0087318C">
        <w:rPr>
          <w:lang w:val="en-GB"/>
        </w:rPr>
        <w:t xml:space="preserve">that </w:t>
      </w:r>
      <w:r w:rsidRPr="006D7EF7">
        <w:rPr>
          <w:lang w:val="en-GB"/>
        </w:rPr>
        <w:t>the pipeline</w:t>
      </w:r>
      <w:r w:rsidR="0087318C">
        <w:rPr>
          <w:lang w:val="en-GB"/>
        </w:rPr>
        <w:t xml:space="preserve"> will be used</w:t>
      </w:r>
      <w:r w:rsidRPr="006D7EF7">
        <w:rPr>
          <w:lang w:val="en-GB"/>
        </w:rPr>
        <w:t xml:space="preserve"> for hydrogen transport instead of natural gas. The main advantage of this methodology lies in combining a physical model with a stochastic approach. While the former is used to predict hydrogen-enhanced fatigue crack growth, the latter considers load variability and allows for optimizing pipeline monitoring under realistic operating conditions.</w:t>
      </w:r>
    </w:p>
    <w:p w14:paraId="688197CC" w14:textId="70C93ED9" w:rsidR="006A21C8" w:rsidRPr="006D7EF7" w:rsidRDefault="006A21C8" w:rsidP="003D25A6">
      <w:pPr>
        <w:pStyle w:val="CETHeading1"/>
        <w:numPr>
          <w:ilvl w:val="1"/>
          <w:numId w:val="23"/>
        </w:numPr>
        <w:rPr>
          <w:lang w:val="en-GB"/>
        </w:rPr>
      </w:pPr>
      <w:r w:rsidRPr="006D7EF7">
        <w:rPr>
          <w:lang w:val="en-GB"/>
        </w:rPr>
        <w:t>Methodology</w:t>
      </w:r>
    </w:p>
    <w:p w14:paraId="6E0F7FE4" w14:textId="7593E521" w:rsidR="00F721FA" w:rsidRPr="006D7EF7" w:rsidRDefault="006D1720" w:rsidP="00F721FA">
      <w:pPr>
        <w:pStyle w:val="CETBodytext"/>
        <w:rPr>
          <w:lang w:val="en-GB"/>
        </w:rPr>
      </w:pPr>
      <w:r w:rsidRPr="006D7EF7">
        <w:rPr>
          <w:highlight w:val="yellow"/>
          <w:lang w:val="en-GB"/>
        </w:rPr>
        <w:fldChar w:fldCharType="begin"/>
      </w:r>
      <w:r w:rsidRPr="006D7EF7">
        <w:rPr>
          <w:highlight w:val="yellow"/>
          <w:lang w:val="en-GB"/>
        </w:rPr>
        <w:instrText xml:space="preserve"> REF _Ref177639264 \h </w:instrText>
      </w:r>
      <w:r w:rsidRPr="006D7EF7">
        <w:rPr>
          <w:highlight w:val="yellow"/>
          <w:lang w:val="en-GB"/>
        </w:rPr>
      </w:r>
      <w:r w:rsidRPr="006D7EF7">
        <w:rPr>
          <w:highlight w:val="yellow"/>
          <w:lang w:val="en-GB"/>
        </w:rPr>
        <w:fldChar w:fldCharType="separate"/>
      </w:r>
      <w:r w:rsidR="00A54A01" w:rsidRPr="006D7EF7">
        <w:rPr>
          <w:lang w:val="en-GB"/>
        </w:rPr>
        <w:t xml:space="preserve">Figure </w:t>
      </w:r>
      <w:r w:rsidR="00A54A01" w:rsidRPr="006D7EF7">
        <w:rPr>
          <w:noProof/>
          <w:lang w:val="en-GB"/>
        </w:rPr>
        <w:t>1</w:t>
      </w:r>
      <w:r w:rsidRPr="006D7EF7">
        <w:rPr>
          <w:highlight w:val="yellow"/>
          <w:lang w:val="en-GB"/>
        </w:rPr>
        <w:fldChar w:fldCharType="end"/>
      </w:r>
      <w:r w:rsidRPr="006D7EF7">
        <w:rPr>
          <w:lang w:val="en-GB"/>
        </w:rPr>
        <w:t xml:space="preserve"> </w:t>
      </w:r>
      <w:r w:rsidR="00F721FA" w:rsidRPr="006D7EF7">
        <w:rPr>
          <w:lang w:val="en-GB"/>
        </w:rPr>
        <w:t xml:space="preserve">shows the procedure </w:t>
      </w:r>
      <w:r w:rsidR="00CD2BBF" w:rsidRPr="006D7EF7">
        <w:rPr>
          <w:lang w:val="en-GB"/>
        </w:rPr>
        <w:t>to develop a monitoring plan for a natural gas pipeline</w:t>
      </w:r>
      <w:r w:rsidR="007126F2" w:rsidRPr="006D7EF7">
        <w:rPr>
          <w:lang w:val="en-GB"/>
        </w:rPr>
        <w:t xml:space="preserve"> repurposed for hydrogen transport</w:t>
      </w:r>
      <w:r w:rsidR="00CD2BBF" w:rsidRPr="006D7EF7">
        <w:rPr>
          <w:lang w:val="en-GB"/>
        </w:rPr>
        <w:t>.</w:t>
      </w:r>
      <w:r w:rsidR="00F721FA" w:rsidRPr="006D7EF7">
        <w:rPr>
          <w:lang w:val="en-GB"/>
        </w:rPr>
        <w:t xml:space="preserve"> The characteristics of this pipeline are thoroughly analysed, </w:t>
      </w:r>
      <w:r w:rsidR="006E1802" w:rsidRPr="006D7EF7">
        <w:rPr>
          <w:lang w:val="en-GB"/>
        </w:rPr>
        <w:t xml:space="preserve">and </w:t>
      </w:r>
      <w:r w:rsidR="005C2F0B" w:rsidRPr="006D7EF7">
        <w:rPr>
          <w:lang w:val="en-GB"/>
        </w:rPr>
        <w:t>the data processed from a</w:t>
      </w:r>
      <w:r w:rsidR="006E1802" w:rsidRPr="006D7EF7">
        <w:rPr>
          <w:lang w:val="en-GB"/>
        </w:rPr>
        <w:t xml:space="preserve"> physical model </w:t>
      </w:r>
      <w:r w:rsidR="00F721FA" w:rsidRPr="006D7EF7">
        <w:rPr>
          <w:lang w:val="en-GB"/>
        </w:rPr>
        <w:t>feeds the Markov State Model, allowing m</w:t>
      </w:r>
      <w:r w:rsidR="007157A5" w:rsidRPr="006D7EF7">
        <w:rPr>
          <w:lang w:val="en-GB"/>
        </w:rPr>
        <w:t>onitoring</w:t>
      </w:r>
      <w:r w:rsidR="00F721FA" w:rsidRPr="006D7EF7">
        <w:rPr>
          <w:lang w:val="en-GB"/>
        </w:rPr>
        <w:t xml:space="preserve"> optimisation.</w:t>
      </w:r>
    </w:p>
    <w:p w14:paraId="5EFA1543" w14:textId="57B1DEFB" w:rsidR="006D1720" w:rsidRPr="006D7EF7" w:rsidRDefault="00A100B8" w:rsidP="009F0CEB">
      <w:pPr>
        <w:pStyle w:val="CETBodytextItalic"/>
        <w:spacing w:before="120"/>
        <w:rPr>
          <w:i w:val="0"/>
          <w:iCs/>
        </w:rPr>
      </w:pPr>
      <w:r w:rsidRPr="00A100B8">
        <w:rPr>
          <w:noProof/>
        </w:rPr>
        <w:drawing>
          <wp:inline distT="0" distB="0" distL="0" distR="0" wp14:anchorId="0CBD9133" wp14:editId="4A90D252">
            <wp:extent cx="5004012" cy="822960"/>
            <wp:effectExtent l="0" t="0" r="6350" b="0"/>
            <wp:docPr id="19840300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2817" b="1"/>
                    <a:stretch/>
                  </pic:blipFill>
                  <pic:spPr bwMode="auto">
                    <a:xfrm>
                      <a:off x="0" y="0"/>
                      <a:ext cx="5004012" cy="822960"/>
                    </a:xfrm>
                    <a:prstGeom prst="rect">
                      <a:avLst/>
                    </a:prstGeom>
                    <a:noFill/>
                    <a:ln>
                      <a:noFill/>
                    </a:ln>
                    <a:extLst>
                      <a:ext uri="{53640926-AAD7-44D8-BBD7-CCE9431645EC}">
                        <a14:shadowObscured xmlns:a14="http://schemas.microsoft.com/office/drawing/2010/main"/>
                      </a:ext>
                    </a:extLst>
                  </pic:spPr>
                </pic:pic>
              </a:graphicData>
            </a:graphic>
          </wp:inline>
        </w:drawing>
      </w:r>
    </w:p>
    <w:p w14:paraId="58790DE3" w14:textId="57B3E32F" w:rsidR="006D1720" w:rsidRPr="006D7EF7" w:rsidRDefault="006D1720" w:rsidP="00340506">
      <w:pPr>
        <w:pStyle w:val="CETCaption"/>
        <w:spacing w:before="0"/>
      </w:pPr>
      <w:bookmarkStart w:id="0" w:name="_Ref177639264"/>
      <w:bookmarkStart w:id="1" w:name="_Ref177639259"/>
      <w:r w:rsidRPr="006D7EF7">
        <w:t xml:space="preserve">Figure </w:t>
      </w:r>
      <w:r w:rsidRPr="006D7EF7">
        <w:fldChar w:fldCharType="begin"/>
      </w:r>
      <w:r w:rsidRPr="006D7EF7">
        <w:instrText xml:space="preserve"> SEQ Figure \* ARABIC </w:instrText>
      </w:r>
      <w:r w:rsidRPr="006D7EF7">
        <w:fldChar w:fldCharType="separate"/>
      </w:r>
      <w:r w:rsidR="00A54A01" w:rsidRPr="006D7EF7">
        <w:rPr>
          <w:noProof/>
        </w:rPr>
        <w:t>1</w:t>
      </w:r>
      <w:r w:rsidRPr="006D7EF7">
        <w:fldChar w:fldCharType="end"/>
      </w:r>
      <w:bookmarkEnd w:id="0"/>
      <w:r w:rsidRPr="006D7EF7">
        <w:t xml:space="preserve">: Methodology </w:t>
      </w:r>
      <w:r w:rsidR="008A2D73" w:rsidRPr="006D7EF7">
        <w:t>used in</w:t>
      </w:r>
      <w:r w:rsidRPr="006D7EF7">
        <w:t xml:space="preserve"> th</w:t>
      </w:r>
      <w:r w:rsidR="008A2D73" w:rsidRPr="006D7EF7">
        <w:t>is</w:t>
      </w:r>
      <w:r w:rsidRPr="006D7EF7">
        <w:t xml:space="preserve"> study</w:t>
      </w:r>
      <w:bookmarkEnd w:id="1"/>
      <w:r w:rsidR="000E698B" w:rsidRPr="006D7EF7">
        <w:t>.</w:t>
      </w:r>
    </w:p>
    <w:p w14:paraId="013A4091" w14:textId="13D67680" w:rsidR="006A21C8" w:rsidRPr="006D7EF7" w:rsidRDefault="006A21C8" w:rsidP="00132E7F">
      <w:pPr>
        <w:pStyle w:val="CETheadingx"/>
        <w:rPr>
          <w:lang w:val="en-GB"/>
        </w:rPr>
      </w:pPr>
      <w:r w:rsidRPr="006D7EF7">
        <w:rPr>
          <w:lang w:val="en-GB"/>
        </w:rPr>
        <w:t>Markov State Model</w:t>
      </w:r>
    </w:p>
    <w:p w14:paraId="4D90993F" w14:textId="27588DBC" w:rsidR="00CB0395" w:rsidRPr="006D7EF7" w:rsidRDefault="006B584A" w:rsidP="00255ADC">
      <w:r w:rsidRPr="006D7EF7">
        <w:t>A Markov model is a stochastic model using probabilities to predict the future states of a system based on its current state. In m</w:t>
      </w:r>
      <w:r w:rsidR="00AB3276" w:rsidRPr="006D7EF7">
        <w:t>onitoring</w:t>
      </w:r>
      <w:r w:rsidRPr="006D7EF7">
        <w:t xml:space="preserve"> optimisation, Markov models help decide when and how to perform </w:t>
      </w:r>
      <w:r w:rsidR="00AB3276" w:rsidRPr="006D7EF7">
        <w:t xml:space="preserve">inspection and </w:t>
      </w:r>
      <w:r w:rsidRPr="006D7EF7">
        <w:t xml:space="preserve">maintenance to minimise costs and maximise system reliability. This model is suitable for analysing systems having different states, from “perfect function” to </w:t>
      </w:r>
      <w:r w:rsidR="0064156F" w:rsidRPr="006D7EF7">
        <w:t>“</w:t>
      </w:r>
      <w:r w:rsidRPr="006D7EF7">
        <w:t>total fault</w:t>
      </w:r>
      <w:r w:rsidR="0064156F" w:rsidRPr="006D7EF7">
        <w:t>”</w:t>
      </w:r>
      <w:r w:rsidRPr="006D7EF7">
        <w:t xml:space="preserve"> state. </w:t>
      </w:r>
      <w:r w:rsidR="00F73E02" w:rsidRPr="006D7EF7">
        <w:t xml:space="preserve"> The key steps are: (1) definition of the number of states for the system, (2) identification of the transition rates (i.e., the probabilities of </w:t>
      </w:r>
      <w:r w:rsidR="00F956FF" w:rsidRPr="006D7EF7">
        <w:t>switching</w:t>
      </w:r>
      <w:r w:rsidR="00F73E02" w:rsidRPr="006D7EF7">
        <w:t xml:space="preserve"> from a specific state to another), (3) definition of the transition matrix and, (4) the simulation of the model, which allows understand</w:t>
      </w:r>
      <w:r w:rsidR="00923C69">
        <w:t>ing</w:t>
      </w:r>
      <w:r w:rsidR="00F73E02" w:rsidRPr="006D7EF7">
        <w:t xml:space="preserve"> the behaviour of the system over the time</w:t>
      </w:r>
      <w:r w:rsidR="00013DC1" w:rsidRPr="006D7EF7">
        <w:t xml:space="preserve"> </w:t>
      </w:r>
      <w:r w:rsidR="005F145B" w:rsidRPr="006D7EF7">
        <w:t xml:space="preserve">(Sun and Vatn, 2024), </w:t>
      </w:r>
      <w:r w:rsidR="00D25A0F" w:rsidRPr="006D7EF7">
        <w:t>(Kellen, 2007)</w:t>
      </w:r>
      <w:r w:rsidRPr="006D7EF7">
        <w:t>. Based on this result, a</w:t>
      </w:r>
      <w:r w:rsidR="00A9763E" w:rsidRPr="006D7EF7">
        <w:t xml:space="preserve"> </w:t>
      </w:r>
      <w:r w:rsidRPr="006D7EF7">
        <w:t>m</w:t>
      </w:r>
      <w:r w:rsidR="00A9763E" w:rsidRPr="006D7EF7">
        <w:t>onitoring</w:t>
      </w:r>
      <w:r w:rsidRPr="006D7EF7">
        <w:t xml:space="preserve"> plan is developed after defining the cost items.</w:t>
      </w:r>
    </w:p>
    <w:p w14:paraId="6C639BEB" w14:textId="6EB920A4" w:rsidR="003721AD" w:rsidRDefault="00D375F8" w:rsidP="00255ADC">
      <w:pPr>
        <w:rPr>
          <w:rFonts w:eastAsiaTheme="minorEastAsia"/>
        </w:rPr>
      </w:pPr>
      <w:r w:rsidRPr="006D7EF7">
        <w:fldChar w:fldCharType="begin"/>
      </w:r>
      <w:r w:rsidRPr="006D7EF7">
        <w:instrText xml:space="preserve"> REF _Ref179129905 \h </w:instrText>
      </w:r>
      <w:r w:rsidRPr="006D7EF7">
        <w:fldChar w:fldCharType="separate"/>
      </w:r>
      <w:r w:rsidR="00A54A01" w:rsidRPr="006D7EF7">
        <w:t xml:space="preserve">Figure </w:t>
      </w:r>
      <w:r w:rsidR="00A54A01" w:rsidRPr="006D7EF7">
        <w:rPr>
          <w:noProof/>
        </w:rPr>
        <w:t>2</w:t>
      </w:r>
      <w:r w:rsidRPr="006D7EF7">
        <w:fldChar w:fldCharType="end"/>
      </w:r>
      <w:r w:rsidRPr="006D7EF7">
        <w:t xml:space="preserve">a </w:t>
      </w:r>
      <w:r w:rsidR="006B584A" w:rsidRPr="006D7EF7">
        <w:t xml:space="preserve">shows the behaviour of the system as a function of time. The transition rate from state </w:t>
      </w:r>
      <m:oMath>
        <m:r>
          <w:rPr>
            <w:rFonts w:ascii="Cambria Math" w:hAnsi="Cambria Math"/>
          </w:rPr>
          <m:t>i</m:t>
        </m:r>
      </m:oMath>
      <w:r w:rsidR="006B584A" w:rsidRPr="006D7EF7">
        <w:rPr>
          <w:rFonts w:eastAsiaTheme="minorEastAsia"/>
        </w:rPr>
        <w:t xml:space="preserve"> to state </w:t>
      </w:r>
      <m:oMath>
        <m:r>
          <w:rPr>
            <w:rFonts w:ascii="Cambria Math" w:eastAsiaTheme="minorEastAsia" w:hAnsi="Cambria Math"/>
          </w:rPr>
          <m:t>i+1</m:t>
        </m:r>
      </m:oMath>
      <w:r w:rsidR="006B584A" w:rsidRPr="006D7EF7">
        <w:rPr>
          <w:rFonts w:eastAsiaTheme="minorEastAsia"/>
        </w:rPr>
        <w:t xml:space="preserve"> is denoted </w:t>
      </w:r>
      <m:oMath>
        <m:sSub>
          <m:sSubPr>
            <m:ctrlPr>
              <w:rPr>
                <w:rFonts w:ascii="Cambria Math" w:hAnsi="Cambria Math"/>
                <w:i/>
              </w:rPr>
            </m:ctrlPr>
          </m:sSubPr>
          <m:e>
            <m:r>
              <w:rPr>
                <w:rFonts w:ascii="Cambria Math" w:hAnsi="Cambria Math"/>
              </w:rPr>
              <m:t>λ</m:t>
            </m:r>
          </m:e>
          <m:sub>
            <m:r>
              <w:rPr>
                <w:rFonts w:ascii="Cambria Math" w:hAnsi="Cambria Math"/>
              </w:rPr>
              <m:t>i</m:t>
            </m:r>
          </m:sub>
        </m:sSub>
      </m:oMath>
      <w:r w:rsidR="006B584A" w:rsidRPr="006D7EF7">
        <w:rPr>
          <w:rFonts w:eastAsiaTheme="minorEastAsia"/>
        </w:rPr>
        <w:t>. The system is inspected at period</w:t>
      </w:r>
      <w:r w:rsidR="008F6109" w:rsidRPr="006D7EF7">
        <w:rPr>
          <w:rFonts w:eastAsiaTheme="minorEastAsia"/>
        </w:rPr>
        <w:t>s</w:t>
      </w:r>
      <w:r w:rsidR="006B584A" w:rsidRPr="006D7EF7">
        <w:rPr>
          <w:rFonts w:eastAsiaTheme="minorEastAsia"/>
        </w:rPr>
        <w:t xml:space="preserve"> of times </w:t>
      </w:r>
      <m:oMath>
        <m:r>
          <w:rPr>
            <w:rFonts w:ascii="Cambria Math" w:hAnsi="Cambria Math"/>
          </w:rPr>
          <m:t>τ, 2τ, 3τ,...</m:t>
        </m:r>
      </m:oMath>
      <w:r w:rsidR="0064156F" w:rsidRPr="006D7EF7">
        <w:rPr>
          <w:rFonts w:eastAsiaTheme="minorEastAsia"/>
        </w:rPr>
        <w:t xml:space="preserve">, </w:t>
      </w:r>
      <w:r w:rsidR="006B584A" w:rsidRPr="006D7EF7">
        <w:rPr>
          <w:rFonts w:eastAsiaTheme="minorEastAsia"/>
        </w:rPr>
        <w:t xml:space="preserve">and if the system state is equal to or above the state corresponding to the maintenance limit </w:t>
      </w:r>
      <m:oMath>
        <m:r>
          <w:rPr>
            <w:rFonts w:ascii="Cambria Math" w:hAnsi="Cambria Math"/>
          </w:rPr>
          <m:t>l</m:t>
        </m:r>
      </m:oMath>
      <w:r w:rsidR="006B584A" w:rsidRPr="006D7EF7">
        <w:rPr>
          <w:rFonts w:eastAsiaTheme="minorEastAsia"/>
        </w:rPr>
        <w:t>, an immediate repair is carried out</w:t>
      </w:r>
      <w:r w:rsidR="008F6109" w:rsidRPr="006D7EF7">
        <w:rPr>
          <w:rFonts w:eastAsiaTheme="minorEastAsia"/>
        </w:rPr>
        <w:t>,</w:t>
      </w:r>
      <w:r w:rsidR="006B584A" w:rsidRPr="006D7EF7">
        <w:rPr>
          <w:rFonts w:eastAsiaTheme="minorEastAsia"/>
        </w:rPr>
        <w:t xml:space="preserve"> and the system returns to the “perfect function” state.</w:t>
      </w:r>
    </w:p>
    <w:p w14:paraId="5886082E" w14:textId="77777777" w:rsidR="008B245E" w:rsidRPr="006D7EF7" w:rsidRDefault="008B245E" w:rsidP="00255ADC"/>
    <w:p w14:paraId="0249AF41" w14:textId="027F6109" w:rsidR="00D375F8" w:rsidRPr="006D7EF7" w:rsidRDefault="00FE0464" w:rsidP="00D375F8">
      <w:pPr>
        <w:keepNext/>
      </w:pPr>
      <w:r w:rsidRPr="006D7EF7">
        <w:rPr>
          <w:noProof/>
        </w:rPr>
        <w:drawing>
          <wp:inline distT="0" distB="0" distL="0" distR="0" wp14:anchorId="5EB4CA85" wp14:editId="4BE2B265">
            <wp:extent cx="4338152" cy="1177505"/>
            <wp:effectExtent l="0" t="0" r="5715" b="3810"/>
            <wp:docPr id="12097492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3370" b="4647"/>
                    <a:stretch/>
                  </pic:blipFill>
                  <pic:spPr bwMode="auto">
                    <a:xfrm>
                      <a:off x="0" y="0"/>
                      <a:ext cx="4338320" cy="1177551"/>
                    </a:xfrm>
                    <a:prstGeom prst="rect">
                      <a:avLst/>
                    </a:prstGeom>
                    <a:noFill/>
                    <a:ln>
                      <a:noFill/>
                    </a:ln>
                    <a:extLst>
                      <a:ext uri="{53640926-AAD7-44D8-BBD7-CCE9431645EC}">
                        <a14:shadowObscured xmlns:a14="http://schemas.microsoft.com/office/drawing/2010/main"/>
                      </a:ext>
                    </a:extLst>
                  </pic:spPr>
                </pic:pic>
              </a:graphicData>
            </a:graphic>
          </wp:inline>
        </w:drawing>
      </w:r>
    </w:p>
    <w:p w14:paraId="2C06BAC1" w14:textId="5C661276" w:rsidR="002663BD" w:rsidRPr="006D7EF7" w:rsidRDefault="00D375F8" w:rsidP="00E8607B">
      <w:pPr>
        <w:pStyle w:val="CETCaption"/>
        <w:spacing w:before="0"/>
        <w:rPr>
          <w:rFonts w:eastAsiaTheme="minorEastAsia"/>
        </w:rPr>
      </w:pPr>
      <w:bookmarkStart w:id="2" w:name="_Ref179129905"/>
      <w:r w:rsidRPr="006D7EF7">
        <w:t xml:space="preserve">Figure </w:t>
      </w:r>
      <w:r w:rsidRPr="006D7EF7">
        <w:fldChar w:fldCharType="begin"/>
      </w:r>
      <w:r w:rsidRPr="006D7EF7">
        <w:instrText xml:space="preserve"> SEQ Figure \* ARABIC </w:instrText>
      </w:r>
      <w:r w:rsidRPr="006D7EF7">
        <w:fldChar w:fldCharType="separate"/>
      </w:r>
      <w:r w:rsidR="00A54A01" w:rsidRPr="006D7EF7">
        <w:rPr>
          <w:noProof/>
        </w:rPr>
        <w:t>2</w:t>
      </w:r>
      <w:r w:rsidRPr="006D7EF7">
        <w:fldChar w:fldCharType="end"/>
      </w:r>
      <w:bookmarkEnd w:id="2"/>
      <w:r w:rsidRPr="006D7EF7">
        <w:t>: (a) Markov transition diagram. (b) Markov transition matrix.</w:t>
      </w:r>
    </w:p>
    <w:p w14:paraId="142F1445" w14:textId="227EED8C" w:rsidR="006B584A" w:rsidRPr="006D7EF7" w:rsidRDefault="006B584A" w:rsidP="008F5465">
      <w:pPr>
        <w:pStyle w:val="Paragrafoelenco"/>
        <w:ind w:left="0"/>
      </w:pPr>
      <w:r w:rsidRPr="006D7EF7">
        <w:t xml:space="preserve">By standard Markov considerations </w:t>
      </w:r>
      <w:r w:rsidR="0078208E" w:rsidRPr="006D7EF7">
        <w:t>(Rausand and Hoyland, 2003)</w:t>
      </w:r>
      <w:r w:rsidRPr="006D7EF7">
        <w:t xml:space="preserve"> the differential equation is</w:t>
      </w:r>
      <w:r w:rsidR="00211D45" w:rsidRPr="006D7EF7">
        <w:t xml:space="preserve"> Eq.(1).</w:t>
      </w:r>
    </w:p>
    <w:tbl>
      <w:tblPr>
        <w:tblW w:w="5000" w:type="pct"/>
        <w:tblLook w:val="04A0" w:firstRow="1" w:lastRow="0" w:firstColumn="1" w:lastColumn="0" w:noHBand="0" w:noVBand="1"/>
      </w:tblPr>
      <w:tblGrid>
        <w:gridCol w:w="7984"/>
        <w:gridCol w:w="803"/>
      </w:tblGrid>
      <w:tr w:rsidR="006B584A" w:rsidRPr="006D7EF7" w14:paraId="4652C7DB" w14:textId="77777777" w:rsidTr="00211D45">
        <w:tc>
          <w:tcPr>
            <w:tcW w:w="8210" w:type="dxa"/>
            <w:shd w:val="clear" w:color="auto" w:fill="auto"/>
            <w:vAlign w:val="center"/>
          </w:tcPr>
          <w:p w14:paraId="6723E03B" w14:textId="63E535BD" w:rsidR="006B584A" w:rsidRPr="006D7EF7" w:rsidRDefault="00000000" w:rsidP="00AF39FC">
            <w:pPr>
              <w:spacing w:before="120" w:after="120"/>
              <w:rPr>
                <w:rFonts w:ascii="Cambria Math" w:hAnsi="Cambria Math"/>
                <w:i/>
              </w:rPr>
            </w:pPr>
            <m:oMath>
              <m:sSub>
                <m:sSubPr>
                  <m:ctrlPr>
                    <w:rPr>
                      <w:rFonts w:ascii="Cambria Math" w:hAnsi="Cambria Math"/>
                      <w:i/>
                      <w:iCs/>
                    </w:rPr>
                  </m:ctrlPr>
                </m:sSubPr>
                <m:e>
                  <m:r>
                    <w:rPr>
                      <w:rFonts w:ascii="Cambria Math" w:hAnsi="Cambria Math"/>
                    </w:rPr>
                    <m:t>P</m:t>
                  </m:r>
                </m:e>
                <m:sub>
                  <m:r>
                    <w:rPr>
                      <w:rFonts w:ascii="Cambria Math" w:hAnsi="Cambria Math"/>
                    </w:rPr>
                    <m:t>i</m:t>
                  </m:r>
                </m:sub>
              </m:sSub>
              <m:d>
                <m:dPr>
                  <m:ctrlPr>
                    <w:rPr>
                      <w:rFonts w:ascii="Cambria Math" w:hAnsi="Cambria Math"/>
                      <w:i/>
                      <w:iCs/>
                    </w:rPr>
                  </m:ctrlPr>
                </m:dPr>
                <m:e>
                  <m:r>
                    <w:rPr>
                      <w:rFonts w:ascii="Cambria Math" w:hAnsi="Cambria Math"/>
                    </w:rPr>
                    <m:t>t+∆t</m:t>
                  </m:r>
                </m:e>
              </m:d>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i</m:t>
                  </m:r>
                </m:sub>
              </m:sSub>
              <m:d>
                <m:dPr>
                  <m:ctrlPr>
                    <w:rPr>
                      <w:rFonts w:ascii="Cambria Math" w:hAnsi="Cambria Math"/>
                      <w:i/>
                      <w:iCs/>
                    </w:rPr>
                  </m:ctrlPr>
                </m:dPr>
                <m:e>
                  <m:r>
                    <w:rPr>
                      <w:rFonts w:ascii="Cambria Math" w:hAnsi="Cambria Math"/>
                    </w:rPr>
                    <m:t>t</m:t>
                  </m:r>
                </m:e>
              </m:d>
              <m:d>
                <m:dPr>
                  <m:ctrlPr>
                    <w:rPr>
                      <w:rFonts w:ascii="Cambria Math" w:hAnsi="Cambria Math"/>
                      <w:i/>
                      <w:iCs/>
                    </w:rPr>
                  </m:ctrlPr>
                </m:dPr>
                <m:e>
                  <m:r>
                    <w:rPr>
                      <w:rFonts w:ascii="Cambria Math" w:hAnsi="Cambria Math"/>
                    </w:rPr>
                    <m:t>1-</m:t>
                  </m:r>
                  <m:sSub>
                    <m:sSubPr>
                      <m:ctrlPr>
                        <w:rPr>
                          <w:rFonts w:ascii="Cambria Math" w:hAnsi="Cambria Math"/>
                          <w:i/>
                          <w:iCs/>
                        </w:rPr>
                      </m:ctrlPr>
                    </m:sSubPr>
                    <m:e>
                      <m:r>
                        <w:rPr>
                          <w:rFonts w:ascii="Cambria Math" w:hAnsi="Cambria Math"/>
                        </w:rPr>
                        <m:t>λ</m:t>
                      </m:r>
                    </m:e>
                    <m:sub>
                      <m:r>
                        <w:rPr>
                          <w:rFonts w:ascii="Cambria Math" w:hAnsi="Cambria Math"/>
                        </w:rPr>
                        <m:t>i</m:t>
                      </m:r>
                    </m:sub>
                  </m:sSub>
                  <m:r>
                    <m:rPr>
                      <m:sty m:val="p"/>
                    </m:rPr>
                    <w:rPr>
                      <w:rFonts w:ascii="Cambria Math" w:hAnsi="Cambria Math"/>
                    </w:rPr>
                    <m:t>Δ</m:t>
                  </m:r>
                  <m:r>
                    <w:rPr>
                      <w:rFonts w:ascii="Cambria Math" w:hAnsi="Cambria Math"/>
                    </w:rPr>
                    <m:t>t</m:t>
                  </m:r>
                </m:e>
              </m:d>
              <m:r>
                <w:rPr>
                  <w:rFonts w:ascii="Cambria Math" w:eastAsiaTheme="minorEastAsia" w:hAnsi="Cambria Math"/>
                </w:rPr>
                <m:t xml:space="preserve">+ </m:t>
              </m:r>
              <m:sSub>
                <m:sSubPr>
                  <m:ctrlPr>
                    <w:rPr>
                      <w:rFonts w:ascii="Cambria Math" w:hAnsi="Cambria Math"/>
                      <w:i/>
                      <w:iCs/>
                    </w:rPr>
                  </m:ctrlPr>
                </m:sSubPr>
                <m:e>
                  <m:r>
                    <w:rPr>
                      <w:rFonts w:ascii="Cambria Math" w:hAnsi="Cambria Math"/>
                    </w:rPr>
                    <m:t>P</m:t>
                  </m:r>
                </m:e>
                <m:sub>
                  <m:r>
                    <w:rPr>
                      <w:rFonts w:ascii="Cambria Math" w:hAnsi="Cambria Math"/>
                    </w:rPr>
                    <m:t>i-1</m:t>
                  </m:r>
                </m:sub>
              </m:sSub>
              <m:d>
                <m:dPr>
                  <m:ctrlPr>
                    <w:rPr>
                      <w:rFonts w:ascii="Cambria Math" w:hAnsi="Cambria Math"/>
                      <w:i/>
                      <w:iCs/>
                    </w:rPr>
                  </m:ctrlPr>
                </m:dPr>
                <m:e>
                  <m:r>
                    <w:rPr>
                      <w:rFonts w:ascii="Cambria Math" w:hAnsi="Cambria Math"/>
                    </w:rPr>
                    <m:t>t</m:t>
                  </m:r>
                </m:e>
              </m:d>
              <m:sSub>
                <m:sSubPr>
                  <m:ctrlPr>
                    <w:rPr>
                      <w:rFonts w:ascii="Cambria Math" w:hAnsi="Cambria Math"/>
                      <w:i/>
                      <w:iCs/>
                    </w:rPr>
                  </m:ctrlPr>
                </m:sSubPr>
                <m:e>
                  <m:r>
                    <w:rPr>
                      <w:rFonts w:ascii="Cambria Math" w:hAnsi="Cambria Math"/>
                    </w:rPr>
                    <m:t>λ</m:t>
                  </m:r>
                </m:e>
                <m:sub>
                  <m:r>
                    <w:rPr>
                      <w:rFonts w:ascii="Cambria Math" w:hAnsi="Cambria Math"/>
                    </w:rPr>
                    <m:t>i-1</m:t>
                  </m:r>
                </m:sub>
              </m:sSub>
              <m:r>
                <m:rPr>
                  <m:sty m:val="p"/>
                </m:rPr>
                <w:rPr>
                  <w:rFonts w:ascii="Cambria Math" w:hAnsi="Cambria Math"/>
                </w:rPr>
                <m:t>Δ</m:t>
              </m:r>
              <m:r>
                <w:rPr>
                  <w:rFonts w:ascii="Cambria Math" w:hAnsi="Cambria Math"/>
                </w:rPr>
                <m:t xml:space="preserve">t </m:t>
              </m:r>
            </m:oMath>
            <w:r w:rsidR="00211D45" w:rsidRPr="006D7EF7">
              <w:rPr>
                <w:rFonts w:ascii="Cambria Math" w:hAnsi="Cambria Math"/>
                <w:i/>
              </w:rPr>
              <w:t xml:space="preserve"> </w:t>
            </w:r>
          </w:p>
        </w:tc>
        <w:tc>
          <w:tcPr>
            <w:tcW w:w="816" w:type="dxa"/>
            <w:shd w:val="clear" w:color="auto" w:fill="auto"/>
            <w:vAlign w:val="center"/>
          </w:tcPr>
          <w:p w14:paraId="665E2F8B" w14:textId="77777777" w:rsidR="006B584A" w:rsidRPr="006D7EF7" w:rsidRDefault="006B584A" w:rsidP="00AF39FC">
            <w:pPr>
              <w:spacing w:before="120" w:after="120"/>
              <w:jc w:val="right"/>
              <w:rPr>
                <w:iCs/>
              </w:rPr>
            </w:pPr>
            <w:r w:rsidRPr="006D7EF7">
              <w:rPr>
                <w:iCs/>
              </w:rPr>
              <w:t>(1)</w:t>
            </w:r>
          </w:p>
        </w:tc>
      </w:tr>
    </w:tbl>
    <w:p w14:paraId="70C9E6A9" w14:textId="37A2D1D4" w:rsidR="006B584A" w:rsidRPr="006D7EF7" w:rsidRDefault="006B584A" w:rsidP="006B584A">
      <w:pPr>
        <w:pStyle w:val="Paragrafoelenco"/>
        <w:ind w:left="0"/>
      </w:pPr>
      <w:r w:rsidRPr="006D7EF7">
        <w:t>The transition rate from state</w:t>
      </w:r>
      <w:r w:rsidRPr="006D7EF7">
        <w:rPr>
          <w:rFonts w:ascii="Cambria Math" w:hAnsi="Cambria Math"/>
          <w:i/>
        </w:rPr>
        <w:t xml:space="preserve"> </w:t>
      </w:r>
      <m:oMath>
        <m:r>
          <w:rPr>
            <w:rFonts w:ascii="Cambria Math" w:hAnsi="Cambria Math"/>
          </w:rPr>
          <m:t>i</m:t>
        </m:r>
      </m:oMath>
      <w:r w:rsidRPr="006D7EF7">
        <w:rPr>
          <w:rFonts w:eastAsiaTheme="minorEastAsia"/>
        </w:rPr>
        <w:t xml:space="preserve"> to state </w:t>
      </w:r>
      <m:oMath>
        <m:r>
          <w:rPr>
            <w:rFonts w:ascii="Cambria Math" w:eastAsiaTheme="minorEastAsia" w:hAnsi="Cambria Math"/>
          </w:rPr>
          <m:t>i+1</m:t>
        </m:r>
      </m:oMath>
      <w:r w:rsidRPr="006D7EF7">
        <w:t xml:space="preserve"> is calculated as the reciprocal of the expectation of state</w:t>
      </w:r>
      <w:r w:rsidRPr="006D7EF7">
        <w:rPr>
          <w:rFonts w:ascii="Cambria Math" w:hAnsi="Cambria Math"/>
          <w:i/>
        </w:rPr>
        <w:t xml:space="preserve"> </w:t>
      </w:r>
      <m:oMath>
        <m:r>
          <w:rPr>
            <w:rFonts w:ascii="Cambria Math" w:hAnsi="Cambria Math"/>
          </w:rPr>
          <m:t>i</m:t>
        </m:r>
      </m:oMath>
      <w:r w:rsidRPr="006D7EF7">
        <w:rPr>
          <w:rFonts w:ascii="Cambria Math" w:eastAsiaTheme="minorEastAsia" w:hAnsi="Cambria Math"/>
          <w:i/>
        </w:rPr>
        <w:t>.</w:t>
      </w:r>
      <w:r w:rsidRPr="006D7EF7">
        <w:t xml:space="preserve"> Generalising the problem and considering that the transition could happen from any state to any other and that the transition rate is not always the same lead</w:t>
      </w:r>
      <w:r w:rsidR="008F6109" w:rsidRPr="006D7EF7">
        <w:t>s</w:t>
      </w:r>
      <w:r w:rsidRPr="006D7EF7">
        <w:t xml:space="preserve"> to the necessity of expressing the Markov model in matrix terms, as </w:t>
      </w:r>
      <w:r w:rsidR="00211D45" w:rsidRPr="006D7EF7">
        <w:t>in Eq.(2).</w:t>
      </w:r>
    </w:p>
    <w:tbl>
      <w:tblPr>
        <w:tblW w:w="5000" w:type="pct"/>
        <w:tblLook w:val="04A0" w:firstRow="1" w:lastRow="0" w:firstColumn="1" w:lastColumn="0" w:noHBand="0" w:noVBand="1"/>
      </w:tblPr>
      <w:tblGrid>
        <w:gridCol w:w="7983"/>
        <w:gridCol w:w="804"/>
      </w:tblGrid>
      <w:tr w:rsidR="006B584A" w:rsidRPr="006D7EF7" w14:paraId="1728D67C" w14:textId="77777777" w:rsidTr="00211D45">
        <w:tc>
          <w:tcPr>
            <w:tcW w:w="8210" w:type="dxa"/>
            <w:shd w:val="clear" w:color="auto" w:fill="auto"/>
            <w:vAlign w:val="center"/>
          </w:tcPr>
          <w:p w14:paraId="5DA773EB" w14:textId="0EBD8D6C" w:rsidR="006B584A" w:rsidRPr="006D7EF7" w:rsidRDefault="006B584A" w:rsidP="00BC5644">
            <w:pPr>
              <w:spacing w:before="120" w:after="120"/>
              <w:rPr>
                <w:rFonts w:ascii="Cambria Math" w:hAnsi="Cambria Math"/>
                <w:i/>
                <w:iCs/>
              </w:rPr>
            </w:pPr>
            <m:oMath>
              <m:r>
                <w:rPr>
                  <w:rFonts w:ascii="Cambria Math" w:hAnsi="Cambria Math"/>
                </w:rPr>
                <m:t>P</m:t>
              </m:r>
              <m:d>
                <m:dPr>
                  <m:ctrlPr>
                    <w:rPr>
                      <w:rFonts w:ascii="Cambria Math" w:hAnsi="Cambria Math"/>
                      <w:i/>
                      <w:iCs/>
                    </w:rPr>
                  </m:ctrlPr>
                </m:dPr>
                <m:e>
                  <m:r>
                    <w:rPr>
                      <w:rFonts w:ascii="Cambria Math" w:hAnsi="Cambria Math"/>
                    </w:rPr>
                    <m:t>t+∆t</m:t>
                  </m:r>
                </m:e>
              </m:d>
              <m:r>
                <w:rPr>
                  <w:rFonts w:ascii="Cambria Math" w:hAnsi="Cambria Math"/>
                </w:rPr>
                <m:t>≈P</m:t>
              </m:r>
              <m:d>
                <m:dPr>
                  <m:ctrlPr>
                    <w:rPr>
                      <w:rFonts w:ascii="Cambria Math" w:hAnsi="Cambria Math"/>
                      <w:i/>
                    </w:rPr>
                  </m:ctrlPr>
                </m:dPr>
                <m:e>
                  <m:r>
                    <w:rPr>
                      <w:rFonts w:ascii="Cambria Math" w:hAnsi="Cambria Math"/>
                    </w:rPr>
                    <m:t>t</m:t>
                  </m:r>
                </m:e>
              </m:d>
              <m:d>
                <m:dPr>
                  <m:begChr m:val="["/>
                  <m:endChr m:val="]"/>
                  <m:ctrlPr>
                    <w:rPr>
                      <w:rFonts w:ascii="Cambria Math" w:hAnsi="Cambria Math"/>
                      <w:i/>
                      <w:iCs/>
                    </w:rPr>
                  </m:ctrlPr>
                </m:dPr>
                <m:e>
                  <m:r>
                    <w:rPr>
                      <w:rFonts w:ascii="Cambria Math" w:hAnsi="Cambria Math"/>
                    </w:rPr>
                    <m:t>A∆t+I</m:t>
                  </m:r>
                </m:e>
              </m:d>
            </m:oMath>
            <w:r w:rsidR="00211D45" w:rsidRPr="006D7EF7">
              <w:rPr>
                <w:rFonts w:ascii="Cambria Math" w:hAnsi="Cambria Math"/>
                <w:i/>
                <w:iCs/>
              </w:rPr>
              <w:t xml:space="preserve"> </w:t>
            </w:r>
          </w:p>
        </w:tc>
        <w:tc>
          <w:tcPr>
            <w:tcW w:w="816" w:type="dxa"/>
            <w:shd w:val="clear" w:color="auto" w:fill="auto"/>
            <w:vAlign w:val="center"/>
          </w:tcPr>
          <w:p w14:paraId="7C16F102" w14:textId="77777777" w:rsidR="006B584A" w:rsidRPr="006D7EF7" w:rsidRDefault="006B584A" w:rsidP="00BC5644">
            <w:pPr>
              <w:spacing w:before="120" w:after="120"/>
              <w:jc w:val="right"/>
              <w:rPr>
                <w:iCs/>
              </w:rPr>
            </w:pPr>
            <w:r w:rsidRPr="006D7EF7">
              <w:rPr>
                <w:iCs/>
              </w:rPr>
              <w:t>(2)</w:t>
            </w:r>
          </w:p>
        </w:tc>
      </w:tr>
    </w:tbl>
    <w:p w14:paraId="0CBE0BF7" w14:textId="7CCC0029" w:rsidR="00AB1534" w:rsidRPr="006D7EF7" w:rsidRDefault="006B584A" w:rsidP="00AB1534">
      <w:r w:rsidRPr="006D7EF7">
        <w:t xml:space="preserve">where </w:t>
      </w:r>
      <m:oMath>
        <m:r>
          <w:rPr>
            <w:rFonts w:ascii="Cambria Math" w:hAnsi="Cambria Math"/>
          </w:rPr>
          <m:t>A</m:t>
        </m:r>
      </m:oMath>
      <w:r w:rsidRPr="006D7EF7">
        <w:rPr>
          <w:iCs/>
        </w:rPr>
        <w:t xml:space="preserve"> is the transition matrix</w:t>
      </w:r>
      <w:r w:rsidR="009769EB" w:rsidRPr="006D7EF7">
        <w:rPr>
          <w:iCs/>
        </w:rPr>
        <w:t xml:space="preserve"> depicted in </w:t>
      </w:r>
      <w:r w:rsidR="00D375F8" w:rsidRPr="006D7EF7">
        <w:rPr>
          <w:highlight w:val="yellow"/>
        </w:rPr>
        <w:fldChar w:fldCharType="begin"/>
      </w:r>
      <w:r w:rsidR="00D375F8" w:rsidRPr="006D7EF7">
        <w:rPr>
          <w:iCs/>
        </w:rPr>
        <w:instrText xml:space="preserve"> REF _Ref179129905 \h </w:instrText>
      </w:r>
      <w:r w:rsidR="00D375F8" w:rsidRPr="006D7EF7">
        <w:rPr>
          <w:highlight w:val="yellow"/>
        </w:rPr>
      </w:r>
      <w:r w:rsidR="00D375F8" w:rsidRPr="006D7EF7">
        <w:rPr>
          <w:highlight w:val="yellow"/>
        </w:rPr>
        <w:fldChar w:fldCharType="separate"/>
      </w:r>
      <w:r w:rsidR="00A54A01" w:rsidRPr="006D7EF7">
        <w:t xml:space="preserve">Figure </w:t>
      </w:r>
      <w:r w:rsidR="00A54A01" w:rsidRPr="006D7EF7">
        <w:rPr>
          <w:noProof/>
        </w:rPr>
        <w:t>2</w:t>
      </w:r>
      <w:r w:rsidR="00D375F8" w:rsidRPr="006D7EF7">
        <w:rPr>
          <w:highlight w:val="yellow"/>
        </w:rPr>
        <w:fldChar w:fldCharType="end"/>
      </w:r>
      <w:r w:rsidR="00E8607B" w:rsidRPr="006D7EF7">
        <w:t>b</w:t>
      </w:r>
      <w:r w:rsidRPr="006D7EF7">
        <w:rPr>
          <w:iCs/>
        </w:rPr>
        <w:t xml:space="preserve">, and </w:t>
      </w:r>
      <m:oMath>
        <m:r>
          <w:rPr>
            <w:rFonts w:ascii="Cambria Math" w:hAnsi="Cambria Math"/>
          </w:rPr>
          <m:t>P(t)</m:t>
        </m:r>
      </m:oMath>
      <w:r w:rsidRPr="006D7EF7">
        <w:rPr>
          <w:iCs/>
        </w:rPr>
        <w:t xml:space="preserve"> is the time-dependent probability vector for the various states defined in </w:t>
      </w:r>
      <m:oMath>
        <m:r>
          <w:rPr>
            <w:rFonts w:ascii="Cambria Math" w:hAnsi="Cambria Math"/>
          </w:rPr>
          <m:t>A</m:t>
        </m:r>
      </m:oMath>
      <w:r w:rsidRPr="006D7EF7">
        <w:rPr>
          <w:iCs/>
        </w:rPr>
        <w:t xml:space="preserve">. The integration </w:t>
      </w:r>
      <w:r w:rsidR="00211D45" w:rsidRPr="006D7EF7">
        <w:rPr>
          <w:iCs/>
        </w:rPr>
        <w:t>of Eq.(2)</w:t>
      </w:r>
      <w:r w:rsidRPr="006D7EF7">
        <w:rPr>
          <w:iCs/>
        </w:rPr>
        <w:t xml:space="preserve"> allows the assessment of the effective failure rate and the expected number of renewals, which are the inputs for the following steps. </w:t>
      </w:r>
      <w:r w:rsidR="006576A7" w:rsidRPr="006D7EF7">
        <w:rPr>
          <w:iCs/>
        </w:rPr>
        <w:t xml:space="preserve">The solution of the model relies on previous studies on Markov state model </w:t>
      </w:r>
      <w:r w:rsidR="006576A7" w:rsidRPr="006D7EF7">
        <w:t>(Sun and Vatn, 2024), (Kellen, 2007)</w:t>
      </w:r>
      <w:r w:rsidR="006576A7" w:rsidRPr="006D7EF7">
        <w:rPr>
          <w:iCs/>
        </w:rPr>
        <w:t xml:space="preserve">. </w:t>
      </w:r>
      <w:r w:rsidR="00AB1534" w:rsidRPr="006D7EF7">
        <w:rPr>
          <w:iCs/>
        </w:rPr>
        <w:t xml:space="preserve">The general model </w:t>
      </w:r>
      <w:r w:rsidR="00BC384C" w:rsidRPr="006D7EF7">
        <w:rPr>
          <w:iCs/>
        </w:rPr>
        <w:t xml:space="preserve">in </w:t>
      </w:r>
      <w:r w:rsidR="00BC384C" w:rsidRPr="006D7EF7">
        <w:rPr>
          <w:highlight w:val="yellow"/>
        </w:rPr>
        <w:fldChar w:fldCharType="begin"/>
      </w:r>
      <w:r w:rsidR="00BC384C" w:rsidRPr="006D7EF7">
        <w:rPr>
          <w:iCs/>
        </w:rPr>
        <w:instrText xml:space="preserve"> REF _Ref179129905 \h </w:instrText>
      </w:r>
      <w:r w:rsidR="00BC384C" w:rsidRPr="006D7EF7">
        <w:rPr>
          <w:highlight w:val="yellow"/>
        </w:rPr>
      </w:r>
      <w:r w:rsidR="00BC384C" w:rsidRPr="006D7EF7">
        <w:rPr>
          <w:highlight w:val="yellow"/>
        </w:rPr>
        <w:fldChar w:fldCharType="separate"/>
      </w:r>
      <w:r w:rsidR="00BC384C" w:rsidRPr="006D7EF7">
        <w:t xml:space="preserve">Figure </w:t>
      </w:r>
      <w:r w:rsidR="00BC384C" w:rsidRPr="006D7EF7">
        <w:rPr>
          <w:noProof/>
        </w:rPr>
        <w:t>2</w:t>
      </w:r>
      <w:r w:rsidR="00BC384C" w:rsidRPr="006D7EF7">
        <w:rPr>
          <w:highlight w:val="yellow"/>
        </w:rPr>
        <w:fldChar w:fldCharType="end"/>
      </w:r>
      <w:r w:rsidR="00BC384C" w:rsidRPr="006D7EF7">
        <w:t xml:space="preserve"> </w:t>
      </w:r>
      <w:r w:rsidR="00AB1534" w:rsidRPr="006D7EF7">
        <w:rPr>
          <w:iCs/>
        </w:rPr>
        <w:lastRenderedPageBreak/>
        <w:t xml:space="preserve">lacks physical foundations and assumes exponentially distributed sojourn times, though to introduce a more realistic physical context, it is common to assume that </w:t>
      </w:r>
      <m:oMath>
        <m:sSub>
          <m:sSubPr>
            <m:ctrlPr>
              <w:rPr>
                <w:rFonts w:ascii="Cambria Math" w:hAnsi="Cambria Math"/>
                <w:i/>
                <w:iCs/>
              </w:rPr>
            </m:ctrlPr>
          </m:sSubPr>
          <m:e>
            <m:r>
              <w:rPr>
                <w:rFonts w:ascii="Cambria Math" w:hAnsi="Cambria Math"/>
              </w:rPr>
              <m:t>λ</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(1+</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)λ</m:t>
            </m:r>
          </m:e>
          <m:sub>
            <m:r>
              <w:rPr>
                <w:rFonts w:ascii="Cambria Math" w:hAnsi="Cambria Math"/>
              </w:rPr>
              <m:t>i-1</m:t>
            </m:r>
          </m:sub>
        </m:sSub>
      </m:oMath>
      <w:r w:rsidR="00AB1534" w:rsidRPr="006D7EF7">
        <w:rPr>
          <w:iCs/>
        </w:rPr>
        <w:t xml:space="preserve"> for some  </w:t>
      </w:r>
      <m:oMath>
        <m:r>
          <w:rPr>
            <w:rFonts w:ascii="Cambria Math" w:hAnsi="Cambria Math"/>
          </w:rPr>
          <m:t>v&gt;0</m:t>
        </m:r>
      </m:oMath>
      <w:r w:rsidR="00AB1534" w:rsidRPr="006D7EF7">
        <w:t xml:space="preserve"> indicating that due to</w:t>
      </w:r>
      <w:r w:rsidR="003230CC">
        <w:t>,</w:t>
      </w:r>
      <w:r w:rsidR="00AB1534" w:rsidRPr="006D7EF7">
        <w:t xml:space="preserve"> e.g., higher stress at higher degradation level.</w:t>
      </w:r>
    </w:p>
    <w:p w14:paraId="4D061599" w14:textId="1B216092" w:rsidR="00310CF9" w:rsidRPr="006D7EF7" w:rsidRDefault="00310CF9" w:rsidP="00132E7F">
      <w:pPr>
        <w:pStyle w:val="CETheadingx"/>
        <w:rPr>
          <w:lang w:val="en-GB"/>
        </w:rPr>
      </w:pPr>
      <w:r w:rsidRPr="006D7EF7">
        <w:rPr>
          <w:lang w:val="en-GB"/>
        </w:rPr>
        <w:t xml:space="preserve">Physical </w:t>
      </w:r>
      <w:r w:rsidR="00EC6093" w:rsidRPr="006D7EF7">
        <w:rPr>
          <w:lang w:val="en-GB"/>
        </w:rPr>
        <w:t>m</w:t>
      </w:r>
      <w:r w:rsidRPr="006D7EF7">
        <w:rPr>
          <w:lang w:val="en-GB"/>
        </w:rPr>
        <w:t>odel</w:t>
      </w:r>
    </w:p>
    <w:p w14:paraId="6EFCD2F4" w14:textId="449509B9" w:rsidR="00310CF9" w:rsidRPr="006D7EF7" w:rsidRDefault="00336996" w:rsidP="00310CF9">
      <w:pPr>
        <w:pStyle w:val="CETBodytext"/>
        <w:rPr>
          <w:lang w:val="en-GB"/>
        </w:rPr>
      </w:pPr>
      <w:r w:rsidRPr="006D7EF7">
        <w:rPr>
          <w:lang w:val="en-GB"/>
        </w:rPr>
        <w:t>A</w:t>
      </w:r>
      <w:r w:rsidR="00310CF9" w:rsidRPr="006D7EF7">
        <w:rPr>
          <w:lang w:val="en-GB"/>
        </w:rPr>
        <w:t xml:space="preserve"> physical model is required to calculate the</w:t>
      </w:r>
      <w:r w:rsidR="008E5B87" w:rsidRPr="006D7EF7">
        <w:rPr>
          <w:lang w:val="en-GB"/>
        </w:rPr>
        <w:t xml:space="preserve"> transition rate (</w:t>
      </w:r>
      <m:oMath>
        <m:sSub>
          <m:sSubPr>
            <m:ctrlPr>
              <w:rPr>
                <w:rFonts w:ascii="Cambria Math" w:hAnsi="Cambria Math"/>
                <w:i/>
                <w:iCs/>
                <w:lang w:val="en-GB"/>
              </w:rPr>
            </m:ctrlPr>
          </m:sSubPr>
          <m:e>
            <m:r>
              <w:rPr>
                <w:rFonts w:ascii="Cambria Math" w:hAnsi="Cambria Math"/>
                <w:lang w:val="en-GB"/>
              </w:rPr>
              <m:t>λ</m:t>
            </m:r>
          </m:e>
          <m:sub>
            <m:r>
              <w:rPr>
                <w:rFonts w:ascii="Cambria Math" w:hAnsi="Cambria Math"/>
                <w:lang w:val="en-GB"/>
              </w:rPr>
              <m:t>i</m:t>
            </m:r>
          </m:sub>
        </m:sSub>
      </m:oMath>
      <w:r w:rsidR="008E5B87" w:rsidRPr="006D7EF7">
        <w:rPr>
          <w:iCs/>
          <w:lang w:val="en-GB"/>
        </w:rPr>
        <w:t xml:space="preserve">) to </w:t>
      </w:r>
      <w:r w:rsidRPr="006D7EF7">
        <w:rPr>
          <w:iCs/>
          <w:lang w:val="en-GB"/>
        </w:rPr>
        <w:t xml:space="preserve">input to </w:t>
      </w:r>
      <w:r w:rsidR="008E5B87" w:rsidRPr="006D7EF7">
        <w:rPr>
          <w:iCs/>
          <w:lang w:val="en-GB"/>
        </w:rPr>
        <w:t>the Markov state model.</w:t>
      </w:r>
      <w:r w:rsidR="00310CF9" w:rsidRPr="006D7EF7">
        <w:rPr>
          <w:lang w:val="en-GB"/>
        </w:rPr>
        <w:t xml:space="preserve"> </w:t>
      </w:r>
      <w:r w:rsidR="008F6109" w:rsidRPr="006D7EF7">
        <w:rPr>
          <w:lang w:val="en-GB"/>
        </w:rPr>
        <w:t>A re</w:t>
      </w:r>
      <w:r w:rsidR="007F3361" w:rsidRPr="006D7EF7">
        <w:rPr>
          <w:lang w:val="en-GB"/>
        </w:rPr>
        <w:t>trofitted pipeline</w:t>
      </w:r>
      <w:r w:rsidR="00310CF9" w:rsidRPr="006D7EF7">
        <w:rPr>
          <w:lang w:val="en-GB"/>
        </w:rPr>
        <w:t xml:space="preserve"> is primarily exposed to fatigue degradation due to the</w:t>
      </w:r>
      <w:r w:rsidR="00A9763E" w:rsidRPr="006D7EF7">
        <w:rPr>
          <w:lang w:val="en-GB"/>
        </w:rPr>
        <w:t xml:space="preserve"> </w:t>
      </w:r>
      <w:r w:rsidR="00310CF9" w:rsidRPr="006D7EF7">
        <w:rPr>
          <w:lang w:val="en-GB"/>
        </w:rPr>
        <w:t xml:space="preserve">pressure cycles caused by line packing. The internal pressure variations determine an applied load at the crack tip, which is described by linear-elastic fracture mechanics with the stress intensity factor, as </w:t>
      </w:r>
      <w:r w:rsidR="00D15235" w:rsidRPr="006D7EF7">
        <w:rPr>
          <w:lang w:val="en-GB"/>
        </w:rPr>
        <w:t>described in</w:t>
      </w:r>
      <w:r w:rsidR="00310CF9" w:rsidRPr="006D7EF7">
        <w:rPr>
          <w:lang w:val="en-GB"/>
        </w:rPr>
        <w:t xml:space="preserve"> </w:t>
      </w:r>
      <w:r w:rsidR="004B4FC8" w:rsidRPr="006D7EF7">
        <w:rPr>
          <w:lang w:val="en-GB"/>
        </w:rPr>
        <w:t>Eq.(3):</w:t>
      </w:r>
    </w:p>
    <w:tbl>
      <w:tblPr>
        <w:tblW w:w="5000" w:type="pct"/>
        <w:tblLook w:val="04A0" w:firstRow="1" w:lastRow="0" w:firstColumn="1" w:lastColumn="0" w:noHBand="0" w:noVBand="1"/>
      </w:tblPr>
      <w:tblGrid>
        <w:gridCol w:w="7982"/>
        <w:gridCol w:w="805"/>
      </w:tblGrid>
      <w:tr w:rsidR="000D50DA" w:rsidRPr="006D7EF7" w14:paraId="27CDAD81" w14:textId="77777777" w:rsidTr="007968FB">
        <w:tc>
          <w:tcPr>
            <w:tcW w:w="8210" w:type="dxa"/>
            <w:shd w:val="clear" w:color="auto" w:fill="auto"/>
            <w:vAlign w:val="center"/>
          </w:tcPr>
          <w:p w14:paraId="46213FA5" w14:textId="1ADF510E" w:rsidR="000D50DA" w:rsidRPr="006D7EF7" w:rsidRDefault="000D50DA" w:rsidP="007968FB">
            <w:pPr>
              <w:spacing w:before="120" w:after="120"/>
              <w:rPr>
                <w:rFonts w:ascii="Cambria Math" w:hAnsi="Cambria Math"/>
                <w:i/>
                <w:iCs/>
              </w:rPr>
            </w:pPr>
            <m:oMath>
              <m:r>
                <w:rPr>
                  <w:rFonts w:ascii="Cambria Math" w:hAnsi="Cambria Math"/>
                </w:rPr>
                <m:t xml:space="preserve">K=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m:t>
                      </m:r>
                    </m:sub>
                  </m:sSub>
                </m:num>
                <m:den>
                  <m:r>
                    <w:rPr>
                      <w:rFonts w:ascii="Cambria Math" w:hAnsi="Cambria Math"/>
                    </w:rPr>
                    <m:t>2 t</m:t>
                  </m:r>
                </m:den>
              </m:f>
              <m:r>
                <w:rPr>
                  <w:rFonts w:ascii="Cambria Math" w:hAnsi="Cambria Math"/>
                </w:rPr>
                <m:t>∙p∙</m:t>
              </m:r>
              <m:rad>
                <m:radPr>
                  <m:degHide m:val="1"/>
                  <m:ctrlPr>
                    <w:rPr>
                      <w:rFonts w:ascii="Cambria Math" w:hAnsi="Cambria Math"/>
                      <w:i/>
                    </w:rPr>
                  </m:ctrlPr>
                </m:radPr>
                <m:deg/>
                <m:e>
                  <m:r>
                    <w:rPr>
                      <w:rFonts w:ascii="Cambria Math" w:hAnsi="Cambria Math"/>
                    </w:rPr>
                    <m:t>π a</m:t>
                  </m:r>
                </m:e>
              </m:ra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φ</m:t>
                  </m:r>
                </m:sub>
              </m:sSub>
            </m:oMath>
            <w:r w:rsidRPr="006D7EF7">
              <w:rPr>
                <w:rFonts w:ascii="Cambria Math" w:hAnsi="Cambria Math"/>
                <w:i/>
                <w:iCs/>
              </w:rPr>
              <w:t xml:space="preserve"> </w:t>
            </w:r>
          </w:p>
        </w:tc>
        <w:tc>
          <w:tcPr>
            <w:tcW w:w="816" w:type="dxa"/>
            <w:shd w:val="clear" w:color="auto" w:fill="auto"/>
            <w:vAlign w:val="center"/>
          </w:tcPr>
          <w:p w14:paraId="049373CA" w14:textId="55C9ADC9" w:rsidR="000D50DA" w:rsidRPr="006D7EF7" w:rsidRDefault="000D50DA" w:rsidP="007968FB">
            <w:pPr>
              <w:spacing w:before="120" w:after="120"/>
              <w:jc w:val="right"/>
              <w:rPr>
                <w:iCs/>
              </w:rPr>
            </w:pPr>
            <w:r w:rsidRPr="006D7EF7">
              <w:rPr>
                <w:iCs/>
              </w:rPr>
              <w:t>(</w:t>
            </w:r>
            <w:r w:rsidR="004B4FC8" w:rsidRPr="006D7EF7">
              <w:rPr>
                <w:iCs/>
              </w:rPr>
              <w:t>3</w:t>
            </w:r>
            <w:r w:rsidRPr="006D7EF7">
              <w:rPr>
                <w:iCs/>
              </w:rPr>
              <w:t>)</w:t>
            </w:r>
          </w:p>
        </w:tc>
      </w:tr>
    </w:tbl>
    <w:p w14:paraId="4DA12A40" w14:textId="0C82D1E5" w:rsidR="00310CF9" w:rsidRPr="006D7EF7" w:rsidRDefault="004B4FC8" w:rsidP="00310CF9">
      <w:pPr>
        <w:pStyle w:val="CETBodytext"/>
        <w:rPr>
          <w:lang w:val="en-GB"/>
        </w:rPr>
      </w:pPr>
      <w:r w:rsidRPr="006D7EF7">
        <w:rPr>
          <w:lang w:val="en-GB"/>
        </w:rPr>
        <w:t>w</w:t>
      </w:r>
      <w:r w:rsidR="00310CF9" w:rsidRPr="006D7EF7">
        <w:rPr>
          <w:lang w:val="en-GB"/>
        </w:rPr>
        <w:t>here</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o</m:t>
            </m:r>
          </m:sub>
        </m:sSub>
      </m:oMath>
      <w:r w:rsidR="00EC6093" w:rsidRPr="006D7EF7">
        <w:rPr>
          <w:lang w:val="en-GB"/>
        </w:rPr>
        <w:t xml:space="preserve"> and </w:t>
      </w:r>
      <m:oMath>
        <m:r>
          <w:rPr>
            <w:rFonts w:ascii="Cambria Math" w:hAnsi="Cambria Math"/>
            <w:lang w:val="en-GB"/>
          </w:rPr>
          <m:t>t</m:t>
        </m:r>
      </m:oMath>
      <w:r w:rsidR="00EC6093" w:rsidRPr="006D7EF7">
        <w:rPr>
          <w:lang w:val="en-GB"/>
        </w:rPr>
        <w:t xml:space="preserve"> indicate the outer diameter and thickness of the pipeline</w:t>
      </w:r>
      <w:r w:rsidR="00D15235" w:rsidRPr="006D7EF7">
        <w:rPr>
          <w:lang w:val="en-GB"/>
        </w:rPr>
        <w:t xml:space="preserve"> respectively</w:t>
      </w:r>
      <w:r w:rsidR="00EC6093" w:rsidRPr="006D7EF7">
        <w:rPr>
          <w:lang w:val="en-GB"/>
        </w:rPr>
        <w:t>,</w:t>
      </w:r>
      <w:r w:rsidRPr="006D7EF7">
        <w:rPr>
          <w:lang w:val="en-GB"/>
        </w:rPr>
        <w:t xml:space="preserve"> </w:t>
      </w:r>
      <m:oMath>
        <m:r>
          <w:rPr>
            <w:rFonts w:ascii="Cambria Math" w:hAnsi="Cambria Math"/>
            <w:lang w:val="en-GB"/>
          </w:rPr>
          <m:t xml:space="preserve">p </m:t>
        </m:r>
      </m:oMath>
      <w:r w:rsidR="00EC6093" w:rsidRPr="006D7EF7">
        <w:rPr>
          <w:lang w:val="en-GB"/>
        </w:rPr>
        <w:t xml:space="preserve">is </w:t>
      </w:r>
      <w:r w:rsidR="00310CF9" w:rsidRPr="006D7EF7">
        <w:rPr>
          <w:lang w:val="en-GB"/>
        </w:rPr>
        <w:t xml:space="preserve">the </w:t>
      </w:r>
      <w:r w:rsidR="00EC6093" w:rsidRPr="006D7EF7">
        <w:rPr>
          <w:lang w:val="en-GB"/>
        </w:rPr>
        <w:t xml:space="preserve">operating </w:t>
      </w:r>
      <w:r w:rsidR="00310CF9" w:rsidRPr="006D7EF7">
        <w:rPr>
          <w:lang w:val="en-GB"/>
        </w:rPr>
        <w:t xml:space="preserve">pressure, </w:t>
      </w:r>
      <m:oMath>
        <m:r>
          <w:rPr>
            <w:rFonts w:ascii="Cambria Math" w:hAnsi="Cambria Math"/>
            <w:lang w:val="en-GB"/>
          </w:rPr>
          <m:t>a</m:t>
        </m:r>
      </m:oMath>
      <w:r w:rsidR="00310CF9" w:rsidRPr="006D7EF7">
        <w:rPr>
          <w:lang w:val="en-GB"/>
        </w:rPr>
        <w:t xml:space="preserve"> is the crack depth, and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φ</m:t>
            </m:r>
          </m:sub>
        </m:sSub>
        <m:r>
          <w:rPr>
            <w:rFonts w:ascii="Cambria Math" w:hAnsi="Cambria Math"/>
            <w:lang w:val="en-GB"/>
          </w:rPr>
          <m:t xml:space="preserve"> </m:t>
        </m:r>
      </m:oMath>
      <w:r w:rsidR="00310CF9" w:rsidRPr="006D7EF7">
        <w:rPr>
          <w:lang w:val="en-GB"/>
        </w:rPr>
        <w:t xml:space="preserve">is a correction factor depending on the geometry and orientation of the crack. The stress intensity factor can be calculated at the deepest point of the crack and along the plate surface, varying the correction factor according to the Raju-Newman equation for semi-elliptical surface cracks in finite-thickness cylinders </w:t>
      </w:r>
      <w:r w:rsidR="00860B86" w:rsidRPr="006D7EF7">
        <w:rPr>
          <w:lang w:val="en-GB"/>
        </w:rPr>
        <w:t xml:space="preserve">(Rajuand and Newman, 1982). </w:t>
      </w:r>
      <w:r w:rsidR="00310CF9" w:rsidRPr="006D7EF7">
        <w:rPr>
          <w:lang w:val="en-GB"/>
        </w:rPr>
        <w:t>The maximum and minimum stress intensity factors correspond to the maximum and minimum operating pressures. The stress intensity range is the difference between maximum and minimum stress intensity factors (</w:t>
      </w:r>
      <m:oMath>
        <m:r>
          <w:rPr>
            <w:rFonts w:ascii="Cambria Math" w:hAnsi="Cambria Math"/>
            <w:lang w:val="en-GB"/>
          </w:rPr>
          <m:t xml:space="preserve">∆K= </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max</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min</m:t>
            </m:r>
          </m:sub>
        </m:sSub>
      </m:oMath>
      <w:r w:rsidR="00310CF9" w:rsidRPr="006D7EF7">
        <w:rPr>
          <w:lang w:val="en-GB"/>
        </w:rPr>
        <w:t>), and the stress ratio is the ratio between the minimum and maximum stress intensity factors (</w:t>
      </w:r>
      <m:oMath>
        <m:r>
          <w:rPr>
            <w:rFonts w:ascii="Cambria Math" w:hAnsi="Cambria Math"/>
            <w:lang w:val="en-GB"/>
          </w:rPr>
          <m:t>R=</m:t>
        </m:r>
        <m:f>
          <m:fPr>
            <m:type m:val="lin"/>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min</m:t>
                </m:r>
              </m:sub>
            </m:sSub>
          </m:num>
          <m:den>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max</m:t>
                </m:r>
              </m:sub>
            </m:sSub>
          </m:den>
        </m:f>
      </m:oMath>
      <w:r w:rsidR="00310CF9" w:rsidRPr="006D7EF7">
        <w:rPr>
          <w:lang w:val="en-GB"/>
        </w:rPr>
        <w:t xml:space="preserve"> ). </w:t>
      </w:r>
      <w:r w:rsidR="00A934E0" w:rsidRPr="006D7EF7">
        <w:rPr>
          <w:lang w:val="en-GB"/>
        </w:rPr>
        <w:t>T</w:t>
      </w:r>
      <w:r w:rsidR="00310CF9" w:rsidRPr="006D7EF7">
        <w:rPr>
          <w:lang w:val="en-GB"/>
        </w:rPr>
        <w:t xml:space="preserve">he </w:t>
      </w:r>
      <w:r w:rsidR="00EC6093" w:rsidRPr="006D7EF7">
        <w:rPr>
          <w:lang w:val="en-GB"/>
        </w:rPr>
        <w:t xml:space="preserve">per-cycle </w:t>
      </w:r>
      <w:r w:rsidR="00310CF9" w:rsidRPr="006D7EF7">
        <w:rPr>
          <w:lang w:val="en-GB"/>
        </w:rPr>
        <w:t xml:space="preserve">fatigue crack growth </w:t>
      </w:r>
      <w:r w:rsidR="00EC6093" w:rsidRPr="006D7EF7">
        <w:rPr>
          <w:lang w:val="en-GB"/>
        </w:rPr>
        <w:t xml:space="preserve">in hydrogen environments </w:t>
      </w:r>
      <w:r w:rsidR="00310CF9" w:rsidRPr="006D7EF7">
        <w:rPr>
          <w:lang w:val="en-GB"/>
        </w:rPr>
        <w:t>can be determined using the bilinear master curve</w:t>
      </w:r>
      <w:r w:rsidR="00A934E0" w:rsidRPr="006D7EF7">
        <w:rPr>
          <w:lang w:val="en-GB"/>
        </w:rPr>
        <w:t xml:space="preserve"> (DVGW, 2023)</w:t>
      </w:r>
      <w:r w:rsidR="00310CF9" w:rsidRPr="006D7EF7">
        <w:rPr>
          <w:lang w:val="en-GB"/>
        </w:rPr>
        <w:t xml:space="preserve"> in Eq. </w:t>
      </w:r>
      <w:r w:rsidR="00601A27" w:rsidRPr="006D7EF7">
        <w:rPr>
          <w:lang w:val="en-GB"/>
        </w:rPr>
        <w:t>(4)</w:t>
      </w:r>
      <w:r w:rsidR="00310CF9" w:rsidRPr="006D7EF7">
        <w:rPr>
          <w:lang w:val="en-GB"/>
        </w:rPr>
        <w:t>:</w:t>
      </w:r>
    </w:p>
    <w:tbl>
      <w:tblPr>
        <w:tblW w:w="5000" w:type="pct"/>
        <w:tblLook w:val="04A0" w:firstRow="1" w:lastRow="0" w:firstColumn="1" w:lastColumn="0" w:noHBand="0" w:noVBand="1"/>
      </w:tblPr>
      <w:tblGrid>
        <w:gridCol w:w="3959"/>
        <w:gridCol w:w="4063"/>
        <w:gridCol w:w="765"/>
      </w:tblGrid>
      <w:tr w:rsidR="003F2C2F" w:rsidRPr="006D7EF7" w14:paraId="7D8B6AD3" w14:textId="77777777" w:rsidTr="00DA51A4">
        <w:tc>
          <w:tcPr>
            <w:tcW w:w="3955" w:type="dxa"/>
            <w:shd w:val="clear" w:color="auto" w:fill="auto"/>
            <w:vAlign w:val="center"/>
          </w:tcPr>
          <w:p w14:paraId="288CFAFF" w14:textId="05DE35D0" w:rsidR="003F2C2F" w:rsidRPr="006D7EF7" w:rsidRDefault="00000000" w:rsidP="00B93C2D">
            <w:pPr>
              <w:spacing w:before="120" w:after="120"/>
              <w:rPr>
                <w:rFonts w:ascii="Cambria Math" w:hAnsi="Cambria Math"/>
                <w:i/>
                <w:iCs/>
              </w:rPr>
            </w:pPr>
            <m:oMathPara>
              <m:oMathParaPr>
                <m:jc m:val="left"/>
              </m:oMathParaPr>
              <m:oMath>
                <m:f>
                  <m:fPr>
                    <m:ctrlPr>
                      <w:rPr>
                        <w:rFonts w:ascii="Cambria Math" w:hAnsi="Cambria Math"/>
                        <w:i/>
                        <w:iCs/>
                      </w:rPr>
                    </m:ctrlPr>
                  </m:fPr>
                  <m:num>
                    <m:r>
                      <w:rPr>
                        <w:rFonts w:ascii="Cambria Math" w:hAnsi="Cambria Math"/>
                      </w:rPr>
                      <m:t>da</m:t>
                    </m:r>
                  </m:num>
                  <m:den>
                    <m:r>
                      <w:rPr>
                        <w:rFonts w:ascii="Cambria Math" w:hAnsi="Cambria Math"/>
                      </w:rPr>
                      <m:t>dN</m:t>
                    </m:r>
                  </m:den>
                </m:f>
                <m:r>
                  <w:rPr>
                    <w:rFonts w:ascii="Cambria Math" w:hAnsi="Cambria Math"/>
                  </w:rPr>
                  <m:t>=4.4∙</m:t>
                </m:r>
                <m:sSup>
                  <m:sSupPr>
                    <m:ctrlPr>
                      <w:rPr>
                        <w:rFonts w:ascii="Cambria Math" w:hAnsi="Cambria Math"/>
                        <w:i/>
                        <w:iCs/>
                      </w:rPr>
                    </m:ctrlPr>
                  </m:sSupPr>
                  <m:e>
                    <m:r>
                      <w:rPr>
                        <w:rFonts w:ascii="Cambria Math" w:hAnsi="Cambria Math"/>
                      </w:rPr>
                      <m:t>10</m:t>
                    </m:r>
                  </m:e>
                  <m:sup>
                    <m:r>
                      <w:rPr>
                        <w:rFonts w:ascii="Cambria Math" w:hAnsi="Cambria Math"/>
                      </w:rPr>
                      <m:t>-13</m:t>
                    </m:r>
                  </m:sup>
                </m:sSup>
                <m:r>
                  <w:rPr>
                    <w:rFonts w:ascii="Cambria Math" w:hAnsi="Cambria Math"/>
                  </w:rPr>
                  <m:t xml:space="preserve"> </m:t>
                </m:r>
                <m:d>
                  <m:dPr>
                    <m:ctrlPr>
                      <w:rPr>
                        <w:rFonts w:ascii="Cambria Math" w:hAnsi="Cambria Math"/>
                        <w:i/>
                        <w:iCs/>
                      </w:rPr>
                    </m:ctrlPr>
                  </m:dPr>
                  <m:e>
                    <m:r>
                      <w:rPr>
                        <w:rFonts w:ascii="Cambria Math" w:hAnsi="Cambria Math"/>
                      </w:rPr>
                      <m:t>1+3R</m:t>
                    </m:r>
                  </m:e>
                </m:d>
                <m:r>
                  <w:rPr>
                    <w:rFonts w:ascii="Cambria Math" w:hAnsi="Cambria Math"/>
                  </w:rPr>
                  <m:t xml:space="preserve"> </m:t>
                </m:r>
                <m:sSup>
                  <m:sSupPr>
                    <m:ctrlPr>
                      <w:rPr>
                        <w:rFonts w:ascii="Cambria Math" w:hAnsi="Cambria Math"/>
                        <w:i/>
                        <w:iCs/>
                      </w:rPr>
                    </m:ctrlPr>
                  </m:sSupPr>
                  <m:e>
                    <m:r>
                      <w:rPr>
                        <w:rFonts w:ascii="Cambria Math" w:hAnsi="Cambria Math"/>
                      </w:rPr>
                      <m:t>∆K</m:t>
                    </m:r>
                  </m:e>
                  <m:sup>
                    <m:r>
                      <w:rPr>
                        <w:rFonts w:ascii="Cambria Math" w:hAnsi="Cambria Math"/>
                      </w:rPr>
                      <m:t>7</m:t>
                    </m:r>
                  </m:sup>
                </m:sSup>
                <m:rad>
                  <m:radPr>
                    <m:degHide m:val="1"/>
                    <m:ctrlPr>
                      <w:rPr>
                        <w:rFonts w:ascii="Cambria Math" w:hAnsi="Cambria Math"/>
                        <w:i/>
                        <w:iCs/>
                      </w:rPr>
                    </m:ctrlPr>
                  </m:radPr>
                  <m:deg/>
                  <m:e>
                    <m:sSub>
                      <m:sSubPr>
                        <m:ctrlPr>
                          <w:rPr>
                            <w:rFonts w:ascii="Cambria Math" w:hAnsi="Cambria Math"/>
                            <w:i/>
                            <w:iCs/>
                          </w:rPr>
                        </m:ctrlPr>
                      </m:sSubPr>
                      <m:e>
                        <m:r>
                          <w:rPr>
                            <w:rFonts w:ascii="Cambria Math" w:hAnsi="Cambria Math"/>
                          </w:rPr>
                          <m:t>p</m:t>
                        </m:r>
                      </m:e>
                      <m:sub>
                        <m:sSub>
                          <m:sSubPr>
                            <m:ctrlPr>
                              <w:rPr>
                                <w:rFonts w:ascii="Cambria Math" w:hAnsi="Cambria Math"/>
                                <w:i/>
                                <w:iCs/>
                              </w:rPr>
                            </m:ctrlPr>
                          </m:sSubPr>
                          <m:e>
                            <m:r>
                              <w:rPr>
                                <w:rFonts w:ascii="Cambria Math" w:hAnsi="Cambria Math"/>
                              </w:rPr>
                              <m:t>H</m:t>
                            </m:r>
                          </m:e>
                          <m:sub>
                            <m:r>
                              <w:rPr>
                                <w:rFonts w:ascii="Cambria Math" w:hAnsi="Cambria Math"/>
                              </w:rPr>
                              <m:t>2</m:t>
                            </m:r>
                          </m:sub>
                        </m:sSub>
                      </m:sub>
                    </m:sSub>
                  </m:e>
                </m:rad>
              </m:oMath>
            </m:oMathPara>
          </w:p>
        </w:tc>
        <w:tc>
          <w:tcPr>
            <w:tcW w:w="4058" w:type="dxa"/>
          </w:tcPr>
          <w:p w14:paraId="3537C4E7" w14:textId="1B664E63" w:rsidR="003F2C2F" w:rsidRPr="006D7EF7" w:rsidRDefault="00BE515D" w:rsidP="00DA51A4">
            <w:pPr>
              <w:spacing w:before="120" w:after="120"/>
              <w:jc w:val="left"/>
              <w:rPr>
                <w:iCs/>
              </w:rPr>
            </w:pPr>
            <m:oMathPara>
              <m:oMathParaPr>
                <m:jc m:val="left"/>
              </m:oMathParaPr>
              <m:oMath>
                <m:r>
                  <w:rPr>
                    <w:rFonts w:ascii="Cambria Math" w:hAnsi="Cambria Math"/>
                  </w:rPr>
                  <m:t>∆K≤</m:t>
                </m:r>
                <m:sSup>
                  <m:sSupPr>
                    <m:ctrlPr>
                      <w:rPr>
                        <w:rFonts w:ascii="Cambria Math" w:hAnsi="Cambria Math"/>
                        <w:i/>
                        <w:iCs/>
                      </w:rPr>
                    </m:ctrlPr>
                  </m:sSupPr>
                  <m:e>
                    <m:d>
                      <m:dPr>
                        <m:begChr m:val="["/>
                        <m:endChr m:val="]"/>
                        <m:ctrlPr>
                          <w:rPr>
                            <w:rFonts w:ascii="Cambria Math" w:hAnsi="Cambria Math"/>
                            <w:i/>
                            <w:iCs/>
                          </w:rPr>
                        </m:ctrlPr>
                      </m:dPr>
                      <m:e>
                        <m:r>
                          <w:rPr>
                            <w:rFonts w:ascii="Cambria Math" w:hAnsi="Cambria Math"/>
                          </w:rPr>
                          <m:t>3.6667∙</m:t>
                        </m:r>
                        <m:sSup>
                          <m:sSupPr>
                            <m:ctrlPr>
                              <w:rPr>
                                <w:rFonts w:ascii="Cambria Math" w:hAnsi="Cambria Math"/>
                                <w:i/>
                                <w:iCs/>
                              </w:rPr>
                            </m:ctrlPr>
                          </m:sSupPr>
                          <m:e>
                            <m:r>
                              <w:rPr>
                                <w:rFonts w:ascii="Cambria Math" w:hAnsi="Cambria Math"/>
                              </w:rPr>
                              <m:t>10</m:t>
                            </m:r>
                          </m:e>
                          <m:sup>
                            <m:r>
                              <w:rPr>
                                <w:rFonts w:ascii="Cambria Math" w:hAnsi="Cambria Math"/>
                              </w:rPr>
                              <m:t>-6</m:t>
                            </m:r>
                          </m:sup>
                        </m:sSup>
                        <m:rad>
                          <m:radPr>
                            <m:degHide m:val="1"/>
                            <m:ctrlPr>
                              <w:rPr>
                                <w:rFonts w:ascii="Cambria Math" w:hAnsi="Cambria Math"/>
                                <w:i/>
                                <w:iCs/>
                              </w:rPr>
                            </m:ctrlPr>
                          </m:radPr>
                          <m:deg/>
                          <m:e>
                            <m:sSub>
                              <m:sSubPr>
                                <m:ctrlPr>
                                  <w:rPr>
                                    <w:rFonts w:ascii="Cambria Math" w:hAnsi="Cambria Math"/>
                                    <w:i/>
                                    <w:iCs/>
                                  </w:rPr>
                                </m:ctrlPr>
                              </m:sSubPr>
                              <m:e>
                                <m:r>
                                  <w:rPr>
                                    <w:rFonts w:ascii="Cambria Math" w:hAnsi="Cambria Math"/>
                                  </w:rPr>
                                  <m:t>p</m:t>
                                </m:r>
                              </m:e>
                              <m:sub>
                                <m:sSub>
                                  <m:sSubPr>
                                    <m:ctrlPr>
                                      <w:rPr>
                                        <w:rFonts w:ascii="Cambria Math" w:hAnsi="Cambria Math"/>
                                        <w:i/>
                                        <w:iCs/>
                                      </w:rPr>
                                    </m:ctrlPr>
                                  </m:sSubPr>
                                  <m:e>
                                    <m:r>
                                      <w:rPr>
                                        <w:rFonts w:ascii="Cambria Math" w:hAnsi="Cambria Math"/>
                                      </w:rPr>
                                      <m:t>H</m:t>
                                    </m:r>
                                  </m:e>
                                  <m:sub>
                                    <m:r>
                                      <w:rPr>
                                        <w:rFonts w:ascii="Cambria Math" w:hAnsi="Cambria Math"/>
                                      </w:rPr>
                                      <m:t>2</m:t>
                                    </m:r>
                                  </m:sub>
                                </m:sSub>
                              </m:sub>
                            </m:sSub>
                          </m:e>
                        </m:rad>
                      </m:e>
                    </m:d>
                  </m:e>
                  <m:sup>
                    <m:r>
                      <w:rPr>
                        <w:rFonts w:ascii="Cambria Math" w:hAnsi="Cambria Math"/>
                      </w:rPr>
                      <m:t>-0.25</m:t>
                    </m:r>
                  </m:sup>
                </m:sSup>
              </m:oMath>
            </m:oMathPara>
          </w:p>
        </w:tc>
        <w:tc>
          <w:tcPr>
            <w:tcW w:w="764" w:type="dxa"/>
            <w:vMerge w:val="restart"/>
            <w:shd w:val="clear" w:color="auto" w:fill="auto"/>
            <w:vAlign w:val="center"/>
          </w:tcPr>
          <w:p w14:paraId="4385C2B5" w14:textId="501314A8" w:rsidR="003F2C2F" w:rsidRPr="006D7EF7" w:rsidRDefault="003F2C2F" w:rsidP="00B93C2D">
            <w:pPr>
              <w:spacing w:before="120" w:after="120"/>
              <w:jc w:val="right"/>
              <w:rPr>
                <w:iCs/>
              </w:rPr>
            </w:pPr>
            <w:r w:rsidRPr="006D7EF7">
              <w:rPr>
                <w:iCs/>
              </w:rPr>
              <w:t>(</w:t>
            </w:r>
            <w:r w:rsidR="00DA51A4" w:rsidRPr="006D7EF7">
              <w:rPr>
                <w:iCs/>
              </w:rPr>
              <w:t>4</w:t>
            </w:r>
            <w:r w:rsidRPr="006D7EF7">
              <w:rPr>
                <w:iCs/>
              </w:rPr>
              <w:t>)</w:t>
            </w:r>
          </w:p>
        </w:tc>
      </w:tr>
      <w:tr w:rsidR="003F2C2F" w:rsidRPr="006D7EF7" w14:paraId="05EC5A46" w14:textId="77777777" w:rsidTr="00DA51A4">
        <w:tc>
          <w:tcPr>
            <w:tcW w:w="3955" w:type="dxa"/>
            <w:shd w:val="clear" w:color="auto" w:fill="auto"/>
            <w:vAlign w:val="center"/>
          </w:tcPr>
          <w:p w14:paraId="263DFE97" w14:textId="2881C0F0" w:rsidR="003F2C2F" w:rsidRPr="006D7EF7" w:rsidRDefault="00000000" w:rsidP="00B93C2D">
            <w:pPr>
              <w:spacing w:before="120" w:after="120"/>
              <w:rPr>
                <w:iCs/>
              </w:rPr>
            </w:pPr>
            <m:oMathPara>
              <m:oMathParaPr>
                <m:jc m:val="left"/>
              </m:oMathParaPr>
              <m:oMath>
                <m:f>
                  <m:fPr>
                    <m:ctrlPr>
                      <w:rPr>
                        <w:rFonts w:ascii="Cambria Math" w:hAnsi="Cambria Math"/>
                        <w:i/>
                        <w:iCs/>
                      </w:rPr>
                    </m:ctrlPr>
                  </m:fPr>
                  <m:num>
                    <m:r>
                      <w:rPr>
                        <w:rFonts w:ascii="Cambria Math" w:hAnsi="Cambria Math"/>
                      </w:rPr>
                      <m:t>da</m:t>
                    </m:r>
                  </m:num>
                  <m:den>
                    <m:r>
                      <w:rPr>
                        <w:rFonts w:ascii="Cambria Math" w:hAnsi="Cambria Math"/>
                      </w:rPr>
                      <m:t>dN</m:t>
                    </m:r>
                  </m:den>
                </m:f>
                <m:r>
                  <w:rPr>
                    <w:rFonts w:ascii="Cambria Math" w:hAnsi="Cambria Math"/>
                  </w:rPr>
                  <m:t>=1.2∙</m:t>
                </m:r>
                <m:sSup>
                  <m:sSupPr>
                    <m:ctrlPr>
                      <w:rPr>
                        <w:rFonts w:ascii="Cambria Math" w:hAnsi="Cambria Math"/>
                        <w:i/>
                        <w:iCs/>
                      </w:rPr>
                    </m:ctrlPr>
                  </m:sSupPr>
                  <m:e>
                    <m:r>
                      <w:rPr>
                        <w:rFonts w:ascii="Cambria Math" w:hAnsi="Cambria Math"/>
                      </w:rPr>
                      <m:t>10</m:t>
                    </m:r>
                  </m:e>
                  <m:sup>
                    <m:r>
                      <w:rPr>
                        <w:rFonts w:ascii="Cambria Math" w:hAnsi="Cambria Math"/>
                      </w:rPr>
                      <m:t>-7</m:t>
                    </m:r>
                  </m:sup>
                </m:sSup>
                <m:r>
                  <w:rPr>
                    <w:rFonts w:ascii="Cambria Math" w:hAnsi="Cambria Math"/>
                  </w:rPr>
                  <m:t xml:space="preserve"> </m:t>
                </m:r>
                <m:d>
                  <m:dPr>
                    <m:ctrlPr>
                      <w:rPr>
                        <w:rFonts w:ascii="Cambria Math" w:hAnsi="Cambria Math"/>
                        <w:i/>
                        <w:iCs/>
                      </w:rPr>
                    </m:ctrlPr>
                  </m:dPr>
                  <m:e>
                    <m:r>
                      <w:rPr>
                        <w:rFonts w:ascii="Cambria Math" w:hAnsi="Cambria Math"/>
                      </w:rPr>
                      <m:t>1+3R</m:t>
                    </m:r>
                  </m:e>
                </m:d>
                <m:r>
                  <w:rPr>
                    <w:rFonts w:ascii="Cambria Math" w:hAnsi="Cambria Math"/>
                  </w:rPr>
                  <m:t xml:space="preserve"> </m:t>
                </m:r>
                <m:sSup>
                  <m:sSupPr>
                    <m:ctrlPr>
                      <w:rPr>
                        <w:rFonts w:ascii="Cambria Math" w:hAnsi="Cambria Math"/>
                        <w:i/>
                        <w:iCs/>
                      </w:rPr>
                    </m:ctrlPr>
                  </m:sSupPr>
                  <m:e>
                    <m:r>
                      <w:rPr>
                        <w:rFonts w:ascii="Cambria Math" w:hAnsi="Cambria Math"/>
                      </w:rPr>
                      <m:t>∆K</m:t>
                    </m:r>
                  </m:e>
                  <m:sup>
                    <m:r>
                      <w:rPr>
                        <w:rFonts w:ascii="Cambria Math" w:hAnsi="Cambria Math"/>
                      </w:rPr>
                      <m:t>3</m:t>
                    </m:r>
                  </m:sup>
                </m:sSup>
              </m:oMath>
            </m:oMathPara>
          </w:p>
        </w:tc>
        <w:tc>
          <w:tcPr>
            <w:tcW w:w="4058" w:type="dxa"/>
          </w:tcPr>
          <w:p w14:paraId="53CBA186" w14:textId="2678446B" w:rsidR="003F2C2F" w:rsidRPr="006D7EF7" w:rsidRDefault="00DA51A4" w:rsidP="00DA51A4">
            <w:pPr>
              <w:spacing w:before="120" w:after="120"/>
              <w:jc w:val="left"/>
              <w:rPr>
                <w:iCs/>
              </w:rPr>
            </w:pPr>
            <m:oMathPara>
              <m:oMathParaPr>
                <m:jc m:val="left"/>
              </m:oMathParaPr>
              <m:oMath>
                <m:r>
                  <w:rPr>
                    <w:rFonts w:ascii="Cambria Math" w:hAnsi="Cambria Math"/>
                  </w:rPr>
                  <m:t>∆K&gt;</m:t>
                </m:r>
                <m:sSup>
                  <m:sSupPr>
                    <m:ctrlPr>
                      <w:rPr>
                        <w:rFonts w:ascii="Cambria Math" w:hAnsi="Cambria Math"/>
                        <w:i/>
                        <w:iCs/>
                      </w:rPr>
                    </m:ctrlPr>
                  </m:sSupPr>
                  <m:e>
                    <m:d>
                      <m:dPr>
                        <m:begChr m:val="["/>
                        <m:endChr m:val="]"/>
                        <m:ctrlPr>
                          <w:rPr>
                            <w:rFonts w:ascii="Cambria Math" w:hAnsi="Cambria Math"/>
                            <w:i/>
                            <w:iCs/>
                          </w:rPr>
                        </m:ctrlPr>
                      </m:dPr>
                      <m:e>
                        <m:r>
                          <w:rPr>
                            <w:rFonts w:ascii="Cambria Math" w:hAnsi="Cambria Math"/>
                          </w:rPr>
                          <m:t>3.6667∙</m:t>
                        </m:r>
                        <m:sSup>
                          <m:sSupPr>
                            <m:ctrlPr>
                              <w:rPr>
                                <w:rFonts w:ascii="Cambria Math" w:hAnsi="Cambria Math"/>
                                <w:i/>
                                <w:iCs/>
                              </w:rPr>
                            </m:ctrlPr>
                          </m:sSupPr>
                          <m:e>
                            <m:r>
                              <w:rPr>
                                <w:rFonts w:ascii="Cambria Math" w:hAnsi="Cambria Math"/>
                              </w:rPr>
                              <m:t>10</m:t>
                            </m:r>
                          </m:e>
                          <m:sup>
                            <m:r>
                              <w:rPr>
                                <w:rFonts w:ascii="Cambria Math" w:hAnsi="Cambria Math"/>
                              </w:rPr>
                              <m:t>-6</m:t>
                            </m:r>
                          </m:sup>
                        </m:sSup>
                        <m:rad>
                          <m:radPr>
                            <m:degHide m:val="1"/>
                            <m:ctrlPr>
                              <w:rPr>
                                <w:rFonts w:ascii="Cambria Math" w:hAnsi="Cambria Math"/>
                                <w:i/>
                                <w:iCs/>
                              </w:rPr>
                            </m:ctrlPr>
                          </m:radPr>
                          <m:deg/>
                          <m:e>
                            <m:sSub>
                              <m:sSubPr>
                                <m:ctrlPr>
                                  <w:rPr>
                                    <w:rFonts w:ascii="Cambria Math" w:hAnsi="Cambria Math"/>
                                    <w:i/>
                                    <w:iCs/>
                                  </w:rPr>
                                </m:ctrlPr>
                              </m:sSubPr>
                              <m:e>
                                <m:r>
                                  <w:rPr>
                                    <w:rFonts w:ascii="Cambria Math" w:hAnsi="Cambria Math"/>
                                  </w:rPr>
                                  <m:t>p</m:t>
                                </m:r>
                              </m:e>
                              <m:sub>
                                <m:sSub>
                                  <m:sSubPr>
                                    <m:ctrlPr>
                                      <w:rPr>
                                        <w:rFonts w:ascii="Cambria Math" w:hAnsi="Cambria Math"/>
                                        <w:i/>
                                        <w:iCs/>
                                      </w:rPr>
                                    </m:ctrlPr>
                                  </m:sSubPr>
                                  <m:e>
                                    <m:r>
                                      <w:rPr>
                                        <w:rFonts w:ascii="Cambria Math" w:hAnsi="Cambria Math"/>
                                      </w:rPr>
                                      <m:t>H</m:t>
                                    </m:r>
                                  </m:e>
                                  <m:sub>
                                    <m:r>
                                      <w:rPr>
                                        <w:rFonts w:ascii="Cambria Math" w:hAnsi="Cambria Math"/>
                                      </w:rPr>
                                      <m:t>2</m:t>
                                    </m:r>
                                  </m:sub>
                                </m:sSub>
                              </m:sub>
                            </m:sSub>
                          </m:e>
                        </m:rad>
                      </m:e>
                    </m:d>
                  </m:e>
                  <m:sup>
                    <m:r>
                      <w:rPr>
                        <w:rFonts w:ascii="Cambria Math" w:hAnsi="Cambria Math"/>
                      </w:rPr>
                      <m:t>-0.25</m:t>
                    </m:r>
                  </m:sup>
                </m:sSup>
              </m:oMath>
            </m:oMathPara>
          </w:p>
        </w:tc>
        <w:tc>
          <w:tcPr>
            <w:tcW w:w="764" w:type="dxa"/>
            <w:vMerge/>
            <w:shd w:val="clear" w:color="auto" w:fill="auto"/>
            <w:vAlign w:val="center"/>
          </w:tcPr>
          <w:p w14:paraId="335CB083" w14:textId="2DDEB4D2" w:rsidR="003F2C2F" w:rsidRPr="006D7EF7" w:rsidRDefault="003F2C2F" w:rsidP="00B93C2D">
            <w:pPr>
              <w:spacing w:before="120" w:after="120"/>
              <w:jc w:val="right"/>
              <w:rPr>
                <w:iCs/>
              </w:rPr>
            </w:pPr>
          </w:p>
        </w:tc>
      </w:tr>
    </w:tbl>
    <w:p w14:paraId="2ADF211D" w14:textId="0A7DF5FE" w:rsidR="00310CF9" w:rsidRPr="006D7EF7" w:rsidRDefault="00EC6093" w:rsidP="00BC384C">
      <w:pPr>
        <w:pStyle w:val="CETBodytext"/>
        <w:rPr>
          <w:lang w:val="en-GB"/>
        </w:rPr>
      </w:pPr>
      <w:r w:rsidRPr="006D7EF7">
        <w:rPr>
          <w:lang w:val="en-GB"/>
        </w:rPr>
        <w:t>w</w:t>
      </w:r>
      <w:r w:rsidR="00310CF9" w:rsidRPr="006D7EF7">
        <w:rPr>
          <w:lang w:val="en-GB"/>
        </w:rPr>
        <w:t>here</w:t>
      </w:r>
      <w:r w:rsidR="00761975" w:rsidRPr="006D7EF7">
        <w:rPr>
          <w:lang w:val="en-GB"/>
        </w:rPr>
        <w:t xml:space="preserve"> </w:t>
      </w:r>
      <m:oMath>
        <m:r>
          <w:rPr>
            <w:rFonts w:ascii="Cambria Math" w:hAnsi="Cambria Math"/>
            <w:lang w:val="en-GB"/>
          </w:rPr>
          <m:t>∆K</m:t>
        </m:r>
      </m:oMath>
      <w:r w:rsidR="00310CF9" w:rsidRPr="006D7EF7">
        <w:rPr>
          <w:lang w:val="en-GB"/>
        </w:rPr>
        <w:t xml:space="preserve"> is the stress intensity range</w:t>
      </w:r>
      <w:r w:rsidR="00635F9E">
        <w:rPr>
          <w:lang w:val="en-GB"/>
        </w:rPr>
        <w:t xml:space="preserve"> (MPa</w:t>
      </w:r>
      <w:r w:rsidR="00635F9E">
        <w:rPr>
          <w:rFonts w:ascii="Times New Roman" w:hAnsi="Times New Roman"/>
          <w:lang w:val="en-GB"/>
        </w:rPr>
        <w:t>ꞏ</w:t>
      </w:r>
      <w:r w:rsidR="00635F9E">
        <w:rPr>
          <w:lang w:val="en-GB"/>
        </w:rPr>
        <w:t>m</w:t>
      </w:r>
      <w:r w:rsidR="00635F9E" w:rsidRPr="0001253D">
        <w:rPr>
          <w:vertAlign w:val="superscript"/>
          <w:lang w:val="en-GB"/>
        </w:rPr>
        <w:t>1/2</w:t>
      </w:r>
      <w:r w:rsidR="00635F9E">
        <w:rPr>
          <w:lang w:val="en-GB"/>
        </w:rPr>
        <w:t>)</w:t>
      </w:r>
      <w:r w:rsidR="00310CF9" w:rsidRPr="006D7EF7">
        <w:rPr>
          <w:lang w:val="en-GB"/>
        </w:rPr>
        <w:t xml:space="preserve">, and </w:t>
      </w:r>
      <m:oMath>
        <m:sSub>
          <m:sSubPr>
            <m:ctrlPr>
              <w:rPr>
                <w:rFonts w:ascii="Cambria Math" w:hAnsi="Cambria Math"/>
                <w:i/>
                <w:iCs/>
                <w:lang w:val="en-GB"/>
              </w:rPr>
            </m:ctrlPr>
          </m:sSubPr>
          <m:e>
            <m:r>
              <w:rPr>
                <w:rFonts w:ascii="Cambria Math" w:hAnsi="Cambria Math"/>
                <w:lang w:val="en-GB"/>
              </w:rPr>
              <m:t>p</m:t>
            </m:r>
          </m:e>
          <m:sub>
            <m:sSub>
              <m:sSubPr>
                <m:ctrlPr>
                  <w:rPr>
                    <w:rFonts w:ascii="Cambria Math" w:hAnsi="Cambria Math"/>
                    <w:i/>
                    <w:iCs/>
                    <w:lang w:val="en-GB"/>
                  </w:rPr>
                </m:ctrlPr>
              </m:sSubPr>
              <m:e>
                <m:r>
                  <w:rPr>
                    <w:rFonts w:ascii="Cambria Math" w:hAnsi="Cambria Math"/>
                    <w:lang w:val="en-GB"/>
                  </w:rPr>
                  <m:t>H</m:t>
                </m:r>
              </m:e>
              <m:sub>
                <m:r>
                  <w:rPr>
                    <w:rFonts w:ascii="Cambria Math" w:hAnsi="Cambria Math"/>
                    <w:lang w:val="en-GB"/>
                  </w:rPr>
                  <m:t>2</m:t>
                </m:r>
              </m:sub>
            </m:sSub>
          </m:sub>
        </m:sSub>
        <m:r>
          <w:rPr>
            <w:rFonts w:ascii="Cambria Math" w:hAnsi="Cambria Math"/>
            <w:lang w:val="en-GB"/>
          </w:rPr>
          <m:t xml:space="preserve"> </m:t>
        </m:r>
      </m:oMath>
      <w:r w:rsidR="00635F9E">
        <w:rPr>
          <w:lang w:val="en-GB"/>
        </w:rPr>
        <w:t xml:space="preserve">(bar) </w:t>
      </w:r>
      <w:r w:rsidR="00310CF9" w:rsidRPr="006D7EF7">
        <w:rPr>
          <w:lang w:val="en-GB"/>
        </w:rPr>
        <w:t>is the hydrogen partial pressure. The crack growth increments at the crack depth (</w:t>
      </w:r>
      <m:oMath>
        <m:r>
          <w:rPr>
            <w:rFonts w:ascii="Cambria Math" w:hAnsi="Cambria Math"/>
            <w:lang w:val="en-GB"/>
          </w:rPr>
          <m:t>da⁄dN</m:t>
        </m:r>
      </m:oMath>
      <w:r w:rsidR="00310CF9" w:rsidRPr="006D7EF7">
        <w:rPr>
          <w:lang w:val="en-GB"/>
        </w:rPr>
        <w:t>) and surface (</w:t>
      </w:r>
      <m:oMath>
        <m:r>
          <w:rPr>
            <w:rFonts w:ascii="Cambria Math" w:hAnsi="Cambria Math"/>
            <w:lang w:val="en-GB"/>
          </w:rPr>
          <m:t>dc⁄dN</m:t>
        </m:r>
      </m:oMath>
      <w:r w:rsidR="00310CF9" w:rsidRPr="006D7EF7">
        <w:rPr>
          <w:lang w:val="en-GB"/>
        </w:rPr>
        <w:t>) are added to the initial crack depth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0</m:t>
            </m:r>
          </m:sub>
        </m:sSub>
      </m:oMath>
      <w:r w:rsidR="00310CF9" w:rsidRPr="006D7EF7">
        <w:rPr>
          <w:lang w:val="en-GB"/>
        </w:rPr>
        <w:t>) and semi-length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0</m:t>
            </m:r>
          </m:sub>
        </m:sSub>
      </m:oMath>
      <w:r w:rsidR="00310CF9" w:rsidRPr="006D7EF7">
        <w:rPr>
          <w:lang w:val="en-GB"/>
        </w:rPr>
        <w:t>) after each pressure cycle, updating continuously the stress intensity ranges until a critical number of cycles is reached.</w:t>
      </w:r>
      <w:r w:rsidR="00374C50" w:rsidRPr="006D7EF7">
        <w:rPr>
          <w:lang w:val="en-GB"/>
        </w:rPr>
        <w:t xml:space="preserve"> </w:t>
      </w:r>
      <w:r w:rsidR="000B5180" w:rsidRPr="006D7EF7">
        <w:rPr>
          <w:lang w:val="en-GB"/>
        </w:rPr>
        <w:t>The continuous increasing of the crack propagation justifies the connection with the Markov state model</w:t>
      </w:r>
      <w:r w:rsidR="00BC384C" w:rsidRPr="006D7EF7">
        <w:rPr>
          <w:lang w:val="en-GB"/>
        </w:rPr>
        <w:t>.</w:t>
      </w:r>
    </w:p>
    <w:p w14:paraId="74B6A4F0" w14:textId="67874928" w:rsidR="006A21C8" w:rsidRPr="006D7EF7" w:rsidRDefault="009B66F9" w:rsidP="00132E7F">
      <w:pPr>
        <w:pStyle w:val="CETheadingx"/>
        <w:rPr>
          <w:lang w:val="en-GB"/>
        </w:rPr>
      </w:pPr>
      <w:r w:rsidRPr="006D7EF7">
        <w:rPr>
          <w:lang w:val="en-GB"/>
        </w:rPr>
        <w:t>Optimi</w:t>
      </w:r>
      <w:r w:rsidR="0041260A" w:rsidRPr="006D7EF7">
        <w:rPr>
          <w:lang w:val="en-GB"/>
        </w:rPr>
        <w:t>s</w:t>
      </w:r>
      <w:r w:rsidRPr="006D7EF7">
        <w:rPr>
          <w:lang w:val="en-GB"/>
        </w:rPr>
        <w:t>ation problem</w:t>
      </w:r>
    </w:p>
    <w:p w14:paraId="2B0970FF" w14:textId="77777777" w:rsidR="008162E1" w:rsidRPr="006D7EF7" w:rsidRDefault="008162E1" w:rsidP="0001253D">
      <w:pPr>
        <w:pStyle w:val="Paragrafoelenco"/>
        <w:ind w:left="0"/>
      </w:pPr>
      <w:r w:rsidRPr="006D7EF7">
        <w:t>The optimisation problem aims to minimise the cost function expressed in Eq.(5):</w:t>
      </w:r>
    </w:p>
    <w:tbl>
      <w:tblPr>
        <w:tblW w:w="5000" w:type="pct"/>
        <w:tblLook w:val="04A0" w:firstRow="1" w:lastRow="0" w:firstColumn="1" w:lastColumn="0" w:noHBand="0" w:noVBand="1"/>
      </w:tblPr>
      <w:tblGrid>
        <w:gridCol w:w="7983"/>
        <w:gridCol w:w="804"/>
      </w:tblGrid>
      <w:tr w:rsidR="008162E1" w:rsidRPr="006D7EF7" w14:paraId="2BC99029" w14:textId="77777777" w:rsidTr="003A6009">
        <w:tc>
          <w:tcPr>
            <w:tcW w:w="7983" w:type="dxa"/>
            <w:shd w:val="clear" w:color="auto" w:fill="auto"/>
            <w:vAlign w:val="center"/>
          </w:tcPr>
          <w:p w14:paraId="2440B47D" w14:textId="77777777" w:rsidR="008162E1" w:rsidRPr="006D7EF7" w:rsidRDefault="008162E1" w:rsidP="003A6009">
            <w:pPr>
              <w:spacing w:before="120" w:after="120"/>
              <w:rPr>
                <w:rFonts w:ascii="Cambria Math" w:hAnsi="Cambria Math"/>
                <w:oMath/>
              </w:rPr>
            </w:pPr>
            <m:oMath>
              <m:r>
                <w:rPr>
                  <w:rFonts w:ascii="Cambria Math" w:hAnsi="Cambria Math"/>
                </w:rPr>
                <m:t>C</m:t>
              </m:r>
              <m:d>
                <m:dPr>
                  <m:ctrlPr>
                    <w:rPr>
                      <w:rFonts w:ascii="Cambria Math" w:hAnsi="Cambria Math"/>
                      <w:i/>
                    </w:rPr>
                  </m:ctrlPr>
                </m:dPr>
                <m:e>
                  <m:r>
                    <w:rPr>
                      <w:rFonts w:ascii="Cambria Math" w:hAnsi="Cambria Math"/>
                    </w:rPr>
                    <m:t>τ, l</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I</m:t>
                      </m:r>
                    </m:sub>
                  </m:sSub>
                </m:num>
                <m:den>
                  <m:r>
                    <w:rPr>
                      <w:rFonts w:ascii="Cambria Math" w:hAnsi="Cambria Math"/>
                    </w:rPr>
                    <m:t>τ</m:t>
                  </m:r>
                </m:den>
              </m:f>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F,tot</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E</m:t>
                  </m:r>
                </m:sub>
              </m:sSub>
              <m:d>
                <m:dPr>
                  <m:ctrlPr>
                    <w:rPr>
                      <w:rFonts w:ascii="Cambria Math" w:hAnsi="Cambria Math"/>
                      <w:i/>
                    </w:rPr>
                  </m:ctrlPr>
                </m:dPr>
                <m:e>
                  <m:r>
                    <w:rPr>
                      <w:rFonts w:ascii="Cambria Math" w:hAnsi="Cambria Math"/>
                    </w:rPr>
                    <m:t>τ,l</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RC</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E</m:t>
                  </m:r>
                </m:sub>
              </m:sSub>
              <m:d>
                <m:dPr>
                  <m:ctrlPr>
                    <w:rPr>
                      <w:rFonts w:ascii="Cambria Math" w:hAnsi="Cambria Math"/>
                      <w:i/>
                    </w:rPr>
                  </m:ctrlPr>
                </m:dPr>
                <m:e>
                  <m:r>
                    <w:rPr>
                      <w:rFonts w:ascii="Cambria Math" w:hAnsi="Cambria Math"/>
                    </w:rPr>
                    <m:t>τ,l</m:t>
                  </m:r>
                </m:e>
              </m:d>
            </m:oMath>
            <w:r w:rsidRPr="006D7EF7">
              <w:t xml:space="preserve"> </w:t>
            </w:r>
          </w:p>
        </w:tc>
        <w:tc>
          <w:tcPr>
            <w:tcW w:w="804" w:type="dxa"/>
            <w:shd w:val="clear" w:color="auto" w:fill="auto"/>
            <w:vAlign w:val="center"/>
          </w:tcPr>
          <w:p w14:paraId="6158EEAF" w14:textId="77777777" w:rsidR="008162E1" w:rsidRPr="006D7EF7" w:rsidRDefault="008162E1" w:rsidP="003A6009">
            <w:pPr>
              <w:spacing w:before="120" w:after="120"/>
              <w:jc w:val="right"/>
              <w:rPr>
                <w:iCs/>
              </w:rPr>
            </w:pPr>
            <w:r w:rsidRPr="006D7EF7">
              <w:rPr>
                <w:iCs/>
              </w:rPr>
              <w:t>(5)</w:t>
            </w:r>
          </w:p>
        </w:tc>
      </w:tr>
    </w:tbl>
    <w:p w14:paraId="6EAC2D8A" w14:textId="77777777" w:rsidR="008162E1" w:rsidRPr="006D7EF7" w:rsidRDefault="008162E1" w:rsidP="008162E1">
      <w:pPr>
        <w:pStyle w:val="Paragrafoelenco"/>
        <w:ind w:left="0"/>
        <w:rPr>
          <w:highlight w:val="yellow"/>
        </w:rPr>
      </w:pPr>
      <w:r w:rsidRPr="006D7EF7">
        <w:t xml:space="preserve">where </w:t>
      </w:r>
      <m:oMath>
        <m:r>
          <w:rPr>
            <w:rFonts w:ascii="Cambria Math" w:hAnsi="Cambria Math"/>
          </w:rPr>
          <m:t>τ</m:t>
        </m:r>
      </m:oMath>
      <w:r w:rsidRPr="006D7EF7">
        <w:t xml:space="preserve"> is the inspection period, </w:t>
      </w:r>
      <m:oMath>
        <m:r>
          <w:rPr>
            <w:rFonts w:ascii="Cambria Math" w:hAnsi="Cambria Math"/>
          </w:rPr>
          <m:t>l</m:t>
        </m:r>
      </m:oMath>
      <w:r w:rsidRPr="006D7EF7">
        <w:t xml:space="preserve"> is the maintenance limit.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D7EF7">
        <w:t xml:space="preserve"> is the cost of an inspection, </w:t>
      </w:r>
      <m:oMath>
        <m:sSub>
          <m:sSubPr>
            <m:ctrlPr>
              <w:rPr>
                <w:rFonts w:ascii="Cambria Math" w:hAnsi="Cambria Math"/>
                <w:i/>
              </w:rPr>
            </m:ctrlPr>
          </m:sSubPr>
          <m:e>
            <m:r>
              <w:rPr>
                <w:rFonts w:ascii="Cambria Math" w:hAnsi="Cambria Math"/>
              </w:rPr>
              <m:t>C</m:t>
            </m:r>
          </m:e>
          <m:sub>
            <m:r>
              <w:rPr>
                <w:rFonts w:ascii="Cambria Math" w:hAnsi="Cambria Math"/>
              </w:rPr>
              <m:t>F,tot</m:t>
            </m:r>
          </m:sub>
        </m:sSub>
      </m:oMath>
      <w:r w:rsidRPr="006D7EF7">
        <w:t xml:space="preserve"> is the sum of the total expected cost of a failure, including downtime cost, trip cost, any safety costs, and cost of repair, </w:t>
      </w:r>
      <m:oMath>
        <m:sSub>
          <m:sSubPr>
            <m:ctrlPr>
              <w:rPr>
                <w:rFonts w:ascii="Cambria Math" w:hAnsi="Cambria Math"/>
                <w:i/>
              </w:rPr>
            </m:ctrlPr>
          </m:sSubPr>
          <m:e>
            <m:r>
              <w:rPr>
                <w:rFonts w:ascii="Cambria Math" w:hAnsi="Cambria Math"/>
              </w:rPr>
              <m:t>C</m:t>
            </m:r>
          </m:e>
          <m:sub>
            <m:r>
              <w:rPr>
                <w:rFonts w:ascii="Cambria Math" w:hAnsi="Cambria Math"/>
              </w:rPr>
              <m:t>RC</m:t>
            </m:r>
          </m:sub>
        </m:sSub>
      </m:oMath>
      <w:r w:rsidRPr="006D7EF7">
        <w:rPr>
          <w:rFonts w:eastAsiaTheme="minorEastAsia"/>
        </w:rPr>
        <w:t xml:space="preserve"> </w:t>
      </w:r>
      <w:r w:rsidRPr="006D7EF7">
        <w:t xml:space="preserve">is the cost of renewing a degraded item (i.e., not failed but above or equal to the maintenance limit). </w:t>
      </w:r>
      <m:oMath>
        <m:sSub>
          <m:sSubPr>
            <m:ctrlPr>
              <w:rPr>
                <w:rFonts w:ascii="Cambria Math" w:hAnsi="Cambria Math"/>
                <w:i/>
              </w:rPr>
            </m:ctrlPr>
          </m:sSubPr>
          <m:e>
            <m:r>
              <w:rPr>
                <w:rFonts w:ascii="Cambria Math" w:hAnsi="Cambria Math"/>
              </w:rPr>
              <m:t>λ</m:t>
            </m:r>
          </m:e>
          <m:sub>
            <m:r>
              <w:rPr>
                <w:rFonts w:ascii="Cambria Math" w:hAnsi="Cambria Math"/>
              </w:rPr>
              <m:t>E</m:t>
            </m:r>
          </m:sub>
        </m:sSub>
        <m:d>
          <m:dPr>
            <m:ctrlPr>
              <w:rPr>
                <w:rFonts w:ascii="Cambria Math" w:hAnsi="Cambria Math"/>
                <w:i/>
              </w:rPr>
            </m:ctrlPr>
          </m:dPr>
          <m:e>
            <m:r>
              <w:rPr>
                <w:rFonts w:ascii="Cambria Math" w:hAnsi="Cambria Math"/>
              </w:rPr>
              <m:t>τ,l</m:t>
            </m:r>
          </m:e>
        </m:d>
      </m:oMath>
      <w:r w:rsidRPr="006D7EF7">
        <w:t xml:space="preserve"> and </w:t>
      </w:r>
      <m:oMath>
        <m:sSub>
          <m:sSubPr>
            <m:ctrlPr>
              <w:rPr>
                <w:rFonts w:ascii="Cambria Math" w:hAnsi="Cambria Math"/>
                <w:i/>
              </w:rPr>
            </m:ctrlPr>
          </m:sSubPr>
          <m:e>
            <m:r>
              <w:rPr>
                <w:rFonts w:ascii="Cambria Math" w:hAnsi="Cambria Math"/>
              </w:rPr>
              <m:t>ρ</m:t>
            </m:r>
          </m:e>
          <m:sub>
            <m:r>
              <w:rPr>
                <w:rFonts w:ascii="Cambria Math" w:hAnsi="Cambria Math"/>
              </w:rPr>
              <m:t>E</m:t>
            </m:r>
          </m:sub>
        </m:sSub>
        <m:d>
          <m:dPr>
            <m:ctrlPr>
              <w:rPr>
                <w:rFonts w:ascii="Cambria Math" w:hAnsi="Cambria Math"/>
                <w:i/>
              </w:rPr>
            </m:ctrlPr>
          </m:dPr>
          <m:e>
            <m:r>
              <w:rPr>
                <w:rFonts w:ascii="Cambria Math" w:hAnsi="Cambria Math"/>
              </w:rPr>
              <m:t>τ,l</m:t>
            </m:r>
          </m:e>
        </m:d>
      </m:oMath>
      <w:r w:rsidRPr="006D7EF7">
        <w:t xml:space="preserve"> are the solutions of the Markov state model: the first term</w:t>
      </w:r>
      <w:r w:rsidRPr="006D7EF7">
        <w:rPr>
          <w:rFonts w:eastAsiaTheme="minorEastAsia"/>
        </w:rPr>
        <w:t xml:space="preserve"> </w:t>
      </w:r>
      <w:r w:rsidRPr="006D7EF7">
        <w:t xml:space="preserve">is the effective failure rate for an item inspected at regular intervals of length </w:t>
      </w:r>
      <m:oMath>
        <m:r>
          <w:rPr>
            <w:rFonts w:ascii="Cambria Math" w:hAnsi="Cambria Math"/>
          </w:rPr>
          <m:t>τ</m:t>
        </m:r>
      </m:oMath>
      <w:r w:rsidRPr="006D7EF7">
        <w:t xml:space="preserve"> and renewed if the maintenance limit is reached at an inspection date; the second term is the expected number of renewals per unit of time for an item inspected at regular intervals of length</w:t>
      </w:r>
      <w:r w:rsidRPr="006D7EF7">
        <w:rPr>
          <w:rFonts w:ascii="Cambria Math" w:hAnsi="Cambria Math"/>
          <w:i/>
        </w:rPr>
        <w:t xml:space="preserve"> </w:t>
      </w:r>
      <m:oMath>
        <m:r>
          <w:rPr>
            <w:rFonts w:ascii="Cambria Math" w:hAnsi="Cambria Math"/>
          </w:rPr>
          <m:t>τ</m:t>
        </m:r>
      </m:oMath>
      <w:r w:rsidRPr="006D7EF7">
        <w:t xml:space="preserve"> and renewed if the maintenance limit is reached at an inspection date. An optimal value for the cost function can be estimated varying the inspection period and/or the maintenance limit. </w:t>
      </w:r>
    </w:p>
    <w:p w14:paraId="07409785" w14:textId="3BF2AC2A" w:rsidR="00C91FA9" w:rsidRPr="006D7EF7" w:rsidRDefault="00342A00" w:rsidP="008162E1">
      <w:pPr>
        <w:pStyle w:val="CETHeading1"/>
        <w:numPr>
          <w:ilvl w:val="1"/>
          <w:numId w:val="24"/>
        </w:numPr>
        <w:rPr>
          <w:lang w:val="en-GB"/>
        </w:rPr>
      </w:pPr>
      <w:r w:rsidRPr="006D7EF7">
        <w:rPr>
          <w:lang w:val="en-GB"/>
        </w:rPr>
        <w:t>Case study</w:t>
      </w:r>
    </w:p>
    <w:p w14:paraId="55C7CF19" w14:textId="55A75207" w:rsidR="00BA2570" w:rsidRPr="006D7EF7" w:rsidRDefault="0009440C" w:rsidP="00B76F03">
      <w:pPr>
        <w:pStyle w:val="CETBodytext"/>
        <w:spacing w:before="240"/>
        <w:rPr>
          <w:lang w:val="en-GB"/>
        </w:rPr>
      </w:pPr>
      <w:r w:rsidRPr="006D7EF7">
        <w:rPr>
          <w:lang w:val="en-GB"/>
        </w:rPr>
        <w:t xml:space="preserve">The methodology is applied the Langeled subsea pipeline in the North Sea. </w:t>
      </w:r>
      <w:r w:rsidR="002813D6" w:rsidRPr="006D7EF7">
        <w:rPr>
          <w:lang w:val="en-GB"/>
        </w:rPr>
        <w:t xml:space="preserve">Data </w:t>
      </w:r>
      <w:r w:rsidRPr="006D7EF7">
        <w:rPr>
          <w:lang w:val="en-GB"/>
        </w:rPr>
        <w:t>about</w:t>
      </w:r>
      <w:r w:rsidR="007D189B" w:rsidRPr="006D7EF7">
        <w:rPr>
          <w:lang w:val="en-GB"/>
        </w:rPr>
        <w:t xml:space="preserve"> the pipeline geometry, material, and manufacturing process are collected in </w:t>
      </w:r>
      <w:r w:rsidR="003A6A06" w:rsidRPr="006D7EF7">
        <w:rPr>
          <w:lang w:val="en-GB"/>
        </w:rPr>
        <w:fldChar w:fldCharType="begin"/>
      </w:r>
      <w:r w:rsidR="003A6A06" w:rsidRPr="006D7EF7">
        <w:rPr>
          <w:lang w:val="en-GB"/>
        </w:rPr>
        <w:instrText xml:space="preserve"> REF _Ref177716060 \h </w:instrText>
      </w:r>
      <w:r w:rsidR="003A6A06" w:rsidRPr="006D7EF7">
        <w:rPr>
          <w:lang w:val="en-GB"/>
        </w:rPr>
      </w:r>
      <w:r w:rsidR="003A6A06" w:rsidRPr="006D7EF7">
        <w:rPr>
          <w:lang w:val="en-GB"/>
        </w:rPr>
        <w:fldChar w:fldCharType="separate"/>
      </w:r>
      <w:r w:rsidR="00A54A01" w:rsidRPr="006D7EF7">
        <w:rPr>
          <w:lang w:val="en-GB"/>
        </w:rPr>
        <w:t xml:space="preserve">Table </w:t>
      </w:r>
      <w:r w:rsidR="00A54A01" w:rsidRPr="006D7EF7">
        <w:rPr>
          <w:noProof/>
          <w:lang w:val="en-GB"/>
        </w:rPr>
        <w:t>1</w:t>
      </w:r>
      <w:r w:rsidR="003A6A06" w:rsidRPr="006D7EF7">
        <w:rPr>
          <w:lang w:val="en-GB"/>
        </w:rPr>
        <w:fldChar w:fldCharType="end"/>
      </w:r>
      <w:r w:rsidR="003A6A06" w:rsidRPr="006D7EF7">
        <w:rPr>
          <w:lang w:val="en-GB"/>
        </w:rPr>
        <w:t>.</w:t>
      </w:r>
      <w:r w:rsidR="00B76F03" w:rsidRPr="006D7EF7">
        <w:rPr>
          <w:lang w:val="en-GB"/>
        </w:rPr>
        <w:t xml:space="preserve"> </w:t>
      </w:r>
    </w:p>
    <w:p w14:paraId="6B43CBFE" w14:textId="2E658785" w:rsidR="00B76F03" w:rsidRPr="006D7EF7" w:rsidRDefault="00B76F03" w:rsidP="0014162F">
      <w:pPr>
        <w:pStyle w:val="CETBodytext"/>
        <w:rPr>
          <w:lang w:val="en-GB"/>
        </w:rPr>
      </w:pPr>
      <w:r w:rsidRPr="006D7EF7">
        <w:rPr>
          <w:lang w:val="en-GB"/>
        </w:rPr>
        <w:t xml:space="preserve">This pipeline is primarily exposed to fatigue degradation due to the pressure cycles caused by line packing. Seven states for the Markov models have been identified by </w:t>
      </w:r>
      <w:r w:rsidR="004075D1" w:rsidRPr="006D7EF7">
        <w:rPr>
          <w:lang w:val="en-GB"/>
        </w:rPr>
        <w:t>selecting the initial crack size according to the standard DVGW G 464 for the fracture mechanical assessment of hydrogen transport pipelines (DVGW, 2023)</w:t>
      </w:r>
      <w:r w:rsidR="00403038" w:rsidRPr="006D7EF7">
        <w:rPr>
          <w:lang w:val="en-GB"/>
        </w:rPr>
        <w:t xml:space="preserve">, as </w:t>
      </w:r>
      <w:r w:rsidRPr="006D7EF7">
        <w:rPr>
          <w:lang w:val="en-GB"/>
        </w:rPr>
        <w:t xml:space="preserve">shown in </w:t>
      </w:r>
      <w:r w:rsidRPr="006D7EF7">
        <w:rPr>
          <w:lang w:val="en-GB"/>
        </w:rPr>
        <w:fldChar w:fldCharType="begin"/>
      </w:r>
      <w:r w:rsidRPr="006D7EF7">
        <w:rPr>
          <w:lang w:val="en-GB"/>
        </w:rPr>
        <w:instrText xml:space="preserve"> REF _Ref178675643 \h </w:instrText>
      </w:r>
      <w:r w:rsidRPr="006D7EF7">
        <w:rPr>
          <w:lang w:val="en-GB"/>
        </w:rPr>
      </w:r>
      <w:r w:rsidRPr="006D7EF7">
        <w:rPr>
          <w:lang w:val="en-GB"/>
        </w:rPr>
        <w:fldChar w:fldCharType="separate"/>
      </w:r>
      <w:r w:rsidR="00A54A01" w:rsidRPr="006D7EF7">
        <w:rPr>
          <w:lang w:val="en-GB"/>
        </w:rPr>
        <w:t xml:space="preserve">Table </w:t>
      </w:r>
      <w:r w:rsidR="00A54A01" w:rsidRPr="006D7EF7">
        <w:rPr>
          <w:noProof/>
          <w:lang w:val="en-GB"/>
        </w:rPr>
        <w:t>2</w:t>
      </w:r>
      <w:r w:rsidRPr="006D7EF7">
        <w:rPr>
          <w:lang w:val="en-GB"/>
        </w:rPr>
        <w:fldChar w:fldCharType="end"/>
      </w:r>
      <w:r w:rsidRPr="006D7EF7">
        <w:rPr>
          <w:lang w:val="en-GB"/>
        </w:rPr>
        <w:t xml:space="preserve">. </w:t>
      </w:r>
      <w:r w:rsidR="004B755A" w:rsidRPr="006D7EF7">
        <w:rPr>
          <w:lang w:val="en-GB"/>
        </w:rPr>
        <w:t xml:space="preserve">The physical model allows the estimation of the number of pressure cycles and time corresponding to each state for different load conditions. However, the exact values of the amplitude and frequency of pressure fluctuations, in the ranges in </w:t>
      </w:r>
      <w:r w:rsidRPr="006D7EF7">
        <w:rPr>
          <w:lang w:val="en-GB"/>
        </w:rPr>
        <w:fldChar w:fldCharType="begin"/>
      </w:r>
      <w:r w:rsidRPr="006D7EF7">
        <w:rPr>
          <w:lang w:val="en-GB"/>
        </w:rPr>
        <w:instrText xml:space="preserve"> REF _Ref177716060 \h </w:instrText>
      </w:r>
      <w:r w:rsidRPr="006D7EF7">
        <w:rPr>
          <w:lang w:val="en-GB"/>
        </w:rPr>
      </w:r>
      <w:r w:rsidRPr="006D7EF7">
        <w:rPr>
          <w:lang w:val="en-GB"/>
        </w:rPr>
        <w:fldChar w:fldCharType="separate"/>
      </w:r>
      <w:r w:rsidR="00A54A01" w:rsidRPr="006D7EF7">
        <w:rPr>
          <w:lang w:val="en-GB"/>
        </w:rPr>
        <w:t xml:space="preserve">Table </w:t>
      </w:r>
      <w:r w:rsidR="00A54A01" w:rsidRPr="006D7EF7">
        <w:rPr>
          <w:noProof/>
          <w:lang w:val="en-GB"/>
        </w:rPr>
        <w:t>1</w:t>
      </w:r>
      <w:r w:rsidRPr="006D7EF7">
        <w:rPr>
          <w:lang w:val="en-GB"/>
        </w:rPr>
        <w:fldChar w:fldCharType="end"/>
      </w:r>
      <w:r w:rsidRPr="006D7EF7">
        <w:rPr>
          <w:lang w:val="en-GB"/>
        </w:rPr>
        <w:t xml:space="preserve">, are </w:t>
      </w:r>
      <w:r w:rsidR="004B755A" w:rsidRPr="006D7EF7">
        <w:rPr>
          <w:lang w:val="en-GB"/>
        </w:rPr>
        <w:t xml:space="preserve">relatively </w:t>
      </w:r>
      <w:r w:rsidRPr="006D7EF7">
        <w:rPr>
          <w:lang w:val="en-GB"/>
        </w:rPr>
        <w:t xml:space="preserve">unpredictable. Hence, the results of the physical model are obtained in different conditions and an average value for each state is used as the transition rate, </w:t>
      </w:r>
      <w:r w:rsidR="004075D1" w:rsidRPr="006D7EF7">
        <w:rPr>
          <w:lang w:val="en-GB"/>
        </w:rPr>
        <w:t xml:space="preserve">i.e., </w:t>
      </w:r>
      <w:r w:rsidRPr="006D7EF7">
        <w:rPr>
          <w:lang w:val="en-GB"/>
        </w:rPr>
        <w:t>the input to the Markov state model.</w:t>
      </w:r>
    </w:p>
    <w:p w14:paraId="11697268" w14:textId="7AEEA91E" w:rsidR="003A6A06" w:rsidRPr="006D7EF7" w:rsidRDefault="003A6A06" w:rsidP="008A12C9">
      <w:pPr>
        <w:pStyle w:val="CETTabletitle"/>
        <w:spacing w:before="120"/>
      </w:pPr>
      <w:bookmarkStart w:id="3" w:name="_Ref177716060"/>
      <w:r w:rsidRPr="006D7EF7">
        <w:lastRenderedPageBreak/>
        <w:t xml:space="preserve">Table </w:t>
      </w:r>
      <w:r w:rsidRPr="006D7EF7">
        <w:fldChar w:fldCharType="begin"/>
      </w:r>
      <w:r w:rsidRPr="006D7EF7">
        <w:instrText xml:space="preserve"> SEQ Table \* ARABIC </w:instrText>
      </w:r>
      <w:r w:rsidRPr="006D7EF7">
        <w:fldChar w:fldCharType="separate"/>
      </w:r>
      <w:r w:rsidR="00A54A01" w:rsidRPr="006D7EF7">
        <w:rPr>
          <w:noProof/>
        </w:rPr>
        <w:t>1</w:t>
      </w:r>
      <w:r w:rsidRPr="006D7EF7">
        <w:fldChar w:fldCharType="end"/>
      </w:r>
      <w:bookmarkEnd w:id="3"/>
      <w:r w:rsidRPr="006D7EF7">
        <w:t xml:space="preserve">: Characteristics </w:t>
      </w:r>
      <w:r w:rsidR="00CB6927" w:rsidRPr="006D7EF7">
        <w:t xml:space="preserve">(left) and operating conditions (right) </w:t>
      </w:r>
      <w:r w:rsidRPr="006D7EF7">
        <w:t>of the Langeled pipeline</w:t>
      </w:r>
      <w:r w:rsidR="004075D1" w:rsidRPr="006D7EF7">
        <w:t xml:space="preserve"> (Alvaro et al., 2021)</w:t>
      </w:r>
      <w:r w:rsidRPr="006D7EF7">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00"/>
        <w:gridCol w:w="2940"/>
        <w:gridCol w:w="2340"/>
        <w:gridCol w:w="1407"/>
      </w:tblGrid>
      <w:tr w:rsidR="00CB6927" w:rsidRPr="006D7EF7" w14:paraId="42E6ECCE" w14:textId="0B94ED5E" w:rsidTr="00081FAF">
        <w:tc>
          <w:tcPr>
            <w:tcW w:w="2100" w:type="dxa"/>
            <w:tcBorders>
              <w:top w:val="single" w:sz="12" w:space="0" w:color="008000"/>
              <w:bottom w:val="single" w:sz="6" w:space="0" w:color="008000"/>
            </w:tcBorders>
            <w:shd w:val="clear" w:color="auto" w:fill="FFFFFF"/>
          </w:tcPr>
          <w:p w14:paraId="727CAD1B" w14:textId="0B2E2A7C" w:rsidR="00CB6927" w:rsidRPr="006D7EF7" w:rsidRDefault="00CB6927" w:rsidP="00CB6927">
            <w:pPr>
              <w:pStyle w:val="CETBodytext"/>
              <w:rPr>
                <w:lang w:val="en-GB"/>
              </w:rPr>
            </w:pPr>
            <w:r w:rsidRPr="006D7EF7">
              <w:rPr>
                <w:lang w:val="en-GB"/>
              </w:rPr>
              <w:t>Parameter</w:t>
            </w:r>
          </w:p>
        </w:tc>
        <w:tc>
          <w:tcPr>
            <w:tcW w:w="2940" w:type="dxa"/>
            <w:tcBorders>
              <w:top w:val="single" w:sz="12" w:space="0" w:color="008000"/>
              <w:bottom w:val="single" w:sz="6" w:space="0" w:color="008000"/>
            </w:tcBorders>
            <w:shd w:val="clear" w:color="auto" w:fill="FFFFFF"/>
          </w:tcPr>
          <w:p w14:paraId="3409E89C" w14:textId="523B85A6" w:rsidR="00CB6927" w:rsidRPr="006D7EF7" w:rsidRDefault="00CB6927" w:rsidP="00CB6927">
            <w:pPr>
              <w:pStyle w:val="CETBodytext"/>
              <w:rPr>
                <w:lang w:val="en-GB"/>
              </w:rPr>
            </w:pPr>
            <w:r w:rsidRPr="006D7EF7">
              <w:rPr>
                <w:lang w:val="en-GB"/>
              </w:rPr>
              <w:t>Value/type</w:t>
            </w:r>
          </w:p>
        </w:tc>
        <w:tc>
          <w:tcPr>
            <w:tcW w:w="2340" w:type="dxa"/>
            <w:tcBorders>
              <w:top w:val="single" w:sz="12" w:space="0" w:color="008000"/>
              <w:bottom w:val="single" w:sz="6" w:space="0" w:color="008000"/>
            </w:tcBorders>
            <w:shd w:val="clear" w:color="auto" w:fill="FFFFFF"/>
          </w:tcPr>
          <w:p w14:paraId="655B2FA3" w14:textId="5EF31C02" w:rsidR="00CB6927" w:rsidRPr="006D7EF7" w:rsidRDefault="00CB6927" w:rsidP="00CB6927">
            <w:pPr>
              <w:pStyle w:val="CETBodytext"/>
              <w:rPr>
                <w:lang w:val="en-GB"/>
              </w:rPr>
            </w:pPr>
            <w:r w:rsidRPr="006D7EF7">
              <w:rPr>
                <w:lang w:val="en-GB"/>
              </w:rPr>
              <w:t>Parameter</w:t>
            </w:r>
          </w:p>
        </w:tc>
        <w:tc>
          <w:tcPr>
            <w:tcW w:w="1407" w:type="dxa"/>
            <w:tcBorders>
              <w:top w:val="single" w:sz="12" w:space="0" w:color="008000"/>
              <w:bottom w:val="single" w:sz="6" w:space="0" w:color="008000"/>
            </w:tcBorders>
            <w:shd w:val="clear" w:color="auto" w:fill="FFFFFF"/>
          </w:tcPr>
          <w:p w14:paraId="6B62EBC4" w14:textId="2F866EF7" w:rsidR="00CB6927" w:rsidRPr="006D7EF7" w:rsidRDefault="00CB6927" w:rsidP="00CB6927">
            <w:pPr>
              <w:pStyle w:val="CETBodytext"/>
              <w:rPr>
                <w:lang w:val="en-GB"/>
              </w:rPr>
            </w:pPr>
            <w:r w:rsidRPr="006D7EF7">
              <w:rPr>
                <w:lang w:val="en-GB"/>
              </w:rPr>
              <w:t>Value/type</w:t>
            </w:r>
          </w:p>
        </w:tc>
      </w:tr>
      <w:tr w:rsidR="006F51B8" w:rsidRPr="006D7EF7" w14:paraId="4B77E8AF" w14:textId="2BA0CF9E" w:rsidTr="00081FAF">
        <w:tc>
          <w:tcPr>
            <w:tcW w:w="2100" w:type="dxa"/>
            <w:shd w:val="clear" w:color="auto" w:fill="FFFFFF"/>
          </w:tcPr>
          <w:p w14:paraId="30176371" w14:textId="2F1DC114" w:rsidR="006F51B8" w:rsidRPr="006D7EF7" w:rsidRDefault="006F51B8" w:rsidP="006F51B8">
            <w:pPr>
              <w:pStyle w:val="CETBodytext"/>
              <w:rPr>
                <w:lang w:val="en-GB"/>
              </w:rPr>
            </w:pPr>
            <w:r w:rsidRPr="006D7EF7">
              <w:rPr>
                <w:lang w:val="en-GB"/>
              </w:rPr>
              <w:t>Length</w:t>
            </w:r>
          </w:p>
        </w:tc>
        <w:tc>
          <w:tcPr>
            <w:tcW w:w="2940" w:type="dxa"/>
            <w:shd w:val="clear" w:color="auto" w:fill="FFFFFF"/>
          </w:tcPr>
          <w:p w14:paraId="0C4EC045" w14:textId="4F8D70B4" w:rsidR="006F51B8" w:rsidRPr="006D7EF7" w:rsidRDefault="006F51B8" w:rsidP="006F51B8">
            <w:pPr>
              <w:pStyle w:val="CETBodytext"/>
              <w:rPr>
                <w:lang w:val="en-GB"/>
              </w:rPr>
            </w:pPr>
            <w:r w:rsidRPr="006D7EF7">
              <w:rPr>
                <w:lang w:val="en-GB"/>
              </w:rPr>
              <w:t>1116 km</w:t>
            </w:r>
          </w:p>
        </w:tc>
        <w:tc>
          <w:tcPr>
            <w:tcW w:w="2340" w:type="dxa"/>
            <w:shd w:val="clear" w:color="auto" w:fill="FFFFFF"/>
          </w:tcPr>
          <w:p w14:paraId="7C0FF4FC" w14:textId="10EDB09C" w:rsidR="006F51B8" w:rsidRPr="006D7EF7" w:rsidRDefault="006F51B8" w:rsidP="006F51B8">
            <w:pPr>
              <w:pStyle w:val="CETBodytext"/>
              <w:jc w:val="left"/>
              <w:rPr>
                <w:lang w:val="en-GB"/>
              </w:rPr>
            </w:pPr>
            <w:r w:rsidRPr="006D7EF7">
              <w:rPr>
                <w:rFonts w:cs="Arial"/>
                <w:szCs w:val="18"/>
                <w:lang w:val="en-GB"/>
              </w:rPr>
              <w:t>Coating</w:t>
            </w:r>
          </w:p>
        </w:tc>
        <w:tc>
          <w:tcPr>
            <w:tcW w:w="1407" w:type="dxa"/>
            <w:shd w:val="clear" w:color="auto" w:fill="FFFFFF"/>
          </w:tcPr>
          <w:p w14:paraId="5349A28F" w14:textId="099D0281" w:rsidR="006F51B8" w:rsidRPr="006D7EF7" w:rsidRDefault="006F51B8" w:rsidP="006F51B8">
            <w:pPr>
              <w:pStyle w:val="CETBodytext"/>
              <w:rPr>
                <w:lang w:val="en-GB"/>
              </w:rPr>
            </w:pPr>
            <w:r w:rsidRPr="006D7EF7">
              <w:rPr>
                <w:rFonts w:cs="Arial"/>
                <w:szCs w:val="18"/>
                <w:lang w:val="en-GB"/>
              </w:rPr>
              <w:t>FBE</w:t>
            </w:r>
          </w:p>
        </w:tc>
      </w:tr>
      <w:tr w:rsidR="006F51B8" w:rsidRPr="006D7EF7" w14:paraId="4B586EAA" w14:textId="5A3186B7" w:rsidTr="00F31E04">
        <w:tc>
          <w:tcPr>
            <w:tcW w:w="2100" w:type="dxa"/>
            <w:shd w:val="clear" w:color="auto" w:fill="FFFFFF"/>
          </w:tcPr>
          <w:p w14:paraId="5226599E" w14:textId="594BC9FB" w:rsidR="006F51B8" w:rsidRPr="006D7EF7" w:rsidRDefault="006F51B8" w:rsidP="006F51B8">
            <w:pPr>
              <w:pStyle w:val="CETBodytext"/>
              <w:ind w:right="-1"/>
              <w:rPr>
                <w:rFonts w:cs="Arial"/>
                <w:szCs w:val="18"/>
                <w:lang w:val="en-GB"/>
              </w:rPr>
            </w:pPr>
            <w:r w:rsidRPr="006D7EF7">
              <w:rPr>
                <w:rFonts w:cs="Arial"/>
                <w:szCs w:val="18"/>
                <w:lang w:val="en-GB"/>
              </w:rPr>
              <w:t>Outer diameter</w:t>
            </w:r>
          </w:p>
        </w:tc>
        <w:tc>
          <w:tcPr>
            <w:tcW w:w="2940" w:type="dxa"/>
            <w:shd w:val="clear" w:color="auto" w:fill="FFFFFF"/>
          </w:tcPr>
          <w:p w14:paraId="2448DD4A" w14:textId="460ADA50" w:rsidR="006F51B8" w:rsidRPr="006D7EF7" w:rsidRDefault="006F51B8" w:rsidP="006F51B8">
            <w:pPr>
              <w:pStyle w:val="CETBodytext"/>
              <w:ind w:right="-1"/>
              <w:rPr>
                <w:rFonts w:cs="Arial"/>
                <w:szCs w:val="18"/>
                <w:lang w:val="en-GB"/>
              </w:rPr>
            </w:pPr>
            <w:r w:rsidRPr="006D7EF7">
              <w:rPr>
                <w:rFonts w:cs="Arial"/>
                <w:szCs w:val="18"/>
                <w:lang w:val="en-GB"/>
              </w:rPr>
              <w:t>1100 mm</w:t>
            </w:r>
          </w:p>
        </w:tc>
        <w:tc>
          <w:tcPr>
            <w:tcW w:w="2340" w:type="dxa"/>
            <w:tcBorders>
              <w:bottom w:val="nil"/>
            </w:tcBorders>
            <w:shd w:val="clear" w:color="auto" w:fill="FFFFFF"/>
          </w:tcPr>
          <w:p w14:paraId="76214B0F" w14:textId="62E30C34" w:rsidR="006F51B8" w:rsidRPr="006D7EF7" w:rsidRDefault="006F51B8" w:rsidP="006F51B8">
            <w:pPr>
              <w:pStyle w:val="CETBodytext"/>
              <w:ind w:right="-1"/>
              <w:jc w:val="left"/>
              <w:rPr>
                <w:rFonts w:cs="Arial"/>
                <w:szCs w:val="18"/>
                <w:lang w:val="en-GB"/>
              </w:rPr>
            </w:pPr>
            <w:r w:rsidRPr="006D7EF7">
              <w:rPr>
                <w:lang w:val="en-GB"/>
              </w:rPr>
              <w:t>Design pressure</w:t>
            </w:r>
          </w:p>
        </w:tc>
        <w:tc>
          <w:tcPr>
            <w:tcW w:w="1407" w:type="dxa"/>
            <w:tcBorders>
              <w:bottom w:val="nil"/>
            </w:tcBorders>
            <w:shd w:val="clear" w:color="auto" w:fill="FFFFFF"/>
          </w:tcPr>
          <w:p w14:paraId="390A0CE6" w14:textId="3B581855" w:rsidR="006F51B8" w:rsidRPr="006D7EF7" w:rsidRDefault="006F51B8" w:rsidP="006F51B8">
            <w:pPr>
              <w:pStyle w:val="CETBodytext"/>
              <w:ind w:right="-1"/>
              <w:rPr>
                <w:rFonts w:cs="Arial"/>
                <w:szCs w:val="18"/>
                <w:lang w:val="en-GB"/>
              </w:rPr>
            </w:pPr>
            <w:r w:rsidRPr="006D7EF7">
              <w:rPr>
                <w:lang w:val="en-GB"/>
              </w:rPr>
              <w:t>15.0 MPa</w:t>
            </w:r>
          </w:p>
        </w:tc>
      </w:tr>
      <w:tr w:rsidR="002C7FF4" w:rsidRPr="006D7EF7" w14:paraId="5D67397D" w14:textId="2B9BD3B6" w:rsidTr="00F31E04">
        <w:tc>
          <w:tcPr>
            <w:tcW w:w="2100" w:type="dxa"/>
            <w:tcBorders>
              <w:bottom w:val="nil"/>
            </w:tcBorders>
            <w:shd w:val="clear" w:color="auto" w:fill="FFFFFF"/>
          </w:tcPr>
          <w:p w14:paraId="3B65BBA8" w14:textId="6F69B713" w:rsidR="002C7FF4" w:rsidRPr="006D7EF7" w:rsidRDefault="002C7FF4" w:rsidP="006F51B8">
            <w:pPr>
              <w:pStyle w:val="CETBodytext"/>
              <w:ind w:right="-1"/>
              <w:rPr>
                <w:rFonts w:cs="Arial"/>
                <w:szCs w:val="18"/>
                <w:lang w:val="en-GB"/>
              </w:rPr>
            </w:pPr>
            <w:r w:rsidRPr="006D7EF7">
              <w:rPr>
                <w:rFonts w:cs="Arial"/>
                <w:szCs w:val="18"/>
                <w:lang w:val="en-GB"/>
              </w:rPr>
              <w:t>Thickness</w:t>
            </w:r>
          </w:p>
        </w:tc>
        <w:tc>
          <w:tcPr>
            <w:tcW w:w="2940" w:type="dxa"/>
            <w:tcBorders>
              <w:bottom w:val="nil"/>
              <w:right w:val="nil"/>
            </w:tcBorders>
            <w:shd w:val="clear" w:color="auto" w:fill="FFFFFF"/>
          </w:tcPr>
          <w:p w14:paraId="48DCE5C3" w14:textId="3F8B5CA5" w:rsidR="002C7FF4" w:rsidRPr="006D7EF7" w:rsidRDefault="002C7FF4" w:rsidP="006F51B8">
            <w:pPr>
              <w:pStyle w:val="CETBodytext"/>
              <w:ind w:right="-1"/>
              <w:rPr>
                <w:rFonts w:cs="Arial"/>
                <w:szCs w:val="18"/>
                <w:lang w:val="en-GB"/>
              </w:rPr>
            </w:pPr>
            <w:r w:rsidRPr="006D7EF7">
              <w:rPr>
                <w:rFonts w:cs="Arial"/>
                <w:szCs w:val="18"/>
                <w:lang w:val="en-GB"/>
              </w:rPr>
              <w:t>41 mm</w:t>
            </w:r>
          </w:p>
        </w:tc>
        <w:tc>
          <w:tcPr>
            <w:tcW w:w="2340" w:type="dxa"/>
            <w:tcBorders>
              <w:top w:val="nil"/>
              <w:left w:val="nil"/>
              <w:bottom w:val="nil"/>
              <w:right w:val="nil"/>
            </w:tcBorders>
            <w:shd w:val="clear" w:color="auto" w:fill="FFFFFF"/>
          </w:tcPr>
          <w:p w14:paraId="4C72EAFE" w14:textId="76CC5B0F" w:rsidR="002C7FF4" w:rsidRPr="006D7EF7" w:rsidRDefault="002C7FF4" w:rsidP="006F51B8">
            <w:pPr>
              <w:pStyle w:val="CETBodytext"/>
              <w:ind w:right="-1"/>
              <w:jc w:val="left"/>
              <w:rPr>
                <w:rFonts w:cs="Arial"/>
                <w:szCs w:val="18"/>
                <w:lang w:val="en-GB"/>
              </w:rPr>
            </w:pPr>
            <w:r w:rsidRPr="006D7EF7">
              <w:rPr>
                <w:szCs w:val="18"/>
                <w:lang w:val="en-GB"/>
              </w:rPr>
              <w:t>Temperature</w:t>
            </w:r>
          </w:p>
        </w:tc>
        <w:tc>
          <w:tcPr>
            <w:tcW w:w="1407" w:type="dxa"/>
            <w:tcBorders>
              <w:top w:val="nil"/>
              <w:left w:val="nil"/>
              <w:bottom w:val="nil"/>
              <w:right w:val="nil"/>
            </w:tcBorders>
            <w:shd w:val="clear" w:color="auto" w:fill="FFFFFF"/>
          </w:tcPr>
          <w:p w14:paraId="1415B4AD" w14:textId="0C11147D" w:rsidR="002C7FF4" w:rsidRPr="006D7EF7" w:rsidRDefault="002C7FF4" w:rsidP="006F51B8">
            <w:pPr>
              <w:pStyle w:val="CETBodytext"/>
              <w:ind w:right="-1"/>
              <w:rPr>
                <w:rFonts w:cs="Arial"/>
                <w:szCs w:val="18"/>
                <w:lang w:val="en-GB"/>
              </w:rPr>
            </w:pPr>
            <w:r w:rsidRPr="006D7EF7">
              <w:rPr>
                <w:szCs w:val="18"/>
                <w:lang w:val="en-GB"/>
              </w:rPr>
              <w:t>6 °C</w:t>
            </w:r>
          </w:p>
        </w:tc>
      </w:tr>
      <w:tr w:rsidR="00F31E04" w:rsidRPr="006D7EF7" w14:paraId="6399D9D0" w14:textId="113C14EA" w:rsidTr="00F31E04">
        <w:trPr>
          <w:trHeight w:val="173"/>
        </w:trPr>
        <w:tc>
          <w:tcPr>
            <w:tcW w:w="2100" w:type="dxa"/>
            <w:tcBorders>
              <w:top w:val="nil"/>
              <w:left w:val="nil"/>
              <w:bottom w:val="nil"/>
              <w:right w:val="nil"/>
            </w:tcBorders>
            <w:shd w:val="clear" w:color="auto" w:fill="FFFFFF"/>
          </w:tcPr>
          <w:p w14:paraId="50F06B5C" w14:textId="77777777" w:rsidR="00F31E04" w:rsidRPr="006D7EF7" w:rsidRDefault="00F31E04" w:rsidP="006F51B8">
            <w:pPr>
              <w:pStyle w:val="CETBodytext"/>
              <w:ind w:right="-1"/>
              <w:rPr>
                <w:rFonts w:cs="Arial"/>
                <w:szCs w:val="18"/>
                <w:lang w:val="en-GB"/>
              </w:rPr>
            </w:pPr>
            <w:r w:rsidRPr="006D7EF7">
              <w:rPr>
                <w:rFonts w:cs="Arial"/>
                <w:szCs w:val="18"/>
                <w:lang w:val="en-GB"/>
              </w:rPr>
              <w:t>Material</w:t>
            </w:r>
          </w:p>
        </w:tc>
        <w:tc>
          <w:tcPr>
            <w:tcW w:w="2940" w:type="dxa"/>
            <w:tcBorders>
              <w:top w:val="nil"/>
              <w:left w:val="nil"/>
              <w:bottom w:val="nil"/>
              <w:right w:val="nil"/>
            </w:tcBorders>
            <w:shd w:val="clear" w:color="auto" w:fill="FFFFFF"/>
          </w:tcPr>
          <w:p w14:paraId="052B2793" w14:textId="1B66C717" w:rsidR="00F31E04" w:rsidRPr="006D7EF7" w:rsidRDefault="00F31E04" w:rsidP="006F51B8">
            <w:pPr>
              <w:pStyle w:val="CETBodytext"/>
              <w:ind w:right="-1"/>
              <w:rPr>
                <w:rFonts w:cs="Arial"/>
                <w:szCs w:val="18"/>
                <w:lang w:val="en-GB"/>
              </w:rPr>
            </w:pPr>
            <w:r w:rsidRPr="006D7EF7">
              <w:rPr>
                <w:rFonts w:cs="Arial"/>
                <w:szCs w:val="18"/>
                <w:lang w:val="en-GB"/>
              </w:rPr>
              <w:t>API 5L X60</w:t>
            </w:r>
          </w:p>
        </w:tc>
        <w:tc>
          <w:tcPr>
            <w:tcW w:w="2340" w:type="dxa"/>
            <w:vMerge w:val="restart"/>
            <w:tcBorders>
              <w:top w:val="nil"/>
              <w:left w:val="nil"/>
              <w:right w:val="nil"/>
            </w:tcBorders>
            <w:shd w:val="clear" w:color="auto" w:fill="FFFFFF"/>
          </w:tcPr>
          <w:p w14:paraId="6DEE3C54" w14:textId="025934BB" w:rsidR="00F31E04" w:rsidRPr="006D7EF7" w:rsidRDefault="00F31E04" w:rsidP="00F31E04">
            <w:pPr>
              <w:pStyle w:val="CETBodytext"/>
              <w:ind w:right="-1"/>
              <w:jc w:val="left"/>
              <w:rPr>
                <w:rFonts w:cs="Arial"/>
                <w:szCs w:val="18"/>
                <w:lang w:val="en-GB"/>
              </w:rPr>
            </w:pPr>
            <w:r w:rsidRPr="006D7EF7">
              <w:rPr>
                <w:rFonts w:cs="Arial"/>
                <w:szCs w:val="18"/>
                <w:lang w:val="en-GB"/>
              </w:rPr>
              <w:t>Amplitude of pressure fluctuations</w:t>
            </w:r>
          </w:p>
        </w:tc>
        <w:tc>
          <w:tcPr>
            <w:tcW w:w="1407" w:type="dxa"/>
            <w:vMerge w:val="restart"/>
            <w:tcBorders>
              <w:top w:val="nil"/>
              <w:left w:val="nil"/>
              <w:right w:val="nil"/>
            </w:tcBorders>
            <w:shd w:val="clear" w:color="auto" w:fill="FFFFFF"/>
          </w:tcPr>
          <w:p w14:paraId="48FB09AF" w14:textId="4FDB1340" w:rsidR="00F31E04" w:rsidRPr="006D7EF7" w:rsidRDefault="00F31E04" w:rsidP="006F51B8">
            <w:pPr>
              <w:pStyle w:val="CETBodytext"/>
              <w:ind w:right="-1"/>
              <w:rPr>
                <w:rFonts w:cs="Arial"/>
                <w:szCs w:val="18"/>
                <w:lang w:val="en-GB"/>
              </w:rPr>
            </w:pPr>
            <w:r w:rsidRPr="006D7EF7">
              <w:rPr>
                <w:szCs w:val="18"/>
                <w:lang w:val="en-GB"/>
              </w:rPr>
              <w:t>10.5 - 12 MPa</w:t>
            </w:r>
          </w:p>
        </w:tc>
      </w:tr>
      <w:tr w:rsidR="00F31E04" w:rsidRPr="006D7EF7" w14:paraId="4103FB58" w14:textId="77777777" w:rsidTr="00F31E04">
        <w:trPr>
          <w:trHeight w:val="173"/>
        </w:trPr>
        <w:tc>
          <w:tcPr>
            <w:tcW w:w="2100" w:type="dxa"/>
            <w:tcBorders>
              <w:top w:val="nil"/>
              <w:left w:val="nil"/>
              <w:bottom w:val="nil"/>
              <w:right w:val="nil"/>
            </w:tcBorders>
            <w:shd w:val="clear" w:color="auto" w:fill="FFFFFF"/>
          </w:tcPr>
          <w:p w14:paraId="628532FE" w14:textId="39DED201" w:rsidR="00F31E04" w:rsidRPr="006D7EF7" w:rsidRDefault="00F31E04" w:rsidP="006F51B8">
            <w:pPr>
              <w:pStyle w:val="CETBodytext"/>
              <w:ind w:right="-1"/>
              <w:rPr>
                <w:rFonts w:cs="Arial"/>
                <w:szCs w:val="18"/>
                <w:lang w:val="en-GB"/>
              </w:rPr>
            </w:pPr>
            <w:r w:rsidRPr="006D7EF7">
              <w:rPr>
                <w:rFonts w:cs="Arial"/>
                <w:szCs w:val="18"/>
                <w:lang w:val="en-GB"/>
              </w:rPr>
              <w:t>Yield strength</w:t>
            </w:r>
          </w:p>
        </w:tc>
        <w:tc>
          <w:tcPr>
            <w:tcW w:w="2940" w:type="dxa"/>
            <w:tcBorders>
              <w:top w:val="nil"/>
              <w:left w:val="nil"/>
              <w:bottom w:val="nil"/>
              <w:right w:val="nil"/>
            </w:tcBorders>
            <w:shd w:val="clear" w:color="auto" w:fill="FFFFFF"/>
          </w:tcPr>
          <w:p w14:paraId="1C901430" w14:textId="3221783C" w:rsidR="00F31E04" w:rsidRPr="006D7EF7" w:rsidRDefault="00F31E04" w:rsidP="006F51B8">
            <w:pPr>
              <w:pStyle w:val="CETBodytext"/>
              <w:ind w:right="-1"/>
              <w:rPr>
                <w:rFonts w:cs="Arial"/>
                <w:szCs w:val="18"/>
                <w:lang w:val="en-GB"/>
              </w:rPr>
            </w:pPr>
            <w:r w:rsidRPr="006D7EF7">
              <w:rPr>
                <w:rFonts w:cs="Arial"/>
                <w:szCs w:val="18"/>
                <w:lang w:val="en-GB"/>
              </w:rPr>
              <w:t>481 MPa</w:t>
            </w:r>
          </w:p>
        </w:tc>
        <w:tc>
          <w:tcPr>
            <w:tcW w:w="2340" w:type="dxa"/>
            <w:vMerge/>
            <w:tcBorders>
              <w:left w:val="nil"/>
              <w:bottom w:val="nil"/>
              <w:right w:val="nil"/>
            </w:tcBorders>
            <w:shd w:val="clear" w:color="auto" w:fill="FFFFFF"/>
          </w:tcPr>
          <w:p w14:paraId="5E633A38" w14:textId="77777777" w:rsidR="00F31E04" w:rsidRPr="006D7EF7" w:rsidRDefault="00F31E04" w:rsidP="00F31E04">
            <w:pPr>
              <w:pStyle w:val="CETBodytext"/>
              <w:ind w:right="-1"/>
              <w:jc w:val="left"/>
              <w:rPr>
                <w:rFonts w:cs="Arial"/>
                <w:szCs w:val="18"/>
                <w:lang w:val="en-GB"/>
              </w:rPr>
            </w:pPr>
          </w:p>
        </w:tc>
        <w:tc>
          <w:tcPr>
            <w:tcW w:w="1407" w:type="dxa"/>
            <w:vMerge/>
            <w:tcBorders>
              <w:left w:val="nil"/>
              <w:bottom w:val="nil"/>
              <w:right w:val="nil"/>
            </w:tcBorders>
            <w:shd w:val="clear" w:color="auto" w:fill="FFFFFF"/>
          </w:tcPr>
          <w:p w14:paraId="1FBD6CCF" w14:textId="77777777" w:rsidR="00F31E04" w:rsidRPr="006D7EF7" w:rsidRDefault="00F31E04" w:rsidP="006F51B8">
            <w:pPr>
              <w:pStyle w:val="CETBodytext"/>
              <w:ind w:right="-1"/>
              <w:rPr>
                <w:szCs w:val="18"/>
                <w:lang w:val="en-GB"/>
              </w:rPr>
            </w:pPr>
          </w:p>
        </w:tc>
      </w:tr>
      <w:tr w:rsidR="00F31E04" w:rsidRPr="006D7EF7" w14:paraId="6F44EE84" w14:textId="64AE4944" w:rsidTr="00732437">
        <w:tc>
          <w:tcPr>
            <w:tcW w:w="2100" w:type="dxa"/>
            <w:tcBorders>
              <w:top w:val="nil"/>
              <w:bottom w:val="nil"/>
            </w:tcBorders>
            <w:shd w:val="clear" w:color="auto" w:fill="FFFFFF"/>
          </w:tcPr>
          <w:p w14:paraId="753B1059" w14:textId="160E8E22" w:rsidR="00F31E04" w:rsidRPr="006D7EF7" w:rsidRDefault="00F31E04" w:rsidP="006F51B8">
            <w:pPr>
              <w:pStyle w:val="CETBodytext"/>
              <w:ind w:right="-1"/>
              <w:rPr>
                <w:rFonts w:cs="Arial"/>
                <w:szCs w:val="18"/>
                <w:lang w:val="en-GB"/>
              </w:rPr>
            </w:pPr>
            <w:r w:rsidRPr="006D7EF7">
              <w:rPr>
                <w:rFonts w:cs="Arial"/>
                <w:szCs w:val="18"/>
                <w:lang w:val="en-GB"/>
              </w:rPr>
              <w:t>Ultimate tensile strength</w:t>
            </w:r>
          </w:p>
        </w:tc>
        <w:tc>
          <w:tcPr>
            <w:tcW w:w="2940" w:type="dxa"/>
            <w:tcBorders>
              <w:top w:val="nil"/>
              <w:bottom w:val="nil"/>
            </w:tcBorders>
            <w:shd w:val="clear" w:color="auto" w:fill="FFFFFF"/>
          </w:tcPr>
          <w:p w14:paraId="75EF0FFA" w14:textId="16D51605" w:rsidR="00F31E04" w:rsidRPr="006D7EF7" w:rsidRDefault="00F31E04" w:rsidP="006F51B8">
            <w:pPr>
              <w:pStyle w:val="CETBodytext"/>
              <w:ind w:right="-1"/>
              <w:rPr>
                <w:rFonts w:cs="Arial"/>
                <w:szCs w:val="18"/>
                <w:lang w:val="en-GB"/>
              </w:rPr>
            </w:pPr>
            <w:r w:rsidRPr="006D7EF7">
              <w:rPr>
                <w:rFonts w:cs="Arial"/>
                <w:szCs w:val="18"/>
                <w:lang w:val="en-GB"/>
              </w:rPr>
              <w:t>604 MPa</w:t>
            </w:r>
          </w:p>
        </w:tc>
        <w:tc>
          <w:tcPr>
            <w:tcW w:w="2340" w:type="dxa"/>
            <w:vMerge w:val="restart"/>
            <w:tcBorders>
              <w:top w:val="nil"/>
              <w:left w:val="nil"/>
            </w:tcBorders>
            <w:shd w:val="clear" w:color="auto" w:fill="FFFFFF"/>
          </w:tcPr>
          <w:p w14:paraId="69C6B49E" w14:textId="0774FEBC" w:rsidR="00F31E04" w:rsidRPr="006D7EF7" w:rsidRDefault="00F31E04" w:rsidP="006F51B8">
            <w:pPr>
              <w:pStyle w:val="CETBodytext"/>
              <w:ind w:right="-1"/>
              <w:jc w:val="left"/>
              <w:rPr>
                <w:rFonts w:cs="Arial"/>
                <w:szCs w:val="18"/>
                <w:lang w:val="en-GB"/>
              </w:rPr>
            </w:pPr>
            <w:r w:rsidRPr="006D7EF7">
              <w:rPr>
                <w:szCs w:val="18"/>
                <w:lang w:val="en-GB"/>
              </w:rPr>
              <w:t>Frequency of pressure fluctuations</w:t>
            </w:r>
          </w:p>
        </w:tc>
        <w:tc>
          <w:tcPr>
            <w:tcW w:w="1407" w:type="dxa"/>
            <w:vMerge w:val="restart"/>
            <w:tcBorders>
              <w:top w:val="nil"/>
            </w:tcBorders>
            <w:shd w:val="clear" w:color="auto" w:fill="FFFFFF"/>
          </w:tcPr>
          <w:p w14:paraId="399D1ACD" w14:textId="77777777" w:rsidR="00F31E04" w:rsidRPr="006D7EF7" w:rsidRDefault="00F31E04" w:rsidP="006F51B8">
            <w:pPr>
              <w:pStyle w:val="CETBodytext"/>
              <w:ind w:right="-1"/>
              <w:rPr>
                <w:szCs w:val="18"/>
                <w:lang w:val="en-GB"/>
              </w:rPr>
            </w:pPr>
            <w:r w:rsidRPr="006D7EF7">
              <w:rPr>
                <w:szCs w:val="18"/>
                <w:lang w:val="en-GB"/>
              </w:rPr>
              <w:t>1.16 ꞏ 10</w:t>
            </w:r>
            <w:r w:rsidRPr="006D7EF7">
              <w:rPr>
                <w:szCs w:val="18"/>
                <w:vertAlign w:val="superscript"/>
                <w:lang w:val="en-GB"/>
              </w:rPr>
              <w:t>-5</w:t>
            </w:r>
            <w:r w:rsidRPr="006D7EF7">
              <w:rPr>
                <w:szCs w:val="18"/>
                <w:lang w:val="en-GB"/>
              </w:rPr>
              <w:t xml:space="preserve"> –</w:t>
            </w:r>
          </w:p>
          <w:p w14:paraId="0D3D95D7" w14:textId="3632AF01" w:rsidR="00F31E04" w:rsidRPr="006D7EF7" w:rsidRDefault="00F31E04" w:rsidP="006F51B8">
            <w:pPr>
              <w:pStyle w:val="CETBodytext"/>
              <w:ind w:right="-1"/>
              <w:rPr>
                <w:rFonts w:cs="Arial"/>
                <w:szCs w:val="18"/>
                <w:lang w:val="en-GB"/>
              </w:rPr>
            </w:pPr>
            <w:r w:rsidRPr="006D7EF7">
              <w:rPr>
                <w:szCs w:val="18"/>
                <w:lang w:val="en-GB"/>
              </w:rPr>
              <w:t>2.31 ꞏ 10</w:t>
            </w:r>
            <w:r w:rsidRPr="006D7EF7">
              <w:rPr>
                <w:szCs w:val="18"/>
                <w:vertAlign w:val="superscript"/>
                <w:lang w:val="en-GB"/>
              </w:rPr>
              <w:t>-5</w:t>
            </w:r>
            <w:r w:rsidRPr="006D7EF7">
              <w:rPr>
                <w:szCs w:val="18"/>
                <w:lang w:val="en-GB"/>
              </w:rPr>
              <w:t xml:space="preserve"> Hz</w:t>
            </w:r>
          </w:p>
        </w:tc>
      </w:tr>
      <w:tr w:rsidR="00F31E04" w:rsidRPr="006D7EF7" w14:paraId="13FDDA85" w14:textId="1920F25A" w:rsidTr="00732437">
        <w:tc>
          <w:tcPr>
            <w:tcW w:w="2100" w:type="dxa"/>
            <w:tcBorders>
              <w:top w:val="nil"/>
            </w:tcBorders>
            <w:shd w:val="clear" w:color="auto" w:fill="FFFFFF"/>
          </w:tcPr>
          <w:p w14:paraId="387893A5" w14:textId="16262118" w:rsidR="00F31E04" w:rsidRPr="006D7EF7" w:rsidRDefault="00F31E04" w:rsidP="006F51B8">
            <w:pPr>
              <w:pStyle w:val="CETBodytext"/>
              <w:ind w:right="-1"/>
              <w:rPr>
                <w:rFonts w:cs="Arial"/>
                <w:szCs w:val="18"/>
                <w:lang w:val="en-GB"/>
              </w:rPr>
            </w:pPr>
            <w:r w:rsidRPr="006D7EF7">
              <w:rPr>
                <w:rFonts w:cs="Arial"/>
                <w:szCs w:val="18"/>
                <w:lang w:val="en-GB"/>
              </w:rPr>
              <w:t>Microstructure</w:t>
            </w:r>
          </w:p>
        </w:tc>
        <w:tc>
          <w:tcPr>
            <w:tcW w:w="2940" w:type="dxa"/>
            <w:tcBorders>
              <w:top w:val="nil"/>
            </w:tcBorders>
            <w:shd w:val="clear" w:color="auto" w:fill="FFFFFF"/>
          </w:tcPr>
          <w:p w14:paraId="04C4FBD5" w14:textId="063881F5" w:rsidR="00F31E04" w:rsidRPr="006D7EF7" w:rsidRDefault="00F31E04" w:rsidP="006F51B8">
            <w:pPr>
              <w:pStyle w:val="CETBodytext"/>
              <w:ind w:right="-1"/>
              <w:rPr>
                <w:rFonts w:cs="Arial"/>
                <w:szCs w:val="18"/>
                <w:lang w:val="en-GB"/>
              </w:rPr>
            </w:pPr>
            <w:r w:rsidRPr="006D7EF7">
              <w:rPr>
                <w:rFonts w:cs="Arial"/>
                <w:szCs w:val="18"/>
                <w:lang w:val="en-GB"/>
              </w:rPr>
              <w:t>Polygonal ferrite and pearlite</w:t>
            </w:r>
          </w:p>
        </w:tc>
        <w:tc>
          <w:tcPr>
            <w:tcW w:w="2340" w:type="dxa"/>
            <w:vMerge/>
            <w:shd w:val="clear" w:color="auto" w:fill="FFFFFF"/>
          </w:tcPr>
          <w:p w14:paraId="59546FB8" w14:textId="433132ED" w:rsidR="00F31E04" w:rsidRPr="006D7EF7" w:rsidRDefault="00F31E04" w:rsidP="006F51B8">
            <w:pPr>
              <w:pStyle w:val="CETBodytext"/>
              <w:ind w:right="-1"/>
              <w:jc w:val="left"/>
              <w:rPr>
                <w:rFonts w:cs="Arial"/>
                <w:szCs w:val="18"/>
                <w:lang w:val="en-GB"/>
              </w:rPr>
            </w:pPr>
          </w:p>
        </w:tc>
        <w:tc>
          <w:tcPr>
            <w:tcW w:w="1407" w:type="dxa"/>
            <w:vMerge/>
            <w:shd w:val="clear" w:color="auto" w:fill="FFFFFF"/>
          </w:tcPr>
          <w:p w14:paraId="1FFE172D" w14:textId="2E746AC7" w:rsidR="00F31E04" w:rsidRPr="006D7EF7" w:rsidRDefault="00F31E04" w:rsidP="006F51B8">
            <w:pPr>
              <w:pStyle w:val="CETBodytext"/>
              <w:ind w:right="-1"/>
              <w:rPr>
                <w:rFonts w:cs="Arial"/>
                <w:szCs w:val="18"/>
                <w:lang w:val="en-GB"/>
              </w:rPr>
            </w:pPr>
          </w:p>
        </w:tc>
      </w:tr>
      <w:tr w:rsidR="00F31E04" w:rsidRPr="006D7EF7" w14:paraId="09C9C9F4" w14:textId="18ED966D" w:rsidTr="00732437">
        <w:tc>
          <w:tcPr>
            <w:tcW w:w="2100" w:type="dxa"/>
            <w:shd w:val="clear" w:color="auto" w:fill="FFFFFF"/>
          </w:tcPr>
          <w:p w14:paraId="616BA8C3" w14:textId="2C29772F" w:rsidR="00F31E04" w:rsidRPr="006D7EF7" w:rsidRDefault="00F31E04" w:rsidP="00F31E04">
            <w:pPr>
              <w:pStyle w:val="CETBodytext"/>
              <w:ind w:right="-1"/>
              <w:rPr>
                <w:rFonts w:cs="Arial"/>
                <w:szCs w:val="18"/>
                <w:lang w:val="en-GB"/>
              </w:rPr>
            </w:pPr>
            <w:r w:rsidRPr="006D7EF7">
              <w:rPr>
                <w:rFonts w:cs="Arial"/>
                <w:szCs w:val="18"/>
                <w:lang w:val="en-GB"/>
              </w:rPr>
              <w:t>Manufacturing process</w:t>
            </w:r>
          </w:p>
        </w:tc>
        <w:tc>
          <w:tcPr>
            <w:tcW w:w="2940" w:type="dxa"/>
            <w:shd w:val="clear" w:color="auto" w:fill="FFFFFF"/>
          </w:tcPr>
          <w:p w14:paraId="7A36222B" w14:textId="733E98A2" w:rsidR="00F31E04" w:rsidRPr="006D7EF7" w:rsidRDefault="00F31E04" w:rsidP="00F31E04">
            <w:pPr>
              <w:pStyle w:val="CETBodytext"/>
              <w:ind w:right="-1"/>
              <w:rPr>
                <w:rFonts w:cs="Arial"/>
                <w:szCs w:val="18"/>
                <w:lang w:val="en-GB"/>
              </w:rPr>
            </w:pPr>
            <w:r w:rsidRPr="006D7EF7">
              <w:rPr>
                <w:rFonts w:cs="Arial"/>
                <w:szCs w:val="18"/>
                <w:lang w:val="en-GB"/>
              </w:rPr>
              <w:t>UOE and longitudinally welded</w:t>
            </w:r>
          </w:p>
        </w:tc>
        <w:tc>
          <w:tcPr>
            <w:tcW w:w="2340" w:type="dxa"/>
            <w:shd w:val="clear" w:color="auto" w:fill="FFFFFF"/>
          </w:tcPr>
          <w:p w14:paraId="388595A6" w14:textId="055AB507" w:rsidR="00F31E04" w:rsidRPr="006D7EF7" w:rsidRDefault="00F31E04" w:rsidP="00F31E04">
            <w:pPr>
              <w:pStyle w:val="CETBodytext"/>
              <w:ind w:right="-1"/>
              <w:rPr>
                <w:rFonts w:cs="Arial"/>
                <w:szCs w:val="18"/>
                <w:lang w:val="en-GB"/>
              </w:rPr>
            </w:pPr>
            <w:r w:rsidRPr="006D7EF7">
              <w:rPr>
                <w:szCs w:val="18"/>
                <w:lang w:val="en-GB"/>
              </w:rPr>
              <w:t>Hydrogen volume fraction</w:t>
            </w:r>
          </w:p>
        </w:tc>
        <w:tc>
          <w:tcPr>
            <w:tcW w:w="1407" w:type="dxa"/>
            <w:shd w:val="clear" w:color="auto" w:fill="FFFFFF"/>
          </w:tcPr>
          <w:p w14:paraId="6DB099BA" w14:textId="03DF93E8" w:rsidR="00F31E04" w:rsidRPr="006D7EF7" w:rsidRDefault="00F31E04" w:rsidP="00F31E04">
            <w:pPr>
              <w:pStyle w:val="CETBodytext"/>
              <w:ind w:right="-1"/>
              <w:rPr>
                <w:rFonts w:cs="Arial"/>
                <w:szCs w:val="18"/>
                <w:lang w:val="en-GB"/>
              </w:rPr>
            </w:pPr>
            <w:r w:rsidRPr="006D7EF7">
              <w:rPr>
                <w:szCs w:val="18"/>
                <w:lang w:val="en-GB"/>
              </w:rPr>
              <w:t>1.0</w:t>
            </w:r>
          </w:p>
        </w:tc>
      </w:tr>
    </w:tbl>
    <w:p w14:paraId="26D891A9" w14:textId="707A9847" w:rsidR="00027ADE" w:rsidRPr="006D7EF7" w:rsidRDefault="00027ADE" w:rsidP="00FC33D1">
      <w:pPr>
        <w:pStyle w:val="CETTabletitle"/>
      </w:pPr>
      <w:bookmarkStart w:id="4" w:name="_Ref178675643"/>
      <w:bookmarkStart w:id="5" w:name="_Ref178937224"/>
      <w:r w:rsidRPr="006D7EF7">
        <w:t xml:space="preserve">Table </w:t>
      </w:r>
      <w:r w:rsidRPr="006D7EF7">
        <w:fldChar w:fldCharType="begin"/>
      </w:r>
      <w:r w:rsidRPr="006D7EF7">
        <w:instrText xml:space="preserve"> SEQ Table \* ARABIC </w:instrText>
      </w:r>
      <w:r w:rsidRPr="006D7EF7">
        <w:fldChar w:fldCharType="separate"/>
      </w:r>
      <w:r w:rsidR="00A54A01" w:rsidRPr="006D7EF7">
        <w:rPr>
          <w:noProof/>
        </w:rPr>
        <w:t>2</w:t>
      </w:r>
      <w:r w:rsidRPr="006D7EF7">
        <w:fldChar w:fldCharType="end"/>
      </w:r>
      <w:bookmarkEnd w:id="4"/>
      <w:bookmarkEnd w:id="5"/>
      <w:r w:rsidRPr="006D7EF7">
        <w:t>:</w:t>
      </w:r>
      <w:r w:rsidR="00F30334" w:rsidRPr="006D7EF7">
        <w:t xml:space="preserve"> Definition of the states of the Markov model.</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40"/>
        <w:gridCol w:w="1301"/>
        <w:gridCol w:w="5089"/>
        <w:gridCol w:w="928"/>
        <w:gridCol w:w="929"/>
      </w:tblGrid>
      <w:tr w:rsidR="009601CA" w:rsidRPr="006D7EF7" w14:paraId="47EC68CD" w14:textId="77777777" w:rsidTr="00870860">
        <w:tc>
          <w:tcPr>
            <w:tcW w:w="540" w:type="dxa"/>
            <w:tcBorders>
              <w:top w:val="single" w:sz="12" w:space="0" w:color="008000"/>
              <w:bottom w:val="single" w:sz="6" w:space="0" w:color="008000"/>
            </w:tcBorders>
            <w:shd w:val="clear" w:color="auto" w:fill="FFFFFF"/>
          </w:tcPr>
          <w:p w14:paraId="3CCDA320" w14:textId="2705F0DA" w:rsidR="009601CA" w:rsidRPr="006D7EF7" w:rsidRDefault="009601CA" w:rsidP="009E3116">
            <w:pPr>
              <w:pStyle w:val="CETBodytext"/>
              <w:rPr>
                <w:szCs w:val="18"/>
                <w:lang w:val="en-GB"/>
              </w:rPr>
            </w:pPr>
            <w:r w:rsidRPr="006D7EF7">
              <w:rPr>
                <w:szCs w:val="18"/>
                <w:lang w:val="en-GB"/>
              </w:rPr>
              <w:t>State</w:t>
            </w:r>
          </w:p>
        </w:tc>
        <w:tc>
          <w:tcPr>
            <w:tcW w:w="1301" w:type="dxa"/>
            <w:tcBorders>
              <w:top w:val="single" w:sz="12" w:space="0" w:color="008000"/>
              <w:bottom w:val="single" w:sz="6" w:space="0" w:color="008000"/>
            </w:tcBorders>
            <w:shd w:val="clear" w:color="auto" w:fill="FFFFFF"/>
          </w:tcPr>
          <w:p w14:paraId="37F7D918" w14:textId="4D2FC57E" w:rsidR="009601CA" w:rsidRPr="006D7EF7" w:rsidRDefault="009601CA" w:rsidP="009E3116">
            <w:pPr>
              <w:pStyle w:val="CETBodytext"/>
              <w:rPr>
                <w:szCs w:val="18"/>
                <w:lang w:val="en-GB"/>
              </w:rPr>
            </w:pPr>
            <w:r w:rsidRPr="006D7EF7">
              <w:rPr>
                <w:szCs w:val="18"/>
                <w:lang w:val="en-GB"/>
              </w:rPr>
              <w:t>Description</w:t>
            </w:r>
          </w:p>
        </w:tc>
        <w:tc>
          <w:tcPr>
            <w:tcW w:w="0" w:type="auto"/>
            <w:tcBorders>
              <w:top w:val="single" w:sz="12" w:space="0" w:color="008000"/>
              <w:bottom w:val="single" w:sz="6" w:space="0" w:color="008000"/>
            </w:tcBorders>
            <w:shd w:val="clear" w:color="auto" w:fill="FFFFFF"/>
          </w:tcPr>
          <w:p w14:paraId="44B02F00" w14:textId="63E6947E" w:rsidR="009601CA" w:rsidRPr="006D7EF7" w:rsidRDefault="009601CA" w:rsidP="009E3116">
            <w:pPr>
              <w:pStyle w:val="CETBodytext"/>
              <w:rPr>
                <w:szCs w:val="18"/>
                <w:lang w:val="en-GB"/>
              </w:rPr>
            </w:pPr>
            <w:r w:rsidRPr="006D7EF7">
              <w:rPr>
                <w:szCs w:val="18"/>
                <w:lang w:val="en-GB"/>
              </w:rPr>
              <w:t>Comment</w:t>
            </w:r>
          </w:p>
        </w:tc>
        <w:tc>
          <w:tcPr>
            <w:tcW w:w="0" w:type="auto"/>
            <w:tcBorders>
              <w:top w:val="single" w:sz="12" w:space="0" w:color="008000"/>
              <w:bottom w:val="single" w:sz="6" w:space="0" w:color="008000"/>
            </w:tcBorders>
            <w:shd w:val="clear" w:color="auto" w:fill="FFFFFF"/>
          </w:tcPr>
          <w:p w14:paraId="3A5038B9" w14:textId="0645F40C" w:rsidR="009601CA" w:rsidRPr="006D7EF7" w:rsidRDefault="009601CA" w:rsidP="009E3116">
            <w:pPr>
              <w:pStyle w:val="CETBodytext"/>
              <w:rPr>
                <w:szCs w:val="18"/>
                <w:lang w:val="en-GB"/>
              </w:rPr>
            </w:pPr>
            <w:r w:rsidRPr="006D7EF7">
              <w:rPr>
                <w:szCs w:val="18"/>
                <w:lang w:val="en-GB"/>
              </w:rPr>
              <w:t>Crack depth [mm]</w:t>
            </w:r>
          </w:p>
        </w:tc>
        <w:tc>
          <w:tcPr>
            <w:tcW w:w="0" w:type="auto"/>
            <w:tcBorders>
              <w:top w:val="single" w:sz="12" w:space="0" w:color="008000"/>
              <w:bottom w:val="single" w:sz="6" w:space="0" w:color="008000"/>
            </w:tcBorders>
            <w:shd w:val="clear" w:color="auto" w:fill="FFFFFF"/>
          </w:tcPr>
          <w:p w14:paraId="329CE43B" w14:textId="1CC8B2C5" w:rsidR="009601CA" w:rsidRPr="006D7EF7" w:rsidRDefault="009601CA" w:rsidP="009E3116">
            <w:pPr>
              <w:spacing w:line="276" w:lineRule="auto"/>
              <w:jc w:val="left"/>
              <w:rPr>
                <w:szCs w:val="18"/>
              </w:rPr>
            </w:pPr>
            <w:r w:rsidRPr="006D7EF7">
              <w:rPr>
                <w:szCs w:val="18"/>
              </w:rPr>
              <w:t>Crack width [mm]</w:t>
            </w:r>
          </w:p>
        </w:tc>
      </w:tr>
      <w:tr w:rsidR="00476686" w:rsidRPr="006D7EF7" w14:paraId="08FB6E5E" w14:textId="77777777" w:rsidTr="007311FC">
        <w:tc>
          <w:tcPr>
            <w:tcW w:w="540" w:type="dxa"/>
            <w:shd w:val="clear" w:color="auto" w:fill="FFFFFF"/>
          </w:tcPr>
          <w:p w14:paraId="537D513F" w14:textId="4FF6C30D" w:rsidR="00476686" w:rsidRPr="006D7EF7" w:rsidRDefault="00476686" w:rsidP="009E3116">
            <w:pPr>
              <w:pStyle w:val="CETBodytext"/>
              <w:rPr>
                <w:szCs w:val="18"/>
                <w:lang w:val="en-GB"/>
              </w:rPr>
            </w:pPr>
            <w:r w:rsidRPr="006D7EF7">
              <w:rPr>
                <w:szCs w:val="18"/>
                <w:lang w:val="en-GB"/>
              </w:rPr>
              <w:t>0</w:t>
            </w:r>
          </w:p>
        </w:tc>
        <w:tc>
          <w:tcPr>
            <w:tcW w:w="1301" w:type="dxa"/>
            <w:shd w:val="clear" w:color="auto" w:fill="FFFFFF"/>
          </w:tcPr>
          <w:p w14:paraId="09A2B063" w14:textId="15585ECC" w:rsidR="00476686" w:rsidRPr="006D7EF7" w:rsidRDefault="00476686" w:rsidP="009E3116">
            <w:pPr>
              <w:pStyle w:val="CETBodytext"/>
              <w:rPr>
                <w:szCs w:val="18"/>
                <w:lang w:val="en-GB"/>
              </w:rPr>
            </w:pPr>
            <w:r w:rsidRPr="006D7EF7">
              <w:rPr>
                <w:szCs w:val="18"/>
                <w:lang w:val="en-GB"/>
              </w:rPr>
              <w:t>Detectable crack</w:t>
            </w:r>
          </w:p>
        </w:tc>
        <w:tc>
          <w:tcPr>
            <w:tcW w:w="5089" w:type="dxa"/>
            <w:tcBorders>
              <w:top w:val="single" w:sz="6" w:space="0" w:color="008000"/>
            </w:tcBorders>
            <w:shd w:val="clear" w:color="auto" w:fill="FFFFFF"/>
          </w:tcPr>
          <w:p w14:paraId="63EA0463" w14:textId="09693BA7" w:rsidR="00476686" w:rsidRPr="006D7EF7" w:rsidRDefault="00476686" w:rsidP="00870860">
            <w:pPr>
              <w:pStyle w:val="CETBodytext"/>
              <w:jc w:val="left"/>
              <w:rPr>
                <w:szCs w:val="18"/>
                <w:lang w:val="en-GB"/>
              </w:rPr>
            </w:pPr>
            <w:r w:rsidRPr="006D7EF7">
              <w:rPr>
                <w:szCs w:val="18"/>
                <w:lang w:val="en-GB"/>
              </w:rPr>
              <w:t>Minor defects in the welded pipeline, often resulting from the manufacturing process. This state is considered as new.</w:t>
            </w:r>
          </w:p>
        </w:tc>
        <w:tc>
          <w:tcPr>
            <w:tcW w:w="928" w:type="dxa"/>
            <w:tcBorders>
              <w:top w:val="single" w:sz="6" w:space="0" w:color="008000"/>
            </w:tcBorders>
            <w:shd w:val="clear" w:color="auto" w:fill="FFFFFF"/>
          </w:tcPr>
          <w:p w14:paraId="425E5BE7" w14:textId="77777777" w:rsidR="00476686" w:rsidRPr="006D7EF7" w:rsidRDefault="00476686" w:rsidP="009E3116">
            <w:pPr>
              <w:pStyle w:val="CETBodytext"/>
              <w:jc w:val="left"/>
              <w:rPr>
                <w:szCs w:val="18"/>
                <w:lang w:val="en-GB"/>
              </w:rPr>
            </w:pPr>
            <w:r w:rsidRPr="006D7EF7">
              <w:rPr>
                <w:szCs w:val="18"/>
                <w:lang w:val="en-GB"/>
              </w:rPr>
              <w:t>2.0</w:t>
            </w:r>
          </w:p>
          <w:p w14:paraId="09A69480" w14:textId="5E3FF3A1" w:rsidR="00476686" w:rsidRPr="006D7EF7" w:rsidRDefault="00476686" w:rsidP="008024EA">
            <w:pPr>
              <w:pStyle w:val="CETBodytext"/>
              <w:rPr>
                <w:rFonts w:cs="Arial"/>
                <w:szCs w:val="18"/>
                <w:lang w:val="en-GB"/>
              </w:rPr>
            </w:pPr>
          </w:p>
        </w:tc>
        <w:tc>
          <w:tcPr>
            <w:tcW w:w="929" w:type="dxa"/>
            <w:tcBorders>
              <w:top w:val="single" w:sz="6" w:space="0" w:color="008000"/>
            </w:tcBorders>
            <w:shd w:val="clear" w:color="auto" w:fill="FFFFFF"/>
          </w:tcPr>
          <w:p w14:paraId="070C96A2" w14:textId="42FB9CC5" w:rsidR="00476686" w:rsidRPr="006D7EF7" w:rsidRDefault="008024EA" w:rsidP="009E3116">
            <w:pPr>
              <w:pStyle w:val="CETBodytext"/>
              <w:ind w:right="-1"/>
              <w:rPr>
                <w:rFonts w:cs="Arial"/>
                <w:szCs w:val="18"/>
                <w:lang w:val="en-GB"/>
              </w:rPr>
            </w:pPr>
            <w:r w:rsidRPr="006D7EF7">
              <w:rPr>
                <w:rFonts w:cs="Arial"/>
                <w:szCs w:val="18"/>
                <w:lang w:val="en-GB"/>
              </w:rPr>
              <w:t>50.0</w:t>
            </w:r>
          </w:p>
        </w:tc>
      </w:tr>
      <w:tr w:rsidR="00476686" w:rsidRPr="006D7EF7" w14:paraId="5A7F4836" w14:textId="77777777" w:rsidTr="007311FC">
        <w:tc>
          <w:tcPr>
            <w:tcW w:w="540" w:type="dxa"/>
            <w:shd w:val="clear" w:color="auto" w:fill="FFFFFF"/>
          </w:tcPr>
          <w:p w14:paraId="30C5B164" w14:textId="30C2F371" w:rsidR="00476686" w:rsidRPr="006D7EF7" w:rsidRDefault="00476686" w:rsidP="009E3116">
            <w:pPr>
              <w:pStyle w:val="CETBodytext"/>
              <w:ind w:right="-1"/>
              <w:rPr>
                <w:rFonts w:cs="Arial"/>
                <w:szCs w:val="18"/>
                <w:lang w:val="en-GB"/>
              </w:rPr>
            </w:pPr>
            <w:r w:rsidRPr="006D7EF7">
              <w:rPr>
                <w:szCs w:val="18"/>
                <w:lang w:val="en-GB"/>
              </w:rPr>
              <w:t>1</w:t>
            </w:r>
          </w:p>
        </w:tc>
        <w:tc>
          <w:tcPr>
            <w:tcW w:w="1301" w:type="dxa"/>
            <w:shd w:val="clear" w:color="auto" w:fill="FFFFFF"/>
          </w:tcPr>
          <w:p w14:paraId="2B33075F" w14:textId="64ACA98D" w:rsidR="00476686" w:rsidRPr="006D7EF7" w:rsidRDefault="00476686" w:rsidP="009E3116">
            <w:pPr>
              <w:pStyle w:val="CETBodytext"/>
              <w:ind w:right="-1"/>
              <w:rPr>
                <w:rFonts w:cs="Arial"/>
                <w:szCs w:val="18"/>
                <w:lang w:val="en-GB"/>
              </w:rPr>
            </w:pPr>
            <w:r w:rsidRPr="006D7EF7">
              <w:rPr>
                <w:szCs w:val="18"/>
                <w:lang w:val="en-GB"/>
              </w:rPr>
              <w:t>AET recommended</w:t>
            </w:r>
          </w:p>
        </w:tc>
        <w:tc>
          <w:tcPr>
            <w:tcW w:w="5089" w:type="dxa"/>
            <w:shd w:val="clear" w:color="auto" w:fill="FFFFFF"/>
          </w:tcPr>
          <w:p w14:paraId="4C859DE3" w14:textId="6BE054B6" w:rsidR="00476686" w:rsidRPr="006D7EF7" w:rsidRDefault="00476686" w:rsidP="00DF142B">
            <w:pPr>
              <w:pStyle w:val="CETBodytext"/>
              <w:ind w:right="-1"/>
              <w:jc w:val="left"/>
              <w:rPr>
                <w:szCs w:val="18"/>
                <w:lang w:val="en-GB"/>
              </w:rPr>
            </w:pPr>
            <w:r w:rsidRPr="006D7EF7">
              <w:rPr>
                <w:szCs w:val="18"/>
                <w:lang w:val="en-GB"/>
              </w:rPr>
              <w:t>In-line inspection through acoustic emission testing is recommended after the crack has reached a sufficient size.</w:t>
            </w:r>
          </w:p>
        </w:tc>
        <w:tc>
          <w:tcPr>
            <w:tcW w:w="928" w:type="dxa"/>
            <w:shd w:val="clear" w:color="auto" w:fill="FFFFFF"/>
          </w:tcPr>
          <w:p w14:paraId="30C13D79" w14:textId="74971C97" w:rsidR="00476686" w:rsidRPr="006D7EF7" w:rsidRDefault="00C12DCD" w:rsidP="009E3116">
            <w:pPr>
              <w:pStyle w:val="CETBodytext"/>
              <w:ind w:right="-1"/>
              <w:rPr>
                <w:rFonts w:cs="Arial"/>
                <w:szCs w:val="18"/>
                <w:lang w:val="en-GB"/>
              </w:rPr>
            </w:pPr>
            <w:r>
              <w:rPr>
                <w:rFonts w:cs="Arial"/>
                <w:szCs w:val="18"/>
                <w:lang w:val="en-GB"/>
              </w:rPr>
              <w:t>3.5</w:t>
            </w:r>
          </w:p>
        </w:tc>
        <w:tc>
          <w:tcPr>
            <w:tcW w:w="929" w:type="dxa"/>
            <w:shd w:val="clear" w:color="auto" w:fill="FFFFFF"/>
          </w:tcPr>
          <w:p w14:paraId="45FB7333" w14:textId="29D2A12B" w:rsidR="00476686" w:rsidRPr="006D7EF7" w:rsidRDefault="008024EA" w:rsidP="009E3116">
            <w:pPr>
              <w:pStyle w:val="CETBodytext"/>
              <w:ind w:right="-1"/>
              <w:rPr>
                <w:rFonts w:cs="Arial"/>
                <w:szCs w:val="18"/>
                <w:lang w:val="en-GB"/>
              </w:rPr>
            </w:pPr>
            <w:r w:rsidRPr="006D7EF7">
              <w:rPr>
                <w:rFonts w:cs="Arial"/>
                <w:szCs w:val="18"/>
                <w:lang w:val="en-GB"/>
              </w:rPr>
              <w:t>52.0</w:t>
            </w:r>
          </w:p>
        </w:tc>
      </w:tr>
      <w:tr w:rsidR="00476686" w:rsidRPr="006D7EF7" w14:paraId="5F322379" w14:textId="77777777" w:rsidTr="007311FC">
        <w:tc>
          <w:tcPr>
            <w:tcW w:w="540" w:type="dxa"/>
            <w:shd w:val="clear" w:color="auto" w:fill="FFFFFF"/>
          </w:tcPr>
          <w:p w14:paraId="600233E7" w14:textId="59D3E992" w:rsidR="00476686" w:rsidRPr="006D7EF7" w:rsidRDefault="00476686" w:rsidP="009E3116">
            <w:pPr>
              <w:pStyle w:val="CETBodytext"/>
              <w:ind w:right="-1"/>
              <w:rPr>
                <w:rFonts w:cs="Arial"/>
                <w:szCs w:val="18"/>
                <w:lang w:val="en-GB"/>
              </w:rPr>
            </w:pPr>
            <w:r w:rsidRPr="006D7EF7">
              <w:rPr>
                <w:szCs w:val="18"/>
                <w:lang w:val="en-GB"/>
              </w:rPr>
              <w:t>2</w:t>
            </w:r>
          </w:p>
        </w:tc>
        <w:tc>
          <w:tcPr>
            <w:tcW w:w="1301" w:type="dxa"/>
            <w:shd w:val="clear" w:color="auto" w:fill="FFFFFF"/>
          </w:tcPr>
          <w:p w14:paraId="4F8E2186" w14:textId="71DA34DF" w:rsidR="00476686" w:rsidRPr="006D7EF7" w:rsidRDefault="00476686" w:rsidP="009E3116">
            <w:pPr>
              <w:pStyle w:val="CETBodytext"/>
              <w:ind w:right="-1"/>
              <w:rPr>
                <w:rFonts w:cs="Arial"/>
                <w:szCs w:val="18"/>
                <w:lang w:val="en-GB"/>
              </w:rPr>
            </w:pPr>
            <w:r w:rsidRPr="006D7EF7">
              <w:rPr>
                <w:szCs w:val="18"/>
                <w:lang w:val="en-GB"/>
              </w:rPr>
              <w:t>AET required</w:t>
            </w:r>
          </w:p>
        </w:tc>
        <w:tc>
          <w:tcPr>
            <w:tcW w:w="5089" w:type="dxa"/>
            <w:shd w:val="clear" w:color="auto" w:fill="FFFFFF"/>
          </w:tcPr>
          <w:p w14:paraId="2C1D6F50" w14:textId="390D6F03" w:rsidR="00476686" w:rsidRPr="006D7EF7" w:rsidRDefault="00476686" w:rsidP="00DF142B">
            <w:pPr>
              <w:pStyle w:val="CETBodytext"/>
              <w:ind w:right="-1"/>
              <w:jc w:val="left"/>
              <w:rPr>
                <w:szCs w:val="18"/>
                <w:lang w:val="en-GB"/>
              </w:rPr>
            </w:pPr>
            <w:r w:rsidRPr="006D7EF7">
              <w:rPr>
                <w:szCs w:val="18"/>
                <w:lang w:val="en-GB"/>
              </w:rPr>
              <w:t>In-line inspection through acoustic emission testing is required to locate the crack and start a monitoring program.</w:t>
            </w:r>
          </w:p>
        </w:tc>
        <w:tc>
          <w:tcPr>
            <w:tcW w:w="928" w:type="dxa"/>
            <w:shd w:val="clear" w:color="auto" w:fill="FFFFFF"/>
          </w:tcPr>
          <w:p w14:paraId="04FF421A" w14:textId="35F5BFF1" w:rsidR="00476686" w:rsidRPr="006D7EF7" w:rsidRDefault="007074DE" w:rsidP="009E3116">
            <w:pPr>
              <w:pStyle w:val="CETBodytext"/>
              <w:ind w:right="-1"/>
              <w:rPr>
                <w:rFonts w:cs="Arial"/>
                <w:szCs w:val="18"/>
                <w:lang w:val="en-GB"/>
              </w:rPr>
            </w:pPr>
            <w:r w:rsidRPr="006D7EF7">
              <w:rPr>
                <w:rFonts w:cs="Arial"/>
                <w:szCs w:val="18"/>
                <w:lang w:val="en-GB"/>
              </w:rPr>
              <w:t>5</w:t>
            </w:r>
          </w:p>
        </w:tc>
        <w:tc>
          <w:tcPr>
            <w:tcW w:w="929" w:type="dxa"/>
            <w:shd w:val="clear" w:color="auto" w:fill="FFFFFF"/>
          </w:tcPr>
          <w:p w14:paraId="5DC4BA76" w14:textId="7F13833F" w:rsidR="00476686" w:rsidRPr="006D7EF7" w:rsidRDefault="008024EA" w:rsidP="009E3116">
            <w:pPr>
              <w:pStyle w:val="CETBodytext"/>
              <w:ind w:right="-1"/>
              <w:rPr>
                <w:rFonts w:cs="Arial"/>
                <w:szCs w:val="18"/>
                <w:lang w:val="en-GB"/>
              </w:rPr>
            </w:pPr>
            <w:r w:rsidRPr="006D7EF7">
              <w:rPr>
                <w:rFonts w:cs="Arial"/>
                <w:szCs w:val="18"/>
                <w:lang w:val="en-GB"/>
              </w:rPr>
              <w:t>54.1</w:t>
            </w:r>
          </w:p>
        </w:tc>
      </w:tr>
      <w:tr w:rsidR="00476686" w:rsidRPr="006D7EF7" w14:paraId="7D210E7E" w14:textId="77777777" w:rsidTr="007311FC">
        <w:tc>
          <w:tcPr>
            <w:tcW w:w="540" w:type="dxa"/>
            <w:shd w:val="clear" w:color="auto" w:fill="FFFFFF"/>
          </w:tcPr>
          <w:p w14:paraId="2187B44C" w14:textId="7498583A" w:rsidR="00476686" w:rsidRPr="006D7EF7" w:rsidRDefault="00476686" w:rsidP="009E3116">
            <w:pPr>
              <w:pStyle w:val="CETBodytext"/>
              <w:ind w:right="-1"/>
              <w:rPr>
                <w:rFonts w:cs="Arial"/>
                <w:szCs w:val="18"/>
                <w:lang w:val="en-GB"/>
              </w:rPr>
            </w:pPr>
            <w:r w:rsidRPr="006D7EF7">
              <w:rPr>
                <w:szCs w:val="18"/>
                <w:lang w:val="en-GB"/>
              </w:rPr>
              <w:t>3</w:t>
            </w:r>
          </w:p>
        </w:tc>
        <w:tc>
          <w:tcPr>
            <w:tcW w:w="1301" w:type="dxa"/>
            <w:shd w:val="clear" w:color="auto" w:fill="FFFFFF"/>
          </w:tcPr>
          <w:p w14:paraId="6E1C8B31" w14:textId="0A50FC99" w:rsidR="00476686" w:rsidRPr="006D7EF7" w:rsidRDefault="00476686" w:rsidP="009E3116">
            <w:pPr>
              <w:pStyle w:val="CETBodytext"/>
              <w:ind w:right="-1"/>
              <w:rPr>
                <w:rFonts w:cs="Arial"/>
                <w:szCs w:val="18"/>
                <w:lang w:val="en-GB"/>
              </w:rPr>
            </w:pPr>
            <w:r w:rsidRPr="006D7EF7">
              <w:rPr>
                <w:szCs w:val="18"/>
                <w:lang w:val="en-GB"/>
              </w:rPr>
              <w:t>UT recommended</w:t>
            </w:r>
          </w:p>
        </w:tc>
        <w:tc>
          <w:tcPr>
            <w:tcW w:w="5089" w:type="dxa"/>
            <w:tcBorders>
              <w:bottom w:val="nil"/>
            </w:tcBorders>
            <w:shd w:val="clear" w:color="auto" w:fill="FFFFFF"/>
          </w:tcPr>
          <w:p w14:paraId="75A3937F" w14:textId="6A62B2F3" w:rsidR="00476686" w:rsidRPr="006D7EF7" w:rsidRDefault="00476686" w:rsidP="00DF142B">
            <w:pPr>
              <w:pStyle w:val="CETBodytext"/>
              <w:ind w:right="-1"/>
              <w:jc w:val="left"/>
              <w:rPr>
                <w:rFonts w:cs="Arial"/>
                <w:szCs w:val="18"/>
                <w:lang w:val="en-GB"/>
              </w:rPr>
            </w:pPr>
            <w:r w:rsidRPr="006D7EF7">
              <w:rPr>
                <w:rFonts w:cs="Arial"/>
                <w:szCs w:val="18"/>
                <w:lang w:val="en-GB"/>
              </w:rPr>
              <w:t>In-line inspection through ultrasonic testing is recommended to measure the crack depth and width</w:t>
            </w:r>
          </w:p>
        </w:tc>
        <w:tc>
          <w:tcPr>
            <w:tcW w:w="928" w:type="dxa"/>
            <w:shd w:val="clear" w:color="auto" w:fill="FFFFFF"/>
          </w:tcPr>
          <w:p w14:paraId="4C9F6B28" w14:textId="11095972" w:rsidR="00476686" w:rsidRPr="006D7EF7" w:rsidRDefault="007074DE" w:rsidP="009E3116">
            <w:pPr>
              <w:pStyle w:val="CETBodytext"/>
              <w:ind w:right="-1"/>
              <w:rPr>
                <w:rFonts w:cs="Arial"/>
                <w:szCs w:val="18"/>
                <w:lang w:val="en-GB"/>
              </w:rPr>
            </w:pPr>
            <w:r w:rsidRPr="006D7EF7">
              <w:rPr>
                <w:rFonts w:cs="Arial"/>
                <w:szCs w:val="18"/>
                <w:lang w:val="en-GB"/>
              </w:rPr>
              <w:t>7.5</w:t>
            </w:r>
          </w:p>
        </w:tc>
        <w:tc>
          <w:tcPr>
            <w:tcW w:w="929" w:type="dxa"/>
            <w:shd w:val="clear" w:color="auto" w:fill="FFFFFF"/>
          </w:tcPr>
          <w:p w14:paraId="319D5DB7" w14:textId="1AC24E0E" w:rsidR="00476686" w:rsidRPr="006D7EF7" w:rsidRDefault="008024EA" w:rsidP="009E3116">
            <w:pPr>
              <w:pStyle w:val="CETBodytext"/>
              <w:ind w:right="-1"/>
              <w:rPr>
                <w:rFonts w:cs="Arial"/>
                <w:szCs w:val="18"/>
                <w:lang w:val="en-GB"/>
              </w:rPr>
            </w:pPr>
            <w:r w:rsidRPr="006D7EF7">
              <w:rPr>
                <w:rFonts w:cs="Arial"/>
                <w:szCs w:val="18"/>
                <w:lang w:val="en-GB"/>
              </w:rPr>
              <w:t>57.4</w:t>
            </w:r>
          </w:p>
        </w:tc>
      </w:tr>
      <w:tr w:rsidR="00476686" w:rsidRPr="006D7EF7" w14:paraId="4E28CCF1" w14:textId="77777777" w:rsidTr="007311FC">
        <w:tc>
          <w:tcPr>
            <w:tcW w:w="540" w:type="dxa"/>
            <w:shd w:val="clear" w:color="auto" w:fill="FFFFFF"/>
          </w:tcPr>
          <w:p w14:paraId="7835EFE1" w14:textId="16F650B0" w:rsidR="00476686" w:rsidRPr="006D7EF7" w:rsidRDefault="00476686" w:rsidP="009E3116">
            <w:pPr>
              <w:pStyle w:val="CETBodytext"/>
              <w:ind w:right="-1"/>
              <w:rPr>
                <w:rFonts w:cs="Arial"/>
                <w:szCs w:val="18"/>
                <w:lang w:val="en-GB"/>
              </w:rPr>
            </w:pPr>
            <w:r w:rsidRPr="006D7EF7">
              <w:rPr>
                <w:szCs w:val="18"/>
                <w:lang w:val="en-GB"/>
              </w:rPr>
              <w:t>4</w:t>
            </w:r>
          </w:p>
        </w:tc>
        <w:tc>
          <w:tcPr>
            <w:tcW w:w="1301" w:type="dxa"/>
            <w:shd w:val="clear" w:color="auto" w:fill="FFFFFF"/>
          </w:tcPr>
          <w:p w14:paraId="48409189" w14:textId="071E7FA8" w:rsidR="00476686" w:rsidRPr="006D7EF7" w:rsidRDefault="00476686" w:rsidP="009E3116">
            <w:pPr>
              <w:pStyle w:val="CETBodytext"/>
              <w:ind w:right="-1"/>
              <w:rPr>
                <w:rFonts w:cs="Arial"/>
                <w:szCs w:val="18"/>
                <w:lang w:val="en-GB"/>
              </w:rPr>
            </w:pPr>
            <w:r w:rsidRPr="006D7EF7">
              <w:rPr>
                <w:szCs w:val="18"/>
                <w:lang w:val="en-GB"/>
              </w:rPr>
              <w:t>UT required</w:t>
            </w:r>
          </w:p>
        </w:tc>
        <w:tc>
          <w:tcPr>
            <w:tcW w:w="5089" w:type="dxa"/>
            <w:tcBorders>
              <w:top w:val="nil"/>
              <w:bottom w:val="nil"/>
            </w:tcBorders>
            <w:shd w:val="clear" w:color="auto" w:fill="FFFFFF"/>
          </w:tcPr>
          <w:p w14:paraId="41DDD718" w14:textId="1D8D5F3E" w:rsidR="00476686" w:rsidRPr="006D7EF7" w:rsidRDefault="00476686" w:rsidP="00DF142B">
            <w:pPr>
              <w:pStyle w:val="CETBodytext"/>
              <w:ind w:right="-1"/>
              <w:jc w:val="left"/>
              <w:rPr>
                <w:szCs w:val="18"/>
                <w:lang w:val="en-GB"/>
              </w:rPr>
            </w:pPr>
            <w:r w:rsidRPr="006D7EF7">
              <w:rPr>
                <w:szCs w:val="18"/>
                <w:lang w:val="en-GB"/>
              </w:rPr>
              <w:t>In-line inspection through ultrasonic testing is required to develop a model to predict the crack growth.</w:t>
            </w:r>
          </w:p>
        </w:tc>
        <w:tc>
          <w:tcPr>
            <w:tcW w:w="928" w:type="dxa"/>
            <w:shd w:val="clear" w:color="auto" w:fill="FFFFFF"/>
          </w:tcPr>
          <w:p w14:paraId="65E5F220" w14:textId="2EB932F2" w:rsidR="00476686" w:rsidRPr="006D7EF7" w:rsidRDefault="007074DE" w:rsidP="009E3116">
            <w:pPr>
              <w:pStyle w:val="CETBodytext"/>
              <w:ind w:right="-1"/>
              <w:rPr>
                <w:rFonts w:cs="Arial"/>
                <w:szCs w:val="18"/>
                <w:lang w:val="en-GB"/>
              </w:rPr>
            </w:pPr>
            <w:r w:rsidRPr="006D7EF7">
              <w:rPr>
                <w:rFonts w:cs="Arial"/>
                <w:szCs w:val="18"/>
                <w:lang w:val="en-GB"/>
              </w:rPr>
              <w:t>9</w:t>
            </w:r>
          </w:p>
        </w:tc>
        <w:tc>
          <w:tcPr>
            <w:tcW w:w="929" w:type="dxa"/>
            <w:shd w:val="clear" w:color="auto" w:fill="FFFFFF"/>
          </w:tcPr>
          <w:p w14:paraId="0D213632" w14:textId="5FCF0593" w:rsidR="00476686" w:rsidRPr="006D7EF7" w:rsidRDefault="008024EA" w:rsidP="009E3116">
            <w:pPr>
              <w:pStyle w:val="CETBodytext"/>
              <w:ind w:right="-1"/>
              <w:rPr>
                <w:rFonts w:cs="Arial"/>
                <w:szCs w:val="18"/>
                <w:lang w:val="en-GB"/>
              </w:rPr>
            </w:pPr>
            <w:r w:rsidRPr="006D7EF7">
              <w:rPr>
                <w:rFonts w:cs="Arial"/>
                <w:szCs w:val="18"/>
                <w:lang w:val="en-GB"/>
              </w:rPr>
              <w:t>59.3</w:t>
            </w:r>
          </w:p>
        </w:tc>
      </w:tr>
      <w:tr w:rsidR="00476686" w:rsidRPr="006D7EF7" w14:paraId="48B73733" w14:textId="77777777" w:rsidTr="007311FC">
        <w:tc>
          <w:tcPr>
            <w:tcW w:w="540" w:type="dxa"/>
            <w:shd w:val="clear" w:color="auto" w:fill="FFFFFF"/>
          </w:tcPr>
          <w:p w14:paraId="0E4B1CE9" w14:textId="3ED8B6FA" w:rsidR="00476686" w:rsidRPr="006D7EF7" w:rsidRDefault="00476686" w:rsidP="009E3116">
            <w:pPr>
              <w:pStyle w:val="CETBodytext"/>
              <w:ind w:right="-1"/>
              <w:rPr>
                <w:rFonts w:cs="Arial"/>
                <w:i/>
                <w:iCs/>
                <w:color w:val="365F91" w:themeColor="accent1" w:themeShade="BF"/>
                <w:szCs w:val="18"/>
                <w:lang w:val="en-GB"/>
              </w:rPr>
            </w:pPr>
            <w:r w:rsidRPr="006D7EF7">
              <w:rPr>
                <w:i/>
                <w:iCs/>
                <w:color w:val="365F91" w:themeColor="accent1" w:themeShade="BF"/>
                <w:szCs w:val="18"/>
                <w:lang w:val="en-GB"/>
              </w:rPr>
              <w:t>5</w:t>
            </w:r>
          </w:p>
        </w:tc>
        <w:tc>
          <w:tcPr>
            <w:tcW w:w="1301" w:type="dxa"/>
            <w:shd w:val="clear" w:color="auto" w:fill="FFFFFF"/>
          </w:tcPr>
          <w:p w14:paraId="72A0C493" w14:textId="11BB9EA2" w:rsidR="00476686" w:rsidRPr="006D7EF7" w:rsidRDefault="00476686" w:rsidP="009E3116">
            <w:pPr>
              <w:pStyle w:val="CETBodytext"/>
              <w:ind w:right="-1"/>
              <w:rPr>
                <w:rFonts w:cs="Arial"/>
                <w:i/>
                <w:iCs/>
                <w:color w:val="365F91" w:themeColor="accent1" w:themeShade="BF"/>
                <w:szCs w:val="18"/>
                <w:lang w:val="en-GB"/>
              </w:rPr>
            </w:pPr>
            <w:r w:rsidRPr="006D7EF7">
              <w:rPr>
                <w:i/>
                <w:iCs/>
                <w:color w:val="365F91" w:themeColor="accent1" w:themeShade="BF"/>
                <w:szCs w:val="18"/>
                <w:lang w:val="en-GB"/>
              </w:rPr>
              <w:t>Maintenance required</w:t>
            </w:r>
          </w:p>
        </w:tc>
        <w:tc>
          <w:tcPr>
            <w:tcW w:w="5089" w:type="dxa"/>
            <w:tcBorders>
              <w:top w:val="nil"/>
            </w:tcBorders>
            <w:shd w:val="clear" w:color="auto" w:fill="FFFFFF"/>
          </w:tcPr>
          <w:p w14:paraId="37BB9E11" w14:textId="1F9ADD07" w:rsidR="00476686" w:rsidRPr="006D7EF7" w:rsidRDefault="00476686" w:rsidP="00DF142B">
            <w:pPr>
              <w:pStyle w:val="CETBodytext"/>
              <w:ind w:right="-1"/>
              <w:jc w:val="left"/>
              <w:rPr>
                <w:rFonts w:cs="Arial"/>
                <w:i/>
                <w:iCs/>
                <w:color w:val="365F91" w:themeColor="accent1" w:themeShade="BF"/>
                <w:szCs w:val="18"/>
                <w:lang w:val="en-GB"/>
              </w:rPr>
            </w:pPr>
            <w:r w:rsidRPr="006D7EF7">
              <w:rPr>
                <w:rFonts w:cs="Arial"/>
                <w:i/>
                <w:iCs/>
                <w:color w:val="365F91" w:themeColor="accent1" w:themeShade="BF"/>
                <w:szCs w:val="18"/>
                <w:lang w:val="en-GB"/>
              </w:rPr>
              <w:t>Replacement is necessary when the pipeline can withstand pressure spikes up to 50% above the nominal operating pressure.</w:t>
            </w:r>
          </w:p>
        </w:tc>
        <w:tc>
          <w:tcPr>
            <w:tcW w:w="928" w:type="dxa"/>
            <w:shd w:val="clear" w:color="auto" w:fill="FFFFFF"/>
          </w:tcPr>
          <w:p w14:paraId="7AC7F7E5" w14:textId="7CA4942A" w:rsidR="00476686" w:rsidRPr="006D7EF7" w:rsidRDefault="007074DE" w:rsidP="009E3116">
            <w:pPr>
              <w:pStyle w:val="CETBodytext"/>
              <w:ind w:right="-1"/>
              <w:rPr>
                <w:rFonts w:cs="Arial"/>
                <w:i/>
                <w:iCs/>
                <w:color w:val="365F91" w:themeColor="accent1" w:themeShade="BF"/>
                <w:szCs w:val="18"/>
                <w:lang w:val="en-GB"/>
              </w:rPr>
            </w:pPr>
            <w:r w:rsidRPr="006D7EF7">
              <w:rPr>
                <w:rFonts w:cs="Arial"/>
                <w:i/>
                <w:iCs/>
                <w:color w:val="365F91" w:themeColor="accent1" w:themeShade="BF"/>
                <w:szCs w:val="18"/>
                <w:lang w:val="en-GB"/>
              </w:rPr>
              <w:t>14</w:t>
            </w:r>
          </w:p>
        </w:tc>
        <w:tc>
          <w:tcPr>
            <w:tcW w:w="929" w:type="dxa"/>
            <w:shd w:val="clear" w:color="auto" w:fill="FFFFFF"/>
          </w:tcPr>
          <w:p w14:paraId="1312864F" w14:textId="446EFE5F" w:rsidR="00476686" w:rsidRPr="006D7EF7" w:rsidRDefault="008024EA" w:rsidP="009E3116">
            <w:pPr>
              <w:pStyle w:val="CETBodytext"/>
              <w:ind w:right="-1"/>
              <w:rPr>
                <w:rFonts w:cs="Arial"/>
                <w:i/>
                <w:iCs/>
                <w:color w:val="365F91" w:themeColor="accent1" w:themeShade="BF"/>
                <w:szCs w:val="18"/>
                <w:lang w:val="en-GB"/>
              </w:rPr>
            </w:pPr>
            <w:r w:rsidRPr="006D7EF7">
              <w:rPr>
                <w:rFonts w:cs="Arial"/>
                <w:i/>
                <w:iCs/>
                <w:color w:val="365F91" w:themeColor="accent1" w:themeShade="BF"/>
                <w:szCs w:val="18"/>
                <w:lang w:val="en-GB"/>
              </w:rPr>
              <w:t>65.5</w:t>
            </w:r>
          </w:p>
        </w:tc>
      </w:tr>
      <w:tr w:rsidR="00476686" w:rsidRPr="006D7EF7" w14:paraId="2AA09CE2" w14:textId="77777777" w:rsidTr="007311FC">
        <w:tc>
          <w:tcPr>
            <w:tcW w:w="540" w:type="dxa"/>
            <w:shd w:val="clear" w:color="auto" w:fill="FFFFFF"/>
          </w:tcPr>
          <w:p w14:paraId="37CD89B4" w14:textId="731F0E74" w:rsidR="00476686" w:rsidRPr="006D7EF7" w:rsidRDefault="00476686" w:rsidP="009E3116">
            <w:pPr>
              <w:pStyle w:val="CETBodytext"/>
              <w:ind w:right="-1"/>
              <w:rPr>
                <w:rFonts w:cs="Arial"/>
                <w:szCs w:val="18"/>
                <w:lang w:val="en-GB"/>
              </w:rPr>
            </w:pPr>
            <w:r w:rsidRPr="006D7EF7">
              <w:rPr>
                <w:szCs w:val="18"/>
                <w:lang w:val="en-GB"/>
              </w:rPr>
              <w:t>6</w:t>
            </w:r>
          </w:p>
        </w:tc>
        <w:tc>
          <w:tcPr>
            <w:tcW w:w="1301" w:type="dxa"/>
            <w:shd w:val="clear" w:color="auto" w:fill="FFFFFF"/>
          </w:tcPr>
          <w:p w14:paraId="632880A0" w14:textId="3B05BE11" w:rsidR="00476686" w:rsidRPr="006D7EF7" w:rsidRDefault="00476686" w:rsidP="009E3116">
            <w:pPr>
              <w:pStyle w:val="CETBodytext"/>
              <w:ind w:right="-1"/>
              <w:rPr>
                <w:rFonts w:cs="Arial"/>
                <w:szCs w:val="18"/>
                <w:lang w:val="en-GB"/>
              </w:rPr>
            </w:pPr>
            <w:r w:rsidRPr="006D7EF7">
              <w:rPr>
                <w:szCs w:val="18"/>
                <w:lang w:val="en-GB"/>
              </w:rPr>
              <w:t>Pipeline failure</w:t>
            </w:r>
          </w:p>
        </w:tc>
        <w:tc>
          <w:tcPr>
            <w:tcW w:w="5089" w:type="dxa"/>
            <w:shd w:val="clear" w:color="auto" w:fill="FFFFFF"/>
          </w:tcPr>
          <w:p w14:paraId="71B36B74" w14:textId="131E1AC8" w:rsidR="00476686" w:rsidRPr="006D7EF7" w:rsidRDefault="00476686" w:rsidP="00DF142B">
            <w:pPr>
              <w:pStyle w:val="CETBodytext"/>
              <w:ind w:right="-1"/>
              <w:jc w:val="left"/>
              <w:rPr>
                <w:szCs w:val="18"/>
                <w:lang w:val="en-GB"/>
              </w:rPr>
            </w:pPr>
            <w:r w:rsidRPr="006D7EF7">
              <w:rPr>
                <w:szCs w:val="18"/>
                <w:lang w:val="en-GB"/>
              </w:rPr>
              <w:t>Rupture of the pipeline when the maximum operating pressure is reached.</w:t>
            </w:r>
          </w:p>
        </w:tc>
        <w:tc>
          <w:tcPr>
            <w:tcW w:w="928" w:type="dxa"/>
            <w:shd w:val="clear" w:color="auto" w:fill="FFFFFF"/>
          </w:tcPr>
          <w:p w14:paraId="33C32117" w14:textId="63B188CD" w:rsidR="00476686" w:rsidRPr="006D7EF7" w:rsidRDefault="007074DE" w:rsidP="009E3116">
            <w:pPr>
              <w:pStyle w:val="CETBodytext"/>
              <w:ind w:right="-1"/>
              <w:rPr>
                <w:rFonts w:cs="Arial"/>
                <w:szCs w:val="18"/>
                <w:lang w:val="en-GB"/>
              </w:rPr>
            </w:pPr>
            <w:r w:rsidRPr="006D7EF7">
              <w:rPr>
                <w:rFonts w:cs="Arial"/>
                <w:szCs w:val="18"/>
                <w:lang w:val="en-GB"/>
              </w:rPr>
              <w:t>21.1</w:t>
            </w:r>
          </w:p>
        </w:tc>
        <w:tc>
          <w:tcPr>
            <w:tcW w:w="929" w:type="dxa"/>
            <w:shd w:val="clear" w:color="auto" w:fill="FFFFFF"/>
          </w:tcPr>
          <w:p w14:paraId="337856A4" w14:textId="44CA46F6" w:rsidR="00476686" w:rsidRPr="006D7EF7" w:rsidRDefault="008024EA" w:rsidP="009E3116">
            <w:pPr>
              <w:pStyle w:val="CETBodytext"/>
              <w:ind w:right="-1"/>
              <w:rPr>
                <w:rFonts w:cs="Arial"/>
                <w:szCs w:val="18"/>
                <w:lang w:val="en-GB"/>
              </w:rPr>
            </w:pPr>
            <w:r w:rsidRPr="006D7EF7">
              <w:rPr>
                <w:rFonts w:cs="Arial"/>
                <w:szCs w:val="18"/>
                <w:lang w:val="en-GB"/>
              </w:rPr>
              <w:t>73.8</w:t>
            </w:r>
          </w:p>
        </w:tc>
      </w:tr>
    </w:tbl>
    <w:p w14:paraId="0BDFC175" w14:textId="3B0BA0A2" w:rsidR="003E1968" w:rsidRPr="006D7EF7" w:rsidRDefault="003A33E7" w:rsidP="003E1968">
      <w:pPr>
        <w:pStyle w:val="CETBodytext"/>
        <w:spacing w:before="240"/>
        <w:rPr>
          <w:lang w:val="en-GB"/>
        </w:rPr>
      </w:pPr>
      <w:r w:rsidRPr="006D7EF7">
        <w:rPr>
          <w:lang w:val="en-GB"/>
        </w:rPr>
        <w:t>In the optimisation problem phase, different ratios of cost of failure and inspection are considered by adapting a study for an onshore pipeline (Gomes and Beck, 2014). In the first step, the cost of inspection is viewed as the unit cost, the cost of repairing is 100 times the cost of inspection, and the cost of failure varies in the range of 500 – 10000 times the unit cost. Considering these values, the optimised inspection interval is evaluated</w:t>
      </w:r>
      <w:r w:rsidR="009F2158">
        <w:rPr>
          <w:lang w:val="en-GB"/>
        </w:rPr>
        <w:t>,</w:t>
      </w:r>
      <w:r w:rsidRPr="006D7EF7">
        <w:rPr>
          <w:lang w:val="en-GB"/>
        </w:rPr>
        <w:t xml:space="preserve"> such as the maintenance is carried out when the system reaches state 5, as per Table 2. The second step allows the optimisation of the inspection interval and the maintenance limit. In this phase, only the intermediate value of failure and inspection cost ratio is considered. In the following section, this value is simply referred to as the cost ratio</w:t>
      </w:r>
      <w:r w:rsidR="009F2158">
        <w:rPr>
          <w:lang w:val="en-GB"/>
        </w:rPr>
        <w:t>.</w:t>
      </w:r>
    </w:p>
    <w:p w14:paraId="0E17A5B5" w14:textId="4F9E6D9B" w:rsidR="00342A00" w:rsidRPr="006D7EF7" w:rsidRDefault="002C0ADE" w:rsidP="0070758A">
      <w:pPr>
        <w:pStyle w:val="CETHeading1"/>
        <w:rPr>
          <w:lang w:val="en-GB"/>
        </w:rPr>
      </w:pPr>
      <w:r w:rsidRPr="006D7EF7">
        <w:rPr>
          <w:lang w:val="en-GB"/>
        </w:rPr>
        <w:t>Results and discussion</w:t>
      </w:r>
    </w:p>
    <w:p w14:paraId="73B6D2EE" w14:textId="1671085D" w:rsidR="00275807" w:rsidRPr="006D7EF7" w:rsidRDefault="00602570" w:rsidP="00CC2380">
      <w:pPr>
        <w:pStyle w:val="CETBodytext"/>
        <w:rPr>
          <w:lang w:val="en-GB"/>
        </w:rPr>
      </w:pPr>
      <w:r w:rsidRPr="006D7EF7">
        <w:rPr>
          <w:lang w:val="en-GB"/>
        </w:rPr>
        <w:t xml:space="preserve">The results from the physical model for different load conditions are presented in </w:t>
      </w:r>
      <w:r w:rsidR="0017433D" w:rsidRPr="006D7EF7">
        <w:rPr>
          <w:lang w:val="en-GB"/>
        </w:rPr>
        <w:fldChar w:fldCharType="begin"/>
      </w:r>
      <w:r w:rsidR="0017433D" w:rsidRPr="006D7EF7">
        <w:rPr>
          <w:lang w:val="en-GB"/>
        </w:rPr>
        <w:instrText xml:space="preserve"> REF _Ref178942726 \h </w:instrText>
      </w:r>
      <w:r w:rsidR="0017433D" w:rsidRPr="006D7EF7">
        <w:rPr>
          <w:lang w:val="en-GB"/>
        </w:rPr>
      </w:r>
      <w:r w:rsidR="0017433D" w:rsidRPr="006D7EF7">
        <w:rPr>
          <w:lang w:val="en-GB"/>
        </w:rPr>
        <w:fldChar w:fldCharType="separate"/>
      </w:r>
      <w:r w:rsidR="00A54A01" w:rsidRPr="006D7EF7">
        <w:rPr>
          <w:lang w:val="en-GB"/>
        </w:rPr>
        <w:t xml:space="preserve">Table </w:t>
      </w:r>
      <w:r w:rsidR="00A54A01" w:rsidRPr="006D7EF7">
        <w:rPr>
          <w:noProof/>
          <w:lang w:val="en-GB"/>
        </w:rPr>
        <w:t>3</w:t>
      </w:r>
      <w:r w:rsidR="0017433D" w:rsidRPr="006D7EF7">
        <w:rPr>
          <w:lang w:val="en-GB"/>
        </w:rPr>
        <w:fldChar w:fldCharType="end"/>
      </w:r>
      <w:r w:rsidR="00D67D2E" w:rsidRPr="006D7EF7">
        <w:rPr>
          <w:lang w:val="en-GB"/>
        </w:rPr>
        <w:t xml:space="preserve">. </w:t>
      </w:r>
    </w:p>
    <w:p w14:paraId="47C6F3EA" w14:textId="77777777" w:rsidR="00275807" w:rsidRPr="006D7EF7" w:rsidRDefault="00275807" w:rsidP="006134F8">
      <w:pPr>
        <w:pStyle w:val="CETTabletitle"/>
      </w:pPr>
      <w:bookmarkStart w:id="6" w:name="_Ref178942726"/>
      <w:r w:rsidRPr="006D7EF7">
        <w:t xml:space="preserve">Table </w:t>
      </w:r>
      <w:r w:rsidRPr="006D7EF7">
        <w:fldChar w:fldCharType="begin"/>
      </w:r>
      <w:r w:rsidRPr="006D7EF7">
        <w:instrText xml:space="preserve"> SEQ Table \* ARABIC </w:instrText>
      </w:r>
      <w:r w:rsidRPr="006D7EF7">
        <w:fldChar w:fldCharType="separate"/>
      </w:r>
      <w:r w:rsidRPr="006D7EF7">
        <w:rPr>
          <w:noProof/>
        </w:rPr>
        <w:t>3</w:t>
      </w:r>
      <w:r w:rsidRPr="006D7EF7">
        <w:fldChar w:fldCharType="end"/>
      </w:r>
      <w:bookmarkEnd w:id="6"/>
      <w:r w:rsidRPr="006D7EF7">
        <w:t>: Results of the physical model for different values of the stress intensity ratio (R) and cycle per day.</w:t>
      </w:r>
    </w:p>
    <w:tbl>
      <w:tblPr>
        <w:tblW w:w="5000" w:type="pct"/>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785"/>
        <w:gridCol w:w="20"/>
        <w:gridCol w:w="798"/>
        <w:gridCol w:w="747"/>
        <w:gridCol w:w="51"/>
        <w:gridCol w:w="798"/>
        <w:gridCol w:w="692"/>
        <w:gridCol w:w="105"/>
        <w:gridCol w:w="800"/>
        <w:gridCol w:w="641"/>
        <w:gridCol w:w="156"/>
        <w:gridCol w:w="798"/>
        <w:gridCol w:w="594"/>
        <w:gridCol w:w="206"/>
        <w:gridCol w:w="800"/>
        <w:gridCol w:w="796"/>
      </w:tblGrid>
      <w:tr w:rsidR="00275807" w:rsidRPr="006D7EF7" w14:paraId="6D22C648" w14:textId="77777777" w:rsidTr="00E22492">
        <w:trPr>
          <w:trHeight w:val="20"/>
        </w:trPr>
        <w:tc>
          <w:tcPr>
            <w:tcW w:w="447" w:type="pct"/>
            <w:vMerge w:val="restart"/>
            <w:tcBorders>
              <w:top w:val="single" w:sz="12" w:space="0" w:color="008000"/>
            </w:tcBorders>
            <w:shd w:val="clear" w:color="auto" w:fill="FFFFFF"/>
          </w:tcPr>
          <w:p w14:paraId="368830CC" w14:textId="77777777" w:rsidR="00275807" w:rsidRPr="006D7EF7" w:rsidRDefault="00275807" w:rsidP="00E22492">
            <w:pPr>
              <w:pStyle w:val="CETBodytext"/>
              <w:rPr>
                <w:rFonts w:cs="Arial"/>
                <w:szCs w:val="18"/>
                <w:lang w:val="en-GB"/>
              </w:rPr>
            </w:pPr>
            <w:r w:rsidRPr="006D7EF7">
              <w:rPr>
                <w:rFonts w:cs="Arial"/>
                <w:szCs w:val="18"/>
                <w:lang w:val="en-GB"/>
              </w:rPr>
              <w:t>State reached</w:t>
            </w:r>
          </w:p>
        </w:tc>
        <w:tc>
          <w:tcPr>
            <w:tcW w:w="11" w:type="pct"/>
            <w:vMerge w:val="restart"/>
            <w:tcBorders>
              <w:top w:val="single" w:sz="12" w:space="0" w:color="008000"/>
            </w:tcBorders>
            <w:shd w:val="clear" w:color="auto" w:fill="FFFFFF"/>
          </w:tcPr>
          <w:p w14:paraId="21C4E551" w14:textId="77777777" w:rsidR="00275807" w:rsidRPr="006D7EF7" w:rsidRDefault="00275807" w:rsidP="00E22492">
            <w:pPr>
              <w:pStyle w:val="CETBodytext"/>
              <w:rPr>
                <w:rFonts w:cs="Arial"/>
                <w:szCs w:val="18"/>
                <w:lang w:val="en-GB"/>
              </w:rPr>
            </w:pPr>
          </w:p>
        </w:tc>
        <w:tc>
          <w:tcPr>
            <w:tcW w:w="879" w:type="pct"/>
            <w:gridSpan w:val="2"/>
            <w:tcBorders>
              <w:top w:val="single" w:sz="12" w:space="0" w:color="008000"/>
            </w:tcBorders>
            <w:shd w:val="clear" w:color="auto" w:fill="FFFFFF"/>
          </w:tcPr>
          <w:p w14:paraId="199E1AC9" w14:textId="77777777" w:rsidR="00275807" w:rsidRPr="006D7EF7" w:rsidRDefault="00275807" w:rsidP="00E22492">
            <w:pPr>
              <w:pStyle w:val="CETBodytext"/>
              <w:jc w:val="center"/>
              <w:rPr>
                <w:rFonts w:cs="Arial"/>
                <w:szCs w:val="18"/>
                <w:lang w:val="en-GB"/>
              </w:rPr>
            </w:pPr>
            <w:r w:rsidRPr="006D7EF7">
              <w:rPr>
                <w:rFonts w:cs="Arial"/>
                <w:szCs w:val="18"/>
                <w:lang w:val="en-GB"/>
              </w:rPr>
              <w:t>R = 0.2</w:t>
            </w:r>
          </w:p>
        </w:tc>
        <w:tc>
          <w:tcPr>
            <w:tcW w:w="877" w:type="pct"/>
            <w:gridSpan w:val="3"/>
            <w:tcBorders>
              <w:top w:val="single" w:sz="12" w:space="0" w:color="008000"/>
            </w:tcBorders>
            <w:shd w:val="clear" w:color="auto" w:fill="FFFFFF"/>
          </w:tcPr>
          <w:p w14:paraId="617659FF" w14:textId="77777777" w:rsidR="00275807" w:rsidRPr="006D7EF7" w:rsidRDefault="00275807" w:rsidP="00E22492">
            <w:pPr>
              <w:pStyle w:val="CETBodytext"/>
              <w:jc w:val="center"/>
              <w:rPr>
                <w:rFonts w:cs="Arial"/>
                <w:szCs w:val="18"/>
                <w:lang w:val="en-GB"/>
              </w:rPr>
            </w:pPr>
            <w:r w:rsidRPr="006D7EF7">
              <w:rPr>
                <w:rFonts w:cs="Arial"/>
                <w:szCs w:val="18"/>
                <w:lang w:val="en-GB"/>
              </w:rPr>
              <w:t>R = 0.225</w:t>
            </w:r>
          </w:p>
        </w:tc>
        <w:tc>
          <w:tcPr>
            <w:tcW w:w="880" w:type="pct"/>
            <w:gridSpan w:val="3"/>
            <w:tcBorders>
              <w:top w:val="single" w:sz="12" w:space="0" w:color="008000"/>
            </w:tcBorders>
            <w:shd w:val="clear" w:color="auto" w:fill="FFFFFF"/>
          </w:tcPr>
          <w:p w14:paraId="146788B2" w14:textId="77777777" w:rsidR="00275807" w:rsidRPr="006D7EF7" w:rsidRDefault="00275807" w:rsidP="00E22492">
            <w:pPr>
              <w:spacing w:line="276" w:lineRule="auto"/>
              <w:jc w:val="center"/>
              <w:rPr>
                <w:rFonts w:cs="Arial"/>
                <w:szCs w:val="18"/>
              </w:rPr>
            </w:pPr>
            <w:r w:rsidRPr="006D7EF7">
              <w:rPr>
                <w:rFonts w:cs="Arial"/>
                <w:szCs w:val="18"/>
              </w:rPr>
              <w:t>R = 0.25</w:t>
            </w:r>
          </w:p>
        </w:tc>
        <w:tc>
          <w:tcPr>
            <w:tcW w:w="881" w:type="pct"/>
            <w:gridSpan w:val="3"/>
            <w:tcBorders>
              <w:top w:val="single" w:sz="12" w:space="0" w:color="008000"/>
            </w:tcBorders>
            <w:shd w:val="clear" w:color="auto" w:fill="FFFFFF"/>
          </w:tcPr>
          <w:p w14:paraId="62F3CE35" w14:textId="77777777" w:rsidR="00275807" w:rsidRPr="006D7EF7" w:rsidRDefault="00275807" w:rsidP="00E22492">
            <w:pPr>
              <w:spacing w:line="276" w:lineRule="auto"/>
              <w:jc w:val="center"/>
              <w:rPr>
                <w:rFonts w:cs="Arial"/>
                <w:szCs w:val="18"/>
              </w:rPr>
            </w:pPr>
            <w:r w:rsidRPr="006D7EF7">
              <w:rPr>
                <w:rFonts w:cs="Arial"/>
                <w:szCs w:val="18"/>
              </w:rPr>
              <w:t>R = 0.275</w:t>
            </w:r>
          </w:p>
        </w:tc>
        <w:tc>
          <w:tcPr>
            <w:tcW w:w="1025" w:type="pct"/>
            <w:gridSpan w:val="3"/>
            <w:tcBorders>
              <w:top w:val="single" w:sz="12" w:space="0" w:color="008000"/>
            </w:tcBorders>
            <w:shd w:val="clear" w:color="auto" w:fill="FFFFFF"/>
          </w:tcPr>
          <w:p w14:paraId="3E3AB446" w14:textId="77777777" w:rsidR="00275807" w:rsidRPr="006D7EF7" w:rsidRDefault="00275807" w:rsidP="00E22492">
            <w:pPr>
              <w:spacing w:line="276" w:lineRule="auto"/>
              <w:jc w:val="center"/>
              <w:rPr>
                <w:rFonts w:cs="Arial"/>
                <w:szCs w:val="18"/>
              </w:rPr>
            </w:pPr>
            <w:r w:rsidRPr="006D7EF7">
              <w:rPr>
                <w:rFonts w:cs="Arial"/>
                <w:szCs w:val="18"/>
              </w:rPr>
              <w:t>R = 0.3</w:t>
            </w:r>
          </w:p>
        </w:tc>
      </w:tr>
      <w:tr w:rsidR="00275807" w:rsidRPr="006D7EF7" w14:paraId="1ED07EBD" w14:textId="77777777" w:rsidTr="00E22492">
        <w:trPr>
          <w:trHeight w:val="61"/>
        </w:trPr>
        <w:tc>
          <w:tcPr>
            <w:tcW w:w="447" w:type="pct"/>
            <w:vMerge/>
            <w:tcBorders>
              <w:bottom w:val="single" w:sz="6" w:space="0" w:color="008000"/>
            </w:tcBorders>
            <w:shd w:val="clear" w:color="auto" w:fill="FFFFFF"/>
          </w:tcPr>
          <w:p w14:paraId="6A1DA4BA" w14:textId="77777777" w:rsidR="00275807" w:rsidRPr="006D7EF7" w:rsidRDefault="00275807" w:rsidP="00E22492">
            <w:pPr>
              <w:pStyle w:val="CETBodytext"/>
              <w:rPr>
                <w:rFonts w:cs="Arial"/>
                <w:szCs w:val="18"/>
                <w:lang w:val="en-GB"/>
              </w:rPr>
            </w:pPr>
          </w:p>
        </w:tc>
        <w:tc>
          <w:tcPr>
            <w:tcW w:w="11" w:type="pct"/>
            <w:vMerge/>
            <w:tcBorders>
              <w:bottom w:val="single" w:sz="6" w:space="0" w:color="008000"/>
            </w:tcBorders>
            <w:shd w:val="clear" w:color="auto" w:fill="FFFFFF"/>
          </w:tcPr>
          <w:p w14:paraId="0E45550E" w14:textId="77777777" w:rsidR="00275807" w:rsidRPr="006D7EF7" w:rsidRDefault="00275807" w:rsidP="00E22492">
            <w:pPr>
              <w:pStyle w:val="CETBodytext"/>
              <w:rPr>
                <w:rFonts w:cs="Arial"/>
                <w:szCs w:val="18"/>
                <w:lang w:val="en-GB"/>
              </w:rPr>
            </w:pPr>
          </w:p>
        </w:tc>
        <w:tc>
          <w:tcPr>
            <w:tcW w:w="454" w:type="pct"/>
            <w:tcBorders>
              <w:top w:val="single" w:sz="6" w:space="0" w:color="008000"/>
              <w:bottom w:val="single" w:sz="6" w:space="0" w:color="008000"/>
            </w:tcBorders>
            <w:shd w:val="clear" w:color="auto" w:fill="FFFFFF"/>
            <w:vAlign w:val="center"/>
          </w:tcPr>
          <w:p w14:paraId="14DCB9A1" w14:textId="77777777" w:rsidR="00275807" w:rsidRPr="006D7EF7" w:rsidRDefault="00275807" w:rsidP="00E22492">
            <w:pPr>
              <w:pStyle w:val="CETBodytext"/>
              <w:jc w:val="left"/>
              <w:rPr>
                <w:rFonts w:cs="Arial"/>
                <w:szCs w:val="18"/>
                <w:lang w:val="en-GB"/>
              </w:rPr>
            </w:pPr>
            <w:r w:rsidRPr="006D7EF7">
              <w:rPr>
                <w:rFonts w:cs="Arial"/>
                <w:szCs w:val="18"/>
                <w:lang w:val="en-GB"/>
              </w:rPr>
              <w:t>1 cycle/d</w:t>
            </w:r>
          </w:p>
        </w:tc>
        <w:tc>
          <w:tcPr>
            <w:tcW w:w="454" w:type="pct"/>
            <w:gridSpan w:val="2"/>
            <w:tcBorders>
              <w:top w:val="single" w:sz="6" w:space="0" w:color="008000"/>
              <w:bottom w:val="single" w:sz="6" w:space="0" w:color="008000"/>
            </w:tcBorders>
            <w:shd w:val="clear" w:color="auto" w:fill="FFFFFF"/>
            <w:vAlign w:val="center"/>
          </w:tcPr>
          <w:p w14:paraId="72CA0A29" w14:textId="77777777" w:rsidR="00275807" w:rsidRPr="006D7EF7" w:rsidRDefault="00275807" w:rsidP="00E22492">
            <w:pPr>
              <w:pStyle w:val="CETBodytext"/>
              <w:jc w:val="left"/>
              <w:rPr>
                <w:rFonts w:cs="Arial"/>
                <w:szCs w:val="18"/>
                <w:lang w:val="en-GB"/>
              </w:rPr>
            </w:pPr>
            <w:r w:rsidRPr="006D7EF7">
              <w:rPr>
                <w:rFonts w:cs="Arial"/>
                <w:szCs w:val="18"/>
                <w:lang w:val="en-GB"/>
              </w:rPr>
              <w:t>2 cycle/d</w:t>
            </w:r>
          </w:p>
        </w:tc>
        <w:tc>
          <w:tcPr>
            <w:tcW w:w="454" w:type="pct"/>
            <w:tcBorders>
              <w:top w:val="single" w:sz="6" w:space="0" w:color="008000"/>
              <w:bottom w:val="single" w:sz="6" w:space="0" w:color="008000"/>
            </w:tcBorders>
            <w:shd w:val="clear" w:color="auto" w:fill="FFFFFF"/>
            <w:vAlign w:val="center"/>
          </w:tcPr>
          <w:p w14:paraId="4BF4BB55" w14:textId="77777777" w:rsidR="00275807" w:rsidRPr="006D7EF7" w:rsidRDefault="00275807" w:rsidP="00E22492">
            <w:pPr>
              <w:pStyle w:val="CETBodytext"/>
              <w:jc w:val="left"/>
              <w:rPr>
                <w:rFonts w:cs="Arial"/>
                <w:szCs w:val="18"/>
                <w:lang w:val="en-GB"/>
              </w:rPr>
            </w:pPr>
            <w:r w:rsidRPr="006D7EF7">
              <w:rPr>
                <w:rFonts w:cs="Arial"/>
                <w:szCs w:val="18"/>
                <w:lang w:val="en-GB"/>
              </w:rPr>
              <w:t>1 cycle/d</w:t>
            </w:r>
          </w:p>
        </w:tc>
        <w:tc>
          <w:tcPr>
            <w:tcW w:w="454" w:type="pct"/>
            <w:gridSpan w:val="2"/>
            <w:tcBorders>
              <w:top w:val="single" w:sz="6" w:space="0" w:color="008000"/>
              <w:bottom w:val="single" w:sz="6" w:space="0" w:color="008000"/>
            </w:tcBorders>
            <w:shd w:val="clear" w:color="auto" w:fill="FFFFFF"/>
            <w:vAlign w:val="center"/>
          </w:tcPr>
          <w:p w14:paraId="06C39036" w14:textId="77777777" w:rsidR="00275807" w:rsidRPr="006D7EF7" w:rsidRDefault="00275807" w:rsidP="00E22492">
            <w:pPr>
              <w:pStyle w:val="CETBodytext"/>
              <w:jc w:val="left"/>
              <w:rPr>
                <w:rFonts w:cs="Arial"/>
                <w:szCs w:val="18"/>
                <w:lang w:val="en-GB"/>
              </w:rPr>
            </w:pPr>
            <w:r w:rsidRPr="006D7EF7">
              <w:rPr>
                <w:rFonts w:cs="Arial"/>
                <w:szCs w:val="18"/>
                <w:lang w:val="en-GB"/>
              </w:rPr>
              <w:t>2 cycle/d</w:t>
            </w:r>
          </w:p>
        </w:tc>
        <w:tc>
          <w:tcPr>
            <w:tcW w:w="455" w:type="pct"/>
            <w:tcBorders>
              <w:top w:val="single" w:sz="6" w:space="0" w:color="008000"/>
              <w:bottom w:val="single" w:sz="6" w:space="0" w:color="008000"/>
            </w:tcBorders>
            <w:shd w:val="clear" w:color="auto" w:fill="FFFFFF"/>
            <w:vAlign w:val="center"/>
          </w:tcPr>
          <w:p w14:paraId="1780236A" w14:textId="77777777" w:rsidR="00275807" w:rsidRPr="006D7EF7" w:rsidRDefault="00275807" w:rsidP="00E22492">
            <w:pPr>
              <w:spacing w:line="276" w:lineRule="auto"/>
              <w:jc w:val="left"/>
              <w:rPr>
                <w:rFonts w:cs="Arial"/>
                <w:szCs w:val="18"/>
              </w:rPr>
            </w:pPr>
            <w:r w:rsidRPr="006D7EF7">
              <w:rPr>
                <w:rFonts w:cs="Arial"/>
                <w:szCs w:val="18"/>
              </w:rPr>
              <w:t>1 cycle/d</w:t>
            </w:r>
          </w:p>
        </w:tc>
        <w:tc>
          <w:tcPr>
            <w:tcW w:w="454" w:type="pct"/>
            <w:gridSpan w:val="2"/>
            <w:tcBorders>
              <w:top w:val="single" w:sz="6" w:space="0" w:color="008000"/>
              <w:bottom w:val="single" w:sz="6" w:space="0" w:color="008000"/>
            </w:tcBorders>
            <w:shd w:val="clear" w:color="auto" w:fill="FFFFFF"/>
            <w:vAlign w:val="center"/>
          </w:tcPr>
          <w:p w14:paraId="29DB4B09" w14:textId="77777777" w:rsidR="00275807" w:rsidRPr="006D7EF7" w:rsidRDefault="00275807" w:rsidP="00E22492">
            <w:pPr>
              <w:spacing w:line="276" w:lineRule="auto"/>
              <w:jc w:val="left"/>
              <w:rPr>
                <w:rFonts w:cs="Arial"/>
                <w:szCs w:val="18"/>
              </w:rPr>
            </w:pPr>
            <w:r w:rsidRPr="006D7EF7">
              <w:rPr>
                <w:rFonts w:cs="Arial"/>
                <w:szCs w:val="18"/>
              </w:rPr>
              <w:t>2 cycle/d</w:t>
            </w:r>
          </w:p>
        </w:tc>
        <w:tc>
          <w:tcPr>
            <w:tcW w:w="454" w:type="pct"/>
            <w:tcBorders>
              <w:top w:val="single" w:sz="6" w:space="0" w:color="008000"/>
              <w:bottom w:val="single" w:sz="6" w:space="0" w:color="008000"/>
            </w:tcBorders>
            <w:shd w:val="clear" w:color="auto" w:fill="FFFFFF"/>
            <w:vAlign w:val="center"/>
          </w:tcPr>
          <w:p w14:paraId="5CDA7494" w14:textId="77777777" w:rsidR="00275807" w:rsidRPr="006D7EF7" w:rsidRDefault="00275807" w:rsidP="00E22492">
            <w:pPr>
              <w:spacing w:line="276" w:lineRule="auto"/>
              <w:jc w:val="left"/>
              <w:rPr>
                <w:rFonts w:cs="Arial"/>
                <w:szCs w:val="18"/>
              </w:rPr>
            </w:pPr>
            <w:r w:rsidRPr="006D7EF7">
              <w:rPr>
                <w:rFonts w:cs="Arial"/>
                <w:szCs w:val="18"/>
              </w:rPr>
              <w:t>1 cycle/d</w:t>
            </w:r>
          </w:p>
        </w:tc>
        <w:tc>
          <w:tcPr>
            <w:tcW w:w="455" w:type="pct"/>
            <w:gridSpan w:val="2"/>
            <w:tcBorders>
              <w:top w:val="single" w:sz="6" w:space="0" w:color="008000"/>
              <w:bottom w:val="single" w:sz="6" w:space="0" w:color="008000"/>
            </w:tcBorders>
            <w:shd w:val="clear" w:color="auto" w:fill="FFFFFF"/>
            <w:vAlign w:val="center"/>
          </w:tcPr>
          <w:p w14:paraId="43B74993" w14:textId="77777777" w:rsidR="00275807" w:rsidRPr="006D7EF7" w:rsidRDefault="00275807" w:rsidP="00E22492">
            <w:pPr>
              <w:spacing w:line="276" w:lineRule="auto"/>
              <w:jc w:val="left"/>
              <w:rPr>
                <w:rFonts w:cs="Arial"/>
                <w:szCs w:val="18"/>
              </w:rPr>
            </w:pPr>
            <w:r w:rsidRPr="006D7EF7">
              <w:rPr>
                <w:rFonts w:cs="Arial"/>
                <w:szCs w:val="18"/>
              </w:rPr>
              <w:t>2 cycle/d</w:t>
            </w:r>
          </w:p>
        </w:tc>
        <w:tc>
          <w:tcPr>
            <w:tcW w:w="455" w:type="pct"/>
            <w:tcBorders>
              <w:top w:val="single" w:sz="6" w:space="0" w:color="008000"/>
              <w:bottom w:val="single" w:sz="6" w:space="0" w:color="008000"/>
            </w:tcBorders>
            <w:shd w:val="clear" w:color="auto" w:fill="FFFFFF"/>
            <w:vAlign w:val="center"/>
          </w:tcPr>
          <w:p w14:paraId="698E773F" w14:textId="77777777" w:rsidR="00275807" w:rsidRPr="006D7EF7" w:rsidRDefault="00275807" w:rsidP="00E22492">
            <w:pPr>
              <w:spacing w:line="276" w:lineRule="auto"/>
              <w:jc w:val="left"/>
              <w:rPr>
                <w:rFonts w:cs="Arial"/>
                <w:szCs w:val="18"/>
              </w:rPr>
            </w:pPr>
            <w:r w:rsidRPr="006D7EF7">
              <w:rPr>
                <w:rFonts w:cs="Arial"/>
                <w:szCs w:val="18"/>
              </w:rPr>
              <w:t>1 cycle/d</w:t>
            </w:r>
          </w:p>
        </w:tc>
        <w:tc>
          <w:tcPr>
            <w:tcW w:w="453" w:type="pct"/>
            <w:tcBorders>
              <w:top w:val="single" w:sz="6" w:space="0" w:color="008000"/>
              <w:bottom w:val="single" w:sz="6" w:space="0" w:color="008000"/>
            </w:tcBorders>
            <w:shd w:val="clear" w:color="auto" w:fill="FFFFFF"/>
            <w:vAlign w:val="center"/>
          </w:tcPr>
          <w:p w14:paraId="1981ACD7" w14:textId="77777777" w:rsidR="00275807" w:rsidRPr="006D7EF7" w:rsidRDefault="00275807" w:rsidP="00E22492">
            <w:pPr>
              <w:spacing w:line="276" w:lineRule="auto"/>
              <w:jc w:val="left"/>
              <w:rPr>
                <w:rFonts w:cs="Arial"/>
                <w:szCs w:val="18"/>
              </w:rPr>
            </w:pPr>
            <w:r w:rsidRPr="006D7EF7">
              <w:rPr>
                <w:rFonts w:cs="Arial"/>
                <w:szCs w:val="18"/>
              </w:rPr>
              <w:t>2 cycle/d</w:t>
            </w:r>
          </w:p>
        </w:tc>
      </w:tr>
      <w:tr w:rsidR="00275807" w:rsidRPr="006D7EF7" w14:paraId="5979EF03" w14:textId="77777777" w:rsidTr="00E22492">
        <w:tc>
          <w:tcPr>
            <w:tcW w:w="447" w:type="pct"/>
            <w:shd w:val="clear" w:color="auto" w:fill="FFFFFF"/>
          </w:tcPr>
          <w:p w14:paraId="3F9AC8D7" w14:textId="77777777" w:rsidR="00275807" w:rsidRPr="006D7EF7" w:rsidRDefault="00275807" w:rsidP="00E22492">
            <w:pPr>
              <w:pStyle w:val="CETBodytext"/>
              <w:rPr>
                <w:rFonts w:cs="Arial"/>
                <w:szCs w:val="18"/>
                <w:lang w:val="en-GB"/>
              </w:rPr>
            </w:pPr>
            <w:r w:rsidRPr="006D7EF7">
              <w:rPr>
                <w:rFonts w:cs="Arial"/>
                <w:szCs w:val="18"/>
                <w:lang w:val="en-GB"/>
              </w:rPr>
              <w:t>1</w:t>
            </w:r>
          </w:p>
        </w:tc>
        <w:tc>
          <w:tcPr>
            <w:tcW w:w="11" w:type="pct"/>
            <w:shd w:val="clear" w:color="auto" w:fill="FFFFFF"/>
          </w:tcPr>
          <w:p w14:paraId="3017B214" w14:textId="77777777" w:rsidR="00275807" w:rsidRPr="006D7EF7" w:rsidRDefault="00275807" w:rsidP="00E22492">
            <w:pPr>
              <w:pStyle w:val="CETBodytext"/>
              <w:rPr>
                <w:rFonts w:cs="Arial"/>
                <w:szCs w:val="18"/>
                <w:lang w:val="en-GB"/>
              </w:rPr>
            </w:pPr>
          </w:p>
        </w:tc>
        <w:tc>
          <w:tcPr>
            <w:tcW w:w="454" w:type="pct"/>
            <w:shd w:val="clear" w:color="auto" w:fill="FFFFFF"/>
            <w:vAlign w:val="center"/>
          </w:tcPr>
          <w:p w14:paraId="1817782B" w14:textId="77777777" w:rsidR="00275807" w:rsidRPr="006D7EF7" w:rsidRDefault="00275807" w:rsidP="00E22492">
            <w:pPr>
              <w:pStyle w:val="CETBodytext"/>
              <w:jc w:val="right"/>
              <w:rPr>
                <w:rFonts w:cs="Arial"/>
                <w:szCs w:val="18"/>
                <w:lang w:val="en-GB"/>
              </w:rPr>
            </w:pPr>
            <w:r w:rsidRPr="006D7EF7">
              <w:rPr>
                <w:rFonts w:cs="Arial"/>
                <w:szCs w:val="18"/>
                <w:lang w:val="en-GB"/>
              </w:rPr>
              <w:t>1639 d</w:t>
            </w:r>
          </w:p>
        </w:tc>
        <w:tc>
          <w:tcPr>
            <w:tcW w:w="454" w:type="pct"/>
            <w:gridSpan w:val="2"/>
            <w:shd w:val="clear" w:color="auto" w:fill="FFFFFF"/>
            <w:vAlign w:val="center"/>
          </w:tcPr>
          <w:p w14:paraId="5769C75C" w14:textId="77777777" w:rsidR="00275807" w:rsidRPr="006D7EF7" w:rsidRDefault="00275807" w:rsidP="00E22492">
            <w:pPr>
              <w:pStyle w:val="CETBodytext"/>
              <w:jc w:val="right"/>
              <w:rPr>
                <w:rFonts w:cs="Arial"/>
                <w:szCs w:val="18"/>
                <w:lang w:val="en-GB"/>
              </w:rPr>
            </w:pPr>
            <w:r w:rsidRPr="006D7EF7">
              <w:rPr>
                <w:rFonts w:cs="Arial"/>
                <w:szCs w:val="18"/>
                <w:lang w:val="en-GB"/>
              </w:rPr>
              <w:t>818 d</w:t>
            </w:r>
          </w:p>
        </w:tc>
        <w:tc>
          <w:tcPr>
            <w:tcW w:w="454" w:type="pct"/>
            <w:shd w:val="clear" w:color="auto" w:fill="FFFFFF"/>
            <w:vAlign w:val="center"/>
          </w:tcPr>
          <w:p w14:paraId="1012080A" w14:textId="77777777" w:rsidR="00275807" w:rsidRPr="006D7EF7" w:rsidRDefault="00275807" w:rsidP="00E22492">
            <w:pPr>
              <w:pStyle w:val="CETBodytext"/>
              <w:jc w:val="right"/>
              <w:rPr>
                <w:rFonts w:cs="Arial"/>
                <w:szCs w:val="18"/>
                <w:lang w:val="en-GB"/>
              </w:rPr>
            </w:pPr>
            <w:r w:rsidRPr="006D7EF7">
              <w:rPr>
                <w:rFonts w:cs="Arial"/>
                <w:szCs w:val="18"/>
                <w:lang w:val="en-GB"/>
              </w:rPr>
              <w:t>1723 d</w:t>
            </w:r>
          </w:p>
        </w:tc>
        <w:tc>
          <w:tcPr>
            <w:tcW w:w="454" w:type="pct"/>
            <w:gridSpan w:val="2"/>
            <w:shd w:val="clear" w:color="auto" w:fill="FFFFFF"/>
            <w:vAlign w:val="center"/>
          </w:tcPr>
          <w:p w14:paraId="1ECB2587" w14:textId="77777777" w:rsidR="00275807" w:rsidRPr="006D7EF7" w:rsidRDefault="00275807" w:rsidP="00E22492">
            <w:pPr>
              <w:pStyle w:val="CETBodytext"/>
              <w:jc w:val="right"/>
              <w:rPr>
                <w:rFonts w:cs="Arial"/>
                <w:szCs w:val="18"/>
                <w:lang w:val="en-GB"/>
              </w:rPr>
            </w:pPr>
            <w:r w:rsidRPr="006D7EF7">
              <w:rPr>
                <w:rFonts w:cs="Arial"/>
                <w:szCs w:val="18"/>
                <w:lang w:val="en-GB"/>
              </w:rPr>
              <w:t>861 d</w:t>
            </w:r>
          </w:p>
        </w:tc>
        <w:tc>
          <w:tcPr>
            <w:tcW w:w="455" w:type="pct"/>
            <w:shd w:val="clear" w:color="auto" w:fill="FFFFFF"/>
            <w:vAlign w:val="center"/>
          </w:tcPr>
          <w:p w14:paraId="726B60DD" w14:textId="77777777" w:rsidR="00275807" w:rsidRPr="006D7EF7" w:rsidRDefault="00275807" w:rsidP="00E22492">
            <w:pPr>
              <w:pStyle w:val="CETBodytext"/>
              <w:jc w:val="right"/>
              <w:rPr>
                <w:rFonts w:cs="Arial"/>
                <w:szCs w:val="18"/>
                <w:lang w:val="en-GB"/>
              </w:rPr>
            </w:pPr>
            <w:r w:rsidRPr="006D7EF7">
              <w:rPr>
                <w:rFonts w:cs="Arial"/>
                <w:szCs w:val="18"/>
                <w:lang w:val="en-GB"/>
              </w:rPr>
              <w:t>1818 d</w:t>
            </w:r>
          </w:p>
        </w:tc>
        <w:tc>
          <w:tcPr>
            <w:tcW w:w="454" w:type="pct"/>
            <w:gridSpan w:val="2"/>
            <w:shd w:val="clear" w:color="auto" w:fill="FFFFFF"/>
            <w:vAlign w:val="center"/>
          </w:tcPr>
          <w:p w14:paraId="1C7000AA" w14:textId="77777777" w:rsidR="00275807" w:rsidRPr="006D7EF7" w:rsidRDefault="00275807" w:rsidP="00E22492">
            <w:pPr>
              <w:pStyle w:val="CETBodytext"/>
              <w:jc w:val="right"/>
              <w:rPr>
                <w:rFonts w:cs="Arial"/>
                <w:szCs w:val="18"/>
                <w:lang w:val="en-GB"/>
              </w:rPr>
            </w:pPr>
            <w:r w:rsidRPr="006D7EF7">
              <w:rPr>
                <w:rFonts w:cs="Arial"/>
                <w:szCs w:val="18"/>
                <w:lang w:val="en-GB"/>
              </w:rPr>
              <w:t>909 d</w:t>
            </w:r>
          </w:p>
        </w:tc>
        <w:tc>
          <w:tcPr>
            <w:tcW w:w="454" w:type="pct"/>
            <w:shd w:val="clear" w:color="auto" w:fill="FFFFFF"/>
            <w:vAlign w:val="center"/>
          </w:tcPr>
          <w:p w14:paraId="0FD62F56" w14:textId="77777777" w:rsidR="00275807" w:rsidRPr="006D7EF7" w:rsidRDefault="00275807" w:rsidP="00E22492">
            <w:pPr>
              <w:pStyle w:val="CETBodytext"/>
              <w:jc w:val="right"/>
              <w:rPr>
                <w:rFonts w:cs="Arial"/>
                <w:szCs w:val="18"/>
                <w:lang w:val="en-GB"/>
              </w:rPr>
            </w:pPr>
            <w:r w:rsidRPr="006D7EF7">
              <w:rPr>
                <w:rFonts w:cs="Arial"/>
                <w:szCs w:val="18"/>
                <w:lang w:val="en-GB"/>
              </w:rPr>
              <w:t>1927 d</w:t>
            </w:r>
          </w:p>
        </w:tc>
        <w:tc>
          <w:tcPr>
            <w:tcW w:w="455" w:type="pct"/>
            <w:gridSpan w:val="2"/>
            <w:shd w:val="clear" w:color="auto" w:fill="FFFFFF"/>
            <w:vAlign w:val="center"/>
          </w:tcPr>
          <w:p w14:paraId="26E2A4D9" w14:textId="77777777" w:rsidR="00275807" w:rsidRPr="006D7EF7" w:rsidRDefault="00275807" w:rsidP="00E22492">
            <w:pPr>
              <w:pStyle w:val="CETBodytext"/>
              <w:jc w:val="right"/>
              <w:rPr>
                <w:rFonts w:cs="Arial"/>
                <w:szCs w:val="18"/>
                <w:lang w:val="en-GB"/>
              </w:rPr>
            </w:pPr>
            <w:r w:rsidRPr="006D7EF7">
              <w:rPr>
                <w:rFonts w:cs="Arial"/>
                <w:szCs w:val="18"/>
                <w:lang w:val="en-GB"/>
              </w:rPr>
              <w:t>964 d</w:t>
            </w:r>
          </w:p>
        </w:tc>
        <w:tc>
          <w:tcPr>
            <w:tcW w:w="455" w:type="pct"/>
            <w:shd w:val="clear" w:color="auto" w:fill="FFFFFF"/>
            <w:vAlign w:val="center"/>
          </w:tcPr>
          <w:p w14:paraId="5FDAF1EC" w14:textId="77777777" w:rsidR="00275807" w:rsidRPr="006D7EF7" w:rsidRDefault="00275807" w:rsidP="00E22492">
            <w:pPr>
              <w:pStyle w:val="CETBodytext"/>
              <w:jc w:val="right"/>
              <w:rPr>
                <w:rFonts w:cs="Arial"/>
                <w:szCs w:val="18"/>
                <w:lang w:val="en-GB"/>
              </w:rPr>
            </w:pPr>
            <w:r w:rsidRPr="006D7EF7">
              <w:rPr>
                <w:rFonts w:cs="Arial"/>
                <w:szCs w:val="18"/>
                <w:lang w:val="en-GB"/>
              </w:rPr>
              <w:t>2059 d</w:t>
            </w:r>
          </w:p>
        </w:tc>
        <w:tc>
          <w:tcPr>
            <w:tcW w:w="453" w:type="pct"/>
            <w:shd w:val="clear" w:color="auto" w:fill="FFFFFF"/>
            <w:vAlign w:val="center"/>
          </w:tcPr>
          <w:p w14:paraId="6D7FC372" w14:textId="77777777" w:rsidR="00275807" w:rsidRPr="006D7EF7" w:rsidRDefault="00275807" w:rsidP="00E22492">
            <w:pPr>
              <w:pStyle w:val="CETBodytext"/>
              <w:jc w:val="right"/>
              <w:rPr>
                <w:rFonts w:cs="Arial"/>
                <w:szCs w:val="18"/>
                <w:lang w:val="en-GB"/>
              </w:rPr>
            </w:pPr>
            <w:r w:rsidRPr="006D7EF7">
              <w:rPr>
                <w:rFonts w:cs="Arial"/>
                <w:szCs w:val="18"/>
                <w:lang w:val="en-GB"/>
              </w:rPr>
              <w:t>1639 d</w:t>
            </w:r>
          </w:p>
        </w:tc>
      </w:tr>
      <w:tr w:rsidR="00275807" w:rsidRPr="006D7EF7" w14:paraId="64852FC6" w14:textId="77777777" w:rsidTr="00E22492">
        <w:tc>
          <w:tcPr>
            <w:tcW w:w="447" w:type="pct"/>
            <w:shd w:val="clear" w:color="auto" w:fill="FFFFFF"/>
          </w:tcPr>
          <w:p w14:paraId="35D33702" w14:textId="77777777" w:rsidR="00275807" w:rsidRPr="006D7EF7" w:rsidRDefault="00275807" w:rsidP="00E22492">
            <w:pPr>
              <w:pStyle w:val="CETBodytext"/>
              <w:ind w:right="-1"/>
              <w:rPr>
                <w:rFonts w:cs="Arial"/>
                <w:szCs w:val="18"/>
                <w:lang w:val="en-GB"/>
              </w:rPr>
            </w:pPr>
            <w:r w:rsidRPr="006D7EF7">
              <w:rPr>
                <w:rFonts w:cs="Arial"/>
                <w:szCs w:val="18"/>
                <w:lang w:val="en-GB"/>
              </w:rPr>
              <w:t>2</w:t>
            </w:r>
          </w:p>
        </w:tc>
        <w:tc>
          <w:tcPr>
            <w:tcW w:w="11" w:type="pct"/>
            <w:shd w:val="clear" w:color="auto" w:fill="FFFFFF"/>
          </w:tcPr>
          <w:p w14:paraId="02F2174E" w14:textId="77777777" w:rsidR="00275807" w:rsidRPr="006D7EF7" w:rsidRDefault="00275807" w:rsidP="00E22492">
            <w:pPr>
              <w:pStyle w:val="CETBodytext"/>
              <w:ind w:right="-1"/>
              <w:rPr>
                <w:rFonts w:cs="Arial"/>
                <w:szCs w:val="18"/>
                <w:lang w:val="en-GB"/>
              </w:rPr>
            </w:pPr>
          </w:p>
        </w:tc>
        <w:tc>
          <w:tcPr>
            <w:tcW w:w="454" w:type="pct"/>
            <w:shd w:val="clear" w:color="auto" w:fill="FFFFFF"/>
            <w:vAlign w:val="center"/>
          </w:tcPr>
          <w:p w14:paraId="1C74BB11"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850 d</w:t>
            </w:r>
          </w:p>
        </w:tc>
        <w:tc>
          <w:tcPr>
            <w:tcW w:w="454" w:type="pct"/>
            <w:gridSpan w:val="2"/>
            <w:shd w:val="clear" w:color="auto" w:fill="FFFFFF"/>
            <w:vAlign w:val="center"/>
          </w:tcPr>
          <w:p w14:paraId="453949B4"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427 d</w:t>
            </w:r>
          </w:p>
        </w:tc>
        <w:tc>
          <w:tcPr>
            <w:tcW w:w="454" w:type="pct"/>
            <w:shd w:val="clear" w:color="auto" w:fill="FFFFFF"/>
            <w:vAlign w:val="center"/>
          </w:tcPr>
          <w:p w14:paraId="41CD56A8"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894 d</w:t>
            </w:r>
          </w:p>
        </w:tc>
        <w:tc>
          <w:tcPr>
            <w:tcW w:w="454" w:type="pct"/>
            <w:gridSpan w:val="2"/>
            <w:shd w:val="clear" w:color="auto" w:fill="FFFFFF"/>
            <w:vAlign w:val="center"/>
          </w:tcPr>
          <w:p w14:paraId="7D8243D1"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445 d</w:t>
            </w:r>
          </w:p>
        </w:tc>
        <w:tc>
          <w:tcPr>
            <w:tcW w:w="455" w:type="pct"/>
            <w:shd w:val="clear" w:color="auto" w:fill="FFFFFF"/>
            <w:vAlign w:val="center"/>
          </w:tcPr>
          <w:p w14:paraId="0970B27F"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945 d</w:t>
            </w:r>
          </w:p>
        </w:tc>
        <w:tc>
          <w:tcPr>
            <w:tcW w:w="454" w:type="pct"/>
            <w:gridSpan w:val="2"/>
            <w:shd w:val="clear" w:color="auto" w:fill="FFFFFF"/>
            <w:vAlign w:val="center"/>
          </w:tcPr>
          <w:p w14:paraId="437C787F"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475 d</w:t>
            </w:r>
          </w:p>
        </w:tc>
        <w:tc>
          <w:tcPr>
            <w:tcW w:w="454" w:type="pct"/>
            <w:shd w:val="clear" w:color="auto" w:fill="FFFFFF"/>
            <w:vAlign w:val="center"/>
          </w:tcPr>
          <w:p w14:paraId="1927691F"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1007 d</w:t>
            </w:r>
          </w:p>
        </w:tc>
        <w:tc>
          <w:tcPr>
            <w:tcW w:w="455" w:type="pct"/>
            <w:gridSpan w:val="2"/>
            <w:shd w:val="clear" w:color="auto" w:fill="FFFFFF"/>
            <w:vAlign w:val="center"/>
          </w:tcPr>
          <w:p w14:paraId="17F87A98"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504 d</w:t>
            </w:r>
          </w:p>
        </w:tc>
        <w:tc>
          <w:tcPr>
            <w:tcW w:w="455" w:type="pct"/>
            <w:shd w:val="clear" w:color="auto" w:fill="FFFFFF"/>
            <w:vAlign w:val="center"/>
          </w:tcPr>
          <w:p w14:paraId="3283D2C4"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1073 d</w:t>
            </w:r>
          </w:p>
        </w:tc>
        <w:tc>
          <w:tcPr>
            <w:tcW w:w="453" w:type="pct"/>
            <w:shd w:val="clear" w:color="auto" w:fill="FFFFFF"/>
            <w:vAlign w:val="center"/>
          </w:tcPr>
          <w:p w14:paraId="06396FDD"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850 d</w:t>
            </w:r>
          </w:p>
        </w:tc>
      </w:tr>
      <w:tr w:rsidR="00275807" w:rsidRPr="006D7EF7" w14:paraId="32C4DCF8" w14:textId="77777777" w:rsidTr="00E22492">
        <w:tc>
          <w:tcPr>
            <w:tcW w:w="447" w:type="pct"/>
            <w:shd w:val="clear" w:color="auto" w:fill="FFFFFF"/>
          </w:tcPr>
          <w:p w14:paraId="6486AB80" w14:textId="77777777" w:rsidR="00275807" w:rsidRPr="006D7EF7" w:rsidRDefault="00275807" w:rsidP="00E22492">
            <w:pPr>
              <w:pStyle w:val="CETBodytext"/>
              <w:ind w:right="-1"/>
              <w:rPr>
                <w:rFonts w:cs="Arial"/>
                <w:szCs w:val="18"/>
                <w:lang w:val="en-GB"/>
              </w:rPr>
            </w:pPr>
            <w:r w:rsidRPr="006D7EF7">
              <w:rPr>
                <w:rFonts w:cs="Arial"/>
                <w:szCs w:val="18"/>
                <w:lang w:val="en-GB"/>
              </w:rPr>
              <w:t>3</w:t>
            </w:r>
          </w:p>
        </w:tc>
        <w:tc>
          <w:tcPr>
            <w:tcW w:w="11" w:type="pct"/>
            <w:shd w:val="clear" w:color="auto" w:fill="FFFFFF"/>
          </w:tcPr>
          <w:p w14:paraId="1D6E2EE9" w14:textId="77777777" w:rsidR="00275807" w:rsidRPr="006D7EF7" w:rsidRDefault="00275807" w:rsidP="00E22492">
            <w:pPr>
              <w:pStyle w:val="CETBodytext"/>
              <w:ind w:right="-1"/>
              <w:rPr>
                <w:rFonts w:cs="Arial"/>
                <w:szCs w:val="18"/>
                <w:lang w:val="en-GB"/>
              </w:rPr>
            </w:pPr>
          </w:p>
        </w:tc>
        <w:tc>
          <w:tcPr>
            <w:tcW w:w="454" w:type="pct"/>
            <w:shd w:val="clear" w:color="auto" w:fill="FFFFFF"/>
            <w:vAlign w:val="center"/>
          </w:tcPr>
          <w:p w14:paraId="270A5938"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792 d</w:t>
            </w:r>
          </w:p>
        </w:tc>
        <w:tc>
          <w:tcPr>
            <w:tcW w:w="454" w:type="pct"/>
            <w:gridSpan w:val="2"/>
            <w:shd w:val="clear" w:color="auto" w:fill="FFFFFF"/>
            <w:vAlign w:val="center"/>
          </w:tcPr>
          <w:p w14:paraId="530D7223"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398 d</w:t>
            </w:r>
          </w:p>
        </w:tc>
        <w:tc>
          <w:tcPr>
            <w:tcW w:w="454" w:type="pct"/>
            <w:shd w:val="clear" w:color="auto" w:fill="FFFFFF"/>
            <w:vAlign w:val="center"/>
          </w:tcPr>
          <w:p w14:paraId="45E09CC7"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832 d</w:t>
            </w:r>
          </w:p>
        </w:tc>
        <w:tc>
          <w:tcPr>
            <w:tcW w:w="454" w:type="pct"/>
            <w:gridSpan w:val="2"/>
            <w:shd w:val="clear" w:color="auto" w:fill="FFFFFF"/>
            <w:vAlign w:val="center"/>
          </w:tcPr>
          <w:p w14:paraId="54EB65FE"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416 d</w:t>
            </w:r>
          </w:p>
        </w:tc>
        <w:tc>
          <w:tcPr>
            <w:tcW w:w="455" w:type="pct"/>
            <w:shd w:val="clear" w:color="auto" w:fill="FFFFFF"/>
            <w:vAlign w:val="center"/>
          </w:tcPr>
          <w:p w14:paraId="65B4AA19"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880 d</w:t>
            </w:r>
          </w:p>
        </w:tc>
        <w:tc>
          <w:tcPr>
            <w:tcW w:w="454" w:type="pct"/>
            <w:gridSpan w:val="2"/>
            <w:shd w:val="clear" w:color="auto" w:fill="FFFFFF"/>
            <w:vAlign w:val="center"/>
          </w:tcPr>
          <w:p w14:paraId="5EEE5F57"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438 d</w:t>
            </w:r>
          </w:p>
        </w:tc>
        <w:tc>
          <w:tcPr>
            <w:tcW w:w="454" w:type="pct"/>
            <w:shd w:val="clear" w:color="auto" w:fill="FFFFFF"/>
            <w:vAlign w:val="center"/>
          </w:tcPr>
          <w:p w14:paraId="79CC79C6"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931 d</w:t>
            </w:r>
          </w:p>
        </w:tc>
        <w:tc>
          <w:tcPr>
            <w:tcW w:w="455" w:type="pct"/>
            <w:gridSpan w:val="2"/>
            <w:shd w:val="clear" w:color="auto" w:fill="FFFFFF"/>
            <w:vAlign w:val="center"/>
          </w:tcPr>
          <w:p w14:paraId="346893B9"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467 d</w:t>
            </w:r>
          </w:p>
        </w:tc>
        <w:tc>
          <w:tcPr>
            <w:tcW w:w="455" w:type="pct"/>
            <w:shd w:val="clear" w:color="auto" w:fill="FFFFFF"/>
            <w:vAlign w:val="center"/>
          </w:tcPr>
          <w:p w14:paraId="2AF7DE2D"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993 d</w:t>
            </w:r>
          </w:p>
        </w:tc>
        <w:tc>
          <w:tcPr>
            <w:tcW w:w="453" w:type="pct"/>
            <w:shd w:val="clear" w:color="auto" w:fill="FFFFFF"/>
            <w:vAlign w:val="center"/>
          </w:tcPr>
          <w:p w14:paraId="02132025"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792 d</w:t>
            </w:r>
          </w:p>
        </w:tc>
      </w:tr>
      <w:tr w:rsidR="00275807" w:rsidRPr="006D7EF7" w14:paraId="28D55533" w14:textId="77777777" w:rsidTr="00E22492">
        <w:tc>
          <w:tcPr>
            <w:tcW w:w="447" w:type="pct"/>
            <w:shd w:val="clear" w:color="auto" w:fill="FFFFFF"/>
          </w:tcPr>
          <w:p w14:paraId="455DF268" w14:textId="77777777" w:rsidR="00275807" w:rsidRPr="006D7EF7" w:rsidRDefault="00275807" w:rsidP="00E22492">
            <w:pPr>
              <w:pStyle w:val="CETBodytext"/>
              <w:ind w:right="-1"/>
              <w:rPr>
                <w:rFonts w:cs="Arial"/>
                <w:szCs w:val="18"/>
                <w:lang w:val="en-GB"/>
              </w:rPr>
            </w:pPr>
            <w:r w:rsidRPr="006D7EF7">
              <w:rPr>
                <w:rFonts w:cs="Arial"/>
                <w:szCs w:val="18"/>
                <w:lang w:val="en-GB"/>
              </w:rPr>
              <w:t>4</w:t>
            </w:r>
          </w:p>
        </w:tc>
        <w:tc>
          <w:tcPr>
            <w:tcW w:w="11" w:type="pct"/>
            <w:shd w:val="clear" w:color="auto" w:fill="FFFFFF"/>
          </w:tcPr>
          <w:p w14:paraId="4029683B" w14:textId="77777777" w:rsidR="00275807" w:rsidRPr="006D7EF7" w:rsidRDefault="00275807" w:rsidP="00E22492">
            <w:pPr>
              <w:pStyle w:val="CETBodytext"/>
              <w:ind w:right="-1"/>
              <w:rPr>
                <w:rFonts w:cs="Arial"/>
                <w:szCs w:val="18"/>
                <w:lang w:val="en-GB"/>
              </w:rPr>
            </w:pPr>
          </w:p>
        </w:tc>
        <w:tc>
          <w:tcPr>
            <w:tcW w:w="454" w:type="pct"/>
            <w:shd w:val="clear" w:color="auto" w:fill="FFFFFF"/>
            <w:vAlign w:val="center"/>
          </w:tcPr>
          <w:p w14:paraId="0F908138"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307 d</w:t>
            </w:r>
          </w:p>
        </w:tc>
        <w:tc>
          <w:tcPr>
            <w:tcW w:w="454" w:type="pct"/>
            <w:gridSpan w:val="2"/>
            <w:shd w:val="clear" w:color="auto" w:fill="FFFFFF"/>
            <w:vAlign w:val="center"/>
          </w:tcPr>
          <w:p w14:paraId="35B9F665"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153 d</w:t>
            </w:r>
          </w:p>
        </w:tc>
        <w:tc>
          <w:tcPr>
            <w:tcW w:w="454" w:type="pct"/>
            <w:shd w:val="clear" w:color="auto" w:fill="FFFFFF"/>
            <w:vAlign w:val="center"/>
          </w:tcPr>
          <w:p w14:paraId="3A2E4B3F"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321 d</w:t>
            </w:r>
          </w:p>
        </w:tc>
        <w:tc>
          <w:tcPr>
            <w:tcW w:w="454" w:type="pct"/>
            <w:gridSpan w:val="2"/>
            <w:shd w:val="clear" w:color="auto" w:fill="FFFFFF"/>
            <w:vAlign w:val="center"/>
          </w:tcPr>
          <w:p w14:paraId="1D097F77"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164 d</w:t>
            </w:r>
          </w:p>
        </w:tc>
        <w:tc>
          <w:tcPr>
            <w:tcW w:w="455" w:type="pct"/>
            <w:shd w:val="clear" w:color="auto" w:fill="FFFFFF"/>
            <w:vAlign w:val="center"/>
          </w:tcPr>
          <w:p w14:paraId="106BA7F7"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339 d</w:t>
            </w:r>
          </w:p>
        </w:tc>
        <w:tc>
          <w:tcPr>
            <w:tcW w:w="454" w:type="pct"/>
            <w:gridSpan w:val="2"/>
            <w:shd w:val="clear" w:color="auto" w:fill="FFFFFF"/>
            <w:vAlign w:val="center"/>
          </w:tcPr>
          <w:p w14:paraId="0D1756E5"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172 d</w:t>
            </w:r>
          </w:p>
        </w:tc>
        <w:tc>
          <w:tcPr>
            <w:tcW w:w="454" w:type="pct"/>
            <w:shd w:val="clear" w:color="auto" w:fill="FFFFFF"/>
            <w:vAlign w:val="center"/>
          </w:tcPr>
          <w:p w14:paraId="536D5074"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361 d</w:t>
            </w:r>
          </w:p>
        </w:tc>
        <w:tc>
          <w:tcPr>
            <w:tcW w:w="455" w:type="pct"/>
            <w:gridSpan w:val="2"/>
            <w:shd w:val="clear" w:color="auto" w:fill="FFFFFF"/>
            <w:vAlign w:val="center"/>
          </w:tcPr>
          <w:p w14:paraId="23B45400"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179 d</w:t>
            </w:r>
          </w:p>
        </w:tc>
        <w:tc>
          <w:tcPr>
            <w:tcW w:w="455" w:type="pct"/>
            <w:shd w:val="clear" w:color="auto" w:fill="FFFFFF"/>
            <w:vAlign w:val="center"/>
          </w:tcPr>
          <w:p w14:paraId="58074004"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387 d</w:t>
            </w:r>
          </w:p>
        </w:tc>
        <w:tc>
          <w:tcPr>
            <w:tcW w:w="453" w:type="pct"/>
            <w:shd w:val="clear" w:color="auto" w:fill="FFFFFF"/>
            <w:vAlign w:val="center"/>
          </w:tcPr>
          <w:p w14:paraId="292FC640"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307 d</w:t>
            </w:r>
          </w:p>
        </w:tc>
      </w:tr>
      <w:tr w:rsidR="00275807" w:rsidRPr="006D7EF7" w14:paraId="1158B148" w14:textId="77777777" w:rsidTr="00E22492">
        <w:tc>
          <w:tcPr>
            <w:tcW w:w="447" w:type="pct"/>
            <w:shd w:val="clear" w:color="auto" w:fill="FFFFFF"/>
          </w:tcPr>
          <w:p w14:paraId="1B32581A" w14:textId="77777777" w:rsidR="00275807" w:rsidRPr="006D7EF7" w:rsidRDefault="00275807" w:rsidP="00E22492">
            <w:pPr>
              <w:pStyle w:val="CETBodytext"/>
              <w:ind w:right="-1"/>
              <w:rPr>
                <w:rFonts w:cs="Arial"/>
                <w:szCs w:val="18"/>
                <w:lang w:val="en-GB"/>
              </w:rPr>
            </w:pPr>
            <w:r w:rsidRPr="006D7EF7">
              <w:rPr>
                <w:rFonts w:cs="Arial"/>
                <w:szCs w:val="18"/>
                <w:lang w:val="en-GB"/>
              </w:rPr>
              <w:t>5</w:t>
            </w:r>
          </w:p>
        </w:tc>
        <w:tc>
          <w:tcPr>
            <w:tcW w:w="11" w:type="pct"/>
            <w:shd w:val="clear" w:color="auto" w:fill="FFFFFF"/>
          </w:tcPr>
          <w:p w14:paraId="756A975D" w14:textId="77777777" w:rsidR="00275807" w:rsidRPr="006D7EF7" w:rsidRDefault="00275807" w:rsidP="00E22492">
            <w:pPr>
              <w:pStyle w:val="CETBodytext"/>
              <w:ind w:right="-1"/>
              <w:rPr>
                <w:rFonts w:cs="Arial"/>
                <w:szCs w:val="18"/>
                <w:lang w:val="en-GB"/>
              </w:rPr>
            </w:pPr>
          </w:p>
        </w:tc>
        <w:tc>
          <w:tcPr>
            <w:tcW w:w="454" w:type="pct"/>
            <w:shd w:val="clear" w:color="auto" w:fill="FFFFFF"/>
            <w:vAlign w:val="center"/>
          </w:tcPr>
          <w:p w14:paraId="153DB44A"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653 d</w:t>
            </w:r>
          </w:p>
        </w:tc>
        <w:tc>
          <w:tcPr>
            <w:tcW w:w="454" w:type="pct"/>
            <w:gridSpan w:val="2"/>
            <w:shd w:val="clear" w:color="auto" w:fill="FFFFFF"/>
            <w:vAlign w:val="center"/>
          </w:tcPr>
          <w:p w14:paraId="7B3A24C4"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325 d</w:t>
            </w:r>
          </w:p>
        </w:tc>
        <w:tc>
          <w:tcPr>
            <w:tcW w:w="454" w:type="pct"/>
            <w:shd w:val="clear" w:color="auto" w:fill="FFFFFF"/>
            <w:vAlign w:val="center"/>
          </w:tcPr>
          <w:p w14:paraId="00A161A7"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686 d</w:t>
            </w:r>
          </w:p>
        </w:tc>
        <w:tc>
          <w:tcPr>
            <w:tcW w:w="454" w:type="pct"/>
            <w:gridSpan w:val="2"/>
            <w:shd w:val="clear" w:color="auto" w:fill="FFFFFF"/>
            <w:vAlign w:val="center"/>
          </w:tcPr>
          <w:p w14:paraId="4A2BED41"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343 d</w:t>
            </w:r>
          </w:p>
        </w:tc>
        <w:tc>
          <w:tcPr>
            <w:tcW w:w="455" w:type="pct"/>
            <w:shd w:val="clear" w:color="auto" w:fill="FFFFFF"/>
            <w:vAlign w:val="center"/>
          </w:tcPr>
          <w:p w14:paraId="1239A930"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726 d</w:t>
            </w:r>
          </w:p>
        </w:tc>
        <w:tc>
          <w:tcPr>
            <w:tcW w:w="454" w:type="pct"/>
            <w:gridSpan w:val="2"/>
            <w:shd w:val="clear" w:color="auto" w:fill="FFFFFF"/>
            <w:vAlign w:val="center"/>
          </w:tcPr>
          <w:p w14:paraId="491C5BD2"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361 d</w:t>
            </w:r>
          </w:p>
        </w:tc>
        <w:tc>
          <w:tcPr>
            <w:tcW w:w="454" w:type="pct"/>
            <w:shd w:val="clear" w:color="auto" w:fill="FFFFFF"/>
            <w:vAlign w:val="center"/>
          </w:tcPr>
          <w:p w14:paraId="5FFB68C5"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770 d</w:t>
            </w:r>
          </w:p>
        </w:tc>
        <w:tc>
          <w:tcPr>
            <w:tcW w:w="455" w:type="pct"/>
            <w:gridSpan w:val="2"/>
            <w:shd w:val="clear" w:color="auto" w:fill="FFFFFF"/>
            <w:vAlign w:val="center"/>
          </w:tcPr>
          <w:p w14:paraId="4AEF3378"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387 d</w:t>
            </w:r>
          </w:p>
        </w:tc>
        <w:tc>
          <w:tcPr>
            <w:tcW w:w="455" w:type="pct"/>
            <w:shd w:val="clear" w:color="auto" w:fill="FFFFFF"/>
            <w:vAlign w:val="center"/>
          </w:tcPr>
          <w:p w14:paraId="55965DA1"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821 d</w:t>
            </w:r>
          </w:p>
        </w:tc>
        <w:tc>
          <w:tcPr>
            <w:tcW w:w="453" w:type="pct"/>
            <w:shd w:val="clear" w:color="auto" w:fill="FFFFFF"/>
            <w:vAlign w:val="center"/>
          </w:tcPr>
          <w:p w14:paraId="0492DDEE"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653 d</w:t>
            </w:r>
          </w:p>
        </w:tc>
      </w:tr>
      <w:tr w:rsidR="00275807" w:rsidRPr="006D7EF7" w14:paraId="7397265A" w14:textId="77777777" w:rsidTr="00E22492">
        <w:tc>
          <w:tcPr>
            <w:tcW w:w="447" w:type="pct"/>
            <w:shd w:val="clear" w:color="auto" w:fill="FFFFFF"/>
          </w:tcPr>
          <w:p w14:paraId="1295C504" w14:textId="77777777" w:rsidR="00275807" w:rsidRPr="006D7EF7" w:rsidRDefault="00275807" w:rsidP="00E22492">
            <w:pPr>
              <w:pStyle w:val="CETBodytext"/>
              <w:ind w:right="-1"/>
              <w:rPr>
                <w:rFonts w:cs="Arial"/>
                <w:szCs w:val="18"/>
                <w:lang w:val="en-GB"/>
              </w:rPr>
            </w:pPr>
            <w:r w:rsidRPr="006D7EF7">
              <w:rPr>
                <w:rFonts w:cs="Arial"/>
                <w:szCs w:val="18"/>
                <w:lang w:val="en-GB"/>
              </w:rPr>
              <w:t>6 (failure)</w:t>
            </w:r>
          </w:p>
        </w:tc>
        <w:tc>
          <w:tcPr>
            <w:tcW w:w="11" w:type="pct"/>
            <w:shd w:val="clear" w:color="auto" w:fill="FFFFFF"/>
          </w:tcPr>
          <w:p w14:paraId="16B3E43A" w14:textId="77777777" w:rsidR="00275807" w:rsidRPr="006D7EF7" w:rsidRDefault="00275807" w:rsidP="00E22492">
            <w:pPr>
              <w:pStyle w:val="CETBodytext"/>
              <w:ind w:right="-1"/>
              <w:rPr>
                <w:rFonts w:cs="Arial"/>
                <w:szCs w:val="18"/>
                <w:lang w:val="en-GB"/>
              </w:rPr>
            </w:pPr>
          </w:p>
        </w:tc>
        <w:tc>
          <w:tcPr>
            <w:tcW w:w="454" w:type="pct"/>
            <w:shd w:val="clear" w:color="auto" w:fill="FFFFFF"/>
            <w:vAlign w:val="center"/>
          </w:tcPr>
          <w:p w14:paraId="0E473A46"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537 d</w:t>
            </w:r>
          </w:p>
        </w:tc>
        <w:tc>
          <w:tcPr>
            <w:tcW w:w="454" w:type="pct"/>
            <w:gridSpan w:val="2"/>
            <w:shd w:val="clear" w:color="auto" w:fill="FFFFFF"/>
            <w:vAlign w:val="center"/>
          </w:tcPr>
          <w:p w14:paraId="5D93418E"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266 d</w:t>
            </w:r>
          </w:p>
        </w:tc>
        <w:tc>
          <w:tcPr>
            <w:tcW w:w="454" w:type="pct"/>
            <w:shd w:val="clear" w:color="auto" w:fill="FFFFFF"/>
            <w:vAlign w:val="center"/>
          </w:tcPr>
          <w:p w14:paraId="7546D247"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562 d</w:t>
            </w:r>
          </w:p>
        </w:tc>
        <w:tc>
          <w:tcPr>
            <w:tcW w:w="454" w:type="pct"/>
            <w:gridSpan w:val="2"/>
            <w:shd w:val="clear" w:color="auto" w:fill="FFFFFF"/>
            <w:vAlign w:val="center"/>
          </w:tcPr>
          <w:p w14:paraId="38FDEB00"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281 d</w:t>
            </w:r>
          </w:p>
        </w:tc>
        <w:tc>
          <w:tcPr>
            <w:tcW w:w="455" w:type="pct"/>
            <w:shd w:val="clear" w:color="auto" w:fill="FFFFFF"/>
            <w:vAlign w:val="center"/>
          </w:tcPr>
          <w:p w14:paraId="002D2690"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591 d</w:t>
            </w:r>
          </w:p>
        </w:tc>
        <w:tc>
          <w:tcPr>
            <w:tcW w:w="454" w:type="pct"/>
            <w:gridSpan w:val="2"/>
            <w:shd w:val="clear" w:color="auto" w:fill="FFFFFF"/>
            <w:vAlign w:val="center"/>
          </w:tcPr>
          <w:p w14:paraId="5F2D0155"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296 d</w:t>
            </w:r>
          </w:p>
        </w:tc>
        <w:tc>
          <w:tcPr>
            <w:tcW w:w="454" w:type="pct"/>
            <w:shd w:val="clear" w:color="auto" w:fill="FFFFFF"/>
            <w:vAlign w:val="center"/>
          </w:tcPr>
          <w:p w14:paraId="5C98FB5C"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628 d</w:t>
            </w:r>
          </w:p>
        </w:tc>
        <w:tc>
          <w:tcPr>
            <w:tcW w:w="455" w:type="pct"/>
            <w:gridSpan w:val="2"/>
            <w:shd w:val="clear" w:color="auto" w:fill="FFFFFF"/>
            <w:vAlign w:val="center"/>
          </w:tcPr>
          <w:p w14:paraId="73EFECB5"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314 d</w:t>
            </w:r>
          </w:p>
        </w:tc>
        <w:tc>
          <w:tcPr>
            <w:tcW w:w="455" w:type="pct"/>
            <w:shd w:val="clear" w:color="auto" w:fill="FFFFFF"/>
            <w:vAlign w:val="center"/>
          </w:tcPr>
          <w:p w14:paraId="5658D85C"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668 d</w:t>
            </w:r>
          </w:p>
        </w:tc>
        <w:tc>
          <w:tcPr>
            <w:tcW w:w="453" w:type="pct"/>
            <w:shd w:val="clear" w:color="auto" w:fill="FFFFFF"/>
            <w:vAlign w:val="center"/>
          </w:tcPr>
          <w:p w14:paraId="29711DF6" w14:textId="77777777" w:rsidR="00275807" w:rsidRPr="006D7EF7" w:rsidRDefault="00275807" w:rsidP="00E22492">
            <w:pPr>
              <w:pStyle w:val="CETBodytext"/>
              <w:ind w:right="-1"/>
              <w:jc w:val="right"/>
              <w:rPr>
                <w:rFonts w:cs="Arial"/>
                <w:szCs w:val="18"/>
                <w:lang w:val="en-GB"/>
              </w:rPr>
            </w:pPr>
            <w:r w:rsidRPr="006D7EF7">
              <w:rPr>
                <w:rFonts w:cs="Arial"/>
                <w:szCs w:val="18"/>
                <w:lang w:val="en-GB"/>
              </w:rPr>
              <w:t>537 d</w:t>
            </w:r>
          </w:p>
        </w:tc>
      </w:tr>
    </w:tbl>
    <w:p w14:paraId="16094BF7" w14:textId="15A36349" w:rsidR="0090642F" w:rsidRPr="006D7EF7" w:rsidRDefault="00A7706B" w:rsidP="00275807">
      <w:pPr>
        <w:pStyle w:val="CETBodytext"/>
        <w:spacing w:before="120"/>
        <w:rPr>
          <w:lang w:val="en-GB"/>
        </w:rPr>
      </w:pPr>
      <w:r w:rsidRPr="006D7EF7">
        <w:rPr>
          <w:lang w:val="en-GB"/>
        </w:rPr>
        <w:t xml:space="preserve">The variability of </w:t>
      </w:r>
      <w:r w:rsidR="005B013F" w:rsidRPr="006D7EF7">
        <w:rPr>
          <w:lang w:val="en-GB"/>
        </w:rPr>
        <w:t xml:space="preserve">pressure </w:t>
      </w:r>
      <w:r w:rsidR="001B44A2" w:rsidRPr="006D7EF7">
        <w:rPr>
          <w:lang w:val="en-GB"/>
        </w:rPr>
        <w:t>fluctuations</w:t>
      </w:r>
      <w:r w:rsidR="005B013F" w:rsidRPr="006D7EF7">
        <w:rPr>
          <w:lang w:val="en-GB"/>
        </w:rPr>
        <w:t xml:space="preserve"> does not allow </w:t>
      </w:r>
      <w:r w:rsidR="006676A7" w:rsidRPr="006D7EF7">
        <w:rPr>
          <w:lang w:val="en-GB"/>
        </w:rPr>
        <w:t xml:space="preserve">for any </w:t>
      </w:r>
      <w:r w:rsidR="00843D88" w:rsidRPr="006D7EF7">
        <w:rPr>
          <w:lang w:val="en-GB"/>
        </w:rPr>
        <w:t xml:space="preserve">reliable </w:t>
      </w:r>
      <w:r w:rsidR="006676A7" w:rsidRPr="006D7EF7">
        <w:rPr>
          <w:lang w:val="en-GB"/>
        </w:rPr>
        <w:t>decision regarding</w:t>
      </w:r>
      <w:r w:rsidR="008446EC" w:rsidRPr="006D7EF7">
        <w:rPr>
          <w:lang w:val="en-GB"/>
        </w:rPr>
        <w:t xml:space="preserve"> the monitoring plan.</w:t>
      </w:r>
      <w:r w:rsidR="009F5093" w:rsidRPr="006D7EF7">
        <w:rPr>
          <w:lang w:val="en-GB"/>
        </w:rPr>
        <w:t xml:space="preserve"> </w:t>
      </w:r>
      <w:r w:rsidR="006774B7" w:rsidRPr="006D7EF7">
        <w:rPr>
          <w:lang w:val="en-GB"/>
        </w:rPr>
        <w:t xml:space="preserve">The application of the Markov State model </w:t>
      </w:r>
      <w:r w:rsidR="00D14797" w:rsidRPr="006D7EF7">
        <w:rPr>
          <w:lang w:val="en-GB"/>
        </w:rPr>
        <w:t>allows the progress of degradation to be considered stochastic,</w:t>
      </w:r>
      <w:r w:rsidR="00275807" w:rsidRPr="006D7EF7">
        <w:rPr>
          <w:lang w:val="en-GB"/>
        </w:rPr>
        <w:t xml:space="preserve"> </w:t>
      </w:r>
      <w:r w:rsidR="00D14797" w:rsidRPr="006D7EF7">
        <w:rPr>
          <w:lang w:val="en-GB"/>
        </w:rPr>
        <w:t xml:space="preserve">bypassing the </w:t>
      </w:r>
      <w:r w:rsidR="001D61F9" w:rsidRPr="006D7EF7">
        <w:rPr>
          <w:lang w:val="en-GB"/>
        </w:rPr>
        <w:t xml:space="preserve">issue </w:t>
      </w:r>
      <w:r w:rsidR="00D14797" w:rsidRPr="006D7EF7">
        <w:rPr>
          <w:lang w:val="en-GB"/>
        </w:rPr>
        <w:t xml:space="preserve">of </w:t>
      </w:r>
      <w:r w:rsidR="001D61F9" w:rsidRPr="006D7EF7">
        <w:rPr>
          <w:lang w:val="en-GB"/>
        </w:rPr>
        <w:t>unpredictable</w:t>
      </w:r>
      <w:r w:rsidR="00D14797" w:rsidRPr="006D7EF7">
        <w:rPr>
          <w:lang w:val="en-GB"/>
        </w:rPr>
        <w:t xml:space="preserve"> loads</w:t>
      </w:r>
      <w:r w:rsidR="001D61F9" w:rsidRPr="006D7EF7">
        <w:rPr>
          <w:lang w:val="en-GB"/>
        </w:rPr>
        <w:t>.</w:t>
      </w:r>
      <w:r w:rsidR="00C05D40" w:rsidRPr="006D7EF7">
        <w:rPr>
          <w:lang w:val="en-GB"/>
        </w:rPr>
        <w:t xml:space="preserve"> </w:t>
      </w:r>
      <w:r w:rsidR="00916F4C" w:rsidRPr="006D7EF7">
        <w:rPr>
          <w:lang w:val="en-GB"/>
        </w:rPr>
        <w:t xml:space="preserve">The </w:t>
      </w:r>
      <w:r w:rsidR="004538A1" w:rsidRPr="006D7EF7">
        <w:rPr>
          <w:lang w:val="en-GB"/>
        </w:rPr>
        <w:t>coupling with</w:t>
      </w:r>
      <w:r w:rsidR="00916F4C" w:rsidRPr="006D7EF7">
        <w:rPr>
          <w:lang w:val="en-GB"/>
        </w:rPr>
        <w:t xml:space="preserve"> the Markov model </w:t>
      </w:r>
      <w:r w:rsidR="00F772ED" w:rsidRPr="006D7EF7">
        <w:rPr>
          <w:lang w:val="en-GB"/>
        </w:rPr>
        <w:t>tries to address the stochastic nature of the loads; f</w:t>
      </w:r>
      <w:r w:rsidR="002D2E9A" w:rsidRPr="006D7EF7">
        <w:rPr>
          <w:lang w:val="en-GB"/>
        </w:rPr>
        <w:t xml:space="preserve">or this reason, </w:t>
      </w:r>
      <w:r w:rsidR="00A35B43" w:rsidRPr="006D7EF7">
        <w:rPr>
          <w:lang w:val="en-GB"/>
        </w:rPr>
        <w:t xml:space="preserve">the components of the Markov matrix </w:t>
      </w:r>
      <w:r w:rsidR="002C6439" w:rsidRPr="006D7EF7">
        <w:rPr>
          <w:lang w:val="en-GB"/>
        </w:rPr>
        <w:t>(</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i</m:t>
            </m:r>
          </m:sub>
        </m:sSub>
      </m:oMath>
      <w:r w:rsidR="009769EB" w:rsidRPr="006D7EF7">
        <w:rPr>
          <w:lang w:val="en-GB"/>
        </w:rPr>
        <w:t xml:space="preserve">) </w:t>
      </w:r>
      <w:r w:rsidR="00A35B43" w:rsidRPr="006D7EF7">
        <w:rPr>
          <w:lang w:val="en-GB"/>
        </w:rPr>
        <w:t>correspond to the a</w:t>
      </w:r>
      <w:r w:rsidR="00A235E5" w:rsidRPr="006D7EF7">
        <w:rPr>
          <w:lang w:val="en-GB"/>
        </w:rPr>
        <w:t>rithmetic mean</w:t>
      </w:r>
      <w:r w:rsidR="00A35B43" w:rsidRPr="006D7EF7">
        <w:rPr>
          <w:lang w:val="en-GB"/>
        </w:rPr>
        <w:t xml:space="preserve"> </w:t>
      </w:r>
      <w:r w:rsidR="001A6EB0" w:rsidRPr="006D7EF7">
        <w:rPr>
          <w:lang w:val="en-GB"/>
        </w:rPr>
        <w:lastRenderedPageBreak/>
        <w:t>of the physical model output</w:t>
      </w:r>
      <w:r w:rsidR="00625F25" w:rsidRPr="006D7EF7">
        <w:rPr>
          <w:lang w:val="en-GB"/>
        </w:rPr>
        <w:t>s</w:t>
      </w:r>
      <w:r w:rsidR="001A6EB0" w:rsidRPr="006D7EF7">
        <w:rPr>
          <w:lang w:val="en-GB"/>
        </w:rPr>
        <w:t xml:space="preserve"> </w:t>
      </w:r>
      <w:r w:rsidR="00683227" w:rsidRPr="006D7EF7">
        <w:rPr>
          <w:lang w:val="en-GB"/>
        </w:rPr>
        <w:t>in different loads</w:t>
      </w:r>
      <w:r w:rsidR="00A235E5" w:rsidRPr="006D7EF7">
        <w:rPr>
          <w:lang w:val="en-GB"/>
        </w:rPr>
        <w:t>.</w:t>
      </w:r>
      <w:r w:rsidR="001A6EB0" w:rsidRPr="006D7EF7">
        <w:rPr>
          <w:lang w:val="en-GB"/>
        </w:rPr>
        <w:t xml:space="preserve"> </w:t>
      </w:r>
      <w:r w:rsidR="007E6B68" w:rsidRPr="006D7EF7">
        <w:rPr>
          <w:lang w:val="en-GB"/>
        </w:rPr>
        <w:fldChar w:fldCharType="begin"/>
      </w:r>
      <w:r w:rsidR="007E6B68" w:rsidRPr="006D7EF7">
        <w:rPr>
          <w:lang w:val="en-GB"/>
        </w:rPr>
        <w:instrText xml:space="preserve"> REF _Ref178942726 \h </w:instrText>
      </w:r>
      <w:r w:rsidR="007E6B68" w:rsidRPr="006D7EF7">
        <w:rPr>
          <w:lang w:val="en-GB"/>
        </w:rPr>
      </w:r>
      <w:r w:rsidR="007E6B68" w:rsidRPr="006D7EF7">
        <w:rPr>
          <w:lang w:val="en-GB"/>
        </w:rPr>
        <w:fldChar w:fldCharType="separate"/>
      </w:r>
      <w:r w:rsidR="007E6B68" w:rsidRPr="006D7EF7">
        <w:rPr>
          <w:lang w:val="en-GB"/>
        </w:rPr>
        <w:t xml:space="preserve">Table </w:t>
      </w:r>
      <w:r w:rsidR="007E6B68" w:rsidRPr="006D7EF7">
        <w:rPr>
          <w:noProof/>
          <w:lang w:val="en-GB"/>
        </w:rPr>
        <w:t>3</w:t>
      </w:r>
      <w:r w:rsidR="007E6B68" w:rsidRPr="006D7EF7">
        <w:rPr>
          <w:lang w:val="en-GB"/>
        </w:rPr>
        <w:fldChar w:fldCharType="end"/>
      </w:r>
      <w:r w:rsidR="007E6B68" w:rsidRPr="006D7EF7">
        <w:rPr>
          <w:lang w:val="en-GB"/>
        </w:rPr>
        <w:t xml:space="preserve"> shows that the number of cycles drops with increasing state, which is in accordance with </w:t>
      </w:r>
      <m:oMath>
        <m:sSub>
          <m:sSubPr>
            <m:ctrlPr>
              <w:rPr>
                <w:rFonts w:ascii="Cambria Math" w:hAnsi="Cambria Math"/>
                <w:i/>
                <w:iCs/>
                <w:lang w:val="en-GB"/>
              </w:rPr>
            </m:ctrlPr>
          </m:sSubPr>
          <m:e>
            <m:r>
              <w:rPr>
                <w:rFonts w:ascii="Cambria Math" w:hAnsi="Cambria Math"/>
                <w:lang w:val="en-GB"/>
              </w:rPr>
              <m:t>λ</m:t>
            </m:r>
          </m:e>
          <m:sub>
            <m:r>
              <w:rPr>
                <w:rFonts w:ascii="Cambria Math" w:hAnsi="Cambria Math"/>
                <w:lang w:val="en-GB"/>
              </w:rPr>
              <m:t>i</m:t>
            </m:r>
          </m:sub>
        </m:sSub>
        <m:r>
          <w:rPr>
            <w:rFonts w:ascii="Cambria Math" w:hAnsi="Cambria Math"/>
            <w:lang w:val="en-GB"/>
          </w:rPr>
          <m:t>=</m:t>
        </m:r>
        <m:sSub>
          <m:sSubPr>
            <m:ctrlPr>
              <w:rPr>
                <w:rFonts w:ascii="Cambria Math" w:hAnsi="Cambria Math"/>
                <w:i/>
                <w:iCs/>
                <w:lang w:val="en-GB"/>
              </w:rPr>
            </m:ctrlPr>
          </m:sSubPr>
          <m:e>
            <m:r>
              <w:rPr>
                <w:rFonts w:ascii="Cambria Math" w:hAnsi="Cambria Math"/>
                <w:lang w:val="en-GB"/>
              </w:rPr>
              <m:t>(1+</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i</m:t>
                </m:r>
              </m:sub>
            </m:sSub>
            <m:r>
              <w:rPr>
                <w:rFonts w:ascii="Cambria Math" w:hAnsi="Cambria Math"/>
                <w:lang w:val="en-GB"/>
              </w:rPr>
              <m:t>)λ</m:t>
            </m:r>
          </m:e>
          <m:sub>
            <m:r>
              <w:rPr>
                <w:rFonts w:ascii="Cambria Math" w:hAnsi="Cambria Math"/>
                <w:lang w:val="en-GB"/>
              </w:rPr>
              <m:t>i-1</m:t>
            </m:r>
          </m:sub>
        </m:sSub>
      </m:oMath>
      <w:r w:rsidR="007E6B68" w:rsidRPr="006D7EF7">
        <w:rPr>
          <w:iCs/>
          <w:lang w:val="en-GB"/>
        </w:rPr>
        <w:t xml:space="preserve">. The failure rate of the last two jumps </w:t>
      </w:r>
      <w:r w:rsidR="0072709D" w:rsidRPr="006D7EF7">
        <w:rPr>
          <w:iCs/>
          <w:lang w:val="en-GB"/>
        </w:rPr>
        <w:t xml:space="preserve">increases </w:t>
      </w:r>
      <w:r w:rsidR="0090642F" w:rsidRPr="006D7EF7">
        <w:rPr>
          <w:iCs/>
          <w:lang w:val="en-GB"/>
        </w:rPr>
        <w:t xml:space="preserve">because the step is 7 mm, whereas the other steps are in the order of magnitude 3 mm. </w:t>
      </w:r>
    </w:p>
    <w:p w14:paraId="476F6986" w14:textId="30570937" w:rsidR="00B76F03" w:rsidRPr="006D7EF7" w:rsidRDefault="00B76F03" w:rsidP="00CC2380">
      <w:pPr>
        <w:pStyle w:val="CETBodytext"/>
        <w:rPr>
          <w:lang w:val="en-GB"/>
        </w:rPr>
      </w:pPr>
      <w:r w:rsidRPr="006D7EF7">
        <w:rPr>
          <w:lang w:val="en-GB"/>
        </w:rPr>
        <w:fldChar w:fldCharType="begin"/>
      </w:r>
      <w:r w:rsidRPr="006D7EF7">
        <w:rPr>
          <w:lang w:val="en-GB"/>
        </w:rPr>
        <w:instrText xml:space="preserve"> REF _Ref178948677 \h </w:instrText>
      </w:r>
      <w:r w:rsidRPr="006D7EF7">
        <w:rPr>
          <w:lang w:val="en-GB"/>
        </w:rPr>
      </w:r>
      <w:r w:rsidRPr="006D7EF7">
        <w:rPr>
          <w:lang w:val="en-GB"/>
        </w:rPr>
        <w:fldChar w:fldCharType="separate"/>
      </w:r>
      <w:r w:rsidR="00A54A01" w:rsidRPr="006D7EF7">
        <w:rPr>
          <w:lang w:val="en-GB"/>
        </w:rPr>
        <w:t xml:space="preserve">Table </w:t>
      </w:r>
      <w:r w:rsidR="00A54A01" w:rsidRPr="006D7EF7">
        <w:rPr>
          <w:noProof/>
          <w:lang w:val="en-GB"/>
        </w:rPr>
        <w:t>4</w:t>
      </w:r>
      <w:r w:rsidRPr="006D7EF7">
        <w:rPr>
          <w:lang w:val="en-GB"/>
        </w:rPr>
        <w:fldChar w:fldCharType="end"/>
      </w:r>
      <w:r w:rsidRPr="006D7EF7">
        <w:rPr>
          <w:lang w:val="en-GB"/>
        </w:rPr>
        <w:t xml:space="preserve"> shows the results of the first phase of the analysis, when the maintenance limit is fixed at state 5 and the inspection interval is the only optimization parameter.</w:t>
      </w:r>
    </w:p>
    <w:p w14:paraId="4B92A744" w14:textId="79E0ED67" w:rsidR="00950383" w:rsidRPr="006D7EF7" w:rsidRDefault="00950383" w:rsidP="005915C6">
      <w:pPr>
        <w:pStyle w:val="CETTabletitle"/>
        <w:spacing w:before="120"/>
      </w:pPr>
      <w:bookmarkStart w:id="7" w:name="_Ref178948677"/>
      <w:r w:rsidRPr="006D7EF7">
        <w:t xml:space="preserve">Table </w:t>
      </w:r>
      <w:r w:rsidRPr="006D7EF7">
        <w:fldChar w:fldCharType="begin"/>
      </w:r>
      <w:r w:rsidRPr="006D7EF7">
        <w:instrText xml:space="preserve"> SEQ Table \* ARABIC </w:instrText>
      </w:r>
      <w:r w:rsidRPr="006D7EF7">
        <w:fldChar w:fldCharType="separate"/>
      </w:r>
      <w:r w:rsidR="00A54A01" w:rsidRPr="006D7EF7">
        <w:rPr>
          <w:noProof/>
        </w:rPr>
        <w:t>4</w:t>
      </w:r>
      <w:r w:rsidRPr="006D7EF7">
        <w:fldChar w:fldCharType="end"/>
      </w:r>
      <w:bookmarkEnd w:id="7"/>
      <w:r w:rsidRPr="006D7EF7">
        <w:t xml:space="preserve">: Inspection interval </w:t>
      </w:r>
      <w:r w:rsidR="0071286C" w:rsidRPr="006D7EF7">
        <w:t>optimi</w:t>
      </w:r>
      <w:r w:rsidR="00E415A3" w:rsidRPr="006D7EF7">
        <w:t>s</w:t>
      </w:r>
      <w:r w:rsidR="0071286C" w:rsidRPr="006D7EF7">
        <w:t>ation</w:t>
      </w:r>
      <w:r w:rsidRPr="006D7EF7">
        <w:t xml:space="preserve"> results.</w:t>
      </w:r>
    </w:p>
    <w:tbl>
      <w:tblPr>
        <w:tblW w:w="3841"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80"/>
        <w:gridCol w:w="2610"/>
        <w:gridCol w:w="1260"/>
      </w:tblGrid>
      <w:tr w:rsidR="00950383" w:rsidRPr="006D7EF7" w14:paraId="7580E42E" w14:textId="77777777" w:rsidTr="00FB4407">
        <w:tc>
          <w:tcPr>
            <w:tcW w:w="2134" w:type="pct"/>
            <w:tcBorders>
              <w:top w:val="single" w:sz="12" w:space="0" w:color="008000"/>
              <w:bottom w:val="single" w:sz="6" w:space="0" w:color="008000"/>
            </w:tcBorders>
            <w:shd w:val="clear" w:color="auto" w:fill="FFFFFF"/>
          </w:tcPr>
          <w:p w14:paraId="5427B757" w14:textId="77777777" w:rsidR="00950383" w:rsidRPr="006D7EF7" w:rsidRDefault="00950383" w:rsidP="008A16C7">
            <w:pPr>
              <w:pStyle w:val="CETBodytext"/>
              <w:rPr>
                <w:szCs w:val="18"/>
                <w:lang w:val="en-GB"/>
              </w:rPr>
            </w:pPr>
            <w:r w:rsidRPr="006D7EF7">
              <w:rPr>
                <w:szCs w:val="18"/>
                <w:lang w:val="en-GB"/>
              </w:rPr>
              <w:t>(Failure Cost) / (Inspection Cost)</w:t>
            </w:r>
          </w:p>
        </w:tc>
        <w:tc>
          <w:tcPr>
            <w:tcW w:w="1933" w:type="pct"/>
            <w:tcBorders>
              <w:top w:val="single" w:sz="12" w:space="0" w:color="008000"/>
              <w:bottom w:val="single" w:sz="6" w:space="0" w:color="008000"/>
            </w:tcBorders>
            <w:shd w:val="clear" w:color="auto" w:fill="FFFFFF"/>
          </w:tcPr>
          <w:p w14:paraId="12B16411" w14:textId="77777777" w:rsidR="00950383" w:rsidRPr="006D7EF7" w:rsidRDefault="00950383" w:rsidP="008A16C7">
            <w:pPr>
              <w:pStyle w:val="CETBodytext"/>
              <w:rPr>
                <w:szCs w:val="18"/>
                <w:lang w:val="en-GB"/>
              </w:rPr>
            </w:pPr>
            <w:r w:rsidRPr="006D7EF7">
              <w:rPr>
                <w:szCs w:val="18"/>
                <w:lang w:val="en-GB"/>
              </w:rPr>
              <w:t>Optimal inspection interval (</w:t>
            </w:r>
            <w:r w:rsidRPr="006D7EF7">
              <w:rPr>
                <w:rFonts w:ascii="Calibri" w:hAnsi="Calibri" w:cs="Calibri"/>
                <w:szCs w:val="18"/>
                <w:lang w:val="en-GB"/>
              </w:rPr>
              <w:t>τ</w:t>
            </w:r>
            <w:r w:rsidRPr="006D7EF7">
              <w:rPr>
                <w:szCs w:val="18"/>
                <w:lang w:val="en-GB"/>
              </w:rPr>
              <w:t>)</w:t>
            </w:r>
          </w:p>
        </w:tc>
        <w:tc>
          <w:tcPr>
            <w:tcW w:w="933" w:type="pct"/>
            <w:tcBorders>
              <w:top w:val="single" w:sz="12" w:space="0" w:color="008000"/>
              <w:bottom w:val="single" w:sz="6" w:space="0" w:color="008000"/>
            </w:tcBorders>
            <w:shd w:val="clear" w:color="auto" w:fill="FFFFFF"/>
          </w:tcPr>
          <w:p w14:paraId="3A58A363" w14:textId="1AFCF7C5" w:rsidR="00950383" w:rsidRPr="006D7EF7" w:rsidRDefault="00950383" w:rsidP="008A16C7">
            <w:pPr>
              <w:pStyle w:val="CETBodytext"/>
              <w:rPr>
                <w:szCs w:val="18"/>
                <w:lang w:val="en-GB"/>
              </w:rPr>
            </w:pPr>
            <w:r w:rsidRPr="006D7EF7">
              <w:rPr>
                <w:szCs w:val="18"/>
                <w:lang w:val="en-GB"/>
              </w:rPr>
              <w:t>Minimised cost</w:t>
            </w:r>
          </w:p>
        </w:tc>
      </w:tr>
      <w:tr w:rsidR="00950383" w:rsidRPr="006D7EF7" w14:paraId="027976BA" w14:textId="77777777" w:rsidTr="00FB4407">
        <w:tc>
          <w:tcPr>
            <w:tcW w:w="2134" w:type="pct"/>
            <w:shd w:val="clear" w:color="auto" w:fill="FFFFFF"/>
          </w:tcPr>
          <w:p w14:paraId="6CBEA308" w14:textId="77777777" w:rsidR="00950383" w:rsidRPr="006D7EF7" w:rsidRDefault="00950383" w:rsidP="008A16C7">
            <w:pPr>
              <w:pStyle w:val="CETBodytext"/>
              <w:rPr>
                <w:szCs w:val="18"/>
                <w:lang w:val="en-GB"/>
              </w:rPr>
            </w:pPr>
            <w:r w:rsidRPr="006D7EF7">
              <w:rPr>
                <w:szCs w:val="18"/>
                <w:lang w:val="en-GB"/>
              </w:rPr>
              <w:t>500</w:t>
            </w:r>
          </w:p>
        </w:tc>
        <w:tc>
          <w:tcPr>
            <w:tcW w:w="1933" w:type="pct"/>
            <w:shd w:val="clear" w:color="auto" w:fill="FFFFFF"/>
          </w:tcPr>
          <w:p w14:paraId="68816084" w14:textId="77777777" w:rsidR="00950383" w:rsidRPr="006D7EF7" w:rsidRDefault="00950383" w:rsidP="008A16C7">
            <w:pPr>
              <w:pStyle w:val="CETBodytext"/>
              <w:rPr>
                <w:szCs w:val="18"/>
                <w:lang w:val="en-GB"/>
              </w:rPr>
            </w:pPr>
            <w:r w:rsidRPr="006D7EF7">
              <w:rPr>
                <w:szCs w:val="18"/>
                <w:lang w:val="en-GB"/>
              </w:rPr>
              <w:t>518 d</w:t>
            </w:r>
          </w:p>
        </w:tc>
        <w:tc>
          <w:tcPr>
            <w:tcW w:w="933" w:type="pct"/>
            <w:shd w:val="clear" w:color="auto" w:fill="FFFFFF"/>
          </w:tcPr>
          <w:p w14:paraId="46609679" w14:textId="77777777" w:rsidR="00950383" w:rsidRPr="006D7EF7" w:rsidRDefault="00950383" w:rsidP="008A16C7">
            <w:pPr>
              <w:pStyle w:val="CETBodytext"/>
              <w:jc w:val="left"/>
              <w:rPr>
                <w:szCs w:val="18"/>
                <w:lang w:val="en-GB"/>
              </w:rPr>
            </w:pPr>
            <w:r w:rsidRPr="006D7EF7">
              <w:rPr>
                <w:szCs w:val="18"/>
                <w:lang w:val="en-GB"/>
              </w:rPr>
              <w:t>0.105</w:t>
            </w:r>
          </w:p>
        </w:tc>
      </w:tr>
      <w:tr w:rsidR="00950383" w:rsidRPr="006D7EF7" w14:paraId="38B17070" w14:textId="77777777" w:rsidTr="00FB4407">
        <w:tc>
          <w:tcPr>
            <w:tcW w:w="2134" w:type="pct"/>
            <w:shd w:val="clear" w:color="auto" w:fill="FFFFFF"/>
          </w:tcPr>
          <w:p w14:paraId="08CC7E16" w14:textId="77777777" w:rsidR="00950383" w:rsidRPr="006D7EF7" w:rsidRDefault="00950383" w:rsidP="008A16C7">
            <w:pPr>
              <w:pStyle w:val="CETBodytext"/>
              <w:ind w:right="-1"/>
              <w:rPr>
                <w:rFonts w:cs="Arial"/>
                <w:szCs w:val="18"/>
                <w:lang w:val="en-GB"/>
              </w:rPr>
            </w:pPr>
            <w:r w:rsidRPr="006D7EF7">
              <w:rPr>
                <w:rFonts w:cs="Arial"/>
                <w:szCs w:val="18"/>
                <w:lang w:val="en-GB"/>
              </w:rPr>
              <w:t>1000</w:t>
            </w:r>
          </w:p>
        </w:tc>
        <w:tc>
          <w:tcPr>
            <w:tcW w:w="1933" w:type="pct"/>
            <w:shd w:val="clear" w:color="auto" w:fill="FFFFFF"/>
          </w:tcPr>
          <w:p w14:paraId="280DD488" w14:textId="77777777" w:rsidR="00950383" w:rsidRPr="006D7EF7" w:rsidRDefault="00950383" w:rsidP="008A16C7">
            <w:pPr>
              <w:pStyle w:val="CETBodytext"/>
              <w:ind w:right="-1"/>
              <w:rPr>
                <w:rFonts w:cs="Arial"/>
                <w:szCs w:val="18"/>
                <w:lang w:val="en-GB"/>
              </w:rPr>
            </w:pPr>
            <w:r w:rsidRPr="006D7EF7">
              <w:rPr>
                <w:rFonts w:cs="Arial"/>
                <w:szCs w:val="18"/>
                <w:lang w:val="en-GB"/>
              </w:rPr>
              <w:t>286 d</w:t>
            </w:r>
          </w:p>
        </w:tc>
        <w:tc>
          <w:tcPr>
            <w:tcW w:w="933" w:type="pct"/>
            <w:shd w:val="clear" w:color="auto" w:fill="FFFFFF"/>
          </w:tcPr>
          <w:p w14:paraId="359F3B44" w14:textId="77777777" w:rsidR="00950383" w:rsidRPr="006D7EF7" w:rsidRDefault="00950383" w:rsidP="008A16C7">
            <w:pPr>
              <w:pStyle w:val="CETBodytext"/>
              <w:ind w:right="-1"/>
              <w:jc w:val="left"/>
              <w:rPr>
                <w:szCs w:val="18"/>
                <w:lang w:val="en-GB"/>
              </w:rPr>
            </w:pPr>
            <w:r w:rsidRPr="006D7EF7">
              <w:rPr>
                <w:szCs w:val="18"/>
                <w:lang w:val="en-GB"/>
              </w:rPr>
              <w:t>0.153</w:t>
            </w:r>
          </w:p>
        </w:tc>
      </w:tr>
      <w:tr w:rsidR="00950383" w:rsidRPr="006D7EF7" w14:paraId="690316BE" w14:textId="77777777" w:rsidTr="00FB4407">
        <w:tc>
          <w:tcPr>
            <w:tcW w:w="2134" w:type="pct"/>
            <w:shd w:val="clear" w:color="auto" w:fill="FFFFFF"/>
          </w:tcPr>
          <w:p w14:paraId="0A335AD9" w14:textId="77777777" w:rsidR="00950383" w:rsidRPr="006D7EF7" w:rsidRDefault="00950383" w:rsidP="008A16C7">
            <w:pPr>
              <w:pStyle w:val="CETBodytext"/>
              <w:ind w:right="-1"/>
              <w:rPr>
                <w:rFonts w:cs="Arial"/>
                <w:szCs w:val="18"/>
                <w:lang w:val="en-GB"/>
              </w:rPr>
            </w:pPr>
            <w:r w:rsidRPr="006D7EF7">
              <w:rPr>
                <w:rFonts w:cs="Arial"/>
                <w:szCs w:val="18"/>
                <w:lang w:val="en-GB"/>
              </w:rPr>
              <w:t>2000</w:t>
            </w:r>
          </w:p>
        </w:tc>
        <w:tc>
          <w:tcPr>
            <w:tcW w:w="1933" w:type="pct"/>
            <w:shd w:val="clear" w:color="auto" w:fill="FFFFFF"/>
          </w:tcPr>
          <w:p w14:paraId="6F30E85B" w14:textId="77777777" w:rsidR="00950383" w:rsidRPr="006D7EF7" w:rsidRDefault="00950383" w:rsidP="008A16C7">
            <w:pPr>
              <w:pStyle w:val="CETBodytext"/>
              <w:ind w:right="-1"/>
              <w:rPr>
                <w:rFonts w:cs="Arial"/>
                <w:szCs w:val="18"/>
                <w:lang w:val="en-GB"/>
              </w:rPr>
            </w:pPr>
            <w:r w:rsidRPr="006D7EF7">
              <w:rPr>
                <w:rFonts w:cs="Arial"/>
                <w:szCs w:val="18"/>
                <w:lang w:val="en-GB"/>
              </w:rPr>
              <w:t>176 d</w:t>
            </w:r>
          </w:p>
        </w:tc>
        <w:tc>
          <w:tcPr>
            <w:tcW w:w="933" w:type="pct"/>
            <w:shd w:val="clear" w:color="auto" w:fill="FFFFFF"/>
          </w:tcPr>
          <w:p w14:paraId="424EEDBC" w14:textId="77777777" w:rsidR="00950383" w:rsidRPr="006D7EF7" w:rsidRDefault="00950383" w:rsidP="008A16C7">
            <w:pPr>
              <w:pStyle w:val="CETBodytext"/>
              <w:ind w:right="-1"/>
              <w:jc w:val="left"/>
              <w:rPr>
                <w:szCs w:val="18"/>
                <w:lang w:val="en-GB"/>
              </w:rPr>
            </w:pPr>
            <w:r w:rsidRPr="006D7EF7">
              <w:rPr>
                <w:szCs w:val="18"/>
                <w:lang w:val="en-GB"/>
              </w:rPr>
              <w:t>0.218</w:t>
            </w:r>
          </w:p>
        </w:tc>
      </w:tr>
      <w:tr w:rsidR="00950383" w:rsidRPr="006D7EF7" w14:paraId="74E995F1" w14:textId="77777777" w:rsidTr="00FB4407">
        <w:tc>
          <w:tcPr>
            <w:tcW w:w="2134" w:type="pct"/>
            <w:shd w:val="clear" w:color="auto" w:fill="FFFFFF"/>
          </w:tcPr>
          <w:p w14:paraId="368C61DF" w14:textId="77777777" w:rsidR="00950383" w:rsidRPr="006D7EF7" w:rsidRDefault="00950383" w:rsidP="008A16C7">
            <w:pPr>
              <w:pStyle w:val="CETBodytext"/>
              <w:ind w:right="-1"/>
              <w:rPr>
                <w:rFonts w:cs="Arial"/>
                <w:szCs w:val="18"/>
                <w:lang w:val="en-GB"/>
              </w:rPr>
            </w:pPr>
            <w:r w:rsidRPr="006D7EF7">
              <w:rPr>
                <w:rFonts w:cs="Arial"/>
                <w:szCs w:val="18"/>
                <w:lang w:val="en-GB"/>
              </w:rPr>
              <w:t>5000</w:t>
            </w:r>
          </w:p>
        </w:tc>
        <w:tc>
          <w:tcPr>
            <w:tcW w:w="1933" w:type="pct"/>
            <w:shd w:val="clear" w:color="auto" w:fill="FFFFFF"/>
          </w:tcPr>
          <w:p w14:paraId="4293829A" w14:textId="77777777" w:rsidR="00950383" w:rsidRPr="006D7EF7" w:rsidRDefault="00950383" w:rsidP="008A16C7">
            <w:pPr>
              <w:pStyle w:val="CETBodytext"/>
              <w:ind w:right="-1"/>
              <w:rPr>
                <w:rFonts w:cs="Arial"/>
                <w:szCs w:val="18"/>
                <w:lang w:val="en-GB"/>
              </w:rPr>
            </w:pPr>
            <w:r w:rsidRPr="006D7EF7">
              <w:rPr>
                <w:rFonts w:cs="Arial"/>
                <w:szCs w:val="18"/>
                <w:lang w:val="en-GB"/>
              </w:rPr>
              <w:t>101 d</w:t>
            </w:r>
          </w:p>
        </w:tc>
        <w:tc>
          <w:tcPr>
            <w:tcW w:w="933" w:type="pct"/>
            <w:shd w:val="clear" w:color="auto" w:fill="FFFFFF"/>
          </w:tcPr>
          <w:p w14:paraId="30061893" w14:textId="77777777" w:rsidR="00950383" w:rsidRPr="006D7EF7" w:rsidRDefault="00950383" w:rsidP="008A16C7">
            <w:pPr>
              <w:pStyle w:val="CETBodytext"/>
              <w:ind w:right="-1"/>
              <w:jc w:val="left"/>
              <w:rPr>
                <w:rFonts w:cs="Arial"/>
                <w:szCs w:val="18"/>
                <w:lang w:val="en-GB"/>
              </w:rPr>
            </w:pPr>
            <w:r w:rsidRPr="006D7EF7">
              <w:rPr>
                <w:szCs w:val="18"/>
                <w:lang w:val="en-GB"/>
              </w:rPr>
              <w:t>0.312</w:t>
            </w:r>
          </w:p>
        </w:tc>
      </w:tr>
      <w:tr w:rsidR="00950383" w:rsidRPr="006D7EF7" w14:paraId="5F5A2BDC" w14:textId="77777777" w:rsidTr="00FB4407">
        <w:tc>
          <w:tcPr>
            <w:tcW w:w="2134" w:type="pct"/>
            <w:shd w:val="clear" w:color="auto" w:fill="FFFFFF"/>
          </w:tcPr>
          <w:p w14:paraId="402A36E3" w14:textId="77777777" w:rsidR="00950383" w:rsidRPr="006D7EF7" w:rsidRDefault="00950383" w:rsidP="008A16C7">
            <w:pPr>
              <w:pStyle w:val="CETBodytext"/>
              <w:ind w:right="-1"/>
              <w:rPr>
                <w:rFonts w:cs="Arial"/>
                <w:szCs w:val="18"/>
                <w:lang w:val="en-GB"/>
              </w:rPr>
            </w:pPr>
            <w:r w:rsidRPr="006D7EF7">
              <w:rPr>
                <w:rFonts w:cs="Arial"/>
                <w:szCs w:val="18"/>
                <w:lang w:val="en-GB"/>
              </w:rPr>
              <w:t>7000</w:t>
            </w:r>
          </w:p>
        </w:tc>
        <w:tc>
          <w:tcPr>
            <w:tcW w:w="1933" w:type="pct"/>
            <w:shd w:val="clear" w:color="auto" w:fill="FFFFFF"/>
          </w:tcPr>
          <w:p w14:paraId="2E887184" w14:textId="2A734FE9" w:rsidR="00950383" w:rsidRPr="006D7EF7" w:rsidRDefault="00FB4407" w:rsidP="008A16C7">
            <w:pPr>
              <w:pStyle w:val="CETBodytext"/>
              <w:ind w:right="-1"/>
              <w:rPr>
                <w:rFonts w:cs="Arial"/>
                <w:szCs w:val="18"/>
                <w:lang w:val="en-GB"/>
              </w:rPr>
            </w:pPr>
            <w:r w:rsidRPr="006D7EF7">
              <w:rPr>
                <w:rFonts w:cs="Arial"/>
                <w:szCs w:val="18"/>
                <w:lang w:val="en-GB"/>
              </w:rPr>
              <w:t xml:space="preserve">  </w:t>
            </w:r>
            <w:r w:rsidR="00950383" w:rsidRPr="006D7EF7">
              <w:rPr>
                <w:rFonts w:cs="Arial"/>
                <w:szCs w:val="18"/>
                <w:lang w:val="en-GB"/>
              </w:rPr>
              <w:t>83 d</w:t>
            </w:r>
          </w:p>
        </w:tc>
        <w:tc>
          <w:tcPr>
            <w:tcW w:w="933" w:type="pct"/>
            <w:shd w:val="clear" w:color="auto" w:fill="FFFFFF"/>
          </w:tcPr>
          <w:p w14:paraId="4377A0A1" w14:textId="77777777" w:rsidR="00950383" w:rsidRPr="006D7EF7" w:rsidRDefault="00950383" w:rsidP="008A16C7">
            <w:pPr>
              <w:pStyle w:val="CETBodytext"/>
              <w:ind w:right="-1"/>
              <w:jc w:val="left"/>
              <w:rPr>
                <w:szCs w:val="18"/>
                <w:lang w:val="en-GB"/>
              </w:rPr>
            </w:pPr>
            <w:r w:rsidRPr="006D7EF7">
              <w:rPr>
                <w:szCs w:val="18"/>
                <w:lang w:val="en-GB"/>
              </w:rPr>
              <w:t>0.403</w:t>
            </w:r>
          </w:p>
        </w:tc>
      </w:tr>
      <w:tr w:rsidR="00950383" w:rsidRPr="006D7EF7" w14:paraId="1D0075A0" w14:textId="77777777" w:rsidTr="00FB4407">
        <w:tc>
          <w:tcPr>
            <w:tcW w:w="2134" w:type="pct"/>
            <w:shd w:val="clear" w:color="auto" w:fill="FFFFFF"/>
          </w:tcPr>
          <w:p w14:paraId="21517BED" w14:textId="77777777" w:rsidR="00950383" w:rsidRPr="006D7EF7" w:rsidRDefault="00950383" w:rsidP="008A16C7">
            <w:pPr>
              <w:pStyle w:val="CETBodytext"/>
              <w:ind w:right="-1"/>
              <w:rPr>
                <w:rFonts w:cs="Arial"/>
                <w:szCs w:val="18"/>
                <w:lang w:val="en-GB"/>
              </w:rPr>
            </w:pPr>
            <w:r w:rsidRPr="006D7EF7">
              <w:rPr>
                <w:rFonts w:cs="Arial"/>
                <w:szCs w:val="18"/>
                <w:lang w:val="en-GB"/>
              </w:rPr>
              <w:t>10000</w:t>
            </w:r>
          </w:p>
        </w:tc>
        <w:tc>
          <w:tcPr>
            <w:tcW w:w="1933" w:type="pct"/>
            <w:shd w:val="clear" w:color="auto" w:fill="FFFFFF"/>
          </w:tcPr>
          <w:p w14:paraId="4E0C073E" w14:textId="74829A5C" w:rsidR="00950383" w:rsidRPr="006D7EF7" w:rsidRDefault="00FB4407" w:rsidP="008A16C7">
            <w:pPr>
              <w:pStyle w:val="CETBodytext"/>
              <w:ind w:right="-1"/>
              <w:rPr>
                <w:rFonts w:cs="Arial"/>
                <w:szCs w:val="18"/>
                <w:lang w:val="en-GB"/>
              </w:rPr>
            </w:pPr>
            <w:r w:rsidRPr="006D7EF7">
              <w:rPr>
                <w:rFonts w:cs="Arial"/>
                <w:szCs w:val="18"/>
                <w:lang w:val="en-GB"/>
              </w:rPr>
              <w:t xml:space="preserve">  </w:t>
            </w:r>
            <w:r w:rsidR="00950383" w:rsidRPr="006D7EF7">
              <w:rPr>
                <w:rFonts w:cs="Arial"/>
                <w:szCs w:val="18"/>
                <w:lang w:val="en-GB"/>
              </w:rPr>
              <w:t>66 d</w:t>
            </w:r>
          </w:p>
        </w:tc>
        <w:tc>
          <w:tcPr>
            <w:tcW w:w="933" w:type="pct"/>
            <w:shd w:val="clear" w:color="auto" w:fill="FFFFFF"/>
          </w:tcPr>
          <w:p w14:paraId="3E7EAEB0" w14:textId="77777777" w:rsidR="00950383" w:rsidRPr="006D7EF7" w:rsidRDefault="00950383" w:rsidP="008A16C7">
            <w:pPr>
              <w:pStyle w:val="CETBodytext"/>
              <w:ind w:right="-1"/>
              <w:jc w:val="left"/>
              <w:rPr>
                <w:rFonts w:cs="Arial"/>
                <w:szCs w:val="18"/>
                <w:lang w:val="en-GB"/>
              </w:rPr>
            </w:pPr>
            <w:r w:rsidRPr="006D7EF7">
              <w:rPr>
                <w:rFonts w:cs="Arial"/>
                <w:szCs w:val="18"/>
                <w:lang w:val="en-GB"/>
              </w:rPr>
              <w:t>0.479</w:t>
            </w:r>
          </w:p>
        </w:tc>
      </w:tr>
    </w:tbl>
    <w:p w14:paraId="701A9851" w14:textId="11FAEA4F" w:rsidR="00EE03BB" w:rsidRDefault="004B72A3" w:rsidP="00E415A3">
      <w:pPr>
        <w:pStyle w:val="CETBodytext"/>
        <w:spacing w:before="120"/>
        <w:rPr>
          <w:lang w:val="en-GB"/>
        </w:rPr>
      </w:pPr>
      <w:r w:rsidRPr="006D7EF7">
        <w:rPr>
          <w:highlight w:val="yellow"/>
          <w:lang w:val="en-GB"/>
        </w:rPr>
        <w:fldChar w:fldCharType="begin"/>
      </w:r>
      <w:r w:rsidRPr="006D7EF7">
        <w:rPr>
          <w:lang w:val="en-GB"/>
        </w:rPr>
        <w:instrText xml:space="preserve"> REF _Ref179130355 \h </w:instrText>
      </w:r>
      <w:r w:rsidRPr="006D7EF7">
        <w:rPr>
          <w:highlight w:val="yellow"/>
          <w:lang w:val="en-GB"/>
        </w:rPr>
      </w:r>
      <w:r w:rsidRPr="006D7EF7">
        <w:rPr>
          <w:highlight w:val="yellow"/>
          <w:lang w:val="en-GB"/>
        </w:rPr>
        <w:fldChar w:fldCharType="separate"/>
      </w:r>
      <w:r w:rsidR="00A54A01" w:rsidRPr="006D7EF7">
        <w:rPr>
          <w:lang w:val="en-GB"/>
        </w:rPr>
        <w:t xml:space="preserve">Figure </w:t>
      </w:r>
      <w:r w:rsidR="00A54A01" w:rsidRPr="006D7EF7">
        <w:rPr>
          <w:noProof/>
          <w:lang w:val="en-GB"/>
        </w:rPr>
        <w:t>3</w:t>
      </w:r>
      <w:r w:rsidRPr="006D7EF7">
        <w:rPr>
          <w:highlight w:val="yellow"/>
          <w:lang w:val="en-GB"/>
        </w:rPr>
        <w:fldChar w:fldCharType="end"/>
      </w:r>
      <w:r w:rsidR="0084393F" w:rsidRPr="006D7EF7">
        <w:rPr>
          <w:lang w:val="en-GB"/>
        </w:rPr>
        <w:t xml:space="preserve"> </w:t>
      </w:r>
      <w:r w:rsidR="00B944CC" w:rsidRPr="006D7EF7">
        <w:rPr>
          <w:lang w:val="en-GB"/>
        </w:rPr>
        <w:t>shows, as an example, graphically the optimisation results corresponding to the lowest and highest cost ratio. The higher the failure cost, the more marked the minimum of the total cost and the smalle</w:t>
      </w:r>
      <w:r w:rsidR="004963CD">
        <w:rPr>
          <w:lang w:val="en-GB"/>
        </w:rPr>
        <w:t>r</w:t>
      </w:r>
      <w:r w:rsidR="00B944CC" w:rsidRPr="006D7EF7">
        <w:rPr>
          <w:lang w:val="en-GB"/>
        </w:rPr>
        <w:t xml:space="preserve"> the suggested inspection interval. This result confirms the suitability of this approach when considering systems whose failure has very costly consequences, such as infrastructures dealing with hazardous substances like hydrogen or highly complex systems like subsea pipelines, or a combination of both</w:t>
      </w:r>
      <w:r w:rsidR="004963CD">
        <w:rPr>
          <w:lang w:val="en-GB"/>
        </w:rPr>
        <w:t>,</w:t>
      </w:r>
      <w:r w:rsidR="00B944CC" w:rsidRPr="006D7EF7">
        <w:rPr>
          <w:lang w:val="en-GB"/>
        </w:rPr>
        <w:t xml:space="preserve"> as in this case study.</w:t>
      </w:r>
    </w:p>
    <w:p w14:paraId="36D1BD3B" w14:textId="77777777" w:rsidR="0075320D" w:rsidRPr="006D7EF7" w:rsidRDefault="0075320D" w:rsidP="00E415A3">
      <w:pPr>
        <w:pStyle w:val="CETBodytext"/>
        <w:spacing w:before="120"/>
        <w:rPr>
          <w:lang w:val="en-GB"/>
        </w:rPr>
      </w:pPr>
    </w:p>
    <w:p w14:paraId="5E102981" w14:textId="4D5569E3" w:rsidR="004B72A3" w:rsidRPr="006D7EF7" w:rsidRDefault="0043091A" w:rsidP="00937737">
      <w:pPr>
        <w:pStyle w:val="CETBodytext"/>
        <w:keepNext/>
        <w:spacing w:before="120"/>
        <w:rPr>
          <w:lang w:val="en-GB"/>
        </w:rPr>
      </w:pPr>
      <w:r w:rsidRPr="0043091A">
        <w:rPr>
          <w:noProof/>
        </w:rPr>
        <w:drawing>
          <wp:inline distT="0" distB="0" distL="0" distR="0" wp14:anchorId="17C6FC8E" wp14:editId="7229DFC8">
            <wp:extent cx="5177689" cy="1463040"/>
            <wp:effectExtent l="0" t="0" r="4445" b="3810"/>
            <wp:docPr id="660301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390" t="6390" r="2278" b="8216"/>
                    <a:stretch/>
                  </pic:blipFill>
                  <pic:spPr bwMode="auto">
                    <a:xfrm>
                      <a:off x="0" y="0"/>
                      <a:ext cx="5177689" cy="1463040"/>
                    </a:xfrm>
                    <a:prstGeom prst="rect">
                      <a:avLst/>
                    </a:prstGeom>
                    <a:noFill/>
                    <a:ln>
                      <a:noFill/>
                    </a:ln>
                    <a:extLst>
                      <a:ext uri="{53640926-AAD7-44D8-BBD7-CCE9431645EC}">
                        <a14:shadowObscured xmlns:a14="http://schemas.microsoft.com/office/drawing/2010/main"/>
                      </a:ext>
                    </a:extLst>
                  </pic:spPr>
                </pic:pic>
              </a:graphicData>
            </a:graphic>
          </wp:inline>
        </w:drawing>
      </w:r>
    </w:p>
    <w:p w14:paraId="38E9CD41" w14:textId="48FB8E6A" w:rsidR="00BC5644" w:rsidRPr="006D7EF7" w:rsidRDefault="004B72A3" w:rsidP="005915C6">
      <w:pPr>
        <w:pStyle w:val="CETCaption"/>
        <w:spacing w:before="0" w:after="120"/>
      </w:pPr>
      <w:bookmarkStart w:id="8" w:name="_Ref179130355"/>
      <w:r w:rsidRPr="006D7EF7">
        <w:t xml:space="preserve">Figure </w:t>
      </w:r>
      <w:r w:rsidRPr="006D7EF7">
        <w:fldChar w:fldCharType="begin"/>
      </w:r>
      <w:r w:rsidRPr="006D7EF7">
        <w:instrText xml:space="preserve"> SEQ Figure \* ARABIC </w:instrText>
      </w:r>
      <w:r w:rsidRPr="006D7EF7">
        <w:fldChar w:fldCharType="separate"/>
      </w:r>
      <w:r w:rsidR="00A54A01" w:rsidRPr="006D7EF7">
        <w:rPr>
          <w:noProof/>
        </w:rPr>
        <w:t>3</w:t>
      </w:r>
      <w:r w:rsidRPr="006D7EF7">
        <w:fldChar w:fldCharType="end"/>
      </w:r>
      <w:bookmarkEnd w:id="8"/>
      <w:r w:rsidRPr="006D7EF7">
        <w:t>: Optimisation results. (a) Cost ratio equal to 500, (b) Cost ratio equal to 10000.</w:t>
      </w:r>
    </w:p>
    <w:p w14:paraId="054E5C8E" w14:textId="41455142" w:rsidR="00343006" w:rsidRPr="006D7EF7" w:rsidRDefault="00C64199" w:rsidP="00343006">
      <w:pPr>
        <w:pStyle w:val="CETBodytext"/>
        <w:rPr>
          <w:lang w:val="en-GB"/>
        </w:rPr>
      </w:pPr>
      <w:r w:rsidRPr="006D7EF7">
        <w:rPr>
          <w:lang w:val="en-GB"/>
        </w:rPr>
        <w:t>To provide a complete maintenance optimisation plan, the maintenance limit should be considered an additional optimisation parameter to the inspection interval limit. In the second stage of the analysis, the focus was on identif</w:t>
      </w:r>
      <w:r w:rsidR="004963CD">
        <w:rPr>
          <w:lang w:val="en-GB"/>
        </w:rPr>
        <w:t>y</w:t>
      </w:r>
      <w:r w:rsidRPr="006D7EF7">
        <w:rPr>
          <w:lang w:val="en-GB"/>
        </w:rPr>
        <w:t>in</w:t>
      </w:r>
      <w:r w:rsidR="004963CD">
        <w:rPr>
          <w:lang w:val="en-GB"/>
        </w:rPr>
        <w:t>g</w:t>
      </w:r>
      <w:r w:rsidRPr="006D7EF7">
        <w:rPr>
          <w:lang w:val="en-GB"/>
        </w:rPr>
        <w:t xml:space="preserve"> th</w:t>
      </w:r>
      <w:r w:rsidR="00D944AF" w:rsidRPr="006D7EF7">
        <w:rPr>
          <w:lang w:val="en-GB"/>
        </w:rPr>
        <w:t>e</w:t>
      </w:r>
      <w:r w:rsidRPr="006D7EF7">
        <w:rPr>
          <w:lang w:val="en-GB"/>
        </w:rPr>
        <w:t xml:space="preserve"> maintenance state</w:t>
      </w:r>
      <w:r w:rsidR="00D944AF" w:rsidRPr="006D7EF7">
        <w:rPr>
          <w:lang w:val="en-GB"/>
        </w:rPr>
        <w:t xml:space="preserve"> t</w:t>
      </w:r>
      <w:r w:rsidRPr="006D7EF7">
        <w:rPr>
          <w:lang w:val="en-GB"/>
        </w:rPr>
        <w:t xml:space="preserve">hat would minimize the costs. For this step, an intermediate value of cost ratio was considered. </w:t>
      </w:r>
      <w:r w:rsidR="00ED57F7" w:rsidRPr="006D7EF7">
        <w:rPr>
          <w:lang w:val="en-GB"/>
        </w:rPr>
        <w:fldChar w:fldCharType="begin"/>
      </w:r>
      <w:r w:rsidR="00ED57F7" w:rsidRPr="006D7EF7">
        <w:rPr>
          <w:lang w:val="en-GB"/>
        </w:rPr>
        <w:instrText xml:space="preserve"> REF _Ref178949848 \h </w:instrText>
      </w:r>
      <w:r w:rsidR="00ED57F7" w:rsidRPr="006D7EF7">
        <w:rPr>
          <w:lang w:val="en-GB"/>
        </w:rPr>
      </w:r>
      <w:r w:rsidR="00ED57F7" w:rsidRPr="006D7EF7">
        <w:rPr>
          <w:lang w:val="en-GB"/>
        </w:rPr>
        <w:fldChar w:fldCharType="separate"/>
      </w:r>
      <w:r w:rsidR="00A54A01" w:rsidRPr="006D7EF7">
        <w:rPr>
          <w:lang w:val="en-GB"/>
        </w:rPr>
        <w:t xml:space="preserve">Table </w:t>
      </w:r>
      <w:r w:rsidR="00A54A01" w:rsidRPr="006D7EF7">
        <w:rPr>
          <w:noProof/>
          <w:lang w:val="en-GB"/>
        </w:rPr>
        <w:t>5</w:t>
      </w:r>
      <w:r w:rsidR="00ED57F7" w:rsidRPr="006D7EF7">
        <w:rPr>
          <w:lang w:val="en-GB"/>
        </w:rPr>
        <w:fldChar w:fldCharType="end"/>
      </w:r>
      <w:r w:rsidR="00D557D3" w:rsidRPr="006D7EF7">
        <w:rPr>
          <w:lang w:val="en-GB"/>
        </w:rPr>
        <w:t xml:space="preserve"> shows</w:t>
      </w:r>
      <w:r w:rsidR="00ED57F7" w:rsidRPr="006D7EF7">
        <w:rPr>
          <w:lang w:val="en-GB"/>
        </w:rPr>
        <w:t xml:space="preserve"> </w:t>
      </w:r>
      <w:r w:rsidR="00D557D3" w:rsidRPr="006D7EF7">
        <w:rPr>
          <w:lang w:val="en-GB"/>
        </w:rPr>
        <w:t xml:space="preserve">that the optimal solution would be to maintain the system every time it reaches state 4 (rather than state 5), corresponding to a crack depth of 9 mm. The final cost is almost three times lower than the corresponding value in </w:t>
      </w:r>
      <w:r w:rsidR="00186C16" w:rsidRPr="006D7EF7">
        <w:rPr>
          <w:lang w:val="en-GB"/>
        </w:rPr>
        <w:fldChar w:fldCharType="begin"/>
      </w:r>
      <w:r w:rsidR="00186C16" w:rsidRPr="006D7EF7">
        <w:rPr>
          <w:lang w:val="en-GB"/>
        </w:rPr>
        <w:instrText xml:space="preserve"> REF _Ref178948677 \h </w:instrText>
      </w:r>
      <w:r w:rsidR="00186C16" w:rsidRPr="006D7EF7">
        <w:rPr>
          <w:lang w:val="en-GB"/>
        </w:rPr>
      </w:r>
      <w:r w:rsidR="00186C16" w:rsidRPr="006D7EF7">
        <w:rPr>
          <w:lang w:val="en-GB"/>
        </w:rPr>
        <w:fldChar w:fldCharType="separate"/>
      </w:r>
      <w:r w:rsidR="00A54A01" w:rsidRPr="006D7EF7">
        <w:rPr>
          <w:lang w:val="en-GB"/>
        </w:rPr>
        <w:t xml:space="preserve">Table </w:t>
      </w:r>
      <w:r w:rsidR="00A54A01" w:rsidRPr="006D7EF7">
        <w:rPr>
          <w:noProof/>
          <w:lang w:val="en-GB"/>
        </w:rPr>
        <w:t>4</w:t>
      </w:r>
      <w:r w:rsidR="00186C16" w:rsidRPr="006D7EF7">
        <w:rPr>
          <w:lang w:val="en-GB"/>
        </w:rPr>
        <w:fldChar w:fldCharType="end"/>
      </w:r>
      <w:r w:rsidR="00186C16" w:rsidRPr="006D7EF7">
        <w:rPr>
          <w:lang w:val="en-GB"/>
        </w:rPr>
        <w:t>, and the inspection interval is higher</w:t>
      </w:r>
      <w:r w:rsidR="00343006" w:rsidRPr="006D7EF7">
        <w:rPr>
          <w:lang w:val="en-GB"/>
        </w:rPr>
        <w:t>.</w:t>
      </w:r>
      <w:r w:rsidR="00937737" w:rsidRPr="006D7EF7">
        <w:rPr>
          <w:lang w:val="en-GB"/>
        </w:rPr>
        <w:t xml:space="preserve"> The values in </w:t>
      </w:r>
      <w:r w:rsidR="00937737" w:rsidRPr="006D7EF7">
        <w:rPr>
          <w:lang w:val="en-GB"/>
        </w:rPr>
        <w:fldChar w:fldCharType="begin"/>
      </w:r>
      <w:r w:rsidR="00937737" w:rsidRPr="006D7EF7">
        <w:rPr>
          <w:lang w:val="en-GB"/>
        </w:rPr>
        <w:instrText xml:space="preserve"> REF _Ref178949848 \h </w:instrText>
      </w:r>
      <w:r w:rsidR="00937737" w:rsidRPr="006D7EF7">
        <w:rPr>
          <w:lang w:val="en-GB"/>
        </w:rPr>
      </w:r>
      <w:r w:rsidR="00937737" w:rsidRPr="006D7EF7">
        <w:rPr>
          <w:lang w:val="en-GB"/>
        </w:rPr>
        <w:fldChar w:fldCharType="separate"/>
      </w:r>
      <w:r w:rsidR="00A54A01" w:rsidRPr="006D7EF7">
        <w:rPr>
          <w:lang w:val="en-GB"/>
        </w:rPr>
        <w:t xml:space="preserve">Table </w:t>
      </w:r>
      <w:r w:rsidR="00A54A01" w:rsidRPr="006D7EF7">
        <w:rPr>
          <w:noProof/>
          <w:lang w:val="en-GB"/>
        </w:rPr>
        <w:t>5</w:t>
      </w:r>
      <w:r w:rsidR="00937737" w:rsidRPr="006D7EF7">
        <w:rPr>
          <w:lang w:val="en-GB"/>
        </w:rPr>
        <w:fldChar w:fldCharType="end"/>
      </w:r>
      <w:r w:rsidR="00937737" w:rsidRPr="006D7EF7">
        <w:rPr>
          <w:lang w:val="en-GB"/>
        </w:rPr>
        <w:t xml:space="preserve"> clearly show that the optimization results from balancing three different cost items: inspection, failure, and repair costs. For instance, conducting maintenance activities when the system reaches state 2 is convenient for reducing failure costs, but it leads to an increase in the repair cost. </w:t>
      </w:r>
    </w:p>
    <w:p w14:paraId="0F5B51A5" w14:textId="0FAA01A9" w:rsidR="00934489" w:rsidRPr="006D7EF7" w:rsidRDefault="00934489" w:rsidP="005915C6">
      <w:pPr>
        <w:pStyle w:val="CETTabletitle"/>
        <w:spacing w:before="120"/>
      </w:pPr>
      <w:bookmarkStart w:id="9" w:name="_Ref178949848"/>
      <w:r w:rsidRPr="006D7EF7">
        <w:t xml:space="preserve">Table </w:t>
      </w:r>
      <w:r w:rsidRPr="006D7EF7">
        <w:fldChar w:fldCharType="begin"/>
      </w:r>
      <w:r w:rsidRPr="006D7EF7">
        <w:instrText xml:space="preserve"> SEQ Table \* ARABIC </w:instrText>
      </w:r>
      <w:r w:rsidRPr="006D7EF7">
        <w:fldChar w:fldCharType="separate"/>
      </w:r>
      <w:r w:rsidR="00A54A01" w:rsidRPr="006D7EF7">
        <w:rPr>
          <w:noProof/>
        </w:rPr>
        <w:t>5</w:t>
      </w:r>
      <w:r w:rsidRPr="006D7EF7">
        <w:fldChar w:fldCharType="end"/>
      </w:r>
      <w:bookmarkEnd w:id="9"/>
      <w:r w:rsidRPr="006D7EF7">
        <w:t>:</w:t>
      </w:r>
      <w:r w:rsidR="00D67D2E" w:rsidRPr="006D7EF7">
        <w:t xml:space="preserve"> Maintenance limit and inspection interval optimisation results</w:t>
      </w:r>
      <w:r w:rsidR="00CC16C4" w:rsidRPr="006D7EF7">
        <w:t xml:space="preserve">. </w:t>
      </w:r>
      <w:r w:rsidR="008024EA" w:rsidRPr="006D7EF7">
        <w:t>Cost ratio is equal to 5000.</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40"/>
        <w:gridCol w:w="2620"/>
        <w:gridCol w:w="870"/>
        <w:gridCol w:w="1337"/>
        <w:gridCol w:w="1037"/>
        <w:gridCol w:w="1283"/>
      </w:tblGrid>
      <w:tr w:rsidR="006E43EF" w:rsidRPr="006D7EF7" w14:paraId="43208669" w14:textId="00478C0A" w:rsidTr="006E43EF">
        <w:tc>
          <w:tcPr>
            <w:tcW w:w="933" w:type="pct"/>
            <w:tcBorders>
              <w:top w:val="single" w:sz="12" w:space="0" w:color="008000"/>
              <w:bottom w:val="single" w:sz="6" w:space="0" w:color="008000"/>
            </w:tcBorders>
            <w:shd w:val="clear" w:color="auto" w:fill="FFFFFF"/>
          </w:tcPr>
          <w:p w14:paraId="6072C66A" w14:textId="1D28BB14" w:rsidR="00D207D5" w:rsidRPr="006D7EF7" w:rsidRDefault="00D207D5" w:rsidP="00D207D5">
            <w:pPr>
              <w:pStyle w:val="CETBodytext"/>
              <w:jc w:val="left"/>
              <w:rPr>
                <w:szCs w:val="18"/>
                <w:lang w:val="en-GB"/>
              </w:rPr>
            </w:pPr>
            <w:r w:rsidRPr="006D7EF7">
              <w:rPr>
                <w:szCs w:val="18"/>
                <w:lang w:val="en-GB"/>
              </w:rPr>
              <w:t>Maintenance state</w:t>
            </w:r>
          </w:p>
        </w:tc>
        <w:tc>
          <w:tcPr>
            <w:tcW w:w="1491" w:type="pct"/>
            <w:tcBorders>
              <w:top w:val="single" w:sz="12" w:space="0" w:color="008000"/>
              <w:bottom w:val="single" w:sz="6" w:space="0" w:color="008000"/>
            </w:tcBorders>
            <w:shd w:val="clear" w:color="auto" w:fill="FFFFFF"/>
          </w:tcPr>
          <w:p w14:paraId="2E32A9E6" w14:textId="1688DE81" w:rsidR="00D207D5" w:rsidRPr="006D7EF7" w:rsidRDefault="00D207D5" w:rsidP="00D207D5">
            <w:pPr>
              <w:pStyle w:val="CETBodytext"/>
              <w:jc w:val="left"/>
              <w:rPr>
                <w:szCs w:val="18"/>
                <w:lang w:val="en-GB"/>
              </w:rPr>
            </w:pPr>
            <w:r w:rsidRPr="006D7EF7">
              <w:rPr>
                <w:szCs w:val="18"/>
                <w:lang w:val="en-GB"/>
              </w:rPr>
              <w:t>Optimal inspection interval (</w:t>
            </w:r>
            <w:r w:rsidRPr="006D7EF7">
              <w:rPr>
                <w:rFonts w:ascii="Calibri" w:hAnsi="Calibri" w:cs="Calibri"/>
                <w:szCs w:val="18"/>
                <w:lang w:val="en-GB"/>
              </w:rPr>
              <w:t>τ</w:t>
            </w:r>
            <w:r w:rsidRPr="006D7EF7">
              <w:rPr>
                <w:szCs w:val="18"/>
                <w:lang w:val="en-GB"/>
              </w:rPr>
              <w:t>)</w:t>
            </w:r>
          </w:p>
        </w:tc>
        <w:tc>
          <w:tcPr>
            <w:tcW w:w="495" w:type="pct"/>
            <w:tcBorders>
              <w:top w:val="single" w:sz="12" w:space="0" w:color="008000"/>
              <w:bottom w:val="single" w:sz="6" w:space="0" w:color="008000"/>
            </w:tcBorders>
            <w:shd w:val="clear" w:color="auto" w:fill="FFFFFF"/>
          </w:tcPr>
          <w:p w14:paraId="68ACAAC7" w14:textId="330859C0" w:rsidR="00D207D5" w:rsidRPr="006D7EF7" w:rsidRDefault="00D207D5" w:rsidP="00D207D5">
            <w:pPr>
              <w:pStyle w:val="CETBodytext"/>
              <w:jc w:val="left"/>
              <w:rPr>
                <w:szCs w:val="18"/>
                <w:lang w:val="en-GB"/>
              </w:rPr>
            </w:pPr>
            <w:r w:rsidRPr="006D7EF7">
              <w:rPr>
                <w:szCs w:val="18"/>
                <w:lang w:val="en-GB"/>
              </w:rPr>
              <w:t xml:space="preserve">Total cost </w:t>
            </w:r>
          </w:p>
        </w:tc>
        <w:tc>
          <w:tcPr>
            <w:tcW w:w="761" w:type="pct"/>
            <w:tcBorders>
              <w:top w:val="single" w:sz="12" w:space="0" w:color="008000"/>
              <w:bottom w:val="single" w:sz="6" w:space="0" w:color="008000"/>
            </w:tcBorders>
            <w:shd w:val="clear" w:color="auto" w:fill="FFFFFF"/>
          </w:tcPr>
          <w:p w14:paraId="27B389CD" w14:textId="289D64A4" w:rsidR="00D207D5" w:rsidRPr="006D7EF7" w:rsidRDefault="006E43EF" w:rsidP="00D207D5">
            <w:pPr>
              <w:pStyle w:val="CETBodytext"/>
              <w:jc w:val="left"/>
              <w:rPr>
                <w:szCs w:val="18"/>
                <w:lang w:val="en-GB"/>
              </w:rPr>
            </w:pPr>
            <w:r w:rsidRPr="006D7EF7">
              <w:rPr>
                <w:lang w:val="en-GB"/>
              </w:rPr>
              <w:t>Inspection cost</w:t>
            </w:r>
          </w:p>
        </w:tc>
        <w:tc>
          <w:tcPr>
            <w:tcW w:w="590" w:type="pct"/>
            <w:tcBorders>
              <w:top w:val="single" w:sz="12" w:space="0" w:color="008000"/>
              <w:bottom w:val="single" w:sz="6" w:space="0" w:color="008000"/>
            </w:tcBorders>
            <w:shd w:val="clear" w:color="auto" w:fill="FFFFFF"/>
          </w:tcPr>
          <w:p w14:paraId="4862443F" w14:textId="4524D0D0" w:rsidR="00D207D5" w:rsidRPr="006D7EF7" w:rsidRDefault="006E43EF" w:rsidP="00D207D5">
            <w:pPr>
              <w:pStyle w:val="CETBodytext"/>
              <w:jc w:val="left"/>
              <w:rPr>
                <w:szCs w:val="18"/>
                <w:lang w:val="en-GB"/>
              </w:rPr>
            </w:pPr>
            <w:r w:rsidRPr="006D7EF7">
              <w:rPr>
                <w:lang w:val="en-GB"/>
              </w:rPr>
              <w:t>Failure cost</w:t>
            </w:r>
          </w:p>
        </w:tc>
        <w:tc>
          <w:tcPr>
            <w:tcW w:w="730" w:type="pct"/>
            <w:tcBorders>
              <w:top w:val="single" w:sz="12" w:space="0" w:color="008000"/>
              <w:bottom w:val="single" w:sz="6" w:space="0" w:color="008000"/>
            </w:tcBorders>
            <w:shd w:val="clear" w:color="auto" w:fill="FFFFFF"/>
          </w:tcPr>
          <w:p w14:paraId="53D407C4" w14:textId="16A2EF7A" w:rsidR="00D207D5" w:rsidRPr="006D7EF7" w:rsidRDefault="006E43EF" w:rsidP="00D207D5">
            <w:pPr>
              <w:pStyle w:val="CETBodytext"/>
              <w:jc w:val="left"/>
              <w:rPr>
                <w:szCs w:val="18"/>
                <w:lang w:val="en-GB"/>
              </w:rPr>
            </w:pPr>
            <w:r w:rsidRPr="006D7EF7">
              <w:rPr>
                <w:lang w:val="en-GB"/>
              </w:rPr>
              <w:t>Repairing cost</w:t>
            </w:r>
          </w:p>
        </w:tc>
      </w:tr>
      <w:tr w:rsidR="006E43EF" w:rsidRPr="006D7EF7" w14:paraId="62EE7A02" w14:textId="28249A72" w:rsidTr="006E43EF">
        <w:tc>
          <w:tcPr>
            <w:tcW w:w="933" w:type="pct"/>
            <w:shd w:val="clear" w:color="auto" w:fill="FFFFFF"/>
          </w:tcPr>
          <w:p w14:paraId="51D1361F" w14:textId="319B3F6A" w:rsidR="001257C6" w:rsidRPr="006D7EF7" w:rsidRDefault="001257C6" w:rsidP="001257C6">
            <w:pPr>
              <w:pStyle w:val="CETBodytext"/>
              <w:rPr>
                <w:szCs w:val="18"/>
                <w:lang w:val="en-GB"/>
              </w:rPr>
            </w:pPr>
            <w:r w:rsidRPr="006D7EF7">
              <w:rPr>
                <w:szCs w:val="18"/>
                <w:lang w:val="en-GB"/>
              </w:rPr>
              <w:t>1</w:t>
            </w:r>
          </w:p>
        </w:tc>
        <w:tc>
          <w:tcPr>
            <w:tcW w:w="1491" w:type="pct"/>
            <w:shd w:val="clear" w:color="auto" w:fill="FFFFFF"/>
          </w:tcPr>
          <w:p w14:paraId="62162424" w14:textId="2888DCCE" w:rsidR="001257C6" w:rsidRPr="006D7EF7" w:rsidRDefault="001257C6" w:rsidP="001257C6">
            <w:pPr>
              <w:pStyle w:val="CETBodytext"/>
              <w:rPr>
                <w:szCs w:val="18"/>
                <w:lang w:val="en-GB"/>
              </w:rPr>
            </w:pPr>
            <w:r w:rsidRPr="006D7EF7">
              <w:rPr>
                <w:lang w:val="en-GB"/>
              </w:rPr>
              <w:t>892 d</w:t>
            </w:r>
          </w:p>
        </w:tc>
        <w:tc>
          <w:tcPr>
            <w:tcW w:w="495" w:type="pct"/>
            <w:shd w:val="clear" w:color="auto" w:fill="FFFFFF"/>
          </w:tcPr>
          <w:p w14:paraId="067573F7" w14:textId="278E6C13" w:rsidR="001257C6" w:rsidRPr="006D7EF7" w:rsidRDefault="001257C6" w:rsidP="001257C6">
            <w:pPr>
              <w:pStyle w:val="CETBodytext"/>
              <w:jc w:val="left"/>
              <w:rPr>
                <w:szCs w:val="18"/>
                <w:lang w:val="en-GB"/>
              </w:rPr>
            </w:pPr>
            <w:r w:rsidRPr="006D7EF7">
              <w:rPr>
                <w:lang w:val="en-GB"/>
              </w:rPr>
              <w:t>0.143</w:t>
            </w:r>
          </w:p>
        </w:tc>
        <w:tc>
          <w:tcPr>
            <w:tcW w:w="761" w:type="pct"/>
            <w:shd w:val="clear" w:color="auto" w:fill="FFFFFF"/>
          </w:tcPr>
          <w:p w14:paraId="1EA482BA" w14:textId="3D3767B6" w:rsidR="001257C6" w:rsidRPr="006D7EF7" w:rsidRDefault="001257C6" w:rsidP="001257C6">
            <w:pPr>
              <w:pStyle w:val="CETBodytext"/>
              <w:jc w:val="left"/>
              <w:rPr>
                <w:lang w:val="en-GB"/>
              </w:rPr>
            </w:pPr>
            <w:r w:rsidRPr="006D7EF7">
              <w:rPr>
                <w:lang w:val="en-GB"/>
              </w:rPr>
              <w:t>0.001</w:t>
            </w:r>
          </w:p>
        </w:tc>
        <w:tc>
          <w:tcPr>
            <w:tcW w:w="590" w:type="pct"/>
            <w:shd w:val="clear" w:color="auto" w:fill="FFFFFF"/>
          </w:tcPr>
          <w:p w14:paraId="21F96C5A" w14:textId="3AB38FAA" w:rsidR="001257C6" w:rsidRPr="006D7EF7" w:rsidRDefault="001257C6" w:rsidP="001257C6">
            <w:pPr>
              <w:pStyle w:val="CETBodytext"/>
              <w:jc w:val="left"/>
              <w:rPr>
                <w:lang w:val="en-GB"/>
              </w:rPr>
            </w:pPr>
            <w:r w:rsidRPr="006D7EF7">
              <w:rPr>
                <w:lang w:val="en-GB"/>
              </w:rPr>
              <w:t>0.033</w:t>
            </w:r>
          </w:p>
        </w:tc>
        <w:tc>
          <w:tcPr>
            <w:tcW w:w="730" w:type="pct"/>
            <w:shd w:val="clear" w:color="auto" w:fill="FFFFFF"/>
          </w:tcPr>
          <w:p w14:paraId="1F45E168" w14:textId="7F46C064" w:rsidR="001257C6" w:rsidRPr="006D7EF7" w:rsidRDefault="001257C6" w:rsidP="001257C6">
            <w:pPr>
              <w:pStyle w:val="CETBodytext"/>
              <w:jc w:val="left"/>
              <w:rPr>
                <w:lang w:val="en-GB"/>
              </w:rPr>
            </w:pPr>
            <w:r w:rsidRPr="006D7EF7">
              <w:rPr>
                <w:lang w:val="en-GB"/>
              </w:rPr>
              <w:t>0.109</w:t>
            </w:r>
          </w:p>
        </w:tc>
      </w:tr>
      <w:tr w:rsidR="006E43EF" w:rsidRPr="006D7EF7" w14:paraId="3FC46E2D" w14:textId="45B10A46" w:rsidTr="006E43EF">
        <w:tc>
          <w:tcPr>
            <w:tcW w:w="933" w:type="pct"/>
            <w:shd w:val="clear" w:color="auto" w:fill="FFFFFF"/>
          </w:tcPr>
          <w:p w14:paraId="71CB902A" w14:textId="466492D6" w:rsidR="001257C6" w:rsidRPr="006D7EF7" w:rsidRDefault="001257C6" w:rsidP="001257C6">
            <w:pPr>
              <w:pStyle w:val="CETBodytext"/>
              <w:ind w:right="-1"/>
              <w:rPr>
                <w:rFonts w:cs="Arial"/>
                <w:szCs w:val="18"/>
                <w:lang w:val="en-GB"/>
              </w:rPr>
            </w:pPr>
            <w:r w:rsidRPr="006D7EF7">
              <w:rPr>
                <w:rFonts w:cs="Arial"/>
                <w:szCs w:val="18"/>
                <w:lang w:val="en-GB"/>
              </w:rPr>
              <w:t>2</w:t>
            </w:r>
          </w:p>
        </w:tc>
        <w:tc>
          <w:tcPr>
            <w:tcW w:w="1491" w:type="pct"/>
            <w:shd w:val="clear" w:color="auto" w:fill="FFFFFF"/>
          </w:tcPr>
          <w:p w14:paraId="29669B9D" w14:textId="76CBAB33" w:rsidR="001257C6" w:rsidRPr="006D7EF7" w:rsidRDefault="001257C6" w:rsidP="001257C6">
            <w:pPr>
              <w:pStyle w:val="CETBodytext"/>
              <w:ind w:right="-1"/>
              <w:rPr>
                <w:rFonts w:cs="Arial"/>
                <w:szCs w:val="18"/>
                <w:lang w:val="en-GB"/>
              </w:rPr>
            </w:pPr>
            <w:r w:rsidRPr="006D7EF7">
              <w:rPr>
                <w:lang w:val="en-GB"/>
              </w:rPr>
              <w:t>549 d</w:t>
            </w:r>
          </w:p>
        </w:tc>
        <w:tc>
          <w:tcPr>
            <w:tcW w:w="495" w:type="pct"/>
            <w:shd w:val="clear" w:color="auto" w:fill="FFFFFF"/>
          </w:tcPr>
          <w:p w14:paraId="606C8F5B" w14:textId="08B8D029" w:rsidR="001257C6" w:rsidRPr="006D7EF7" w:rsidRDefault="001257C6" w:rsidP="001257C6">
            <w:pPr>
              <w:pStyle w:val="CETBodytext"/>
              <w:ind w:right="-1"/>
              <w:jc w:val="left"/>
              <w:rPr>
                <w:szCs w:val="18"/>
                <w:lang w:val="en-GB"/>
              </w:rPr>
            </w:pPr>
            <w:r w:rsidRPr="006D7EF7">
              <w:rPr>
                <w:lang w:val="en-GB"/>
              </w:rPr>
              <w:t>0.120</w:t>
            </w:r>
          </w:p>
        </w:tc>
        <w:tc>
          <w:tcPr>
            <w:tcW w:w="761" w:type="pct"/>
            <w:shd w:val="clear" w:color="auto" w:fill="FFFFFF"/>
          </w:tcPr>
          <w:p w14:paraId="3EE9AB79" w14:textId="0559C6A8" w:rsidR="001257C6" w:rsidRPr="006D7EF7" w:rsidRDefault="001257C6" w:rsidP="001257C6">
            <w:pPr>
              <w:pStyle w:val="CETBodytext"/>
              <w:ind w:right="-1"/>
              <w:jc w:val="left"/>
              <w:rPr>
                <w:lang w:val="en-GB"/>
              </w:rPr>
            </w:pPr>
            <w:r w:rsidRPr="006D7EF7">
              <w:rPr>
                <w:lang w:val="en-GB"/>
              </w:rPr>
              <w:t>0.002</w:t>
            </w:r>
          </w:p>
        </w:tc>
        <w:tc>
          <w:tcPr>
            <w:tcW w:w="590" w:type="pct"/>
            <w:shd w:val="clear" w:color="auto" w:fill="FFFFFF"/>
          </w:tcPr>
          <w:p w14:paraId="071DB5C5" w14:textId="4E1A6863" w:rsidR="001257C6" w:rsidRPr="006D7EF7" w:rsidRDefault="001257C6" w:rsidP="001257C6">
            <w:pPr>
              <w:pStyle w:val="CETBodytext"/>
              <w:ind w:right="-1"/>
              <w:jc w:val="left"/>
              <w:rPr>
                <w:lang w:val="en-GB"/>
              </w:rPr>
            </w:pPr>
            <w:r w:rsidRPr="006D7EF7">
              <w:rPr>
                <w:lang w:val="en-GB"/>
              </w:rPr>
              <w:t>0.022</w:t>
            </w:r>
          </w:p>
        </w:tc>
        <w:tc>
          <w:tcPr>
            <w:tcW w:w="730" w:type="pct"/>
            <w:shd w:val="clear" w:color="auto" w:fill="FFFFFF"/>
          </w:tcPr>
          <w:p w14:paraId="33E40A81" w14:textId="79870DB4" w:rsidR="001257C6" w:rsidRPr="006D7EF7" w:rsidRDefault="001257C6" w:rsidP="001257C6">
            <w:pPr>
              <w:pStyle w:val="CETBodytext"/>
              <w:ind w:right="-1"/>
              <w:jc w:val="left"/>
              <w:rPr>
                <w:lang w:val="en-GB"/>
              </w:rPr>
            </w:pPr>
            <w:r w:rsidRPr="006D7EF7">
              <w:rPr>
                <w:lang w:val="en-GB"/>
              </w:rPr>
              <w:t>0.096</w:t>
            </w:r>
          </w:p>
        </w:tc>
      </w:tr>
      <w:tr w:rsidR="006E43EF" w:rsidRPr="006D7EF7" w14:paraId="200B99CE" w14:textId="1ACE1096" w:rsidTr="006E43EF">
        <w:tc>
          <w:tcPr>
            <w:tcW w:w="933" w:type="pct"/>
            <w:shd w:val="clear" w:color="auto" w:fill="FFFFFF"/>
          </w:tcPr>
          <w:p w14:paraId="6DC37F33" w14:textId="188461E4" w:rsidR="001257C6" w:rsidRPr="006D7EF7" w:rsidRDefault="001257C6" w:rsidP="001257C6">
            <w:pPr>
              <w:pStyle w:val="CETBodytext"/>
              <w:ind w:right="-1"/>
              <w:rPr>
                <w:rFonts w:cs="Arial"/>
                <w:szCs w:val="18"/>
                <w:lang w:val="en-GB"/>
              </w:rPr>
            </w:pPr>
            <w:r w:rsidRPr="006D7EF7">
              <w:rPr>
                <w:rFonts w:cs="Arial"/>
                <w:szCs w:val="18"/>
                <w:lang w:val="en-GB"/>
              </w:rPr>
              <w:t>3</w:t>
            </w:r>
          </w:p>
        </w:tc>
        <w:tc>
          <w:tcPr>
            <w:tcW w:w="1491" w:type="pct"/>
            <w:shd w:val="clear" w:color="auto" w:fill="FFFFFF"/>
          </w:tcPr>
          <w:p w14:paraId="7FF3B2F9" w14:textId="372C1115" w:rsidR="001257C6" w:rsidRPr="006D7EF7" w:rsidRDefault="001257C6" w:rsidP="001257C6">
            <w:pPr>
              <w:pStyle w:val="CETBodytext"/>
              <w:ind w:right="-1"/>
              <w:rPr>
                <w:rFonts w:cs="Arial"/>
                <w:szCs w:val="18"/>
                <w:lang w:val="en-GB"/>
              </w:rPr>
            </w:pPr>
            <w:r w:rsidRPr="006D7EF7">
              <w:rPr>
                <w:lang w:val="en-GB"/>
              </w:rPr>
              <w:t>329 d</w:t>
            </w:r>
          </w:p>
        </w:tc>
        <w:tc>
          <w:tcPr>
            <w:tcW w:w="495" w:type="pct"/>
            <w:shd w:val="clear" w:color="auto" w:fill="FFFFFF"/>
          </w:tcPr>
          <w:p w14:paraId="4325E694" w14:textId="3A0D5AE6" w:rsidR="001257C6" w:rsidRPr="006D7EF7" w:rsidRDefault="001257C6" w:rsidP="001257C6">
            <w:pPr>
              <w:pStyle w:val="CETBodytext"/>
              <w:ind w:right="-1"/>
              <w:jc w:val="left"/>
              <w:rPr>
                <w:szCs w:val="18"/>
                <w:lang w:val="en-GB"/>
              </w:rPr>
            </w:pPr>
            <w:r w:rsidRPr="006D7EF7">
              <w:rPr>
                <w:lang w:val="en-GB"/>
              </w:rPr>
              <w:t>0.136</w:t>
            </w:r>
          </w:p>
        </w:tc>
        <w:tc>
          <w:tcPr>
            <w:tcW w:w="761" w:type="pct"/>
            <w:shd w:val="clear" w:color="auto" w:fill="FFFFFF"/>
          </w:tcPr>
          <w:p w14:paraId="35643DF4" w14:textId="39302F2D" w:rsidR="001257C6" w:rsidRPr="006D7EF7" w:rsidRDefault="001257C6" w:rsidP="001257C6">
            <w:pPr>
              <w:pStyle w:val="CETBodytext"/>
              <w:ind w:right="-1"/>
              <w:jc w:val="left"/>
              <w:rPr>
                <w:lang w:val="en-GB"/>
              </w:rPr>
            </w:pPr>
            <w:r w:rsidRPr="006D7EF7">
              <w:rPr>
                <w:lang w:val="en-GB"/>
              </w:rPr>
              <w:t>0.003</w:t>
            </w:r>
          </w:p>
        </w:tc>
        <w:tc>
          <w:tcPr>
            <w:tcW w:w="590" w:type="pct"/>
            <w:shd w:val="clear" w:color="auto" w:fill="FFFFFF"/>
          </w:tcPr>
          <w:p w14:paraId="33010BC1" w14:textId="6566B54E" w:rsidR="001257C6" w:rsidRPr="006D7EF7" w:rsidRDefault="001257C6" w:rsidP="001257C6">
            <w:pPr>
              <w:pStyle w:val="CETBodytext"/>
              <w:ind w:right="-1"/>
              <w:jc w:val="left"/>
              <w:rPr>
                <w:lang w:val="en-GB"/>
              </w:rPr>
            </w:pPr>
            <w:r w:rsidRPr="006D7EF7">
              <w:rPr>
                <w:lang w:val="en-GB"/>
              </w:rPr>
              <w:t>0.031</w:t>
            </w:r>
          </w:p>
        </w:tc>
        <w:tc>
          <w:tcPr>
            <w:tcW w:w="730" w:type="pct"/>
            <w:shd w:val="clear" w:color="auto" w:fill="FFFFFF"/>
          </w:tcPr>
          <w:p w14:paraId="6E5F11E5" w14:textId="15C7179D" w:rsidR="001257C6" w:rsidRPr="006D7EF7" w:rsidRDefault="001257C6" w:rsidP="001257C6">
            <w:pPr>
              <w:pStyle w:val="CETBodytext"/>
              <w:ind w:right="-1"/>
              <w:jc w:val="left"/>
              <w:rPr>
                <w:lang w:val="en-GB"/>
              </w:rPr>
            </w:pPr>
            <w:r w:rsidRPr="006D7EF7">
              <w:rPr>
                <w:lang w:val="en-GB"/>
              </w:rPr>
              <w:t>0.102</w:t>
            </w:r>
          </w:p>
        </w:tc>
      </w:tr>
      <w:tr w:rsidR="006E43EF" w:rsidRPr="006D7EF7" w14:paraId="6F0CCBC6" w14:textId="15254762" w:rsidTr="006E43EF">
        <w:trPr>
          <w:trHeight w:val="74"/>
        </w:trPr>
        <w:tc>
          <w:tcPr>
            <w:tcW w:w="933" w:type="pct"/>
            <w:shd w:val="clear" w:color="auto" w:fill="FFFFFF"/>
          </w:tcPr>
          <w:p w14:paraId="781825BC" w14:textId="4A165737" w:rsidR="001257C6" w:rsidRPr="006D7EF7" w:rsidRDefault="001257C6" w:rsidP="001257C6">
            <w:pPr>
              <w:pStyle w:val="CETBodytext"/>
              <w:ind w:right="-1"/>
              <w:rPr>
                <w:rFonts w:cs="Arial"/>
                <w:szCs w:val="18"/>
                <w:lang w:val="en-GB"/>
              </w:rPr>
            </w:pPr>
            <w:r w:rsidRPr="006D7EF7">
              <w:rPr>
                <w:rFonts w:cs="Arial"/>
                <w:szCs w:val="18"/>
                <w:lang w:val="en-GB"/>
              </w:rPr>
              <w:t>4</w:t>
            </w:r>
          </w:p>
        </w:tc>
        <w:tc>
          <w:tcPr>
            <w:tcW w:w="1491" w:type="pct"/>
            <w:shd w:val="clear" w:color="auto" w:fill="FFFFFF"/>
          </w:tcPr>
          <w:p w14:paraId="516C9C73" w14:textId="57791A14" w:rsidR="001257C6" w:rsidRPr="006D7EF7" w:rsidRDefault="001257C6" w:rsidP="001257C6">
            <w:pPr>
              <w:pStyle w:val="CETBodytext"/>
              <w:ind w:right="-1"/>
              <w:rPr>
                <w:rFonts w:cs="Arial"/>
                <w:szCs w:val="18"/>
                <w:lang w:val="en-GB"/>
              </w:rPr>
            </w:pPr>
            <w:r w:rsidRPr="006D7EF7">
              <w:rPr>
                <w:lang w:val="en-GB"/>
              </w:rPr>
              <w:t>163 d</w:t>
            </w:r>
          </w:p>
        </w:tc>
        <w:tc>
          <w:tcPr>
            <w:tcW w:w="495" w:type="pct"/>
            <w:shd w:val="clear" w:color="auto" w:fill="FFFFFF"/>
          </w:tcPr>
          <w:p w14:paraId="4EBACB0F" w14:textId="135A983E" w:rsidR="001257C6" w:rsidRPr="006D7EF7" w:rsidRDefault="001257C6" w:rsidP="001257C6">
            <w:pPr>
              <w:pStyle w:val="CETBodytext"/>
              <w:ind w:right="-1"/>
              <w:jc w:val="left"/>
              <w:rPr>
                <w:rFonts w:cs="Arial"/>
                <w:szCs w:val="18"/>
                <w:lang w:val="en-GB"/>
              </w:rPr>
            </w:pPr>
            <w:r w:rsidRPr="006D7EF7">
              <w:rPr>
                <w:lang w:val="en-GB"/>
              </w:rPr>
              <w:t>0.119</w:t>
            </w:r>
          </w:p>
        </w:tc>
        <w:tc>
          <w:tcPr>
            <w:tcW w:w="761" w:type="pct"/>
            <w:shd w:val="clear" w:color="auto" w:fill="FFFFFF"/>
          </w:tcPr>
          <w:p w14:paraId="44278873" w14:textId="1953902F" w:rsidR="001257C6" w:rsidRPr="006D7EF7" w:rsidRDefault="001257C6" w:rsidP="001257C6">
            <w:pPr>
              <w:pStyle w:val="CETBodytext"/>
              <w:ind w:right="-1"/>
              <w:jc w:val="left"/>
              <w:rPr>
                <w:lang w:val="en-GB"/>
              </w:rPr>
            </w:pPr>
            <w:r w:rsidRPr="006D7EF7">
              <w:rPr>
                <w:lang w:val="en-GB"/>
              </w:rPr>
              <w:t>0.006</w:t>
            </w:r>
          </w:p>
        </w:tc>
        <w:tc>
          <w:tcPr>
            <w:tcW w:w="590" w:type="pct"/>
            <w:shd w:val="clear" w:color="auto" w:fill="FFFFFF"/>
          </w:tcPr>
          <w:p w14:paraId="5A31C2DA" w14:textId="6387E7BB" w:rsidR="001257C6" w:rsidRPr="006D7EF7" w:rsidRDefault="001257C6" w:rsidP="001257C6">
            <w:pPr>
              <w:pStyle w:val="CETBodytext"/>
              <w:ind w:right="-1"/>
              <w:jc w:val="left"/>
              <w:rPr>
                <w:lang w:val="en-GB"/>
              </w:rPr>
            </w:pPr>
            <w:r w:rsidRPr="006D7EF7">
              <w:rPr>
                <w:lang w:val="en-GB"/>
              </w:rPr>
              <w:t>0.030</w:t>
            </w:r>
          </w:p>
        </w:tc>
        <w:tc>
          <w:tcPr>
            <w:tcW w:w="730" w:type="pct"/>
            <w:shd w:val="clear" w:color="auto" w:fill="FFFFFF"/>
          </w:tcPr>
          <w:p w14:paraId="52303652" w14:textId="5E7C7E2D" w:rsidR="001257C6" w:rsidRPr="006D7EF7" w:rsidRDefault="001257C6" w:rsidP="001257C6">
            <w:pPr>
              <w:pStyle w:val="CETBodytext"/>
              <w:ind w:right="-1"/>
              <w:jc w:val="left"/>
              <w:rPr>
                <w:lang w:val="en-GB"/>
              </w:rPr>
            </w:pPr>
            <w:r w:rsidRPr="006D7EF7">
              <w:rPr>
                <w:lang w:val="en-GB"/>
              </w:rPr>
              <w:t>0.082</w:t>
            </w:r>
          </w:p>
        </w:tc>
      </w:tr>
      <w:tr w:rsidR="006E43EF" w:rsidRPr="006D7EF7" w14:paraId="2E709462" w14:textId="6A64384B" w:rsidTr="006E43EF">
        <w:tc>
          <w:tcPr>
            <w:tcW w:w="933" w:type="pct"/>
            <w:shd w:val="clear" w:color="auto" w:fill="FFFFFF"/>
          </w:tcPr>
          <w:p w14:paraId="58F25627" w14:textId="26D9AA65" w:rsidR="001257C6" w:rsidRPr="006D7EF7" w:rsidRDefault="001257C6" w:rsidP="001257C6">
            <w:pPr>
              <w:pStyle w:val="CETBodytext"/>
              <w:ind w:right="-1"/>
              <w:rPr>
                <w:rFonts w:cs="Arial"/>
                <w:szCs w:val="18"/>
                <w:lang w:val="en-GB"/>
              </w:rPr>
            </w:pPr>
            <w:r w:rsidRPr="006D7EF7">
              <w:rPr>
                <w:rFonts w:cs="Arial"/>
                <w:szCs w:val="18"/>
                <w:lang w:val="en-GB"/>
              </w:rPr>
              <w:t>5</w:t>
            </w:r>
          </w:p>
        </w:tc>
        <w:tc>
          <w:tcPr>
            <w:tcW w:w="1491" w:type="pct"/>
            <w:shd w:val="clear" w:color="auto" w:fill="FFFFFF"/>
          </w:tcPr>
          <w:p w14:paraId="63DFED4F" w14:textId="460B1F96" w:rsidR="001257C6" w:rsidRPr="006D7EF7" w:rsidRDefault="001257C6" w:rsidP="001257C6">
            <w:pPr>
              <w:pStyle w:val="CETBodytext"/>
              <w:ind w:right="-1"/>
              <w:rPr>
                <w:rFonts w:cs="Arial"/>
                <w:szCs w:val="18"/>
                <w:lang w:val="en-GB"/>
              </w:rPr>
            </w:pPr>
            <w:r w:rsidRPr="006D7EF7">
              <w:rPr>
                <w:lang w:val="en-GB"/>
              </w:rPr>
              <w:t>101 d</w:t>
            </w:r>
          </w:p>
        </w:tc>
        <w:tc>
          <w:tcPr>
            <w:tcW w:w="495" w:type="pct"/>
            <w:shd w:val="clear" w:color="auto" w:fill="FFFFFF"/>
          </w:tcPr>
          <w:p w14:paraId="209FD30E" w14:textId="339B7E37" w:rsidR="001257C6" w:rsidRPr="006D7EF7" w:rsidRDefault="001257C6" w:rsidP="001257C6">
            <w:pPr>
              <w:pStyle w:val="CETBodytext"/>
              <w:ind w:right="-1"/>
              <w:jc w:val="left"/>
              <w:rPr>
                <w:szCs w:val="18"/>
                <w:lang w:val="en-GB"/>
              </w:rPr>
            </w:pPr>
            <w:r w:rsidRPr="006D7EF7">
              <w:rPr>
                <w:lang w:val="en-GB"/>
              </w:rPr>
              <w:t>0.342</w:t>
            </w:r>
          </w:p>
        </w:tc>
        <w:tc>
          <w:tcPr>
            <w:tcW w:w="761" w:type="pct"/>
            <w:shd w:val="clear" w:color="auto" w:fill="FFFFFF"/>
          </w:tcPr>
          <w:p w14:paraId="21330765" w14:textId="792D3391" w:rsidR="001257C6" w:rsidRPr="006D7EF7" w:rsidRDefault="001257C6" w:rsidP="001257C6">
            <w:pPr>
              <w:pStyle w:val="CETBodytext"/>
              <w:ind w:right="-1"/>
              <w:jc w:val="left"/>
              <w:rPr>
                <w:lang w:val="en-GB"/>
              </w:rPr>
            </w:pPr>
            <w:r w:rsidRPr="006D7EF7">
              <w:rPr>
                <w:lang w:val="en-GB"/>
              </w:rPr>
              <w:t>0.010</w:t>
            </w:r>
          </w:p>
        </w:tc>
        <w:tc>
          <w:tcPr>
            <w:tcW w:w="590" w:type="pct"/>
            <w:shd w:val="clear" w:color="auto" w:fill="FFFFFF"/>
          </w:tcPr>
          <w:p w14:paraId="6FC61655" w14:textId="2BC3468F" w:rsidR="001257C6" w:rsidRPr="006D7EF7" w:rsidRDefault="001257C6" w:rsidP="001257C6">
            <w:pPr>
              <w:pStyle w:val="CETBodytext"/>
              <w:ind w:right="-1"/>
              <w:jc w:val="left"/>
              <w:rPr>
                <w:lang w:val="en-GB"/>
              </w:rPr>
            </w:pPr>
            <w:r w:rsidRPr="006D7EF7">
              <w:rPr>
                <w:lang w:val="en-GB"/>
              </w:rPr>
              <w:t>0.166</w:t>
            </w:r>
          </w:p>
        </w:tc>
        <w:tc>
          <w:tcPr>
            <w:tcW w:w="730" w:type="pct"/>
            <w:shd w:val="clear" w:color="auto" w:fill="FFFFFF"/>
          </w:tcPr>
          <w:p w14:paraId="21D0839E" w14:textId="4D120499" w:rsidR="001257C6" w:rsidRPr="006D7EF7" w:rsidRDefault="001257C6" w:rsidP="001257C6">
            <w:pPr>
              <w:pStyle w:val="CETBodytext"/>
              <w:ind w:right="-1"/>
              <w:jc w:val="left"/>
              <w:rPr>
                <w:lang w:val="en-GB"/>
              </w:rPr>
            </w:pPr>
            <w:r w:rsidRPr="006D7EF7">
              <w:rPr>
                <w:lang w:val="en-GB"/>
              </w:rPr>
              <w:t>0.166</w:t>
            </w:r>
          </w:p>
        </w:tc>
      </w:tr>
    </w:tbl>
    <w:p w14:paraId="30BEF737" w14:textId="77777777" w:rsidR="000C594A" w:rsidRPr="006D7EF7" w:rsidRDefault="00A30894" w:rsidP="000C594A">
      <w:pPr>
        <w:pStyle w:val="CETBodytext"/>
        <w:spacing w:before="240"/>
        <w:rPr>
          <w:lang w:val="en-GB"/>
        </w:rPr>
      </w:pPr>
      <w:r w:rsidRPr="006D7EF7">
        <w:rPr>
          <w:lang w:val="en-GB"/>
        </w:rPr>
        <w:t xml:space="preserve">Comparing the values in </w:t>
      </w:r>
      <w:r w:rsidRPr="006D7EF7">
        <w:rPr>
          <w:lang w:val="en-GB"/>
        </w:rPr>
        <w:fldChar w:fldCharType="begin"/>
      </w:r>
      <w:r w:rsidRPr="006D7EF7">
        <w:rPr>
          <w:lang w:val="en-GB"/>
        </w:rPr>
        <w:instrText xml:space="preserve"> REF _Ref178949848 \h </w:instrText>
      </w:r>
      <w:r w:rsidRPr="006D7EF7">
        <w:rPr>
          <w:lang w:val="en-GB"/>
        </w:rPr>
      </w:r>
      <w:r w:rsidRPr="006D7EF7">
        <w:rPr>
          <w:lang w:val="en-GB"/>
        </w:rPr>
        <w:fldChar w:fldCharType="separate"/>
      </w:r>
      <w:r w:rsidR="00A54A01" w:rsidRPr="006D7EF7">
        <w:rPr>
          <w:lang w:val="en-GB"/>
        </w:rPr>
        <w:t xml:space="preserve">Table </w:t>
      </w:r>
      <w:r w:rsidR="00A54A01" w:rsidRPr="006D7EF7">
        <w:rPr>
          <w:noProof/>
          <w:lang w:val="en-GB"/>
        </w:rPr>
        <w:t>5</w:t>
      </w:r>
      <w:r w:rsidRPr="006D7EF7">
        <w:rPr>
          <w:lang w:val="en-GB"/>
        </w:rPr>
        <w:fldChar w:fldCharType="end"/>
      </w:r>
      <w:r w:rsidRPr="006D7EF7">
        <w:rPr>
          <w:lang w:val="en-GB"/>
        </w:rPr>
        <w:t xml:space="preserve"> </w:t>
      </w:r>
      <w:r w:rsidR="000C594A" w:rsidRPr="006D7EF7">
        <w:rPr>
          <w:lang w:val="en-GB"/>
        </w:rPr>
        <w:t xml:space="preserve">could deceive the reader, but it is necessary to point out that these results are not directly comparable since the inspection interval also has an effect. </w:t>
      </w:r>
    </w:p>
    <w:p w14:paraId="291EBD18" w14:textId="034C2922" w:rsidR="000C594A" w:rsidRPr="006D7EF7" w:rsidRDefault="000C594A" w:rsidP="000C594A">
      <w:pPr>
        <w:pStyle w:val="CETBodytext"/>
        <w:rPr>
          <w:lang w:val="en-GB"/>
        </w:rPr>
      </w:pPr>
      <w:r w:rsidRPr="006D7EF7">
        <w:rPr>
          <w:lang w:val="en-GB"/>
        </w:rPr>
        <w:t>This study has</w:t>
      </w:r>
      <w:r w:rsidR="004F005D">
        <w:rPr>
          <w:lang w:val="en-GB"/>
        </w:rPr>
        <w:t xml:space="preserve"> a</w:t>
      </w:r>
      <w:r w:rsidRPr="006D7EF7">
        <w:rPr>
          <w:lang w:val="en-GB"/>
        </w:rPr>
        <w:t xml:space="preserve"> multidisciplinary approach, combining a popular model in the maintenance field and innovative studies on hydrogen and material interactions. However, it has several limitations regarding both the </w:t>
      </w:r>
      <w:r w:rsidR="00A81B71" w:rsidRPr="006D7EF7">
        <w:rPr>
          <w:lang w:val="en-GB"/>
        </w:rPr>
        <w:t xml:space="preserve">Markov </w:t>
      </w:r>
      <w:r w:rsidRPr="006D7EF7">
        <w:rPr>
          <w:lang w:val="en-GB"/>
        </w:rPr>
        <w:t xml:space="preserve">model assumptions and those of the case study analysis. First, the considered model does not account for repairs from any arbitrary state to another or consider imperfect repairs. In addition, every time the system reaches the maintenance limit, no downtime is considered, and the maintenance is carried out as soon as the </w:t>
      </w:r>
      <w:r w:rsidRPr="006D7EF7">
        <w:rPr>
          <w:lang w:val="en-GB"/>
        </w:rPr>
        <w:lastRenderedPageBreak/>
        <w:t xml:space="preserve">system reaches that state. In addition, the model could be improved by considering different inspection intervals since the degradation proceeds faster as the state increases: a longer inspection interval would be assigned to the first stages and a shorter one to the latest stages. Furthermore, the practical use of this analysis relies on the possibility of considering real costs. </w:t>
      </w:r>
      <w:r w:rsidR="00340506">
        <w:rPr>
          <w:lang w:val="en-GB"/>
        </w:rPr>
        <w:t>In the next few years, more</w:t>
      </w:r>
      <w:r w:rsidRPr="006D7EF7">
        <w:rPr>
          <w:lang w:val="en-GB"/>
        </w:rPr>
        <w:t xml:space="preserve"> information</w:t>
      </w:r>
      <w:r w:rsidR="00340506">
        <w:rPr>
          <w:lang w:val="en-GB"/>
        </w:rPr>
        <w:t xml:space="preserve"> on hydrogen technologies</w:t>
      </w:r>
      <w:r w:rsidRPr="006D7EF7">
        <w:rPr>
          <w:lang w:val="en-GB"/>
        </w:rPr>
        <w:t xml:space="preserve"> will be available, and this study could then be considered a basis for further analyses. </w:t>
      </w:r>
    </w:p>
    <w:p w14:paraId="5ED70C48" w14:textId="1B48F978" w:rsidR="002C0ADE" w:rsidRPr="006D7EF7" w:rsidRDefault="002C0ADE" w:rsidP="000C594A">
      <w:pPr>
        <w:pStyle w:val="CETHeading1"/>
        <w:rPr>
          <w:lang w:val="en-GB"/>
        </w:rPr>
      </w:pPr>
      <w:r w:rsidRPr="006D7EF7">
        <w:rPr>
          <w:lang w:val="en-GB"/>
        </w:rPr>
        <w:t>Conclusion</w:t>
      </w:r>
    </w:p>
    <w:p w14:paraId="5FA26A09" w14:textId="282DDF39" w:rsidR="00A81B71" w:rsidRPr="006D7EF7" w:rsidRDefault="00A81B71" w:rsidP="00025A9B">
      <w:pPr>
        <w:pStyle w:val="CETBodytext"/>
        <w:rPr>
          <w:b/>
          <w:lang w:val="en-GB"/>
        </w:rPr>
      </w:pPr>
      <w:r w:rsidRPr="006D7EF7">
        <w:rPr>
          <w:lang w:val="en-GB"/>
        </w:rPr>
        <w:t>Hydrogen-enhanced fatigue crack growth rate is a serious concern for stakeholders and raises doubts about the technical feasibility of retrofitting natural gas pipelines to hydrogen infrastructure. Nevertheless, inspection and maintenance planning could</w:t>
      </w:r>
      <w:r w:rsidR="009F3F78">
        <w:rPr>
          <w:lang w:val="en-GB"/>
        </w:rPr>
        <w:t xml:space="preserve"> ensure</w:t>
      </w:r>
      <w:r w:rsidRPr="006D7EF7">
        <w:rPr>
          <w:lang w:val="en-GB"/>
        </w:rPr>
        <w:t xml:space="preserve"> the reliability and safety of these infrastructures. This study proposes the application of a physical model and the Markov state model to develop an inspection and maintenance plan for the Langeled subsea pipeline, connecting Norway to the United Kingdom. A physical model was used to simulate the crack progression, while the stochastic Markov model ensured that the effect of the unpredictability of the pressure loads was considered when developing the inspection and maintenance plan. The balance of different cost items in selecting the optimal inspection interval and maintenance level is highlighted.</w:t>
      </w:r>
      <w:r w:rsidR="0048666B" w:rsidRPr="006D7EF7">
        <w:rPr>
          <w:lang w:val="en-GB"/>
        </w:rPr>
        <w:t xml:space="preserve"> </w:t>
      </w:r>
      <w:r w:rsidR="00287BC1" w:rsidRPr="006D7EF7">
        <w:rPr>
          <w:lang w:val="en-GB"/>
        </w:rPr>
        <w:t xml:space="preserve">This study presents </w:t>
      </w:r>
      <w:r w:rsidR="00093165" w:rsidRPr="006D7EF7">
        <w:rPr>
          <w:lang w:val="en-GB"/>
        </w:rPr>
        <w:t xml:space="preserve">an innovative methodology that can be used to </w:t>
      </w:r>
      <w:r w:rsidR="00E94EAF" w:rsidRPr="006D7EF7">
        <w:rPr>
          <w:lang w:val="en-GB"/>
        </w:rPr>
        <w:t xml:space="preserve">optimize pipeline monitoring. However, </w:t>
      </w:r>
      <w:r w:rsidR="006D7EF7" w:rsidRPr="006D7EF7">
        <w:rPr>
          <w:lang w:val="en-GB"/>
        </w:rPr>
        <w:t>before recommending an effective maintenance plan, it is necessary to collect accurate and real data on the various cost items involved.</w:t>
      </w:r>
    </w:p>
    <w:p w14:paraId="459D05E6" w14:textId="082A73A0" w:rsidR="00600535" w:rsidRPr="006D7EF7" w:rsidRDefault="00600535" w:rsidP="00600535">
      <w:pPr>
        <w:pStyle w:val="CETAcknowledgementstitle"/>
      </w:pPr>
      <w:r w:rsidRPr="006D7EF7">
        <w:t>Acknowledgments</w:t>
      </w:r>
    </w:p>
    <w:p w14:paraId="381DAB70" w14:textId="77777777" w:rsidR="00AA67D8" w:rsidRPr="006D7EF7" w:rsidRDefault="00AA67D8" w:rsidP="00025A9B">
      <w:pPr>
        <w:pStyle w:val="CETBodytext"/>
        <w:rPr>
          <w:b/>
          <w:lang w:val="en-GB"/>
        </w:rPr>
      </w:pPr>
      <w:r w:rsidRPr="006D7EF7">
        <w:rPr>
          <w:lang w:val="en-GB"/>
        </w:rPr>
        <w:t>This work was undertaken as a part of the research project H2GLASS (Decarbonising the glass industry with hydrogen technologies). The authors would like to acknowledge the financial support of the European Union Horizon 2020 research and innovation program (Grant No. 101092153). Views and opinions expressed are however those of the authors only and do not necessarily reflect those of the European Union or European Health and Digital Executive Agency. Neither the European Union nor the granting authority can be held responsible for them.</w:t>
      </w:r>
    </w:p>
    <w:p w14:paraId="4F1327F8" w14:textId="6546C785" w:rsidR="00600535" w:rsidRPr="006D7EF7" w:rsidRDefault="00AA67D8" w:rsidP="00AA67D8">
      <w:pPr>
        <w:pStyle w:val="CETReference"/>
      </w:pPr>
      <w:r w:rsidRPr="006D7EF7">
        <w:rPr>
          <w:b w:val="0"/>
        </w:rPr>
        <w:t xml:space="preserve"> </w:t>
      </w:r>
      <w:r w:rsidR="00600535" w:rsidRPr="006D7EF7">
        <w:t>References</w:t>
      </w:r>
    </w:p>
    <w:p w14:paraId="4C281045" w14:textId="5B8F9963" w:rsidR="00D8021E" w:rsidRPr="006D7EF7" w:rsidRDefault="00D8021E" w:rsidP="000610B8">
      <w:pPr>
        <w:pStyle w:val="CETReferencetext"/>
      </w:pPr>
      <w:r w:rsidRPr="006D7EF7">
        <w:t xml:space="preserve">Abohamzeh E., Salehi F., Sheikholeslami M., Abbassi R., Khan F., 2021, Review of hydrogen safety during storage, transmission, and applications processes, </w:t>
      </w:r>
      <w:r w:rsidR="0057517D" w:rsidRPr="006D7EF7">
        <w:t>Journal of Loss Prevention in the Process Industries</w:t>
      </w:r>
      <w:r w:rsidR="002C2D63" w:rsidRPr="006D7EF7">
        <w:t xml:space="preserve">, </w:t>
      </w:r>
      <w:r w:rsidRPr="006D7EF7">
        <w:t>72</w:t>
      </w:r>
      <w:r w:rsidR="002C2D63" w:rsidRPr="006D7EF7">
        <w:t xml:space="preserve">, </w:t>
      </w:r>
      <w:r w:rsidRPr="006D7EF7">
        <w:t>104569.</w:t>
      </w:r>
    </w:p>
    <w:p w14:paraId="2B3407A0" w14:textId="2AC5EB49" w:rsidR="00872D7B" w:rsidRPr="006D7EF7" w:rsidRDefault="00872D7B" w:rsidP="000610B8">
      <w:pPr>
        <w:pStyle w:val="CETReferencetext"/>
      </w:pPr>
      <w:r w:rsidRPr="006D7EF7">
        <w:t>Alvaro A., Brocks Hagen A., Lervåg M., Nyhus B., Olden V., 2021</w:t>
      </w:r>
      <w:r w:rsidR="004A217B" w:rsidRPr="006D7EF7">
        <w:t>,</w:t>
      </w:r>
      <w:r w:rsidRPr="006D7EF7">
        <w:t xml:space="preserve"> Materials testing and characterization of four X60-X65 pipeline steels.</w:t>
      </w:r>
    </w:p>
    <w:p w14:paraId="3252198E" w14:textId="02ED481E" w:rsidR="00BB466E" w:rsidRPr="006D7EF7" w:rsidRDefault="00BB466E" w:rsidP="00872D7B">
      <w:pPr>
        <w:pStyle w:val="CETReferencetext"/>
      </w:pPr>
      <w:r w:rsidRPr="006D7EF7">
        <w:t>Campari A</w:t>
      </w:r>
      <w:r w:rsidR="00C53D10" w:rsidRPr="006D7EF7">
        <w:t>.</w:t>
      </w:r>
      <w:r w:rsidRPr="006D7EF7">
        <w:t xml:space="preserve">, </w:t>
      </w:r>
      <w:r w:rsidR="00872D7B" w:rsidRPr="006D7EF7">
        <w:t xml:space="preserve">Vianello C., </w:t>
      </w:r>
      <w:r w:rsidRPr="006D7EF7">
        <w:t>Ustolin F</w:t>
      </w:r>
      <w:r w:rsidR="00C53D10" w:rsidRPr="006D7EF7">
        <w:t>.</w:t>
      </w:r>
      <w:r w:rsidRPr="006D7EF7">
        <w:t>, Alvaro A</w:t>
      </w:r>
      <w:r w:rsidR="00C53D10" w:rsidRPr="006D7EF7">
        <w:t>.</w:t>
      </w:r>
      <w:r w:rsidRPr="006D7EF7">
        <w:t>, Paltrinieri N</w:t>
      </w:r>
      <w:r w:rsidR="00C53D10" w:rsidRPr="006D7EF7">
        <w:t>.</w:t>
      </w:r>
      <w:r w:rsidRPr="006D7EF7">
        <w:t xml:space="preserve">, </w:t>
      </w:r>
      <w:r w:rsidR="00872D7B" w:rsidRPr="006D7EF7">
        <w:t>2024</w:t>
      </w:r>
      <w:r w:rsidR="004A217B" w:rsidRPr="006D7EF7">
        <w:t>,</w:t>
      </w:r>
      <w:r w:rsidRPr="006D7EF7">
        <w:t xml:space="preserve"> </w:t>
      </w:r>
      <w:r w:rsidR="00872D7B" w:rsidRPr="006D7EF7">
        <w:t>Machine learning-aided risk-based inspection strategy for hydrogen technologies,</w:t>
      </w:r>
      <w:r w:rsidRPr="006D7EF7">
        <w:t xml:space="preserve"> </w:t>
      </w:r>
      <w:r w:rsidR="00480918" w:rsidRPr="006D7EF7">
        <w:t>Process Safety and Environmental Protection</w:t>
      </w:r>
      <w:r w:rsidRPr="006D7EF7">
        <w:t xml:space="preserve">, </w:t>
      </w:r>
      <w:r w:rsidR="00872D7B" w:rsidRPr="006D7EF7">
        <w:t>191(A), 1239-1253</w:t>
      </w:r>
      <w:r w:rsidR="00E6160A" w:rsidRPr="006D7EF7">
        <w:t>.</w:t>
      </w:r>
    </w:p>
    <w:p w14:paraId="5D6D1061" w14:textId="6436A110" w:rsidR="00A77809" w:rsidRPr="006D7EF7" w:rsidRDefault="00A77809" w:rsidP="000610B8">
      <w:pPr>
        <w:pStyle w:val="CETReferencetext"/>
      </w:pPr>
      <w:r w:rsidRPr="006D7EF7">
        <w:t>Collina, G., Cantini, A., Leoni, L., Ferraro, S., De Carlo, F., Bucelli, M., Paltrinieri, N.</w:t>
      </w:r>
      <w:r w:rsidR="003F3620" w:rsidRPr="006D7EF7">
        <w:t xml:space="preserve">, </w:t>
      </w:r>
      <w:r w:rsidRPr="006D7EF7">
        <w:t>2024</w:t>
      </w:r>
      <w:r w:rsidR="003F3620" w:rsidRPr="006D7EF7">
        <w:t xml:space="preserve">, </w:t>
      </w:r>
      <w:r w:rsidRPr="006D7EF7">
        <w:t>Hydrogen in Glass Sector: A Comparison between Risk-Based Maintenance and Time-Based Maintenance Approaches</w:t>
      </w:r>
      <w:r w:rsidR="003F3620" w:rsidRPr="006D7EF7">
        <w:t>,</w:t>
      </w:r>
      <w:r w:rsidRPr="006D7EF7">
        <w:t xml:space="preserve"> IFAC-PapersOnLine, 58(8), 109-114.</w:t>
      </w:r>
    </w:p>
    <w:p w14:paraId="1DB93851" w14:textId="693A6208" w:rsidR="00A77809" w:rsidRPr="006D7EF7" w:rsidRDefault="00A77809" w:rsidP="000610B8">
      <w:pPr>
        <w:pStyle w:val="CETReferencetext"/>
      </w:pPr>
      <w:r w:rsidRPr="006D7EF7">
        <w:t xml:space="preserve">DVGW, </w:t>
      </w:r>
      <w:r w:rsidR="00C53D10" w:rsidRPr="006D7EF7">
        <w:t xml:space="preserve">2023, </w:t>
      </w:r>
      <w:r w:rsidRPr="006D7EF7">
        <w:t>DVGW G 464</w:t>
      </w:r>
      <w:r w:rsidR="00C53D10" w:rsidRPr="006D7EF7">
        <w:t xml:space="preserve">, </w:t>
      </w:r>
      <w:r w:rsidRPr="006D7EF7">
        <w:t>Fracture-Mechanical Assessment Concept for Steel Pipelines with a Design Pressure of more than 16 bar for the Transport of Hydrogen</w:t>
      </w:r>
      <w:r w:rsidR="00C53D10" w:rsidRPr="006D7EF7">
        <w:t>.</w:t>
      </w:r>
    </w:p>
    <w:p w14:paraId="61088857" w14:textId="0EF3C5C5" w:rsidR="00CB4DF3" w:rsidRPr="006D7EF7" w:rsidRDefault="00CB4DF3" w:rsidP="000610B8">
      <w:pPr>
        <w:pStyle w:val="CETReferencetext"/>
      </w:pPr>
      <w:r w:rsidRPr="006D7EF7">
        <w:t>Gomes, W.J.S. and Beck, A.T., 2014, Optimal inspection and design of onshore pipelines under external corrosion process, Struct</w:t>
      </w:r>
      <w:r w:rsidR="00C35932" w:rsidRPr="006D7EF7">
        <w:t>ural</w:t>
      </w:r>
      <w:r w:rsidRPr="006D7EF7">
        <w:t xml:space="preserve"> Saf</w:t>
      </w:r>
      <w:r w:rsidR="00C35932" w:rsidRPr="006D7EF7">
        <w:t>ety</w:t>
      </w:r>
      <w:r w:rsidRPr="006D7EF7">
        <w:t xml:space="preserve">, 47,8–58. </w:t>
      </w:r>
    </w:p>
    <w:p w14:paraId="7FFB24FD" w14:textId="25D7EF99" w:rsidR="001B5886" w:rsidRPr="006D7EF7" w:rsidRDefault="001B5886" w:rsidP="001B5886">
      <w:pPr>
        <w:pStyle w:val="CETReferencetext"/>
      </w:pPr>
      <w:r w:rsidRPr="006D7EF7">
        <w:t xml:space="preserve">Guo L., Su J., Wang Z., Shi J., Guan X., Cao W., </w:t>
      </w:r>
      <w:r w:rsidR="005132FE" w:rsidRPr="006D7EF7">
        <w:t>Ou Z.,</w:t>
      </w:r>
      <w:r w:rsidRPr="006D7EF7">
        <w:t xml:space="preserve"> 202</w:t>
      </w:r>
      <w:r w:rsidR="005132FE" w:rsidRPr="006D7EF7">
        <w:t>4</w:t>
      </w:r>
      <w:r w:rsidRPr="006D7EF7">
        <w:t xml:space="preserve">, Hydrogen safety: An obstacle that must be overcome on the road towards future hydrogen economy, </w:t>
      </w:r>
      <w:r w:rsidR="00872D7B" w:rsidRPr="006D7EF7">
        <w:t>Int</w:t>
      </w:r>
      <w:r w:rsidR="00C35932" w:rsidRPr="006D7EF7">
        <w:t>ernational</w:t>
      </w:r>
      <w:r w:rsidR="00872D7B" w:rsidRPr="006D7EF7">
        <w:t xml:space="preserve"> J</w:t>
      </w:r>
      <w:r w:rsidR="00C35932" w:rsidRPr="006D7EF7">
        <w:t>ournal of</w:t>
      </w:r>
      <w:r w:rsidR="00872D7B" w:rsidRPr="006D7EF7">
        <w:t xml:space="preserve"> Hydrog</w:t>
      </w:r>
      <w:r w:rsidR="00C35932" w:rsidRPr="006D7EF7">
        <w:t>en</w:t>
      </w:r>
      <w:r w:rsidR="00872D7B" w:rsidRPr="006D7EF7">
        <w:t xml:space="preserve"> Energy</w:t>
      </w:r>
      <w:r w:rsidR="00450D8F" w:rsidRPr="006D7EF7">
        <w:t>,</w:t>
      </w:r>
      <w:r w:rsidR="00BB466E" w:rsidRPr="006D7EF7">
        <w:t xml:space="preserve"> </w:t>
      </w:r>
      <w:r w:rsidR="00450D8F" w:rsidRPr="006D7EF7">
        <w:t>51D</w:t>
      </w:r>
      <w:r w:rsidR="005132FE" w:rsidRPr="006D7EF7">
        <w:t>, 1055-1078.</w:t>
      </w:r>
    </w:p>
    <w:p w14:paraId="470CF9FD" w14:textId="6831BECC" w:rsidR="00E149DF" w:rsidRPr="006D7EF7" w:rsidRDefault="00E149DF" w:rsidP="001B5886">
      <w:pPr>
        <w:pStyle w:val="CETReferencetext"/>
      </w:pPr>
      <w:r w:rsidRPr="006D7EF7">
        <w:t>Kellen</w:t>
      </w:r>
      <w:r w:rsidR="00E22DC5" w:rsidRPr="006D7EF7">
        <w:t xml:space="preserve"> M.J., 2007, </w:t>
      </w:r>
      <w:r w:rsidR="005168B9" w:rsidRPr="006D7EF7">
        <w:t xml:space="preserve">Markov processes for maintenance optimization of civil infrastructure in the Netherlands, </w:t>
      </w:r>
      <w:r w:rsidR="0098061F" w:rsidRPr="006D7EF7">
        <w:t xml:space="preserve">PhD Thesis, </w:t>
      </w:r>
      <w:r w:rsidR="002176C6" w:rsidRPr="006D7EF7">
        <w:t xml:space="preserve">Delft University of Technology, </w:t>
      </w:r>
      <w:r w:rsidR="0098061F" w:rsidRPr="006D7EF7">
        <w:t>Delft, Netherlands.</w:t>
      </w:r>
    </w:p>
    <w:p w14:paraId="4DFBBD5D" w14:textId="77777777" w:rsidR="00F10DD2" w:rsidRPr="006D7EF7" w:rsidRDefault="00F10DD2" w:rsidP="00F10DD2">
      <w:pPr>
        <w:pStyle w:val="CETReferencetext"/>
      </w:pPr>
      <w:r w:rsidRPr="006D7EF7">
        <w:t>International Energy Agency, 2021, Net Zero by 2050, &lt;reports/net-zero-by-2050&gt; accessed 08.08.2024</w:t>
      </w:r>
    </w:p>
    <w:p w14:paraId="324483FD" w14:textId="21146CF6" w:rsidR="000610B8" w:rsidRPr="006D7EF7" w:rsidRDefault="000610B8" w:rsidP="000610B8">
      <w:pPr>
        <w:pStyle w:val="CETReferencetext"/>
      </w:pPr>
      <w:r w:rsidRPr="006D7EF7">
        <w:t>Lipiäinen S., Lipiäinen K., Ahola A., Vakkilainen E.,</w:t>
      </w:r>
      <w:r w:rsidR="00A62DC0" w:rsidRPr="006D7EF7">
        <w:t xml:space="preserve"> 2023, </w:t>
      </w:r>
      <w:r w:rsidRPr="006D7EF7">
        <w:t xml:space="preserve">Use of existing gas infrastructure in European hydrogen economy, </w:t>
      </w:r>
      <w:r w:rsidR="00C35932" w:rsidRPr="006D7EF7">
        <w:t>International Journal of Hydrogen Energy</w:t>
      </w:r>
      <w:r w:rsidRPr="006D7EF7">
        <w:t>, 48</w:t>
      </w:r>
      <w:r w:rsidR="00872D7B" w:rsidRPr="006D7EF7">
        <w:t>(</w:t>
      </w:r>
      <w:r w:rsidRPr="006D7EF7">
        <w:t>80</w:t>
      </w:r>
      <w:r w:rsidR="00872D7B" w:rsidRPr="006D7EF7">
        <w:t>)</w:t>
      </w:r>
      <w:r w:rsidR="0037417C" w:rsidRPr="006D7EF7">
        <w:t xml:space="preserve">, </w:t>
      </w:r>
      <w:r w:rsidRPr="006D7EF7">
        <w:t>31317–31329</w:t>
      </w:r>
      <w:r w:rsidR="0037417C" w:rsidRPr="006D7EF7">
        <w:t>.</w:t>
      </w:r>
    </w:p>
    <w:p w14:paraId="37F40A67" w14:textId="7F94BEAF" w:rsidR="00D63C18" w:rsidRPr="006D7EF7" w:rsidRDefault="00D63C18" w:rsidP="00D63C18">
      <w:pPr>
        <w:pStyle w:val="CETReferencetext"/>
      </w:pPr>
      <w:r w:rsidRPr="006D7EF7">
        <w:t>Ortiz</w:t>
      </w:r>
      <w:r w:rsidR="000A13B1" w:rsidRPr="006D7EF7">
        <w:t xml:space="preserve"> </w:t>
      </w:r>
      <w:r w:rsidRPr="006D7EF7">
        <w:t>C.R., Dolci</w:t>
      </w:r>
      <w:r w:rsidR="000A13B1" w:rsidRPr="006D7EF7">
        <w:t xml:space="preserve"> F.</w:t>
      </w:r>
      <w:r w:rsidRPr="006D7EF7">
        <w:t>, Weidner</w:t>
      </w:r>
      <w:r w:rsidR="000A13B1" w:rsidRPr="006D7EF7">
        <w:t xml:space="preserve"> R.E.</w:t>
      </w:r>
      <w:r w:rsidRPr="006D7EF7">
        <w:t xml:space="preserve">, </w:t>
      </w:r>
      <w:r w:rsidR="000A13B1" w:rsidRPr="006D7EF7">
        <w:t xml:space="preserve">2024, </w:t>
      </w:r>
      <w:r w:rsidRPr="006D7EF7">
        <w:t>Assessment of hydrogen delivery options, JRC Publications Repository</w:t>
      </w:r>
      <w:r w:rsidR="00CA21EB" w:rsidRPr="006D7EF7">
        <w:t xml:space="preserve"> &lt;</w:t>
      </w:r>
      <w:r w:rsidRPr="006D7EF7">
        <w:t>publications.jrc.ec.europa.eu/repository/handle/JRC130442</w:t>
      </w:r>
      <w:r w:rsidR="00CA21EB" w:rsidRPr="006D7EF7">
        <w:t xml:space="preserve">&gt; accessed </w:t>
      </w:r>
      <w:r w:rsidR="007E1B0D" w:rsidRPr="006D7EF7">
        <w:t>09.04.2024</w:t>
      </w:r>
      <w:r w:rsidR="00872D7B" w:rsidRPr="006D7EF7">
        <w:t>.</w:t>
      </w:r>
    </w:p>
    <w:p w14:paraId="19C4FC68" w14:textId="228F421F" w:rsidR="004628D2" w:rsidRPr="006D7EF7" w:rsidRDefault="00F84126" w:rsidP="003E7786">
      <w:pPr>
        <w:pStyle w:val="CETReferencetext"/>
      </w:pPr>
      <w:r w:rsidRPr="006D7EF7">
        <w:t xml:space="preserve">Raju I. S. and Newman J. C., </w:t>
      </w:r>
      <w:r w:rsidR="00860B86" w:rsidRPr="006D7EF7">
        <w:t xml:space="preserve">1982, </w:t>
      </w:r>
      <w:r w:rsidRPr="006D7EF7">
        <w:t>Stress-intensity factors for internal and external surface cracks in cylindrical vessels, J</w:t>
      </w:r>
      <w:r w:rsidR="00C35932" w:rsidRPr="006D7EF7">
        <w:t>ournal</w:t>
      </w:r>
      <w:r w:rsidRPr="006D7EF7">
        <w:t xml:space="preserve"> </w:t>
      </w:r>
      <w:r w:rsidR="00661C2C" w:rsidRPr="006D7EF7">
        <w:t xml:space="preserve">of </w:t>
      </w:r>
      <w:r w:rsidRPr="006D7EF7">
        <w:t>Press</w:t>
      </w:r>
      <w:r w:rsidR="00661C2C" w:rsidRPr="006D7EF7">
        <w:t>ure</w:t>
      </w:r>
      <w:r w:rsidRPr="006D7EF7">
        <w:t xml:space="preserve"> Vessel Technol</w:t>
      </w:r>
      <w:r w:rsidR="00661C2C" w:rsidRPr="006D7EF7">
        <w:t>ogies</w:t>
      </w:r>
      <w:r w:rsidRPr="006D7EF7">
        <w:t>, 104</w:t>
      </w:r>
      <w:r w:rsidR="00872D7B" w:rsidRPr="006D7EF7">
        <w:t>(</w:t>
      </w:r>
      <w:r w:rsidRPr="006D7EF7">
        <w:t>4</w:t>
      </w:r>
      <w:r w:rsidR="00872D7B" w:rsidRPr="006D7EF7">
        <w:t>)</w:t>
      </w:r>
      <w:r w:rsidRPr="006D7EF7">
        <w:t>, 293–298</w:t>
      </w:r>
      <w:r w:rsidR="00860B86" w:rsidRPr="006D7EF7">
        <w:t>.</w:t>
      </w:r>
    </w:p>
    <w:p w14:paraId="5BD28DFB" w14:textId="5768A811" w:rsidR="0078208E" w:rsidRPr="006D7EF7" w:rsidRDefault="0078208E" w:rsidP="003E7786">
      <w:pPr>
        <w:pStyle w:val="CETReferencetext"/>
      </w:pPr>
      <w:r w:rsidRPr="006D7EF7">
        <w:t>Rausand M., Hoyland A., 2003, System Reliability Theory: Models, Statistical Methods, and Applications.</w:t>
      </w:r>
    </w:p>
    <w:p w14:paraId="61072E1D" w14:textId="60B5DE92" w:rsidR="007366A0" w:rsidRPr="006D7EF7" w:rsidRDefault="007366A0" w:rsidP="003E7786">
      <w:pPr>
        <w:pStyle w:val="CETReferencetext"/>
      </w:pPr>
      <w:r w:rsidRPr="006D7EF7">
        <w:t>Sun, T., Vatn, J., 2024. A phase-type maintenance model considering condition-based inspections and maintenance delays</w:t>
      </w:r>
      <w:r w:rsidR="004A217B" w:rsidRPr="006D7EF7">
        <w:t>,</w:t>
      </w:r>
      <w:r w:rsidRPr="006D7EF7">
        <w:t xml:space="preserve"> Reliability Engineering &amp; System Safety</w:t>
      </w:r>
      <w:r w:rsidR="00EF7F2C" w:rsidRPr="006D7EF7">
        <w:t>,</w:t>
      </w:r>
      <w:r w:rsidRPr="006D7EF7">
        <w:t xml:space="preserve"> 243</w:t>
      </w:r>
      <w:r w:rsidR="00EF7F2C" w:rsidRPr="006D7EF7">
        <w:t>.</w:t>
      </w:r>
    </w:p>
    <w:sectPr w:rsidR="007366A0" w:rsidRPr="006D7EF7"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3E1E2" w14:textId="77777777" w:rsidR="00532762" w:rsidRDefault="00532762" w:rsidP="004F5E36">
      <w:r>
        <w:separator/>
      </w:r>
    </w:p>
  </w:endnote>
  <w:endnote w:type="continuationSeparator" w:id="0">
    <w:p w14:paraId="21B91E8D" w14:textId="77777777" w:rsidR="00532762" w:rsidRDefault="0053276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E1236" w14:textId="77777777" w:rsidR="00532762" w:rsidRDefault="00532762" w:rsidP="004F5E36">
      <w:r>
        <w:separator/>
      </w:r>
    </w:p>
  </w:footnote>
  <w:footnote w:type="continuationSeparator" w:id="0">
    <w:p w14:paraId="58F18ECF" w14:textId="77777777" w:rsidR="00532762" w:rsidRDefault="0053276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30F6BD5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0"/>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7"/>
  </w:num>
  <w:num w:numId="13" w16cid:durableId="1573659240">
    <w:abstractNumId w:val="12"/>
  </w:num>
  <w:num w:numId="14" w16cid:durableId="2092192635">
    <w:abstractNumId w:val="18"/>
  </w:num>
  <w:num w:numId="15" w16cid:durableId="1115637783">
    <w:abstractNumId w:val="20"/>
  </w:num>
  <w:num w:numId="16" w16cid:durableId="635987207">
    <w:abstractNumId w:val="19"/>
  </w:num>
  <w:num w:numId="17" w16cid:durableId="1476411020">
    <w:abstractNumId w:val="11"/>
  </w:num>
  <w:num w:numId="18" w16cid:durableId="2106877164">
    <w:abstractNumId w:val="12"/>
    <w:lvlOverride w:ilvl="0">
      <w:startOverride w:val="1"/>
    </w:lvlOverride>
  </w:num>
  <w:num w:numId="19" w16cid:durableId="1650403514">
    <w:abstractNumId w:val="16"/>
  </w:num>
  <w:num w:numId="20" w16cid:durableId="536504040">
    <w:abstractNumId w:val="15"/>
  </w:num>
  <w:num w:numId="21" w16cid:durableId="518815501">
    <w:abstractNumId w:val="14"/>
  </w:num>
  <w:num w:numId="22" w16cid:durableId="299530822">
    <w:abstractNumId w:val="13"/>
  </w:num>
  <w:num w:numId="23" w16cid:durableId="1568757701">
    <w:abstractNumId w:val="10"/>
    <w:lvlOverride w:ilvl="0">
      <w:startOverride w:val="1"/>
    </w:lvlOverride>
    <w:lvlOverride w:ilvl="1">
      <w:startOverride w:val="2"/>
    </w:lvlOverride>
  </w:num>
  <w:num w:numId="24" w16cid:durableId="1608387584">
    <w:abstractNumId w:val="10"/>
    <w:lvlOverride w:ilvl="0">
      <w:startOverride w:val="1"/>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Nq4FAMfoTLQtAAAA"/>
  </w:docVars>
  <w:rsids>
    <w:rsidRoot w:val="000E414A"/>
    <w:rsid w:val="00000146"/>
    <w:rsid w:val="000027C0"/>
    <w:rsid w:val="000052FB"/>
    <w:rsid w:val="000117CB"/>
    <w:rsid w:val="0001253D"/>
    <w:rsid w:val="0001283A"/>
    <w:rsid w:val="00013DC1"/>
    <w:rsid w:val="00014D10"/>
    <w:rsid w:val="00017E74"/>
    <w:rsid w:val="000255D3"/>
    <w:rsid w:val="00025A9B"/>
    <w:rsid w:val="00025DDE"/>
    <w:rsid w:val="00027ADE"/>
    <w:rsid w:val="0003148D"/>
    <w:rsid w:val="00031EEC"/>
    <w:rsid w:val="00032754"/>
    <w:rsid w:val="00051566"/>
    <w:rsid w:val="00051E4C"/>
    <w:rsid w:val="000522E4"/>
    <w:rsid w:val="000610B8"/>
    <w:rsid w:val="00061188"/>
    <w:rsid w:val="000613B3"/>
    <w:rsid w:val="00062A9A"/>
    <w:rsid w:val="00062F0C"/>
    <w:rsid w:val="00065058"/>
    <w:rsid w:val="00070662"/>
    <w:rsid w:val="00081698"/>
    <w:rsid w:val="00081FAF"/>
    <w:rsid w:val="00086C39"/>
    <w:rsid w:val="000907A2"/>
    <w:rsid w:val="00093165"/>
    <w:rsid w:val="00093936"/>
    <w:rsid w:val="0009440C"/>
    <w:rsid w:val="00095FDC"/>
    <w:rsid w:val="000969FF"/>
    <w:rsid w:val="000A016B"/>
    <w:rsid w:val="000A03B2"/>
    <w:rsid w:val="000A0595"/>
    <w:rsid w:val="000A13B1"/>
    <w:rsid w:val="000A5DDF"/>
    <w:rsid w:val="000A6D07"/>
    <w:rsid w:val="000B5180"/>
    <w:rsid w:val="000B6FCD"/>
    <w:rsid w:val="000B750F"/>
    <w:rsid w:val="000B799E"/>
    <w:rsid w:val="000C093A"/>
    <w:rsid w:val="000C370B"/>
    <w:rsid w:val="000C594A"/>
    <w:rsid w:val="000C759D"/>
    <w:rsid w:val="000C7BEB"/>
    <w:rsid w:val="000D0268"/>
    <w:rsid w:val="000D2A88"/>
    <w:rsid w:val="000D34BE"/>
    <w:rsid w:val="000D50DA"/>
    <w:rsid w:val="000E102F"/>
    <w:rsid w:val="000E18D5"/>
    <w:rsid w:val="000E36F1"/>
    <w:rsid w:val="000E3A73"/>
    <w:rsid w:val="000E414A"/>
    <w:rsid w:val="000E6799"/>
    <w:rsid w:val="000E698B"/>
    <w:rsid w:val="000E7CCB"/>
    <w:rsid w:val="000E7D00"/>
    <w:rsid w:val="000F093C"/>
    <w:rsid w:val="000F302A"/>
    <w:rsid w:val="000F601D"/>
    <w:rsid w:val="000F6471"/>
    <w:rsid w:val="000F787B"/>
    <w:rsid w:val="0010136B"/>
    <w:rsid w:val="00102B3E"/>
    <w:rsid w:val="00106B28"/>
    <w:rsid w:val="00117199"/>
    <w:rsid w:val="0012091F"/>
    <w:rsid w:val="0012189C"/>
    <w:rsid w:val="001257C6"/>
    <w:rsid w:val="001266C1"/>
    <w:rsid w:val="00126BC2"/>
    <w:rsid w:val="001308B6"/>
    <w:rsid w:val="00131181"/>
    <w:rsid w:val="0013121F"/>
    <w:rsid w:val="00131FE6"/>
    <w:rsid w:val="0013263F"/>
    <w:rsid w:val="00132E7F"/>
    <w:rsid w:val="001331DF"/>
    <w:rsid w:val="001345A1"/>
    <w:rsid w:val="00134BF2"/>
    <w:rsid w:val="00134DE4"/>
    <w:rsid w:val="00136340"/>
    <w:rsid w:val="00137380"/>
    <w:rsid w:val="00137689"/>
    <w:rsid w:val="0014034D"/>
    <w:rsid w:val="0014162F"/>
    <w:rsid w:val="00142980"/>
    <w:rsid w:val="001447BD"/>
    <w:rsid w:val="00144D16"/>
    <w:rsid w:val="00147158"/>
    <w:rsid w:val="00150E59"/>
    <w:rsid w:val="00152DE3"/>
    <w:rsid w:val="0015798D"/>
    <w:rsid w:val="00161459"/>
    <w:rsid w:val="00164CF9"/>
    <w:rsid w:val="001667A6"/>
    <w:rsid w:val="0017433D"/>
    <w:rsid w:val="00182C06"/>
    <w:rsid w:val="0018415F"/>
    <w:rsid w:val="00184AD6"/>
    <w:rsid w:val="00184E60"/>
    <w:rsid w:val="00186C16"/>
    <w:rsid w:val="00187C7C"/>
    <w:rsid w:val="001913CD"/>
    <w:rsid w:val="00193B4B"/>
    <w:rsid w:val="0019456B"/>
    <w:rsid w:val="001971B3"/>
    <w:rsid w:val="001A4AF7"/>
    <w:rsid w:val="001A4FD1"/>
    <w:rsid w:val="001A5616"/>
    <w:rsid w:val="001A56D4"/>
    <w:rsid w:val="001A6EB0"/>
    <w:rsid w:val="001B0349"/>
    <w:rsid w:val="001B1E93"/>
    <w:rsid w:val="001B44A2"/>
    <w:rsid w:val="001B4572"/>
    <w:rsid w:val="001B5886"/>
    <w:rsid w:val="001B65C1"/>
    <w:rsid w:val="001C5132"/>
    <w:rsid w:val="001C684B"/>
    <w:rsid w:val="001D0AC7"/>
    <w:rsid w:val="001D0CFB"/>
    <w:rsid w:val="001D1A50"/>
    <w:rsid w:val="001D1CB0"/>
    <w:rsid w:val="001D53FC"/>
    <w:rsid w:val="001D608D"/>
    <w:rsid w:val="001D61F9"/>
    <w:rsid w:val="001E0273"/>
    <w:rsid w:val="001F13D1"/>
    <w:rsid w:val="001F42A5"/>
    <w:rsid w:val="001F7B9D"/>
    <w:rsid w:val="001F7CAE"/>
    <w:rsid w:val="00201C93"/>
    <w:rsid w:val="00211D45"/>
    <w:rsid w:val="00216E39"/>
    <w:rsid w:val="002176C6"/>
    <w:rsid w:val="002224B4"/>
    <w:rsid w:val="002233CF"/>
    <w:rsid w:val="002234C0"/>
    <w:rsid w:val="00223BD6"/>
    <w:rsid w:val="00224723"/>
    <w:rsid w:val="002402E6"/>
    <w:rsid w:val="00242C5F"/>
    <w:rsid w:val="002441A0"/>
    <w:rsid w:val="002447EF"/>
    <w:rsid w:val="00251550"/>
    <w:rsid w:val="0025351F"/>
    <w:rsid w:val="00255ADC"/>
    <w:rsid w:val="00263B05"/>
    <w:rsid w:val="00265BC1"/>
    <w:rsid w:val="002663BD"/>
    <w:rsid w:val="002676C4"/>
    <w:rsid w:val="00267C1A"/>
    <w:rsid w:val="0027221A"/>
    <w:rsid w:val="00273E53"/>
    <w:rsid w:val="00275807"/>
    <w:rsid w:val="00275B61"/>
    <w:rsid w:val="00275F7B"/>
    <w:rsid w:val="00277A00"/>
    <w:rsid w:val="00280FAF"/>
    <w:rsid w:val="002813D6"/>
    <w:rsid w:val="00282656"/>
    <w:rsid w:val="00284B65"/>
    <w:rsid w:val="00284E33"/>
    <w:rsid w:val="00287BC1"/>
    <w:rsid w:val="00296B83"/>
    <w:rsid w:val="00297852"/>
    <w:rsid w:val="00297B61"/>
    <w:rsid w:val="002A2E0D"/>
    <w:rsid w:val="002A4CF3"/>
    <w:rsid w:val="002A69C0"/>
    <w:rsid w:val="002A6BA4"/>
    <w:rsid w:val="002B0DE1"/>
    <w:rsid w:val="002B154D"/>
    <w:rsid w:val="002B17E3"/>
    <w:rsid w:val="002B39B9"/>
    <w:rsid w:val="002B4015"/>
    <w:rsid w:val="002B78CE"/>
    <w:rsid w:val="002C0ADE"/>
    <w:rsid w:val="002C2D63"/>
    <w:rsid w:val="002C2FB6"/>
    <w:rsid w:val="002C6439"/>
    <w:rsid w:val="002C7FF4"/>
    <w:rsid w:val="002D0E56"/>
    <w:rsid w:val="002D0E61"/>
    <w:rsid w:val="002D1FC6"/>
    <w:rsid w:val="002D2E9A"/>
    <w:rsid w:val="002D7579"/>
    <w:rsid w:val="002E31E3"/>
    <w:rsid w:val="002E4BF7"/>
    <w:rsid w:val="002E5FA7"/>
    <w:rsid w:val="002F3309"/>
    <w:rsid w:val="002F65F9"/>
    <w:rsid w:val="003008CE"/>
    <w:rsid w:val="003009B7"/>
    <w:rsid w:val="00300E56"/>
    <w:rsid w:val="0030469C"/>
    <w:rsid w:val="00310CF9"/>
    <w:rsid w:val="003164A7"/>
    <w:rsid w:val="00316C47"/>
    <w:rsid w:val="003211B5"/>
    <w:rsid w:val="00321CA6"/>
    <w:rsid w:val="003230CC"/>
    <w:rsid w:val="0032371B"/>
    <w:rsid w:val="00323763"/>
    <w:rsid w:val="0032702A"/>
    <w:rsid w:val="00334C09"/>
    <w:rsid w:val="00336996"/>
    <w:rsid w:val="00340047"/>
    <w:rsid w:val="00340506"/>
    <w:rsid w:val="00342A00"/>
    <w:rsid w:val="00343006"/>
    <w:rsid w:val="00351F45"/>
    <w:rsid w:val="00353173"/>
    <w:rsid w:val="00354618"/>
    <w:rsid w:val="003559E9"/>
    <w:rsid w:val="0035777E"/>
    <w:rsid w:val="00362C1D"/>
    <w:rsid w:val="0036730D"/>
    <w:rsid w:val="003712DA"/>
    <w:rsid w:val="003721AD"/>
    <w:rsid w:val="003723D4"/>
    <w:rsid w:val="00373211"/>
    <w:rsid w:val="0037417C"/>
    <w:rsid w:val="00374C50"/>
    <w:rsid w:val="0038053A"/>
    <w:rsid w:val="0038098B"/>
    <w:rsid w:val="00381905"/>
    <w:rsid w:val="00384CC8"/>
    <w:rsid w:val="00385C8D"/>
    <w:rsid w:val="003871FD"/>
    <w:rsid w:val="003903CF"/>
    <w:rsid w:val="00391BCF"/>
    <w:rsid w:val="0039417E"/>
    <w:rsid w:val="003943A1"/>
    <w:rsid w:val="003A1E30"/>
    <w:rsid w:val="003A2298"/>
    <w:rsid w:val="003A2771"/>
    <w:rsid w:val="003A2829"/>
    <w:rsid w:val="003A2C95"/>
    <w:rsid w:val="003A33E7"/>
    <w:rsid w:val="003A3ABD"/>
    <w:rsid w:val="003A3F7F"/>
    <w:rsid w:val="003A62C6"/>
    <w:rsid w:val="003A6A06"/>
    <w:rsid w:val="003A7D1C"/>
    <w:rsid w:val="003B243B"/>
    <w:rsid w:val="003B2A32"/>
    <w:rsid w:val="003B304B"/>
    <w:rsid w:val="003B3146"/>
    <w:rsid w:val="003B3BE5"/>
    <w:rsid w:val="003B7E9F"/>
    <w:rsid w:val="003C6E5F"/>
    <w:rsid w:val="003D10B9"/>
    <w:rsid w:val="003D25A6"/>
    <w:rsid w:val="003D7069"/>
    <w:rsid w:val="003E0D47"/>
    <w:rsid w:val="003E0FF5"/>
    <w:rsid w:val="003E1968"/>
    <w:rsid w:val="003E1DCE"/>
    <w:rsid w:val="003E5344"/>
    <w:rsid w:val="003E7786"/>
    <w:rsid w:val="003F015E"/>
    <w:rsid w:val="003F05FC"/>
    <w:rsid w:val="003F2C2F"/>
    <w:rsid w:val="003F3620"/>
    <w:rsid w:val="003F5BC3"/>
    <w:rsid w:val="00400414"/>
    <w:rsid w:val="00403038"/>
    <w:rsid w:val="00404853"/>
    <w:rsid w:val="004075D1"/>
    <w:rsid w:val="0041260A"/>
    <w:rsid w:val="0041446B"/>
    <w:rsid w:val="0043091A"/>
    <w:rsid w:val="004364EA"/>
    <w:rsid w:val="004410EB"/>
    <w:rsid w:val="00442378"/>
    <w:rsid w:val="0044329C"/>
    <w:rsid w:val="0044703E"/>
    <w:rsid w:val="00447AF1"/>
    <w:rsid w:val="0045012D"/>
    <w:rsid w:val="00450D8F"/>
    <w:rsid w:val="0045101B"/>
    <w:rsid w:val="004538A1"/>
    <w:rsid w:val="00453E24"/>
    <w:rsid w:val="00456CC0"/>
    <w:rsid w:val="00457456"/>
    <w:rsid w:val="004577FE"/>
    <w:rsid w:val="00457B9C"/>
    <w:rsid w:val="0046164A"/>
    <w:rsid w:val="004628D2"/>
    <w:rsid w:val="00462DCD"/>
    <w:rsid w:val="004648AD"/>
    <w:rsid w:val="00465855"/>
    <w:rsid w:val="004703A9"/>
    <w:rsid w:val="004760DE"/>
    <w:rsid w:val="00476338"/>
    <w:rsid w:val="004763D7"/>
    <w:rsid w:val="00476686"/>
    <w:rsid w:val="00476F76"/>
    <w:rsid w:val="00477B65"/>
    <w:rsid w:val="00477BFE"/>
    <w:rsid w:val="00477DE9"/>
    <w:rsid w:val="004807B7"/>
    <w:rsid w:val="00480918"/>
    <w:rsid w:val="00486062"/>
    <w:rsid w:val="004865B2"/>
    <w:rsid w:val="0048666B"/>
    <w:rsid w:val="0049125E"/>
    <w:rsid w:val="004916F4"/>
    <w:rsid w:val="00492979"/>
    <w:rsid w:val="004941AA"/>
    <w:rsid w:val="004963CD"/>
    <w:rsid w:val="004970F4"/>
    <w:rsid w:val="004A004E"/>
    <w:rsid w:val="004A217B"/>
    <w:rsid w:val="004A24CF"/>
    <w:rsid w:val="004A5276"/>
    <w:rsid w:val="004A6EB7"/>
    <w:rsid w:val="004B4C85"/>
    <w:rsid w:val="004B4FC8"/>
    <w:rsid w:val="004B72A3"/>
    <w:rsid w:val="004B755A"/>
    <w:rsid w:val="004C216A"/>
    <w:rsid w:val="004C3D1D"/>
    <w:rsid w:val="004C7913"/>
    <w:rsid w:val="004C7DDE"/>
    <w:rsid w:val="004D45A9"/>
    <w:rsid w:val="004E1797"/>
    <w:rsid w:val="004E4DD6"/>
    <w:rsid w:val="004F005D"/>
    <w:rsid w:val="004F0F35"/>
    <w:rsid w:val="004F1B29"/>
    <w:rsid w:val="004F2E44"/>
    <w:rsid w:val="004F4C39"/>
    <w:rsid w:val="004F5E36"/>
    <w:rsid w:val="00503ACB"/>
    <w:rsid w:val="005052A4"/>
    <w:rsid w:val="00507B47"/>
    <w:rsid w:val="00507BEF"/>
    <w:rsid w:val="00507CC9"/>
    <w:rsid w:val="005119A5"/>
    <w:rsid w:val="005132FE"/>
    <w:rsid w:val="00513461"/>
    <w:rsid w:val="005168B9"/>
    <w:rsid w:val="005178DB"/>
    <w:rsid w:val="00522CB5"/>
    <w:rsid w:val="00523125"/>
    <w:rsid w:val="00524C78"/>
    <w:rsid w:val="00524E19"/>
    <w:rsid w:val="00525919"/>
    <w:rsid w:val="0052686F"/>
    <w:rsid w:val="005278B7"/>
    <w:rsid w:val="00532016"/>
    <w:rsid w:val="00532762"/>
    <w:rsid w:val="00532EC1"/>
    <w:rsid w:val="005346C8"/>
    <w:rsid w:val="005350AC"/>
    <w:rsid w:val="005360F1"/>
    <w:rsid w:val="0053669B"/>
    <w:rsid w:val="0053747D"/>
    <w:rsid w:val="00543E7D"/>
    <w:rsid w:val="005452EE"/>
    <w:rsid w:val="00547A68"/>
    <w:rsid w:val="00551569"/>
    <w:rsid w:val="005531C9"/>
    <w:rsid w:val="00560FE6"/>
    <w:rsid w:val="005671FF"/>
    <w:rsid w:val="00570C43"/>
    <w:rsid w:val="0057517D"/>
    <w:rsid w:val="00580913"/>
    <w:rsid w:val="00582166"/>
    <w:rsid w:val="0058456A"/>
    <w:rsid w:val="00586480"/>
    <w:rsid w:val="005915C6"/>
    <w:rsid w:val="005940C6"/>
    <w:rsid w:val="00595441"/>
    <w:rsid w:val="00595757"/>
    <w:rsid w:val="005A021D"/>
    <w:rsid w:val="005A2426"/>
    <w:rsid w:val="005A25F9"/>
    <w:rsid w:val="005A4665"/>
    <w:rsid w:val="005A4D7C"/>
    <w:rsid w:val="005B013F"/>
    <w:rsid w:val="005B2110"/>
    <w:rsid w:val="005B40CB"/>
    <w:rsid w:val="005B61E6"/>
    <w:rsid w:val="005C247E"/>
    <w:rsid w:val="005C2F0B"/>
    <w:rsid w:val="005C77E1"/>
    <w:rsid w:val="005D668A"/>
    <w:rsid w:val="005D6A2F"/>
    <w:rsid w:val="005E1A82"/>
    <w:rsid w:val="005E1A88"/>
    <w:rsid w:val="005E2AFB"/>
    <w:rsid w:val="005E3487"/>
    <w:rsid w:val="005E428A"/>
    <w:rsid w:val="005E5A3F"/>
    <w:rsid w:val="005E794C"/>
    <w:rsid w:val="005F0A28"/>
    <w:rsid w:val="005F0E5E"/>
    <w:rsid w:val="005F145B"/>
    <w:rsid w:val="005F4661"/>
    <w:rsid w:val="005F5792"/>
    <w:rsid w:val="005F7DDE"/>
    <w:rsid w:val="00600535"/>
    <w:rsid w:val="00601A27"/>
    <w:rsid w:val="00602570"/>
    <w:rsid w:val="00603A07"/>
    <w:rsid w:val="00605234"/>
    <w:rsid w:val="00607A6F"/>
    <w:rsid w:val="00610CD6"/>
    <w:rsid w:val="006134E3"/>
    <w:rsid w:val="006134F8"/>
    <w:rsid w:val="006160D9"/>
    <w:rsid w:val="0062042A"/>
    <w:rsid w:val="00620DEE"/>
    <w:rsid w:val="00621F92"/>
    <w:rsid w:val="0062280A"/>
    <w:rsid w:val="00622B4E"/>
    <w:rsid w:val="00625639"/>
    <w:rsid w:val="00625F25"/>
    <w:rsid w:val="00626A60"/>
    <w:rsid w:val="00626D5D"/>
    <w:rsid w:val="00631B33"/>
    <w:rsid w:val="00633270"/>
    <w:rsid w:val="0063489D"/>
    <w:rsid w:val="00635F9E"/>
    <w:rsid w:val="0064156F"/>
    <w:rsid w:val="0064184D"/>
    <w:rsid w:val="006422CC"/>
    <w:rsid w:val="00643377"/>
    <w:rsid w:val="00647E7D"/>
    <w:rsid w:val="00656CA9"/>
    <w:rsid w:val="006576A7"/>
    <w:rsid w:val="00660E3E"/>
    <w:rsid w:val="006617FD"/>
    <w:rsid w:val="00661C2C"/>
    <w:rsid w:val="00662E49"/>
    <w:rsid w:val="00662E74"/>
    <w:rsid w:val="00665323"/>
    <w:rsid w:val="006676A7"/>
    <w:rsid w:val="0067100D"/>
    <w:rsid w:val="006753F8"/>
    <w:rsid w:val="006774B7"/>
    <w:rsid w:val="00680259"/>
    <w:rsid w:val="00680C23"/>
    <w:rsid w:val="00683227"/>
    <w:rsid w:val="00686BC5"/>
    <w:rsid w:val="00686C0A"/>
    <w:rsid w:val="00690017"/>
    <w:rsid w:val="00691F57"/>
    <w:rsid w:val="00692A36"/>
    <w:rsid w:val="00693766"/>
    <w:rsid w:val="006A21C8"/>
    <w:rsid w:val="006A3281"/>
    <w:rsid w:val="006A3D8E"/>
    <w:rsid w:val="006A7CD0"/>
    <w:rsid w:val="006B042F"/>
    <w:rsid w:val="006B1158"/>
    <w:rsid w:val="006B4888"/>
    <w:rsid w:val="006B584A"/>
    <w:rsid w:val="006C2E45"/>
    <w:rsid w:val="006C359C"/>
    <w:rsid w:val="006C3BC1"/>
    <w:rsid w:val="006C3E76"/>
    <w:rsid w:val="006C5579"/>
    <w:rsid w:val="006D0FB6"/>
    <w:rsid w:val="006D1720"/>
    <w:rsid w:val="006D2E7C"/>
    <w:rsid w:val="006D5D21"/>
    <w:rsid w:val="006D6E8B"/>
    <w:rsid w:val="006D70AD"/>
    <w:rsid w:val="006D7EF7"/>
    <w:rsid w:val="006E0F79"/>
    <w:rsid w:val="006E1802"/>
    <w:rsid w:val="006E19E0"/>
    <w:rsid w:val="006E2B26"/>
    <w:rsid w:val="006E43EF"/>
    <w:rsid w:val="006E52FE"/>
    <w:rsid w:val="006E737D"/>
    <w:rsid w:val="006F42AF"/>
    <w:rsid w:val="006F51B8"/>
    <w:rsid w:val="006F5677"/>
    <w:rsid w:val="006F5F00"/>
    <w:rsid w:val="006F6B08"/>
    <w:rsid w:val="006F6BDC"/>
    <w:rsid w:val="006F7B97"/>
    <w:rsid w:val="007005A1"/>
    <w:rsid w:val="00702188"/>
    <w:rsid w:val="007074DE"/>
    <w:rsid w:val="0070758A"/>
    <w:rsid w:val="007110B3"/>
    <w:rsid w:val="007126F2"/>
    <w:rsid w:val="0071286C"/>
    <w:rsid w:val="00713973"/>
    <w:rsid w:val="007157A5"/>
    <w:rsid w:val="00720A24"/>
    <w:rsid w:val="0072709D"/>
    <w:rsid w:val="007313C8"/>
    <w:rsid w:val="00732386"/>
    <w:rsid w:val="0073514D"/>
    <w:rsid w:val="007366A0"/>
    <w:rsid w:val="00737455"/>
    <w:rsid w:val="007447F3"/>
    <w:rsid w:val="0075320D"/>
    <w:rsid w:val="0075499F"/>
    <w:rsid w:val="007555C7"/>
    <w:rsid w:val="00755D3C"/>
    <w:rsid w:val="00756D7A"/>
    <w:rsid w:val="00761051"/>
    <w:rsid w:val="007617A2"/>
    <w:rsid w:val="00761975"/>
    <w:rsid w:val="007629E0"/>
    <w:rsid w:val="007661C8"/>
    <w:rsid w:val="00766B11"/>
    <w:rsid w:val="0076716A"/>
    <w:rsid w:val="0077098D"/>
    <w:rsid w:val="00773FE4"/>
    <w:rsid w:val="00774D00"/>
    <w:rsid w:val="0077660C"/>
    <w:rsid w:val="00776F87"/>
    <w:rsid w:val="0078208E"/>
    <w:rsid w:val="00782A05"/>
    <w:rsid w:val="007931FA"/>
    <w:rsid w:val="0079623B"/>
    <w:rsid w:val="00797D26"/>
    <w:rsid w:val="007A2A43"/>
    <w:rsid w:val="007A4861"/>
    <w:rsid w:val="007A7BBA"/>
    <w:rsid w:val="007B0C50"/>
    <w:rsid w:val="007B1014"/>
    <w:rsid w:val="007B48F9"/>
    <w:rsid w:val="007B54AC"/>
    <w:rsid w:val="007B6B2D"/>
    <w:rsid w:val="007B6C13"/>
    <w:rsid w:val="007C1A43"/>
    <w:rsid w:val="007C2642"/>
    <w:rsid w:val="007D0111"/>
    <w:rsid w:val="007D189B"/>
    <w:rsid w:val="007D21A3"/>
    <w:rsid w:val="007D3501"/>
    <w:rsid w:val="007E1B0D"/>
    <w:rsid w:val="007E6B68"/>
    <w:rsid w:val="007F3361"/>
    <w:rsid w:val="007F4533"/>
    <w:rsid w:val="007F4C53"/>
    <w:rsid w:val="007F799C"/>
    <w:rsid w:val="0080013E"/>
    <w:rsid w:val="008024EA"/>
    <w:rsid w:val="00812D3C"/>
    <w:rsid w:val="00813288"/>
    <w:rsid w:val="00813EB8"/>
    <w:rsid w:val="00813F98"/>
    <w:rsid w:val="008162E1"/>
    <w:rsid w:val="008167DF"/>
    <w:rsid w:val="008168FC"/>
    <w:rsid w:val="00825DD9"/>
    <w:rsid w:val="0082742D"/>
    <w:rsid w:val="00830996"/>
    <w:rsid w:val="0083432A"/>
    <w:rsid w:val="008345F1"/>
    <w:rsid w:val="00835172"/>
    <w:rsid w:val="0083647E"/>
    <w:rsid w:val="00836CB0"/>
    <w:rsid w:val="0084393F"/>
    <w:rsid w:val="00843D88"/>
    <w:rsid w:val="008446EC"/>
    <w:rsid w:val="00845160"/>
    <w:rsid w:val="00852242"/>
    <w:rsid w:val="00852725"/>
    <w:rsid w:val="00857A27"/>
    <w:rsid w:val="00860B86"/>
    <w:rsid w:val="0086210A"/>
    <w:rsid w:val="0086337B"/>
    <w:rsid w:val="00865B07"/>
    <w:rsid w:val="008667EA"/>
    <w:rsid w:val="008706D0"/>
    <w:rsid w:val="00870860"/>
    <w:rsid w:val="00872A0F"/>
    <w:rsid w:val="00872D7B"/>
    <w:rsid w:val="0087318C"/>
    <w:rsid w:val="0087637F"/>
    <w:rsid w:val="008915CB"/>
    <w:rsid w:val="00892AD5"/>
    <w:rsid w:val="008A12C9"/>
    <w:rsid w:val="008A1512"/>
    <w:rsid w:val="008A1CFF"/>
    <w:rsid w:val="008A2184"/>
    <w:rsid w:val="008A2D73"/>
    <w:rsid w:val="008B00C0"/>
    <w:rsid w:val="008B00DF"/>
    <w:rsid w:val="008B245E"/>
    <w:rsid w:val="008B5145"/>
    <w:rsid w:val="008B5491"/>
    <w:rsid w:val="008B7072"/>
    <w:rsid w:val="008C0008"/>
    <w:rsid w:val="008D32B9"/>
    <w:rsid w:val="008D433B"/>
    <w:rsid w:val="008E566E"/>
    <w:rsid w:val="008E5B87"/>
    <w:rsid w:val="008F2EA2"/>
    <w:rsid w:val="008F5465"/>
    <w:rsid w:val="008F5720"/>
    <w:rsid w:val="008F5E2D"/>
    <w:rsid w:val="008F6109"/>
    <w:rsid w:val="008F6BDA"/>
    <w:rsid w:val="008F7A9E"/>
    <w:rsid w:val="0090161A"/>
    <w:rsid w:val="00901EB6"/>
    <w:rsid w:val="00904C62"/>
    <w:rsid w:val="00904EA7"/>
    <w:rsid w:val="0090642F"/>
    <w:rsid w:val="00906B98"/>
    <w:rsid w:val="0091090F"/>
    <w:rsid w:val="00914CC7"/>
    <w:rsid w:val="00914D01"/>
    <w:rsid w:val="00915534"/>
    <w:rsid w:val="00916F4C"/>
    <w:rsid w:val="00917C23"/>
    <w:rsid w:val="00921F61"/>
    <w:rsid w:val="00922BA8"/>
    <w:rsid w:val="00923C69"/>
    <w:rsid w:val="00923EB3"/>
    <w:rsid w:val="00924DAC"/>
    <w:rsid w:val="00926817"/>
    <w:rsid w:val="00927058"/>
    <w:rsid w:val="00934489"/>
    <w:rsid w:val="00937737"/>
    <w:rsid w:val="00940E8E"/>
    <w:rsid w:val="00942750"/>
    <w:rsid w:val="009450CE"/>
    <w:rsid w:val="00947179"/>
    <w:rsid w:val="00950383"/>
    <w:rsid w:val="0095164B"/>
    <w:rsid w:val="00954090"/>
    <w:rsid w:val="009573E7"/>
    <w:rsid w:val="009575D2"/>
    <w:rsid w:val="00957DE7"/>
    <w:rsid w:val="009601CA"/>
    <w:rsid w:val="00961BDA"/>
    <w:rsid w:val="00963E05"/>
    <w:rsid w:val="00967843"/>
    <w:rsid w:val="00967D54"/>
    <w:rsid w:val="0097069C"/>
    <w:rsid w:val="00971028"/>
    <w:rsid w:val="00974129"/>
    <w:rsid w:val="009769EB"/>
    <w:rsid w:val="00976ED1"/>
    <w:rsid w:val="0098061F"/>
    <w:rsid w:val="00991655"/>
    <w:rsid w:val="00993B84"/>
    <w:rsid w:val="00994EE9"/>
    <w:rsid w:val="00996483"/>
    <w:rsid w:val="00996DCC"/>
    <w:rsid w:val="00996F5A"/>
    <w:rsid w:val="009A1B6F"/>
    <w:rsid w:val="009A420D"/>
    <w:rsid w:val="009A4BB5"/>
    <w:rsid w:val="009A5802"/>
    <w:rsid w:val="009B041A"/>
    <w:rsid w:val="009B4C12"/>
    <w:rsid w:val="009B4D68"/>
    <w:rsid w:val="009B61D5"/>
    <w:rsid w:val="009B66F9"/>
    <w:rsid w:val="009C37C3"/>
    <w:rsid w:val="009C7C86"/>
    <w:rsid w:val="009D0763"/>
    <w:rsid w:val="009D2FF7"/>
    <w:rsid w:val="009D5651"/>
    <w:rsid w:val="009D582F"/>
    <w:rsid w:val="009E3116"/>
    <w:rsid w:val="009E676D"/>
    <w:rsid w:val="009E6C7E"/>
    <w:rsid w:val="009E7884"/>
    <w:rsid w:val="009E788A"/>
    <w:rsid w:val="009F0CEB"/>
    <w:rsid w:val="009F0E08"/>
    <w:rsid w:val="009F2158"/>
    <w:rsid w:val="009F3F78"/>
    <w:rsid w:val="009F5093"/>
    <w:rsid w:val="009F5463"/>
    <w:rsid w:val="009F5778"/>
    <w:rsid w:val="009F63CF"/>
    <w:rsid w:val="009F7E62"/>
    <w:rsid w:val="00A0398D"/>
    <w:rsid w:val="00A07D0F"/>
    <w:rsid w:val="00A100B8"/>
    <w:rsid w:val="00A1763D"/>
    <w:rsid w:val="00A17CEC"/>
    <w:rsid w:val="00A215B6"/>
    <w:rsid w:val="00A23289"/>
    <w:rsid w:val="00A235E5"/>
    <w:rsid w:val="00A27EF0"/>
    <w:rsid w:val="00A30894"/>
    <w:rsid w:val="00A311BD"/>
    <w:rsid w:val="00A34514"/>
    <w:rsid w:val="00A34A3B"/>
    <w:rsid w:val="00A35B43"/>
    <w:rsid w:val="00A3608F"/>
    <w:rsid w:val="00A42361"/>
    <w:rsid w:val="00A439BB"/>
    <w:rsid w:val="00A50B20"/>
    <w:rsid w:val="00A51390"/>
    <w:rsid w:val="00A54A01"/>
    <w:rsid w:val="00A56C6F"/>
    <w:rsid w:val="00A60D13"/>
    <w:rsid w:val="00A6139B"/>
    <w:rsid w:val="00A62BD5"/>
    <w:rsid w:val="00A62DC0"/>
    <w:rsid w:val="00A63883"/>
    <w:rsid w:val="00A7058B"/>
    <w:rsid w:val="00A72745"/>
    <w:rsid w:val="00A729C7"/>
    <w:rsid w:val="00A761DC"/>
    <w:rsid w:val="00A7646F"/>
    <w:rsid w:val="00A76EFC"/>
    <w:rsid w:val="00A7706B"/>
    <w:rsid w:val="00A77809"/>
    <w:rsid w:val="00A81B71"/>
    <w:rsid w:val="00A91010"/>
    <w:rsid w:val="00A934E0"/>
    <w:rsid w:val="00A94C20"/>
    <w:rsid w:val="00A952EA"/>
    <w:rsid w:val="00A9699A"/>
    <w:rsid w:val="00A9763E"/>
    <w:rsid w:val="00A97F29"/>
    <w:rsid w:val="00AA67D8"/>
    <w:rsid w:val="00AA6ADF"/>
    <w:rsid w:val="00AA702E"/>
    <w:rsid w:val="00AB0526"/>
    <w:rsid w:val="00AB0964"/>
    <w:rsid w:val="00AB1534"/>
    <w:rsid w:val="00AB3276"/>
    <w:rsid w:val="00AB3991"/>
    <w:rsid w:val="00AB49D2"/>
    <w:rsid w:val="00AB5011"/>
    <w:rsid w:val="00AB5C43"/>
    <w:rsid w:val="00AC72CA"/>
    <w:rsid w:val="00AC7368"/>
    <w:rsid w:val="00AD16B9"/>
    <w:rsid w:val="00AD32AC"/>
    <w:rsid w:val="00AD65E0"/>
    <w:rsid w:val="00AE1094"/>
    <w:rsid w:val="00AE13D1"/>
    <w:rsid w:val="00AE377D"/>
    <w:rsid w:val="00AE7D2E"/>
    <w:rsid w:val="00AF0725"/>
    <w:rsid w:val="00AF0EBA"/>
    <w:rsid w:val="00AF24F5"/>
    <w:rsid w:val="00AF368B"/>
    <w:rsid w:val="00AF4CBB"/>
    <w:rsid w:val="00AF71A1"/>
    <w:rsid w:val="00B016C6"/>
    <w:rsid w:val="00B0249D"/>
    <w:rsid w:val="00B02C8A"/>
    <w:rsid w:val="00B03C91"/>
    <w:rsid w:val="00B057CC"/>
    <w:rsid w:val="00B06BB0"/>
    <w:rsid w:val="00B17FBD"/>
    <w:rsid w:val="00B315A6"/>
    <w:rsid w:val="00B31813"/>
    <w:rsid w:val="00B33365"/>
    <w:rsid w:val="00B43E8F"/>
    <w:rsid w:val="00B450EB"/>
    <w:rsid w:val="00B46245"/>
    <w:rsid w:val="00B50ACB"/>
    <w:rsid w:val="00B51C84"/>
    <w:rsid w:val="00B57B36"/>
    <w:rsid w:val="00B57E6F"/>
    <w:rsid w:val="00B62355"/>
    <w:rsid w:val="00B62494"/>
    <w:rsid w:val="00B727B5"/>
    <w:rsid w:val="00B74268"/>
    <w:rsid w:val="00B74F17"/>
    <w:rsid w:val="00B76F03"/>
    <w:rsid w:val="00B81AD5"/>
    <w:rsid w:val="00B84A9F"/>
    <w:rsid w:val="00B8686D"/>
    <w:rsid w:val="00B87B2C"/>
    <w:rsid w:val="00B90962"/>
    <w:rsid w:val="00B93F69"/>
    <w:rsid w:val="00B940EA"/>
    <w:rsid w:val="00B944CC"/>
    <w:rsid w:val="00BA2570"/>
    <w:rsid w:val="00BA5795"/>
    <w:rsid w:val="00BB0BD1"/>
    <w:rsid w:val="00BB1DDC"/>
    <w:rsid w:val="00BB22F8"/>
    <w:rsid w:val="00BB466E"/>
    <w:rsid w:val="00BB5E71"/>
    <w:rsid w:val="00BC30C9"/>
    <w:rsid w:val="00BC384C"/>
    <w:rsid w:val="00BC4021"/>
    <w:rsid w:val="00BC4EF0"/>
    <w:rsid w:val="00BC5644"/>
    <w:rsid w:val="00BC7114"/>
    <w:rsid w:val="00BC741D"/>
    <w:rsid w:val="00BD0282"/>
    <w:rsid w:val="00BD077D"/>
    <w:rsid w:val="00BD35DE"/>
    <w:rsid w:val="00BD77CF"/>
    <w:rsid w:val="00BE0419"/>
    <w:rsid w:val="00BE127B"/>
    <w:rsid w:val="00BE1B65"/>
    <w:rsid w:val="00BE3E58"/>
    <w:rsid w:val="00BE515D"/>
    <w:rsid w:val="00BE74EA"/>
    <w:rsid w:val="00BF4DB8"/>
    <w:rsid w:val="00C01616"/>
    <w:rsid w:val="00C0162B"/>
    <w:rsid w:val="00C05D40"/>
    <w:rsid w:val="00C068ED"/>
    <w:rsid w:val="00C11506"/>
    <w:rsid w:val="00C12DCD"/>
    <w:rsid w:val="00C22E0C"/>
    <w:rsid w:val="00C24ABE"/>
    <w:rsid w:val="00C345B1"/>
    <w:rsid w:val="00C35932"/>
    <w:rsid w:val="00C40142"/>
    <w:rsid w:val="00C45551"/>
    <w:rsid w:val="00C472F5"/>
    <w:rsid w:val="00C52C3C"/>
    <w:rsid w:val="00C53D10"/>
    <w:rsid w:val="00C57182"/>
    <w:rsid w:val="00C57863"/>
    <w:rsid w:val="00C60242"/>
    <w:rsid w:val="00C6107E"/>
    <w:rsid w:val="00C63316"/>
    <w:rsid w:val="00C64199"/>
    <w:rsid w:val="00C655FD"/>
    <w:rsid w:val="00C656D1"/>
    <w:rsid w:val="00C67776"/>
    <w:rsid w:val="00C75174"/>
    <w:rsid w:val="00C75407"/>
    <w:rsid w:val="00C77AEC"/>
    <w:rsid w:val="00C870A8"/>
    <w:rsid w:val="00C91FA9"/>
    <w:rsid w:val="00C93184"/>
    <w:rsid w:val="00C94434"/>
    <w:rsid w:val="00C945E7"/>
    <w:rsid w:val="00CA0648"/>
    <w:rsid w:val="00CA0D75"/>
    <w:rsid w:val="00CA15AE"/>
    <w:rsid w:val="00CA1C95"/>
    <w:rsid w:val="00CA21EB"/>
    <w:rsid w:val="00CA2D31"/>
    <w:rsid w:val="00CA439B"/>
    <w:rsid w:val="00CA473E"/>
    <w:rsid w:val="00CA5A9C"/>
    <w:rsid w:val="00CA5BE4"/>
    <w:rsid w:val="00CB0395"/>
    <w:rsid w:val="00CB4DF3"/>
    <w:rsid w:val="00CB6927"/>
    <w:rsid w:val="00CC16C4"/>
    <w:rsid w:val="00CC215F"/>
    <w:rsid w:val="00CC2380"/>
    <w:rsid w:val="00CC45B3"/>
    <w:rsid w:val="00CC4C20"/>
    <w:rsid w:val="00CC4DFA"/>
    <w:rsid w:val="00CD2BBF"/>
    <w:rsid w:val="00CD3517"/>
    <w:rsid w:val="00CD5FE2"/>
    <w:rsid w:val="00CD621B"/>
    <w:rsid w:val="00CD762D"/>
    <w:rsid w:val="00CE28C7"/>
    <w:rsid w:val="00CE354A"/>
    <w:rsid w:val="00CE7C68"/>
    <w:rsid w:val="00CF4CA5"/>
    <w:rsid w:val="00CF53EB"/>
    <w:rsid w:val="00D02B4C"/>
    <w:rsid w:val="00D040C4"/>
    <w:rsid w:val="00D05C7B"/>
    <w:rsid w:val="00D05E1C"/>
    <w:rsid w:val="00D14797"/>
    <w:rsid w:val="00D15235"/>
    <w:rsid w:val="00D207D5"/>
    <w:rsid w:val="00D221A2"/>
    <w:rsid w:val="00D25A0F"/>
    <w:rsid w:val="00D25E01"/>
    <w:rsid w:val="00D30755"/>
    <w:rsid w:val="00D31819"/>
    <w:rsid w:val="00D31D75"/>
    <w:rsid w:val="00D375F8"/>
    <w:rsid w:val="00D41D65"/>
    <w:rsid w:val="00D44346"/>
    <w:rsid w:val="00D4689B"/>
    <w:rsid w:val="00D46B7E"/>
    <w:rsid w:val="00D47D18"/>
    <w:rsid w:val="00D52FC1"/>
    <w:rsid w:val="00D535A0"/>
    <w:rsid w:val="00D5546D"/>
    <w:rsid w:val="00D557D3"/>
    <w:rsid w:val="00D57C84"/>
    <w:rsid w:val="00D6057D"/>
    <w:rsid w:val="00D6220C"/>
    <w:rsid w:val="00D627C5"/>
    <w:rsid w:val="00D6396B"/>
    <w:rsid w:val="00D63C18"/>
    <w:rsid w:val="00D66471"/>
    <w:rsid w:val="00D67D2E"/>
    <w:rsid w:val="00D73141"/>
    <w:rsid w:val="00D754A4"/>
    <w:rsid w:val="00D76B64"/>
    <w:rsid w:val="00D77A48"/>
    <w:rsid w:val="00D8021E"/>
    <w:rsid w:val="00D836C5"/>
    <w:rsid w:val="00D83E2F"/>
    <w:rsid w:val="00D84576"/>
    <w:rsid w:val="00D85270"/>
    <w:rsid w:val="00D8603E"/>
    <w:rsid w:val="00D91375"/>
    <w:rsid w:val="00D91583"/>
    <w:rsid w:val="00D93603"/>
    <w:rsid w:val="00D944AF"/>
    <w:rsid w:val="00D954C3"/>
    <w:rsid w:val="00DA1399"/>
    <w:rsid w:val="00DA140F"/>
    <w:rsid w:val="00DA24C6"/>
    <w:rsid w:val="00DA3E7D"/>
    <w:rsid w:val="00DA3FB8"/>
    <w:rsid w:val="00DA4D7B"/>
    <w:rsid w:val="00DA51A4"/>
    <w:rsid w:val="00DC0D61"/>
    <w:rsid w:val="00DC0F18"/>
    <w:rsid w:val="00DD08AD"/>
    <w:rsid w:val="00DE264A"/>
    <w:rsid w:val="00DE6457"/>
    <w:rsid w:val="00DE7BE4"/>
    <w:rsid w:val="00DF142B"/>
    <w:rsid w:val="00DF5072"/>
    <w:rsid w:val="00DF53B4"/>
    <w:rsid w:val="00E02D18"/>
    <w:rsid w:val="00E04054"/>
    <w:rsid w:val="00E041E7"/>
    <w:rsid w:val="00E04BAB"/>
    <w:rsid w:val="00E07FFB"/>
    <w:rsid w:val="00E149DF"/>
    <w:rsid w:val="00E22D21"/>
    <w:rsid w:val="00E22DC5"/>
    <w:rsid w:val="00E23176"/>
    <w:rsid w:val="00E23CA1"/>
    <w:rsid w:val="00E25CFD"/>
    <w:rsid w:val="00E33766"/>
    <w:rsid w:val="00E35BB1"/>
    <w:rsid w:val="00E409A8"/>
    <w:rsid w:val="00E415A3"/>
    <w:rsid w:val="00E50C12"/>
    <w:rsid w:val="00E54D46"/>
    <w:rsid w:val="00E60D3E"/>
    <w:rsid w:val="00E6160A"/>
    <w:rsid w:val="00E61ACA"/>
    <w:rsid w:val="00E657DA"/>
    <w:rsid w:val="00E65B91"/>
    <w:rsid w:val="00E7209D"/>
    <w:rsid w:val="00E72EAD"/>
    <w:rsid w:val="00E77223"/>
    <w:rsid w:val="00E8528B"/>
    <w:rsid w:val="00E85B94"/>
    <w:rsid w:val="00E8607B"/>
    <w:rsid w:val="00E90BC6"/>
    <w:rsid w:val="00E91069"/>
    <w:rsid w:val="00E915EB"/>
    <w:rsid w:val="00E92B92"/>
    <w:rsid w:val="00E94EAF"/>
    <w:rsid w:val="00E9665B"/>
    <w:rsid w:val="00E978D0"/>
    <w:rsid w:val="00EA0FA4"/>
    <w:rsid w:val="00EA4613"/>
    <w:rsid w:val="00EA7CC4"/>
    <w:rsid w:val="00EA7F91"/>
    <w:rsid w:val="00EB1523"/>
    <w:rsid w:val="00EC04F0"/>
    <w:rsid w:val="00EC0E49"/>
    <w:rsid w:val="00EC101F"/>
    <w:rsid w:val="00EC1D9F"/>
    <w:rsid w:val="00EC4467"/>
    <w:rsid w:val="00EC46B2"/>
    <w:rsid w:val="00EC6093"/>
    <w:rsid w:val="00ED08A1"/>
    <w:rsid w:val="00ED57F7"/>
    <w:rsid w:val="00ED6C68"/>
    <w:rsid w:val="00EE0131"/>
    <w:rsid w:val="00EE03BB"/>
    <w:rsid w:val="00EE17B0"/>
    <w:rsid w:val="00EE3FEE"/>
    <w:rsid w:val="00EE53B6"/>
    <w:rsid w:val="00EE5E23"/>
    <w:rsid w:val="00EF06D9"/>
    <w:rsid w:val="00EF6CAD"/>
    <w:rsid w:val="00EF7471"/>
    <w:rsid w:val="00EF7F2C"/>
    <w:rsid w:val="00F10DD2"/>
    <w:rsid w:val="00F13F94"/>
    <w:rsid w:val="00F16C41"/>
    <w:rsid w:val="00F2423E"/>
    <w:rsid w:val="00F30334"/>
    <w:rsid w:val="00F30C64"/>
    <w:rsid w:val="00F31B2F"/>
    <w:rsid w:val="00F31E04"/>
    <w:rsid w:val="00F32BA2"/>
    <w:rsid w:val="00F32CDB"/>
    <w:rsid w:val="00F331EE"/>
    <w:rsid w:val="00F37ACF"/>
    <w:rsid w:val="00F4236D"/>
    <w:rsid w:val="00F43931"/>
    <w:rsid w:val="00F551C2"/>
    <w:rsid w:val="00F565FE"/>
    <w:rsid w:val="00F618F1"/>
    <w:rsid w:val="00F6394E"/>
    <w:rsid w:val="00F63A70"/>
    <w:rsid w:val="00F63CD5"/>
    <w:rsid w:val="00F65672"/>
    <w:rsid w:val="00F701B6"/>
    <w:rsid w:val="00F721FA"/>
    <w:rsid w:val="00F72F9D"/>
    <w:rsid w:val="00F73E02"/>
    <w:rsid w:val="00F7534E"/>
    <w:rsid w:val="00F772ED"/>
    <w:rsid w:val="00F84126"/>
    <w:rsid w:val="00F956FF"/>
    <w:rsid w:val="00F9683C"/>
    <w:rsid w:val="00FA21D0"/>
    <w:rsid w:val="00FA2278"/>
    <w:rsid w:val="00FA4697"/>
    <w:rsid w:val="00FA5F5F"/>
    <w:rsid w:val="00FB4407"/>
    <w:rsid w:val="00FB6F2E"/>
    <w:rsid w:val="00FB730C"/>
    <w:rsid w:val="00FB7501"/>
    <w:rsid w:val="00FB7E00"/>
    <w:rsid w:val="00FC1D6A"/>
    <w:rsid w:val="00FC2695"/>
    <w:rsid w:val="00FC33D1"/>
    <w:rsid w:val="00FC3E03"/>
    <w:rsid w:val="00FC3FC1"/>
    <w:rsid w:val="00FD37FD"/>
    <w:rsid w:val="00FD77C0"/>
    <w:rsid w:val="00FE0464"/>
    <w:rsid w:val="00FE60D2"/>
    <w:rsid w:val="00FF1EFF"/>
    <w:rsid w:val="00FF4576"/>
    <w:rsid w:val="00FF77F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32E7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32E7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color w:val="FF0000"/>
      <w:sz w:val="18"/>
      <w:szCs w:val="20"/>
      <w:lang w:val="en-US"/>
    </w:rPr>
  </w:style>
  <w:style w:type="paragraph" w:styleId="Paragrafoelenco">
    <w:name w:val="List Paragraph"/>
    <w:basedOn w:val="Normale"/>
    <w:uiPriority w:val="34"/>
    <w:rsid w:val="00280FAF"/>
    <w:pPr>
      <w:ind w:left="720"/>
      <w:contextualSpacing/>
    </w:pPr>
  </w:style>
  <w:style w:type="paragraph" w:customStyle="1" w:styleId="Default">
    <w:name w:val="Default"/>
    <w:rsid w:val="005A021D"/>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e">
    <w:name w:val="Revision"/>
    <w:hidden/>
    <w:uiPriority w:val="99"/>
    <w:semiHidden/>
    <w:rsid w:val="00A9699A"/>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4075D1"/>
    <w:rPr>
      <w:color w:val="605E5C"/>
      <w:shd w:val="clear" w:color="auto" w:fill="E1DFDD"/>
    </w:rPr>
  </w:style>
  <w:style w:type="character" w:styleId="Collegamentovisitato">
    <w:name w:val="FollowedHyperlink"/>
    <w:basedOn w:val="Carpredefinitoparagrafo"/>
    <w:uiPriority w:val="99"/>
    <w:semiHidden/>
    <w:unhideWhenUsed/>
    <w:rsid w:val="00D936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2048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8052">
      <w:bodyDiv w:val="1"/>
      <w:marLeft w:val="0"/>
      <w:marRight w:val="0"/>
      <w:marTop w:val="0"/>
      <w:marBottom w:val="0"/>
      <w:divBdr>
        <w:top w:val="none" w:sz="0" w:space="0" w:color="auto"/>
        <w:left w:val="none" w:sz="0" w:space="0" w:color="auto"/>
        <w:bottom w:val="none" w:sz="0" w:space="0" w:color="auto"/>
        <w:right w:val="none" w:sz="0" w:space="0" w:color="auto"/>
      </w:divBdr>
    </w:div>
    <w:div w:id="106811668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3673</Words>
  <Characters>20938</Characters>
  <Application>Microsoft Office Word</Application>
  <DocSecurity>0</DocSecurity>
  <Lines>174</Lines>
  <Paragraphs>49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4</cp:revision>
  <cp:lastPrinted>2024-10-07T00:12:00Z</cp:lastPrinted>
  <dcterms:created xsi:type="dcterms:W3CDTF">2025-01-20T12:54:00Z</dcterms:created>
  <dcterms:modified xsi:type="dcterms:W3CDTF">2025-04-16T11:47:00Z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9fc0c4e851ad07cb7de237693bd10abfa2b72a0d23524d5dd064f73e259baea3</vt:lpwstr>
  </property>
</Properties>
</file>