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043CE0"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043CE0" w:rsidRDefault="000A03B2" w:rsidP="00DE264A">
            <w:pPr>
              <w:tabs>
                <w:tab w:val="left" w:pos="-108"/>
              </w:tabs>
              <w:ind w:left="-108"/>
              <w:jc w:val="left"/>
              <w:rPr>
                <w:rFonts w:cs="Arial"/>
                <w:b/>
                <w:bCs/>
                <w:i/>
                <w:iCs/>
                <w:color w:val="000066"/>
                <w:sz w:val="12"/>
                <w:szCs w:val="12"/>
                <w:lang w:val="en-US" w:eastAsia="it-IT"/>
              </w:rPr>
            </w:pPr>
            <w:bookmarkStart w:id="0" w:name="_Hlk145068772"/>
            <w:r w:rsidRPr="00043CE0">
              <w:rPr>
                <w:rFonts w:ascii="AdvP6960" w:hAnsi="AdvP6960" w:cs="AdvP6960"/>
                <w:noProof/>
                <w:color w:val="241F20"/>
                <w:szCs w:val="18"/>
                <w:lang w:val="en-US"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043CE0">
              <w:rPr>
                <w:rFonts w:ascii="AdvP6960" w:hAnsi="AdvP6960" w:cs="AdvP6960"/>
                <w:color w:val="241F20"/>
                <w:szCs w:val="18"/>
                <w:lang w:val="en-US" w:eastAsia="it-IT"/>
              </w:rPr>
              <w:t xml:space="preserve"> </w:t>
            </w:r>
            <w:r w:rsidRPr="00043CE0">
              <w:rPr>
                <w:rFonts w:cs="Arial"/>
                <w:b/>
                <w:bCs/>
                <w:i/>
                <w:iCs/>
                <w:color w:val="000066"/>
                <w:sz w:val="24"/>
                <w:szCs w:val="24"/>
                <w:lang w:val="en-US" w:eastAsia="it-IT"/>
              </w:rPr>
              <w:t>CHEMICAL ENGINEERING</w:t>
            </w:r>
            <w:r w:rsidRPr="00043CE0">
              <w:rPr>
                <w:rFonts w:cs="Arial"/>
                <w:b/>
                <w:bCs/>
                <w:i/>
                <w:iCs/>
                <w:color w:val="0033FF"/>
                <w:sz w:val="24"/>
                <w:szCs w:val="24"/>
                <w:lang w:val="en-US" w:eastAsia="it-IT"/>
              </w:rPr>
              <w:t xml:space="preserve"> </w:t>
            </w:r>
            <w:r w:rsidRPr="00043CE0">
              <w:rPr>
                <w:rFonts w:cs="Arial"/>
                <w:b/>
                <w:bCs/>
                <w:i/>
                <w:iCs/>
                <w:color w:val="666666"/>
                <w:sz w:val="24"/>
                <w:szCs w:val="24"/>
                <w:lang w:val="en-US" w:eastAsia="it-IT"/>
              </w:rPr>
              <w:t>TRANSACTIONS</w:t>
            </w:r>
            <w:r w:rsidRPr="00043CE0">
              <w:rPr>
                <w:color w:val="333333"/>
                <w:sz w:val="24"/>
                <w:szCs w:val="24"/>
                <w:lang w:val="en-US" w:eastAsia="it-IT"/>
              </w:rPr>
              <w:t xml:space="preserve"> </w:t>
            </w:r>
            <w:r w:rsidRPr="00043CE0">
              <w:rPr>
                <w:rFonts w:cs="Arial"/>
                <w:b/>
                <w:bCs/>
                <w:i/>
                <w:iCs/>
                <w:color w:val="000066"/>
                <w:sz w:val="27"/>
                <w:szCs w:val="27"/>
                <w:lang w:val="en-US" w:eastAsia="it-IT"/>
              </w:rPr>
              <w:br/>
            </w:r>
          </w:p>
          <w:p w14:paraId="4B780582" w14:textId="47EF826C" w:rsidR="000A03B2" w:rsidRPr="00043CE0" w:rsidRDefault="00A76EFC" w:rsidP="001D21AF">
            <w:pPr>
              <w:tabs>
                <w:tab w:val="left" w:pos="-108"/>
              </w:tabs>
              <w:ind w:left="-108"/>
              <w:rPr>
                <w:rFonts w:cs="Arial"/>
                <w:b/>
                <w:bCs/>
                <w:i/>
                <w:iCs/>
                <w:color w:val="000066"/>
                <w:sz w:val="22"/>
                <w:szCs w:val="22"/>
                <w:lang w:val="en-US" w:eastAsia="it-IT"/>
              </w:rPr>
            </w:pPr>
            <w:r w:rsidRPr="00043CE0">
              <w:rPr>
                <w:rFonts w:cs="Arial"/>
                <w:b/>
                <w:bCs/>
                <w:i/>
                <w:iCs/>
                <w:color w:val="000066"/>
                <w:sz w:val="22"/>
                <w:szCs w:val="22"/>
                <w:lang w:val="en-US" w:eastAsia="it-IT"/>
              </w:rPr>
              <w:t>VOL.</w:t>
            </w:r>
            <w:r w:rsidR="00785BF9" w:rsidRPr="00043CE0">
              <w:rPr>
                <w:rFonts w:cs="Arial"/>
                <w:b/>
                <w:bCs/>
                <w:i/>
                <w:iCs/>
                <w:color w:val="000066"/>
                <w:sz w:val="22"/>
                <w:szCs w:val="22"/>
                <w:lang w:val="en-US" w:eastAsia="it-IT"/>
              </w:rPr>
              <w:t xml:space="preserve"> </w:t>
            </w:r>
            <w:r w:rsidR="00994C6A" w:rsidRPr="00043CE0">
              <w:rPr>
                <w:rFonts w:cs="Arial"/>
                <w:b/>
                <w:bCs/>
                <w:i/>
                <w:iCs/>
                <w:color w:val="000066"/>
                <w:sz w:val="22"/>
                <w:szCs w:val="22"/>
                <w:lang w:val="en-US" w:eastAsia="it-IT"/>
              </w:rPr>
              <w:t>xxx</w:t>
            </w:r>
            <w:r w:rsidR="007B48F9" w:rsidRPr="00043CE0">
              <w:rPr>
                <w:rFonts w:cs="Arial"/>
                <w:b/>
                <w:bCs/>
                <w:i/>
                <w:iCs/>
                <w:color w:val="000066"/>
                <w:sz w:val="22"/>
                <w:szCs w:val="22"/>
                <w:lang w:val="en-US" w:eastAsia="it-IT"/>
              </w:rPr>
              <w:t>,</w:t>
            </w:r>
            <w:r w:rsidR="00FA5F5F" w:rsidRPr="00043CE0">
              <w:rPr>
                <w:rFonts w:cs="Arial"/>
                <w:b/>
                <w:bCs/>
                <w:i/>
                <w:iCs/>
                <w:color w:val="000066"/>
                <w:sz w:val="22"/>
                <w:szCs w:val="22"/>
                <w:lang w:val="en-US" w:eastAsia="it-IT"/>
              </w:rPr>
              <w:t xml:space="preserve"> </w:t>
            </w:r>
            <w:r w:rsidR="0030152C" w:rsidRPr="00043CE0">
              <w:rPr>
                <w:rFonts w:cs="Arial"/>
                <w:b/>
                <w:bCs/>
                <w:i/>
                <w:iCs/>
                <w:color w:val="000066"/>
                <w:sz w:val="22"/>
                <w:szCs w:val="22"/>
                <w:lang w:val="en-US" w:eastAsia="it-IT"/>
              </w:rPr>
              <w:t>202</w:t>
            </w:r>
            <w:r w:rsidR="00994C6A" w:rsidRPr="00043CE0">
              <w:rPr>
                <w:rFonts w:cs="Arial"/>
                <w:b/>
                <w:bCs/>
                <w:i/>
                <w:iCs/>
                <w:color w:val="000066"/>
                <w:sz w:val="22"/>
                <w:szCs w:val="22"/>
                <w:lang w:val="en-US" w:eastAsia="it-IT"/>
              </w:rPr>
              <w:t>5</w:t>
            </w:r>
          </w:p>
        </w:tc>
        <w:tc>
          <w:tcPr>
            <w:tcW w:w="1843" w:type="dxa"/>
            <w:tcBorders>
              <w:left w:val="single" w:sz="4" w:space="0" w:color="auto"/>
              <w:bottom w:val="nil"/>
              <w:right w:val="single" w:sz="4" w:space="0" w:color="auto"/>
            </w:tcBorders>
          </w:tcPr>
          <w:p w14:paraId="56782132" w14:textId="77777777" w:rsidR="000A03B2" w:rsidRPr="00043CE0" w:rsidRDefault="000A03B2" w:rsidP="00CD5FE2">
            <w:pPr>
              <w:spacing w:line="140" w:lineRule="atLeast"/>
              <w:jc w:val="right"/>
              <w:rPr>
                <w:rFonts w:cs="Arial"/>
                <w:sz w:val="14"/>
                <w:szCs w:val="14"/>
                <w:lang w:val="en-US"/>
              </w:rPr>
            </w:pPr>
            <w:r w:rsidRPr="00043CE0">
              <w:rPr>
                <w:rFonts w:cs="Arial"/>
                <w:sz w:val="14"/>
                <w:szCs w:val="14"/>
                <w:lang w:val="en-US"/>
              </w:rPr>
              <w:t>A publication of</w:t>
            </w:r>
          </w:p>
          <w:p w14:paraId="599E5441" w14:textId="77777777" w:rsidR="000A03B2" w:rsidRPr="00043CE0" w:rsidRDefault="000A03B2" w:rsidP="00CD5FE2">
            <w:pPr>
              <w:jc w:val="right"/>
              <w:rPr>
                <w:lang w:val="en-US"/>
              </w:rPr>
            </w:pPr>
            <w:r w:rsidRPr="00043CE0">
              <w:rPr>
                <w:noProof/>
                <w:lang w:val="en-US"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043CE0" w14:paraId="380FA3CD" w14:textId="77777777" w:rsidTr="00DE264A">
        <w:trPr>
          <w:trHeight w:val="567"/>
          <w:jc w:val="center"/>
        </w:trPr>
        <w:tc>
          <w:tcPr>
            <w:tcW w:w="6946" w:type="dxa"/>
            <w:vMerge/>
            <w:tcBorders>
              <w:right w:val="single" w:sz="4" w:space="0" w:color="auto"/>
            </w:tcBorders>
          </w:tcPr>
          <w:p w14:paraId="39E5E4C1" w14:textId="77777777" w:rsidR="000A03B2" w:rsidRPr="00043CE0" w:rsidRDefault="000A03B2" w:rsidP="00CD5FE2">
            <w:pPr>
              <w:tabs>
                <w:tab w:val="left" w:pos="-108"/>
              </w:tabs>
              <w:rPr>
                <w:lang w:val="en-US"/>
              </w:rPr>
            </w:pPr>
          </w:p>
        </w:tc>
        <w:tc>
          <w:tcPr>
            <w:tcW w:w="1843" w:type="dxa"/>
            <w:tcBorders>
              <w:left w:val="single" w:sz="4" w:space="0" w:color="auto"/>
              <w:bottom w:val="nil"/>
              <w:right w:val="single" w:sz="4" w:space="0" w:color="auto"/>
            </w:tcBorders>
          </w:tcPr>
          <w:p w14:paraId="43858A98" w14:textId="77777777" w:rsidR="000A03B2" w:rsidRPr="00043CE0" w:rsidRDefault="000A03B2" w:rsidP="00CD5FE2">
            <w:pPr>
              <w:spacing w:line="140" w:lineRule="atLeast"/>
              <w:jc w:val="right"/>
              <w:rPr>
                <w:rFonts w:cs="Arial"/>
                <w:sz w:val="14"/>
                <w:szCs w:val="14"/>
                <w:lang w:val="en-US"/>
              </w:rPr>
            </w:pPr>
            <w:r w:rsidRPr="00043CE0">
              <w:rPr>
                <w:rFonts w:cs="Arial"/>
                <w:sz w:val="14"/>
                <w:szCs w:val="14"/>
                <w:lang w:val="en-US"/>
              </w:rPr>
              <w:t>The Italian Association</w:t>
            </w:r>
          </w:p>
          <w:p w14:paraId="7522B1D2" w14:textId="77777777" w:rsidR="000A03B2" w:rsidRPr="00043CE0" w:rsidRDefault="000A03B2" w:rsidP="00CD5FE2">
            <w:pPr>
              <w:spacing w:line="140" w:lineRule="atLeast"/>
              <w:jc w:val="right"/>
              <w:rPr>
                <w:rFonts w:cs="Arial"/>
                <w:sz w:val="14"/>
                <w:szCs w:val="14"/>
                <w:lang w:val="en-US"/>
              </w:rPr>
            </w:pPr>
            <w:r w:rsidRPr="00043CE0">
              <w:rPr>
                <w:rFonts w:cs="Arial"/>
                <w:sz w:val="14"/>
                <w:szCs w:val="14"/>
                <w:lang w:val="en-US"/>
              </w:rPr>
              <w:t>of Chemical Engineering</w:t>
            </w:r>
          </w:p>
          <w:p w14:paraId="4F0CC5DE" w14:textId="47FDB2FC" w:rsidR="000A03B2" w:rsidRPr="00043CE0" w:rsidRDefault="000D0268" w:rsidP="00CD5FE2">
            <w:pPr>
              <w:spacing w:line="140" w:lineRule="atLeast"/>
              <w:jc w:val="right"/>
              <w:rPr>
                <w:rFonts w:cs="Arial"/>
                <w:sz w:val="13"/>
                <w:szCs w:val="13"/>
                <w:lang w:val="en-US"/>
              </w:rPr>
            </w:pPr>
            <w:r w:rsidRPr="00043CE0">
              <w:rPr>
                <w:rFonts w:cs="Arial"/>
                <w:sz w:val="13"/>
                <w:szCs w:val="13"/>
                <w:lang w:val="en-US"/>
              </w:rPr>
              <w:t>Online at www.cetjournal.it</w:t>
            </w:r>
          </w:p>
        </w:tc>
      </w:tr>
      <w:tr w:rsidR="000A03B2" w:rsidRPr="00043CE0" w14:paraId="2D1B7169" w14:textId="77777777" w:rsidTr="00DE264A">
        <w:trPr>
          <w:trHeight w:val="68"/>
          <w:jc w:val="center"/>
        </w:trPr>
        <w:tc>
          <w:tcPr>
            <w:tcW w:w="8789" w:type="dxa"/>
            <w:gridSpan w:val="2"/>
          </w:tcPr>
          <w:p w14:paraId="30F07041" w14:textId="14258180" w:rsidR="00F27EE4" w:rsidRPr="000A11A7" w:rsidRDefault="00AA7D26" w:rsidP="00F27EE4">
            <w:pPr>
              <w:ind w:left="-107"/>
              <w:rPr>
                <w:rFonts w:ascii="Tahoma" w:hAnsi="Tahoma" w:cs="Tahoma"/>
                <w:b/>
                <w:bCs/>
                <w:color w:val="000000"/>
                <w:sz w:val="14"/>
                <w:szCs w:val="14"/>
                <w:shd w:val="clear" w:color="auto" w:fill="FFFFFF"/>
                <w:lang w:val="it-IT"/>
              </w:rPr>
            </w:pPr>
            <w:r w:rsidRPr="000A11A7">
              <w:rPr>
                <w:rFonts w:ascii="Tahoma" w:hAnsi="Tahoma" w:cs="Tahoma"/>
                <w:iCs/>
                <w:color w:val="333333"/>
                <w:sz w:val="14"/>
                <w:szCs w:val="14"/>
                <w:lang w:val="it-IT" w:eastAsia="it-IT"/>
              </w:rPr>
              <w:t>Guest Editors:</w:t>
            </w:r>
            <w:r w:rsidR="007D610D" w:rsidRPr="000A11A7">
              <w:rPr>
                <w:rFonts w:ascii="Aptos" w:eastAsiaTheme="minorHAnsi" w:hAnsi="Aptos" w:cs="Aptos"/>
                <w:sz w:val="22"/>
                <w:szCs w:val="22"/>
                <w:lang w:val="it-IT"/>
                <w14:ligatures w14:val="standardContextual"/>
              </w:rPr>
              <w:t xml:space="preserve"> </w:t>
            </w:r>
            <w:r w:rsidR="00F27EE4" w:rsidRPr="000A11A7">
              <w:rPr>
                <w:rFonts w:ascii="Tahoma" w:hAnsi="Tahoma" w:cs="Tahoma"/>
                <w:color w:val="000000"/>
                <w:sz w:val="14"/>
                <w:szCs w:val="14"/>
                <w:shd w:val="clear" w:color="auto" w:fill="FFFFFF"/>
                <w:lang w:val="it-IT"/>
              </w:rPr>
              <w:t>Bruno Fabiano, Valerio Cozzani</w:t>
            </w:r>
          </w:p>
          <w:p w14:paraId="1B0F1814" w14:textId="2DB8A072" w:rsidR="000A03B2" w:rsidRPr="00043CE0" w:rsidRDefault="00AA7D26" w:rsidP="00AA7D26">
            <w:pPr>
              <w:tabs>
                <w:tab w:val="left" w:pos="-108"/>
              </w:tabs>
              <w:spacing w:line="140" w:lineRule="atLeast"/>
              <w:ind w:left="-107"/>
              <w:jc w:val="left"/>
              <w:rPr>
                <w:lang w:val="en-US"/>
              </w:rPr>
            </w:pPr>
            <w:r w:rsidRPr="00043CE0">
              <w:rPr>
                <w:rFonts w:ascii="Tahoma" w:hAnsi="Tahoma" w:cs="Tahoma"/>
                <w:iCs/>
                <w:color w:val="333333"/>
                <w:sz w:val="14"/>
                <w:szCs w:val="14"/>
                <w:lang w:val="en-US" w:eastAsia="it-IT"/>
              </w:rPr>
              <w:t>Copyright © 202</w:t>
            </w:r>
            <w:r w:rsidR="00994C6A" w:rsidRPr="00043CE0">
              <w:rPr>
                <w:rFonts w:ascii="Tahoma" w:hAnsi="Tahoma" w:cs="Tahoma"/>
                <w:iCs/>
                <w:color w:val="333333"/>
                <w:sz w:val="14"/>
                <w:szCs w:val="14"/>
                <w:lang w:val="en-US" w:eastAsia="it-IT"/>
              </w:rPr>
              <w:t>5</w:t>
            </w:r>
            <w:r w:rsidRPr="00043CE0">
              <w:rPr>
                <w:rFonts w:ascii="Tahoma" w:hAnsi="Tahoma" w:cs="Tahoma"/>
                <w:iCs/>
                <w:color w:val="333333"/>
                <w:sz w:val="14"/>
                <w:szCs w:val="14"/>
                <w:lang w:val="en-US" w:eastAsia="it-IT"/>
              </w:rPr>
              <w:t xml:space="preserve">, AIDIC </w:t>
            </w:r>
            <w:proofErr w:type="spellStart"/>
            <w:r w:rsidRPr="00043CE0">
              <w:rPr>
                <w:rFonts w:ascii="Tahoma" w:hAnsi="Tahoma" w:cs="Tahoma"/>
                <w:iCs/>
                <w:color w:val="333333"/>
                <w:sz w:val="14"/>
                <w:szCs w:val="14"/>
                <w:lang w:val="en-US" w:eastAsia="it-IT"/>
              </w:rPr>
              <w:t>Servizi</w:t>
            </w:r>
            <w:proofErr w:type="spellEnd"/>
            <w:r w:rsidRPr="00043CE0">
              <w:rPr>
                <w:rFonts w:ascii="Tahoma" w:hAnsi="Tahoma" w:cs="Tahoma"/>
                <w:iCs/>
                <w:color w:val="333333"/>
                <w:sz w:val="14"/>
                <w:szCs w:val="14"/>
                <w:lang w:val="en-US" w:eastAsia="it-IT"/>
              </w:rPr>
              <w:t xml:space="preserve"> S.r.l.</w:t>
            </w:r>
            <w:r w:rsidRPr="00043CE0">
              <w:rPr>
                <w:rFonts w:ascii="Tahoma" w:hAnsi="Tahoma" w:cs="Tahoma"/>
                <w:iCs/>
                <w:color w:val="333333"/>
                <w:sz w:val="14"/>
                <w:szCs w:val="14"/>
                <w:lang w:val="en-US" w:eastAsia="it-IT"/>
              </w:rPr>
              <w:br/>
            </w:r>
            <w:r w:rsidRPr="00043CE0">
              <w:rPr>
                <w:rFonts w:ascii="Tahoma" w:hAnsi="Tahoma" w:cs="Tahoma"/>
                <w:b/>
                <w:iCs/>
                <w:color w:val="000000"/>
                <w:sz w:val="14"/>
                <w:szCs w:val="14"/>
                <w:lang w:val="en-US" w:eastAsia="it-IT"/>
              </w:rPr>
              <w:t>ISBN</w:t>
            </w:r>
            <w:r w:rsidRPr="00043CE0">
              <w:rPr>
                <w:rFonts w:ascii="Tahoma" w:hAnsi="Tahoma" w:cs="Tahoma"/>
                <w:iCs/>
                <w:color w:val="000000"/>
                <w:sz w:val="14"/>
                <w:szCs w:val="14"/>
                <w:lang w:val="en-US" w:eastAsia="it-IT"/>
              </w:rPr>
              <w:t xml:space="preserve"> </w:t>
            </w:r>
            <w:r w:rsidR="003B49CD" w:rsidRPr="00043CE0">
              <w:rPr>
                <w:rFonts w:ascii="Tahoma" w:hAnsi="Tahoma" w:cs="Tahoma"/>
                <w:sz w:val="14"/>
                <w:szCs w:val="14"/>
                <w:lang w:val="en-US"/>
              </w:rPr>
              <w:t>979-12-81206-</w:t>
            </w:r>
            <w:r w:rsidR="00F27EE4" w:rsidRPr="00043CE0">
              <w:rPr>
                <w:rFonts w:ascii="Tahoma" w:hAnsi="Tahoma" w:cs="Tahoma"/>
                <w:sz w:val="14"/>
                <w:szCs w:val="14"/>
                <w:lang w:val="en-US"/>
              </w:rPr>
              <w:t>xx-y</w:t>
            </w:r>
            <w:r w:rsidRPr="00043CE0">
              <w:rPr>
                <w:rFonts w:ascii="Tahoma" w:hAnsi="Tahoma" w:cs="Tahoma"/>
                <w:iCs/>
                <w:color w:val="333333"/>
                <w:sz w:val="14"/>
                <w:szCs w:val="14"/>
                <w:lang w:val="en-US" w:eastAsia="it-IT"/>
              </w:rPr>
              <w:t xml:space="preserve">; </w:t>
            </w:r>
            <w:r w:rsidRPr="00043CE0">
              <w:rPr>
                <w:rFonts w:ascii="Tahoma" w:hAnsi="Tahoma" w:cs="Tahoma"/>
                <w:b/>
                <w:iCs/>
                <w:color w:val="333333"/>
                <w:sz w:val="14"/>
                <w:szCs w:val="14"/>
                <w:lang w:val="en-US" w:eastAsia="it-IT"/>
              </w:rPr>
              <w:t>ISSN</w:t>
            </w:r>
            <w:r w:rsidRPr="00043CE0">
              <w:rPr>
                <w:rFonts w:ascii="Tahoma" w:hAnsi="Tahoma" w:cs="Tahoma"/>
                <w:iCs/>
                <w:color w:val="333333"/>
                <w:sz w:val="14"/>
                <w:szCs w:val="14"/>
                <w:lang w:val="en-US" w:eastAsia="it-IT"/>
              </w:rPr>
              <w:t xml:space="preserve"> 2283-9216</w:t>
            </w:r>
          </w:p>
        </w:tc>
      </w:tr>
    </w:tbl>
    <w:bookmarkEnd w:id="0"/>
    <w:p w14:paraId="2E667253" w14:textId="3CDF7E4F" w:rsidR="00E978D0" w:rsidRPr="00043CE0" w:rsidRDefault="0002477D" w:rsidP="00E978D0">
      <w:pPr>
        <w:pStyle w:val="CETTitle"/>
        <w:rPr>
          <w:lang w:val="en-US"/>
        </w:rPr>
      </w:pPr>
      <w:r w:rsidRPr="00043CE0">
        <w:rPr>
          <w:lang w:val="en-US"/>
        </w:rPr>
        <w:t>Risks from Hydrogen Carriers</w:t>
      </w:r>
      <w:r w:rsidR="008F07D4">
        <w:rPr>
          <w:lang w:val="en-US"/>
        </w:rPr>
        <w:t xml:space="preserve"> - </w:t>
      </w:r>
      <w:r w:rsidRPr="00043CE0">
        <w:rPr>
          <w:lang w:val="en-US"/>
        </w:rPr>
        <w:t>Safety Characteristics of the LOHC System Toluene/Methylcyclohexane</w:t>
      </w:r>
    </w:p>
    <w:p w14:paraId="0488FED2" w14:textId="4757C65B" w:rsidR="00B57E6F" w:rsidRPr="000A11A7" w:rsidRDefault="0002477D" w:rsidP="00B57E6F">
      <w:pPr>
        <w:pStyle w:val="CETAuthors"/>
        <w:rPr>
          <w:vertAlign w:val="superscript"/>
          <w:lang w:val="de-DE"/>
        </w:rPr>
      </w:pPr>
      <w:r w:rsidRPr="000A11A7">
        <w:rPr>
          <w:lang w:val="de-DE"/>
        </w:rPr>
        <w:t>Stefan H. Spitzer sen.</w:t>
      </w:r>
      <w:r w:rsidR="00B57E6F" w:rsidRPr="000A11A7">
        <w:rPr>
          <w:vertAlign w:val="superscript"/>
          <w:lang w:val="de-DE"/>
        </w:rPr>
        <w:t>a</w:t>
      </w:r>
      <w:r w:rsidRPr="000A11A7">
        <w:rPr>
          <w:vertAlign w:val="superscript"/>
          <w:lang w:val="de-DE"/>
        </w:rPr>
        <w:t>,b</w:t>
      </w:r>
      <w:r w:rsidRPr="000A11A7">
        <w:rPr>
          <w:lang w:val="de-DE"/>
        </w:rPr>
        <w:t>*</w:t>
      </w:r>
      <w:r w:rsidR="00B57E6F" w:rsidRPr="000A11A7">
        <w:rPr>
          <w:lang w:val="de-DE"/>
        </w:rPr>
        <w:t xml:space="preserve">, </w:t>
      </w:r>
      <w:r w:rsidRPr="000A11A7">
        <w:rPr>
          <w:lang w:val="de-DE"/>
        </w:rPr>
        <w:t>Arkan Abed</w:t>
      </w:r>
      <w:r w:rsidRPr="000A11A7">
        <w:rPr>
          <w:vertAlign w:val="superscript"/>
          <w:lang w:val="de-DE"/>
        </w:rPr>
        <w:t>c</w:t>
      </w:r>
      <w:r w:rsidR="00B57E6F" w:rsidRPr="000A11A7">
        <w:rPr>
          <w:lang w:val="de-DE"/>
        </w:rPr>
        <w:t xml:space="preserve">, </w:t>
      </w:r>
      <w:r w:rsidRPr="000A11A7">
        <w:rPr>
          <w:lang w:val="de-DE"/>
        </w:rPr>
        <w:t>Alexander Seifert</w:t>
      </w:r>
      <w:r w:rsidRPr="000A11A7">
        <w:rPr>
          <w:vertAlign w:val="superscript"/>
          <w:lang w:val="de-DE"/>
        </w:rPr>
        <w:t>d</w:t>
      </w:r>
      <w:r w:rsidRPr="000A11A7">
        <w:rPr>
          <w:lang w:val="de-DE"/>
        </w:rPr>
        <w:t>, Ernesto Salzano</w:t>
      </w:r>
      <w:r w:rsidRPr="000A11A7">
        <w:rPr>
          <w:vertAlign w:val="superscript"/>
          <w:lang w:val="de-DE"/>
        </w:rPr>
        <w:t>c</w:t>
      </w:r>
    </w:p>
    <w:p w14:paraId="6B2D21B3" w14:textId="6BD98825" w:rsidR="00B57E6F" w:rsidRPr="000A11A7" w:rsidRDefault="00B57E6F" w:rsidP="00B57E6F">
      <w:pPr>
        <w:pStyle w:val="CETAddress"/>
        <w:rPr>
          <w:lang w:val="de-DE"/>
        </w:rPr>
      </w:pPr>
      <w:r w:rsidRPr="000A11A7">
        <w:rPr>
          <w:vertAlign w:val="superscript"/>
          <w:lang w:val="de-DE"/>
        </w:rPr>
        <w:t>a</w:t>
      </w:r>
      <w:r w:rsidR="0002477D" w:rsidRPr="000A11A7">
        <w:rPr>
          <w:lang w:val="de-DE"/>
        </w:rPr>
        <w:t>EIfI-Tech, Universitätspark 1/1, Schwäbisch-Gmünd, Germany</w:t>
      </w:r>
    </w:p>
    <w:p w14:paraId="3D72B0B0" w14:textId="71CFBD3A" w:rsidR="00B57E6F" w:rsidRPr="000A11A7" w:rsidRDefault="00B57E6F" w:rsidP="00B57E6F">
      <w:pPr>
        <w:pStyle w:val="CETAddress"/>
        <w:rPr>
          <w:lang w:val="de-DE"/>
        </w:rPr>
      </w:pPr>
      <w:r w:rsidRPr="000A11A7">
        <w:rPr>
          <w:vertAlign w:val="superscript"/>
          <w:lang w:val="de-DE"/>
        </w:rPr>
        <w:t>b</w:t>
      </w:r>
      <w:r w:rsidR="00003A2F" w:rsidRPr="000A11A7">
        <w:rPr>
          <w:lang w:val="de-DE"/>
        </w:rPr>
        <w:t>Physikalisch-Technische Bundesanstalt, Bundesallee 100, Braunschweig, Germany</w:t>
      </w:r>
    </w:p>
    <w:p w14:paraId="0E862093" w14:textId="42212F6C" w:rsidR="00003A2F" w:rsidRPr="000A11A7" w:rsidRDefault="00003A2F" w:rsidP="00B57E6F">
      <w:pPr>
        <w:pStyle w:val="CETAddress"/>
        <w:rPr>
          <w:lang w:val="de-DE"/>
        </w:rPr>
      </w:pPr>
      <w:r w:rsidRPr="000A11A7">
        <w:rPr>
          <w:vertAlign w:val="superscript"/>
          <w:lang w:val="de-DE"/>
        </w:rPr>
        <w:t>c</w:t>
      </w:r>
      <w:r w:rsidRPr="000A11A7">
        <w:rPr>
          <w:lang w:val="de-DE"/>
        </w:rPr>
        <w:t xml:space="preserve">University of Bologna, Bologna, Italy </w:t>
      </w:r>
    </w:p>
    <w:p w14:paraId="375F4E57" w14:textId="25FA5713" w:rsidR="0002477D" w:rsidRPr="000A11A7" w:rsidRDefault="00003A2F" w:rsidP="0002477D">
      <w:pPr>
        <w:pStyle w:val="CETAddress"/>
        <w:rPr>
          <w:lang w:val="de-DE"/>
        </w:rPr>
      </w:pPr>
      <w:r w:rsidRPr="000A11A7">
        <w:rPr>
          <w:vertAlign w:val="superscript"/>
          <w:lang w:val="de-DE"/>
        </w:rPr>
        <w:t>d</w:t>
      </w:r>
      <w:r w:rsidRPr="000A11A7">
        <w:rPr>
          <w:lang w:val="de-DE"/>
        </w:rPr>
        <w:t>Bundesanstalt für Materialforschung und -prüfung, Unter den Eichen 87, 12205 Berlin, Germany</w:t>
      </w:r>
    </w:p>
    <w:p w14:paraId="73F1267A" w14:textId="77DFC35B" w:rsidR="00B57E6F" w:rsidRPr="00043CE0" w:rsidRDefault="0002477D" w:rsidP="00B57E6F">
      <w:pPr>
        <w:pStyle w:val="CETemail"/>
        <w:rPr>
          <w:lang w:val="en-US"/>
        </w:rPr>
      </w:pPr>
      <w:r w:rsidRPr="00043CE0">
        <w:rPr>
          <w:lang w:val="en-US"/>
        </w:rPr>
        <w:t>s.spitzer@eifi-tech.eu</w:t>
      </w:r>
    </w:p>
    <w:p w14:paraId="06271184" w14:textId="7CDD53B0" w:rsidR="00003A2F" w:rsidRPr="00043CE0" w:rsidRDefault="00003A2F" w:rsidP="00003A2F">
      <w:pPr>
        <w:pStyle w:val="CETBodytext"/>
      </w:pPr>
      <w:r w:rsidRPr="00043CE0">
        <w:t xml:space="preserve">Reversible </w:t>
      </w:r>
      <w:r w:rsidR="00131B57">
        <w:t>l</w:t>
      </w:r>
      <w:r w:rsidRPr="00043CE0">
        <w:t>iquid organic hydrogen carriers (LOHCs) seem to be a promising solution for the transportation of hydrogen. Since no pressure or cooling needs to be applied during the transport, it is considered easier, safer and cheaper compared to pressurized gas tanks or cryogenic hydrogen on long routes and is already applied in large quantities and long distances.</w:t>
      </w:r>
    </w:p>
    <w:p w14:paraId="23D798C5" w14:textId="5CB9E5C4" w:rsidR="00003A2F" w:rsidRPr="00043CE0" w:rsidRDefault="00003A2F" w:rsidP="00003A2F">
      <w:pPr>
        <w:pStyle w:val="CETBodytext"/>
      </w:pPr>
      <w:r w:rsidRPr="00043CE0">
        <w:t xml:space="preserve">One simple system is methylcyclohexane and toluene. Toluene gets shipped to countries with an excess of (preferably green) energy and is charged with hydrogen to form methylcyclohexane. This is then shipped back to the place with energy and/or hydrogen demand and split into hydrogen and toluene. </w:t>
      </w:r>
    </w:p>
    <w:p w14:paraId="210C90AA" w14:textId="77777777" w:rsidR="00003A2F" w:rsidRPr="00043CE0" w:rsidRDefault="00003A2F" w:rsidP="00003A2F">
      <w:pPr>
        <w:pStyle w:val="CETBodytext"/>
      </w:pPr>
      <w:r w:rsidRPr="00043CE0">
        <w:t xml:space="preserve">For toluene, some safety characteristics are available, whereas methylcyclohexane is loosely analyzed, hence safety characteristics are the basis for an appropriate approach to tackle </w:t>
      </w:r>
      <w:proofErr w:type="gramStart"/>
      <w:r w:rsidRPr="00043CE0">
        <w:t>the hazards</w:t>
      </w:r>
      <w:proofErr w:type="gramEnd"/>
      <w:r w:rsidRPr="00043CE0">
        <w:t xml:space="preserve"> and for the risk assessment.</w:t>
      </w:r>
    </w:p>
    <w:p w14:paraId="681B13B4" w14:textId="72AF0E60" w:rsidR="00003A2F" w:rsidRPr="00043CE0" w:rsidRDefault="00003A2F" w:rsidP="00003A2F">
      <w:pPr>
        <w:pStyle w:val="CETBodytext"/>
      </w:pPr>
      <w:r w:rsidRPr="00043CE0">
        <w:t>This paper focuses on the safety characteristics of both substances, compares the differences and points out the crucial hazards of this system, especially if the same tanks for transportation are used.</w:t>
      </w:r>
    </w:p>
    <w:p w14:paraId="476B2F2E" w14:textId="52B36035" w:rsidR="00600535" w:rsidRPr="00043CE0" w:rsidRDefault="00600535" w:rsidP="00600535">
      <w:pPr>
        <w:pStyle w:val="CETHeading1"/>
      </w:pPr>
      <w:r w:rsidRPr="00043CE0">
        <w:t>Introduction</w:t>
      </w:r>
    </w:p>
    <w:p w14:paraId="41A4063B" w14:textId="2904E92C" w:rsidR="00A172FD" w:rsidRPr="00043CE0" w:rsidRDefault="00A172FD" w:rsidP="00A172FD">
      <w:pPr>
        <w:pStyle w:val="CETBodytext"/>
      </w:pPr>
      <w:r w:rsidRPr="00043CE0">
        <w:t>In recent years the production and storage of hydrogen has been an issue that was targeted in several approaches. Beside metals, ammonia and compressed hydrogen, liquid organic hydrogen carriers</w:t>
      </w:r>
      <w:r w:rsidR="00600535" w:rsidRPr="00043CE0">
        <w:t xml:space="preserve"> </w:t>
      </w:r>
      <w:r w:rsidRPr="00043CE0">
        <w:t>are a prom</w:t>
      </w:r>
      <w:r w:rsidR="00A30A34" w:rsidRPr="00043CE0">
        <w:t>ising solution</w:t>
      </w:r>
      <w:r w:rsidR="008F07D4">
        <w:t xml:space="preserve"> </w:t>
      </w:r>
      <w:r w:rsidR="008F07D4" w:rsidRPr="008F07D4">
        <w:rPr>
          <w:lang w:val="en-GB"/>
        </w:rPr>
        <w:t>(</w:t>
      </w:r>
      <w:proofErr w:type="spellStart"/>
      <w:r w:rsidR="008F07D4" w:rsidRPr="008F07D4">
        <w:rPr>
          <w:lang w:val="en-GB"/>
        </w:rPr>
        <w:t>Dalebrook</w:t>
      </w:r>
      <w:proofErr w:type="spellEnd"/>
      <w:r w:rsidR="008F07D4" w:rsidRPr="008F07D4">
        <w:rPr>
          <w:lang w:val="en-GB"/>
        </w:rPr>
        <w:t xml:space="preserve"> et al., 2013)</w:t>
      </w:r>
      <w:r w:rsidR="00A30A34" w:rsidRPr="00043CE0">
        <w:t xml:space="preserve">. </w:t>
      </w:r>
      <w:r w:rsidR="00657D44">
        <w:t xml:space="preserve">The cost of 1 kg of hydrogen produced by LOHCs calculated to be between 5,5 and 7 US-Dollars and with that comparable to other sources of hydrogen (Zhang et al., 2025). </w:t>
      </w:r>
      <w:r w:rsidR="00A30A34" w:rsidRPr="00043CE0">
        <w:t>Especially the system</w:t>
      </w:r>
      <w:r w:rsidRPr="00043CE0">
        <w:t xml:space="preserve"> methylcyclohexane (MCH, fully saturated with hydrogen or “charged”) and toluene (TOL, aromatic or “uncharged”)</w:t>
      </w:r>
      <w:r w:rsidR="00A30A34" w:rsidRPr="00043CE0">
        <w:t xml:space="preserve"> is easy to obtain since it is a bulk chemical, easily available and has a high storing capacity with 3 hydrogen molecules per molecule (Figure 1).</w:t>
      </w:r>
    </w:p>
    <w:p w14:paraId="3FF94BEA" w14:textId="77777777" w:rsidR="00A172FD" w:rsidRPr="00043CE0" w:rsidRDefault="00A172FD" w:rsidP="00600535">
      <w:pPr>
        <w:pStyle w:val="CETBodytext"/>
      </w:pPr>
    </w:p>
    <w:p w14:paraId="43F8613F" w14:textId="1023E873" w:rsidR="00A172FD" w:rsidRPr="00043CE0" w:rsidRDefault="00A172FD" w:rsidP="00600535">
      <w:pPr>
        <w:pStyle w:val="CETBodytext"/>
      </w:pPr>
      <w:r w:rsidRPr="00043CE0">
        <w:rPr>
          <w:noProof/>
        </w:rPr>
        <w:drawing>
          <wp:inline distT="0" distB="0" distL="0" distR="0" wp14:anchorId="197B2CD5" wp14:editId="2A18C516">
            <wp:extent cx="2880000" cy="491901"/>
            <wp:effectExtent l="0" t="0" r="0" b="3810"/>
            <wp:docPr id="17462120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0000" cy="491901"/>
                    </a:xfrm>
                    <a:prstGeom prst="rect">
                      <a:avLst/>
                    </a:prstGeom>
                    <a:noFill/>
                    <a:ln>
                      <a:noFill/>
                    </a:ln>
                  </pic:spPr>
                </pic:pic>
              </a:graphicData>
            </a:graphic>
          </wp:inline>
        </w:drawing>
      </w:r>
    </w:p>
    <w:p w14:paraId="5874A4F3" w14:textId="34FD928A" w:rsidR="00A172FD" w:rsidRPr="00043CE0" w:rsidRDefault="00A172FD" w:rsidP="00A172FD">
      <w:pPr>
        <w:pStyle w:val="CETCaption"/>
        <w:rPr>
          <w:lang w:val="en-US"/>
        </w:rPr>
      </w:pPr>
      <w:r w:rsidRPr="00043CE0">
        <w:rPr>
          <w:rStyle w:val="CETCaptionCarattere"/>
          <w:i/>
          <w:lang w:val="en-US"/>
        </w:rPr>
        <w:t>Figure 1: Reaction of the hydrogen storage using toluene and methylcyclohexane</w:t>
      </w:r>
      <w:r w:rsidRPr="00043CE0">
        <w:rPr>
          <w:lang w:val="en-US"/>
        </w:rPr>
        <w:t xml:space="preserve"> </w:t>
      </w:r>
    </w:p>
    <w:p w14:paraId="2E7A1556" w14:textId="7CE52769" w:rsidR="00135A80" w:rsidRPr="00043CE0" w:rsidRDefault="00135A80" w:rsidP="00600535">
      <w:pPr>
        <w:pStyle w:val="CETBodytext"/>
      </w:pPr>
      <w:r w:rsidRPr="00043CE0">
        <w:t>MCH and TOL are already shipped between Japan and Brunei (Mitsui</w:t>
      </w:r>
      <w:r w:rsidR="008F07D4">
        <w:t xml:space="preserve"> 2021</w:t>
      </w:r>
      <w:r w:rsidRPr="00043CE0">
        <w:t>), and it is planned to be shipped between Texas and California</w:t>
      </w:r>
      <w:r w:rsidR="008F21BA">
        <w:t xml:space="preserve"> (</w:t>
      </w:r>
      <w:proofErr w:type="spellStart"/>
      <w:r w:rsidR="008F21BA" w:rsidRPr="008F21BA">
        <w:t>Papadias</w:t>
      </w:r>
      <w:proofErr w:type="spellEnd"/>
      <w:r w:rsidR="008F21BA" w:rsidRPr="008F21BA">
        <w:t xml:space="preserve"> and Ahluwalia</w:t>
      </w:r>
      <w:r w:rsidR="008F21BA">
        <w:t>, 2021)</w:t>
      </w:r>
      <w:r w:rsidRPr="00043CE0">
        <w:t xml:space="preserve"> but once established it can be applied to any other </w:t>
      </w:r>
      <w:r w:rsidR="00677080" w:rsidRPr="00043CE0">
        <w:t>country since it can be shipped via road, rail and ship under ambient pressure and temperature</w:t>
      </w:r>
      <w:r w:rsidR="008F07D4">
        <w:t xml:space="preserve"> </w:t>
      </w:r>
      <w:r w:rsidR="008F07D4" w:rsidRPr="008F07D4">
        <w:rPr>
          <w:lang w:val="en-GB"/>
        </w:rPr>
        <w:t>(Carvalho et al., 2021)</w:t>
      </w:r>
      <w:r w:rsidR="00677080" w:rsidRPr="00043CE0">
        <w:t>.</w:t>
      </w:r>
    </w:p>
    <w:p w14:paraId="3C5E9AB2" w14:textId="3D137450" w:rsidR="00872F60" w:rsidRDefault="00677080" w:rsidP="00600535">
      <w:pPr>
        <w:pStyle w:val="CETBodytext"/>
      </w:pPr>
      <w:r w:rsidRPr="00043CE0">
        <w:t>Beside all its promising characteristics, both substances are flammable and can form explosive atm</w:t>
      </w:r>
      <w:r w:rsidR="00131B57">
        <w:t>o</w:t>
      </w:r>
      <w:r w:rsidRPr="00043CE0">
        <w:t>spheres when mixed with air</w:t>
      </w:r>
      <w:r w:rsidR="00B433E6">
        <w:t>:</w:t>
      </w:r>
      <w:r w:rsidRPr="00043CE0">
        <w:t xml:space="preserve"> On the 20</w:t>
      </w:r>
      <w:r w:rsidRPr="00043CE0">
        <w:rPr>
          <w:vertAlign w:val="superscript"/>
        </w:rPr>
        <w:t>th</w:t>
      </w:r>
      <w:r w:rsidRPr="00043CE0">
        <w:t xml:space="preserve"> of October 1999 a ruptured pipe delivering MCH caused an explosion with an estimated loss o</w:t>
      </w:r>
      <w:r w:rsidR="00E31282">
        <w:t>f</w:t>
      </w:r>
      <w:r w:rsidRPr="00043CE0">
        <w:t xml:space="preserve"> 3</w:t>
      </w:r>
      <w:r w:rsidR="00B433E6">
        <w:t>6.5 million US-Dollar</w:t>
      </w:r>
      <w:r w:rsidRPr="00043CE0">
        <w:t xml:space="preserve"> in a plastic production plant in Germany</w:t>
      </w:r>
      <w:r w:rsidR="008F21BA">
        <w:t xml:space="preserve"> (ZEMA 1999)</w:t>
      </w:r>
      <w:r w:rsidRPr="00043CE0">
        <w:t xml:space="preserve">. </w:t>
      </w:r>
    </w:p>
    <w:p w14:paraId="79EF6257" w14:textId="1416784D" w:rsidR="00677080" w:rsidRPr="00043CE0" w:rsidRDefault="00872F60" w:rsidP="00600535">
      <w:pPr>
        <w:pStyle w:val="CETBodytext"/>
      </w:pPr>
      <w:r>
        <w:lastRenderedPageBreak/>
        <w:t xml:space="preserve">Only in Germany </w:t>
      </w:r>
      <w:proofErr w:type="gramStart"/>
      <w:r>
        <w:t>a number of</w:t>
      </w:r>
      <w:proofErr w:type="gramEnd"/>
      <w:r>
        <w:t xml:space="preserve"> 14 accidents that involved toluene occurred over the last 30 years with an overall damage cost of 10 million US-Dollar, one fatality and 21 casualties (ZEMA-Tol).</w:t>
      </w:r>
    </w:p>
    <w:p w14:paraId="5C3B0F1F" w14:textId="2E1CC4FF" w:rsidR="00A172FD" w:rsidRPr="00043CE0" w:rsidRDefault="00B25937" w:rsidP="00600535">
      <w:pPr>
        <w:pStyle w:val="CETBodytext"/>
      </w:pPr>
      <w:r w:rsidRPr="00043CE0">
        <w:t xml:space="preserve">The known characteristics of both substances alone are stated in Table 1. The </w:t>
      </w:r>
      <w:r w:rsidR="00043CE0" w:rsidRPr="00043CE0">
        <w:t xml:space="preserve">upper explosion limit as well as the maximum explosion pressure </w:t>
      </w:r>
      <w:r w:rsidRPr="00043CE0">
        <w:t>of Methylcyclohexane seem not to be determined yet. The maximum rate of pressure rise</w:t>
      </w:r>
      <w:r w:rsidR="00677080" w:rsidRPr="00043CE0">
        <w:t xml:space="preserve"> for both substances</w:t>
      </w:r>
      <w:r w:rsidRPr="00043CE0">
        <w:t xml:space="preserve"> is also not available in the databases.</w:t>
      </w:r>
    </w:p>
    <w:p w14:paraId="37FBBF4B" w14:textId="77777777" w:rsidR="00B25937" w:rsidRPr="00043CE0" w:rsidRDefault="00B25937" w:rsidP="00600535">
      <w:pPr>
        <w:pStyle w:val="CETBodytext"/>
      </w:pPr>
    </w:p>
    <w:p w14:paraId="708D9E52" w14:textId="535FDFDE" w:rsidR="006C2517" w:rsidRPr="00043CE0" w:rsidRDefault="006C2517" w:rsidP="00B25937">
      <w:pPr>
        <w:pStyle w:val="CETnumberingbullets"/>
        <w:numPr>
          <w:ilvl w:val="0"/>
          <w:numId w:val="0"/>
        </w:numPr>
        <w:ind w:left="113"/>
        <w:rPr>
          <w:lang w:val="en-US"/>
        </w:rPr>
      </w:pPr>
      <w:r w:rsidRPr="00043CE0">
        <w:rPr>
          <w:lang w:val="en-US"/>
        </w:rPr>
        <w:t>Table 1: Known characteristics of Toluene and Methylcyclohexane</w:t>
      </w:r>
      <w:r w:rsidR="00962501" w:rsidRPr="00043CE0">
        <w:rPr>
          <w:lang w:val="en-US"/>
        </w:rPr>
        <w:t xml:space="preserve">. If not stated otherwise the values are determined under ambient conditions at 20°C and 1013.25 </w:t>
      </w:r>
      <w:proofErr w:type="spellStart"/>
      <w:r w:rsidR="00962501" w:rsidRPr="00043CE0">
        <w:rPr>
          <w:lang w:val="en-US"/>
        </w:rPr>
        <w:t>hPa</w:t>
      </w:r>
      <w:proofErr w:type="spellEnd"/>
    </w:p>
    <w:tbl>
      <w:tblPr>
        <w:tblW w:w="858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1701"/>
        <w:gridCol w:w="1701"/>
        <w:gridCol w:w="1701"/>
        <w:gridCol w:w="1783"/>
      </w:tblGrid>
      <w:tr w:rsidR="006C2517" w:rsidRPr="00043CE0" w14:paraId="72EFFD14" w14:textId="02422982" w:rsidTr="004A547D">
        <w:tc>
          <w:tcPr>
            <w:tcW w:w="1701" w:type="dxa"/>
            <w:tcBorders>
              <w:top w:val="single" w:sz="12" w:space="0" w:color="008000"/>
              <w:bottom w:val="single" w:sz="6" w:space="0" w:color="008000"/>
            </w:tcBorders>
            <w:shd w:val="clear" w:color="auto" w:fill="FFFFFF"/>
          </w:tcPr>
          <w:p w14:paraId="03FF97A5" w14:textId="7B38FE97" w:rsidR="006C2517" w:rsidRPr="00043CE0" w:rsidRDefault="006C2517" w:rsidP="0057718C">
            <w:pPr>
              <w:pStyle w:val="CETBodytext"/>
              <w:jc w:val="left"/>
            </w:pPr>
            <w:r w:rsidRPr="00043CE0">
              <w:t xml:space="preserve">Safety characteristic </w:t>
            </w:r>
          </w:p>
        </w:tc>
        <w:tc>
          <w:tcPr>
            <w:tcW w:w="1701" w:type="dxa"/>
            <w:tcBorders>
              <w:top w:val="single" w:sz="12" w:space="0" w:color="008000"/>
              <w:bottom w:val="single" w:sz="6" w:space="0" w:color="008000"/>
            </w:tcBorders>
            <w:shd w:val="clear" w:color="auto" w:fill="FFFFFF"/>
          </w:tcPr>
          <w:p w14:paraId="7F693F1F" w14:textId="58CE0FAB" w:rsidR="006C2517" w:rsidRPr="00043CE0" w:rsidRDefault="006C2517" w:rsidP="0057718C">
            <w:pPr>
              <w:pStyle w:val="CETBodytext"/>
              <w:jc w:val="left"/>
            </w:pPr>
            <w:r w:rsidRPr="00043CE0">
              <w:t>Toluene</w:t>
            </w:r>
          </w:p>
        </w:tc>
        <w:tc>
          <w:tcPr>
            <w:tcW w:w="1701" w:type="dxa"/>
            <w:tcBorders>
              <w:top w:val="single" w:sz="12" w:space="0" w:color="008000"/>
              <w:bottom w:val="single" w:sz="6" w:space="0" w:color="008000"/>
            </w:tcBorders>
            <w:shd w:val="clear" w:color="auto" w:fill="FFFFFF"/>
          </w:tcPr>
          <w:p w14:paraId="34BE309C" w14:textId="77777777" w:rsidR="006C2517" w:rsidRPr="00043CE0" w:rsidRDefault="006C2517" w:rsidP="0057718C">
            <w:pPr>
              <w:pStyle w:val="CETBodytext"/>
              <w:jc w:val="left"/>
            </w:pPr>
          </w:p>
        </w:tc>
        <w:tc>
          <w:tcPr>
            <w:tcW w:w="1701" w:type="dxa"/>
            <w:tcBorders>
              <w:top w:val="single" w:sz="12" w:space="0" w:color="008000"/>
              <w:bottom w:val="single" w:sz="6" w:space="0" w:color="008000"/>
            </w:tcBorders>
            <w:shd w:val="clear" w:color="auto" w:fill="FFFFFF"/>
          </w:tcPr>
          <w:p w14:paraId="03A79295" w14:textId="3BE3FF19" w:rsidR="006C2517" w:rsidRPr="00043CE0" w:rsidRDefault="006C2517" w:rsidP="0057718C">
            <w:pPr>
              <w:pStyle w:val="CETBodytext"/>
              <w:jc w:val="left"/>
            </w:pPr>
            <w:r w:rsidRPr="00043CE0">
              <w:t>Methylcyclohexane</w:t>
            </w:r>
          </w:p>
        </w:tc>
        <w:tc>
          <w:tcPr>
            <w:tcW w:w="1783" w:type="dxa"/>
            <w:tcBorders>
              <w:top w:val="single" w:sz="12" w:space="0" w:color="008000"/>
              <w:bottom w:val="single" w:sz="6" w:space="0" w:color="008000"/>
            </w:tcBorders>
            <w:shd w:val="clear" w:color="auto" w:fill="FFFFFF"/>
          </w:tcPr>
          <w:p w14:paraId="3F3F126E" w14:textId="77777777" w:rsidR="006C2517" w:rsidRPr="00043CE0" w:rsidRDefault="006C2517" w:rsidP="0057718C">
            <w:pPr>
              <w:pStyle w:val="CETBodytext"/>
              <w:jc w:val="left"/>
            </w:pPr>
          </w:p>
        </w:tc>
      </w:tr>
      <w:tr w:rsidR="00962501" w:rsidRPr="00043CE0" w14:paraId="3ECC0B45" w14:textId="77777777" w:rsidTr="004A547D">
        <w:tc>
          <w:tcPr>
            <w:tcW w:w="1701" w:type="dxa"/>
            <w:tcBorders>
              <w:top w:val="single" w:sz="12" w:space="0" w:color="008000"/>
              <w:bottom w:val="nil"/>
            </w:tcBorders>
            <w:shd w:val="clear" w:color="auto" w:fill="FFFFFF"/>
          </w:tcPr>
          <w:p w14:paraId="539887AB" w14:textId="7CA63E78" w:rsidR="00962501" w:rsidRPr="00043CE0" w:rsidRDefault="00962501" w:rsidP="0057718C">
            <w:pPr>
              <w:pStyle w:val="CETBodytext"/>
              <w:jc w:val="left"/>
            </w:pPr>
            <w:r w:rsidRPr="00043CE0">
              <w:t>Molar mass</w:t>
            </w:r>
          </w:p>
        </w:tc>
        <w:tc>
          <w:tcPr>
            <w:tcW w:w="1701" w:type="dxa"/>
            <w:tcBorders>
              <w:top w:val="single" w:sz="12" w:space="0" w:color="008000"/>
              <w:bottom w:val="nil"/>
            </w:tcBorders>
            <w:shd w:val="clear" w:color="auto" w:fill="FFFFFF"/>
          </w:tcPr>
          <w:p w14:paraId="1D999380" w14:textId="085DACDE" w:rsidR="00962501" w:rsidRPr="00043CE0" w:rsidRDefault="006104A2" w:rsidP="0057718C">
            <w:pPr>
              <w:pStyle w:val="CETBodytext"/>
              <w:jc w:val="left"/>
            </w:pPr>
            <w:r w:rsidRPr="00043CE0">
              <w:t>92.14 g/mol</w:t>
            </w:r>
          </w:p>
        </w:tc>
        <w:tc>
          <w:tcPr>
            <w:tcW w:w="1701" w:type="dxa"/>
            <w:tcBorders>
              <w:top w:val="single" w:sz="12" w:space="0" w:color="008000"/>
              <w:bottom w:val="nil"/>
            </w:tcBorders>
            <w:shd w:val="clear" w:color="auto" w:fill="FFFFFF"/>
          </w:tcPr>
          <w:p w14:paraId="27BC49F4" w14:textId="57C89F2F" w:rsidR="00962501" w:rsidRPr="00043CE0" w:rsidRDefault="00516FEE" w:rsidP="0057718C">
            <w:pPr>
              <w:pStyle w:val="CETBodytext"/>
              <w:jc w:val="left"/>
            </w:pPr>
            <w:r w:rsidRPr="00043CE0">
              <w:t>-</w:t>
            </w:r>
          </w:p>
        </w:tc>
        <w:tc>
          <w:tcPr>
            <w:tcW w:w="1701" w:type="dxa"/>
            <w:tcBorders>
              <w:top w:val="single" w:sz="12" w:space="0" w:color="008000"/>
              <w:bottom w:val="nil"/>
            </w:tcBorders>
            <w:shd w:val="clear" w:color="auto" w:fill="FFFFFF"/>
          </w:tcPr>
          <w:p w14:paraId="7D6DCECF" w14:textId="54137430" w:rsidR="00962501" w:rsidRPr="00043CE0" w:rsidRDefault="00516FEE" w:rsidP="0057718C">
            <w:pPr>
              <w:pStyle w:val="CETBodytext"/>
              <w:jc w:val="left"/>
            </w:pPr>
            <w:r w:rsidRPr="00043CE0">
              <w:t>98.19 g/mol</w:t>
            </w:r>
          </w:p>
        </w:tc>
        <w:tc>
          <w:tcPr>
            <w:tcW w:w="1783" w:type="dxa"/>
            <w:tcBorders>
              <w:top w:val="single" w:sz="12" w:space="0" w:color="008000"/>
              <w:bottom w:val="nil"/>
            </w:tcBorders>
            <w:shd w:val="clear" w:color="auto" w:fill="FFFFFF"/>
          </w:tcPr>
          <w:p w14:paraId="78A3CBBD" w14:textId="095D25EA" w:rsidR="00962501" w:rsidRPr="00043CE0" w:rsidRDefault="00516FEE" w:rsidP="0057718C">
            <w:pPr>
              <w:pStyle w:val="CETBodytext"/>
              <w:jc w:val="left"/>
            </w:pPr>
            <w:r w:rsidRPr="00043CE0">
              <w:t>-</w:t>
            </w:r>
          </w:p>
        </w:tc>
      </w:tr>
      <w:tr w:rsidR="00B25937" w:rsidRPr="00043CE0" w14:paraId="3084F8A7" w14:textId="71B2D443" w:rsidTr="004A547D">
        <w:tc>
          <w:tcPr>
            <w:tcW w:w="1701" w:type="dxa"/>
            <w:tcBorders>
              <w:top w:val="nil"/>
              <w:bottom w:val="nil"/>
            </w:tcBorders>
            <w:shd w:val="clear" w:color="auto" w:fill="FFFFFF"/>
          </w:tcPr>
          <w:p w14:paraId="7BCCCC11" w14:textId="2297F4E8" w:rsidR="00B25937" w:rsidRPr="00043CE0" w:rsidRDefault="00B25937" w:rsidP="0057718C">
            <w:pPr>
              <w:pStyle w:val="CETBodytext"/>
              <w:jc w:val="left"/>
            </w:pPr>
            <w:r w:rsidRPr="00043CE0">
              <w:t>Boiling point</w:t>
            </w:r>
          </w:p>
        </w:tc>
        <w:tc>
          <w:tcPr>
            <w:tcW w:w="1701" w:type="dxa"/>
            <w:tcBorders>
              <w:top w:val="nil"/>
              <w:bottom w:val="nil"/>
            </w:tcBorders>
            <w:shd w:val="clear" w:color="auto" w:fill="FFFFFF"/>
          </w:tcPr>
          <w:p w14:paraId="7ABDA647" w14:textId="59320037" w:rsidR="00B25937" w:rsidRPr="00043CE0" w:rsidRDefault="00B25937" w:rsidP="0057718C">
            <w:pPr>
              <w:pStyle w:val="CETBodytext"/>
              <w:jc w:val="left"/>
            </w:pPr>
            <w:r w:rsidRPr="00043CE0">
              <w:t>111 °C</w:t>
            </w:r>
          </w:p>
        </w:tc>
        <w:tc>
          <w:tcPr>
            <w:tcW w:w="1701" w:type="dxa"/>
            <w:tcBorders>
              <w:top w:val="nil"/>
              <w:bottom w:val="nil"/>
            </w:tcBorders>
            <w:shd w:val="clear" w:color="auto" w:fill="FFFFFF"/>
          </w:tcPr>
          <w:p w14:paraId="76FA5FAD" w14:textId="76B8AFC2" w:rsidR="00B25937" w:rsidRPr="00043CE0" w:rsidRDefault="00B25937" w:rsidP="0057718C">
            <w:pPr>
              <w:pStyle w:val="CETBodytext"/>
              <w:jc w:val="left"/>
            </w:pPr>
            <w:proofErr w:type="spellStart"/>
            <w:r w:rsidRPr="00043CE0">
              <w:t>Nabert</w:t>
            </w:r>
            <w:proofErr w:type="spellEnd"/>
            <w:r w:rsidRPr="00043CE0">
              <w:t xml:space="preserve"> &amp; Schön (1963)</w:t>
            </w:r>
          </w:p>
        </w:tc>
        <w:tc>
          <w:tcPr>
            <w:tcW w:w="1701" w:type="dxa"/>
            <w:tcBorders>
              <w:top w:val="nil"/>
              <w:bottom w:val="nil"/>
            </w:tcBorders>
            <w:shd w:val="clear" w:color="auto" w:fill="FFFFFF"/>
          </w:tcPr>
          <w:p w14:paraId="58A0E69B" w14:textId="32FD8112" w:rsidR="00B25937" w:rsidRPr="00043CE0" w:rsidRDefault="00B25937" w:rsidP="0057718C">
            <w:pPr>
              <w:pStyle w:val="CETBodytext"/>
              <w:jc w:val="left"/>
            </w:pPr>
            <w:r w:rsidRPr="00043CE0">
              <w:t>101 °C</w:t>
            </w:r>
          </w:p>
        </w:tc>
        <w:tc>
          <w:tcPr>
            <w:tcW w:w="1783" w:type="dxa"/>
            <w:tcBorders>
              <w:top w:val="nil"/>
              <w:bottom w:val="nil"/>
            </w:tcBorders>
            <w:shd w:val="clear" w:color="auto" w:fill="FFFFFF"/>
          </w:tcPr>
          <w:p w14:paraId="7485F810" w14:textId="4011CCB9" w:rsidR="00B25937" w:rsidRPr="00043CE0" w:rsidRDefault="00B25937" w:rsidP="0057718C">
            <w:pPr>
              <w:pStyle w:val="CETBodytext"/>
              <w:jc w:val="left"/>
            </w:pPr>
            <w:proofErr w:type="spellStart"/>
            <w:r w:rsidRPr="00043CE0">
              <w:t>Nabert</w:t>
            </w:r>
            <w:proofErr w:type="spellEnd"/>
            <w:r w:rsidRPr="00043CE0">
              <w:t xml:space="preserve"> &amp; Schön (1963)</w:t>
            </w:r>
          </w:p>
        </w:tc>
      </w:tr>
      <w:tr w:rsidR="00B25937" w:rsidRPr="00043CE0" w14:paraId="089F9AC6" w14:textId="77777777" w:rsidTr="004A547D">
        <w:tc>
          <w:tcPr>
            <w:tcW w:w="1701" w:type="dxa"/>
            <w:tcBorders>
              <w:top w:val="nil"/>
              <w:bottom w:val="nil"/>
            </w:tcBorders>
            <w:shd w:val="clear" w:color="auto" w:fill="FFFFFF"/>
          </w:tcPr>
          <w:p w14:paraId="73445FBE" w14:textId="19E8B360" w:rsidR="00B25937" w:rsidRPr="00043CE0" w:rsidRDefault="00B25937" w:rsidP="0057718C">
            <w:pPr>
              <w:pStyle w:val="CETBodytext"/>
              <w:jc w:val="left"/>
            </w:pPr>
            <w:r w:rsidRPr="00043CE0">
              <w:rPr>
                <w:rFonts w:cs="Arial"/>
                <w:szCs w:val="18"/>
              </w:rPr>
              <w:t>Density</w:t>
            </w:r>
          </w:p>
        </w:tc>
        <w:tc>
          <w:tcPr>
            <w:tcW w:w="1701" w:type="dxa"/>
            <w:tcBorders>
              <w:top w:val="nil"/>
              <w:bottom w:val="nil"/>
            </w:tcBorders>
            <w:shd w:val="clear" w:color="auto" w:fill="FFFFFF"/>
          </w:tcPr>
          <w:p w14:paraId="2119E60D" w14:textId="0F36315C" w:rsidR="00B25937" w:rsidRPr="00043CE0" w:rsidRDefault="00B25937" w:rsidP="0057718C">
            <w:pPr>
              <w:pStyle w:val="CETBodytext"/>
              <w:jc w:val="left"/>
            </w:pPr>
            <w:r w:rsidRPr="00043CE0">
              <w:rPr>
                <w:rFonts w:cs="Arial"/>
                <w:szCs w:val="18"/>
              </w:rPr>
              <w:t>0.87 g/cm³</w:t>
            </w:r>
          </w:p>
        </w:tc>
        <w:tc>
          <w:tcPr>
            <w:tcW w:w="1701" w:type="dxa"/>
            <w:tcBorders>
              <w:top w:val="nil"/>
              <w:bottom w:val="nil"/>
            </w:tcBorders>
            <w:shd w:val="clear" w:color="auto" w:fill="FFFFFF"/>
          </w:tcPr>
          <w:p w14:paraId="799B3518" w14:textId="56E2F1E4" w:rsidR="00B25937" w:rsidRPr="00043CE0" w:rsidRDefault="00B25937" w:rsidP="0057718C">
            <w:pPr>
              <w:pStyle w:val="CETBodytext"/>
              <w:jc w:val="left"/>
            </w:pPr>
            <w:proofErr w:type="spellStart"/>
            <w:r w:rsidRPr="00043CE0">
              <w:t>Nabert</w:t>
            </w:r>
            <w:proofErr w:type="spellEnd"/>
            <w:r w:rsidRPr="00043CE0">
              <w:t xml:space="preserve"> &amp; Schön (1963)</w:t>
            </w:r>
          </w:p>
        </w:tc>
        <w:tc>
          <w:tcPr>
            <w:tcW w:w="1701" w:type="dxa"/>
            <w:tcBorders>
              <w:top w:val="nil"/>
              <w:bottom w:val="nil"/>
            </w:tcBorders>
            <w:shd w:val="clear" w:color="auto" w:fill="FFFFFF"/>
          </w:tcPr>
          <w:p w14:paraId="5250D8A6" w14:textId="284E35F7" w:rsidR="00B25937" w:rsidRPr="00043CE0" w:rsidRDefault="00B25937" w:rsidP="0057718C">
            <w:pPr>
              <w:pStyle w:val="CETBodytext"/>
              <w:jc w:val="left"/>
            </w:pPr>
            <w:r w:rsidRPr="00043CE0">
              <w:t>0.77 g/cm³</w:t>
            </w:r>
          </w:p>
        </w:tc>
        <w:tc>
          <w:tcPr>
            <w:tcW w:w="1783" w:type="dxa"/>
            <w:tcBorders>
              <w:top w:val="nil"/>
              <w:bottom w:val="nil"/>
            </w:tcBorders>
            <w:shd w:val="clear" w:color="auto" w:fill="FFFFFF"/>
          </w:tcPr>
          <w:p w14:paraId="029426C2" w14:textId="21AC3B8C" w:rsidR="00B25937" w:rsidRPr="00043CE0" w:rsidRDefault="00B25937" w:rsidP="0057718C">
            <w:pPr>
              <w:pStyle w:val="CETBodytext"/>
              <w:jc w:val="left"/>
            </w:pPr>
            <w:proofErr w:type="spellStart"/>
            <w:r w:rsidRPr="00043CE0">
              <w:t>Nabert</w:t>
            </w:r>
            <w:proofErr w:type="spellEnd"/>
            <w:r w:rsidRPr="00043CE0">
              <w:t xml:space="preserve"> &amp; Schön (1963)</w:t>
            </w:r>
          </w:p>
        </w:tc>
      </w:tr>
      <w:tr w:rsidR="00B25937" w:rsidRPr="00043CE0" w14:paraId="477780BF" w14:textId="77777777" w:rsidTr="004A547D">
        <w:tc>
          <w:tcPr>
            <w:tcW w:w="1701" w:type="dxa"/>
            <w:tcBorders>
              <w:top w:val="nil"/>
              <w:bottom w:val="nil"/>
            </w:tcBorders>
            <w:shd w:val="clear" w:color="auto" w:fill="FFFFFF"/>
          </w:tcPr>
          <w:p w14:paraId="55DEF80E" w14:textId="3E08A0F8" w:rsidR="00B25937" w:rsidRPr="00043CE0" w:rsidRDefault="00B25937" w:rsidP="0057718C">
            <w:pPr>
              <w:pStyle w:val="CETBodytext"/>
              <w:jc w:val="left"/>
            </w:pPr>
            <w:r w:rsidRPr="00043CE0">
              <w:t>Vapor pressure</w:t>
            </w:r>
          </w:p>
        </w:tc>
        <w:tc>
          <w:tcPr>
            <w:tcW w:w="1701" w:type="dxa"/>
            <w:tcBorders>
              <w:top w:val="nil"/>
              <w:bottom w:val="nil"/>
            </w:tcBorders>
            <w:shd w:val="clear" w:color="auto" w:fill="FFFFFF"/>
          </w:tcPr>
          <w:p w14:paraId="65DF089A" w14:textId="2BD39194" w:rsidR="00B25937" w:rsidRPr="00043CE0" w:rsidRDefault="00B25937" w:rsidP="0057718C">
            <w:pPr>
              <w:pStyle w:val="CETBodytext"/>
              <w:jc w:val="left"/>
            </w:pPr>
            <w:r w:rsidRPr="00043CE0">
              <w:t xml:space="preserve">29.1 </w:t>
            </w:r>
            <w:proofErr w:type="spellStart"/>
            <w:r w:rsidRPr="00043CE0">
              <w:t>hPa</w:t>
            </w:r>
            <w:proofErr w:type="spellEnd"/>
          </w:p>
        </w:tc>
        <w:tc>
          <w:tcPr>
            <w:tcW w:w="1701" w:type="dxa"/>
            <w:tcBorders>
              <w:top w:val="nil"/>
              <w:bottom w:val="nil"/>
            </w:tcBorders>
            <w:shd w:val="clear" w:color="auto" w:fill="FFFFFF"/>
          </w:tcPr>
          <w:p w14:paraId="3859DBC8" w14:textId="385E044F" w:rsidR="00B25937" w:rsidRPr="00043CE0" w:rsidRDefault="00B25937" w:rsidP="0057718C">
            <w:pPr>
              <w:pStyle w:val="CETBodytext"/>
              <w:jc w:val="left"/>
            </w:pPr>
            <w:r w:rsidRPr="00043CE0">
              <w:t>DGUV-Tol</w:t>
            </w:r>
          </w:p>
        </w:tc>
        <w:tc>
          <w:tcPr>
            <w:tcW w:w="1701" w:type="dxa"/>
            <w:tcBorders>
              <w:top w:val="nil"/>
              <w:bottom w:val="nil"/>
            </w:tcBorders>
            <w:shd w:val="clear" w:color="auto" w:fill="FFFFFF"/>
          </w:tcPr>
          <w:p w14:paraId="6A514758" w14:textId="7CF17C9E" w:rsidR="00B25937" w:rsidRPr="00043CE0" w:rsidRDefault="00B25937" w:rsidP="0057718C">
            <w:pPr>
              <w:pStyle w:val="CETBodytext"/>
              <w:jc w:val="left"/>
            </w:pPr>
            <w:r w:rsidRPr="00043CE0">
              <w:t xml:space="preserve">48.3 </w:t>
            </w:r>
            <w:proofErr w:type="spellStart"/>
            <w:r w:rsidRPr="00043CE0">
              <w:t>hPa</w:t>
            </w:r>
            <w:proofErr w:type="spellEnd"/>
          </w:p>
        </w:tc>
        <w:tc>
          <w:tcPr>
            <w:tcW w:w="1783" w:type="dxa"/>
            <w:tcBorders>
              <w:top w:val="nil"/>
              <w:bottom w:val="nil"/>
            </w:tcBorders>
            <w:shd w:val="clear" w:color="auto" w:fill="FFFFFF"/>
          </w:tcPr>
          <w:p w14:paraId="4B2AE3F1" w14:textId="39E7C906" w:rsidR="00B25937" w:rsidRPr="00043CE0" w:rsidRDefault="00B25937" w:rsidP="0057718C">
            <w:pPr>
              <w:pStyle w:val="CETBodytext"/>
              <w:jc w:val="left"/>
            </w:pPr>
            <w:r w:rsidRPr="00043CE0">
              <w:t>DGUV-MCH</w:t>
            </w:r>
          </w:p>
        </w:tc>
      </w:tr>
      <w:tr w:rsidR="0057718C" w:rsidRPr="00043CE0" w14:paraId="29395279" w14:textId="77777777" w:rsidTr="004A547D">
        <w:tc>
          <w:tcPr>
            <w:tcW w:w="1701" w:type="dxa"/>
            <w:tcBorders>
              <w:top w:val="nil"/>
              <w:bottom w:val="nil"/>
            </w:tcBorders>
            <w:shd w:val="clear" w:color="auto" w:fill="FFFFFF"/>
          </w:tcPr>
          <w:p w14:paraId="58019978" w14:textId="6417DF32" w:rsidR="0057718C" w:rsidRPr="00043CE0" w:rsidRDefault="0057718C" w:rsidP="0057718C">
            <w:pPr>
              <w:pStyle w:val="CETBodytext"/>
              <w:jc w:val="left"/>
            </w:pPr>
            <w:r w:rsidRPr="0057718C">
              <w:t>Gravimetric hydrogen capacity</w:t>
            </w:r>
          </w:p>
        </w:tc>
        <w:tc>
          <w:tcPr>
            <w:tcW w:w="1701" w:type="dxa"/>
            <w:tcBorders>
              <w:top w:val="nil"/>
              <w:bottom w:val="nil"/>
            </w:tcBorders>
            <w:shd w:val="clear" w:color="auto" w:fill="FFFFFF"/>
          </w:tcPr>
          <w:p w14:paraId="5069705A" w14:textId="02DA6798" w:rsidR="0057718C" w:rsidRPr="00043CE0" w:rsidRDefault="0057718C" w:rsidP="0057718C">
            <w:pPr>
              <w:pStyle w:val="CETBodytext"/>
              <w:jc w:val="left"/>
            </w:pPr>
            <w:r>
              <w:t>-</w:t>
            </w:r>
          </w:p>
        </w:tc>
        <w:tc>
          <w:tcPr>
            <w:tcW w:w="1701" w:type="dxa"/>
            <w:tcBorders>
              <w:top w:val="nil"/>
              <w:bottom w:val="nil"/>
            </w:tcBorders>
            <w:shd w:val="clear" w:color="auto" w:fill="FFFFFF"/>
          </w:tcPr>
          <w:p w14:paraId="78080BC7" w14:textId="77777777" w:rsidR="0057718C" w:rsidRPr="00043CE0" w:rsidRDefault="0057718C" w:rsidP="0057718C">
            <w:pPr>
              <w:pStyle w:val="CETBodytext"/>
              <w:jc w:val="left"/>
            </w:pPr>
          </w:p>
        </w:tc>
        <w:tc>
          <w:tcPr>
            <w:tcW w:w="1701" w:type="dxa"/>
            <w:tcBorders>
              <w:top w:val="nil"/>
              <w:bottom w:val="nil"/>
            </w:tcBorders>
            <w:shd w:val="clear" w:color="auto" w:fill="FFFFFF"/>
          </w:tcPr>
          <w:p w14:paraId="67B8BE63" w14:textId="0B46C059" w:rsidR="0057718C" w:rsidRPr="00043CE0" w:rsidRDefault="0057718C" w:rsidP="0057718C">
            <w:pPr>
              <w:pStyle w:val="CETBodytext"/>
              <w:jc w:val="left"/>
            </w:pPr>
            <w:r>
              <w:t xml:space="preserve">7.2 </w:t>
            </w:r>
            <w:proofErr w:type="spellStart"/>
            <w:r>
              <w:t>wt</w:t>
            </w:r>
            <w:proofErr w:type="spellEnd"/>
            <w:r>
              <w:t>%</w:t>
            </w:r>
          </w:p>
        </w:tc>
        <w:tc>
          <w:tcPr>
            <w:tcW w:w="1783" w:type="dxa"/>
            <w:tcBorders>
              <w:top w:val="nil"/>
              <w:bottom w:val="nil"/>
            </w:tcBorders>
            <w:shd w:val="clear" w:color="auto" w:fill="FFFFFF"/>
          </w:tcPr>
          <w:p w14:paraId="356CC7CA" w14:textId="0B29C744" w:rsidR="0057718C" w:rsidRPr="00043CE0" w:rsidRDefault="0057718C" w:rsidP="0057718C">
            <w:pPr>
              <w:pStyle w:val="CETBodytext"/>
              <w:jc w:val="left"/>
            </w:pPr>
            <w:r>
              <w:t>Hoecke et al., 2021</w:t>
            </w:r>
          </w:p>
        </w:tc>
      </w:tr>
      <w:tr w:rsidR="0057718C" w:rsidRPr="00043CE0" w14:paraId="29FE47C6" w14:textId="77777777" w:rsidTr="004A547D">
        <w:tc>
          <w:tcPr>
            <w:tcW w:w="1701" w:type="dxa"/>
            <w:tcBorders>
              <w:top w:val="nil"/>
              <w:bottom w:val="nil"/>
            </w:tcBorders>
            <w:shd w:val="clear" w:color="auto" w:fill="FFFFFF"/>
          </w:tcPr>
          <w:p w14:paraId="25FFF195" w14:textId="467EBCBC" w:rsidR="0057718C" w:rsidRPr="0057718C" w:rsidRDefault="0057718C" w:rsidP="0057718C">
            <w:pPr>
              <w:pStyle w:val="CETBodytext"/>
              <w:jc w:val="left"/>
            </w:pPr>
            <w:r w:rsidRPr="0057718C">
              <w:t>Volumetric hydrogen capacity</w:t>
            </w:r>
          </w:p>
        </w:tc>
        <w:tc>
          <w:tcPr>
            <w:tcW w:w="1701" w:type="dxa"/>
            <w:tcBorders>
              <w:top w:val="nil"/>
              <w:bottom w:val="nil"/>
            </w:tcBorders>
            <w:shd w:val="clear" w:color="auto" w:fill="FFFFFF"/>
          </w:tcPr>
          <w:p w14:paraId="66E39C05" w14:textId="071B4241" w:rsidR="0057718C" w:rsidRDefault="0057718C" w:rsidP="0057718C">
            <w:pPr>
              <w:pStyle w:val="CETBodytext"/>
              <w:jc w:val="left"/>
            </w:pPr>
            <w:r>
              <w:t>-</w:t>
            </w:r>
          </w:p>
        </w:tc>
        <w:tc>
          <w:tcPr>
            <w:tcW w:w="1701" w:type="dxa"/>
            <w:tcBorders>
              <w:top w:val="nil"/>
              <w:bottom w:val="nil"/>
            </w:tcBorders>
            <w:shd w:val="clear" w:color="auto" w:fill="FFFFFF"/>
          </w:tcPr>
          <w:p w14:paraId="44E5632D" w14:textId="77777777" w:rsidR="0057718C" w:rsidRPr="00043CE0" w:rsidRDefault="0057718C" w:rsidP="0057718C">
            <w:pPr>
              <w:pStyle w:val="CETBodytext"/>
              <w:jc w:val="left"/>
            </w:pPr>
          </w:p>
        </w:tc>
        <w:tc>
          <w:tcPr>
            <w:tcW w:w="1701" w:type="dxa"/>
            <w:tcBorders>
              <w:top w:val="nil"/>
              <w:bottom w:val="nil"/>
            </w:tcBorders>
            <w:shd w:val="clear" w:color="auto" w:fill="FFFFFF"/>
          </w:tcPr>
          <w:p w14:paraId="2F1A9CC0" w14:textId="674339E8" w:rsidR="0057718C" w:rsidRDefault="0057718C" w:rsidP="0057718C">
            <w:pPr>
              <w:pStyle w:val="CETBodytext"/>
              <w:jc w:val="left"/>
            </w:pPr>
            <w:r>
              <w:t>55.44 g/L</w:t>
            </w:r>
          </w:p>
        </w:tc>
        <w:tc>
          <w:tcPr>
            <w:tcW w:w="1783" w:type="dxa"/>
            <w:tcBorders>
              <w:top w:val="nil"/>
              <w:bottom w:val="nil"/>
            </w:tcBorders>
            <w:shd w:val="clear" w:color="auto" w:fill="FFFFFF"/>
          </w:tcPr>
          <w:p w14:paraId="2AFC3EB4" w14:textId="363434E9" w:rsidR="0057718C" w:rsidRDefault="0057718C" w:rsidP="0057718C">
            <w:pPr>
              <w:pStyle w:val="CETBodytext"/>
              <w:jc w:val="left"/>
            </w:pPr>
            <w:r>
              <w:t>Hoecke et al., 2021</w:t>
            </w:r>
          </w:p>
        </w:tc>
      </w:tr>
      <w:tr w:rsidR="00531A09" w:rsidRPr="00043CE0" w14:paraId="51B4A134" w14:textId="77777777" w:rsidTr="004A547D">
        <w:tc>
          <w:tcPr>
            <w:tcW w:w="1701" w:type="dxa"/>
            <w:tcBorders>
              <w:top w:val="nil"/>
              <w:bottom w:val="nil"/>
            </w:tcBorders>
            <w:shd w:val="clear" w:color="auto" w:fill="FFFFFF"/>
          </w:tcPr>
          <w:p w14:paraId="2F152250" w14:textId="79D224F4" w:rsidR="00531A09" w:rsidRPr="0057718C" w:rsidRDefault="00531A09" w:rsidP="0057718C">
            <w:pPr>
              <w:pStyle w:val="CETBodytext"/>
              <w:jc w:val="left"/>
            </w:pPr>
            <w:r>
              <w:t>Flash Point</w:t>
            </w:r>
          </w:p>
        </w:tc>
        <w:tc>
          <w:tcPr>
            <w:tcW w:w="1701" w:type="dxa"/>
            <w:tcBorders>
              <w:top w:val="nil"/>
              <w:bottom w:val="nil"/>
            </w:tcBorders>
            <w:shd w:val="clear" w:color="auto" w:fill="FFFFFF"/>
          </w:tcPr>
          <w:p w14:paraId="58D21F38" w14:textId="14C8123E" w:rsidR="00531A09" w:rsidRDefault="00531A09" w:rsidP="0057718C">
            <w:pPr>
              <w:pStyle w:val="CETBodytext"/>
              <w:jc w:val="left"/>
            </w:pPr>
            <w:r>
              <w:t>4 °C</w:t>
            </w:r>
          </w:p>
        </w:tc>
        <w:tc>
          <w:tcPr>
            <w:tcW w:w="1701" w:type="dxa"/>
            <w:tcBorders>
              <w:top w:val="nil"/>
              <w:bottom w:val="nil"/>
            </w:tcBorders>
            <w:shd w:val="clear" w:color="auto" w:fill="FFFFFF"/>
          </w:tcPr>
          <w:p w14:paraId="10047E1D" w14:textId="375FF8B0" w:rsidR="00531A09" w:rsidRPr="00043CE0" w:rsidRDefault="00531A09" w:rsidP="0057718C">
            <w:pPr>
              <w:pStyle w:val="CETBodytext"/>
              <w:jc w:val="left"/>
            </w:pPr>
            <w:r>
              <w:t>Hoecke et al., 2021</w:t>
            </w:r>
          </w:p>
        </w:tc>
        <w:tc>
          <w:tcPr>
            <w:tcW w:w="1701" w:type="dxa"/>
            <w:tcBorders>
              <w:top w:val="nil"/>
              <w:bottom w:val="nil"/>
            </w:tcBorders>
            <w:shd w:val="clear" w:color="auto" w:fill="FFFFFF"/>
          </w:tcPr>
          <w:p w14:paraId="1766DF0D" w14:textId="364A7F68" w:rsidR="00531A09" w:rsidRDefault="00531A09" w:rsidP="0057718C">
            <w:pPr>
              <w:pStyle w:val="CETBodytext"/>
              <w:jc w:val="left"/>
            </w:pPr>
            <w:r>
              <w:t>-4 °C</w:t>
            </w:r>
          </w:p>
        </w:tc>
        <w:tc>
          <w:tcPr>
            <w:tcW w:w="1783" w:type="dxa"/>
            <w:tcBorders>
              <w:top w:val="nil"/>
              <w:bottom w:val="nil"/>
            </w:tcBorders>
            <w:shd w:val="clear" w:color="auto" w:fill="FFFFFF"/>
          </w:tcPr>
          <w:p w14:paraId="6087B842" w14:textId="77D43DFE" w:rsidR="00531A09" w:rsidRDefault="00531A09" w:rsidP="0057718C">
            <w:pPr>
              <w:pStyle w:val="CETBodytext"/>
              <w:jc w:val="left"/>
            </w:pPr>
            <w:r>
              <w:t>Hoecke et al., 2021</w:t>
            </w:r>
          </w:p>
        </w:tc>
      </w:tr>
      <w:tr w:rsidR="00B25937" w:rsidRPr="00043CE0" w14:paraId="6F584466" w14:textId="77777777" w:rsidTr="004A547D">
        <w:tc>
          <w:tcPr>
            <w:tcW w:w="1701" w:type="dxa"/>
            <w:tcBorders>
              <w:top w:val="nil"/>
              <w:bottom w:val="nil"/>
            </w:tcBorders>
            <w:shd w:val="clear" w:color="auto" w:fill="FFFFFF"/>
          </w:tcPr>
          <w:p w14:paraId="2ECA585F" w14:textId="660F9826" w:rsidR="00B25937" w:rsidRPr="00043CE0" w:rsidRDefault="00B25937" w:rsidP="0057718C">
            <w:pPr>
              <w:pStyle w:val="CETBodytext"/>
              <w:jc w:val="left"/>
            </w:pPr>
            <w:r w:rsidRPr="00043CE0">
              <w:t>Lower Explosion Limit</w:t>
            </w:r>
          </w:p>
        </w:tc>
        <w:tc>
          <w:tcPr>
            <w:tcW w:w="1701" w:type="dxa"/>
            <w:tcBorders>
              <w:top w:val="nil"/>
              <w:bottom w:val="nil"/>
            </w:tcBorders>
            <w:shd w:val="clear" w:color="auto" w:fill="FFFFFF"/>
          </w:tcPr>
          <w:p w14:paraId="23AD103A" w14:textId="6ED842F1" w:rsidR="00B25937" w:rsidRPr="00043CE0" w:rsidRDefault="00B25937" w:rsidP="0057718C">
            <w:pPr>
              <w:pStyle w:val="CETBodytext"/>
              <w:jc w:val="left"/>
            </w:pPr>
            <w:r w:rsidRPr="00043CE0">
              <w:t>1 vol%</w:t>
            </w:r>
          </w:p>
        </w:tc>
        <w:tc>
          <w:tcPr>
            <w:tcW w:w="1701" w:type="dxa"/>
            <w:tcBorders>
              <w:top w:val="nil"/>
              <w:bottom w:val="nil"/>
            </w:tcBorders>
            <w:shd w:val="clear" w:color="auto" w:fill="FFFFFF"/>
          </w:tcPr>
          <w:p w14:paraId="41544122" w14:textId="0C530C1F" w:rsidR="00B25937" w:rsidRPr="00043CE0" w:rsidRDefault="00B25937" w:rsidP="0057718C">
            <w:pPr>
              <w:pStyle w:val="CETBodytext"/>
              <w:jc w:val="left"/>
            </w:pPr>
            <w:r w:rsidRPr="00043CE0">
              <w:t>PTB (2003)</w:t>
            </w:r>
          </w:p>
        </w:tc>
        <w:tc>
          <w:tcPr>
            <w:tcW w:w="1701" w:type="dxa"/>
            <w:tcBorders>
              <w:top w:val="nil"/>
              <w:bottom w:val="nil"/>
            </w:tcBorders>
            <w:shd w:val="clear" w:color="auto" w:fill="FFFFFF"/>
          </w:tcPr>
          <w:p w14:paraId="58539ACE" w14:textId="549E8E86" w:rsidR="00B25937" w:rsidRPr="00043CE0" w:rsidRDefault="00B25937" w:rsidP="0057718C">
            <w:pPr>
              <w:pStyle w:val="CETBodytext"/>
              <w:jc w:val="left"/>
            </w:pPr>
            <w:r w:rsidRPr="00043CE0">
              <w:t>1.1 Vol% ± 10 %</w:t>
            </w:r>
          </w:p>
        </w:tc>
        <w:tc>
          <w:tcPr>
            <w:tcW w:w="1783" w:type="dxa"/>
            <w:tcBorders>
              <w:top w:val="nil"/>
              <w:bottom w:val="nil"/>
            </w:tcBorders>
            <w:shd w:val="clear" w:color="auto" w:fill="FFFFFF"/>
          </w:tcPr>
          <w:p w14:paraId="1A66A86E" w14:textId="232E9504" w:rsidR="00B25937" w:rsidRPr="00043CE0" w:rsidRDefault="00B25937" w:rsidP="0057718C">
            <w:pPr>
              <w:pStyle w:val="CETBodytext"/>
              <w:jc w:val="left"/>
            </w:pPr>
            <w:proofErr w:type="spellStart"/>
            <w:r w:rsidRPr="00043CE0">
              <w:t>Nabert</w:t>
            </w:r>
            <w:proofErr w:type="spellEnd"/>
            <w:r w:rsidRPr="00043CE0">
              <w:t xml:space="preserve"> &amp; Schön (1963)</w:t>
            </w:r>
          </w:p>
        </w:tc>
      </w:tr>
      <w:tr w:rsidR="00B25937" w:rsidRPr="00043CE0" w14:paraId="73E0F365" w14:textId="77777777" w:rsidTr="004A547D">
        <w:tc>
          <w:tcPr>
            <w:tcW w:w="1701" w:type="dxa"/>
            <w:tcBorders>
              <w:top w:val="nil"/>
              <w:bottom w:val="nil"/>
            </w:tcBorders>
            <w:shd w:val="clear" w:color="auto" w:fill="FFFFFF"/>
          </w:tcPr>
          <w:p w14:paraId="4C16BECE" w14:textId="1081421F" w:rsidR="00B25937" w:rsidRPr="00043CE0" w:rsidRDefault="00B25937" w:rsidP="0057718C">
            <w:pPr>
              <w:pStyle w:val="CETBodytext"/>
              <w:jc w:val="left"/>
            </w:pPr>
            <w:r w:rsidRPr="00043CE0">
              <w:rPr>
                <w:rFonts w:cs="Arial"/>
                <w:szCs w:val="18"/>
              </w:rPr>
              <w:t>Upper Explosion Limit</w:t>
            </w:r>
          </w:p>
        </w:tc>
        <w:tc>
          <w:tcPr>
            <w:tcW w:w="1701" w:type="dxa"/>
            <w:tcBorders>
              <w:top w:val="nil"/>
              <w:bottom w:val="nil"/>
            </w:tcBorders>
            <w:shd w:val="clear" w:color="auto" w:fill="FFFFFF"/>
          </w:tcPr>
          <w:p w14:paraId="1FA2D1DC" w14:textId="5B9695DB" w:rsidR="00B25937" w:rsidRPr="00043CE0" w:rsidRDefault="00B25937" w:rsidP="0057718C">
            <w:pPr>
              <w:pStyle w:val="CETBodytext"/>
              <w:jc w:val="left"/>
            </w:pPr>
            <w:r w:rsidRPr="00043CE0">
              <w:t>7.8 Vol% ± 5 %</w:t>
            </w:r>
          </w:p>
        </w:tc>
        <w:tc>
          <w:tcPr>
            <w:tcW w:w="1701" w:type="dxa"/>
            <w:tcBorders>
              <w:top w:val="nil"/>
              <w:bottom w:val="nil"/>
            </w:tcBorders>
            <w:shd w:val="clear" w:color="auto" w:fill="FFFFFF"/>
          </w:tcPr>
          <w:p w14:paraId="4459A36A" w14:textId="649116DD" w:rsidR="00B25937" w:rsidRPr="00043CE0" w:rsidRDefault="00B25937" w:rsidP="0057718C">
            <w:pPr>
              <w:pStyle w:val="CETBodytext"/>
              <w:jc w:val="left"/>
            </w:pPr>
            <w:proofErr w:type="spellStart"/>
            <w:r w:rsidRPr="00043CE0">
              <w:t>Nabert</w:t>
            </w:r>
            <w:proofErr w:type="spellEnd"/>
            <w:r w:rsidRPr="00043CE0">
              <w:t xml:space="preserve"> &amp; Schön (1963)</w:t>
            </w:r>
          </w:p>
        </w:tc>
        <w:tc>
          <w:tcPr>
            <w:tcW w:w="1701" w:type="dxa"/>
            <w:tcBorders>
              <w:top w:val="nil"/>
              <w:bottom w:val="nil"/>
            </w:tcBorders>
            <w:shd w:val="clear" w:color="auto" w:fill="FFFFFF"/>
          </w:tcPr>
          <w:p w14:paraId="3DDEDFB7" w14:textId="3B702F5C" w:rsidR="00B25937" w:rsidRPr="00043CE0" w:rsidRDefault="00B25937" w:rsidP="0057718C">
            <w:pPr>
              <w:pStyle w:val="CETBodytext"/>
              <w:jc w:val="left"/>
            </w:pPr>
            <w:r w:rsidRPr="00043CE0">
              <w:t xml:space="preserve">n. </w:t>
            </w:r>
            <w:r w:rsidR="00043CE0" w:rsidRPr="00043CE0">
              <w:t>d</w:t>
            </w:r>
            <w:r w:rsidRPr="00043CE0">
              <w:t>.</w:t>
            </w:r>
          </w:p>
        </w:tc>
        <w:tc>
          <w:tcPr>
            <w:tcW w:w="1783" w:type="dxa"/>
            <w:tcBorders>
              <w:top w:val="nil"/>
              <w:bottom w:val="nil"/>
            </w:tcBorders>
            <w:shd w:val="clear" w:color="auto" w:fill="FFFFFF"/>
          </w:tcPr>
          <w:p w14:paraId="2A3950E4" w14:textId="320AF344" w:rsidR="00B25937" w:rsidRPr="00043CE0" w:rsidRDefault="00B25937" w:rsidP="0057718C">
            <w:pPr>
              <w:pStyle w:val="CETBodytext"/>
              <w:jc w:val="left"/>
            </w:pPr>
            <w:r w:rsidRPr="00043CE0">
              <w:t>-</w:t>
            </w:r>
          </w:p>
        </w:tc>
      </w:tr>
      <w:tr w:rsidR="00B25937" w:rsidRPr="00043CE0" w14:paraId="64539AF4" w14:textId="77777777" w:rsidTr="004A547D">
        <w:tc>
          <w:tcPr>
            <w:tcW w:w="1701" w:type="dxa"/>
            <w:tcBorders>
              <w:top w:val="nil"/>
              <w:bottom w:val="nil"/>
            </w:tcBorders>
            <w:shd w:val="clear" w:color="auto" w:fill="FFFFFF"/>
          </w:tcPr>
          <w:p w14:paraId="598FE0E7" w14:textId="047C45C2" w:rsidR="00B25937" w:rsidRPr="00043CE0" w:rsidRDefault="00B25937" w:rsidP="0057718C">
            <w:pPr>
              <w:pStyle w:val="CETBodytext"/>
              <w:jc w:val="left"/>
            </w:pPr>
            <w:r w:rsidRPr="00043CE0">
              <w:t>Maximum experimental safe gap</w:t>
            </w:r>
          </w:p>
        </w:tc>
        <w:tc>
          <w:tcPr>
            <w:tcW w:w="1701" w:type="dxa"/>
            <w:tcBorders>
              <w:top w:val="nil"/>
              <w:bottom w:val="nil"/>
            </w:tcBorders>
            <w:shd w:val="clear" w:color="auto" w:fill="FFFFFF"/>
          </w:tcPr>
          <w:p w14:paraId="7FB3DCA0" w14:textId="29564666" w:rsidR="00B25937" w:rsidRPr="00043CE0" w:rsidRDefault="00B25937" w:rsidP="0057718C">
            <w:pPr>
              <w:pStyle w:val="CETBodytext"/>
              <w:jc w:val="left"/>
            </w:pPr>
            <w:r w:rsidRPr="00043CE0">
              <w:t>1.02</w:t>
            </w:r>
            <w:r w:rsidR="001B062A">
              <w:t xml:space="preserve"> mm</w:t>
            </w:r>
          </w:p>
        </w:tc>
        <w:tc>
          <w:tcPr>
            <w:tcW w:w="1701" w:type="dxa"/>
            <w:tcBorders>
              <w:top w:val="nil"/>
              <w:bottom w:val="nil"/>
            </w:tcBorders>
            <w:shd w:val="clear" w:color="auto" w:fill="FFFFFF"/>
          </w:tcPr>
          <w:p w14:paraId="3223D6BE" w14:textId="7696EC56" w:rsidR="00B25937" w:rsidRPr="00043CE0" w:rsidRDefault="00B25937" w:rsidP="0057718C">
            <w:pPr>
              <w:pStyle w:val="CETBodytext"/>
              <w:jc w:val="left"/>
            </w:pPr>
            <w:r w:rsidRPr="00043CE0">
              <w:t>PTB (2023)</w:t>
            </w:r>
          </w:p>
        </w:tc>
        <w:tc>
          <w:tcPr>
            <w:tcW w:w="1701" w:type="dxa"/>
            <w:tcBorders>
              <w:top w:val="nil"/>
              <w:bottom w:val="nil"/>
            </w:tcBorders>
            <w:shd w:val="clear" w:color="auto" w:fill="FFFFFF"/>
          </w:tcPr>
          <w:p w14:paraId="23F2112A" w14:textId="5DC4C30B" w:rsidR="00B25937" w:rsidRPr="00043CE0" w:rsidRDefault="00B25937" w:rsidP="0057718C">
            <w:pPr>
              <w:pStyle w:val="CETBodytext"/>
              <w:jc w:val="left"/>
            </w:pPr>
            <w:r w:rsidRPr="00043CE0">
              <w:t>0.93 mm</w:t>
            </w:r>
          </w:p>
        </w:tc>
        <w:tc>
          <w:tcPr>
            <w:tcW w:w="1783" w:type="dxa"/>
            <w:tcBorders>
              <w:top w:val="nil"/>
              <w:bottom w:val="nil"/>
            </w:tcBorders>
            <w:shd w:val="clear" w:color="auto" w:fill="FFFFFF"/>
          </w:tcPr>
          <w:p w14:paraId="18893F71" w14:textId="0845CBD7" w:rsidR="00B25937" w:rsidRPr="00043CE0" w:rsidRDefault="00B25937" w:rsidP="0057718C">
            <w:pPr>
              <w:pStyle w:val="CETBodytext"/>
              <w:jc w:val="left"/>
            </w:pPr>
            <w:r w:rsidRPr="00043CE0">
              <w:t>PTB (2023)</w:t>
            </w:r>
          </w:p>
        </w:tc>
      </w:tr>
      <w:tr w:rsidR="00B25937" w:rsidRPr="00043CE0" w14:paraId="77875733" w14:textId="77777777" w:rsidTr="004A547D">
        <w:tc>
          <w:tcPr>
            <w:tcW w:w="1701" w:type="dxa"/>
            <w:tcBorders>
              <w:top w:val="nil"/>
              <w:bottom w:val="nil"/>
            </w:tcBorders>
            <w:shd w:val="clear" w:color="auto" w:fill="FFFFFF"/>
          </w:tcPr>
          <w:p w14:paraId="39E4AB30" w14:textId="62C21953" w:rsidR="00B25937" w:rsidRPr="00043CE0" w:rsidRDefault="00B25937" w:rsidP="0057718C">
            <w:pPr>
              <w:pStyle w:val="CETBodytext"/>
              <w:jc w:val="left"/>
            </w:pPr>
            <w:r w:rsidRPr="00043CE0">
              <w:t>Maximum explosion pressure</w:t>
            </w:r>
          </w:p>
        </w:tc>
        <w:tc>
          <w:tcPr>
            <w:tcW w:w="1701" w:type="dxa"/>
            <w:tcBorders>
              <w:top w:val="nil"/>
              <w:bottom w:val="nil"/>
            </w:tcBorders>
            <w:shd w:val="clear" w:color="auto" w:fill="FFFFFF"/>
          </w:tcPr>
          <w:p w14:paraId="1488251C" w14:textId="096749C2" w:rsidR="00B25937" w:rsidRPr="00043CE0" w:rsidRDefault="00B25937" w:rsidP="0057718C">
            <w:pPr>
              <w:pStyle w:val="CETBodytext"/>
              <w:jc w:val="left"/>
            </w:pPr>
            <w:r w:rsidRPr="00043CE0">
              <w:t>7.7 bar</w:t>
            </w:r>
            <w:r w:rsidR="004A547D">
              <w:t xml:space="preserve"> (=6.7 bar g)</w:t>
            </w:r>
          </w:p>
        </w:tc>
        <w:tc>
          <w:tcPr>
            <w:tcW w:w="1701" w:type="dxa"/>
            <w:tcBorders>
              <w:top w:val="nil"/>
              <w:bottom w:val="nil"/>
            </w:tcBorders>
            <w:shd w:val="clear" w:color="auto" w:fill="FFFFFF"/>
          </w:tcPr>
          <w:p w14:paraId="46046063" w14:textId="2EB4590A" w:rsidR="00B25937" w:rsidRPr="00043CE0" w:rsidRDefault="00B25937" w:rsidP="0057718C">
            <w:pPr>
              <w:pStyle w:val="CETBodytext"/>
              <w:jc w:val="left"/>
            </w:pPr>
            <w:proofErr w:type="spellStart"/>
            <w:r w:rsidRPr="00043CE0">
              <w:t>Nabert</w:t>
            </w:r>
            <w:proofErr w:type="spellEnd"/>
            <w:r w:rsidRPr="00043CE0">
              <w:t xml:space="preserve"> &amp; Schön (1963)</w:t>
            </w:r>
          </w:p>
        </w:tc>
        <w:tc>
          <w:tcPr>
            <w:tcW w:w="1701" w:type="dxa"/>
            <w:tcBorders>
              <w:top w:val="nil"/>
              <w:bottom w:val="nil"/>
            </w:tcBorders>
            <w:shd w:val="clear" w:color="auto" w:fill="FFFFFF"/>
          </w:tcPr>
          <w:p w14:paraId="30F29F2A" w14:textId="40997B40" w:rsidR="00B25937" w:rsidRPr="00043CE0" w:rsidRDefault="00B25937" w:rsidP="0057718C">
            <w:pPr>
              <w:pStyle w:val="CETBodytext"/>
              <w:jc w:val="left"/>
            </w:pPr>
            <w:r w:rsidRPr="00043CE0">
              <w:t>n. d.</w:t>
            </w:r>
          </w:p>
        </w:tc>
        <w:tc>
          <w:tcPr>
            <w:tcW w:w="1783" w:type="dxa"/>
            <w:tcBorders>
              <w:top w:val="nil"/>
              <w:bottom w:val="nil"/>
            </w:tcBorders>
            <w:shd w:val="clear" w:color="auto" w:fill="FFFFFF"/>
          </w:tcPr>
          <w:p w14:paraId="66D0E8FE" w14:textId="5B1A1932" w:rsidR="00B25937" w:rsidRPr="00043CE0" w:rsidRDefault="00B25937" w:rsidP="0057718C">
            <w:pPr>
              <w:pStyle w:val="CETBodytext"/>
              <w:jc w:val="left"/>
            </w:pPr>
            <w:r w:rsidRPr="00043CE0">
              <w:t>-</w:t>
            </w:r>
          </w:p>
        </w:tc>
      </w:tr>
      <w:tr w:rsidR="00B25937" w:rsidRPr="00043CE0" w14:paraId="01C0B3EE" w14:textId="528A630A" w:rsidTr="004A547D">
        <w:tc>
          <w:tcPr>
            <w:tcW w:w="1701" w:type="dxa"/>
            <w:tcBorders>
              <w:top w:val="nil"/>
            </w:tcBorders>
            <w:shd w:val="clear" w:color="auto" w:fill="FFFFFF"/>
          </w:tcPr>
          <w:p w14:paraId="7843E8FE" w14:textId="3981FAC5" w:rsidR="00B25937" w:rsidRPr="00043CE0" w:rsidRDefault="00B25937" w:rsidP="0057718C">
            <w:pPr>
              <w:pStyle w:val="CETBodytext"/>
              <w:ind w:right="-1"/>
              <w:jc w:val="left"/>
              <w:rPr>
                <w:rFonts w:cs="Arial"/>
                <w:szCs w:val="18"/>
              </w:rPr>
            </w:pPr>
            <w:r w:rsidRPr="00043CE0">
              <w:rPr>
                <w:rFonts w:cs="Arial"/>
                <w:szCs w:val="18"/>
              </w:rPr>
              <w:t>Stoichiometry with air</w:t>
            </w:r>
          </w:p>
        </w:tc>
        <w:tc>
          <w:tcPr>
            <w:tcW w:w="1701" w:type="dxa"/>
            <w:tcBorders>
              <w:top w:val="nil"/>
            </w:tcBorders>
            <w:shd w:val="clear" w:color="auto" w:fill="FFFFFF"/>
          </w:tcPr>
          <w:p w14:paraId="604E5FAB" w14:textId="0135BB4F" w:rsidR="00B25937" w:rsidRPr="00043CE0" w:rsidRDefault="00B25937" w:rsidP="0057718C">
            <w:pPr>
              <w:pStyle w:val="CETBodytext"/>
              <w:ind w:right="-1"/>
              <w:jc w:val="left"/>
              <w:rPr>
                <w:rFonts w:cs="Arial"/>
                <w:szCs w:val="18"/>
              </w:rPr>
            </w:pPr>
            <w:r w:rsidRPr="00043CE0">
              <w:rPr>
                <w:rFonts w:cs="Arial"/>
                <w:szCs w:val="18"/>
              </w:rPr>
              <w:t>2.3 mol%</w:t>
            </w:r>
          </w:p>
        </w:tc>
        <w:tc>
          <w:tcPr>
            <w:tcW w:w="1701" w:type="dxa"/>
            <w:tcBorders>
              <w:top w:val="nil"/>
            </w:tcBorders>
            <w:shd w:val="clear" w:color="auto" w:fill="FFFFFF"/>
          </w:tcPr>
          <w:p w14:paraId="6465E577" w14:textId="6679B425" w:rsidR="00B25937" w:rsidRPr="00043CE0" w:rsidRDefault="00B25937" w:rsidP="0057718C">
            <w:pPr>
              <w:pStyle w:val="CETBodytext"/>
              <w:ind w:right="-1"/>
              <w:jc w:val="left"/>
              <w:rPr>
                <w:rFonts w:cs="Arial"/>
                <w:szCs w:val="18"/>
              </w:rPr>
            </w:pPr>
            <w:r w:rsidRPr="00043CE0">
              <w:rPr>
                <w:rFonts w:cs="Arial"/>
                <w:szCs w:val="18"/>
              </w:rPr>
              <w:t>PTB (2005)</w:t>
            </w:r>
          </w:p>
        </w:tc>
        <w:tc>
          <w:tcPr>
            <w:tcW w:w="1701" w:type="dxa"/>
            <w:tcBorders>
              <w:top w:val="nil"/>
            </w:tcBorders>
            <w:shd w:val="clear" w:color="auto" w:fill="FFFFFF"/>
          </w:tcPr>
          <w:p w14:paraId="39B905A7" w14:textId="0FF0CC49" w:rsidR="00B25937" w:rsidRPr="00043CE0" w:rsidRDefault="00B25937" w:rsidP="0057718C">
            <w:pPr>
              <w:pStyle w:val="CETBodytext"/>
              <w:ind w:right="-1"/>
              <w:jc w:val="left"/>
              <w:rPr>
                <w:rFonts w:cs="Arial"/>
                <w:szCs w:val="18"/>
              </w:rPr>
            </w:pPr>
            <w:r w:rsidRPr="00043CE0">
              <w:rPr>
                <w:rFonts w:cs="Arial"/>
                <w:szCs w:val="18"/>
              </w:rPr>
              <w:t>2 mol%</w:t>
            </w:r>
          </w:p>
        </w:tc>
        <w:tc>
          <w:tcPr>
            <w:tcW w:w="1783" w:type="dxa"/>
            <w:tcBorders>
              <w:top w:val="nil"/>
            </w:tcBorders>
            <w:shd w:val="clear" w:color="auto" w:fill="FFFFFF"/>
          </w:tcPr>
          <w:p w14:paraId="22065FC2" w14:textId="50B39CA1" w:rsidR="00B25937" w:rsidRPr="00043CE0" w:rsidRDefault="00B25937" w:rsidP="0057718C">
            <w:pPr>
              <w:pStyle w:val="CETBodytext"/>
              <w:ind w:right="-1"/>
              <w:jc w:val="left"/>
              <w:rPr>
                <w:rFonts w:cs="Arial"/>
                <w:szCs w:val="18"/>
              </w:rPr>
            </w:pPr>
            <w:r w:rsidRPr="00043CE0">
              <w:rPr>
                <w:rFonts w:cs="Arial"/>
                <w:szCs w:val="18"/>
              </w:rPr>
              <w:t>PTB (2005)</w:t>
            </w:r>
          </w:p>
        </w:tc>
      </w:tr>
    </w:tbl>
    <w:p w14:paraId="3773CD09" w14:textId="77777777" w:rsidR="006C2517" w:rsidRPr="00043CE0" w:rsidRDefault="006C2517" w:rsidP="006C2517">
      <w:pPr>
        <w:pStyle w:val="CETListbullets"/>
        <w:ind w:left="0" w:firstLine="0"/>
        <w:rPr>
          <w:lang w:val="en-US"/>
        </w:rPr>
      </w:pPr>
    </w:p>
    <w:p w14:paraId="4E3AACCA" w14:textId="19FD918E" w:rsidR="003B0448" w:rsidRPr="00043CE0" w:rsidRDefault="0013098E" w:rsidP="0013098E">
      <w:pPr>
        <w:pStyle w:val="CETBodytext"/>
      </w:pPr>
      <w:r w:rsidRPr="00043CE0">
        <w:t>Tsai et al. (2023) recently investigated the maximum explosion pressure of toluene-methylcyclohexane mixtures with the admixture of hydrogen. However, since the mixing process was not verified before (liquid injection from a pressurized container) and because the investigation w</w:t>
      </w:r>
      <w:r w:rsidR="00531A09">
        <w:t>as</w:t>
      </w:r>
      <w:r w:rsidRPr="00043CE0">
        <w:t xml:space="preserve"> performed under non-standard turbulent conditions</w:t>
      </w:r>
      <w:r w:rsidR="00531A09">
        <w:t>,</w:t>
      </w:r>
      <w:r w:rsidRPr="00043CE0">
        <w:t xml:space="preserve"> the</w:t>
      </w:r>
      <w:r w:rsidR="003B0448" w:rsidRPr="00043CE0">
        <w:t xml:space="preserve"> data shall be handled with care before </w:t>
      </w:r>
      <w:r w:rsidR="006211F6" w:rsidRPr="00043CE0">
        <w:t>applying to industrial facilities</w:t>
      </w:r>
      <w:r w:rsidR="00043CE0" w:rsidRPr="00043CE0">
        <w:t xml:space="preserve"> since turbulence affects all safety characteristics </w:t>
      </w:r>
      <w:r w:rsidR="00531A09" w:rsidRPr="00043CE0">
        <w:t>significantly</w:t>
      </w:r>
      <w:r w:rsidR="003B0448" w:rsidRPr="00043CE0">
        <w:t>.</w:t>
      </w:r>
    </w:p>
    <w:p w14:paraId="5741900F" w14:textId="5DC86FAF" w:rsidR="00453E24" w:rsidRPr="00043CE0" w:rsidRDefault="00A30A34" w:rsidP="00453E24">
      <w:pPr>
        <w:pStyle w:val="CETHeading1"/>
      </w:pPr>
      <w:r w:rsidRPr="00043CE0">
        <w:t>Materials and Methods</w:t>
      </w:r>
    </w:p>
    <w:p w14:paraId="7A4BB3DC" w14:textId="5AE84F14" w:rsidR="00A30A34" w:rsidRPr="00043CE0" w:rsidRDefault="00A30A34" w:rsidP="00453E24">
      <w:pPr>
        <w:pStyle w:val="CETBodytext"/>
      </w:pPr>
      <w:r w:rsidRPr="00043CE0">
        <w:t>Methylcyclohexane and Toluene with a purity</w:t>
      </w:r>
      <w:r w:rsidR="006C2517" w:rsidRPr="00043CE0">
        <w:t xml:space="preserve"> of </w:t>
      </w:r>
      <w:r w:rsidR="00131B57">
        <w:t>at least 99</w:t>
      </w:r>
      <w:r w:rsidR="006C2517" w:rsidRPr="00043CE0">
        <w:t xml:space="preserve"> % were </w:t>
      </w:r>
      <w:r w:rsidR="000D32C1">
        <w:t>used.</w:t>
      </w:r>
    </w:p>
    <w:p w14:paraId="44CC0D8B" w14:textId="77777777" w:rsidR="00A30A34" w:rsidRPr="00043CE0" w:rsidRDefault="00A30A34" w:rsidP="00453E24">
      <w:pPr>
        <w:pStyle w:val="CETBodytext"/>
      </w:pPr>
    </w:p>
    <w:p w14:paraId="5557A4A0" w14:textId="57B991E4" w:rsidR="00A30A34" w:rsidRDefault="00B36E47" w:rsidP="00453E24">
      <w:pPr>
        <w:pStyle w:val="CETBodytext"/>
      </w:pPr>
      <w:r w:rsidRPr="00043CE0">
        <w:t xml:space="preserve">The safety characteristics were determined in a metallic 20L-sphere with a </w:t>
      </w:r>
      <w:r w:rsidR="00131B57">
        <w:t xml:space="preserve">temperature-controlled </w:t>
      </w:r>
      <w:r w:rsidRPr="00043CE0">
        <w:t xml:space="preserve">water jacket. On the bottom of the sphere a fan was installed to ensure </w:t>
      </w:r>
      <w:r w:rsidR="00131B57">
        <w:t xml:space="preserve">uniform </w:t>
      </w:r>
      <w:r w:rsidRPr="00043CE0">
        <w:t>mixing</w:t>
      </w:r>
      <w:r w:rsidR="006C2517" w:rsidRPr="00043CE0">
        <w:t xml:space="preserve"> of the vapor</w:t>
      </w:r>
      <w:r w:rsidR="00131B57">
        <w:t xml:space="preserve"> with </w:t>
      </w:r>
      <w:r w:rsidR="006C2517" w:rsidRPr="00043CE0">
        <w:t>air</w:t>
      </w:r>
      <w:r w:rsidR="00131B57">
        <w:t>. The sphere was evacuated</w:t>
      </w:r>
      <w:r w:rsidR="009D5EE8">
        <w:t xml:space="preserve"> </w:t>
      </w:r>
      <w:proofErr w:type="gramStart"/>
      <w:r w:rsidR="009D5EE8">
        <w:t>trough</w:t>
      </w:r>
      <w:proofErr w:type="gramEnd"/>
      <w:r w:rsidR="009D5EE8">
        <w:t xml:space="preserve"> </w:t>
      </w:r>
      <w:r w:rsidR="00531A09">
        <w:t xml:space="preserve">valve </w:t>
      </w:r>
      <w:r w:rsidR="009D5EE8">
        <w:t>V2</w:t>
      </w:r>
      <w:r w:rsidR="00531A09">
        <w:t xml:space="preserve"> and vacuum pump P1</w:t>
      </w:r>
      <w:r w:rsidR="00131B57">
        <w:t>, valve</w:t>
      </w:r>
      <w:r w:rsidR="009D5EE8">
        <w:t xml:space="preserve"> V1</w:t>
      </w:r>
      <w:r w:rsidR="00131B57">
        <w:t xml:space="preserve"> was</w:t>
      </w:r>
      <w:r w:rsidR="009D5EE8">
        <w:t xml:space="preserve"> then</w:t>
      </w:r>
      <w:r w:rsidR="00131B57">
        <w:t xml:space="preserve"> opened to inject the liquid from a syringe and then it was filled with air until equilibrium with the outside pressure. The fan was then </w:t>
      </w:r>
      <w:r w:rsidR="000D32C1">
        <w:t>stopped,</w:t>
      </w:r>
      <w:r w:rsidR="00131B57">
        <w:t xml:space="preserve"> and the mixture was left to settle for at least 180 seconds according to EN 1839 and EN 15967</w:t>
      </w:r>
      <w:r w:rsidR="009D5EE8">
        <w:t xml:space="preserve"> (see Figure 2)</w:t>
      </w:r>
      <w:r w:rsidR="00131B57">
        <w:t>. As ignition source</w:t>
      </w:r>
      <w:r w:rsidR="00F6284D">
        <w:t>,</w:t>
      </w:r>
      <w:r w:rsidR="00131B57">
        <w:t xml:space="preserve"> an exploding wire with an energy between 10 J and 20 J was placed in the center of the sphere. After activation of the ignition source the pressure was recorded </w:t>
      </w:r>
      <w:r w:rsidR="00F6284D">
        <w:t>with two piezo-electric pressure sensors</w:t>
      </w:r>
      <w:r w:rsidR="00531A09">
        <w:t xml:space="preserve"> (PR400 and PR500)</w:t>
      </w:r>
      <w:r w:rsidR="00F6284D">
        <w:t xml:space="preserve"> and a measurement frequency of 5 </w:t>
      </w:r>
      <w:proofErr w:type="gramStart"/>
      <w:r w:rsidR="00F6284D">
        <w:t xml:space="preserve">kHz, </w:t>
      </w:r>
      <w:r w:rsidR="00131B57">
        <w:t>and</w:t>
      </w:r>
      <w:proofErr w:type="gramEnd"/>
      <w:r w:rsidR="00131B57">
        <w:t xml:space="preserve"> analyzed.</w:t>
      </w:r>
      <w:r w:rsidR="00531A09">
        <w:t xml:space="preserve"> An additional piezoresistive pressure sensor was also installed to ensure the beginning pressure to be around 1013 mbar and to validate the explosion pressure (PI 800).</w:t>
      </w:r>
    </w:p>
    <w:p w14:paraId="08364068" w14:textId="77777777" w:rsidR="00531A09" w:rsidRDefault="00531A09" w:rsidP="00453E24">
      <w:pPr>
        <w:pStyle w:val="CETBodytext"/>
      </w:pPr>
    </w:p>
    <w:p w14:paraId="6592EB97" w14:textId="245FF704" w:rsidR="00531A09" w:rsidRPr="00043CE0" w:rsidRDefault="00531A09" w:rsidP="00453E24">
      <w:pPr>
        <w:pStyle w:val="CETBodytext"/>
      </w:pPr>
      <w:r>
        <w:t>At the concentration with the highest recorded values the tests were repeated five times, around it the tests were repeated</w:t>
      </w:r>
      <w:r w:rsidR="00FF2F40">
        <w:t xml:space="preserve"> at least three times.</w:t>
      </w:r>
    </w:p>
    <w:p w14:paraId="7BCBECE1" w14:textId="62CEE4A2" w:rsidR="00A30A34" w:rsidRDefault="00531A09" w:rsidP="00453E24">
      <w:pPr>
        <w:pStyle w:val="CETBodytext"/>
      </w:pPr>
      <w:r>
        <w:rPr>
          <w:noProof/>
        </w:rPr>
        <w:lastRenderedPageBreak/>
        <w:drawing>
          <wp:inline distT="0" distB="0" distL="0" distR="0" wp14:anchorId="5F13CF03" wp14:editId="49AB8B22">
            <wp:extent cx="2880000" cy="1699135"/>
            <wp:effectExtent l="0" t="0" r="0" b="0"/>
            <wp:docPr id="4693140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0000" cy="1699135"/>
                    </a:xfrm>
                    <a:prstGeom prst="rect">
                      <a:avLst/>
                    </a:prstGeom>
                    <a:noFill/>
                    <a:ln>
                      <a:noFill/>
                    </a:ln>
                  </pic:spPr>
                </pic:pic>
              </a:graphicData>
            </a:graphic>
          </wp:inline>
        </w:drawing>
      </w:r>
    </w:p>
    <w:p w14:paraId="693C9389" w14:textId="4089B9AC" w:rsidR="009D5EE8" w:rsidRPr="00043CE0" w:rsidRDefault="009D5EE8" w:rsidP="009D5EE8">
      <w:pPr>
        <w:pStyle w:val="CETCaption"/>
        <w:rPr>
          <w:lang w:val="en-US"/>
        </w:rPr>
      </w:pPr>
      <w:r w:rsidRPr="00043CE0">
        <w:rPr>
          <w:rStyle w:val="CETCaptionCarattere"/>
          <w:i/>
          <w:lang w:val="en-US"/>
        </w:rPr>
        <w:t xml:space="preserve">Figure </w:t>
      </w:r>
      <w:r>
        <w:rPr>
          <w:rStyle w:val="CETCaptionCarattere"/>
          <w:i/>
          <w:lang w:val="en-US"/>
        </w:rPr>
        <w:t>2</w:t>
      </w:r>
      <w:r w:rsidRPr="00043CE0">
        <w:rPr>
          <w:rStyle w:val="CETCaptionCarattere"/>
          <w:i/>
          <w:lang w:val="en-US"/>
        </w:rPr>
        <w:t xml:space="preserve">: </w:t>
      </w:r>
      <w:r>
        <w:rPr>
          <w:rStyle w:val="CETCaptionCarattere"/>
          <w:i/>
          <w:lang w:val="en-US"/>
        </w:rPr>
        <w:t>Schematic of the test vessel with all pressure sensors and connections</w:t>
      </w:r>
    </w:p>
    <w:p w14:paraId="677EBFF0" w14:textId="512D1431" w:rsidR="00600535" w:rsidRPr="00043CE0" w:rsidRDefault="00B36E47" w:rsidP="00600535">
      <w:pPr>
        <w:pStyle w:val="CETHeading1"/>
        <w:tabs>
          <w:tab w:val="clear" w:pos="360"/>
          <w:tab w:val="right" w:pos="7100"/>
        </w:tabs>
        <w:jc w:val="both"/>
      </w:pPr>
      <w:r w:rsidRPr="00043CE0">
        <w:t>Results and Discussions</w:t>
      </w:r>
    </w:p>
    <w:p w14:paraId="14EC0992" w14:textId="685CD893" w:rsidR="00043CE0" w:rsidRPr="00043CE0" w:rsidRDefault="00043CE0" w:rsidP="00043CE0">
      <w:pPr>
        <w:pStyle w:val="CETBodytext"/>
      </w:pPr>
      <w:r w:rsidRPr="00043CE0">
        <w:t xml:space="preserve">The explosion overpressures of both tested substances can be seen in Figure </w:t>
      </w:r>
      <w:r w:rsidR="009D5EE8">
        <w:t>3</w:t>
      </w:r>
      <w:r w:rsidRPr="00043CE0">
        <w:t>.</w:t>
      </w:r>
    </w:p>
    <w:p w14:paraId="57A54F2E" w14:textId="56D67A0B" w:rsidR="00DF18C4" w:rsidRPr="00DF18C4" w:rsidRDefault="00DF18C4" w:rsidP="00DF18C4">
      <w:pPr>
        <w:pStyle w:val="CETBodytext"/>
        <w:rPr>
          <w:lang w:val="de-DE"/>
        </w:rPr>
      </w:pPr>
      <w:r w:rsidRPr="00DF18C4">
        <w:rPr>
          <w:noProof/>
          <w:lang w:val="de-DE"/>
        </w:rPr>
        <w:drawing>
          <wp:inline distT="0" distB="0" distL="0" distR="0" wp14:anchorId="660136EF" wp14:editId="53BB2171">
            <wp:extent cx="2880000" cy="2719769"/>
            <wp:effectExtent l="0" t="0" r="0" b="4445"/>
            <wp:docPr id="801582314" name="Grafik 4"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582314" name="Grafik 4" descr="Ein Bild, das Text, Screenshot, Schrift, Zahl enthält.&#10;&#10;Automatisch generierte Beschreibung"/>
                    <pic:cNvPicPr>
                      <a:picLocks noChangeAspect="1" noChangeArrowheads="1"/>
                    </pic:cNvPicPr>
                  </pic:nvPicPr>
                  <pic:blipFill rotWithShape="1">
                    <a:blip r:embed="rId12">
                      <a:extLst>
                        <a:ext uri="{28A0092B-C50C-407E-A947-70E740481C1C}">
                          <a14:useLocalDpi xmlns:a14="http://schemas.microsoft.com/office/drawing/2010/main" val="0"/>
                        </a:ext>
                      </a:extLst>
                    </a:blip>
                    <a:srcRect l="1764" r="6275"/>
                    <a:stretch/>
                  </pic:blipFill>
                  <pic:spPr bwMode="auto">
                    <a:xfrm>
                      <a:off x="0" y="0"/>
                      <a:ext cx="2880000" cy="2719769"/>
                    </a:xfrm>
                    <a:prstGeom prst="rect">
                      <a:avLst/>
                    </a:prstGeom>
                    <a:noFill/>
                    <a:ln>
                      <a:noFill/>
                    </a:ln>
                    <a:extLst>
                      <a:ext uri="{53640926-AAD7-44D8-BBD7-CCE9431645EC}">
                        <a14:shadowObscured xmlns:a14="http://schemas.microsoft.com/office/drawing/2010/main"/>
                      </a:ext>
                    </a:extLst>
                  </pic:spPr>
                </pic:pic>
              </a:graphicData>
            </a:graphic>
          </wp:inline>
        </w:drawing>
      </w:r>
    </w:p>
    <w:p w14:paraId="014E0381" w14:textId="4C3446C7" w:rsidR="00043CE0" w:rsidRPr="00043CE0" w:rsidRDefault="00043CE0" w:rsidP="00043CE0">
      <w:pPr>
        <w:pStyle w:val="CETCaption"/>
        <w:rPr>
          <w:lang w:val="en-US"/>
        </w:rPr>
      </w:pPr>
      <w:r w:rsidRPr="00043CE0">
        <w:rPr>
          <w:rStyle w:val="CETCaptionCarattere"/>
          <w:i/>
          <w:lang w:val="en-US"/>
        </w:rPr>
        <w:t xml:space="preserve">Figure </w:t>
      </w:r>
      <w:r w:rsidR="009D5EE8">
        <w:rPr>
          <w:rStyle w:val="CETCaptionCarattere"/>
          <w:i/>
          <w:lang w:val="en-US"/>
        </w:rPr>
        <w:t>3</w:t>
      </w:r>
      <w:r w:rsidRPr="00043CE0">
        <w:rPr>
          <w:rStyle w:val="CETCaptionCarattere"/>
          <w:i/>
          <w:lang w:val="en-US"/>
        </w:rPr>
        <w:t xml:space="preserve">: </w:t>
      </w:r>
      <w:r>
        <w:rPr>
          <w:rStyle w:val="CETCaptionCarattere"/>
          <w:i/>
          <w:lang w:val="en-US"/>
        </w:rPr>
        <w:t>Explosion pressure of methylcyclohexane and toluene</w:t>
      </w:r>
    </w:p>
    <w:p w14:paraId="701C7A63" w14:textId="6A22D305" w:rsidR="00DF18C4" w:rsidRDefault="00043CE0" w:rsidP="00043CE0">
      <w:pPr>
        <w:pStyle w:val="CETBodytext"/>
      </w:pPr>
      <w:r>
        <w:t xml:space="preserve">The explosion pressure of methylcyclohexane follows the “usual” behavior of gases with a steep rise above the lower explosion limit is </w:t>
      </w:r>
      <w:r w:rsidRPr="003A28BE">
        <w:t>exceeded and then a decline once the maximum is reached.</w:t>
      </w:r>
      <w:r w:rsidR="00DF18C4">
        <w:t xml:space="preserve"> </w:t>
      </w:r>
      <w:r w:rsidR="00E262D1">
        <w:t>However, a</w:t>
      </w:r>
      <w:r w:rsidR="00DF18C4">
        <w:t>bove 231 g/m³ (6ml) the explosion pressure began to rise a bit, and a lot of soot was found after each test.</w:t>
      </w:r>
      <w:r w:rsidRPr="003A28BE">
        <w:t xml:space="preserve"> </w:t>
      </w:r>
      <w:r w:rsidR="00DF18C4">
        <w:t xml:space="preserve">This </w:t>
      </w:r>
      <w:proofErr w:type="gramStart"/>
      <w:r w:rsidR="00DF18C4">
        <w:t>means,</w:t>
      </w:r>
      <w:proofErr w:type="gramEnd"/>
      <w:r w:rsidR="00DF18C4">
        <w:t xml:space="preserve"> that the reaction might have taken another pa</w:t>
      </w:r>
      <w:r w:rsidR="00431BA9">
        <w:t>th not only reacting to CO2 and H2O</w:t>
      </w:r>
      <w:r w:rsidR="00DF18C4">
        <w:t xml:space="preserve"> this way. </w:t>
      </w:r>
      <w:r w:rsidR="00E262D1">
        <w:t xml:space="preserve">This also </w:t>
      </w:r>
      <w:proofErr w:type="gramStart"/>
      <w:r w:rsidR="00E262D1">
        <w:t>means,</w:t>
      </w:r>
      <w:proofErr w:type="gramEnd"/>
      <w:r w:rsidR="00E262D1">
        <w:t xml:space="preserve"> that it does not have an upper explosion limit under ambient conditions.</w:t>
      </w:r>
    </w:p>
    <w:p w14:paraId="281FAE45" w14:textId="77777777" w:rsidR="00DF18C4" w:rsidRDefault="00DF18C4" w:rsidP="00043CE0">
      <w:pPr>
        <w:pStyle w:val="CETBodytext"/>
      </w:pPr>
    </w:p>
    <w:p w14:paraId="64188451" w14:textId="526B3FB4" w:rsidR="00E262D1" w:rsidRDefault="00043CE0" w:rsidP="00043CE0">
      <w:pPr>
        <w:pStyle w:val="CETBodytext"/>
      </w:pPr>
      <w:r w:rsidRPr="003A28BE">
        <w:t xml:space="preserve">The behavior of toluene is different since it stays at the maximum of 8.5 bar g once it </w:t>
      </w:r>
      <w:proofErr w:type="gramStart"/>
      <w:r w:rsidRPr="003A28BE">
        <w:t>reached</w:t>
      </w:r>
      <w:proofErr w:type="gramEnd"/>
      <w:r w:rsidRPr="003A28BE">
        <w:t xml:space="preserve"> that maximum. The reason for that is, that the vapor pressure is with 29,1 </w:t>
      </w:r>
      <w:proofErr w:type="spellStart"/>
      <w:r w:rsidRPr="003A28BE">
        <w:t>hPa</w:t>
      </w:r>
      <w:proofErr w:type="spellEnd"/>
      <w:r w:rsidRPr="003A28BE">
        <w:t xml:space="preserve"> (</w:t>
      </w:r>
      <w:r w:rsidR="003A28BE" w:rsidRPr="003A28BE">
        <w:rPr>
          <w:rFonts w:ascii="Cambria Math" w:hAnsi="Cambria Math" w:cs="Cambria Math"/>
        </w:rPr>
        <w:t>≙</w:t>
      </w:r>
      <w:r w:rsidR="003A28BE" w:rsidRPr="003A28BE">
        <w:t xml:space="preserve"> 2,9 % </w:t>
      </w:r>
      <w:r w:rsidR="003A28BE" w:rsidRPr="003A28BE">
        <w:rPr>
          <w:rFonts w:ascii="Cambria Math" w:hAnsi="Cambria Math" w:cs="Cambria Math"/>
        </w:rPr>
        <w:t>≙</w:t>
      </w:r>
      <w:r w:rsidR="003A28BE" w:rsidRPr="003A28BE">
        <w:t>113,</w:t>
      </w:r>
      <w:r w:rsidR="003A28BE">
        <w:t xml:space="preserve">5 g/m³) </w:t>
      </w:r>
      <w:r w:rsidR="00431BA9">
        <w:t>below</w:t>
      </w:r>
      <w:r w:rsidR="003A28BE">
        <w:t xml:space="preserve"> the stated upper explosion limit in the literature. This may be a big </w:t>
      </w:r>
      <w:r w:rsidR="00DF18C4">
        <w:t xml:space="preserve">lack of knowledge since this </w:t>
      </w:r>
      <w:proofErr w:type="gramStart"/>
      <w:r w:rsidR="00DF18C4">
        <w:t>means,</w:t>
      </w:r>
      <w:proofErr w:type="gramEnd"/>
      <w:r w:rsidR="00DF18C4">
        <w:t xml:space="preserve"> that in any case an explosion will occur once air passes into the container.</w:t>
      </w:r>
      <w:r w:rsidR="000D32C1">
        <w:t xml:space="preserve"> </w:t>
      </w:r>
    </w:p>
    <w:p w14:paraId="590D059A" w14:textId="77777777" w:rsidR="00E262D1" w:rsidRDefault="00E262D1" w:rsidP="00043CE0">
      <w:pPr>
        <w:pStyle w:val="CETBodytext"/>
      </w:pPr>
    </w:p>
    <w:p w14:paraId="3CEA7AB5" w14:textId="1B990978" w:rsidR="00043CE0" w:rsidRDefault="000D32C1" w:rsidP="00043CE0">
      <w:pPr>
        <w:pStyle w:val="CETBodytext"/>
      </w:pPr>
      <w:r>
        <w:t>Careful researchers might stumble across the statement, that an upper explosion limit is above the vapor pressure but for implementers or for people not having all characteristics of the substance at place this is confusing, puzzling or might simply be overseen and with that leads to unsafe safety measures.</w:t>
      </w:r>
    </w:p>
    <w:p w14:paraId="4F9FDE88" w14:textId="77777777" w:rsidR="003A28BE" w:rsidRDefault="003A28BE" w:rsidP="00043CE0">
      <w:pPr>
        <w:pStyle w:val="CETBodytext"/>
      </w:pPr>
    </w:p>
    <w:p w14:paraId="12C05AC7" w14:textId="74692C51" w:rsidR="003A28BE" w:rsidRDefault="00DF18C4" w:rsidP="00043CE0">
      <w:pPr>
        <w:pStyle w:val="CETBodytext"/>
      </w:pPr>
      <w:r>
        <w:t xml:space="preserve">The maximum rate of pressure rise is displayed in figure </w:t>
      </w:r>
      <w:r w:rsidR="009D5EE8">
        <w:t>4</w:t>
      </w:r>
      <w:r>
        <w:t>.</w:t>
      </w:r>
    </w:p>
    <w:p w14:paraId="08604571" w14:textId="2402223F" w:rsidR="00DF18C4" w:rsidRDefault="00DF18C4" w:rsidP="00DF18C4">
      <w:pPr>
        <w:pStyle w:val="CETBodytext"/>
        <w:rPr>
          <w:lang w:val="de-DE"/>
        </w:rPr>
      </w:pPr>
      <w:r w:rsidRPr="00DF18C4">
        <w:rPr>
          <w:noProof/>
          <w:lang w:val="de-DE"/>
        </w:rPr>
        <w:lastRenderedPageBreak/>
        <w:drawing>
          <wp:inline distT="0" distB="0" distL="0" distR="0" wp14:anchorId="448A4AB1" wp14:editId="17BC450F">
            <wp:extent cx="2880000" cy="2584372"/>
            <wp:effectExtent l="0" t="0" r="0" b="6985"/>
            <wp:docPr id="1955611582" name="Grafik 8"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611582" name="Grafik 8" descr="Ein Bild, das Text, Screenshot, Schrift, Zahl enthält.&#10;&#10;Automatisch generierte Beschreibung"/>
                    <pic:cNvPicPr>
                      <a:picLocks noChangeAspect="1" noChangeArrowheads="1"/>
                    </pic:cNvPicPr>
                  </pic:nvPicPr>
                  <pic:blipFill rotWithShape="1">
                    <a:blip r:embed="rId13">
                      <a:extLst>
                        <a:ext uri="{28A0092B-C50C-407E-A947-70E740481C1C}">
                          <a14:useLocalDpi xmlns:a14="http://schemas.microsoft.com/office/drawing/2010/main" val="0"/>
                        </a:ext>
                      </a:extLst>
                    </a:blip>
                    <a:srcRect l="935" r="7665"/>
                    <a:stretch/>
                  </pic:blipFill>
                  <pic:spPr bwMode="auto">
                    <a:xfrm>
                      <a:off x="0" y="0"/>
                      <a:ext cx="2880000" cy="2584372"/>
                    </a:xfrm>
                    <a:prstGeom prst="rect">
                      <a:avLst/>
                    </a:prstGeom>
                    <a:noFill/>
                    <a:ln>
                      <a:noFill/>
                    </a:ln>
                    <a:extLst>
                      <a:ext uri="{53640926-AAD7-44D8-BBD7-CCE9431645EC}">
                        <a14:shadowObscured xmlns:a14="http://schemas.microsoft.com/office/drawing/2010/main"/>
                      </a:ext>
                    </a:extLst>
                  </pic:spPr>
                </pic:pic>
              </a:graphicData>
            </a:graphic>
          </wp:inline>
        </w:drawing>
      </w:r>
    </w:p>
    <w:p w14:paraId="2C414E23" w14:textId="7F5231D5" w:rsidR="00DF18C4" w:rsidRPr="009D5EE8" w:rsidRDefault="00B91C32" w:rsidP="009D5EE8">
      <w:pPr>
        <w:pStyle w:val="CETCaption"/>
        <w:rPr>
          <w:lang w:val="en-US"/>
        </w:rPr>
      </w:pPr>
      <w:r w:rsidRPr="00043CE0">
        <w:rPr>
          <w:rStyle w:val="CETCaptionCarattere"/>
          <w:i/>
          <w:lang w:val="en-US"/>
        </w:rPr>
        <w:t xml:space="preserve">Figure </w:t>
      </w:r>
      <w:r w:rsidR="009D5EE8">
        <w:rPr>
          <w:rStyle w:val="CETCaptionCarattere"/>
          <w:i/>
          <w:lang w:val="en-US"/>
        </w:rPr>
        <w:t>4</w:t>
      </w:r>
      <w:r w:rsidRPr="00043CE0">
        <w:rPr>
          <w:rStyle w:val="CETCaptionCarattere"/>
          <w:i/>
          <w:lang w:val="en-US"/>
        </w:rPr>
        <w:t xml:space="preserve">: </w:t>
      </w:r>
      <w:r>
        <w:rPr>
          <w:rStyle w:val="CETCaptionCarattere"/>
          <w:i/>
          <w:lang w:val="en-US"/>
        </w:rPr>
        <w:t>Rate of pressure rise of methylcyclohexane and toluene</w:t>
      </w:r>
    </w:p>
    <w:p w14:paraId="4643E4BA" w14:textId="3D3DDA1A" w:rsidR="00DF18C4" w:rsidRDefault="00E262D1" w:rsidP="00043CE0">
      <w:pPr>
        <w:pStyle w:val="CETBodytext"/>
      </w:pPr>
      <w:r>
        <w:t xml:space="preserve">Two things are remarkable here: First, that methylcyclohexane has a </w:t>
      </w:r>
      <w:r w:rsidR="00B91C32">
        <w:t xml:space="preserve">very low rate of pressure rise above the concentration with the maximum. This underlines the </w:t>
      </w:r>
      <w:proofErr w:type="gramStart"/>
      <w:r w:rsidR="00B91C32">
        <w:t>theory,</w:t>
      </w:r>
      <w:proofErr w:type="gramEnd"/>
      <w:r w:rsidR="00B91C32">
        <w:t xml:space="preserve"> that the combustion reaction does take other ways than the simple oxidation of the molecule. The other remarkable thing here is the large scattering of </w:t>
      </w:r>
      <w:proofErr w:type="gramStart"/>
      <w:r w:rsidR="00B91C32">
        <w:t>the values</w:t>
      </w:r>
      <w:proofErr w:type="gramEnd"/>
      <w:r w:rsidR="00B91C32">
        <w:t xml:space="preserve">. This was first seen </w:t>
      </w:r>
      <w:proofErr w:type="gramStart"/>
      <w:r w:rsidR="00B91C32">
        <w:t>as a result of</w:t>
      </w:r>
      <w:proofErr w:type="gramEnd"/>
      <w:r w:rsidR="00B91C32">
        <w:t xml:space="preserve"> improper mixing or because the measuring frequency was chosen too low. Repeating the tests again very carefully and comparing the actual pressure time-curves for the same concentrations showed that the combustion does look differently</w:t>
      </w:r>
      <w:r w:rsidR="001B062A">
        <w:t xml:space="preserve"> at the same concentration</w:t>
      </w:r>
      <w:r w:rsidR="00B91C32">
        <w:t xml:space="preserve"> for both substances (Figure </w:t>
      </w:r>
      <w:r w:rsidR="009D5EE8">
        <w:t>5</w:t>
      </w:r>
      <w:r w:rsidR="00B91C32">
        <w:t xml:space="preserve"> and Figure </w:t>
      </w:r>
      <w:r w:rsidR="009D5EE8">
        <w:t>6</w:t>
      </w:r>
      <w:r w:rsidR="00B91C32">
        <w:t>).</w:t>
      </w:r>
    </w:p>
    <w:p w14:paraId="2AE77156" w14:textId="7887E3E8" w:rsidR="003A28BE" w:rsidRDefault="00F457AA" w:rsidP="00043CE0">
      <w:pPr>
        <w:pStyle w:val="CETBodytext"/>
      </w:pPr>
      <w:r w:rsidRPr="00F457AA">
        <w:rPr>
          <w:noProof/>
        </w:rPr>
        <w:drawing>
          <wp:inline distT="0" distB="0" distL="0" distR="0" wp14:anchorId="103F41B5" wp14:editId="520266D0">
            <wp:extent cx="2880000" cy="1846920"/>
            <wp:effectExtent l="0" t="0" r="0" b="1270"/>
            <wp:docPr id="1439633457" name="Grafik 1" descr="Ein Bild, das Text, Diagramm, Reih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633457" name="Grafik 1" descr="Ein Bild, das Text, Diagramm, Reihe, Screenshot enthält.&#10;&#10;Automatisch generierte Beschreibung"/>
                    <pic:cNvPicPr/>
                  </pic:nvPicPr>
                  <pic:blipFill>
                    <a:blip r:embed="rId14"/>
                    <a:stretch>
                      <a:fillRect/>
                    </a:stretch>
                  </pic:blipFill>
                  <pic:spPr>
                    <a:xfrm>
                      <a:off x="0" y="0"/>
                      <a:ext cx="2880000" cy="1846920"/>
                    </a:xfrm>
                    <a:prstGeom prst="rect">
                      <a:avLst/>
                    </a:prstGeom>
                  </pic:spPr>
                </pic:pic>
              </a:graphicData>
            </a:graphic>
          </wp:inline>
        </w:drawing>
      </w:r>
    </w:p>
    <w:p w14:paraId="17A8AC38" w14:textId="653CF8D1" w:rsidR="00F457AA" w:rsidRDefault="00F457AA" w:rsidP="00F457AA">
      <w:pPr>
        <w:pStyle w:val="CETCaption"/>
        <w:rPr>
          <w:rStyle w:val="CETCaptionCarattere"/>
          <w:i/>
          <w:lang w:val="en-US"/>
        </w:rPr>
      </w:pPr>
      <w:r w:rsidRPr="00043CE0">
        <w:rPr>
          <w:rStyle w:val="CETCaptionCarattere"/>
          <w:i/>
          <w:lang w:val="en-US"/>
        </w:rPr>
        <w:t xml:space="preserve">Figure </w:t>
      </w:r>
      <w:r w:rsidR="009D5EE8">
        <w:rPr>
          <w:rStyle w:val="CETCaptionCarattere"/>
          <w:i/>
          <w:lang w:val="en-US"/>
        </w:rPr>
        <w:t>5</w:t>
      </w:r>
      <w:r w:rsidRPr="00043CE0">
        <w:rPr>
          <w:rStyle w:val="CETCaptionCarattere"/>
          <w:i/>
          <w:lang w:val="en-US"/>
        </w:rPr>
        <w:t xml:space="preserve">: </w:t>
      </w:r>
      <w:r>
        <w:rPr>
          <w:rStyle w:val="CETCaptionCarattere"/>
          <w:i/>
          <w:lang w:val="en-US"/>
        </w:rPr>
        <w:t xml:space="preserve">Pressure against time for toluene, both </w:t>
      </w:r>
      <w:proofErr w:type="gramStart"/>
      <w:r>
        <w:rPr>
          <w:rStyle w:val="CETCaptionCarattere"/>
          <w:i/>
          <w:lang w:val="en-US"/>
        </w:rPr>
        <w:t>time</w:t>
      </w:r>
      <w:proofErr w:type="gramEnd"/>
      <w:r>
        <w:rPr>
          <w:rStyle w:val="CETCaptionCarattere"/>
          <w:i/>
          <w:lang w:val="en-US"/>
        </w:rPr>
        <w:t xml:space="preserve"> the same amount of toluene (5 ml) was injected but once a value of </w:t>
      </w:r>
      <w:r w:rsidR="00E31282">
        <w:rPr>
          <w:rStyle w:val="CETCaptionCarattere"/>
          <w:i/>
          <w:lang w:val="en-US"/>
        </w:rPr>
        <w:t>346 bar/s (red line) and once a value of 940 (blue line) was determined</w:t>
      </w:r>
    </w:p>
    <w:p w14:paraId="462D772C" w14:textId="77777777" w:rsidR="00FF2F40" w:rsidRPr="00043CE0" w:rsidRDefault="00FF2F40" w:rsidP="00F457AA">
      <w:pPr>
        <w:pStyle w:val="CETCaption"/>
        <w:rPr>
          <w:lang w:val="en-US"/>
        </w:rPr>
      </w:pPr>
    </w:p>
    <w:p w14:paraId="058342DC" w14:textId="37B2CCE5" w:rsidR="00F457AA" w:rsidRDefault="00F457AA" w:rsidP="00043CE0">
      <w:pPr>
        <w:pStyle w:val="CETBodytext"/>
      </w:pPr>
      <w:r w:rsidRPr="00F457AA">
        <w:rPr>
          <w:noProof/>
        </w:rPr>
        <w:lastRenderedPageBreak/>
        <w:drawing>
          <wp:inline distT="0" distB="0" distL="0" distR="0" wp14:anchorId="616B3CD7" wp14:editId="3916CF2A">
            <wp:extent cx="2844000" cy="1899565"/>
            <wp:effectExtent l="0" t="0" r="0" b="5715"/>
            <wp:docPr id="1450400961" name="Grafik 1" descr="Ein Bild, das Diagramm, Reihe,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400961" name="Grafik 1" descr="Ein Bild, das Diagramm, Reihe, Text enthält.&#10;&#10;Automatisch generierte Beschreibung"/>
                    <pic:cNvPicPr/>
                  </pic:nvPicPr>
                  <pic:blipFill>
                    <a:blip r:embed="rId15"/>
                    <a:stretch>
                      <a:fillRect/>
                    </a:stretch>
                  </pic:blipFill>
                  <pic:spPr>
                    <a:xfrm>
                      <a:off x="0" y="0"/>
                      <a:ext cx="2844000" cy="1899565"/>
                    </a:xfrm>
                    <a:prstGeom prst="rect">
                      <a:avLst/>
                    </a:prstGeom>
                  </pic:spPr>
                </pic:pic>
              </a:graphicData>
            </a:graphic>
          </wp:inline>
        </w:drawing>
      </w:r>
    </w:p>
    <w:p w14:paraId="63D48A0A" w14:textId="156B2FE1" w:rsidR="00E31282" w:rsidRPr="00043CE0" w:rsidRDefault="00F457AA" w:rsidP="00E31282">
      <w:pPr>
        <w:pStyle w:val="CETCaption"/>
        <w:rPr>
          <w:lang w:val="en-US"/>
        </w:rPr>
      </w:pPr>
      <w:r w:rsidRPr="00043CE0">
        <w:rPr>
          <w:rStyle w:val="CETCaptionCarattere"/>
          <w:i/>
          <w:lang w:val="en-US"/>
        </w:rPr>
        <w:t xml:space="preserve">Figure </w:t>
      </w:r>
      <w:r w:rsidR="009D5EE8">
        <w:rPr>
          <w:rStyle w:val="CETCaptionCarattere"/>
          <w:i/>
          <w:lang w:val="en-US"/>
        </w:rPr>
        <w:t>6</w:t>
      </w:r>
      <w:r w:rsidRPr="00043CE0">
        <w:rPr>
          <w:rStyle w:val="CETCaptionCarattere"/>
          <w:i/>
          <w:lang w:val="en-US"/>
        </w:rPr>
        <w:t xml:space="preserve">: </w:t>
      </w:r>
      <w:r>
        <w:rPr>
          <w:rStyle w:val="CETCaptionCarattere"/>
          <w:i/>
          <w:lang w:val="en-US"/>
        </w:rPr>
        <w:t xml:space="preserve">Pressure against time for methylcyclohexane, both </w:t>
      </w:r>
      <w:proofErr w:type="gramStart"/>
      <w:r>
        <w:rPr>
          <w:rStyle w:val="CETCaptionCarattere"/>
          <w:i/>
          <w:lang w:val="en-US"/>
        </w:rPr>
        <w:t>time</w:t>
      </w:r>
      <w:proofErr w:type="gramEnd"/>
      <w:r>
        <w:rPr>
          <w:rStyle w:val="CETCaptionCarattere"/>
          <w:i/>
          <w:lang w:val="en-US"/>
        </w:rPr>
        <w:t xml:space="preserve"> the same amount of methylcyclohexane (3 ml) was injected</w:t>
      </w:r>
      <w:r w:rsidR="00E31282">
        <w:rPr>
          <w:rStyle w:val="CETCaptionCarattere"/>
          <w:i/>
          <w:lang w:val="en-US"/>
        </w:rPr>
        <w:t xml:space="preserve"> but once a value of 538 bar/s (red line) and once a value of 1031 (blue line) was determined</w:t>
      </w:r>
    </w:p>
    <w:p w14:paraId="51069AD4" w14:textId="284D8B15" w:rsidR="001B062A" w:rsidRDefault="001B062A" w:rsidP="00043CE0">
      <w:pPr>
        <w:pStyle w:val="CETBodytext"/>
      </w:pPr>
      <w:r>
        <w:t xml:space="preserve">For both substances it </w:t>
      </w:r>
      <w:proofErr w:type="gramStart"/>
      <w:r>
        <w:t>seems,</w:t>
      </w:r>
      <w:proofErr w:type="gramEnd"/>
      <w:r>
        <w:t xml:space="preserve"> that minor changes in the beginning parameters might have a huge impact on the determined safety characteristics.</w:t>
      </w:r>
    </w:p>
    <w:p w14:paraId="6558A0A8" w14:textId="77777777" w:rsidR="001B062A" w:rsidRDefault="001B062A" w:rsidP="00043CE0">
      <w:pPr>
        <w:pStyle w:val="CETBodytext"/>
      </w:pPr>
    </w:p>
    <w:p w14:paraId="14432A3B" w14:textId="1AF435EE" w:rsidR="00F457AA" w:rsidRPr="003A28BE" w:rsidRDefault="00F6284D" w:rsidP="00043CE0">
      <w:pPr>
        <w:pStyle w:val="CETBodytext"/>
      </w:pPr>
      <w:r>
        <w:t xml:space="preserve">It can also be </w:t>
      </w:r>
      <w:proofErr w:type="gramStart"/>
      <w:r>
        <w:t>seen,</w:t>
      </w:r>
      <w:proofErr w:type="gramEnd"/>
      <w:r>
        <w:t xml:space="preserve"> that above a value of 450 bar/s oscillations with a frequency of </w:t>
      </w:r>
      <w:r w:rsidR="006020DD">
        <w:t>around 650 Hz (</w:t>
      </w:r>
      <w:r>
        <w:t>630 Hz</w:t>
      </w:r>
      <w:r w:rsidR="006020DD">
        <w:t xml:space="preserve"> (MCH) or rather 670 Hz (TOL))</w:t>
      </w:r>
      <w:r>
        <w:t xml:space="preserve"> were recorded. </w:t>
      </w:r>
      <w:r w:rsidR="00184B55">
        <w:t xml:space="preserve">It could </w:t>
      </w:r>
      <w:proofErr w:type="gramStart"/>
      <w:r w:rsidR="00184B55">
        <w:t>have not</w:t>
      </w:r>
      <w:proofErr w:type="gramEnd"/>
      <w:r w:rsidR="00184B55">
        <w:t xml:space="preserve"> been fully clarified whether this is the resonance frequency of the inner metal sphere itself or</w:t>
      </w:r>
      <w:r>
        <w:t xml:space="preserve"> the</w:t>
      </w:r>
      <w:r w:rsidR="00184B55">
        <w:t xml:space="preserve"> gas</w:t>
      </w:r>
      <w:r>
        <w:t xml:space="preserve"> inside of the </w:t>
      </w:r>
      <w:r w:rsidR="00184B55">
        <w:t>sphere oscillating.</w:t>
      </w:r>
    </w:p>
    <w:p w14:paraId="68D26B83" w14:textId="77777777" w:rsidR="00600535" w:rsidRPr="00043CE0" w:rsidRDefault="00600535" w:rsidP="00600535">
      <w:pPr>
        <w:pStyle w:val="CETHeading1"/>
      </w:pPr>
      <w:r w:rsidRPr="00043CE0">
        <w:t>Conclusions</w:t>
      </w:r>
    </w:p>
    <w:p w14:paraId="52DAFDE0" w14:textId="1075CCC6" w:rsidR="001D0CFB" w:rsidRDefault="00B36E47" w:rsidP="00600535">
      <w:pPr>
        <w:pStyle w:val="CETBodytext"/>
      </w:pPr>
      <w:r w:rsidRPr="00043CE0">
        <w:t xml:space="preserve">The safety characteristics lower explosion limit, upper explosion limit, maximum explosion pressure and maximum rate of pressure rise of </w:t>
      </w:r>
      <w:r w:rsidR="004A547D" w:rsidRPr="00043CE0">
        <w:t>methylcyclohexane</w:t>
      </w:r>
      <w:r w:rsidRPr="00043CE0">
        <w:t xml:space="preserve"> and toluene were determined. </w:t>
      </w:r>
      <w:r w:rsidR="00B91C32">
        <w:t>The conclusions are the following:</w:t>
      </w:r>
    </w:p>
    <w:p w14:paraId="13FE98D9" w14:textId="5A1F26EF" w:rsidR="00B91C32" w:rsidRDefault="00B91C32" w:rsidP="00B91C32">
      <w:pPr>
        <w:pStyle w:val="CETBodytext"/>
        <w:numPr>
          <w:ilvl w:val="0"/>
          <w:numId w:val="24"/>
        </w:numPr>
      </w:pPr>
      <w:r>
        <w:t>The upper explosion limit</w:t>
      </w:r>
      <w:r w:rsidR="004A547D">
        <w:t>s</w:t>
      </w:r>
      <w:r>
        <w:t xml:space="preserve"> for both substances are above their vapor pressure under ambient conditions and with that can’t be used for safety measures.</w:t>
      </w:r>
      <w:r w:rsidR="004A547D">
        <w:t xml:space="preserve"> That means as soon as air leaks inwards the tank it forms an explosive atmosphere.</w:t>
      </w:r>
    </w:p>
    <w:p w14:paraId="64B255F6" w14:textId="7355D8A0" w:rsidR="00B91C32" w:rsidRDefault="00B91C32" w:rsidP="00B91C32">
      <w:pPr>
        <w:pStyle w:val="CETBodytext"/>
        <w:numPr>
          <w:ilvl w:val="0"/>
          <w:numId w:val="24"/>
        </w:numPr>
      </w:pPr>
      <w:r>
        <w:t>The maximum rate of pressure rise of both substances is very high and has not been determined yet</w:t>
      </w:r>
    </w:p>
    <w:p w14:paraId="0B71930B" w14:textId="7295409B" w:rsidR="00B91C32" w:rsidRDefault="00B91C32" w:rsidP="00B91C32">
      <w:pPr>
        <w:pStyle w:val="CETBodytext"/>
        <w:numPr>
          <w:ilvl w:val="0"/>
          <w:numId w:val="24"/>
        </w:numPr>
      </w:pPr>
      <w:r>
        <w:t xml:space="preserve">The maximum explosion pressure of toluene </w:t>
      </w:r>
      <w:r w:rsidR="004A547D">
        <w:t>i</w:t>
      </w:r>
      <w:r>
        <w:t xml:space="preserve">s </w:t>
      </w:r>
      <w:r w:rsidR="004A547D">
        <w:t xml:space="preserve">almost 2 bars (8.5 bar g instead of 6.7 bar g) </w:t>
      </w:r>
      <w:r>
        <w:t>higher than the one found in the literature</w:t>
      </w:r>
      <w:r w:rsidR="004A547D">
        <w:t>. This may be because it was determined before under different conditions or in a very small test vessel, both causing a lower determined value.</w:t>
      </w:r>
    </w:p>
    <w:p w14:paraId="5BE7D420" w14:textId="371E3174" w:rsidR="004A547D" w:rsidRDefault="004A547D" w:rsidP="004A547D">
      <w:pPr>
        <w:pStyle w:val="CETBodytext"/>
        <w:numPr>
          <w:ilvl w:val="0"/>
          <w:numId w:val="24"/>
        </w:numPr>
      </w:pPr>
      <w:r>
        <w:t>For both substances the vapor pressure lies around the stoichiometry and with that the concentration with the highest explosion pressure and rate of pressure rise</w:t>
      </w:r>
    </w:p>
    <w:p w14:paraId="4450880D" w14:textId="5C9AF512" w:rsidR="004A547D" w:rsidRDefault="004A547D" w:rsidP="004A547D">
      <w:pPr>
        <w:pStyle w:val="CETBodytext"/>
      </w:pPr>
      <w:r>
        <w:t>In their charging/</w:t>
      </w:r>
      <w:proofErr w:type="spellStart"/>
      <w:r>
        <w:t>uncharging</w:t>
      </w:r>
      <w:proofErr w:type="spellEnd"/>
      <w:r>
        <w:t xml:space="preserve"> process some hydrogen might be physically solved in the chemical and with that other safety issues might occur. This will be investigated soon.</w:t>
      </w:r>
    </w:p>
    <w:p w14:paraId="5D2D68F0" w14:textId="77777777" w:rsidR="001D544C" w:rsidRDefault="001D544C" w:rsidP="004A547D">
      <w:pPr>
        <w:pStyle w:val="CETBodytext"/>
      </w:pPr>
    </w:p>
    <w:p w14:paraId="0471AE5C" w14:textId="20B62F57" w:rsidR="001D544C" w:rsidRPr="001D544C" w:rsidRDefault="001D544C" w:rsidP="004A547D">
      <w:pPr>
        <w:pStyle w:val="CETBodytext"/>
        <w:rPr>
          <w:b/>
          <w:bCs/>
        </w:rPr>
      </w:pPr>
      <w:r w:rsidRPr="001D544C">
        <w:rPr>
          <w:b/>
          <w:bCs/>
        </w:rPr>
        <w:t>Acknowledgment</w:t>
      </w:r>
    </w:p>
    <w:p w14:paraId="2112FA87" w14:textId="017CF54F" w:rsidR="001D544C" w:rsidRPr="00043CE0" w:rsidRDefault="001D544C" w:rsidP="004A547D">
      <w:pPr>
        <w:pStyle w:val="CETBodytext"/>
      </w:pPr>
      <w:r w:rsidRPr="001D544C">
        <w:rPr>
          <w:lang w:val="en-GB"/>
        </w:rPr>
        <w:t>This work has been supported by the European Union’s Horizon Europe Research and Innovation Programme “</w:t>
      </w:r>
      <w:proofErr w:type="spellStart"/>
      <w:r w:rsidRPr="001D544C">
        <w:rPr>
          <w:lang w:val="en-GB"/>
        </w:rPr>
        <w:t>ENabling</w:t>
      </w:r>
      <w:proofErr w:type="spellEnd"/>
      <w:r w:rsidRPr="001D544C">
        <w:rPr>
          <w:lang w:val="en-GB"/>
        </w:rPr>
        <w:t xml:space="preserve"> </w:t>
      </w:r>
      <w:proofErr w:type="spellStart"/>
      <w:r w:rsidRPr="001D544C">
        <w:rPr>
          <w:lang w:val="en-GB"/>
        </w:rPr>
        <w:t>F</w:t>
      </w:r>
      <w:r>
        <w:rPr>
          <w:lang w:val="en-GB"/>
        </w:rPr>
        <w:t>L</w:t>
      </w:r>
      <w:r w:rsidRPr="001D544C">
        <w:rPr>
          <w:lang w:val="en-GB"/>
        </w:rPr>
        <w:t>exibility</w:t>
      </w:r>
      <w:proofErr w:type="spellEnd"/>
      <w:r w:rsidRPr="001D544C">
        <w:rPr>
          <w:lang w:val="en-GB"/>
        </w:rPr>
        <w:t xml:space="preserve"> provision by all Actors and sectors through markets and digital </w:t>
      </w:r>
      <w:proofErr w:type="spellStart"/>
      <w:r w:rsidRPr="001D544C">
        <w:rPr>
          <w:lang w:val="en-GB"/>
        </w:rPr>
        <w:t>TEchnologies</w:t>
      </w:r>
      <w:proofErr w:type="spellEnd"/>
      <w:r w:rsidRPr="001D544C">
        <w:rPr>
          <w:lang w:val="en-GB"/>
        </w:rPr>
        <w:t xml:space="preserve"> (ENFLATE)” under Grant Agreement No. 101075783.</w:t>
      </w:r>
    </w:p>
    <w:p w14:paraId="5490D2C4" w14:textId="77777777" w:rsidR="00B36E47" w:rsidRPr="00043CE0" w:rsidRDefault="00B36E47" w:rsidP="00600535">
      <w:pPr>
        <w:pStyle w:val="CETBodytext"/>
      </w:pPr>
    </w:p>
    <w:p w14:paraId="4F1327F8" w14:textId="77777777" w:rsidR="00600535" w:rsidRPr="00043CE0" w:rsidRDefault="00600535" w:rsidP="00600535">
      <w:pPr>
        <w:pStyle w:val="CETReference"/>
        <w:rPr>
          <w:lang w:val="en-US"/>
        </w:rPr>
      </w:pPr>
      <w:r w:rsidRPr="00043CE0">
        <w:rPr>
          <w:lang w:val="en-US"/>
        </w:rPr>
        <w:t>References</w:t>
      </w:r>
    </w:p>
    <w:p w14:paraId="5917BA27" w14:textId="504D06FD" w:rsidR="008F07D4" w:rsidRDefault="008F07D4" w:rsidP="000D5CC5">
      <w:pPr>
        <w:pStyle w:val="CETReferencetext"/>
        <w:rPr>
          <w:lang w:val="en-US"/>
        </w:rPr>
      </w:pPr>
      <w:r w:rsidRPr="008F07D4">
        <w:rPr>
          <w:lang w:val="en-US"/>
        </w:rPr>
        <w:t>Carvalho M.C.S., Marques J., Matos H.A., Granjo J.F.O.,</w:t>
      </w:r>
      <w:r>
        <w:rPr>
          <w:lang w:val="en-US"/>
        </w:rPr>
        <w:t xml:space="preserve"> 2021,</w:t>
      </w:r>
      <w:r w:rsidRPr="008F07D4">
        <w:rPr>
          <w:lang w:val="en-US"/>
        </w:rPr>
        <w:t xml:space="preserve"> Long-distance hydrogen delivery using a toluene-based liquid organic hydrogen carrier system, Computer Aided Chemical Engineering, 50. 1647-1652</w:t>
      </w:r>
    </w:p>
    <w:p w14:paraId="5C3D3B6A" w14:textId="7663433F" w:rsidR="008F07D4" w:rsidRDefault="008F07D4" w:rsidP="000D5CC5">
      <w:pPr>
        <w:pStyle w:val="CETReferencetext"/>
        <w:rPr>
          <w:lang w:val="en-US"/>
        </w:rPr>
      </w:pPr>
      <w:proofErr w:type="spellStart"/>
      <w:r w:rsidRPr="008F07D4">
        <w:rPr>
          <w:lang w:val="en-US"/>
        </w:rPr>
        <w:t>Dalebrook</w:t>
      </w:r>
      <w:proofErr w:type="spellEnd"/>
      <w:r w:rsidRPr="008F07D4">
        <w:rPr>
          <w:lang w:val="en-US"/>
        </w:rPr>
        <w:t xml:space="preserve"> A. F., Gan W., </w:t>
      </w:r>
      <w:proofErr w:type="spellStart"/>
      <w:r w:rsidRPr="008F07D4">
        <w:rPr>
          <w:lang w:val="en-US"/>
        </w:rPr>
        <w:t>Grasemann</w:t>
      </w:r>
      <w:proofErr w:type="spellEnd"/>
      <w:r w:rsidRPr="008F07D4">
        <w:rPr>
          <w:lang w:val="en-US"/>
        </w:rPr>
        <w:t xml:space="preserve"> M., Moret, S., </w:t>
      </w:r>
      <w:proofErr w:type="spellStart"/>
      <w:r w:rsidRPr="008F07D4">
        <w:rPr>
          <w:lang w:val="en-US"/>
        </w:rPr>
        <w:t>Laurenczy</w:t>
      </w:r>
      <w:proofErr w:type="spellEnd"/>
      <w:r w:rsidRPr="008F07D4">
        <w:rPr>
          <w:lang w:val="en-US"/>
        </w:rPr>
        <w:t xml:space="preserve"> G.,</w:t>
      </w:r>
      <w:r>
        <w:rPr>
          <w:lang w:val="en-US"/>
        </w:rPr>
        <w:t xml:space="preserve"> 2013,</w:t>
      </w:r>
      <w:r w:rsidRPr="008F07D4">
        <w:rPr>
          <w:lang w:val="en-US"/>
        </w:rPr>
        <w:t xml:space="preserve"> Hydrogen storage: beyond conventional methods. Chemical Communications, 49, 8735–8751</w:t>
      </w:r>
    </w:p>
    <w:p w14:paraId="6BF678FE" w14:textId="13D13725" w:rsidR="000D5CC5" w:rsidRPr="00B433E6" w:rsidRDefault="000D5CC5" w:rsidP="00B433E6">
      <w:pPr>
        <w:pStyle w:val="CETReferencetext"/>
      </w:pPr>
      <w:r w:rsidRPr="00B433E6">
        <w:t xml:space="preserve">DGUV-MCH, taken from the database entry for methylcyclohexane of the German Social Accident Insurance, online, </w:t>
      </w:r>
      <w:hyperlink r:id="rId16" w:history="1">
        <w:r w:rsidRPr="00B433E6">
          <w:rPr>
            <w:rStyle w:val="Collegamentoipertestuale"/>
            <w:color w:val="auto"/>
            <w:u w:val="none"/>
          </w:rPr>
          <w:t>https://gestis.dguv.de/data?name=030950</w:t>
        </w:r>
      </w:hyperlink>
      <w:r w:rsidRPr="00B433E6">
        <w:t>, visited on 24th of September 2024</w:t>
      </w:r>
    </w:p>
    <w:p w14:paraId="698C8675" w14:textId="77777777" w:rsidR="000D5CC5" w:rsidRPr="00B433E6" w:rsidRDefault="000D5CC5" w:rsidP="00B433E6">
      <w:pPr>
        <w:pStyle w:val="CETReferencetext"/>
      </w:pPr>
      <w:r w:rsidRPr="00B433E6">
        <w:t xml:space="preserve">DGUV-Tol, taken from the database entry for toluene of the German Social Accident Insurance, online, </w:t>
      </w:r>
      <w:hyperlink r:id="rId17" w:history="1">
        <w:r w:rsidRPr="00B433E6">
          <w:rPr>
            <w:rStyle w:val="Collegamentoipertestuale"/>
            <w:color w:val="auto"/>
            <w:u w:val="none"/>
          </w:rPr>
          <w:t>https://gestis.dguv.de/data?name=010070</w:t>
        </w:r>
      </w:hyperlink>
      <w:r w:rsidRPr="00B433E6">
        <w:t>, visited on 24th of September 2024</w:t>
      </w:r>
    </w:p>
    <w:p w14:paraId="10B0B557" w14:textId="61FBBA08" w:rsidR="00F6284D" w:rsidRPr="00F6284D" w:rsidRDefault="008F07D4" w:rsidP="00F6284D">
      <w:pPr>
        <w:pStyle w:val="CETReferencetext"/>
        <w:rPr>
          <w:lang w:val="en-US"/>
        </w:rPr>
      </w:pPr>
      <w:r>
        <w:rPr>
          <w:lang w:val="en-US"/>
        </w:rPr>
        <w:lastRenderedPageBreak/>
        <w:t>EN 1839</w:t>
      </w:r>
      <w:r w:rsidR="00F6284D">
        <w:rPr>
          <w:lang w:val="en-US"/>
        </w:rPr>
        <w:t>:2017 -</w:t>
      </w:r>
      <w:r>
        <w:rPr>
          <w:lang w:val="en-US"/>
        </w:rPr>
        <w:t xml:space="preserve"> </w:t>
      </w:r>
      <w:r w:rsidR="00F6284D" w:rsidRPr="00F6284D">
        <w:rPr>
          <w:lang w:val="en-US"/>
        </w:rPr>
        <w:t xml:space="preserve">Determination of the explosion limits for flammable gases and </w:t>
      </w:r>
      <w:proofErr w:type="spellStart"/>
      <w:r w:rsidR="00F6284D" w:rsidRPr="00F6284D">
        <w:rPr>
          <w:lang w:val="en-US"/>
        </w:rPr>
        <w:t>vapours</w:t>
      </w:r>
      <w:proofErr w:type="spellEnd"/>
      <w:r w:rsidR="00F6284D" w:rsidRPr="00F6284D">
        <w:rPr>
          <w:lang w:val="en-US"/>
        </w:rPr>
        <w:t>, Beuth-Verlag,</w:t>
      </w:r>
      <w:r w:rsidR="00F6284D">
        <w:rPr>
          <w:lang w:val="en-US"/>
        </w:rPr>
        <w:t xml:space="preserve"> </w:t>
      </w:r>
      <w:r w:rsidR="00F6284D" w:rsidRPr="00F6284D">
        <w:rPr>
          <w:lang w:val="en-US"/>
        </w:rPr>
        <w:t>Berlin</w:t>
      </w:r>
      <w:r w:rsidR="00F6284D">
        <w:rPr>
          <w:lang w:val="en-US"/>
        </w:rPr>
        <w:t xml:space="preserve">, </w:t>
      </w:r>
      <w:proofErr w:type="spellStart"/>
      <w:r w:rsidR="00F6284D">
        <w:rPr>
          <w:lang w:val="en-US"/>
        </w:rPr>
        <w:t>doi</w:t>
      </w:r>
      <w:proofErr w:type="spellEnd"/>
      <w:r w:rsidR="00F6284D">
        <w:rPr>
          <w:lang w:val="en-US"/>
        </w:rPr>
        <w:t xml:space="preserve">: </w:t>
      </w:r>
      <w:r w:rsidR="00F6284D" w:rsidRPr="00F6284D">
        <w:t>10.31030/2534064</w:t>
      </w:r>
    </w:p>
    <w:p w14:paraId="495181E3" w14:textId="1732761A" w:rsidR="008F07D4" w:rsidRDefault="00F6284D" w:rsidP="00F6284D">
      <w:pPr>
        <w:pStyle w:val="CETReferencetext"/>
        <w:rPr>
          <w:lang w:val="en-US"/>
        </w:rPr>
      </w:pPr>
      <w:r w:rsidRPr="00F6284D">
        <w:rPr>
          <w:lang w:val="en-US"/>
        </w:rPr>
        <w:t>EN 15967:20</w:t>
      </w:r>
      <w:r>
        <w:rPr>
          <w:lang w:val="en-US"/>
        </w:rPr>
        <w:t>22</w:t>
      </w:r>
      <w:r w:rsidRPr="00F6284D">
        <w:rPr>
          <w:lang w:val="en-US"/>
        </w:rPr>
        <w:t xml:space="preserve"> - Determination of maximum explosion pressure and the maximum rate of pressure rise of</w:t>
      </w:r>
      <w:r>
        <w:rPr>
          <w:lang w:val="en-US"/>
        </w:rPr>
        <w:t xml:space="preserve"> </w:t>
      </w:r>
      <w:r w:rsidRPr="00F6284D">
        <w:rPr>
          <w:lang w:val="en-US"/>
        </w:rPr>
        <w:t xml:space="preserve">gases and </w:t>
      </w:r>
      <w:proofErr w:type="spellStart"/>
      <w:r w:rsidRPr="00F6284D">
        <w:rPr>
          <w:lang w:val="en-US"/>
        </w:rPr>
        <w:t>vapours</w:t>
      </w:r>
      <w:proofErr w:type="spellEnd"/>
      <w:r w:rsidRPr="00F6284D">
        <w:rPr>
          <w:lang w:val="en-US"/>
        </w:rPr>
        <w:t>, Beuth-Verlag, Berlin</w:t>
      </w:r>
      <w:r>
        <w:rPr>
          <w:lang w:val="en-US"/>
        </w:rPr>
        <w:t xml:space="preserve">, </w:t>
      </w:r>
      <w:proofErr w:type="spellStart"/>
      <w:r>
        <w:rPr>
          <w:lang w:val="en-US"/>
        </w:rPr>
        <w:t>doi</w:t>
      </w:r>
      <w:proofErr w:type="spellEnd"/>
      <w:r>
        <w:rPr>
          <w:lang w:val="en-US"/>
        </w:rPr>
        <w:t xml:space="preserve">: </w:t>
      </w:r>
      <w:r w:rsidRPr="00F6284D">
        <w:t>10.31030/3290404</w:t>
      </w:r>
    </w:p>
    <w:p w14:paraId="1576147B" w14:textId="5D545C17" w:rsidR="0057718C" w:rsidRDefault="0057718C" w:rsidP="0057718C">
      <w:pPr>
        <w:pStyle w:val="CETReferencetext"/>
        <w:rPr>
          <w:lang w:val="en-US"/>
        </w:rPr>
      </w:pPr>
      <w:r w:rsidRPr="0057718C">
        <w:rPr>
          <w:lang w:val="en-US"/>
        </w:rPr>
        <w:t>Van Hoecke,</w:t>
      </w:r>
      <w:r>
        <w:rPr>
          <w:lang w:val="en-US"/>
        </w:rPr>
        <w:t xml:space="preserve"> L.,</w:t>
      </w:r>
      <w:r w:rsidRPr="0057718C">
        <w:rPr>
          <w:lang w:val="en-US"/>
        </w:rPr>
        <w:t xml:space="preserve"> </w:t>
      </w:r>
      <w:proofErr w:type="spellStart"/>
      <w:r w:rsidRPr="0057718C">
        <w:rPr>
          <w:lang w:val="en-US"/>
        </w:rPr>
        <w:t>Laffineur</w:t>
      </w:r>
      <w:proofErr w:type="spellEnd"/>
      <w:r w:rsidRPr="0057718C">
        <w:rPr>
          <w:lang w:val="en-US"/>
        </w:rPr>
        <w:t>,</w:t>
      </w:r>
      <w:r>
        <w:rPr>
          <w:lang w:val="en-US"/>
        </w:rPr>
        <w:t xml:space="preserve"> L., </w:t>
      </w:r>
      <w:r w:rsidRPr="0057718C">
        <w:rPr>
          <w:lang w:val="en-US"/>
        </w:rPr>
        <w:t>Campe,</w:t>
      </w:r>
      <w:r>
        <w:rPr>
          <w:lang w:val="en-US"/>
        </w:rPr>
        <w:t xml:space="preserve"> R., </w:t>
      </w:r>
      <w:r w:rsidRPr="0057718C">
        <w:rPr>
          <w:lang w:val="en-US"/>
        </w:rPr>
        <w:t xml:space="preserve">Perreault, </w:t>
      </w:r>
      <w:r>
        <w:rPr>
          <w:lang w:val="en-US"/>
        </w:rPr>
        <w:t xml:space="preserve">P., </w:t>
      </w:r>
      <w:r w:rsidRPr="0057718C">
        <w:rPr>
          <w:lang w:val="en-US"/>
        </w:rPr>
        <w:t>Verbruggen</w:t>
      </w:r>
      <w:r>
        <w:rPr>
          <w:lang w:val="en-US"/>
        </w:rPr>
        <w:t xml:space="preserve">, S.W., </w:t>
      </w:r>
      <w:r w:rsidRPr="0057718C">
        <w:rPr>
          <w:lang w:val="en-US"/>
        </w:rPr>
        <w:t>Lenaerts</w:t>
      </w:r>
      <w:r>
        <w:rPr>
          <w:lang w:val="en-US"/>
        </w:rPr>
        <w:t xml:space="preserve">, S., 2021, </w:t>
      </w:r>
      <w:r w:rsidRPr="0057718C">
        <w:rPr>
          <w:lang w:val="en-US"/>
        </w:rPr>
        <w:t>Challenges in the use of hydrogen</w:t>
      </w:r>
      <w:r>
        <w:rPr>
          <w:lang w:val="en-US"/>
        </w:rPr>
        <w:t xml:space="preserve"> </w:t>
      </w:r>
      <w:r w:rsidRPr="0057718C">
        <w:rPr>
          <w:lang w:val="en-US"/>
        </w:rPr>
        <w:t>for maritime applications</w:t>
      </w:r>
      <w:r>
        <w:rPr>
          <w:lang w:val="en-US"/>
        </w:rPr>
        <w:t xml:space="preserve">, </w:t>
      </w:r>
      <w:r w:rsidRPr="0057718C">
        <w:rPr>
          <w:lang w:val="en-US"/>
        </w:rPr>
        <w:t>Energy &amp;</w:t>
      </w:r>
      <w:r>
        <w:rPr>
          <w:lang w:val="en-US"/>
        </w:rPr>
        <w:t xml:space="preserve"> </w:t>
      </w:r>
      <w:r w:rsidRPr="0057718C">
        <w:rPr>
          <w:lang w:val="en-US"/>
        </w:rPr>
        <w:t>Environmental</w:t>
      </w:r>
      <w:r>
        <w:rPr>
          <w:lang w:val="en-US"/>
        </w:rPr>
        <w:t xml:space="preserve"> </w:t>
      </w:r>
      <w:r w:rsidRPr="0057718C">
        <w:rPr>
          <w:lang w:val="en-US"/>
        </w:rPr>
        <w:t>Science</w:t>
      </w:r>
      <w:r>
        <w:rPr>
          <w:lang w:val="en-US"/>
        </w:rPr>
        <w:t xml:space="preserve">, </w:t>
      </w:r>
      <w:proofErr w:type="spellStart"/>
      <w:r>
        <w:rPr>
          <w:lang w:val="en-US"/>
        </w:rPr>
        <w:t>doi</w:t>
      </w:r>
      <w:proofErr w:type="spellEnd"/>
      <w:r w:rsidRPr="0057718C">
        <w:rPr>
          <w:lang w:val="en-US"/>
        </w:rPr>
        <w:t>: 10.1039/d0ee01545h</w:t>
      </w:r>
    </w:p>
    <w:p w14:paraId="186DBB7C" w14:textId="61ABC374" w:rsidR="008F07D4" w:rsidRPr="00B433E6" w:rsidRDefault="008F07D4" w:rsidP="00B433E6">
      <w:pPr>
        <w:pStyle w:val="CETReferencetext"/>
      </w:pPr>
      <w:r w:rsidRPr="00B433E6">
        <w:t xml:space="preserve">Mitsui &amp; Co Ltd (2021) – online: </w:t>
      </w:r>
      <w:hyperlink r:id="rId18" w:history="1">
        <w:r w:rsidRPr="00B433E6">
          <w:rPr>
            <w:rStyle w:val="Collegamentoipertestuale"/>
            <w:color w:val="auto"/>
            <w:u w:val="none"/>
          </w:rPr>
          <w:t>https://www.mitsui.com/jp/en/topics/2021/1241738_12171.html</w:t>
        </w:r>
      </w:hyperlink>
      <w:r w:rsidRPr="00B433E6">
        <w:t xml:space="preserve"> visited on the 07th of October 2024</w:t>
      </w:r>
    </w:p>
    <w:p w14:paraId="4F0F1CC8" w14:textId="77777777" w:rsidR="000D5CC5" w:rsidRPr="00043CE0" w:rsidRDefault="000D5CC5" w:rsidP="000D5CC5">
      <w:pPr>
        <w:pStyle w:val="CETReferencetext"/>
        <w:rPr>
          <w:lang w:val="en-US"/>
        </w:rPr>
      </w:pPr>
      <w:r w:rsidRPr="000A11A7">
        <w:rPr>
          <w:lang w:val="de-DE"/>
        </w:rPr>
        <w:t xml:space="preserve">Nabert, K. and Schön, G., 1963, Sicherheitstechnische Kennzahlen brennbarer Gase und Dämpfe (mit 6. </w:t>
      </w:r>
      <w:proofErr w:type="spellStart"/>
      <w:r w:rsidRPr="00043CE0">
        <w:rPr>
          <w:lang w:val="en-US"/>
        </w:rPr>
        <w:t>Nachtrag</w:t>
      </w:r>
      <w:proofErr w:type="spellEnd"/>
      <w:r w:rsidRPr="00043CE0">
        <w:rPr>
          <w:lang w:val="en-US"/>
        </w:rPr>
        <w:t xml:space="preserve">), Deutscher </w:t>
      </w:r>
      <w:proofErr w:type="spellStart"/>
      <w:r w:rsidRPr="00043CE0">
        <w:rPr>
          <w:lang w:val="en-US"/>
        </w:rPr>
        <w:t>Eichverlag</w:t>
      </w:r>
      <w:proofErr w:type="spellEnd"/>
      <w:r w:rsidRPr="00043CE0">
        <w:rPr>
          <w:lang w:val="en-US"/>
        </w:rPr>
        <w:t>, Braunschweig</w:t>
      </w:r>
    </w:p>
    <w:p w14:paraId="0DC1C353" w14:textId="7CACCE4B" w:rsidR="008F21BA" w:rsidRDefault="008F21BA" w:rsidP="008F21BA">
      <w:pPr>
        <w:pStyle w:val="CETReferencetext"/>
        <w:rPr>
          <w:lang w:val="en-US"/>
        </w:rPr>
      </w:pPr>
      <w:proofErr w:type="spellStart"/>
      <w:r w:rsidRPr="008F21BA">
        <w:t>Papadias</w:t>
      </w:r>
      <w:proofErr w:type="spellEnd"/>
      <w:r>
        <w:t>, D.D.</w:t>
      </w:r>
      <w:r w:rsidRPr="008F21BA">
        <w:t xml:space="preserve"> and Ahluwalia</w:t>
      </w:r>
      <w:r>
        <w:t xml:space="preserve">, R.K., 2021, Toluene-Methylcyclohexane as Two-Way Carrier for Hydrogen Transmission and Storage, technical report by </w:t>
      </w:r>
      <w:r w:rsidRPr="008F21BA">
        <w:t>Argonne National Laboratory and Chiyoda International Corporation</w:t>
      </w:r>
    </w:p>
    <w:p w14:paraId="11CFFC2D" w14:textId="7E25DDFA" w:rsidR="000D5CC5" w:rsidRPr="000A11A7" w:rsidRDefault="000D5CC5" w:rsidP="000D5CC5">
      <w:pPr>
        <w:pStyle w:val="CETReferencetext"/>
        <w:rPr>
          <w:lang w:val="de-DE"/>
        </w:rPr>
      </w:pPr>
      <w:r w:rsidRPr="000A11A7">
        <w:rPr>
          <w:lang w:val="de-DE"/>
        </w:rPr>
        <w:t>PTB 2003, from the German Metrology Institute (Physikalisch-Technische Bundesanstalt (PTB)), Sicherheitstechnische Kenngrößen: Messwerte 2003 des PTB-Laboratoriums 3.31, PTB-Lab. 3.31</w:t>
      </w:r>
    </w:p>
    <w:p w14:paraId="730A03D1" w14:textId="77777777" w:rsidR="000D5CC5" w:rsidRPr="000A11A7" w:rsidRDefault="000D5CC5" w:rsidP="000D5CC5">
      <w:pPr>
        <w:pStyle w:val="CETReferencetext"/>
        <w:rPr>
          <w:lang w:val="de-DE"/>
        </w:rPr>
      </w:pPr>
      <w:r w:rsidRPr="000A11A7">
        <w:rPr>
          <w:lang w:val="de-DE"/>
        </w:rPr>
        <w:t>PTB 2005, from the German Metrology Institute (Physikalisch-Technische Bundesanstalt (PTB)), Berechnete molare stöchiometrische Brenngasanteile in Luft (c_stoech), Datenbank PTB-Lab. 3.43</w:t>
      </w:r>
    </w:p>
    <w:p w14:paraId="62414EFA" w14:textId="77777777" w:rsidR="000D5CC5" w:rsidRPr="00043CE0" w:rsidRDefault="000D5CC5" w:rsidP="000D5CC5">
      <w:pPr>
        <w:pStyle w:val="CETReferencetext"/>
        <w:rPr>
          <w:lang w:val="en-US"/>
        </w:rPr>
      </w:pPr>
      <w:r w:rsidRPr="000A11A7">
        <w:rPr>
          <w:lang w:val="de-DE"/>
        </w:rPr>
        <w:t xml:space="preserve">PTB 2023, from the German Metrology Institute (Physikalisch-Technische Bundesanstalt (PTB)), Sicherheitstechnische Kenngrößen: Messwerte des Labors, PTB-Lab. </w:t>
      </w:r>
      <w:r w:rsidRPr="00043CE0">
        <w:rPr>
          <w:lang w:val="en-US"/>
        </w:rPr>
        <w:t>3.71</w:t>
      </w:r>
    </w:p>
    <w:p w14:paraId="03507984" w14:textId="166E0937" w:rsidR="00600535" w:rsidRDefault="00211B68" w:rsidP="008F07D4">
      <w:pPr>
        <w:pStyle w:val="CETReferencetext"/>
        <w:rPr>
          <w:lang w:val="en-US"/>
        </w:rPr>
      </w:pPr>
      <w:r w:rsidRPr="00043CE0">
        <w:rPr>
          <w:lang w:val="en-US"/>
        </w:rPr>
        <w:t xml:space="preserve">Tsai, Y., Cai, J., Pan, Y., Jiang, J., 2023, Explosion risk assessment of liquid organic hydrogen carrier system by using toluene-methylcyclohexane on varying hydrogen storage scenarios, Journal of Loss Prevention in the Process Industries, Volume 86, 105206, </w:t>
      </w:r>
      <w:proofErr w:type="spellStart"/>
      <w:r w:rsidRPr="00043CE0">
        <w:rPr>
          <w:lang w:val="en-US"/>
        </w:rPr>
        <w:t>doi</w:t>
      </w:r>
      <w:proofErr w:type="spellEnd"/>
      <w:r w:rsidRPr="00043CE0">
        <w:rPr>
          <w:lang w:val="en-US"/>
        </w:rPr>
        <w:t>:</w:t>
      </w:r>
      <w:r w:rsidR="00F6284D">
        <w:rPr>
          <w:lang w:val="en-US"/>
        </w:rPr>
        <w:t xml:space="preserve"> </w:t>
      </w:r>
      <w:r w:rsidRPr="00043CE0">
        <w:rPr>
          <w:lang w:val="en-US"/>
        </w:rPr>
        <w:t>10.1016/j.jlp.2023.105206</w:t>
      </w:r>
    </w:p>
    <w:p w14:paraId="353F7A37" w14:textId="1799F3FB" w:rsidR="008F21BA" w:rsidRDefault="008F21BA" w:rsidP="00657D44">
      <w:pPr>
        <w:pStyle w:val="CETReferencetext"/>
      </w:pPr>
      <w:r w:rsidRPr="008F21BA">
        <w:t>ZEMA</w:t>
      </w:r>
      <w:r>
        <w:t xml:space="preserve"> 1999</w:t>
      </w:r>
      <w:r w:rsidRPr="008F21BA">
        <w:t xml:space="preserve"> - </w:t>
      </w:r>
      <w:proofErr w:type="spellStart"/>
      <w:r w:rsidRPr="008F21BA">
        <w:t>Zentrale</w:t>
      </w:r>
      <w:proofErr w:type="spellEnd"/>
      <w:r w:rsidRPr="008F21BA">
        <w:t xml:space="preserve"> Melde- und </w:t>
      </w:r>
      <w:proofErr w:type="spellStart"/>
      <w:r w:rsidRPr="008F21BA">
        <w:t>Auswertestelle</w:t>
      </w:r>
      <w:proofErr w:type="spellEnd"/>
      <w:r w:rsidRPr="008F21BA">
        <w:t xml:space="preserve"> für </w:t>
      </w:r>
      <w:proofErr w:type="spellStart"/>
      <w:r w:rsidRPr="008F21BA">
        <w:t>Störfälle</w:t>
      </w:r>
      <w:proofErr w:type="spellEnd"/>
      <w:r>
        <w:t xml:space="preserve"> (</w:t>
      </w:r>
      <w:r w:rsidRPr="008F21BA">
        <w:t>Central reporting and evaluation point for incidents</w:t>
      </w:r>
      <w:r w:rsidR="00B433E6">
        <w:t xml:space="preserve"> in Germany</w:t>
      </w:r>
      <w:r>
        <w:t xml:space="preserve">), incident reported for the </w:t>
      </w:r>
      <w:proofErr w:type="gramStart"/>
      <w:r>
        <w:t>20</w:t>
      </w:r>
      <w:r w:rsidRPr="008F21BA">
        <w:rPr>
          <w:vertAlign w:val="superscript"/>
        </w:rPr>
        <w:t>th</w:t>
      </w:r>
      <w:proofErr w:type="gramEnd"/>
      <w:r>
        <w:t xml:space="preserve"> October 1999, entry number 9933</w:t>
      </w:r>
    </w:p>
    <w:p w14:paraId="7E834A03" w14:textId="4E156E5F" w:rsidR="00872F60" w:rsidRPr="00872F60" w:rsidRDefault="00872F60" w:rsidP="00872F60">
      <w:pPr>
        <w:pStyle w:val="CETReferencetext"/>
      </w:pPr>
      <w:r>
        <w:t xml:space="preserve">ZEMA Tol - </w:t>
      </w:r>
      <w:proofErr w:type="spellStart"/>
      <w:r w:rsidRPr="008F21BA">
        <w:t>Zentrale</w:t>
      </w:r>
      <w:proofErr w:type="spellEnd"/>
      <w:r w:rsidRPr="008F21BA">
        <w:t xml:space="preserve"> Melde- und </w:t>
      </w:r>
      <w:proofErr w:type="spellStart"/>
      <w:r w:rsidRPr="008F21BA">
        <w:t>Auswertestelle</w:t>
      </w:r>
      <w:proofErr w:type="spellEnd"/>
      <w:r w:rsidRPr="008F21BA">
        <w:t xml:space="preserve"> für </w:t>
      </w:r>
      <w:proofErr w:type="spellStart"/>
      <w:r w:rsidRPr="008F21BA">
        <w:t>Störfälle</w:t>
      </w:r>
      <w:proofErr w:type="spellEnd"/>
      <w:r>
        <w:t xml:space="preserve"> (</w:t>
      </w:r>
      <w:r w:rsidRPr="008F21BA">
        <w:t>Central reporting and evaluation point for incidents</w:t>
      </w:r>
      <w:r w:rsidR="00B433E6">
        <w:t xml:space="preserve"> in Germany</w:t>
      </w:r>
      <w:r>
        <w:t>), all fourteen incidents reported for toluene simply summed up</w:t>
      </w:r>
    </w:p>
    <w:p w14:paraId="7D9808B4" w14:textId="0C731028" w:rsidR="00657D44" w:rsidRPr="008F07D4" w:rsidRDefault="00657D44" w:rsidP="00657D44">
      <w:pPr>
        <w:pStyle w:val="CETReferencetext"/>
        <w:rPr>
          <w:lang w:val="en-US"/>
        </w:rPr>
      </w:pPr>
      <w:r w:rsidRPr="00657D44">
        <w:rPr>
          <w:lang w:val="en-US"/>
        </w:rPr>
        <w:t>Zhang,</w:t>
      </w:r>
      <w:r>
        <w:rPr>
          <w:lang w:val="en-US"/>
        </w:rPr>
        <w:t xml:space="preserve"> M.,</w:t>
      </w:r>
      <w:r w:rsidRPr="00657D44">
        <w:rPr>
          <w:lang w:val="en-US"/>
        </w:rPr>
        <w:t xml:space="preserve"> Wei,</w:t>
      </w:r>
      <w:r>
        <w:rPr>
          <w:lang w:val="en-US"/>
        </w:rPr>
        <w:t xml:space="preserve"> X., </w:t>
      </w:r>
      <w:r w:rsidRPr="00657D44">
        <w:rPr>
          <w:lang w:val="en-US"/>
        </w:rPr>
        <w:t>An,</w:t>
      </w:r>
      <w:r>
        <w:rPr>
          <w:lang w:val="en-US"/>
        </w:rPr>
        <w:t xml:space="preserve"> Z.,</w:t>
      </w:r>
      <w:r w:rsidRPr="00657D44">
        <w:rPr>
          <w:lang w:val="en-US"/>
        </w:rPr>
        <w:t xml:space="preserve"> Okafor,</w:t>
      </w:r>
      <w:r>
        <w:rPr>
          <w:lang w:val="en-US"/>
        </w:rPr>
        <w:t xml:space="preserve"> E.C.,</w:t>
      </w:r>
      <w:r w:rsidRPr="00657D44">
        <w:rPr>
          <w:lang w:val="en-US"/>
        </w:rPr>
        <w:t xml:space="preserve"> </w:t>
      </w:r>
      <w:proofErr w:type="spellStart"/>
      <w:r w:rsidRPr="00657D44">
        <w:rPr>
          <w:lang w:val="en-US"/>
        </w:rPr>
        <w:t>Guiberti</w:t>
      </w:r>
      <w:proofErr w:type="spellEnd"/>
      <w:r w:rsidRPr="00657D44">
        <w:rPr>
          <w:lang w:val="en-US"/>
        </w:rPr>
        <w:t>,</w:t>
      </w:r>
      <w:r>
        <w:rPr>
          <w:lang w:val="en-US"/>
        </w:rPr>
        <w:t xml:space="preserve"> T.F.,</w:t>
      </w:r>
      <w:r w:rsidRPr="00657D44">
        <w:rPr>
          <w:lang w:val="en-US"/>
        </w:rPr>
        <w:t xml:space="preserve"> Wang,</w:t>
      </w:r>
      <w:r>
        <w:rPr>
          <w:lang w:val="en-US"/>
        </w:rPr>
        <w:t xml:space="preserve"> J.,</w:t>
      </w:r>
      <w:r w:rsidRPr="00657D44">
        <w:rPr>
          <w:lang w:val="en-US"/>
        </w:rPr>
        <w:t xml:space="preserve"> Huang,</w:t>
      </w:r>
      <w:r>
        <w:rPr>
          <w:lang w:val="en-US"/>
        </w:rPr>
        <w:t xml:space="preserve"> Z., 2025, </w:t>
      </w:r>
      <w:r w:rsidRPr="00657D44">
        <w:rPr>
          <w:lang w:val="en-US"/>
        </w:rPr>
        <w:t>Flame stabilization and emission characteristics of ammonia combustion in lab-scale gas turbine combustors: Recent progress and prospects,</w:t>
      </w:r>
      <w:r>
        <w:rPr>
          <w:lang w:val="en-US"/>
        </w:rPr>
        <w:t xml:space="preserve"> </w:t>
      </w:r>
      <w:r w:rsidRPr="00657D44">
        <w:rPr>
          <w:lang w:val="en-US"/>
        </w:rPr>
        <w:t>Progress in Energy and Combustion Science,</w:t>
      </w:r>
      <w:r>
        <w:rPr>
          <w:lang w:val="en-US"/>
        </w:rPr>
        <w:t xml:space="preserve"> </w:t>
      </w:r>
      <w:r w:rsidRPr="00657D44">
        <w:rPr>
          <w:lang w:val="en-US"/>
        </w:rPr>
        <w:t>Volume 106,</w:t>
      </w:r>
      <w:r>
        <w:rPr>
          <w:lang w:val="en-US"/>
        </w:rPr>
        <w:t xml:space="preserve"> </w:t>
      </w:r>
      <w:r w:rsidRPr="00657D44">
        <w:rPr>
          <w:lang w:val="en-US"/>
        </w:rPr>
        <w:t>101193,</w:t>
      </w:r>
      <w:r>
        <w:rPr>
          <w:lang w:val="en-US"/>
        </w:rPr>
        <w:t xml:space="preserve"> </w:t>
      </w:r>
      <w:r w:rsidRPr="00657D44">
        <w:rPr>
          <w:lang w:val="en-US"/>
        </w:rPr>
        <w:t>ISSN 0360-1285,</w:t>
      </w:r>
      <w:r>
        <w:rPr>
          <w:lang w:val="en-US"/>
        </w:rPr>
        <w:t xml:space="preserve"> </w:t>
      </w:r>
      <w:proofErr w:type="spellStart"/>
      <w:r w:rsidRPr="00657D44">
        <w:rPr>
          <w:lang w:val="en-US"/>
        </w:rPr>
        <w:t>doi</w:t>
      </w:r>
      <w:proofErr w:type="spellEnd"/>
      <w:r>
        <w:rPr>
          <w:lang w:val="en-US"/>
        </w:rPr>
        <w:t xml:space="preserve">: </w:t>
      </w:r>
      <w:r w:rsidRPr="00657D44">
        <w:rPr>
          <w:lang w:val="en-US"/>
        </w:rPr>
        <w:t>10.1016/j.pecs.2024.101193</w:t>
      </w:r>
    </w:p>
    <w:sectPr w:rsidR="00657D44" w:rsidRPr="008F07D4"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682D0" w14:textId="77777777" w:rsidR="00352289" w:rsidRDefault="00352289" w:rsidP="004F5E36">
      <w:r>
        <w:separator/>
      </w:r>
    </w:p>
  </w:endnote>
  <w:endnote w:type="continuationSeparator" w:id="0">
    <w:p w14:paraId="77B6D441" w14:textId="77777777" w:rsidR="00352289" w:rsidRDefault="0035228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E8A11" w14:textId="77777777" w:rsidR="00352289" w:rsidRDefault="00352289" w:rsidP="004F5E36">
      <w:r>
        <w:separator/>
      </w:r>
    </w:p>
  </w:footnote>
  <w:footnote w:type="continuationSeparator" w:id="0">
    <w:p w14:paraId="3491124B" w14:textId="77777777" w:rsidR="00352289" w:rsidRDefault="0035228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AF36435"/>
    <w:multiLevelType w:val="hybridMultilevel"/>
    <w:tmpl w:val="28FEE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2"/>
  </w:num>
  <w:num w:numId="16" w16cid:durableId="1977102699">
    <w:abstractNumId w:val="21"/>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 w:numId="24" w16cid:durableId="17085306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A2F"/>
    <w:rsid w:val="000052FB"/>
    <w:rsid w:val="00005A19"/>
    <w:rsid w:val="000117CB"/>
    <w:rsid w:val="0002477D"/>
    <w:rsid w:val="0003148D"/>
    <w:rsid w:val="00031EEC"/>
    <w:rsid w:val="00043CE0"/>
    <w:rsid w:val="00051566"/>
    <w:rsid w:val="000562A9"/>
    <w:rsid w:val="00062A9A"/>
    <w:rsid w:val="00065058"/>
    <w:rsid w:val="00086C39"/>
    <w:rsid w:val="000A03B2"/>
    <w:rsid w:val="000A11A7"/>
    <w:rsid w:val="000A7BBA"/>
    <w:rsid w:val="000D0268"/>
    <w:rsid w:val="000D32C1"/>
    <w:rsid w:val="000D34BE"/>
    <w:rsid w:val="000D5CC5"/>
    <w:rsid w:val="000E0B3C"/>
    <w:rsid w:val="000E102F"/>
    <w:rsid w:val="000E36F1"/>
    <w:rsid w:val="000E3A73"/>
    <w:rsid w:val="000E414A"/>
    <w:rsid w:val="000E75FD"/>
    <w:rsid w:val="000F093C"/>
    <w:rsid w:val="000F787B"/>
    <w:rsid w:val="0012091F"/>
    <w:rsid w:val="00121206"/>
    <w:rsid w:val="00126BC2"/>
    <w:rsid w:val="001308B6"/>
    <w:rsid w:val="0013098E"/>
    <w:rsid w:val="0013121F"/>
    <w:rsid w:val="00131B57"/>
    <w:rsid w:val="00131FE6"/>
    <w:rsid w:val="0013263F"/>
    <w:rsid w:val="001331DF"/>
    <w:rsid w:val="00134DE4"/>
    <w:rsid w:val="00135A80"/>
    <w:rsid w:val="0014034D"/>
    <w:rsid w:val="00140FE3"/>
    <w:rsid w:val="00144D16"/>
    <w:rsid w:val="00150E59"/>
    <w:rsid w:val="00152DE3"/>
    <w:rsid w:val="00164CF9"/>
    <w:rsid w:val="001667A6"/>
    <w:rsid w:val="0018171E"/>
    <w:rsid w:val="00184AD6"/>
    <w:rsid w:val="00184B55"/>
    <w:rsid w:val="001A4AF7"/>
    <w:rsid w:val="001B0349"/>
    <w:rsid w:val="001B062A"/>
    <w:rsid w:val="001B1E93"/>
    <w:rsid w:val="001B65C1"/>
    <w:rsid w:val="001C260F"/>
    <w:rsid w:val="001C5C3A"/>
    <w:rsid w:val="001C684B"/>
    <w:rsid w:val="001D0CFB"/>
    <w:rsid w:val="001D21AF"/>
    <w:rsid w:val="001D53FC"/>
    <w:rsid w:val="001D544C"/>
    <w:rsid w:val="001F42A5"/>
    <w:rsid w:val="001F7B9D"/>
    <w:rsid w:val="00201C93"/>
    <w:rsid w:val="00211B68"/>
    <w:rsid w:val="00222456"/>
    <w:rsid w:val="002224B4"/>
    <w:rsid w:val="002303D6"/>
    <w:rsid w:val="002447EF"/>
    <w:rsid w:val="00251550"/>
    <w:rsid w:val="00253CF6"/>
    <w:rsid w:val="00263B05"/>
    <w:rsid w:val="0027221A"/>
    <w:rsid w:val="00275B61"/>
    <w:rsid w:val="00280FAF"/>
    <w:rsid w:val="00282656"/>
    <w:rsid w:val="00296B83"/>
    <w:rsid w:val="002B4015"/>
    <w:rsid w:val="002B78CE"/>
    <w:rsid w:val="002C2FB6"/>
    <w:rsid w:val="002E5FA7"/>
    <w:rsid w:val="002F0141"/>
    <w:rsid w:val="002F3309"/>
    <w:rsid w:val="003008CE"/>
    <w:rsid w:val="003009B7"/>
    <w:rsid w:val="00300E56"/>
    <w:rsid w:val="0030152C"/>
    <w:rsid w:val="0030469C"/>
    <w:rsid w:val="00321CA6"/>
    <w:rsid w:val="00323763"/>
    <w:rsid w:val="00323C5F"/>
    <w:rsid w:val="00334C09"/>
    <w:rsid w:val="00352289"/>
    <w:rsid w:val="003723D4"/>
    <w:rsid w:val="00381905"/>
    <w:rsid w:val="00384CC8"/>
    <w:rsid w:val="003871FD"/>
    <w:rsid w:val="0039503C"/>
    <w:rsid w:val="003A1E30"/>
    <w:rsid w:val="003A2829"/>
    <w:rsid w:val="003A28BE"/>
    <w:rsid w:val="003A7D1C"/>
    <w:rsid w:val="003B0448"/>
    <w:rsid w:val="003B304B"/>
    <w:rsid w:val="003B3146"/>
    <w:rsid w:val="003B49CD"/>
    <w:rsid w:val="003D1E02"/>
    <w:rsid w:val="003F015E"/>
    <w:rsid w:val="00400414"/>
    <w:rsid w:val="0041446B"/>
    <w:rsid w:val="00431BA9"/>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A547D"/>
    <w:rsid w:val="004B5C15"/>
    <w:rsid w:val="004C3D1D"/>
    <w:rsid w:val="004C3D84"/>
    <w:rsid w:val="004C7913"/>
    <w:rsid w:val="004E4DD6"/>
    <w:rsid w:val="004F5E36"/>
    <w:rsid w:val="005071B9"/>
    <w:rsid w:val="00507B47"/>
    <w:rsid w:val="00507BEF"/>
    <w:rsid w:val="00507CC9"/>
    <w:rsid w:val="005119A5"/>
    <w:rsid w:val="00516FEE"/>
    <w:rsid w:val="005278B7"/>
    <w:rsid w:val="00531A09"/>
    <w:rsid w:val="00532016"/>
    <w:rsid w:val="005346C8"/>
    <w:rsid w:val="005424FC"/>
    <w:rsid w:val="00543E7D"/>
    <w:rsid w:val="00547A68"/>
    <w:rsid w:val="00552657"/>
    <w:rsid w:val="005531C9"/>
    <w:rsid w:val="00553CC7"/>
    <w:rsid w:val="00554879"/>
    <w:rsid w:val="00570C43"/>
    <w:rsid w:val="0057718C"/>
    <w:rsid w:val="00592274"/>
    <w:rsid w:val="005A64BE"/>
    <w:rsid w:val="005B2110"/>
    <w:rsid w:val="005B350B"/>
    <w:rsid w:val="005B61E6"/>
    <w:rsid w:val="005C77E1"/>
    <w:rsid w:val="005D668A"/>
    <w:rsid w:val="005D6A2F"/>
    <w:rsid w:val="005E0592"/>
    <w:rsid w:val="005E1A82"/>
    <w:rsid w:val="005E794C"/>
    <w:rsid w:val="005F0A28"/>
    <w:rsid w:val="005F0E5E"/>
    <w:rsid w:val="00600535"/>
    <w:rsid w:val="006020DD"/>
    <w:rsid w:val="006104A2"/>
    <w:rsid w:val="00610CD6"/>
    <w:rsid w:val="00620DEE"/>
    <w:rsid w:val="006211F6"/>
    <w:rsid w:val="00621F92"/>
    <w:rsid w:val="0062280A"/>
    <w:rsid w:val="006231E1"/>
    <w:rsid w:val="00625639"/>
    <w:rsid w:val="00631B33"/>
    <w:rsid w:val="0064184D"/>
    <w:rsid w:val="006422CC"/>
    <w:rsid w:val="00651D18"/>
    <w:rsid w:val="00657D44"/>
    <w:rsid w:val="00660E3E"/>
    <w:rsid w:val="00662E74"/>
    <w:rsid w:val="00677080"/>
    <w:rsid w:val="00680C23"/>
    <w:rsid w:val="00683E23"/>
    <w:rsid w:val="00693766"/>
    <w:rsid w:val="006A3281"/>
    <w:rsid w:val="006A6DE5"/>
    <w:rsid w:val="006B4888"/>
    <w:rsid w:val="006C2517"/>
    <w:rsid w:val="006C2E45"/>
    <w:rsid w:val="006C359C"/>
    <w:rsid w:val="006C3DBC"/>
    <w:rsid w:val="006C5579"/>
    <w:rsid w:val="006D6E8B"/>
    <w:rsid w:val="006D7209"/>
    <w:rsid w:val="006E737D"/>
    <w:rsid w:val="00707DD1"/>
    <w:rsid w:val="00713973"/>
    <w:rsid w:val="00720A24"/>
    <w:rsid w:val="00723AFD"/>
    <w:rsid w:val="00732386"/>
    <w:rsid w:val="0073514D"/>
    <w:rsid w:val="00742CF1"/>
    <w:rsid w:val="007447F3"/>
    <w:rsid w:val="0075499F"/>
    <w:rsid w:val="00757C69"/>
    <w:rsid w:val="007661C8"/>
    <w:rsid w:val="0077098D"/>
    <w:rsid w:val="00785BF9"/>
    <w:rsid w:val="00785E86"/>
    <w:rsid w:val="007931FA"/>
    <w:rsid w:val="00796647"/>
    <w:rsid w:val="007A4861"/>
    <w:rsid w:val="007A7BBA"/>
    <w:rsid w:val="007B0C50"/>
    <w:rsid w:val="007B48F9"/>
    <w:rsid w:val="007C1A43"/>
    <w:rsid w:val="007D0951"/>
    <w:rsid w:val="007D610D"/>
    <w:rsid w:val="0080013E"/>
    <w:rsid w:val="00801759"/>
    <w:rsid w:val="00813288"/>
    <w:rsid w:val="008168FC"/>
    <w:rsid w:val="00830996"/>
    <w:rsid w:val="008345F1"/>
    <w:rsid w:val="00850F16"/>
    <w:rsid w:val="00865B07"/>
    <w:rsid w:val="008667EA"/>
    <w:rsid w:val="00872F60"/>
    <w:rsid w:val="0087637F"/>
    <w:rsid w:val="00892AD5"/>
    <w:rsid w:val="008A1512"/>
    <w:rsid w:val="008A7A54"/>
    <w:rsid w:val="008C5832"/>
    <w:rsid w:val="008D32B9"/>
    <w:rsid w:val="008D433B"/>
    <w:rsid w:val="008D4A16"/>
    <w:rsid w:val="008E5401"/>
    <w:rsid w:val="008E566E"/>
    <w:rsid w:val="008F07D4"/>
    <w:rsid w:val="008F21BA"/>
    <w:rsid w:val="0090161A"/>
    <w:rsid w:val="00901EB6"/>
    <w:rsid w:val="009041F8"/>
    <w:rsid w:val="00904C62"/>
    <w:rsid w:val="00921FE4"/>
    <w:rsid w:val="00922BA8"/>
    <w:rsid w:val="00924DAC"/>
    <w:rsid w:val="00927058"/>
    <w:rsid w:val="00942750"/>
    <w:rsid w:val="009450CE"/>
    <w:rsid w:val="009459BB"/>
    <w:rsid w:val="00947179"/>
    <w:rsid w:val="0095164B"/>
    <w:rsid w:val="00954090"/>
    <w:rsid w:val="009573E7"/>
    <w:rsid w:val="00962501"/>
    <w:rsid w:val="00963E05"/>
    <w:rsid w:val="00964A45"/>
    <w:rsid w:val="00967843"/>
    <w:rsid w:val="00967D54"/>
    <w:rsid w:val="00971028"/>
    <w:rsid w:val="00993B84"/>
    <w:rsid w:val="00994C6A"/>
    <w:rsid w:val="00996483"/>
    <w:rsid w:val="00996F5A"/>
    <w:rsid w:val="009B041A"/>
    <w:rsid w:val="009B107C"/>
    <w:rsid w:val="009C37C3"/>
    <w:rsid w:val="009C7C86"/>
    <w:rsid w:val="009D2FF7"/>
    <w:rsid w:val="009D5EE8"/>
    <w:rsid w:val="009E2A78"/>
    <w:rsid w:val="009E7884"/>
    <w:rsid w:val="009E788A"/>
    <w:rsid w:val="009F0E08"/>
    <w:rsid w:val="009F3E63"/>
    <w:rsid w:val="00A079AE"/>
    <w:rsid w:val="00A172FD"/>
    <w:rsid w:val="00A1763D"/>
    <w:rsid w:val="00A17CEC"/>
    <w:rsid w:val="00A27EF0"/>
    <w:rsid w:val="00A30A34"/>
    <w:rsid w:val="00A42361"/>
    <w:rsid w:val="00A50B20"/>
    <w:rsid w:val="00A51390"/>
    <w:rsid w:val="00A60130"/>
    <w:rsid w:val="00A60D13"/>
    <w:rsid w:val="00A7223D"/>
    <w:rsid w:val="00A72745"/>
    <w:rsid w:val="00A76EFC"/>
    <w:rsid w:val="00A87D50"/>
    <w:rsid w:val="00A91010"/>
    <w:rsid w:val="00A96BD7"/>
    <w:rsid w:val="00A97F29"/>
    <w:rsid w:val="00AA4AAD"/>
    <w:rsid w:val="00AA702E"/>
    <w:rsid w:val="00AA7D26"/>
    <w:rsid w:val="00AB0964"/>
    <w:rsid w:val="00AB3F7E"/>
    <w:rsid w:val="00AB5011"/>
    <w:rsid w:val="00AC7368"/>
    <w:rsid w:val="00AD16B9"/>
    <w:rsid w:val="00AE377D"/>
    <w:rsid w:val="00AF0C78"/>
    <w:rsid w:val="00AF0EBA"/>
    <w:rsid w:val="00AF2463"/>
    <w:rsid w:val="00B02C8A"/>
    <w:rsid w:val="00B17FBD"/>
    <w:rsid w:val="00B23B29"/>
    <w:rsid w:val="00B25937"/>
    <w:rsid w:val="00B315A6"/>
    <w:rsid w:val="00B31813"/>
    <w:rsid w:val="00B33365"/>
    <w:rsid w:val="00B36E47"/>
    <w:rsid w:val="00B433E6"/>
    <w:rsid w:val="00B57B36"/>
    <w:rsid w:val="00B57E6F"/>
    <w:rsid w:val="00B67503"/>
    <w:rsid w:val="00B8686D"/>
    <w:rsid w:val="00B91C32"/>
    <w:rsid w:val="00B93F69"/>
    <w:rsid w:val="00BB1DDC"/>
    <w:rsid w:val="00BC30C9"/>
    <w:rsid w:val="00BD077D"/>
    <w:rsid w:val="00BE3E58"/>
    <w:rsid w:val="00BF13CE"/>
    <w:rsid w:val="00C01616"/>
    <w:rsid w:val="00C0162B"/>
    <w:rsid w:val="00C068ED"/>
    <w:rsid w:val="00C22E0C"/>
    <w:rsid w:val="00C345B1"/>
    <w:rsid w:val="00C40142"/>
    <w:rsid w:val="00C52C3C"/>
    <w:rsid w:val="00C57182"/>
    <w:rsid w:val="00C57863"/>
    <w:rsid w:val="00C613F1"/>
    <w:rsid w:val="00C640AF"/>
    <w:rsid w:val="00C655FD"/>
    <w:rsid w:val="00C75407"/>
    <w:rsid w:val="00C75950"/>
    <w:rsid w:val="00C841C6"/>
    <w:rsid w:val="00C870A8"/>
    <w:rsid w:val="00C94434"/>
    <w:rsid w:val="00C975A1"/>
    <w:rsid w:val="00CA0D75"/>
    <w:rsid w:val="00CA1C95"/>
    <w:rsid w:val="00CA5A9C"/>
    <w:rsid w:val="00CC4C20"/>
    <w:rsid w:val="00CD3517"/>
    <w:rsid w:val="00CD5FE2"/>
    <w:rsid w:val="00CE7C68"/>
    <w:rsid w:val="00D02B4C"/>
    <w:rsid w:val="00D040C4"/>
    <w:rsid w:val="00D04561"/>
    <w:rsid w:val="00D05B4B"/>
    <w:rsid w:val="00D20AD1"/>
    <w:rsid w:val="00D2582C"/>
    <w:rsid w:val="00D415F4"/>
    <w:rsid w:val="00D46B7E"/>
    <w:rsid w:val="00D51AA4"/>
    <w:rsid w:val="00D57C84"/>
    <w:rsid w:val="00D6057D"/>
    <w:rsid w:val="00D71640"/>
    <w:rsid w:val="00D836C5"/>
    <w:rsid w:val="00D84576"/>
    <w:rsid w:val="00D92A7B"/>
    <w:rsid w:val="00DA1399"/>
    <w:rsid w:val="00DA24C6"/>
    <w:rsid w:val="00DA4D7B"/>
    <w:rsid w:val="00DC2840"/>
    <w:rsid w:val="00DC73EE"/>
    <w:rsid w:val="00DD271C"/>
    <w:rsid w:val="00DE264A"/>
    <w:rsid w:val="00DF18C4"/>
    <w:rsid w:val="00DF5072"/>
    <w:rsid w:val="00E02D18"/>
    <w:rsid w:val="00E041E7"/>
    <w:rsid w:val="00E23CA1"/>
    <w:rsid w:val="00E262D1"/>
    <w:rsid w:val="00E30BF7"/>
    <w:rsid w:val="00E31282"/>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F27EE4"/>
    <w:rsid w:val="00F3049E"/>
    <w:rsid w:val="00F30C64"/>
    <w:rsid w:val="00F32BA2"/>
    <w:rsid w:val="00F32CDB"/>
    <w:rsid w:val="00F41EE4"/>
    <w:rsid w:val="00F457AA"/>
    <w:rsid w:val="00F565FE"/>
    <w:rsid w:val="00F6284D"/>
    <w:rsid w:val="00F63A70"/>
    <w:rsid w:val="00F63D8C"/>
    <w:rsid w:val="00F7534E"/>
    <w:rsid w:val="00F93EDF"/>
    <w:rsid w:val="00FA1802"/>
    <w:rsid w:val="00FA21D0"/>
    <w:rsid w:val="00FA5F5F"/>
    <w:rsid w:val="00FB5EE5"/>
    <w:rsid w:val="00FB730C"/>
    <w:rsid w:val="00FC2695"/>
    <w:rsid w:val="00FC3E03"/>
    <w:rsid w:val="00FC3FC1"/>
    <w:rsid w:val="00FF2F4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493BB40A-1192-4943-9E27-B0218353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610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62282">
      <w:bodyDiv w:val="1"/>
      <w:marLeft w:val="0"/>
      <w:marRight w:val="0"/>
      <w:marTop w:val="0"/>
      <w:marBottom w:val="0"/>
      <w:divBdr>
        <w:top w:val="none" w:sz="0" w:space="0" w:color="auto"/>
        <w:left w:val="none" w:sz="0" w:space="0" w:color="auto"/>
        <w:bottom w:val="none" w:sz="0" w:space="0" w:color="auto"/>
        <w:right w:val="none" w:sz="0" w:space="0" w:color="auto"/>
      </w:divBdr>
    </w:div>
    <w:div w:id="67000503">
      <w:bodyDiv w:val="1"/>
      <w:marLeft w:val="0"/>
      <w:marRight w:val="0"/>
      <w:marTop w:val="0"/>
      <w:marBottom w:val="0"/>
      <w:divBdr>
        <w:top w:val="none" w:sz="0" w:space="0" w:color="auto"/>
        <w:left w:val="none" w:sz="0" w:space="0" w:color="auto"/>
        <w:bottom w:val="none" w:sz="0" w:space="0" w:color="auto"/>
        <w:right w:val="none" w:sz="0" w:space="0" w:color="auto"/>
      </w:divBdr>
    </w:div>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26327434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2255">
      <w:bodyDiv w:val="1"/>
      <w:marLeft w:val="0"/>
      <w:marRight w:val="0"/>
      <w:marTop w:val="0"/>
      <w:marBottom w:val="0"/>
      <w:divBdr>
        <w:top w:val="none" w:sz="0" w:space="0" w:color="auto"/>
        <w:left w:val="none" w:sz="0" w:space="0" w:color="auto"/>
        <w:bottom w:val="none" w:sz="0" w:space="0" w:color="auto"/>
        <w:right w:val="none" w:sz="0" w:space="0" w:color="auto"/>
      </w:divBdr>
    </w:div>
    <w:div w:id="835533722">
      <w:bodyDiv w:val="1"/>
      <w:marLeft w:val="0"/>
      <w:marRight w:val="0"/>
      <w:marTop w:val="0"/>
      <w:marBottom w:val="0"/>
      <w:divBdr>
        <w:top w:val="none" w:sz="0" w:space="0" w:color="auto"/>
        <w:left w:val="none" w:sz="0" w:space="0" w:color="auto"/>
        <w:bottom w:val="none" w:sz="0" w:space="0" w:color="auto"/>
        <w:right w:val="none" w:sz="0" w:space="0" w:color="auto"/>
      </w:divBdr>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7899">
      <w:bodyDiv w:val="1"/>
      <w:marLeft w:val="0"/>
      <w:marRight w:val="0"/>
      <w:marTop w:val="0"/>
      <w:marBottom w:val="0"/>
      <w:divBdr>
        <w:top w:val="none" w:sz="0" w:space="0" w:color="auto"/>
        <w:left w:val="none" w:sz="0" w:space="0" w:color="auto"/>
        <w:bottom w:val="none" w:sz="0" w:space="0" w:color="auto"/>
        <w:right w:val="none" w:sz="0" w:space="0" w:color="auto"/>
      </w:divBdr>
    </w:div>
    <w:div w:id="1221598352">
      <w:bodyDiv w:val="1"/>
      <w:marLeft w:val="0"/>
      <w:marRight w:val="0"/>
      <w:marTop w:val="0"/>
      <w:marBottom w:val="0"/>
      <w:divBdr>
        <w:top w:val="none" w:sz="0" w:space="0" w:color="auto"/>
        <w:left w:val="none" w:sz="0" w:space="0" w:color="auto"/>
        <w:bottom w:val="none" w:sz="0" w:space="0" w:color="auto"/>
        <w:right w:val="none" w:sz="0" w:space="0" w:color="auto"/>
      </w:divBdr>
    </w:div>
    <w:div w:id="1277516262">
      <w:bodyDiv w:val="1"/>
      <w:marLeft w:val="0"/>
      <w:marRight w:val="0"/>
      <w:marTop w:val="0"/>
      <w:marBottom w:val="0"/>
      <w:divBdr>
        <w:top w:val="none" w:sz="0" w:space="0" w:color="auto"/>
        <w:left w:val="none" w:sz="0" w:space="0" w:color="auto"/>
        <w:bottom w:val="none" w:sz="0" w:space="0" w:color="auto"/>
        <w:right w:val="none" w:sz="0" w:space="0" w:color="auto"/>
      </w:divBdr>
    </w:div>
    <w:div w:id="1345088282">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1102337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99879758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www.mitsui.com/jp/en/topics/2021/1241738_1217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gestis.dguv.de/data?name=010070" TargetMode="External"/><Relationship Id="rId2" Type="http://schemas.openxmlformats.org/officeDocument/2006/relationships/numbering" Target="numbering.xml"/><Relationship Id="rId16" Type="http://schemas.openxmlformats.org/officeDocument/2006/relationships/hyperlink" Target="https://gestis.dguv.de/data?name=03095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2165</Words>
  <Characters>12345</Characters>
  <Application>Microsoft Office Word</Application>
  <DocSecurity>0</DocSecurity>
  <Lines>102</Lines>
  <Paragraphs>28</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Sauro Pierucci</cp:lastModifiedBy>
  <cp:revision>2</cp:revision>
  <cp:lastPrinted>2024-10-07T17:48:00Z</cp:lastPrinted>
  <dcterms:created xsi:type="dcterms:W3CDTF">2025-03-11T08:50:00Z</dcterms:created>
  <dcterms:modified xsi:type="dcterms:W3CDTF">2025-03-11T08:50:00Z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