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7802BC" w14:paraId="2A131A54" w14:textId="77777777" w:rsidTr="00165357">
        <w:trPr>
          <w:trHeight w:val="852"/>
          <w:jc w:val="center"/>
        </w:trPr>
        <w:tc>
          <w:tcPr>
            <w:tcW w:w="6940" w:type="dxa"/>
            <w:vMerge w:val="restart"/>
            <w:tcBorders>
              <w:right w:val="single" w:sz="4" w:space="0" w:color="auto"/>
            </w:tcBorders>
          </w:tcPr>
          <w:p w14:paraId="38C3D2BA" w14:textId="77777777" w:rsidR="000A03B2" w:rsidRPr="007802BC" w:rsidRDefault="000A03B2" w:rsidP="00DE264A">
            <w:pPr>
              <w:tabs>
                <w:tab w:val="left" w:pos="-108"/>
              </w:tabs>
              <w:ind w:left="-108"/>
              <w:jc w:val="left"/>
              <w:rPr>
                <w:rFonts w:cs="Arial"/>
                <w:b/>
                <w:bCs/>
                <w:i/>
                <w:iCs/>
                <w:color w:val="000066"/>
                <w:sz w:val="12"/>
                <w:szCs w:val="12"/>
                <w:lang w:eastAsia="it-IT"/>
              </w:rPr>
            </w:pPr>
            <w:bookmarkStart w:id="0" w:name="_Hlk145068772"/>
            <w:r w:rsidRPr="007802BC">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802BC">
              <w:rPr>
                <w:rFonts w:ascii="AdvP6960" w:hAnsi="AdvP6960" w:cs="AdvP6960"/>
                <w:color w:val="241F20"/>
                <w:szCs w:val="18"/>
                <w:lang w:eastAsia="it-IT"/>
              </w:rPr>
              <w:t xml:space="preserve"> </w:t>
            </w:r>
            <w:r w:rsidRPr="007802BC">
              <w:rPr>
                <w:rFonts w:cs="Arial"/>
                <w:b/>
                <w:bCs/>
                <w:i/>
                <w:iCs/>
                <w:color w:val="000066"/>
                <w:sz w:val="24"/>
                <w:szCs w:val="24"/>
                <w:lang w:eastAsia="it-IT"/>
              </w:rPr>
              <w:t>CHEMICAL ENGINEERING</w:t>
            </w:r>
            <w:r w:rsidRPr="007802BC">
              <w:rPr>
                <w:rFonts w:cs="Arial"/>
                <w:b/>
                <w:bCs/>
                <w:i/>
                <w:iCs/>
                <w:color w:val="0033FF"/>
                <w:sz w:val="24"/>
                <w:szCs w:val="24"/>
                <w:lang w:eastAsia="it-IT"/>
              </w:rPr>
              <w:t xml:space="preserve"> </w:t>
            </w:r>
            <w:r w:rsidRPr="007802BC">
              <w:rPr>
                <w:rFonts w:cs="Arial"/>
                <w:b/>
                <w:bCs/>
                <w:i/>
                <w:iCs/>
                <w:color w:val="666666"/>
                <w:sz w:val="24"/>
                <w:szCs w:val="24"/>
                <w:lang w:eastAsia="it-IT"/>
              </w:rPr>
              <w:t>TRANSACTIONS</w:t>
            </w:r>
            <w:r w:rsidRPr="007802BC">
              <w:rPr>
                <w:color w:val="333333"/>
                <w:sz w:val="24"/>
                <w:szCs w:val="24"/>
                <w:lang w:eastAsia="it-IT"/>
              </w:rPr>
              <w:t xml:space="preserve"> </w:t>
            </w:r>
            <w:r w:rsidRPr="007802BC">
              <w:rPr>
                <w:rFonts w:cs="Arial"/>
                <w:b/>
                <w:bCs/>
                <w:i/>
                <w:iCs/>
                <w:color w:val="000066"/>
                <w:sz w:val="27"/>
                <w:szCs w:val="27"/>
                <w:lang w:eastAsia="it-IT"/>
              </w:rPr>
              <w:br/>
            </w:r>
          </w:p>
          <w:p w14:paraId="4B780582" w14:textId="47EF826C" w:rsidR="000A03B2" w:rsidRPr="007802BC" w:rsidRDefault="00A76EFC" w:rsidP="001D21AF">
            <w:pPr>
              <w:tabs>
                <w:tab w:val="left" w:pos="-108"/>
              </w:tabs>
              <w:ind w:left="-108"/>
              <w:rPr>
                <w:rFonts w:cs="Arial"/>
                <w:b/>
                <w:bCs/>
                <w:i/>
                <w:iCs/>
                <w:color w:val="000066"/>
                <w:sz w:val="22"/>
                <w:szCs w:val="22"/>
                <w:lang w:eastAsia="it-IT"/>
              </w:rPr>
            </w:pPr>
            <w:r w:rsidRPr="007802BC">
              <w:rPr>
                <w:rFonts w:cs="Arial"/>
                <w:b/>
                <w:bCs/>
                <w:i/>
                <w:iCs/>
                <w:color w:val="000066"/>
                <w:sz w:val="22"/>
                <w:szCs w:val="22"/>
                <w:lang w:eastAsia="it-IT"/>
              </w:rPr>
              <w:t>VOL.</w:t>
            </w:r>
            <w:r w:rsidR="00785BF9" w:rsidRPr="007802BC">
              <w:rPr>
                <w:rFonts w:cs="Arial"/>
                <w:b/>
                <w:bCs/>
                <w:i/>
                <w:iCs/>
                <w:color w:val="000066"/>
                <w:sz w:val="22"/>
                <w:szCs w:val="22"/>
                <w:lang w:eastAsia="it-IT"/>
              </w:rPr>
              <w:t xml:space="preserve"> </w:t>
            </w:r>
            <w:r w:rsidR="00994C6A" w:rsidRPr="007802BC">
              <w:rPr>
                <w:rFonts w:cs="Arial"/>
                <w:b/>
                <w:bCs/>
                <w:i/>
                <w:iCs/>
                <w:color w:val="000066"/>
                <w:sz w:val="22"/>
                <w:szCs w:val="22"/>
                <w:lang w:eastAsia="it-IT"/>
              </w:rPr>
              <w:t>xxx</w:t>
            </w:r>
            <w:r w:rsidR="007B48F9" w:rsidRPr="007802BC">
              <w:rPr>
                <w:rFonts w:cs="Arial"/>
                <w:b/>
                <w:bCs/>
                <w:i/>
                <w:iCs/>
                <w:color w:val="000066"/>
                <w:sz w:val="22"/>
                <w:szCs w:val="22"/>
                <w:lang w:eastAsia="it-IT"/>
              </w:rPr>
              <w:t>,</w:t>
            </w:r>
            <w:r w:rsidR="00FA5F5F" w:rsidRPr="007802BC">
              <w:rPr>
                <w:rFonts w:cs="Arial"/>
                <w:b/>
                <w:bCs/>
                <w:i/>
                <w:iCs/>
                <w:color w:val="000066"/>
                <w:sz w:val="22"/>
                <w:szCs w:val="22"/>
                <w:lang w:eastAsia="it-IT"/>
              </w:rPr>
              <w:t xml:space="preserve"> </w:t>
            </w:r>
            <w:r w:rsidR="0030152C" w:rsidRPr="007802BC">
              <w:rPr>
                <w:rFonts w:cs="Arial"/>
                <w:b/>
                <w:bCs/>
                <w:i/>
                <w:iCs/>
                <w:color w:val="000066"/>
                <w:sz w:val="22"/>
                <w:szCs w:val="22"/>
                <w:lang w:eastAsia="it-IT"/>
              </w:rPr>
              <w:t>202</w:t>
            </w:r>
            <w:r w:rsidR="00994C6A" w:rsidRPr="007802BC">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7802BC" w:rsidRDefault="000A03B2" w:rsidP="00CD5FE2">
            <w:pPr>
              <w:spacing w:line="140" w:lineRule="atLeast"/>
              <w:jc w:val="right"/>
              <w:rPr>
                <w:rFonts w:cs="Arial"/>
                <w:sz w:val="14"/>
                <w:szCs w:val="14"/>
              </w:rPr>
            </w:pPr>
            <w:r w:rsidRPr="007802BC">
              <w:rPr>
                <w:rFonts w:cs="Arial"/>
                <w:sz w:val="14"/>
                <w:szCs w:val="14"/>
              </w:rPr>
              <w:t>A publication of</w:t>
            </w:r>
          </w:p>
          <w:p w14:paraId="599E5441" w14:textId="77777777" w:rsidR="000A03B2" w:rsidRPr="007802BC" w:rsidRDefault="000A03B2" w:rsidP="00CD5FE2">
            <w:pPr>
              <w:jc w:val="right"/>
            </w:pPr>
            <w:r w:rsidRPr="007802BC">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7802BC" w14:paraId="380FA3CD" w14:textId="77777777" w:rsidTr="00165357">
        <w:trPr>
          <w:trHeight w:val="567"/>
          <w:jc w:val="center"/>
        </w:trPr>
        <w:tc>
          <w:tcPr>
            <w:tcW w:w="6940" w:type="dxa"/>
            <w:vMerge/>
            <w:tcBorders>
              <w:right w:val="single" w:sz="4" w:space="0" w:color="auto"/>
            </w:tcBorders>
          </w:tcPr>
          <w:p w14:paraId="39E5E4C1" w14:textId="77777777" w:rsidR="000A03B2" w:rsidRPr="007802B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7802BC" w:rsidRDefault="000A03B2" w:rsidP="00CD5FE2">
            <w:pPr>
              <w:spacing w:line="140" w:lineRule="atLeast"/>
              <w:jc w:val="right"/>
              <w:rPr>
                <w:rFonts w:cs="Arial"/>
                <w:sz w:val="14"/>
                <w:szCs w:val="14"/>
              </w:rPr>
            </w:pPr>
            <w:r w:rsidRPr="007802BC">
              <w:rPr>
                <w:rFonts w:cs="Arial"/>
                <w:sz w:val="14"/>
                <w:szCs w:val="14"/>
              </w:rPr>
              <w:t>The Italian Association</w:t>
            </w:r>
          </w:p>
          <w:p w14:paraId="7522B1D2" w14:textId="77777777" w:rsidR="000A03B2" w:rsidRPr="007802BC" w:rsidRDefault="000A03B2" w:rsidP="00CD5FE2">
            <w:pPr>
              <w:spacing w:line="140" w:lineRule="atLeast"/>
              <w:jc w:val="right"/>
              <w:rPr>
                <w:rFonts w:cs="Arial"/>
                <w:sz w:val="14"/>
                <w:szCs w:val="14"/>
              </w:rPr>
            </w:pPr>
            <w:r w:rsidRPr="007802BC">
              <w:rPr>
                <w:rFonts w:cs="Arial"/>
                <w:sz w:val="14"/>
                <w:szCs w:val="14"/>
              </w:rPr>
              <w:t>of Chemical Engineering</w:t>
            </w:r>
          </w:p>
          <w:p w14:paraId="4F0CC5DE" w14:textId="47FDB2FC" w:rsidR="000A03B2" w:rsidRPr="007802BC" w:rsidRDefault="000D0268" w:rsidP="00CD5FE2">
            <w:pPr>
              <w:spacing w:line="140" w:lineRule="atLeast"/>
              <w:jc w:val="right"/>
              <w:rPr>
                <w:rFonts w:cs="Arial"/>
                <w:sz w:val="13"/>
                <w:szCs w:val="13"/>
              </w:rPr>
            </w:pPr>
            <w:r w:rsidRPr="007802BC">
              <w:rPr>
                <w:rFonts w:cs="Arial"/>
                <w:sz w:val="13"/>
                <w:szCs w:val="13"/>
              </w:rPr>
              <w:t>Online at www.cetjournal.it</w:t>
            </w:r>
          </w:p>
        </w:tc>
      </w:tr>
      <w:tr w:rsidR="000A03B2" w:rsidRPr="007802BC" w14:paraId="2D1B7169" w14:textId="77777777" w:rsidTr="00165357">
        <w:trPr>
          <w:trHeight w:val="68"/>
          <w:jc w:val="center"/>
        </w:trPr>
        <w:tc>
          <w:tcPr>
            <w:tcW w:w="8782" w:type="dxa"/>
            <w:gridSpan w:val="2"/>
          </w:tcPr>
          <w:p w14:paraId="30F07041" w14:textId="11182ABA" w:rsidR="00F27EE4" w:rsidRPr="007802BC" w:rsidRDefault="00AA7D26" w:rsidP="00F27EE4">
            <w:pPr>
              <w:ind w:left="-107"/>
              <w:rPr>
                <w:rFonts w:ascii="Tahoma" w:hAnsi="Tahoma" w:cs="Tahoma"/>
                <w:b/>
                <w:bCs/>
                <w:color w:val="000000"/>
                <w:sz w:val="14"/>
                <w:szCs w:val="14"/>
                <w:shd w:val="clear" w:color="auto" w:fill="FFFFFF"/>
                <w:lang w:val="it-IT"/>
              </w:rPr>
            </w:pPr>
            <w:r w:rsidRPr="007802BC">
              <w:rPr>
                <w:rFonts w:ascii="Tahoma" w:hAnsi="Tahoma" w:cs="Tahoma"/>
                <w:iCs/>
                <w:color w:val="333333"/>
                <w:sz w:val="14"/>
                <w:szCs w:val="14"/>
                <w:lang w:val="it-IT" w:eastAsia="it-IT"/>
              </w:rPr>
              <w:t>Guest Editors:</w:t>
            </w:r>
            <w:r w:rsidR="007D610D" w:rsidRPr="007802BC">
              <w:rPr>
                <w:rFonts w:ascii="Aptos" w:eastAsiaTheme="minorHAnsi" w:hAnsi="Aptos" w:cs="Aptos"/>
                <w:sz w:val="22"/>
                <w:szCs w:val="22"/>
                <w:lang w:val="it-IT"/>
                <w14:ligatures w14:val="standardContextual"/>
              </w:rPr>
              <w:t xml:space="preserve"> </w:t>
            </w:r>
            <w:r w:rsidR="00F27EE4" w:rsidRPr="007802BC">
              <w:rPr>
                <w:rFonts w:ascii="Tahoma" w:hAnsi="Tahoma" w:cs="Tahoma"/>
                <w:color w:val="000000"/>
                <w:sz w:val="14"/>
                <w:szCs w:val="14"/>
                <w:shd w:val="clear" w:color="auto" w:fill="FFFFFF"/>
                <w:lang w:val="it-IT"/>
              </w:rPr>
              <w:t>Bruno Fabiano, Valerio Cozzani</w:t>
            </w:r>
          </w:p>
          <w:p w14:paraId="1B0F1814" w14:textId="2DB8A072" w:rsidR="000A03B2" w:rsidRPr="007802BC" w:rsidRDefault="00AA7D26" w:rsidP="00AA7D26">
            <w:pPr>
              <w:tabs>
                <w:tab w:val="left" w:pos="-108"/>
              </w:tabs>
              <w:spacing w:line="140" w:lineRule="atLeast"/>
              <w:ind w:left="-107"/>
              <w:jc w:val="left"/>
            </w:pPr>
            <w:r w:rsidRPr="007802BC">
              <w:rPr>
                <w:rFonts w:ascii="Tahoma" w:hAnsi="Tahoma" w:cs="Tahoma"/>
                <w:iCs/>
                <w:color w:val="333333"/>
                <w:sz w:val="14"/>
                <w:szCs w:val="14"/>
                <w:lang w:eastAsia="it-IT"/>
              </w:rPr>
              <w:t>Copyright © 202</w:t>
            </w:r>
            <w:r w:rsidR="00994C6A" w:rsidRPr="007802BC">
              <w:rPr>
                <w:rFonts w:ascii="Tahoma" w:hAnsi="Tahoma" w:cs="Tahoma"/>
                <w:iCs/>
                <w:color w:val="333333"/>
                <w:sz w:val="14"/>
                <w:szCs w:val="14"/>
                <w:lang w:eastAsia="it-IT"/>
              </w:rPr>
              <w:t>5</w:t>
            </w:r>
            <w:r w:rsidRPr="007802BC">
              <w:rPr>
                <w:rFonts w:ascii="Tahoma" w:hAnsi="Tahoma" w:cs="Tahoma"/>
                <w:iCs/>
                <w:color w:val="333333"/>
                <w:sz w:val="14"/>
                <w:szCs w:val="14"/>
                <w:lang w:eastAsia="it-IT"/>
              </w:rPr>
              <w:t xml:space="preserve">, AIDIC Servizi </w:t>
            </w:r>
            <w:proofErr w:type="spellStart"/>
            <w:r w:rsidRPr="007802BC">
              <w:rPr>
                <w:rFonts w:ascii="Tahoma" w:hAnsi="Tahoma" w:cs="Tahoma"/>
                <w:iCs/>
                <w:color w:val="333333"/>
                <w:sz w:val="14"/>
                <w:szCs w:val="14"/>
                <w:lang w:eastAsia="it-IT"/>
              </w:rPr>
              <w:t>S.r.l</w:t>
            </w:r>
            <w:proofErr w:type="spellEnd"/>
            <w:r w:rsidRPr="007802BC">
              <w:rPr>
                <w:rFonts w:ascii="Tahoma" w:hAnsi="Tahoma" w:cs="Tahoma"/>
                <w:iCs/>
                <w:color w:val="333333"/>
                <w:sz w:val="14"/>
                <w:szCs w:val="14"/>
                <w:lang w:eastAsia="it-IT"/>
              </w:rPr>
              <w:t>.</w:t>
            </w:r>
            <w:r w:rsidRPr="007802BC">
              <w:rPr>
                <w:rFonts w:ascii="Tahoma" w:hAnsi="Tahoma" w:cs="Tahoma"/>
                <w:iCs/>
                <w:color w:val="333333"/>
                <w:sz w:val="14"/>
                <w:szCs w:val="14"/>
                <w:lang w:eastAsia="it-IT"/>
              </w:rPr>
              <w:br/>
            </w:r>
            <w:r w:rsidRPr="007802BC">
              <w:rPr>
                <w:rFonts w:ascii="Tahoma" w:hAnsi="Tahoma" w:cs="Tahoma"/>
                <w:b/>
                <w:iCs/>
                <w:color w:val="000000"/>
                <w:sz w:val="14"/>
                <w:szCs w:val="14"/>
                <w:lang w:eastAsia="it-IT"/>
              </w:rPr>
              <w:t>ISBN</w:t>
            </w:r>
            <w:r w:rsidRPr="007802BC">
              <w:rPr>
                <w:rFonts w:ascii="Tahoma" w:hAnsi="Tahoma" w:cs="Tahoma"/>
                <w:iCs/>
                <w:color w:val="000000"/>
                <w:sz w:val="14"/>
                <w:szCs w:val="14"/>
                <w:lang w:eastAsia="it-IT"/>
              </w:rPr>
              <w:t xml:space="preserve"> </w:t>
            </w:r>
            <w:r w:rsidR="003B49CD" w:rsidRPr="007802BC">
              <w:rPr>
                <w:rFonts w:ascii="Tahoma" w:hAnsi="Tahoma" w:cs="Tahoma"/>
                <w:sz w:val="14"/>
                <w:szCs w:val="14"/>
              </w:rPr>
              <w:t>979-12-81206-</w:t>
            </w:r>
            <w:r w:rsidR="00F27EE4" w:rsidRPr="007802BC">
              <w:rPr>
                <w:rFonts w:ascii="Tahoma" w:hAnsi="Tahoma" w:cs="Tahoma"/>
                <w:sz w:val="14"/>
                <w:szCs w:val="14"/>
              </w:rPr>
              <w:t>xx-y</w:t>
            </w:r>
            <w:r w:rsidRPr="007802BC">
              <w:rPr>
                <w:rFonts w:ascii="Tahoma" w:hAnsi="Tahoma" w:cs="Tahoma"/>
                <w:iCs/>
                <w:color w:val="333333"/>
                <w:sz w:val="14"/>
                <w:szCs w:val="14"/>
                <w:lang w:eastAsia="it-IT"/>
              </w:rPr>
              <w:t xml:space="preserve">; </w:t>
            </w:r>
            <w:r w:rsidRPr="007802BC">
              <w:rPr>
                <w:rFonts w:ascii="Tahoma" w:hAnsi="Tahoma" w:cs="Tahoma"/>
                <w:b/>
                <w:iCs/>
                <w:color w:val="333333"/>
                <w:sz w:val="14"/>
                <w:szCs w:val="14"/>
                <w:lang w:eastAsia="it-IT"/>
              </w:rPr>
              <w:t>ISSN</w:t>
            </w:r>
            <w:r w:rsidRPr="007802BC">
              <w:rPr>
                <w:rFonts w:ascii="Tahoma" w:hAnsi="Tahoma" w:cs="Tahoma"/>
                <w:iCs/>
                <w:color w:val="333333"/>
                <w:sz w:val="14"/>
                <w:szCs w:val="14"/>
                <w:lang w:eastAsia="it-IT"/>
              </w:rPr>
              <w:t xml:space="preserve"> 2283-9216</w:t>
            </w:r>
          </w:p>
        </w:tc>
      </w:tr>
    </w:tbl>
    <w:bookmarkEnd w:id="0"/>
    <w:p w14:paraId="2E667253" w14:textId="240BCB99" w:rsidR="00E978D0" w:rsidRPr="007802BC" w:rsidRDefault="00D806DB" w:rsidP="00E978D0">
      <w:pPr>
        <w:pStyle w:val="CETTitle"/>
      </w:pPr>
      <w:r w:rsidRPr="007802BC">
        <w:t xml:space="preserve">Quantitative Risk Assessment of Mitigated Natech Scenarios Triggered by Wildfires </w:t>
      </w:r>
      <w:r w:rsidR="00165357" w:rsidRPr="007802BC">
        <w:t>in the Chemical and Process Industry</w:t>
      </w:r>
    </w:p>
    <w:p w14:paraId="0488FED2" w14:textId="5CB8DF8B" w:rsidR="00B57E6F" w:rsidRPr="007802BC" w:rsidRDefault="00CE0DDF" w:rsidP="00B57E6F">
      <w:pPr>
        <w:pStyle w:val="CETAuthors"/>
        <w:rPr>
          <w:lang w:val="it-IT"/>
        </w:rPr>
      </w:pPr>
      <w:r w:rsidRPr="007802BC">
        <w:rPr>
          <w:lang w:val="it-IT"/>
        </w:rPr>
        <w:t>Federica Ricci</w:t>
      </w:r>
      <w:r w:rsidR="00E0774F" w:rsidRPr="007802BC">
        <w:rPr>
          <w:lang w:val="it-IT"/>
        </w:rPr>
        <w:t>*</w:t>
      </w:r>
      <w:r w:rsidRPr="007802BC">
        <w:rPr>
          <w:lang w:val="it-IT"/>
        </w:rPr>
        <w:t>, Giordano Emrys Scarponi, Valerio Cozzani</w:t>
      </w:r>
    </w:p>
    <w:p w14:paraId="3D72B0B0" w14:textId="14BEF561" w:rsidR="00B57E6F" w:rsidRPr="007802BC" w:rsidRDefault="006063DC" w:rsidP="00B57E6F">
      <w:pPr>
        <w:pStyle w:val="CETAddress"/>
      </w:pPr>
      <w:r w:rsidRPr="007802BC">
        <w:t>LISES – Laboratory of Industrial Safety and Environmental Sustainability, Department of Civil, Chemical, Environmental and Material Engineering, University of Bologna, via Terracini 28, 40131, Bologna, Italy</w:t>
      </w:r>
    </w:p>
    <w:p w14:paraId="73F1267A" w14:textId="66ED87F5" w:rsidR="00B57E6F" w:rsidRPr="007802BC" w:rsidRDefault="00FD7F50" w:rsidP="00B57E6F">
      <w:pPr>
        <w:pStyle w:val="CETemail"/>
      </w:pPr>
      <w:r w:rsidRPr="007802BC">
        <w:t>federica.ricci18@unibo.it</w:t>
      </w:r>
    </w:p>
    <w:p w14:paraId="09AA8BCC" w14:textId="4E1941D8" w:rsidR="006F7AEE" w:rsidRPr="007802BC" w:rsidRDefault="005C36C5" w:rsidP="005C36C5">
      <w:pPr>
        <w:pStyle w:val="CETBodytext"/>
        <w:rPr>
          <w:lang w:val="en-GB"/>
        </w:rPr>
      </w:pPr>
      <w:r w:rsidRPr="007802BC">
        <w:rPr>
          <w:lang w:val="en-GB"/>
        </w:rPr>
        <w:t>Wildfires, exacerbated by climate change and global temperature</w:t>
      </w:r>
      <w:r w:rsidR="00901261" w:rsidRPr="007802BC">
        <w:rPr>
          <w:lang w:val="en-GB"/>
        </w:rPr>
        <w:t xml:space="preserve"> rising</w:t>
      </w:r>
      <w:r w:rsidRPr="007802BC">
        <w:rPr>
          <w:lang w:val="en-GB"/>
        </w:rPr>
        <w:t xml:space="preserve">, increasingly threaten human settlements and industrial facilities near wildlands. </w:t>
      </w:r>
      <w:r w:rsidR="00777079" w:rsidRPr="007802BC">
        <w:rPr>
          <w:lang w:val="en-GB"/>
        </w:rPr>
        <w:t>Wildland-</w:t>
      </w:r>
      <w:r w:rsidR="00CD7419" w:rsidRPr="007802BC">
        <w:rPr>
          <w:lang w:val="en-GB"/>
        </w:rPr>
        <w:t>industrial i</w:t>
      </w:r>
      <w:r w:rsidR="00777079" w:rsidRPr="007802BC">
        <w:rPr>
          <w:lang w:val="en-GB"/>
        </w:rPr>
        <w:t xml:space="preserve">nterfaces </w:t>
      </w:r>
      <w:r w:rsidRPr="007802BC">
        <w:rPr>
          <w:lang w:val="en-GB"/>
        </w:rPr>
        <w:t>face heightened risks due to hazardous materials, where equipment failure can lead to cascading events. Current mitigation strategies, such as clearance areas, may be insufficient, as recent studies highlight inadequacies in prescribed safety distances for preventing wildfire-induced Natech events.</w:t>
      </w:r>
      <w:r w:rsidR="00885950" w:rsidRPr="007802BC">
        <w:rPr>
          <w:lang w:val="en-GB"/>
        </w:rPr>
        <w:t xml:space="preserve"> </w:t>
      </w:r>
      <w:r w:rsidRPr="007802BC">
        <w:rPr>
          <w:lang w:val="en-GB"/>
        </w:rPr>
        <w:t xml:space="preserve">This study presents a novel quantitative methodology for assessing the risk of industrial sites exposed to wildfires </w:t>
      </w:r>
      <w:r w:rsidR="00B543BB" w:rsidRPr="007802BC">
        <w:rPr>
          <w:lang w:val="en-GB"/>
        </w:rPr>
        <w:t xml:space="preserve">including </w:t>
      </w:r>
      <w:r w:rsidRPr="007802BC">
        <w:rPr>
          <w:lang w:val="en-GB"/>
        </w:rPr>
        <w:t>safety systems</w:t>
      </w:r>
      <w:r w:rsidR="00B543BB" w:rsidRPr="007802BC">
        <w:rPr>
          <w:lang w:val="en-GB"/>
        </w:rPr>
        <w:t xml:space="preserve"> in the evaluation</w:t>
      </w:r>
      <w:r w:rsidRPr="007802BC">
        <w:rPr>
          <w:lang w:val="en-GB"/>
        </w:rPr>
        <w:t xml:space="preserve">. By integrating the dynamic nature of wildfires, the methodology captures primary Natech events and cascading </w:t>
      </w:r>
      <w:r w:rsidR="00EB1D7D" w:rsidRPr="007802BC">
        <w:rPr>
          <w:lang w:val="en-GB"/>
        </w:rPr>
        <w:t xml:space="preserve">scenarios </w:t>
      </w:r>
      <w:r w:rsidRPr="007802BC">
        <w:rPr>
          <w:lang w:val="en-GB"/>
        </w:rPr>
        <w:t>through dynamic event trees, accounting for multiple ignition sources and temporal variability. It incorporates safety systems into the evaluation to better address the risk posed by wildfire</w:t>
      </w:r>
      <w:r w:rsidR="001665E9" w:rsidRPr="007802BC">
        <w:rPr>
          <w:lang w:val="en-GB"/>
        </w:rPr>
        <w:t>s</w:t>
      </w:r>
      <w:r w:rsidRPr="007802BC">
        <w:rPr>
          <w:lang w:val="en-GB"/>
        </w:rPr>
        <w:t xml:space="preserve"> for process industries. A case study demonstrates the application of the methodology</w:t>
      </w:r>
      <w:r w:rsidR="00F22B3C" w:rsidRPr="007802BC">
        <w:rPr>
          <w:lang w:val="en-GB"/>
        </w:rPr>
        <w:t xml:space="preserve"> and addresses the risk reduction effects thanks to the presence of safety systems</w:t>
      </w:r>
      <w:r w:rsidRPr="007802BC">
        <w:rPr>
          <w:lang w:val="en-GB"/>
        </w:rPr>
        <w:t xml:space="preserve">. This approach fills a crucial gap in </w:t>
      </w:r>
      <w:r w:rsidR="00F22B3C" w:rsidRPr="007802BC">
        <w:rPr>
          <w:lang w:val="en-GB"/>
        </w:rPr>
        <w:t>the evalua</w:t>
      </w:r>
      <w:r w:rsidR="00625182" w:rsidRPr="007802BC">
        <w:rPr>
          <w:lang w:val="en-GB"/>
        </w:rPr>
        <w:t xml:space="preserve">tion of </w:t>
      </w:r>
      <w:r w:rsidRPr="007802BC">
        <w:rPr>
          <w:lang w:val="en-GB"/>
        </w:rPr>
        <w:t xml:space="preserve">wildfire-induced Natech </w:t>
      </w:r>
      <w:r w:rsidR="00625182" w:rsidRPr="007802BC">
        <w:rPr>
          <w:lang w:val="en-GB"/>
        </w:rPr>
        <w:t>scenarios</w:t>
      </w:r>
      <w:r w:rsidRPr="007802BC">
        <w:rPr>
          <w:lang w:val="en-GB"/>
        </w:rPr>
        <w:t xml:space="preserve">, offering a systematic tool for </w:t>
      </w:r>
      <w:r w:rsidR="00F22B3C" w:rsidRPr="007802BC">
        <w:t>a more realistic quantification of risk</w:t>
      </w:r>
      <w:r w:rsidRPr="007802BC">
        <w:rPr>
          <w:lang w:val="en-GB"/>
        </w:rPr>
        <w:t>.</w:t>
      </w:r>
    </w:p>
    <w:p w14:paraId="476B2F2E" w14:textId="52B36035" w:rsidR="00600535" w:rsidRPr="007802BC" w:rsidRDefault="00600535" w:rsidP="00600535">
      <w:pPr>
        <w:pStyle w:val="CETHeading1"/>
        <w:rPr>
          <w:lang w:val="en-GB"/>
        </w:rPr>
      </w:pPr>
      <w:r w:rsidRPr="007802BC">
        <w:rPr>
          <w:lang w:val="en-GB"/>
        </w:rPr>
        <w:t>Introduction</w:t>
      </w:r>
    </w:p>
    <w:p w14:paraId="74DBCC00" w14:textId="0F4E364B" w:rsidR="005C36C5" w:rsidRPr="007802BC" w:rsidRDefault="001B209C" w:rsidP="005C36C5">
      <w:pPr>
        <w:pStyle w:val="CETBodytext"/>
      </w:pPr>
      <w:r w:rsidRPr="007802BC">
        <w:t>The interaction between natural hazards and industrial facilities has become increasingly concerning in recent decades. When natural events impact sites storing hazardous substances, such as chemical or oil and gas facilities, severe Natech (natural-hazard-triggered technological) accidents can occur</w:t>
      </w:r>
      <w:r w:rsidR="00CC55FF" w:rsidRPr="007802BC">
        <w:t xml:space="preserve"> (Ricci et al., 2021a)</w:t>
      </w:r>
      <w:r w:rsidRPr="007802BC">
        <w:t>. The frequency of Natech accidents is rising, driven by climate change which is intensifying extreme weather events</w:t>
      </w:r>
      <w:r w:rsidR="00D03457" w:rsidRPr="007802BC">
        <w:t xml:space="preserve"> (CRED, 2020)</w:t>
      </w:r>
      <w:r w:rsidRPr="007802BC">
        <w:t xml:space="preserve">. </w:t>
      </w:r>
      <w:r w:rsidR="00192D47" w:rsidRPr="007802BC">
        <w:t>In this framework, w</w:t>
      </w:r>
      <w:r w:rsidR="005C36C5" w:rsidRPr="007802BC">
        <w:t>ildfires pose a serious threat to human-populated areas. Driven by climate change and global temperature</w:t>
      </w:r>
      <w:r w:rsidR="00C22ED7" w:rsidRPr="007802BC">
        <w:t xml:space="preserve"> rising</w:t>
      </w:r>
      <w:r w:rsidR="005C36C5" w:rsidRPr="007802BC">
        <w:t>, wildfires are becoming a growing concern</w:t>
      </w:r>
      <w:r w:rsidR="00D03457" w:rsidRPr="007802BC">
        <w:t xml:space="preserve"> (Williams and </w:t>
      </w:r>
      <w:proofErr w:type="spellStart"/>
      <w:r w:rsidR="00D03457" w:rsidRPr="007802BC">
        <w:t>Abatzoglou</w:t>
      </w:r>
      <w:proofErr w:type="spellEnd"/>
      <w:r w:rsidR="00D03457" w:rsidRPr="007802BC">
        <w:t>, 2016)</w:t>
      </w:r>
      <w:r w:rsidR="005C36C5" w:rsidRPr="007802BC">
        <w:t>. This trend is evidenced by the recent surge of catastrophic wildfires, including those in Mediterranean Europe (2017, 2018), Australia (2019</w:t>
      </w:r>
      <w:r w:rsidR="00BC2F09" w:rsidRPr="007802BC">
        <w:t>, 2024</w:t>
      </w:r>
      <w:r w:rsidR="005C36C5" w:rsidRPr="007802BC">
        <w:t>), California (2020)</w:t>
      </w:r>
      <w:r w:rsidR="00BC2F09" w:rsidRPr="007802BC">
        <w:t>, and South America (2024)</w:t>
      </w:r>
      <w:r w:rsidR="005C36C5" w:rsidRPr="007802BC">
        <w:t>.</w:t>
      </w:r>
      <w:r w:rsidR="00253F4A" w:rsidRPr="007802BC">
        <w:t xml:space="preserve"> </w:t>
      </w:r>
    </w:p>
    <w:p w14:paraId="6FFAC44C" w14:textId="58829EA5" w:rsidR="000343F9" w:rsidRPr="007802BC" w:rsidRDefault="005C36C5" w:rsidP="005C36C5">
      <w:pPr>
        <w:pStyle w:val="CETBodytext"/>
      </w:pPr>
      <w:r w:rsidRPr="007802BC">
        <w:t xml:space="preserve">Wildfires pose a growing threat to anthropic settlements as residential areas and industrial facilities near wildlands </w:t>
      </w:r>
      <w:r w:rsidR="0060223B" w:rsidRPr="007802BC">
        <w:t>(Manzello et al., 2018)</w:t>
      </w:r>
      <w:r w:rsidRPr="007802BC">
        <w:t xml:space="preserve">. The presence of hazardous materials in </w:t>
      </w:r>
      <w:r w:rsidR="00072C5A" w:rsidRPr="007802BC">
        <w:t>Wildland-Industrial Interfaces</w:t>
      </w:r>
      <w:r w:rsidRPr="007802BC">
        <w:t xml:space="preserve"> raises significant concerns for governments and industry professionals</w:t>
      </w:r>
      <w:r w:rsidR="006D2C15" w:rsidRPr="007802BC">
        <w:t>.</w:t>
      </w:r>
      <w:r w:rsidR="00B5236F" w:rsidRPr="007802BC">
        <w:t xml:space="preserve"> </w:t>
      </w:r>
      <w:r w:rsidR="006D2C15" w:rsidRPr="007802BC">
        <w:t>T</w:t>
      </w:r>
      <w:r w:rsidRPr="007802BC">
        <w:t>he integrity of equipment items should be ensured to avoid the spread of wildfires within the plant causing major accidents</w:t>
      </w:r>
      <w:r w:rsidR="0060223B" w:rsidRPr="007802BC">
        <w:t xml:space="preserve"> (Planas et al., 2023)</w:t>
      </w:r>
      <w:r w:rsidRPr="007802BC">
        <w:t xml:space="preserve">. </w:t>
      </w:r>
    </w:p>
    <w:p w14:paraId="13427394" w14:textId="260C366B" w:rsidR="005C36C5" w:rsidRPr="007802BC" w:rsidRDefault="005C36C5" w:rsidP="005C36C5">
      <w:pPr>
        <w:pStyle w:val="CETBodytext"/>
      </w:pPr>
      <w:r w:rsidRPr="007802BC">
        <w:t xml:space="preserve">Current practices, like the provision of clearance areas, might not be enough to prevent wildfires from breaching industrial </w:t>
      </w:r>
      <w:r w:rsidR="00D90C45" w:rsidRPr="007802BC">
        <w:t>sites</w:t>
      </w:r>
      <w:r w:rsidRPr="007802BC">
        <w:t xml:space="preserve"> and triggering technological scenarios and cascading events</w:t>
      </w:r>
      <w:r w:rsidR="009C2101" w:rsidRPr="007802BC">
        <w:t xml:space="preserve"> (Ricci et al., 2021b)</w:t>
      </w:r>
      <w:r w:rsidRPr="007802BC">
        <w:t xml:space="preserve">. While general frameworks exist for </w:t>
      </w:r>
      <w:r w:rsidR="000343F9" w:rsidRPr="007802BC">
        <w:t xml:space="preserve">Natech </w:t>
      </w:r>
      <w:r w:rsidRPr="007802BC">
        <w:t>quantitative risk assessment</w:t>
      </w:r>
      <w:r w:rsidR="00E0430C" w:rsidRPr="007802BC">
        <w:t xml:space="preserve"> including the assessment of safety barrier perfo</w:t>
      </w:r>
      <w:r w:rsidR="00951A66" w:rsidRPr="007802BC">
        <w:t>rmance</w:t>
      </w:r>
      <w:r w:rsidR="00E0430C" w:rsidRPr="007802BC">
        <w:t xml:space="preserve"> (Misuri et al., 2023)</w:t>
      </w:r>
      <w:r w:rsidRPr="007802BC">
        <w:t xml:space="preserve">, they have not been applied to cascading accidents </w:t>
      </w:r>
      <w:r w:rsidR="00067C9F" w:rsidRPr="007802BC">
        <w:t xml:space="preserve">triggered by </w:t>
      </w:r>
      <w:r w:rsidRPr="007802BC">
        <w:t>wildfires. This study proposes a novel methodology for quantitative risk assessment of industrial sites facing wildfires</w:t>
      </w:r>
      <w:r w:rsidR="0061558D" w:rsidRPr="007802BC">
        <w:t xml:space="preserve"> accounting for the inclusion of safety barriers in the evaluation</w:t>
      </w:r>
      <w:r w:rsidRPr="007802BC">
        <w:t>. It incorporates the dynamic nature of wildfires, including primary Natech events and cascading domino effects</w:t>
      </w:r>
      <w:r w:rsidR="0061558D" w:rsidRPr="007802BC">
        <w:t xml:space="preserve"> as well as the functioning and the </w:t>
      </w:r>
      <w:r w:rsidR="002F1F2E" w:rsidRPr="007802BC">
        <w:t>effects of safety systems aimed at protecting tanks</w:t>
      </w:r>
      <w:r w:rsidRPr="007802BC">
        <w:t>. An innovative approach utilizing dynamic event trees identifies potential failure chains</w:t>
      </w:r>
      <w:r w:rsidR="002F1F2E" w:rsidRPr="007802BC">
        <w:t xml:space="preserve"> considering all possible configuration</w:t>
      </w:r>
      <w:r w:rsidR="00554469" w:rsidRPr="007802BC">
        <w:t>s</w:t>
      </w:r>
      <w:r w:rsidR="002F1F2E" w:rsidRPr="007802BC">
        <w:t xml:space="preserve"> of the safety systems</w:t>
      </w:r>
      <w:r w:rsidRPr="007802BC">
        <w:t xml:space="preserve">. A case study was defined to demonstrate the applicability of the novel methodology, highlighting the </w:t>
      </w:r>
      <w:r w:rsidR="002F1F2E" w:rsidRPr="007802BC">
        <w:t>relevance of including safety systems in the evaluation to obtain a realisti</w:t>
      </w:r>
      <w:r w:rsidR="00554469" w:rsidRPr="007802BC">
        <w:t xml:space="preserve">c quantification of the risk posed by wildfire-induced Natech accidents and related domino effects. </w:t>
      </w:r>
    </w:p>
    <w:p w14:paraId="61A9B77A" w14:textId="2AB476B5" w:rsidR="00600535" w:rsidRPr="007802BC" w:rsidRDefault="006F7AEE" w:rsidP="006F7AEE">
      <w:pPr>
        <w:pStyle w:val="CETHeading1"/>
      </w:pPr>
      <w:r w:rsidRPr="007802BC">
        <w:lastRenderedPageBreak/>
        <w:t>Methodology</w:t>
      </w:r>
    </w:p>
    <w:p w14:paraId="6CA391C3" w14:textId="1648E91D" w:rsidR="00053B5E" w:rsidRPr="007802BC" w:rsidRDefault="00630CCB" w:rsidP="00600535">
      <w:pPr>
        <w:pStyle w:val="CETBodytext"/>
        <w:rPr>
          <w:lang w:val="en-GB"/>
        </w:rPr>
      </w:pPr>
      <w:r w:rsidRPr="007802BC">
        <w:rPr>
          <w:lang w:val="en-GB"/>
        </w:rPr>
        <w:t xml:space="preserve">The present study provides a methodology for </w:t>
      </w:r>
      <w:r w:rsidR="000B2A9C" w:rsidRPr="007802BC">
        <w:rPr>
          <w:lang w:val="en-GB"/>
        </w:rPr>
        <w:t xml:space="preserve">the evaluation of the risk related to </w:t>
      </w:r>
      <w:r w:rsidR="00413C38" w:rsidRPr="007802BC">
        <w:rPr>
          <w:lang w:val="en-GB"/>
        </w:rPr>
        <w:t xml:space="preserve">wildfire-induced Natech </w:t>
      </w:r>
      <w:r w:rsidR="009E1292" w:rsidRPr="007802BC">
        <w:rPr>
          <w:lang w:val="en-GB"/>
        </w:rPr>
        <w:t xml:space="preserve">and escalation </w:t>
      </w:r>
      <w:r w:rsidR="00413C38" w:rsidRPr="007802BC">
        <w:rPr>
          <w:lang w:val="en-GB"/>
        </w:rPr>
        <w:t xml:space="preserve">scenarios </w:t>
      </w:r>
      <w:r w:rsidR="009E1292" w:rsidRPr="007802BC">
        <w:rPr>
          <w:lang w:val="en-GB"/>
        </w:rPr>
        <w:t xml:space="preserve">that account for </w:t>
      </w:r>
      <w:r w:rsidR="00E07B1B" w:rsidRPr="007802BC">
        <w:rPr>
          <w:lang w:val="en-GB"/>
        </w:rPr>
        <w:t xml:space="preserve">safety barriers protecting equipment items and their possible failure. The </w:t>
      </w:r>
      <w:r w:rsidR="000342D2" w:rsidRPr="007802BC">
        <w:rPr>
          <w:lang w:val="en-GB"/>
        </w:rPr>
        <w:t>flowchart</w:t>
      </w:r>
      <w:r w:rsidR="00E63BE8" w:rsidRPr="007802BC">
        <w:rPr>
          <w:lang w:val="en-GB"/>
        </w:rPr>
        <w:t xml:space="preserve"> of the novel methodology is presented in </w:t>
      </w:r>
      <w:r w:rsidR="00E63BE8" w:rsidRPr="007802BC">
        <w:rPr>
          <w:lang w:val="en-GB"/>
        </w:rPr>
        <w:fldChar w:fldCharType="begin"/>
      </w:r>
      <w:r w:rsidR="00E63BE8" w:rsidRPr="007802BC">
        <w:rPr>
          <w:lang w:val="en-GB"/>
        </w:rPr>
        <w:instrText xml:space="preserve"> REF _Ref182902810 \h </w:instrText>
      </w:r>
      <w:r w:rsidR="005150EB" w:rsidRPr="007802BC">
        <w:rPr>
          <w:lang w:val="en-GB"/>
        </w:rPr>
        <w:instrText xml:space="preserve"> \* MERGEFORMAT </w:instrText>
      </w:r>
      <w:r w:rsidR="00E63BE8" w:rsidRPr="007802BC">
        <w:rPr>
          <w:lang w:val="en-GB"/>
        </w:rPr>
      </w:r>
      <w:r w:rsidR="00E63BE8" w:rsidRPr="007802BC">
        <w:rPr>
          <w:lang w:val="en-GB"/>
        </w:rPr>
        <w:fldChar w:fldCharType="separate"/>
      </w:r>
      <w:r w:rsidR="002D1D0F" w:rsidRPr="007802BC">
        <w:t xml:space="preserve">Figure </w:t>
      </w:r>
      <w:r w:rsidR="002D1D0F" w:rsidRPr="007802BC">
        <w:rPr>
          <w:noProof/>
        </w:rPr>
        <w:t>1</w:t>
      </w:r>
      <w:r w:rsidR="00E63BE8" w:rsidRPr="007802BC">
        <w:rPr>
          <w:lang w:val="en-GB"/>
        </w:rPr>
        <w:fldChar w:fldCharType="end"/>
      </w:r>
      <w:r w:rsidR="00E63BE8" w:rsidRPr="007802BC">
        <w:rPr>
          <w:lang w:val="en-GB"/>
        </w:rPr>
        <w:t xml:space="preserve">. </w:t>
      </w:r>
      <w:r w:rsidR="00EE3F20" w:rsidRPr="007802BC">
        <w:rPr>
          <w:lang w:val="en-GB"/>
        </w:rPr>
        <w:t>For the sake of brevity, the reader is referred to</w:t>
      </w:r>
      <w:r w:rsidR="008F7EB4" w:rsidRPr="007802BC">
        <w:rPr>
          <w:lang w:val="en-GB"/>
        </w:rPr>
        <w:t xml:space="preserve"> Ricci et al. (2024, 2021</w:t>
      </w:r>
      <w:r w:rsidR="00D043B6" w:rsidRPr="007802BC">
        <w:rPr>
          <w:lang w:val="en-GB"/>
        </w:rPr>
        <w:t>c)</w:t>
      </w:r>
      <w:r w:rsidR="00EE3F20" w:rsidRPr="007802BC">
        <w:rPr>
          <w:lang w:val="en-GB"/>
        </w:rPr>
        <w:t xml:space="preserve"> for the characterization of the wildfire scenario</w:t>
      </w:r>
      <w:r w:rsidR="00C87EA3" w:rsidRPr="007802BC">
        <w:rPr>
          <w:lang w:val="en-GB"/>
        </w:rPr>
        <w:t xml:space="preserve"> (</w:t>
      </w:r>
      <w:proofErr w:type="gramStart"/>
      <w:r w:rsidR="00C87EA3" w:rsidRPr="007802BC">
        <w:rPr>
          <w:lang w:val="en-GB"/>
        </w:rPr>
        <w:t>i.e.</w:t>
      </w:r>
      <w:proofErr w:type="gramEnd"/>
      <w:r w:rsidR="00C87EA3" w:rsidRPr="007802BC">
        <w:rPr>
          <w:lang w:val="en-GB"/>
        </w:rPr>
        <w:t xml:space="preserve"> the fi</w:t>
      </w:r>
      <w:r w:rsidR="00B5236F" w:rsidRPr="007802BC">
        <w:rPr>
          <w:lang w:val="en-GB"/>
        </w:rPr>
        <w:t>r</w:t>
      </w:r>
      <w:r w:rsidR="00C87EA3" w:rsidRPr="007802BC">
        <w:rPr>
          <w:lang w:val="en-GB"/>
        </w:rPr>
        <w:t>st step of the methodology)</w:t>
      </w:r>
      <w:r w:rsidR="00EE3F20" w:rsidRPr="007802BC">
        <w:rPr>
          <w:lang w:val="en-GB"/>
        </w:rPr>
        <w:t>.</w:t>
      </w:r>
    </w:p>
    <w:p w14:paraId="38D4D335" w14:textId="513DEC18" w:rsidR="004F4002" w:rsidRPr="007802BC" w:rsidRDefault="007B63C0" w:rsidP="00B43BAC">
      <w:pPr>
        <w:pStyle w:val="CETCaption"/>
        <w:spacing w:before="120" w:after="120"/>
      </w:pPr>
      <w:r w:rsidRPr="007802BC">
        <w:rPr>
          <w:noProof/>
        </w:rPr>
        <w:drawing>
          <wp:inline distT="0" distB="0" distL="0" distR="0" wp14:anchorId="4F973BAB" wp14:editId="3A840886">
            <wp:extent cx="4680000" cy="493638"/>
            <wp:effectExtent l="0" t="0" r="6350" b="1905"/>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 grafico 2"/>
                    <pic:cNvPicPr/>
                  </pic:nvPicPr>
                  <pic:blipFill rotWithShape="1">
                    <a:blip r:embed="rId10">
                      <a:extLst>
                        <a:ext uri="{96DAC541-7B7A-43D3-8B79-37D633B846F1}">
                          <asvg:svgBlip xmlns:asvg="http://schemas.microsoft.com/office/drawing/2016/SVG/main" r:embed="rId11"/>
                        </a:ext>
                      </a:extLst>
                    </a:blip>
                    <a:srcRect t="45448"/>
                    <a:stretch/>
                  </pic:blipFill>
                  <pic:spPr bwMode="auto">
                    <a:xfrm>
                      <a:off x="0" y="0"/>
                      <a:ext cx="4680000" cy="493638"/>
                    </a:xfrm>
                    <a:prstGeom prst="rect">
                      <a:avLst/>
                    </a:prstGeom>
                    <a:ln>
                      <a:noFill/>
                    </a:ln>
                    <a:extLst>
                      <a:ext uri="{53640926-AAD7-44D8-BBD7-CCE9431645EC}">
                        <a14:shadowObscured xmlns:a14="http://schemas.microsoft.com/office/drawing/2010/main"/>
                      </a:ext>
                    </a:extLst>
                  </pic:spPr>
                </pic:pic>
              </a:graphicData>
            </a:graphic>
          </wp:inline>
        </w:drawing>
      </w:r>
    </w:p>
    <w:p w14:paraId="3C223369" w14:textId="76A62F9F" w:rsidR="005B3837" w:rsidRPr="007802BC" w:rsidRDefault="005B3837" w:rsidP="00683A84">
      <w:pPr>
        <w:pStyle w:val="CETCaption"/>
        <w:spacing w:before="120"/>
      </w:pPr>
      <w:bookmarkStart w:id="1" w:name="_Ref182902810"/>
      <w:r w:rsidRPr="007802BC">
        <w:t xml:space="preserve">Figure </w:t>
      </w:r>
      <w:r w:rsidRPr="007802BC">
        <w:fldChar w:fldCharType="begin"/>
      </w:r>
      <w:r w:rsidRPr="007802BC">
        <w:instrText xml:space="preserve"> SEQ Figure \* ARABIC </w:instrText>
      </w:r>
      <w:r w:rsidRPr="007802BC">
        <w:fldChar w:fldCharType="separate"/>
      </w:r>
      <w:r w:rsidR="002D1D0F" w:rsidRPr="007802BC">
        <w:rPr>
          <w:noProof/>
        </w:rPr>
        <w:t>1</w:t>
      </w:r>
      <w:r w:rsidRPr="007802BC">
        <w:fldChar w:fldCharType="end"/>
      </w:r>
      <w:bookmarkEnd w:id="1"/>
      <w:r w:rsidRPr="007802BC">
        <w:t xml:space="preserve">. </w:t>
      </w:r>
      <w:r w:rsidR="000342D2" w:rsidRPr="007802BC">
        <w:t>Flowchart</w:t>
      </w:r>
      <w:r w:rsidR="00016173" w:rsidRPr="007802BC">
        <w:t xml:space="preserve"> of the</w:t>
      </w:r>
      <w:r w:rsidR="004760D5" w:rsidRPr="007802BC">
        <w:t xml:space="preserve"> novel</w:t>
      </w:r>
      <w:r w:rsidR="00016173" w:rsidRPr="007802BC">
        <w:t xml:space="preserve"> m</w:t>
      </w:r>
      <w:r w:rsidRPr="007802BC">
        <w:t xml:space="preserve">ethodology </w:t>
      </w:r>
      <w:r w:rsidR="004760D5" w:rsidRPr="007802BC">
        <w:t xml:space="preserve">developed in the present study. </w:t>
      </w:r>
    </w:p>
    <w:p w14:paraId="1889E902" w14:textId="75F7A029" w:rsidR="000342D2" w:rsidRPr="007802BC" w:rsidRDefault="008C5B0A" w:rsidP="000342D2">
      <w:pPr>
        <w:pStyle w:val="CETheadingx"/>
      </w:pPr>
      <w:r w:rsidRPr="007802BC">
        <w:t>Safety system</w:t>
      </w:r>
      <w:r w:rsidR="002E3136" w:rsidRPr="007802BC">
        <w:t>s</w:t>
      </w:r>
      <w:r w:rsidRPr="007802BC">
        <w:t xml:space="preserve"> </w:t>
      </w:r>
      <w:r w:rsidR="004D22BA" w:rsidRPr="007802BC">
        <w:t xml:space="preserve">performance </w:t>
      </w:r>
      <w:r w:rsidR="000342D2" w:rsidRPr="007802BC">
        <w:t>quantification</w:t>
      </w:r>
    </w:p>
    <w:p w14:paraId="1E6FEAB3" w14:textId="603898DE" w:rsidR="003F01E4" w:rsidRPr="007802BC" w:rsidRDefault="009D5AC4" w:rsidP="00BA2CCF">
      <w:pPr>
        <w:pStyle w:val="CETBodytext"/>
      </w:pPr>
      <w:r w:rsidRPr="007802BC">
        <w:t>T</w:t>
      </w:r>
      <w:r w:rsidR="00BA56E6" w:rsidRPr="007802BC">
        <w:t xml:space="preserve">he methodology requires </w:t>
      </w:r>
      <w:r w:rsidR="00490F56" w:rsidRPr="007802BC">
        <w:t>the</w:t>
      </w:r>
      <w:r w:rsidR="00BA56E6" w:rsidRPr="007802BC">
        <w:t xml:space="preserve"> identif</w:t>
      </w:r>
      <w:r w:rsidR="00490F56" w:rsidRPr="007802BC">
        <w:t>ication</w:t>
      </w:r>
      <w:r w:rsidR="00C81CAE" w:rsidRPr="007802BC">
        <w:t xml:space="preserve"> and assessment of the performance</w:t>
      </w:r>
      <w:r w:rsidR="00490F56" w:rsidRPr="007802BC">
        <w:t xml:space="preserve"> </w:t>
      </w:r>
      <w:r w:rsidR="00307962" w:rsidRPr="007802BC">
        <w:t xml:space="preserve">of </w:t>
      </w:r>
      <w:r w:rsidR="00BA56E6" w:rsidRPr="007802BC">
        <w:t xml:space="preserve">the safety systems implemented </w:t>
      </w:r>
      <w:r w:rsidR="00C81CAE" w:rsidRPr="007802BC">
        <w:t xml:space="preserve">to protect the </w:t>
      </w:r>
      <w:r w:rsidR="00BA56E6" w:rsidRPr="007802BC">
        <w:t>tanks</w:t>
      </w:r>
      <w:r w:rsidR="00E31156" w:rsidRPr="007802BC">
        <w:t xml:space="preserve">. </w:t>
      </w:r>
      <w:r w:rsidR="006B24FE" w:rsidRPr="007802BC">
        <w:t>This</w:t>
      </w:r>
      <w:r w:rsidR="00E31156" w:rsidRPr="007802BC">
        <w:t xml:space="preserve"> </w:t>
      </w:r>
      <w:r w:rsidR="00901844" w:rsidRPr="007802BC">
        <w:t xml:space="preserve">can </w:t>
      </w:r>
      <w:r w:rsidR="00E31156" w:rsidRPr="007802BC">
        <w:t xml:space="preserve">be performed </w:t>
      </w:r>
      <w:r w:rsidR="00B219D3" w:rsidRPr="007802BC">
        <w:t>consider</w:t>
      </w:r>
      <w:r w:rsidR="00901844" w:rsidRPr="007802BC">
        <w:t>ing</w:t>
      </w:r>
      <w:r w:rsidR="00B219D3" w:rsidRPr="007802BC">
        <w:t xml:space="preserve"> both the </w:t>
      </w:r>
      <w:r w:rsidR="00F73E36" w:rsidRPr="007802BC">
        <w:t>availability (</w:t>
      </w:r>
      <w:r w:rsidR="00F33AAE" w:rsidRPr="007802BC">
        <w:t xml:space="preserve">i.e., </w:t>
      </w:r>
      <w:r w:rsidR="00B219D3" w:rsidRPr="007802BC">
        <w:t>probability of failure on demand</w:t>
      </w:r>
      <w:r w:rsidR="003F1081" w:rsidRPr="007802BC">
        <w:t xml:space="preserve">, </w:t>
      </w:r>
      <w:r w:rsidR="001E0192" w:rsidRPr="007802BC">
        <w:rPr>
          <w:i/>
          <w:iCs/>
        </w:rPr>
        <w:t>PFD</w:t>
      </w:r>
      <w:r w:rsidR="001E0192" w:rsidRPr="007802BC">
        <w:t xml:space="preserve">) and </w:t>
      </w:r>
      <w:r w:rsidR="00EE32D6" w:rsidRPr="007802BC">
        <w:t xml:space="preserve">the probability of success in </w:t>
      </w:r>
      <w:r w:rsidR="006F19BB" w:rsidRPr="007802BC">
        <w:t xml:space="preserve">preventing </w:t>
      </w:r>
      <w:r w:rsidR="00EE32D6" w:rsidRPr="007802BC">
        <w:t>the escalation</w:t>
      </w:r>
      <w:r w:rsidR="006F19BB" w:rsidRPr="007802BC">
        <w:t xml:space="preserve"> (i.e., </w:t>
      </w:r>
      <w:r w:rsidR="00CB769D" w:rsidRPr="007802BC">
        <w:t xml:space="preserve">the </w:t>
      </w:r>
      <w:r w:rsidR="00450C38" w:rsidRPr="007802BC">
        <w:t>effectiveness</w:t>
      </w:r>
      <w:r w:rsidR="006F19BB" w:rsidRPr="007802BC">
        <w:t xml:space="preserve">, </w:t>
      </w:r>
      <w:r w:rsidR="00450C38" w:rsidRPr="007802BC">
        <w:rPr>
          <w:rFonts w:cs="Arial"/>
          <w:i/>
          <w:iCs/>
        </w:rPr>
        <w:t>η</w:t>
      </w:r>
      <w:r w:rsidR="00450C38" w:rsidRPr="007802BC">
        <w:t>).</w:t>
      </w:r>
      <w:r w:rsidR="009C05C0" w:rsidRPr="007802BC">
        <w:t xml:space="preserve"> </w:t>
      </w:r>
      <w:r w:rsidR="006569E9" w:rsidRPr="007802BC">
        <w:t xml:space="preserve">The outcomes of the safety system are evaluated based on their characteristics following </w:t>
      </w:r>
      <w:r w:rsidR="00665147" w:rsidRPr="007802BC">
        <w:t xml:space="preserve">the </w:t>
      </w:r>
      <w:r w:rsidR="006A4593" w:rsidRPr="007802BC">
        <w:t>method</w:t>
      </w:r>
      <w:r w:rsidR="00665147" w:rsidRPr="007802BC">
        <w:t xml:space="preserve"> </w:t>
      </w:r>
      <w:r w:rsidR="006569E9" w:rsidRPr="007802BC">
        <w:t>proposed by Landucci et al. (2015)</w:t>
      </w:r>
      <w:r w:rsidR="006A4593" w:rsidRPr="007802BC">
        <w:t xml:space="preserve"> and </w:t>
      </w:r>
      <w:r w:rsidR="00665147" w:rsidRPr="007802BC">
        <w:t xml:space="preserve">reported in </w:t>
      </w:r>
      <w:r w:rsidR="00665147" w:rsidRPr="007802BC">
        <w:fldChar w:fldCharType="begin"/>
      </w:r>
      <w:r w:rsidR="00665147" w:rsidRPr="007802BC">
        <w:instrText xml:space="preserve"> REF _Ref191472813 \h  \* MERGEFORMAT </w:instrText>
      </w:r>
      <w:r w:rsidR="00665147" w:rsidRPr="007802BC">
        <w:fldChar w:fldCharType="separate"/>
      </w:r>
      <w:r w:rsidR="002D1D0F" w:rsidRPr="007802BC">
        <w:t xml:space="preserve">Figure </w:t>
      </w:r>
      <w:r w:rsidR="002D1D0F" w:rsidRPr="007802BC">
        <w:rPr>
          <w:noProof/>
        </w:rPr>
        <w:t>2</w:t>
      </w:r>
      <w:r w:rsidR="00665147" w:rsidRPr="007802BC">
        <w:fldChar w:fldCharType="end"/>
      </w:r>
      <w:r w:rsidR="00665147" w:rsidRPr="007802BC">
        <w:t>-a. Subsequently, configurations (</w:t>
      </w:r>
      <w:r w:rsidR="006A4593" w:rsidRPr="007802BC">
        <w:t xml:space="preserve">i.e., </w:t>
      </w:r>
      <w:r w:rsidR="00665147" w:rsidRPr="007802BC">
        <w:t xml:space="preserve">pairs equipment item/safety systems outcome) for each equipment item have to be defined. This is performed following the approach illustrated in </w:t>
      </w:r>
      <w:r w:rsidR="006D107D" w:rsidRPr="007802BC">
        <w:fldChar w:fldCharType="begin"/>
      </w:r>
      <w:r w:rsidR="006D107D" w:rsidRPr="007802BC">
        <w:instrText xml:space="preserve"> REF _Ref191472813 \h  \* MERGEFORMAT </w:instrText>
      </w:r>
      <w:r w:rsidR="006D107D" w:rsidRPr="007802BC">
        <w:fldChar w:fldCharType="separate"/>
      </w:r>
      <w:r w:rsidR="002D1D0F" w:rsidRPr="007802BC">
        <w:t>Figure</w:t>
      </w:r>
      <w:r w:rsidR="004116B5" w:rsidRPr="007802BC">
        <w:t>s</w:t>
      </w:r>
      <w:r w:rsidR="002D1D0F" w:rsidRPr="007802BC">
        <w:t xml:space="preserve"> </w:t>
      </w:r>
      <w:r w:rsidR="002D1D0F" w:rsidRPr="007802BC">
        <w:rPr>
          <w:noProof/>
        </w:rPr>
        <w:t>2</w:t>
      </w:r>
      <w:r w:rsidR="006D107D" w:rsidRPr="007802BC">
        <w:fldChar w:fldCharType="end"/>
      </w:r>
      <w:r w:rsidR="006D107D" w:rsidRPr="007802BC">
        <w:t>-b and 2-c</w:t>
      </w:r>
      <w:r w:rsidR="009B6072" w:rsidRPr="007802BC">
        <w:t>,</w:t>
      </w:r>
      <w:r w:rsidR="000A62FC" w:rsidRPr="007802BC">
        <w:t xml:space="preserve"> </w:t>
      </w:r>
      <w:r w:rsidR="004116B5" w:rsidRPr="007802BC">
        <w:t>which</w:t>
      </w:r>
      <w:r w:rsidR="000A62FC" w:rsidRPr="007802BC">
        <w:t xml:space="preserve"> report two example</w:t>
      </w:r>
      <w:r w:rsidR="00F77012" w:rsidRPr="007802BC">
        <w:t>s</w:t>
      </w:r>
      <w:r w:rsidR="000A62FC" w:rsidRPr="007802BC">
        <w:t xml:space="preserve"> considering </w:t>
      </w:r>
      <w:r w:rsidR="004D447F" w:rsidRPr="007802BC">
        <w:t>different type</w:t>
      </w:r>
      <w:r w:rsidR="00F77012" w:rsidRPr="007802BC">
        <w:t>s</w:t>
      </w:r>
      <w:r w:rsidR="004D447F" w:rsidRPr="007802BC">
        <w:t xml:space="preserve"> and number</w:t>
      </w:r>
      <w:r w:rsidR="004116B5" w:rsidRPr="007802BC">
        <w:t>s</w:t>
      </w:r>
      <w:r w:rsidR="004D447F" w:rsidRPr="007802BC">
        <w:t xml:space="preserve"> of safety systems.</w:t>
      </w:r>
      <w:r w:rsidR="00981C19" w:rsidRPr="007802BC">
        <w:t xml:space="preserve"> </w:t>
      </w:r>
      <w:r w:rsidR="0074666A" w:rsidRPr="007802BC">
        <w:t>The number of configurations of a piece of equipment is determined by the product of the possible outcomes for each barrier it is equipped with.</w:t>
      </w:r>
    </w:p>
    <w:p w14:paraId="76FFB4FB" w14:textId="16D6E909" w:rsidR="003F01E4" w:rsidRPr="007802BC" w:rsidRDefault="00AE44BD" w:rsidP="00683A84">
      <w:pPr>
        <w:pStyle w:val="CETCaption"/>
        <w:spacing w:before="120" w:after="120"/>
      </w:pPr>
      <w:r w:rsidRPr="007802BC">
        <w:rPr>
          <w:noProof/>
        </w:rPr>
        <w:drawing>
          <wp:inline distT="0" distB="0" distL="0" distR="0" wp14:anchorId="4DB6B172" wp14:editId="67C7432B">
            <wp:extent cx="4608000" cy="2453186"/>
            <wp:effectExtent l="0" t="0" r="2540" b="4445"/>
            <wp:docPr id="10" name="Elemento gra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mento grafico 10"/>
                    <pic:cNvPicPr/>
                  </pic:nvPicPr>
                  <pic:blipFill>
                    <a:blip r:embed="rId12">
                      <a:extLst>
                        <a:ext uri="{96DAC541-7B7A-43D3-8B79-37D633B846F1}">
                          <asvg:svgBlip xmlns:asvg="http://schemas.microsoft.com/office/drawing/2016/SVG/main" r:embed="rId13"/>
                        </a:ext>
                      </a:extLst>
                    </a:blip>
                    <a:stretch>
                      <a:fillRect/>
                    </a:stretch>
                  </pic:blipFill>
                  <pic:spPr>
                    <a:xfrm>
                      <a:off x="0" y="0"/>
                      <a:ext cx="4608000" cy="2453186"/>
                    </a:xfrm>
                    <a:prstGeom prst="rect">
                      <a:avLst/>
                    </a:prstGeom>
                  </pic:spPr>
                </pic:pic>
              </a:graphicData>
            </a:graphic>
          </wp:inline>
        </w:drawing>
      </w:r>
    </w:p>
    <w:p w14:paraId="03861881" w14:textId="72F95DB8" w:rsidR="003F01E4" w:rsidRPr="007802BC" w:rsidRDefault="00665147" w:rsidP="00683A84">
      <w:pPr>
        <w:pStyle w:val="CETCaption"/>
        <w:spacing w:before="0"/>
      </w:pPr>
      <w:bookmarkStart w:id="2" w:name="_Ref191472813"/>
      <w:r w:rsidRPr="007802BC">
        <w:t xml:space="preserve">Figure </w:t>
      </w:r>
      <w:r w:rsidRPr="007802BC">
        <w:fldChar w:fldCharType="begin"/>
      </w:r>
      <w:r w:rsidRPr="007802BC">
        <w:instrText xml:space="preserve"> SEQ Figure \* ARABIC </w:instrText>
      </w:r>
      <w:r w:rsidRPr="007802BC">
        <w:fldChar w:fldCharType="separate"/>
      </w:r>
      <w:r w:rsidR="002D1D0F" w:rsidRPr="007802BC">
        <w:rPr>
          <w:noProof/>
        </w:rPr>
        <w:t>2</w:t>
      </w:r>
      <w:r w:rsidRPr="007802BC">
        <w:fldChar w:fldCharType="end"/>
      </w:r>
      <w:bookmarkEnd w:id="2"/>
      <w:r w:rsidRPr="007802BC">
        <w:t xml:space="preserve">. </w:t>
      </w:r>
      <w:r w:rsidR="00304F65" w:rsidRPr="007802BC">
        <w:t>(a) Definition of gate types and associated operators for the evaluation of safety systems outcomes</w:t>
      </w:r>
      <w:r w:rsidR="00892228" w:rsidRPr="007802BC">
        <w:t xml:space="preserve"> from Landucci et al. (2015). (b) Configuration</w:t>
      </w:r>
      <w:r w:rsidR="00981C19" w:rsidRPr="007802BC">
        <w:t>s</w:t>
      </w:r>
      <w:r w:rsidR="00892228" w:rsidRPr="007802BC">
        <w:t xml:space="preserve"> </w:t>
      </w:r>
      <w:r w:rsidR="00981C19" w:rsidRPr="007802BC">
        <w:t xml:space="preserve">definition for </w:t>
      </w:r>
      <w:r w:rsidR="00892228" w:rsidRPr="007802BC">
        <w:t xml:space="preserve">an equipment item </w:t>
      </w:r>
      <w:r w:rsidR="00981C19" w:rsidRPr="007802BC">
        <w:t>protected by two safety systems. (c) Configurations definition for an equipment item protected by a single safety system.</w:t>
      </w:r>
    </w:p>
    <w:p w14:paraId="58034C07" w14:textId="1CF880FC" w:rsidR="00963167" w:rsidRPr="007802BC" w:rsidRDefault="008F42F1" w:rsidP="00BA2CCF">
      <w:pPr>
        <w:pStyle w:val="CETBodytext"/>
      </w:pPr>
      <w:r w:rsidRPr="007802BC">
        <w:t>Then, all possible combination</w:t>
      </w:r>
      <w:r w:rsidR="00EC58F2" w:rsidRPr="007802BC">
        <w:t>s</w:t>
      </w:r>
      <w:r w:rsidRPr="007802BC">
        <w:t xml:space="preserve"> of tanks </w:t>
      </w:r>
      <w:r w:rsidR="00087583" w:rsidRPr="007802BC">
        <w:t xml:space="preserve">equipped with </w:t>
      </w:r>
      <w:r w:rsidRPr="007802BC">
        <w:t xml:space="preserve">safety systems can be </w:t>
      </w:r>
      <w:r w:rsidR="00601159" w:rsidRPr="007802BC">
        <w:t>identified</w:t>
      </w:r>
      <w:r w:rsidR="001F4A69" w:rsidRPr="007802BC">
        <w:t>. The total number of combinations</w:t>
      </w:r>
      <w:r w:rsidR="003C6981" w:rsidRPr="007802BC">
        <w:t xml:space="preserve"> </w:t>
      </w:r>
      <w:proofErr w:type="spellStart"/>
      <w:r w:rsidR="003C6981" w:rsidRPr="007802BC">
        <w:rPr>
          <w:i/>
          <w:iCs/>
        </w:rPr>
        <w:t>N</w:t>
      </w:r>
      <w:r w:rsidR="003C6981" w:rsidRPr="007802BC">
        <w:rPr>
          <w:i/>
          <w:iCs/>
          <w:vertAlign w:val="subscript"/>
        </w:rPr>
        <w:t>comb</w:t>
      </w:r>
      <w:proofErr w:type="spellEnd"/>
      <w:r w:rsidR="001F4A69" w:rsidRPr="007802BC">
        <w:t xml:space="preserve"> can be calculated as </w:t>
      </w:r>
      <w:r w:rsidR="00DA37EB" w:rsidRPr="007802BC">
        <w:t>reported in Eq. (2)</w:t>
      </w:r>
      <w:r w:rsidR="00962241" w:rsidRPr="007802BC">
        <w:t xml:space="preserve">, where </w:t>
      </w:r>
      <w:r w:rsidR="00962241" w:rsidRPr="007802BC">
        <w:rPr>
          <w:i/>
          <w:iCs/>
        </w:rPr>
        <w:t>n</w:t>
      </w:r>
      <w:r w:rsidR="00962241" w:rsidRPr="007802BC">
        <w:t xml:space="preserve"> is the total number of equipment items and </w:t>
      </w:r>
      <w:r w:rsidR="00962241" w:rsidRPr="007802BC">
        <w:rPr>
          <w:i/>
          <w:iCs/>
        </w:rPr>
        <w:t>m</w:t>
      </w:r>
      <w:r w:rsidR="00962241" w:rsidRPr="007802BC">
        <w:rPr>
          <w:i/>
          <w:iCs/>
          <w:vertAlign w:val="subscript"/>
        </w:rPr>
        <w:t>i</w:t>
      </w:r>
      <w:r w:rsidR="00962241" w:rsidRPr="007802BC">
        <w:rPr>
          <w:i/>
          <w:iCs/>
        </w:rPr>
        <w:t xml:space="preserve"> </w:t>
      </w:r>
      <w:r w:rsidR="00962241" w:rsidRPr="007802BC">
        <w:t xml:space="preserve">is the number of configurations of the </w:t>
      </w:r>
      <w:proofErr w:type="spellStart"/>
      <w:r w:rsidR="00962241" w:rsidRPr="007802BC">
        <w:rPr>
          <w:i/>
          <w:iCs/>
        </w:rPr>
        <w:t>i</w:t>
      </w:r>
      <w:proofErr w:type="spellEnd"/>
      <w:r w:rsidR="00962241" w:rsidRPr="007802BC">
        <w:t>-th tank</w:t>
      </w:r>
      <w:r w:rsidR="00B43BAC" w:rsidRPr="007802BC">
        <w:t>.</w:t>
      </w:r>
    </w:p>
    <w:tbl>
      <w:tblPr>
        <w:tblW w:w="5000" w:type="pct"/>
        <w:tblLook w:val="04A0" w:firstRow="1" w:lastRow="0" w:firstColumn="1" w:lastColumn="0" w:noHBand="0" w:noVBand="1"/>
      </w:tblPr>
      <w:tblGrid>
        <w:gridCol w:w="7983"/>
        <w:gridCol w:w="804"/>
      </w:tblGrid>
      <w:tr w:rsidR="001F4A69" w:rsidRPr="007802BC" w14:paraId="638C2EAC" w14:textId="77777777" w:rsidTr="00283C4A">
        <w:tc>
          <w:tcPr>
            <w:tcW w:w="8188" w:type="dxa"/>
            <w:shd w:val="clear" w:color="auto" w:fill="auto"/>
            <w:vAlign w:val="center"/>
          </w:tcPr>
          <w:p w14:paraId="55720DCB" w14:textId="0F47E377" w:rsidR="001F4A69" w:rsidRPr="007802BC" w:rsidRDefault="007802BC" w:rsidP="00283C4A">
            <w:pPr>
              <w:pStyle w:val="CETEquation"/>
              <w:rPr>
                <w:lang w:val="en-US"/>
              </w:rPr>
            </w:pPr>
            <m:oMathPara>
              <m:oMathParaPr>
                <m:jc m:val="left"/>
              </m:oMathPara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comb</m:t>
                    </m:r>
                  </m:sub>
                </m:sSub>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e>
                </m:nary>
              </m:oMath>
            </m:oMathPara>
          </w:p>
        </w:tc>
        <w:tc>
          <w:tcPr>
            <w:tcW w:w="815" w:type="dxa"/>
            <w:shd w:val="clear" w:color="auto" w:fill="auto"/>
            <w:vAlign w:val="center"/>
          </w:tcPr>
          <w:p w14:paraId="1388009C" w14:textId="3537606B" w:rsidR="001F4A69" w:rsidRPr="007802BC" w:rsidRDefault="001F4A69" w:rsidP="00283C4A">
            <w:pPr>
              <w:pStyle w:val="CETEquation"/>
              <w:jc w:val="right"/>
            </w:pPr>
            <w:r w:rsidRPr="007802BC">
              <w:t>(</w:t>
            </w:r>
            <w:r w:rsidR="00320C29" w:rsidRPr="007802BC">
              <w:t>2</w:t>
            </w:r>
            <w:r w:rsidRPr="007802BC">
              <w:t>)</w:t>
            </w:r>
          </w:p>
        </w:tc>
      </w:tr>
    </w:tbl>
    <w:p w14:paraId="144221C2" w14:textId="1D1C3AA7" w:rsidR="00E10E8E" w:rsidRPr="007802BC" w:rsidRDefault="00E10E8E" w:rsidP="006707CC">
      <w:pPr>
        <w:pStyle w:val="CETBodytext"/>
      </w:pPr>
      <w:r w:rsidRPr="007802BC">
        <w:t xml:space="preserve">Hence, each </w:t>
      </w:r>
      <w:r w:rsidR="009C6822" w:rsidRPr="007802BC">
        <w:t xml:space="preserve">combination </w:t>
      </w:r>
      <w:r w:rsidRPr="007802BC">
        <w:t xml:space="preserve">can be represented by a vector </w:t>
      </w:r>
      <w:proofErr w:type="spellStart"/>
      <w:r w:rsidRPr="007802BC">
        <w:rPr>
          <w:b/>
          <w:bCs/>
          <w:i/>
          <w:iCs/>
        </w:rPr>
        <w:t>N</w:t>
      </w:r>
      <w:r w:rsidRPr="007802BC">
        <w:rPr>
          <w:b/>
          <w:bCs/>
          <w:i/>
          <w:iCs/>
          <w:vertAlign w:val="superscript"/>
        </w:rPr>
        <w:t>n</w:t>
      </w:r>
      <w:proofErr w:type="spellEnd"/>
      <w:r w:rsidRPr="007802BC">
        <w:t xml:space="preserve"> of </w:t>
      </w:r>
      <w:r w:rsidRPr="007802BC">
        <w:rPr>
          <w:i/>
          <w:iCs/>
        </w:rPr>
        <w:t>n</w:t>
      </w:r>
      <w:r w:rsidRPr="007802BC">
        <w:t xml:space="preserve"> elements representing the </w:t>
      </w:r>
      <w:r w:rsidR="00612289" w:rsidRPr="007802BC">
        <w:t>configuration of the equipment item</w:t>
      </w:r>
      <w:r w:rsidR="00EF55B5" w:rsidRPr="007802BC">
        <w:t>s</w:t>
      </w:r>
      <w:r w:rsidRPr="007802BC">
        <w:t xml:space="preserve">. Thus, </w:t>
      </w:r>
      <w:proofErr w:type="spellStart"/>
      <w:r w:rsidRPr="007802BC">
        <w:rPr>
          <w:i/>
          <w:iCs/>
        </w:rPr>
        <w:t>N</w:t>
      </w:r>
      <w:r w:rsidR="00612289" w:rsidRPr="007802BC">
        <w:rPr>
          <w:i/>
          <w:iCs/>
          <w:vertAlign w:val="subscript"/>
        </w:rPr>
        <w:t>comb</w:t>
      </w:r>
      <w:proofErr w:type="spellEnd"/>
      <w:r w:rsidRPr="007802BC">
        <w:t xml:space="preserve"> different </w:t>
      </w:r>
      <w:proofErr w:type="spellStart"/>
      <w:r w:rsidRPr="007802BC">
        <w:rPr>
          <w:b/>
          <w:bCs/>
          <w:i/>
          <w:iCs/>
        </w:rPr>
        <w:t>N</w:t>
      </w:r>
      <w:r w:rsidRPr="007802BC">
        <w:rPr>
          <w:b/>
          <w:bCs/>
          <w:i/>
          <w:iCs/>
          <w:vertAlign w:val="superscript"/>
        </w:rPr>
        <w:t>n</w:t>
      </w:r>
      <w:proofErr w:type="spellEnd"/>
      <w:r w:rsidRPr="007802BC">
        <w:t xml:space="preserve"> vectors are possible</w:t>
      </w:r>
      <w:r w:rsidR="00320C29" w:rsidRPr="007802BC">
        <w:t xml:space="preserve"> and e</w:t>
      </w:r>
      <w:r w:rsidRPr="007802BC">
        <w:t xml:space="preserve">ach </w:t>
      </w:r>
      <w:proofErr w:type="spellStart"/>
      <w:r w:rsidR="000B1E1E" w:rsidRPr="007802BC">
        <w:rPr>
          <w:i/>
        </w:rPr>
        <w:t>i</w:t>
      </w:r>
      <w:proofErr w:type="spellEnd"/>
      <w:r w:rsidRPr="007802BC">
        <w:t xml:space="preserve">-th element </w:t>
      </w:r>
      <w:proofErr w:type="spellStart"/>
      <w:r w:rsidR="004D7EB6" w:rsidRPr="007802BC">
        <w:rPr>
          <w:i/>
          <w:iCs/>
        </w:rPr>
        <w:t>N</w:t>
      </w:r>
      <w:r w:rsidR="004D7EB6" w:rsidRPr="007802BC">
        <w:rPr>
          <w:i/>
          <w:iCs/>
          <w:vertAlign w:val="superscript"/>
        </w:rPr>
        <w:t>n</w:t>
      </w:r>
      <w:r w:rsidR="004D7EB6" w:rsidRPr="007802BC">
        <w:rPr>
          <w:i/>
          <w:iCs/>
          <w:vertAlign w:val="subscript"/>
        </w:rPr>
        <w:t>i</w:t>
      </w:r>
      <w:proofErr w:type="spellEnd"/>
      <w:r w:rsidRPr="007802BC">
        <w:t xml:space="preserve"> represents the </w:t>
      </w:r>
      <w:r w:rsidR="00320C29" w:rsidRPr="007802BC">
        <w:t xml:space="preserve">configuration </w:t>
      </w:r>
      <w:r w:rsidRPr="007802BC">
        <w:t xml:space="preserve">of the </w:t>
      </w:r>
      <w:proofErr w:type="spellStart"/>
      <w:r w:rsidR="000B1E1E" w:rsidRPr="007802BC">
        <w:rPr>
          <w:i/>
          <w:iCs/>
        </w:rPr>
        <w:t>i</w:t>
      </w:r>
      <w:proofErr w:type="spellEnd"/>
      <w:r w:rsidRPr="007802BC">
        <w:t xml:space="preserve">-th </w:t>
      </w:r>
      <w:r w:rsidR="00320C29" w:rsidRPr="007802BC">
        <w:t>equipment item</w:t>
      </w:r>
      <w:r w:rsidRPr="007802BC">
        <w:t xml:space="preserve">. </w:t>
      </w:r>
      <w:r w:rsidR="00532EC0" w:rsidRPr="007802BC">
        <w:t>T</w:t>
      </w:r>
      <w:r w:rsidRPr="007802BC">
        <w:t xml:space="preserve">he overall probability of a generic </w:t>
      </w:r>
      <w:r w:rsidR="00320C29" w:rsidRPr="007802BC">
        <w:t xml:space="preserve">combination </w:t>
      </w:r>
      <w:r w:rsidRPr="007802BC">
        <w:rPr>
          <w:i/>
          <w:iCs/>
        </w:rPr>
        <w:t>P(</w:t>
      </w:r>
      <w:proofErr w:type="spellStart"/>
      <w:r w:rsidRPr="007802BC">
        <w:rPr>
          <w:b/>
          <w:bCs/>
          <w:i/>
          <w:iCs/>
        </w:rPr>
        <w:t>N</w:t>
      </w:r>
      <w:r w:rsidRPr="007802BC">
        <w:rPr>
          <w:b/>
          <w:bCs/>
          <w:i/>
          <w:iCs/>
          <w:vertAlign w:val="superscript"/>
        </w:rPr>
        <w:t>n</w:t>
      </w:r>
      <w:proofErr w:type="spellEnd"/>
      <w:r w:rsidRPr="007802BC">
        <w:rPr>
          <w:i/>
          <w:iCs/>
        </w:rPr>
        <w:t>)</w:t>
      </w:r>
      <w:r w:rsidRPr="007802BC">
        <w:t xml:space="preserve"> can be calculated by</w:t>
      </w:r>
      <w:r w:rsidR="00320C29" w:rsidRPr="007802BC">
        <w:t xml:space="preserve"> Eq. (3) under the hypothesis of independent event</w:t>
      </w:r>
      <w:r w:rsidR="00B43BAC" w:rsidRPr="007802BC">
        <w:t xml:space="preserve">, where </w:t>
      </w:r>
      <w:r w:rsidR="00B43BAC" w:rsidRPr="007802BC">
        <w:rPr>
          <w:i/>
          <w:iCs/>
        </w:rPr>
        <w:t>P(</w:t>
      </w:r>
      <w:proofErr w:type="spellStart"/>
      <w:r w:rsidR="00B43BAC" w:rsidRPr="007802BC">
        <w:rPr>
          <w:i/>
          <w:iCs/>
        </w:rPr>
        <w:t>N</w:t>
      </w:r>
      <w:r w:rsidR="00B43BAC" w:rsidRPr="007802BC">
        <w:rPr>
          <w:i/>
          <w:iCs/>
          <w:vertAlign w:val="superscript"/>
        </w:rPr>
        <w:t>n</w:t>
      </w:r>
      <w:r w:rsidR="00B43BAC" w:rsidRPr="007802BC">
        <w:rPr>
          <w:i/>
          <w:iCs/>
          <w:vertAlign w:val="subscript"/>
        </w:rPr>
        <w:t>i</w:t>
      </w:r>
      <w:proofErr w:type="spellEnd"/>
      <w:r w:rsidR="00B43BAC" w:rsidRPr="007802BC">
        <w:rPr>
          <w:i/>
          <w:iCs/>
        </w:rPr>
        <w:t>)</w:t>
      </w:r>
      <w:r w:rsidR="00B43BAC" w:rsidRPr="007802BC">
        <w:t xml:space="preserve"> is the probability of the configuration of the </w:t>
      </w:r>
      <w:proofErr w:type="spellStart"/>
      <w:r w:rsidR="00B43BAC" w:rsidRPr="007802BC">
        <w:rPr>
          <w:i/>
          <w:iCs/>
        </w:rPr>
        <w:t>i</w:t>
      </w:r>
      <w:proofErr w:type="spellEnd"/>
      <w:r w:rsidR="00B43BAC" w:rsidRPr="007802BC">
        <w:t xml:space="preserve">-th item in the </w:t>
      </w:r>
      <w:proofErr w:type="spellStart"/>
      <w:r w:rsidR="00B43BAC" w:rsidRPr="007802BC">
        <w:rPr>
          <w:b/>
          <w:bCs/>
          <w:i/>
          <w:iCs/>
        </w:rPr>
        <w:t>N</w:t>
      </w:r>
      <w:r w:rsidR="00B43BAC" w:rsidRPr="007802BC">
        <w:rPr>
          <w:b/>
          <w:bCs/>
          <w:i/>
          <w:iCs/>
          <w:vertAlign w:val="superscript"/>
        </w:rPr>
        <w:t>n</w:t>
      </w:r>
      <w:proofErr w:type="spellEnd"/>
      <w:r w:rsidR="00B43BAC" w:rsidRPr="007802BC">
        <w:t xml:space="preserve"> combination</w:t>
      </w:r>
      <w:r w:rsidR="00714CBB" w:rsidRPr="007802BC">
        <w:t>.</w:t>
      </w:r>
    </w:p>
    <w:tbl>
      <w:tblPr>
        <w:tblW w:w="5000" w:type="pct"/>
        <w:tblLook w:val="04A0" w:firstRow="1" w:lastRow="0" w:firstColumn="1" w:lastColumn="0" w:noHBand="0" w:noVBand="1"/>
      </w:tblPr>
      <w:tblGrid>
        <w:gridCol w:w="7983"/>
        <w:gridCol w:w="804"/>
      </w:tblGrid>
      <w:tr w:rsidR="00320C29" w:rsidRPr="007802BC" w14:paraId="70DA44C8" w14:textId="77777777" w:rsidTr="007C2956">
        <w:tc>
          <w:tcPr>
            <w:tcW w:w="7983" w:type="dxa"/>
            <w:shd w:val="clear" w:color="auto" w:fill="auto"/>
            <w:vAlign w:val="center"/>
          </w:tcPr>
          <w:p w14:paraId="21BDCC50" w14:textId="1CF1A8CF" w:rsidR="00320C29" w:rsidRPr="007802BC" w:rsidRDefault="005F597F" w:rsidP="00283C4A">
            <w:pPr>
              <w:pStyle w:val="CETEquation"/>
              <w:rPr>
                <w:lang w:val="en-US"/>
              </w:rPr>
            </w:pPr>
            <m:oMathPara>
              <m:oMathParaPr>
                <m:jc m:val="left"/>
              </m:oMathParaPr>
              <m:oMath>
                <m:r>
                  <w:rPr>
                    <w:rFonts w:ascii="Cambria Math" w:hAnsi="Cambria Math"/>
                    <w:lang w:val="en-US"/>
                  </w:rPr>
                  <m:t>P</m:t>
                </m:r>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P</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m:t>
                            </m:r>
                          </m:sub>
                          <m:sup>
                            <m:r>
                              <w:rPr>
                                <w:rFonts w:ascii="Cambria Math" w:hAnsi="Cambria Math"/>
                                <w:lang w:val="en-US"/>
                              </w:rPr>
                              <m:t>n</m:t>
                            </m:r>
                          </m:sup>
                        </m:sSubSup>
                      </m:e>
                    </m:d>
                  </m:e>
                </m:nary>
              </m:oMath>
            </m:oMathPara>
          </w:p>
        </w:tc>
        <w:tc>
          <w:tcPr>
            <w:tcW w:w="804" w:type="dxa"/>
            <w:shd w:val="clear" w:color="auto" w:fill="auto"/>
            <w:vAlign w:val="center"/>
          </w:tcPr>
          <w:p w14:paraId="0953D9E1" w14:textId="615BFD9D" w:rsidR="00320C29" w:rsidRPr="007802BC" w:rsidRDefault="00320C29" w:rsidP="00283C4A">
            <w:pPr>
              <w:pStyle w:val="CETEquation"/>
              <w:jc w:val="right"/>
            </w:pPr>
            <w:r w:rsidRPr="007802BC">
              <w:t>(</w:t>
            </w:r>
            <w:r w:rsidR="007A2232" w:rsidRPr="007802BC">
              <w:t>3</w:t>
            </w:r>
            <w:r w:rsidRPr="007802BC">
              <w:t>)</w:t>
            </w:r>
          </w:p>
        </w:tc>
      </w:tr>
    </w:tbl>
    <w:p w14:paraId="3C6C591C" w14:textId="59CFC158" w:rsidR="007A2232" w:rsidRPr="007802BC" w:rsidRDefault="007A2232" w:rsidP="007A2232">
      <w:pPr>
        <w:pStyle w:val="CETheadingx"/>
      </w:pPr>
      <w:r w:rsidRPr="007802BC">
        <w:lastRenderedPageBreak/>
        <w:t>Dynamic assessment of primary Natech and Escalation scenarios</w:t>
      </w:r>
    </w:p>
    <w:p w14:paraId="74125B3E" w14:textId="0BADFE19" w:rsidR="00C23266" w:rsidRPr="007802BC" w:rsidRDefault="00B5413F" w:rsidP="00522452">
      <w:pPr>
        <w:pStyle w:val="CETBodytext"/>
      </w:pPr>
      <w:r w:rsidRPr="007802BC">
        <w:t xml:space="preserve">The methodology </w:t>
      </w:r>
      <w:r w:rsidR="00522452" w:rsidRPr="007802BC">
        <w:t>developed by</w:t>
      </w:r>
      <w:r w:rsidR="00424513" w:rsidRPr="007802BC">
        <w:t xml:space="preserve"> Ricci et al. (2024)</w:t>
      </w:r>
      <w:r w:rsidR="00522452" w:rsidRPr="007802BC">
        <w:t xml:space="preserve"> is applied </w:t>
      </w:r>
      <w:r w:rsidRPr="007802BC">
        <w:t xml:space="preserve">for the </w:t>
      </w:r>
      <w:r w:rsidR="00522452" w:rsidRPr="007802BC">
        <w:t xml:space="preserve">definition and quantification of </w:t>
      </w:r>
      <w:r w:rsidRPr="007802BC">
        <w:t xml:space="preserve">dynamic </w:t>
      </w:r>
      <w:r w:rsidR="00522452" w:rsidRPr="007802BC">
        <w:t xml:space="preserve">event trees which </w:t>
      </w:r>
      <w:r w:rsidR="00821236" w:rsidRPr="007802BC">
        <w:t xml:space="preserve">capture </w:t>
      </w:r>
      <w:r w:rsidR="00522452" w:rsidRPr="007802BC">
        <w:t>the time-dependence of</w:t>
      </w:r>
      <w:r w:rsidR="00076287" w:rsidRPr="007802BC">
        <w:t xml:space="preserve"> atmospheric tank</w:t>
      </w:r>
      <w:r w:rsidR="00522452" w:rsidRPr="007802BC">
        <w:t xml:space="preserve"> failures </w:t>
      </w:r>
      <w:r w:rsidR="003E4BC0" w:rsidRPr="007802BC">
        <w:t xml:space="preserve">induced by </w:t>
      </w:r>
      <w:r w:rsidR="00522452" w:rsidRPr="007802BC">
        <w:t>thermal radiation from wildfire</w:t>
      </w:r>
      <w:r w:rsidR="00D4682C" w:rsidRPr="007802BC">
        <w:t>s</w:t>
      </w:r>
      <w:r w:rsidR="00522452" w:rsidRPr="007802BC">
        <w:t xml:space="preserve"> and</w:t>
      </w:r>
      <w:r w:rsidR="00F00889" w:rsidRPr="007802BC">
        <w:t>/or</w:t>
      </w:r>
      <w:r w:rsidR="00522452" w:rsidRPr="007802BC">
        <w:t xml:space="preserve"> </w:t>
      </w:r>
      <w:r w:rsidR="00FF1A66" w:rsidRPr="007802BC">
        <w:t>nearby</w:t>
      </w:r>
      <w:r w:rsidR="00522452" w:rsidRPr="007802BC">
        <w:t xml:space="preserve"> tanks. </w:t>
      </w:r>
      <w:r w:rsidR="00847C8D" w:rsidRPr="007802BC">
        <w:t>Details on the application of the methodology can be found in</w:t>
      </w:r>
      <w:r w:rsidR="00424513" w:rsidRPr="007802BC">
        <w:t xml:space="preserve"> the original source</w:t>
      </w:r>
      <w:r w:rsidR="00847C8D" w:rsidRPr="007802BC">
        <w:t>.</w:t>
      </w:r>
      <w:r w:rsidR="008D7DD8" w:rsidRPr="007802BC">
        <w:t xml:space="preserve"> </w:t>
      </w:r>
    </w:p>
    <w:p w14:paraId="392B8C73" w14:textId="26A91C61" w:rsidR="00A354EB" w:rsidRPr="007802BC" w:rsidRDefault="008D7DD8" w:rsidP="006707CC">
      <w:pPr>
        <w:pStyle w:val="CETBodytext"/>
      </w:pPr>
      <w:r w:rsidRPr="007802BC">
        <w:t xml:space="preserve">Given the </w:t>
      </w:r>
      <w:r w:rsidR="008D5F55" w:rsidRPr="007802BC">
        <w:t>inclusion of safety systems aimed at protecting tank</w:t>
      </w:r>
      <w:r w:rsidR="00F06057" w:rsidRPr="007802BC">
        <w:t>s</w:t>
      </w:r>
      <w:r w:rsidR="008D5F55" w:rsidRPr="007802BC">
        <w:t xml:space="preserve">, </w:t>
      </w:r>
      <w:r w:rsidR="00BF1CE4" w:rsidRPr="007802BC">
        <w:t>the approach is tailored to account for the modification o</w:t>
      </w:r>
      <w:r w:rsidR="008462F0" w:rsidRPr="007802BC">
        <w:t>f</w:t>
      </w:r>
      <w:r w:rsidR="00BF1CE4" w:rsidRPr="007802BC">
        <w:t xml:space="preserve"> the impact vector on tank</w:t>
      </w:r>
      <w:r w:rsidR="00847C8D" w:rsidRPr="007802BC">
        <w:t>s</w:t>
      </w:r>
      <w:r w:rsidR="00BF1CE4" w:rsidRPr="007802BC">
        <w:t xml:space="preserve"> </w:t>
      </w:r>
      <w:r w:rsidR="008462F0" w:rsidRPr="007802BC">
        <w:t xml:space="preserve">when </w:t>
      </w:r>
      <w:r w:rsidR="00847C8D" w:rsidRPr="007802BC">
        <w:t xml:space="preserve">barriers </w:t>
      </w:r>
      <w:r w:rsidR="0044635C" w:rsidRPr="007802BC">
        <w:t>work</w:t>
      </w:r>
      <w:r w:rsidR="006D1965" w:rsidRPr="007802BC">
        <w:t xml:space="preserve"> effectively.</w:t>
      </w:r>
      <w:r w:rsidR="00D30FEA" w:rsidRPr="007802BC">
        <w:t xml:space="preserve"> Specifically, </w:t>
      </w:r>
      <w:r w:rsidR="00AF7EB9" w:rsidRPr="007802BC">
        <w:t xml:space="preserve">the </w:t>
      </w:r>
      <w:r w:rsidR="00804312" w:rsidRPr="007802BC">
        <w:t xml:space="preserve">thermal radiation </w:t>
      </w:r>
      <w:r w:rsidR="00AF7EB9" w:rsidRPr="007802BC">
        <w:t xml:space="preserve">received by each target </w:t>
      </w:r>
      <w:r w:rsidR="00CB10DD" w:rsidRPr="007802BC">
        <w:t xml:space="preserve">is </w:t>
      </w:r>
      <w:r w:rsidR="00AF7EB9" w:rsidRPr="007802BC">
        <w:t xml:space="preserve">evaluated </w:t>
      </w:r>
      <w:r w:rsidR="008204D2" w:rsidRPr="007802BC">
        <w:t xml:space="preserve">by </w:t>
      </w:r>
      <w:r w:rsidR="00AF7EB9" w:rsidRPr="007802BC">
        <w:t xml:space="preserve">considering the safety system </w:t>
      </w:r>
      <w:r w:rsidR="00D91A5A" w:rsidRPr="007802BC">
        <w:t xml:space="preserve">acting on </w:t>
      </w:r>
      <w:r w:rsidR="00381F3F" w:rsidRPr="007802BC">
        <w:t>it</w:t>
      </w:r>
      <w:r w:rsidR="00AF7EB9" w:rsidRPr="007802BC">
        <w:t>.</w:t>
      </w:r>
      <w:r w:rsidR="00D91A5A" w:rsidRPr="007802BC">
        <w:t xml:space="preserve"> </w:t>
      </w:r>
      <w:r w:rsidR="00CB10DD" w:rsidRPr="007802BC">
        <w:t>T</w:t>
      </w:r>
      <w:r w:rsidR="00D91A5A" w:rsidRPr="007802BC">
        <w:t>he thermal radiation</w:t>
      </w:r>
      <w:r w:rsidR="00CB376C" w:rsidRPr="007802BC">
        <w:t xml:space="preserve"> </w:t>
      </w:r>
      <w:proofErr w:type="spellStart"/>
      <w:r w:rsidR="00CB376C" w:rsidRPr="007802BC">
        <w:rPr>
          <w:i/>
          <w:iCs/>
        </w:rPr>
        <w:t>TR</w:t>
      </w:r>
      <w:r w:rsidR="00CB376C" w:rsidRPr="007802BC">
        <w:rPr>
          <w:i/>
          <w:iCs/>
          <w:vertAlign w:val="subscript"/>
        </w:rPr>
        <w:t>i</w:t>
      </w:r>
      <w:proofErr w:type="spellEnd"/>
      <w:r w:rsidR="00CB376C" w:rsidRPr="007802BC">
        <w:rPr>
          <w:i/>
          <w:iCs/>
          <w:vertAlign w:val="subscript"/>
        </w:rPr>
        <w:t xml:space="preserve"> </w:t>
      </w:r>
      <w:r w:rsidR="00CB376C" w:rsidRPr="007802BC">
        <w:rPr>
          <w:i/>
          <w:iCs/>
        </w:rPr>
        <w:t>(</w:t>
      </w:r>
      <w:proofErr w:type="spellStart"/>
      <w:r w:rsidR="00CB376C" w:rsidRPr="007802BC">
        <w:rPr>
          <w:i/>
          <w:iCs/>
        </w:rPr>
        <w:t>N</w:t>
      </w:r>
      <w:r w:rsidR="00CB376C" w:rsidRPr="007802BC">
        <w:rPr>
          <w:i/>
          <w:iCs/>
          <w:vertAlign w:val="superscript"/>
        </w:rPr>
        <w:t>n</w:t>
      </w:r>
      <w:r w:rsidR="00CB376C" w:rsidRPr="007802BC">
        <w:rPr>
          <w:i/>
          <w:iCs/>
          <w:vertAlign w:val="subscript"/>
        </w:rPr>
        <w:t>i</w:t>
      </w:r>
      <w:proofErr w:type="spellEnd"/>
      <w:r w:rsidR="00CB376C" w:rsidRPr="007802BC">
        <w:rPr>
          <w:i/>
          <w:iCs/>
        </w:rPr>
        <w:t>)</w:t>
      </w:r>
      <w:r w:rsidR="00CB376C" w:rsidRPr="007802BC">
        <w:t xml:space="preserve"> </w:t>
      </w:r>
      <w:r w:rsidR="008802BF" w:rsidRPr="007802BC">
        <w:t xml:space="preserve">on the </w:t>
      </w:r>
      <w:proofErr w:type="spellStart"/>
      <w:r w:rsidR="008802BF" w:rsidRPr="007802BC">
        <w:rPr>
          <w:i/>
          <w:iCs/>
        </w:rPr>
        <w:t>i</w:t>
      </w:r>
      <w:proofErr w:type="spellEnd"/>
      <w:r w:rsidR="008802BF" w:rsidRPr="007802BC">
        <w:t xml:space="preserve">-th target </w:t>
      </w:r>
      <w:r w:rsidR="004D7EB6" w:rsidRPr="007802BC">
        <w:t>considering the configuration of safety system</w:t>
      </w:r>
      <w:r w:rsidR="00F06057" w:rsidRPr="007802BC">
        <w:t>s</w:t>
      </w:r>
      <w:r w:rsidR="00CB376C" w:rsidRPr="007802BC">
        <w:rPr>
          <w:i/>
          <w:iCs/>
        </w:rPr>
        <w:t xml:space="preserve"> </w:t>
      </w:r>
      <w:proofErr w:type="spellStart"/>
      <w:r w:rsidR="00CB376C" w:rsidRPr="007802BC">
        <w:rPr>
          <w:i/>
          <w:iCs/>
        </w:rPr>
        <w:t>N</w:t>
      </w:r>
      <w:r w:rsidR="00CB376C" w:rsidRPr="007802BC">
        <w:rPr>
          <w:i/>
          <w:iCs/>
          <w:vertAlign w:val="superscript"/>
        </w:rPr>
        <w:t>n</w:t>
      </w:r>
      <w:r w:rsidR="00CB376C" w:rsidRPr="007802BC">
        <w:rPr>
          <w:i/>
          <w:iCs/>
          <w:vertAlign w:val="subscript"/>
        </w:rPr>
        <w:t>i</w:t>
      </w:r>
      <w:proofErr w:type="spellEnd"/>
      <w:r w:rsidR="004D7EB6" w:rsidRPr="007802BC">
        <w:t xml:space="preserve"> </w:t>
      </w:r>
      <w:r w:rsidR="008802BF" w:rsidRPr="007802BC">
        <w:t>is calculated as:</w:t>
      </w:r>
    </w:p>
    <w:tbl>
      <w:tblPr>
        <w:tblW w:w="5000" w:type="pct"/>
        <w:tblLook w:val="04A0" w:firstRow="1" w:lastRow="0" w:firstColumn="1" w:lastColumn="0" w:noHBand="0" w:noVBand="1"/>
      </w:tblPr>
      <w:tblGrid>
        <w:gridCol w:w="7983"/>
        <w:gridCol w:w="804"/>
      </w:tblGrid>
      <w:tr w:rsidR="00804312" w:rsidRPr="007802BC" w14:paraId="4530ACEF" w14:textId="77777777" w:rsidTr="00283C4A">
        <w:tc>
          <w:tcPr>
            <w:tcW w:w="7983" w:type="dxa"/>
            <w:shd w:val="clear" w:color="auto" w:fill="auto"/>
            <w:vAlign w:val="center"/>
          </w:tcPr>
          <w:p w14:paraId="646548B7" w14:textId="60788ADE" w:rsidR="00804312" w:rsidRPr="007802BC" w:rsidRDefault="007802BC" w:rsidP="00283C4A">
            <w:pPr>
              <w:pStyle w:val="CETEquation"/>
              <w:rPr>
                <w:lang w:val="en-US"/>
              </w:rPr>
            </w:pPr>
            <m:oMathPara>
              <m:oMathParaPr>
                <m:jc m:val="left"/>
              </m:oMathParaPr>
              <m:oMath>
                <m:sSub>
                  <m:sSubPr>
                    <m:ctrlPr>
                      <w:rPr>
                        <w:rFonts w:ascii="Cambria Math" w:hAnsi="Cambria Math"/>
                        <w:i/>
                        <w:lang w:val="en-US"/>
                      </w:rPr>
                    </m:ctrlPr>
                  </m:sSubPr>
                  <m:e>
                    <m:r>
                      <w:rPr>
                        <w:rFonts w:ascii="Cambria Math" w:hAnsi="Cambria Math"/>
                        <w:lang w:val="en-US"/>
                      </w:rPr>
                      <m:t>TR</m:t>
                    </m:r>
                  </m:e>
                  <m:sub>
                    <m:r>
                      <w:rPr>
                        <w:rFonts w:ascii="Cambria Math" w:hAnsi="Cambria Math"/>
                        <w:lang w:val="en-US"/>
                      </w:rPr>
                      <m:t>i</m:t>
                    </m:r>
                  </m:sub>
                </m:sSub>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m:t>
                        </m:r>
                      </m:sub>
                      <m:sup>
                        <m:r>
                          <w:rPr>
                            <w:rFonts w:ascii="Cambria Math" w:hAnsi="Cambria Math"/>
                            <w:lang w:val="en-US"/>
                          </w:rPr>
                          <m:t>n</m:t>
                        </m:r>
                      </m:sup>
                    </m:sSubSup>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IR</m:t>
                        </m:r>
                      </m:e>
                      <m:sub>
                        <m:r>
                          <w:rPr>
                            <w:rFonts w:ascii="Cambria Math" w:hAnsi="Cambria Math"/>
                            <w:lang w:val="en-US"/>
                          </w:rPr>
                          <m:t>wf→i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wf</m:t>
                        </m:r>
                      </m:sub>
                    </m:sSub>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IR</m:t>
                            </m:r>
                          </m:e>
                          <m:sub>
                            <m:r>
                              <w:rPr>
                                <w:rFonts w:ascii="Cambria Math" w:hAnsi="Cambria Math"/>
                                <w:lang w:val="en-US"/>
                              </w:rPr>
                              <m:t>j→i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j</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sb</m:t>
                    </m:r>
                  </m:sub>
                </m:sSub>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m:t>
                        </m:r>
                      </m:sub>
                      <m:sup>
                        <m:r>
                          <w:rPr>
                            <w:rFonts w:ascii="Cambria Math" w:hAnsi="Cambria Math"/>
                            <w:lang w:val="en-US"/>
                          </w:rPr>
                          <m:t>n</m:t>
                        </m:r>
                      </m:sup>
                    </m:sSubSup>
                  </m:e>
                </m:d>
              </m:oMath>
            </m:oMathPara>
          </w:p>
        </w:tc>
        <w:tc>
          <w:tcPr>
            <w:tcW w:w="804" w:type="dxa"/>
            <w:shd w:val="clear" w:color="auto" w:fill="auto"/>
            <w:vAlign w:val="center"/>
          </w:tcPr>
          <w:p w14:paraId="1CA370F2" w14:textId="210DD777" w:rsidR="00804312" w:rsidRPr="007802BC" w:rsidRDefault="00804312" w:rsidP="00283C4A">
            <w:pPr>
              <w:pStyle w:val="CETEquation"/>
              <w:jc w:val="right"/>
            </w:pPr>
            <w:r w:rsidRPr="007802BC">
              <w:t>(</w:t>
            </w:r>
            <w:r w:rsidR="00481EA3" w:rsidRPr="007802BC">
              <w:t>4</w:t>
            </w:r>
            <w:r w:rsidRPr="007802BC">
              <w:t>)</w:t>
            </w:r>
          </w:p>
        </w:tc>
      </w:tr>
    </w:tbl>
    <w:p w14:paraId="3A6D948B" w14:textId="71DC7D85" w:rsidR="00804312" w:rsidRPr="007802BC" w:rsidRDefault="00CB376C" w:rsidP="00FC0DC5">
      <w:pPr>
        <w:pStyle w:val="CETBodytext"/>
      </w:pPr>
      <w:r w:rsidRPr="007802BC">
        <w:t>where</w:t>
      </w:r>
      <w:r w:rsidR="00481EA3" w:rsidRPr="007802BC">
        <w:t xml:space="preserve"> </w:t>
      </w:r>
      <w:proofErr w:type="spellStart"/>
      <w:r w:rsidR="00481EA3" w:rsidRPr="007802BC">
        <w:rPr>
          <w:i/>
          <w:iCs/>
        </w:rPr>
        <w:t>IR</w:t>
      </w:r>
      <w:r w:rsidR="00481EA3" w:rsidRPr="007802BC">
        <w:rPr>
          <w:i/>
          <w:iCs/>
          <w:vertAlign w:val="subscript"/>
        </w:rPr>
        <w:t>wf→i</w:t>
      </w:r>
      <w:proofErr w:type="spellEnd"/>
      <w:r w:rsidR="00481EA3" w:rsidRPr="007802BC">
        <w:rPr>
          <w:i/>
          <w:iCs/>
        </w:rPr>
        <w:t xml:space="preserve"> </w:t>
      </w:r>
      <w:r w:rsidR="001D35D6" w:rsidRPr="007802BC">
        <w:t xml:space="preserve">is the thermal radiation on the </w:t>
      </w:r>
      <w:proofErr w:type="spellStart"/>
      <w:r w:rsidR="001D35D6" w:rsidRPr="007802BC">
        <w:rPr>
          <w:i/>
          <w:iCs/>
        </w:rPr>
        <w:t>i</w:t>
      </w:r>
      <w:proofErr w:type="spellEnd"/>
      <w:r w:rsidR="001D35D6" w:rsidRPr="007802BC">
        <w:t>-th target from the wildfire</w:t>
      </w:r>
      <w:r w:rsidR="002C7B26" w:rsidRPr="007802BC">
        <w:t>,</w:t>
      </w:r>
      <w:r w:rsidR="001D35D6" w:rsidRPr="007802BC">
        <w:t xml:space="preserve"> </w:t>
      </w:r>
      <w:proofErr w:type="spellStart"/>
      <w:r w:rsidR="00AC2430" w:rsidRPr="007802BC">
        <w:rPr>
          <w:i/>
          <w:iCs/>
        </w:rPr>
        <w:t>IR</w:t>
      </w:r>
      <w:r w:rsidR="00AC2430" w:rsidRPr="007802BC">
        <w:rPr>
          <w:i/>
          <w:iCs/>
          <w:vertAlign w:val="subscript"/>
        </w:rPr>
        <w:t>j→i</w:t>
      </w:r>
      <w:proofErr w:type="spellEnd"/>
      <w:r w:rsidR="00AC2430" w:rsidRPr="007802BC">
        <w:rPr>
          <w:i/>
          <w:iCs/>
        </w:rPr>
        <w:t xml:space="preserve"> </w:t>
      </w:r>
      <w:r w:rsidR="00AC2430" w:rsidRPr="007802BC">
        <w:t xml:space="preserve">is the thermal radiation on the </w:t>
      </w:r>
      <w:proofErr w:type="spellStart"/>
      <w:r w:rsidR="00AC2430" w:rsidRPr="007802BC">
        <w:rPr>
          <w:i/>
          <w:iCs/>
        </w:rPr>
        <w:t>i</w:t>
      </w:r>
      <w:proofErr w:type="spellEnd"/>
      <w:r w:rsidR="00AC2430" w:rsidRPr="007802BC">
        <w:t xml:space="preserve">-th target from the </w:t>
      </w:r>
      <w:r w:rsidR="00AC2430" w:rsidRPr="007802BC">
        <w:rPr>
          <w:i/>
          <w:iCs/>
        </w:rPr>
        <w:t>j</w:t>
      </w:r>
      <w:r w:rsidR="00AC2430" w:rsidRPr="007802BC">
        <w:t>-th item,</w:t>
      </w:r>
      <w:r w:rsidR="00960565" w:rsidRPr="007802BC">
        <w:t xml:space="preserve"> </w:t>
      </w:r>
      <w:r w:rsidR="00960565" w:rsidRPr="007802BC">
        <w:rPr>
          <w:i/>
          <w:iCs/>
        </w:rPr>
        <w:t>n</w:t>
      </w:r>
      <w:r w:rsidR="00960565" w:rsidRPr="007802BC">
        <w:t xml:space="preserve"> is the total number of equipment item considered, and</w:t>
      </w:r>
      <w:r w:rsidR="00ED202F" w:rsidRPr="007802BC">
        <w:t xml:space="preserve"> </w:t>
      </w:r>
      <w:r w:rsidR="00ED202F" w:rsidRPr="007802BC">
        <w:rPr>
          <w:rFonts w:cs="Arial"/>
          <w:i/>
          <w:iCs/>
        </w:rPr>
        <w:t>δ</w:t>
      </w:r>
      <w:r w:rsidR="00ED202F" w:rsidRPr="007802BC">
        <w:t xml:space="preserve"> </w:t>
      </w:r>
      <w:r w:rsidR="00960565" w:rsidRPr="007802BC">
        <w:t>is a parameter set to 1 if the status of the fire is active, and to 0 otherwise</w:t>
      </w:r>
      <w:r w:rsidR="00ED202F" w:rsidRPr="007802BC">
        <w:t>.</w:t>
      </w:r>
      <w:r w:rsidR="00FF4DAA" w:rsidRPr="007802BC">
        <w:t xml:space="preserve"> </w:t>
      </w:r>
      <w:r w:rsidR="003A7A18" w:rsidRPr="007802BC">
        <w:t>T</w:t>
      </w:r>
      <w:r w:rsidR="00FF4DAA" w:rsidRPr="007802BC">
        <w:t xml:space="preserve">he effect of the safety system is accounted </w:t>
      </w:r>
      <w:r w:rsidR="00C50355" w:rsidRPr="007802BC">
        <w:t xml:space="preserve">for </w:t>
      </w:r>
      <w:r w:rsidR="00FC0DC5" w:rsidRPr="007802BC">
        <w:t>through</w:t>
      </w:r>
      <w:r w:rsidR="00FF4DAA" w:rsidRPr="007802BC">
        <w:t xml:space="preserve"> the factor </w:t>
      </w:r>
      <w:proofErr w:type="spellStart"/>
      <w:r w:rsidR="00FF4DAA" w:rsidRPr="007802BC">
        <w:rPr>
          <w:rFonts w:cs="Arial"/>
          <w:i/>
          <w:iCs/>
        </w:rPr>
        <w:t>γ</w:t>
      </w:r>
      <w:r w:rsidR="00FF4DAA" w:rsidRPr="007802BC">
        <w:rPr>
          <w:i/>
          <w:iCs/>
          <w:vertAlign w:val="subscript"/>
        </w:rPr>
        <w:t>sb</w:t>
      </w:r>
      <w:proofErr w:type="spellEnd"/>
      <w:r w:rsidR="00FC0DC5" w:rsidRPr="007802BC">
        <w:rPr>
          <w:i/>
          <w:iCs/>
        </w:rPr>
        <w:t xml:space="preserve"> </w:t>
      </w:r>
      <w:r w:rsidR="00FF4DAA" w:rsidRPr="007802BC">
        <w:rPr>
          <w:i/>
          <w:iCs/>
        </w:rPr>
        <w:t>(</w:t>
      </w:r>
      <w:proofErr w:type="spellStart"/>
      <w:r w:rsidR="00FF4DAA" w:rsidRPr="007802BC">
        <w:rPr>
          <w:i/>
          <w:iCs/>
        </w:rPr>
        <w:t>N</w:t>
      </w:r>
      <w:r w:rsidR="00FF4DAA" w:rsidRPr="007802BC">
        <w:rPr>
          <w:i/>
          <w:iCs/>
          <w:vertAlign w:val="superscript"/>
        </w:rPr>
        <w:t>n</w:t>
      </w:r>
      <w:r w:rsidR="00FF4DAA" w:rsidRPr="007802BC">
        <w:rPr>
          <w:i/>
          <w:iCs/>
          <w:vertAlign w:val="subscript"/>
        </w:rPr>
        <w:t>i</w:t>
      </w:r>
      <w:proofErr w:type="spellEnd"/>
      <w:r w:rsidR="00FF4DAA" w:rsidRPr="007802BC">
        <w:rPr>
          <w:i/>
          <w:iCs/>
        </w:rPr>
        <w:t>)</w:t>
      </w:r>
      <w:r w:rsidR="000C6079" w:rsidRPr="007802BC">
        <w:t>, which represent</w:t>
      </w:r>
      <w:r w:rsidR="002D284F" w:rsidRPr="007802BC">
        <w:t>s</w:t>
      </w:r>
      <w:r w:rsidR="000C6079" w:rsidRPr="007802BC">
        <w:t xml:space="preserve"> the attenuation </w:t>
      </w:r>
      <w:r w:rsidR="007C1095" w:rsidRPr="007802BC">
        <w:t>parameter</w:t>
      </w:r>
      <w:r w:rsidR="000C6079" w:rsidRPr="007802BC">
        <w:t xml:space="preserve"> </w:t>
      </w:r>
      <w:r w:rsidR="002D284F" w:rsidRPr="007802BC">
        <w:t>for</w:t>
      </w:r>
      <w:r w:rsidR="000C6079" w:rsidRPr="007802BC">
        <w:t xml:space="preserve"> the radiation on the </w:t>
      </w:r>
      <w:proofErr w:type="spellStart"/>
      <w:r w:rsidR="000C6079" w:rsidRPr="007802BC">
        <w:rPr>
          <w:i/>
          <w:iCs/>
        </w:rPr>
        <w:t>i</w:t>
      </w:r>
      <w:proofErr w:type="spellEnd"/>
      <w:r w:rsidR="000C6079" w:rsidRPr="007802BC">
        <w:t xml:space="preserve">-th tank considering the </w:t>
      </w:r>
      <w:r w:rsidR="002D284F" w:rsidRPr="007802BC">
        <w:t xml:space="preserve">outcome of the safety system </w:t>
      </w:r>
      <w:r w:rsidR="00FC0DC5" w:rsidRPr="007802BC">
        <w:t xml:space="preserve">in the </w:t>
      </w:r>
      <w:proofErr w:type="spellStart"/>
      <w:r w:rsidR="00FC0DC5" w:rsidRPr="007802BC">
        <w:rPr>
          <w:b/>
          <w:bCs/>
          <w:i/>
          <w:iCs/>
        </w:rPr>
        <w:t>N</w:t>
      </w:r>
      <w:r w:rsidR="00FC0DC5" w:rsidRPr="007802BC">
        <w:rPr>
          <w:b/>
          <w:bCs/>
          <w:i/>
          <w:iCs/>
          <w:vertAlign w:val="superscript"/>
        </w:rPr>
        <w:t>n</w:t>
      </w:r>
      <w:proofErr w:type="spellEnd"/>
      <w:r w:rsidR="00FC0DC5" w:rsidRPr="007802BC">
        <w:t xml:space="preserve"> combination.</w:t>
      </w:r>
    </w:p>
    <w:p w14:paraId="237F5BC7" w14:textId="771E9081" w:rsidR="006C7FD3" w:rsidRPr="007802BC" w:rsidRDefault="007E3C55" w:rsidP="006707CC">
      <w:pPr>
        <w:pStyle w:val="CETBodytext"/>
      </w:pPr>
      <w:r w:rsidRPr="007802BC">
        <w:t xml:space="preserve">As </w:t>
      </w:r>
      <w:r w:rsidR="00490F56" w:rsidRPr="007802BC">
        <w:t xml:space="preserve">an </w:t>
      </w:r>
      <w:r w:rsidRPr="007802BC">
        <w:t xml:space="preserve">outcome of the methodology, the event tree related to a specific </w:t>
      </w:r>
      <w:proofErr w:type="spellStart"/>
      <w:r w:rsidRPr="007802BC">
        <w:rPr>
          <w:b/>
          <w:bCs/>
          <w:i/>
          <w:iCs/>
        </w:rPr>
        <w:t>N</w:t>
      </w:r>
      <w:r w:rsidRPr="007802BC">
        <w:rPr>
          <w:b/>
          <w:bCs/>
          <w:i/>
          <w:iCs/>
          <w:vertAlign w:val="superscript"/>
        </w:rPr>
        <w:t>n</w:t>
      </w:r>
      <w:proofErr w:type="spellEnd"/>
      <w:r w:rsidRPr="007802BC">
        <w:t xml:space="preserve"> combination is </w:t>
      </w:r>
      <w:r w:rsidR="00F52683" w:rsidRPr="007802BC">
        <w:t xml:space="preserve">developed. Then, the probability of </w:t>
      </w:r>
      <w:r w:rsidR="00B11624" w:rsidRPr="007802BC">
        <w:t xml:space="preserve">the </w:t>
      </w:r>
      <w:r w:rsidR="00B11624" w:rsidRPr="007802BC">
        <w:rPr>
          <w:i/>
          <w:iCs/>
        </w:rPr>
        <w:t>k</w:t>
      </w:r>
      <w:r w:rsidR="00B11624" w:rsidRPr="007802BC">
        <w:t>-th generic</w:t>
      </w:r>
      <w:r w:rsidR="00F52683" w:rsidRPr="007802BC">
        <w:t xml:space="preserve"> branch of the event tree </w:t>
      </w:r>
      <w:r w:rsidR="002F48EF" w:rsidRPr="007802BC">
        <w:rPr>
          <w:i/>
          <w:iCs/>
        </w:rPr>
        <w:t>P</w:t>
      </w:r>
      <w:r w:rsidR="002F48EF" w:rsidRPr="007802BC">
        <w:rPr>
          <w:i/>
          <w:iCs/>
          <w:vertAlign w:val="subscript"/>
        </w:rPr>
        <w:t>k</w:t>
      </w:r>
      <w:r w:rsidR="002F48EF" w:rsidRPr="007802BC">
        <w:rPr>
          <w:i/>
          <w:iCs/>
        </w:rPr>
        <w:t xml:space="preserve"> (</w:t>
      </w:r>
      <w:proofErr w:type="spellStart"/>
      <w:r w:rsidR="002F48EF" w:rsidRPr="007802BC">
        <w:rPr>
          <w:b/>
          <w:bCs/>
          <w:i/>
          <w:iCs/>
        </w:rPr>
        <w:t>N</w:t>
      </w:r>
      <w:r w:rsidR="002F48EF" w:rsidRPr="007802BC">
        <w:rPr>
          <w:b/>
          <w:bCs/>
          <w:i/>
          <w:iCs/>
          <w:vertAlign w:val="superscript"/>
        </w:rPr>
        <w:t>n</w:t>
      </w:r>
      <w:proofErr w:type="spellEnd"/>
      <w:r w:rsidR="002F48EF" w:rsidRPr="007802BC">
        <w:rPr>
          <w:i/>
          <w:iCs/>
        </w:rPr>
        <w:t>)</w:t>
      </w:r>
      <w:r w:rsidR="002F48EF" w:rsidRPr="007802BC">
        <w:t xml:space="preserve"> </w:t>
      </w:r>
      <w:r w:rsidR="00F52683" w:rsidRPr="007802BC">
        <w:t xml:space="preserve">is </w:t>
      </w:r>
      <w:r w:rsidR="00A11D85" w:rsidRPr="007802BC">
        <w:t>evaluated as:</w:t>
      </w:r>
    </w:p>
    <w:tbl>
      <w:tblPr>
        <w:tblW w:w="5000" w:type="pct"/>
        <w:tblLook w:val="04A0" w:firstRow="1" w:lastRow="0" w:firstColumn="1" w:lastColumn="0" w:noHBand="0" w:noVBand="1"/>
      </w:tblPr>
      <w:tblGrid>
        <w:gridCol w:w="7983"/>
        <w:gridCol w:w="804"/>
      </w:tblGrid>
      <w:tr w:rsidR="009933E9" w:rsidRPr="007802BC" w14:paraId="4F37017C" w14:textId="77777777" w:rsidTr="00283C4A">
        <w:tc>
          <w:tcPr>
            <w:tcW w:w="7983" w:type="dxa"/>
            <w:shd w:val="clear" w:color="auto" w:fill="auto"/>
            <w:vAlign w:val="center"/>
          </w:tcPr>
          <w:p w14:paraId="7CC4223B" w14:textId="55E35C6C" w:rsidR="009933E9" w:rsidRPr="007802BC" w:rsidRDefault="007802BC" w:rsidP="00283C4A">
            <w:pPr>
              <w:pStyle w:val="CETEquation"/>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r>
                  <w:rPr>
                    <w:rFonts w:ascii="Cambria Math" w:hAnsi="Cambria Math"/>
                    <w:lang w:val="en-US"/>
                  </w:rPr>
                  <m:t>=P</m:t>
                </m:r>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f,i,k</m:t>
                            </m:r>
                          </m:sub>
                        </m:sSub>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i,k</m:t>
                            </m:r>
                          </m:sub>
                        </m:sSub>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r>
                          <w:rPr>
                            <w:rFonts w:ascii="Cambria Math" w:hAnsi="Cambria Math"/>
                            <w:lang w:val="en-US"/>
                          </w:rPr>
                          <m:t>∙</m:t>
                        </m:r>
                        <m:d>
                          <m:dPr>
                            <m:ctrlPr>
                              <w:rPr>
                                <w:rFonts w:ascii="Cambria Math" w:hAnsi="Cambria Math"/>
                                <w:i/>
                                <w:lang w:val="en-US"/>
                              </w:rPr>
                            </m:ctrlPr>
                          </m:dPr>
                          <m:e>
                            <m:r>
                              <w:rPr>
                                <w:rFonts w:ascii="Cambria Math" w:hAnsi="Cambria Math"/>
                                <w:lang w:val="en-US"/>
                              </w:rPr>
                              <m:t>2∙</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f,i,k</m:t>
                                </m:r>
                              </m:sub>
                            </m:sSub>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r>
                              <w:rPr>
                                <w:rFonts w:ascii="Cambria Math" w:hAnsi="Cambria Math"/>
                                <w:lang w:val="en-US"/>
                              </w:rPr>
                              <m:t>-1</m:t>
                            </m:r>
                          </m:e>
                        </m:d>
                      </m:e>
                    </m:d>
                  </m:e>
                </m:nary>
              </m:oMath>
            </m:oMathPara>
          </w:p>
        </w:tc>
        <w:tc>
          <w:tcPr>
            <w:tcW w:w="804" w:type="dxa"/>
            <w:shd w:val="clear" w:color="auto" w:fill="auto"/>
            <w:vAlign w:val="center"/>
          </w:tcPr>
          <w:p w14:paraId="0B622520" w14:textId="2C7039EC" w:rsidR="009933E9" w:rsidRPr="007802BC" w:rsidRDefault="009933E9" w:rsidP="00283C4A">
            <w:pPr>
              <w:pStyle w:val="CETEquation"/>
              <w:jc w:val="right"/>
            </w:pPr>
            <w:r w:rsidRPr="007802BC">
              <w:t>(5)</w:t>
            </w:r>
          </w:p>
        </w:tc>
      </w:tr>
    </w:tbl>
    <w:p w14:paraId="5189D389" w14:textId="268E8C46" w:rsidR="00A11D85" w:rsidRPr="007802BC" w:rsidRDefault="002F48EF" w:rsidP="006707CC">
      <w:pPr>
        <w:pStyle w:val="CETBodytext"/>
      </w:pPr>
      <w:r w:rsidRPr="007802BC">
        <w:t>where</w:t>
      </w:r>
      <w:r w:rsidR="002C5D78" w:rsidRPr="007802BC">
        <w:t xml:space="preserve"> </w:t>
      </w:r>
      <w:r w:rsidR="002C5D78" w:rsidRPr="007802BC">
        <w:rPr>
          <w:i/>
          <w:iCs/>
        </w:rPr>
        <w:t>P(</w:t>
      </w:r>
      <w:proofErr w:type="spellStart"/>
      <w:r w:rsidR="002C5D78" w:rsidRPr="007802BC">
        <w:rPr>
          <w:b/>
          <w:bCs/>
          <w:i/>
          <w:iCs/>
        </w:rPr>
        <w:t>N</w:t>
      </w:r>
      <w:r w:rsidR="002C5D78" w:rsidRPr="007802BC">
        <w:rPr>
          <w:b/>
          <w:bCs/>
          <w:i/>
          <w:iCs/>
          <w:vertAlign w:val="superscript"/>
        </w:rPr>
        <w:t>n</w:t>
      </w:r>
      <w:proofErr w:type="spellEnd"/>
      <w:r w:rsidR="002C5D78" w:rsidRPr="007802BC">
        <w:rPr>
          <w:i/>
          <w:iCs/>
        </w:rPr>
        <w:t>)</w:t>
      </w:r>
      <w:r w:rsidR="002C5D78" w:rsidRPr="007802BC">
        <w:t xml:space="preserve"> is the probability of the </w:t>
      </w:r>
      <w:proofErr w:type="spellStart"/>
      <w:r w:rsidR="002C5D78" w:rsidRPr="007802BC">
        <w:rPr>
          <w:b/>
          <w:bCs/>
          <w:i/>
          <w:iCs/>
        </w:rPr>
        <w:t>N</w:t>
      </w:r>
      <w:r w:rsidR="002C5D78" w:rsidRPr="007802BC">
        <w:rPr>
          <w:b/>
          <w:bCs/>
          <w:i/>
          <w:iCs/>
          <w:vertAlign w:val="superscript"/>
        </w:rPr>
        <w:t>n</w:t>
      </w:r>
      <w:proofErr w:type="spellEnd"/>
      <w:r w:rsidR="002C5D78" w:rsidRPr="007802BC">
        <w:t xml:space="preserve"> combination of tank and safety system,</w:t>
      </w:r>
      <w:r w:rsidRPr="007802BC">
        <w:t xml:space="preserve"> </w:t>
      </w:r>
      <w:proofErr w:type="spellStart"/>
      <w:proofErr w:type="gramStart"/>
      <w:r w:rsidRPr="007802BC">
        <w:rPr>
          <w:i/>
          <w:iCs/>
        </w:rPr>
        <w:t>p</w:t>
      </w:r>
      <w:r w:rsidR="0075067D" w:rsidRPr="007802BC">
        <w:rPr>
          <w:i/>
          <w:iCs/>
          <w:vertAlign w:val="subscript"/>
        </w:rPr>
        <w:t>f,I</w:t>
      </w:r>
      <w:proofErr w:type="gramEnd"/>
      <w:r w:rsidR="0075067D" w:rsidRPr="007802BC">
        <w:rPr>
          <w:i/>
          <w:iCs/>
          <w:vertAlign w:val="subscript"/>
        </w:rPr>
        <w:t>,k</w:t>
      </w:r>
      <w:proofErr w:type="spellEnd"/>
      <w:r w:rsidR="0075067D" w:rsidRPr="007802BC">
        <w:rPr>
          <w:i/>
          <w:iCs/>
        </w:rPr>
        <w:t xml:space="preserve"> (</w:t>
      </w:r>
      <w:proofErr w:type="spellStart"/>
      <w:r w:rsidR="0075067D" w:rsidRPr="007802BC">
        <w:rPr>
          <w:b/>
          <w:bCs/>
          <w:i/>
          <w:iCs/>
        </w:rPr>
        <w:t>N</w:t>
      </w:r>
      <w:r w:rsidR="0075067D" w:rsidRPr="007802BC">
        <w:rPr>
          <w:b/>
          <w:bCs/>
          <w:i/>
          <w:iCs/>
          <w:vertAlign w:val="superscript"/>
        </w:rPr>
        <w:t>n</w:t>
      </w:r>
      <w:proofErr w:type="spellEnd"/>
      <w:r w:rsidR="0075067D" w:rsidRPr="007802BC">
        <w:rPr>
          <w:i/>
          <w:iCs/>
        </w:rPr>
        <w:t>)</w:t>
      </w:r>
      <w:r w:rsidR="0075067D" w:rsidRPr="007802BC">
        <w:t xml:space="preserve"> is the failure probability of the </w:t>
      </w:r>
      <w:proofErr w:type="spellStart"/>
      <w:r w:rsidR="0075067D" w:rsidRPr="007802BC">
        <w:rPr>
          <w:i/>
          <w:iCs/>
        </w:rPr>
        <w:t>i</w:t>
      </w:r>
      <w:proofErr w:type="spellEnd"/>
      <w:r w:rsidR="0075067D" w:rsidRPr="007802BC">
        <w:t xml:space="preserve">-th target in the </w:t>
      </w:r>
      <w:r w:rsidR="0075067D" w:rsidRPr="007802BC">
        <w:rPr>
          <w:i/>
          <w:iCs/>
        </w:rPr>
        <w:t>k</w:t>
      </w:r>
      <w:r w:rsidR="0075067D" w:rsidRPr="007802BC">
        <w:t xml:space="preserve">-th branch of the </w:t>
      </w:r>
      <w:proofErr w:type="spellStart"/>
      <w:r w:rsidR="002C5D78" w:rsidRPr="007802BC">
        <w:rPr>
          <w:b/>
          <w:bCs/>
          <w:i/>
          <w:iCs/>
        </w:rPr>
        <w:t>N</w:t>
      </w:r>
      <w:r w:rsidR="002C5D78" w:rsidRPr="007802BC">
        <w:rPr>
          <w:b/>
          <w:bCs/>
          <w:i/>
          <w:iCs/>
          <w:vertAlign w:val="superscript"/>
        </w:rPr>
        <w:t>n</w:t>
      </w:r>
      <w:proofErr w:type="spellEnd"/>
      <w:r w:rsidR="0075067D" w:rsidRPr="007802BC">
        <w:t xml:space="preserve"> combination</w:t>
      </w:r>
      <w:r w:rsidR="00D4682C" w:rsidRPr="007802BC">
        <w:t>,</w:t>
      </w:r>
      <w:r w:rsidR="0075067D" w:rsidRPr="007802BC">
        <w:t xml:space="preserve"> and </w:t>
      </w:r>
      <w:r w:rsidR="0075067D" w:rsidRPr="007802BC">
        <w:rPr>
          <w:rFonts w:cs="Arial"/>
          <w:i/>
          <w:iCs/>
        </w:rPr>
        <w:t>β</w:t>
      </w:r>
      <w:proofErr w:type="spellStart"/>
      <w:r w:rsidR="0075067D" w:rsidRPr="007802BC">
        <w:rPr>
          <w:i/>
          <w:iCs/>
          <w:vertAlign w:val="subscript"/>
        </w:rPr>
        <w:t>i,k</w:t>
      </w:r>
      <w:proofErr w:type="spellEnd"/>
      <w:r w:rsidR="0075067D" w:rsidRPr="007802BC">
        <w:t xml:space="preserve"> </w:t>
      </w:r>
      <w:r w:rsidR="002C5D78" w:rsidRPr="007802BC">
        <w:rPr>
          <w:i/>
          <w:iCs/>
        </w:rPr>
        <w:t>(</w:t>
      </w:r>
      <w:proofErr w:type="spellStart"/>
      <w:r w:rsidR="002C5D78" w:rsidRPr="007802BC">
        <w:rPr>
          <w:b/>
          <w:bCs/>
          <w:i/>
          <w:iCs/>
        </w:rPr>
        <w:t>N</w:t>
      </w:r>
      <w:r w:rsidR="002C5D78" w:rsidRPr="007802BC">
        <w:rPr>
          <w:b/>
          <w:bCs/>
          <w:i/>
          <w:iCs/>
          <w:vertAlign w:val="superscript"/>
        </w:rPr>
        <w:t>n</w:t>
      </w:r>
      <w:proofErr w:type="spellEnd"/>
      <w:r w:rsidR="002C5D78" w:rsidRPr="007802BC">
        <w:rPr>
          <w:i/>
          <w:iCs/>
        </w:rPr>
        <w:t>)</w:t>
      </w:r>
      <w:r w:rsidR="002C5D78" w:rsidRPr="007802BC">
        <w:t xml:space="preserve"> </w:t>
      </w:r>
      <w:r w:rsidR="00647458" w:rsidRPr="007802BC">
        <w:t xml:space="preserve">is a factor equal to 1 when the </w:t>
      </w:r>
      <w:proofErr w:type="spellStart"/>
      <w:r w:rsidR="00647458" w:rsidRPr="007802BC">
        <w:t>i</w:t>
      </w:r>
      <w:proofErr w:type="spellEnd"/>
      <w:r w:rsidR="00647458" w:rsidRPr="007802BC">
        <w:t>-th target fails, 0 otherwise</w:t>
      </w:r>
      <w:r w:rsidR="002C5D78" w:rsidRPr="007802BC">
        <w:t>.</w:t>
      </w:r>
      <w:r w:rsidR="00C318A3" w:rsidRPr="007802BC">
        <w:t xml:space="preserve"> </w:t>
      </w:r>
      <w:r w:rsidR="00C542D9" w:rsidRPr="007802BC">
        <w:t xml:space="preserve">The procedure for the development of the dynamic event tree is repeated for each of the </w:t>
      </w:r>
      <w:proofErr w:type="spellStart"/>
      <w:r w:rsidR="00C542D9" w:rsidRPr="007802BC">
        <w:rPr>
          <w:i/>
          <w:iCs/>
        </w:rPr>
        <w:t>N</w:t>
      </w:r>
      <w:r w:rsidR="00C542D9" w:rsidRPr="007802BC">
        <w:rPr>
          <w:i/>
          <w:iCs/>
          <w:vertAlign w:val="subscript"/>
        </w:rPr>
        <w:t>comb</w:t>
      </w:r>
      <w:proofErr w:type="spellEnd"/>
      <w:r w:rsidR="00C542D9" w:rsidRPr="007802BC">
        <w:t xml:space="preserve"> combination</w:t>
      </w:r>
      <w:r w:rsidR="008C7152" w:rsidRPr="007802BC">
        <w:t>s</w:t>
      </w:r>
      <w:r w:rsidR="00C542D9" w:rsidRPr="007802BC">
        <w:t xml:space="preserve"> defined in Section 2.1 to </w:t>
      </w:r>
      <w:r w:rsidR="00522452" w:rsidRPr="007802BC">
        <w:t>perform a complete evaluation of all possible primary Natech and escalation scenarios that account also for safety systems protecting tanks.</w:t>
      </w:r>
    </w:p>
    <w:p w14:paraId="5E4D648D" w14:textId="19438739" w:rsidR="00522452" w:rsidRPr="007802BC" w:rsidRDefault="00303E91" w:rsidP="00EA547D">
      <w:pPr>
        <w:pStyle w:val="CETheadingx"/>
      </w:pPr>
      <w:r w:rsidRPr="007802BC">
        <w:t xml:space="preserve">Consequence assessment of overall scenarios and calculation </w:t>
      </w:r>
      <w:r w:rsidR="00EA547D" w:rsidRPr="007802BC">
        <w:t>of vulnerability and risk indexes</w:t>
      </w:r>
    </w:p>
    <w:p w14:paraId="10EC572C" w14:textId="7B897BE4" w:rsidR="00D47935" w:rsidRPr="007802BC" w:rsidRDefault="00C238F4" w:rsidP="00C238F4">
      <w:pPr>
        <w:pStyle w:val="CETBodytext"/>
      </w:pPr>
      <w:r w:rsidRPr="007802BC">
        <w:t xml:space="preserve">After generating all possible scenarios, the consequences of these combined scenarios are evaluated. The overall </w:t>
      </w:r>
      <w:r w:rsidR="00BF7FDC" w:rsidRPr="007802BC">
        <w:t>fatality</w:t>
      </w:r>
      <w:r w:rsidRPr="007802BC">
        <w:t xml:space="preserve"> probability for each </w:t>
      </w:r>
      <w:r w:rsidRPr="007802BC">
        <w:rPr>
          <w:i/>
          <w:iCs/>
        </w:rPr>
        <w:t>k</w:t>
      </w:r>
      <w:r w:rsidRPr="007802BC">
        <w:t>-th combined scenario is determined using</w:t>
      </w:r>
      <w:r w:rsidR="00692357" w:rsidRPr="007802BC">
        <w:t xml:space="preserve"> Eq. 6 </w:t>
      </w:r>
      <w:r w:rsidR="00424513" w:rsidRPr="007802BC">
        <w:t>(Misuri et al., 2023)</w:t>
      </w:r>
      <w:r w:rsidR="005444A7" w:rsidRPr="007802BC">
        <w:t>:</w:t>
      </w:r>
    </w:p>
    <w:tbl>
      <w:tblPr>
        <w:tblW w:w="5000" w:type="pct"/>
        <w:tblLook w:val="04A0" w:firstRow="1" w:lastRow="0" w:firstColumn="1" w:lastColumn="0" w:noHBand="0" w:noVBand="1"/>
      </w:tblPr>
      <w:tblGrid>
        <w:gridCol w:w="7983"/>
        <w:gridCol w:w="804"/>
      </w:tblGrid>
      <w:tr w:rsidR="00686C42" w:rsidRPr="007802BC" w14:paraId="206F7613" w14:textId="77777777" w:rsidTr="00283C4A">
        <w:tc>
          <w:tcPr>
            <w:tcW w:w="7983" w:type="dxa"/>
            <w:shd w:val="clear" w:color="auto" w:fill="auto"/>
            <w:vAlign w:val="center"/>
          </w:tcPr>
          <w:p w14:paraId="1CE15F53" w14:textId="7A30A9E2" w:rsidR="00686C42" w:rsidRPr="007802BC" w:rsidRDefault="007802BC" w:rsidP="00283C4A">
            <w:pPr>
              <w:pStyle w:val="CETEquation"/>
              <w:rPr>
                <w:lang w:val="en-US"/>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r>
                  <w:rPr>
                    <w:rFonts w:ascii="Cambria Math" w:hAnsi="Cambria Math"/>
                    <w:lang w:val="en-US"/>
                  </w:rPr>
                  <m:t>=</m:t>
                </m:r>
                <m:r>
                  <m:rPr>
                    <m:sty m:val="p"/>
                  </m:rPr>
                  <w:rPr>
                    <w:rFonts w:ascii="Cambria Math" w:hAnsi="Cambria Math"/>
                    <w:lang w:val="en-US"/>
                  </w:rPr>
                  <m:t>min</m:t>
                </m:r>
                <m:d>
                  <m:dPr>
                    <m:ctrlPr>
                      <w:rPr>
                        <w:rFonts w:ascii="Cambria Math" w:hAnsi="Cambria Math"/>
                        <w:iCs/>
                        <w:lang w:val="en-US"/>
                      </w:rPr>
                    </m:ctrlPr>
                  </m:dPr>
                  <m:e>
                    <m:r>
                      <w:rPr>
                        <w:rFonts w:ascii="Cambria Math" w:hAnsi="Cambria Math"/>
                        <w:lang w:val="en-US"/>
                      </w:rPr>
                      <m:t>1,</m:t>
                    </m:r>
                    <m:nary>
                      <m:naryPr>
                        <m:chr m:val="∑"/>
                        <m:limLoc m:val="subSup"/>
                        <m:ctrlPr>
                          <w:rPr>
                            <w:rFonts w:ascii="Cambria Math" w:hAnsi="Cambria Math"/>
                            <w:i/>
                            <w:iCs/>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i</m:t>
                            </m:r>
                          </m:sub>
                        </m:sSub>
                        <m:r>
                          <w:rPr>
                            <w:rFonts w:ascii="Cambria Math" w:hAnsi="Cambria Math"/>
                            <w:lang w:val="en-US"/>
                          </w:rPr>
                          <m:t>∙</m:t>
                        </m:r>
                      </m:e>
                    </m:nary>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d>
                      <m:dPr>
                        <m:ctrlPr>
                          <w:rPr>
                            <w:rFonts w:ascii="Cambria Math" w:hAnsi="Cambria Math"/>
                            <w:i/>
                            <w:lang w:val="en-US"/>
                          </w:rPr>
                        </m:ctrlPr>
                      </m:dPr>
                      <m:e>
                        <m:sSup>
                          <m:sSupPr>
                            <m:ctrlPr>
                              <w:rPr>
                                <w:rFonts w:ascii="Cambria Math" w:hAnsi="Cambria Math"/>
                                <w:b/>
                                <w:bCs/>
                                <w:i/>
                                <w:lang w:val="en-US"/>
                              </w:rPr>
                            </m:ctrlPr>
                          </m:sSupPr>
                          <m:e>
                            <m:r>
                              <m:rPr>
                                <m:sty m:val="bi"/>
                              </m:rPr>
                              <w:rPr>
                                <w:rFonts w:ascii="Cambria Math" w:hAnsi="Cambria Math"/>
                                <w:lang w:val="en-US"/>
                              </w:rPr>
                              <m:t>N</m:t>
                            </m:r>
                          </m:e>
                          <m:sup>
                            <m:r>
                              <m:rPr>
                                <m:sty m:val="bi"/>
                              </m:rPr>
                              <w:rPr>
                                <w:rFonts w:ascii="Cambria Math" w:hAnsi="Cambria Math"/>
                                <w:lang w:val="en-US"/>
                              </w:rPr>
                              <m:t>n</m:t>
                            </m:r>
                          </m:sup>
                        </m:sSup>
                      </m:e>
                    </m:d>
                  </m:e>
                </m:d>
              </m:oMath>
            </m:oMathPara>
          </w:p>
        </w:tc>
        <w:tc>
          <w:tcPr>
            <w:tcW w:w="804" w:type="dxa"/>
            <w:shd w:val="clear" w:color="auto" w:fill="auto"/>
            <w:vAlign w:val="center"/>
          </w:tcPr>
          <w:p w14:paraId="0D12AC7A" w14:textId="0216A21C" w:rsidR="00686C42" w:rsidRPr="007802BC" w:rsidRDefault="00686C42" w:rsidP="00283C4A">
            <w:pPr>
              <w:pStyle w:val="CETEquation"/>
              <w:jc w:val="right"/>
            </w:pPr>
            <w:r w:rsidRPr="007802BC">
              <w:t>(</w:t>
            </w:r>
            <w:r w:rsidR="00A91A04" w:rsidRPr="007802BC">
              <w:t>6</w:t>
            </w:r>
            <w:r w:rsidRPr="007802BC">
              <w:t>)</w:t>
            </w:r>
          </w:p>
        </w:tc>
      </w:tr>
    </w:tbl>
    <w:p w14:paraId="3BF96392" w14:textId="764D7043" w:rsidR="0053031C" w:rsidRPr="007802BC" w:rsidRDefault="00210946" w:rsidP="0053031C">
      <w:pPr>
        <w:pStyle w:val="CETBodytext"/>
      </w:pPr>
      <w:r w:rsidRPr="007802BC">
        <w:t xml:space="preserve">where </w:t>
      </w:r>
      <w:r w:rsidRPr="007802BC">
        <w:rPr>
          <w:i/>
          <w:iCs/>
        </w:rPr>
        <w:t>C</w:t>
      </w:r>
      <w:r w:rsidRPr="007802BC">
        <w:rPr>
          <w:i/>
          <w:iCs/>
          <w:vertAlign w:val="subscript"/>
        </w:rPr>
        <w:t>k</w:t>
      </w:r>
      <w:r w:rsidRPr="007802BC">
        <w:t xml:space="preserve"> </w:t>
      </w:r>
      <w:r w:rsidRPr="007802BC">
        <w:rPr>
          <w:i/>
          <w:iCs/>
        </w:rPr>
        <w:t>(</w:t>
      </w:r>
      <w:proofErr w:type="spellStart"/>
      <w:r w:rsidRPr="007802BC">
        <w:rPr>
          <w:b/>
          <w:bCs/>
          <w:i/>
          <w:iCs/>
        </w:rPr>
        <w:t>N</w:t>
      </w:r>
      <w:r w:rsidRPr="007802BC">
        <w:rPr>
          <w:b/>
          <w:bCs/>
          <w:i/>
          <w:iCs/>
          <w:vertAlign w:val="superscript"/>
        </w:rPr>
        <w:t>n</w:t>
      </w:r>
      <w:proofErr w:type="spellEnd"/>
      <w:r w:rsidRPr="007802BC">
        <w:rPr>
          <w:i/>
          <w:iCs/>
        </w:rPr>
        <w:t>)</w:t>
      </w:r>
      <w:r w:rsidRPr="007802BC">
        <w:t xml:space="preserve"> is the </w:t>
      </w:r>
      <w:r w:rsidR="00BF7FDC" w:rsidRPr="007802BC">
        <w:t xml:space="preserve">fatality </w:t>
      </w:r>
      <w:r w:rsidRPr="007802BC">
        <w:t xml:space="preserve">probability in the position of interest calculated for the overall </w:t>
      </w:r>
      <w:r w:rsidRPr="007802BC">
        <w:rPr>
          <w:i/>
          <w:iCs/>
        </w:rPr>
        <w:t>k</w:t>
      </w:r>
      <w:r w:rsidR="009A02BF" w:rsidRPr="007802BC">
        <w:t xml:space="preserve">-th scenario in the </w:t>
      </w:r>
      <w:proofErr w:type="spellStart"/>
      <w:r w:rsidR="009A02BF" w:rsidRPr="007802BC">
        <w:rPr>
          <w:b/>
          <w:bCs/>
          <w:i/>
          <w:iCs/>
        </w:rPr>
        <w:t>N</w:t>
      </w:r>
      <w:r w:rsidR="009A02BF" w:rsidRPr="007802BC">
        <w:rPr>
          <w:b/>
          <w:bCs/>
          <w:i/>
          <w:iCs/>
          <w:vertAlign w:val="superscript"/>
        </w:rPr>
        <w:t>n</w:t>
      </w:r>
      <w:proofErr w:type="spellEnd"/>
      <w:r w:rsidR="009A02BF" w:rsidRPr="007802BC">
        <w:t xml:space="preserve"> combination</w:t>
      </w:r>
      <w:r w:rsidRPr="007802BC">
        <w:t xml:space="preserve">, </w:t>
      </w:r>
      <w:r w:rsidR="009A02BF" w:rsidRPr="007802BC">
        <w:rPr>
          <w:i/>
          <w:iCs/>
        </w:rPr>
        <w:t>C</w:t>
      </w:r>
      <w:r w:rsidR="009A02BF" w:rsidRPr="007802BC">
        <w:rPr>
          <w:i/>
          <w:iCs/>
          <w:vertAlign w:val="subscript"/>
        </w:rPr>
        <w:t>i</w:t>
      </w:r>
      <w:r w:rsidR="009A02BF" w:rsidRPr="007802BC">
        <w:t xml:space="preserve"> </w:t>
      </w:r>
      <w:r w:rsidR="009A02BF" w:rsidRPr="007802BC">
        <w:rPr>
          <w:i/>
          <w:iCs/>
        </w:rPr>
        <w:t>(</w:t>
      </w:r>
      <w:proofErr w:type="spellStart"/>
      <w:r w:rsidR="009A02BF" w:rsidRPr="007802BC">
        <w:rPr>
          <w:b/>
          <w:bCs/>
          <w:i/>
          <w:iCs/>
        </w:rPr>
        <w:t>N</w:t>
      </w:r>
      <w:r w:rsidR="009A02BF" w:rsidRPr="007802BC">
        <w:rPr>
          <w:b/>
          <w:bCs/>
          <w:i/>
          <w:iCs/>
          <w:vertAlign w:val="superscript"/>
        </w:rPr>
        <w:t>n</w:t>
      </w:r>
      <w:proofErr w:type="spellEnd"/>
      <w:r w:rsidR="009A02BF" w:rsidRPr="007802BC">
        <w:rPr>
          <w:i/>
          <w:iCs/>
        </w:rPr>
        <w:t>)</w:t>
      </w:r>
      <w:r w:rsidR="009A02BF" w:rsidRPr="007802BC">
        <w:t xml:space="preserve"> </w:t>
      </w:r>
      <w:r w:rsidRPr="007802BC">
        <w:t xml:space="preserve">is the </w:t>
      </w:r>
      <w:r w:rsidR="00BF7FDC" w:rsidRPr="007802BC">
        <w:t xml:space="preserve">fatality </w:t>
      </w:r>
      <w:r w:rsidRPr="007802BC">
        <w:t xml:space="preserve">probability in the same position associated with the </w:t>
      </w:r>
      <w:proofErr w:type="spellStart"/>
      <w:r w:rsidRPr="007802BC">
        <w:rPr>
          <w:i/>
          <w:iCs/>
        </w:rPr>
        <w:t>i</w:t>
      </w:r>
      <w:proofErr w:type="spellEnd"/>
      <w:r w:rsidRPr="007802BC">
        <w:t xml:space="preserve">-th equipment item, and </w:t>
      </w:r>
      <w:proofErr w:type="spellStart"/>
      <w:r w:rsidRPr="007802BC">
        <w:rPr>
          <w:i/>
          <w:iCs/>
        </w:rPr>
        <w:t>δ</w:t>
      </w:r>
      <w:r w:rsidRPr="007802BC">
        <w:rPr>
          <w:i/>
          <w:iCs/>
          <w:vertAlign w:val="subscript"/>
        </w:rPr>
        <w:t>i</w:t>
      </w:r>
      <w:proofErr w:type="spellEnd"/>
      <w:r w:rsidRPr="007802BC">
        <w:t xml:space="preserve"> assumes a value of 1 if the corresponding fire is ongoing, 0 otherwise</w:t>
      </w:r>
      <w:r w:rsidR="003F4614" w:rsidRPr="007802BC">
        <w:t>.</w:t>
      </w:r>
      <w:r w:rsidR="0013655B" w:rsidRPr="007802BC">
        <w:t xml:space="preserve"> The </w:t>
      </w:r>
      <w:r w:rsidR="00BF7FDC" w:rsidRPr="007802BC">
        <w:t xml:space="preserve">fatality </w:t>
      </w:r>
      <w:r w:rsidR="0013655B" w:rsidRPr="007802BC">
        <w:t xml:space="preserve">probability associated with each failed piece of equipment </w:t>
      </w:r>
      <w:r w:rsidR="0013655B" w:rsidRPr="007802BC">
        <w:rPr>
          <w:i/>
          <w:iCs/>
        </w:rPr>
        <w:t>C</w:t>
      </w:r>
      <w:r w:rsidR="0013655B" w:rsidRPr="007802BC">
        <w:rPr>
          <w:i/>
          <w:iCs/>
          <w:vertAlign w:val="subscript"/>
        </w:rPr>
        <w:t>i</w:t>
      </w:r>
      <w:r w:rsidR="0013655B" w:rsidRPr="007802BC">
        <w:t xml:space="preserve"> </w:t>
      </w:r>
      <w:r w:rsidR="00D4682C" w:rsidRPr="007802BC">
        <w:t>is</w:t>
      </w:r>
      <w:r w:rsidR="007F0F2E" w:rsidRPr="007802BC">
        <w:t xml:space="preserve"> evaluated using </w:t>
      </w:r>
      <w:r w:rsidR="0013655B" w:rsidRPr="007802BC">
        <w:t>the probit model for radiation-induced fatalities</w:t>
      </w:r>
      <w:r w:rsidR="007F0F2E" w:rsidRPr="007802BC">
        <w:t xml:space="preserve"> provided </w:t>
      </w:r>
      <w:r w:rsidR="0013655B" w:rsidRPr="007802BC">
        <w:t xml:space="preserve">in </w:t>
      </w:r>
      <w:r w:rsidR="00424513" w:rsidRPr="007802BC">
        <w:t>Van Den Bosh (1992)</w:t>
      </w:r>
      <w:r w:rsidR="0013655B" w:rsidRPr="007802BC">
        <w:t>.</w:t>
      </w:r>
      <w:r w:rsidR="00BF7FDC" w:rsidRPr="007802BC">
        <w:t xml:space="preserve"> </w:t>
      </w:r>
      <w:r w:rsidR="006374C6" w:rsidRPr="007802BC">
        <w:t>Eventually, vulnerability and risk ind</w:t>
      </w:r>
      <w:r w:rsidR="00BF7FDC" w:rsidRPr="007802BC">
        <w:t>ices</w:t>
      </w:r>
      <w:r w:rsidR="006374C6" w:rsidRPr="007802BC">
        <w:t xml:space="preserve"> can be </w:t>
      </w:r>
      <w:r w:rsidR="00F14992" w:rsidRPr="007802BC">
        <w:t>calculated</w:t>
      </w:r>
      <w:r w:rsidR="000D2D8D" w:rsidRPr="007802BC">
        <w:t>. Among other</w:t>
      </w:r>
      <w:r w:rsidR="008C7152" w:rsidRPr="007802BC">
        <w:t>s</w:t>
      </w:r>
      <w:r w:rsidR="000D2D8D" w:rsidRPr="007802BC">
        <w:t xml:space="preserve">, </w:t>
      </w:r>
      <w:r w:rsidR="003547E1" w:rsidRPr="007802BC">
        <w:t>the overall failure probability of tank</w:t>
      </w:r>
      <w:r w:rsidR="002C229A" w:rsidRPr="007802BC">
        <w:t>s</w:t>
      </w:r>
      <w:r w:rsidR="003547E1" w:rsidRPr="007802BC">
        <w:t xml:space="preserve"> </w:t>
      </w:r>
      <w:r w:rsidR="00B748D9" w:rsidRPr="007802BC">
        <w:t>(Ricci et al., 2024)</w:t>
      </w:r>
      <w:r w:rsidR="00937847" w:rsidRPr="007802BC">
        <w:t xml:space="preserve">, the </w:t>
      </w:r>
      <w:r w:rsidR="00EF55B5" w:rsidRPr="007802BC">
        <w:t>local</w:t>
      </w:r>
      <w:r w:rsidR="00937847" w:rsidRPr="007802BC">
        <w:t xml:space="preserve">-specific individual risk LSIR, </w:t>
      </w:r>
      <w:r w:rsidR="00185767" w:rsidRPr="007802BC">
        <w:t xml:space="preserve">and </w:t>
      </w:r>
      <w:r w:rsidR="00937847" w:rsidRPr="007802BC">
        <w:t xml:space="preserve">societal risk </w:t>
      </w:r>
      <w:r w:rsidR="00EF55B5" w:rsidRPr="007802BC">
        <w:t xml:space="preserve">indicators </w:t>
      </w:r>
      <w:r w:rsidR="004116B5" w:rsidRPr="007802BC">
        <w:t xml:space="preserve">such </w:t>
      </w:r>
      <w:r w:rsidR="002C229A" w:rsidRPr="007802BC">
        <w:t>as</w:t>
      </w:r>
      <w:r w:rsidR="00185767" w:rsidRPr="007802BC">
        <w:t xml:space="preserve"> F/N curves</w:t>
      </w:r>
      <w:r w:rsidR="000B239B" w:rsidRPr="007802BC">
        <w:t xml:space="preserve">, </w:t>
      </w:r>
      <w:r w:rsidR="00A16E9F" w:rsidRPr="007802BC">
        <w:t>Potential Life Loss PLL</w:t>
      </w:r>
      <w:r w:rsidR="000B239B" w:rsidRPr="007802BC">
        <w:t>,</w:t>
      </w:r>
      <w:r w:rsidR="00A16E9F" w:rsidRPr="007802BC">
        <w:t xml:space="preserve"> and Expectation Value EV</w:t>
      </w:r>
      <w:r w:rsidR="00B748D9" w:rsidRPr="007802BC">
        <w:t xml:space="preserve"> (</w:t>
      </w:r>
      <w:proofErr w:type="spellStart"/>
      <w:r w:rsidR="00B748D9" w:rsidRPr="007802BC">
        <w:t>Uijt</w:t>
      </w:r>
      <w:proofErr w:type="spellEnd"/>
      <w:r w:rsidR="00B748D9" w:rsidRPr="007802BC">
        <w:t xml:space="preserve"> de Haag and Ale, 2005)</w:t>
      </w:r>
      <w:r w:rsidR="00A16E9F" w:rsidRPr="007802BC">
        <w:t>.</w:t>
      </w:r>
    </w:p>
    <w:p w14:paraId="5741900F" w14:textId="09EAA942" w:rsidR="00453E24" w:rsidRPr="007802BC" w:rsidRDefault="00FA1F5D" w:rsidP="00FA1F5D">
      <w:pPr>
        <w:pStyle w:val="CETHeading1"/>
      </w:pPr>
      <w:r w:rsidRPr="007802BC">
        <w:t>Case study</w:t>
      </w:r>
    </w:p>
    <w:p w14:paraId="6F7B4BB2" w14:textId="03C29F13" w:rsidR="00FA1F5D" w:rsidRPr="007802BC" w:rsidRDefault="008A6A99" w:rsidP="00453E24">
      <w:pPr>
        <w:pStyle w:val="CETBodytext"/>
      </w:pPr>
      <w:r w:rsidRPr="007802BC">
        <w:t xml:space="preserve">A case study was defined to demonstrate the applicability of the proposed methodology and the influence of safety systems on risk figures. </w:t>
      </w:r>
      <w:r w:rsidR="003C408C" w:rsidRPr="007802BC">
        <w:t xml:space="preserve">A tank farm was considered, and the main features of atmospheric tanks </w:t>
      </w:r>
      <w:r w:rsidR="007D50C0" w:rsidRPr="007802BC">
        <w:t xml:space="preserve">included in the case study are reported in </w:t>
      </w:r>
      <w:r w:rsidR="007D50C0" w:rsidRPr="007802BC">
        <w:fldChar w:fldCharType="begin"/>
      </w:r>
      <w:r w:rsidR="007D50C0" w:rsidRPr="007802BC">
        <w:instrText xml:space="preserve"> REF _Ref183020900 \h </w:instrText>
      </w:r>
      <w:r w:rsidR="00EE2929" w:rsidRPr="007802BC">
        <w:instrText xml:space="preserve"> \* MERGEFORMAT </w:instrText>
      </w:r>
      <w:r w:rsidR="007D50C0" w:rsidRPr="007802BC">
        <w:fldChar w:fldCharType="separate"/>
      </w:r>
      <w:r w:rsidR="002D1D0F" w:rsidRPr="007802BC">
        <w:t xml:space="preserve">Table </w:t>
      </w:r>
      <w:r w:rsidR="002D1D0F" w:rsidRPr="007802BC">
        <w:rPr>
          <w:noProof/>
        </w:rPr>
        <w:t>1</w:t>
      </w:r>
      <w:r w:rsidR="007D50C0" w:rsidRPr="007802BC">
        <w:fldChar w:fldCharType="end"/>
      </w:r>
      <w:r w:rsidR="00E365BA" w:rsidRPr="007802BC">
        <w:t>.</w:t>
      </w:r>
      <w:r w:rsidR="008250C1" w:rsidRPr="007802BC">
        <w:t xml:space="preserve"> </w:t>
      </w:r>
    </w:p>
    <w:p w14:paraId="7A3C85FA" w14:textId="652250F0" w:rsidR="007D50C0" w:rsidRPr="007802BC" w:rsidRDefault="007D50C0" w:rsidP="007D50C0">
      <w:pPr>
        <w:pStyle w:val="CETTabletitle"/>
      </w:pPr>
      <w:bookmarkStart w:id="3" w:name="_Ref183020900"/>
      <w:r w:rsidRPr="007802BC">
        <w:t xml:space="preserve">Table </w:t>
      </w:r>
      <w:r w:rsidRPr="007802BC">
        <w:fldChar w:fldCharType="begin"/>
      </w:r>
      <w:r w:rsidRPr="007802BC">
        <w:instrText xml:space="preserve"> SEQ Table \* ARABIC </w:instrText>
      </w:r>
      <w:r w:rsidRPr="007802BC">
        <w:fldChar w:fldCharType="separate"/>
      </w:r>
      <w:r w:rsidR="002D1D0F" w:rsidRPr="007802BC">
        <w:rPr>
          <w:noProof/>
        </w:rPr>
        <w:t>1</w:t>
      </w:r>
      <w:r w:rsidRPr="007802BC">
        <w:fldChar w:fldCharType="end"/>
      </w:r>
      <w:bookmarkEnd w:id="3"/>
      <w:r w:rsidRPr="007802BC">
        <w:t>: Features of the atmospheric storage tanks considered in the case study</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54"/>
        <w:gridCol w:w="1661"/>
        <w:gridCol w:w="1659"/>
        <w:gridCol w:w="1659"/>
        <w:gridCol w:w="1654"/>
      </w:tblGrid>
      <w:tr w:rsidR="009C1B99" w:rsidRPr="007802BC" w14:paraId="7032C731" w14:textId="77777777" w:rsidTr="009C1B99">
        <w:tc>
          <w:tcPr>
            <w:tcW w:w="1226" w:type="pct"/>
            <w:tcBorders>
              <w:top w:val="single" w:sz="12" w:space="0" w:color="008000"/>
              <w:bottom w:val="single" w:sz="6" w:space="0" w:color="008000"/>
            </w:tcBorders>
            <w:shd w:val="clear" w:color="auto" w:fill="FFFFFF"/>
          </w:tcPr>
          <w:p w14:paraId="043D1F90" w14:textId="7D718F73" w:rsidR="001A1BCE" w:rsidRPr="007802BC" w:rsidRDefault="001A1BCE" w:rsidP="00665BAF">
            <w:pPr>
              <w:pStyle w:val="CETBodytext"/>
              <w:rPr>
                <w:lang w:val="en-GB"/>
              </w:rPr>
            </w:pPr>
            <w:r w:rsidRPr="007802BC">
              <w:rPr>
                <w:lang w:val="en-GB"/>
              </w:rPr>
              <w:t>Parameters</w:t>
            </w:r>
          </w:p>
        </w:tc>
        <w:tc>
          <w:tcPr>
            <w:tcW w:w="945" w:type="pct"/>
            <w:tcBorders>
              <w:top w:val="single" w:sz="12" w:space="0" w:color="008000"/>
              <w:bottom w:val="single" w:sz="6" w:space="0" w:color="008000"/>
            </w:tcBorders>
            <w:shd w:val="clear" w:color="auto" w:fill="FFFFFF"/>
          </w:tcPr>
          <w:p w14:paraId="3F55492C" w14:textId="32570B59" w:rsidR="001A1BCE" w:rsidRPr="007802BC" w:rsidRDefault="001A1BCE" w:rsidP="00665BAF">
            <w:pPr>
              <w:pStyle w:val="CETBodytext"/>
              <w:rPr>
                <w:lang w:val="en-GB"/>
              </w:rPr>
            </w:pPr>
            <w:r w:rsidRPr="007802BC">
              <w:rPr>
                <w:lang w:val="en-GB"/>
              </w:rPr>
              <w:t>Unit</w:t>
            </w:r>
          </w:p>
        </w:tc>
        <w:tc>
          <w:tcPr>
            <w:tcW w:w="944" w:type="pct"/>
            <w:tcBorders>
              <w:top w:val="single" w:sz="12" w:space="0" w:color="008000"/>
              <w:bottom w:val="single" w:sz="6" w:space="0" w:color="008000"/>
            </w:tcBorders>
            <w:shd w:val="clear" w:color="auto" w:fill="FFFFFF"/>
          </w:tcPr>
          <w:p w14:paraId="37F08B50" w14:textId="51A4EE42" w:rsidR="001A1BCE" w:rsidRPr="007802BC" w:rsidRDefault="001A1BCE" w:rsidP="00665BAF">
            <w:pPr>
              <w:pStyle w:val="CETBodytext"/>
              <w:rPr>
                <w:lang w:val="en-GB"/>
              </w:rPr>
            </w:pPr>
            <w:r w:rsidRPr="007802BC">
              <w:rPr>
                <w:lang w:val="en-GB"/>
              </w:rPr>
              <w:t>T1</w:t>
            </w:r>
          </w:p>
        </w:tc>
        <w:tc>
          <w:tcPr>
            <w:tcW w:w="944" w:type="pct"/>
            <w:tcBorders>
              <w:top w:val="single" w:sz="12" w:space="0" w:color="008000"/>
              <w:bottom w:val="single" w:sz="6" w:space="0" w:color="008000"/>
            </w:tcBorders>
            <w:shd w:val="clear" w:color="auto" w:fill="FFFFFF"/>
          </w:tcPr>
          <w:p w14:paraId="221D5827" w14:textId="76B34BAA" w:rsidR="001A1BCE" w:rsidRPr="007802BC" w:rsidRDefault="001A1BCE" w:rsidP="00665BAF">
            <w:pPr>
              <w:pStyle w:val="CETBodytext"/>
              <w:rPr>
                <w:lang w:val="en-GB"/>
              </w:rPr>
            </w:pPr>
            <w:r w:rsidRPr="007802BC">
              <w:rPr>
                <w:lang w:val="en-GB"/>
              </w:rPr>
              <w:t>T2-T3</w:t>
            </w:r>
          </w:p>
        </w:tc>
        <w:tc>
          <w:tcPr>
            <w:tcW w:w="941" w:type="pct"/>
            <w:tcBorders>
              <w:top w:val="single" w:sz="12" w:space="0" w:color="008000"/>
              <w:bottom w:val="single" w:sz="6" w:space="0" w:color="008000"/>
            </w:tcBorders>
            <w:shd w:val="clear" w:color="auto" w:fill="FFFFFF"/>
          </w:tcPr>
          <w:p w14:paraId="5ACB8CB5" w14:textId="4760E287" w:rsidR="001A1BCE" w:rsidRPr="007802BC" w:rsidRDefault="001A1BCE" w:rsidP="00665BAF">
            <w:pPr>
              <w:pStyle w:val="CETBodytext"/>
              <w:ind w:right="-1"/>
              <w:rPr>
                <w:rFonts w:cs="Arial"/>
                <w:szCs w:val="18"/>
                <w:lang w:val="en-GB"/>
              </w:rPr>
            </w:pPr>
            <w:r w:rsidRPr="007802BC">
              <w:rPr>
                <w:rFonts w:cs="Arial"/>
                <w:szCs w:val="18"/>
                <w:lang w:val="en-GB"/>
              </w:rPr>
              <w:t>T4-T5</w:t>
            </w:r>
          </w:p>
        </w:tc>
      </w:tr>
      <w:tr w:rsidR="009C1B99" w:rsidRPr="007802BC" w14:paraId="09051BF9" w14:textId="77777777" w:rsidTr="009C1B99">
        <w:tc>
          <w:tcPr>
            <w:tcW w:w="1226" w:type="pct"/>
            <w:shd w:val="clear" w:color="auto" w:fill="FFFFFF"/>
          </w:tcPr>
          <w:p w14:paraId="67109E5B" w14:textId="7AD14BE6" w:rsidR="001A1BCE" w:rsidRPr="007802BC" w:rsidRDefault="001A1BCE" w:rsidP="001A1BCE">
            <w:pPr>
              <w:pStyle w:val="CETBodytext"/>
              <w:rPr>
                <w:lang w:val="en-GB"/>
              </w:rPr>
            </w:pPr>
            <w:r w:rsidRPr="007802BC">
              <w:t>Nominal volume</w:t>
            </w:r>
          </w:p>
        </w:tc>
        <w:tc>
          <w:tcPr>
            <w:tcW w:w="945" w:type="pct"/>
            <w:shd w:val="clear" w:color="auto" w:fill="FFFFFF"/>
          </w:tcPr>
          <w:p w14:paraId="786C7790" w14:textId="529B3A45" w:rsidR="001A1BCE" w:rsidRPr="007802BC" w:rsidRDefault="001A1BCE" w:rsidP="001A1BCE">
            <w:pPr>
              <w:pStyle w:val="CETBodytext"/>
            </w:pPr>
            <w:r w:rsidRPr="007802BC">
              <w:t>m</w:t>
            </w:r>
            <w:r w:rsidRPr="007802BC">
              <w:rPr>
                <w:vertAlign w:val="superscript"/>
              </w:rPr>
              <w:t>3</w:t>
            </w:r>
          </w:p>
        </w:tc>
        <w:tc>
          <w:tcPr>
            <w:tcW w:w="944" w:type="pct"/>
            <w:shd w:val="clear" w:color="auto" w:fill="FFFFFF"/>
          </w:tcPr>
          <w:p w14:paraId="0397F722" w14:textId="508AD078" w:rsidR="001A1BCE" w:rsidRPr="007802BC" w:rsidRDefault="001A1BCE" w:rsidP="001A1BCE">
            <w:pPr>
              <w:pStyle w:val="CETBodytext"/>
              <w:rPr>
                <w:lang w:val="en-GB"/>
              </w:rPr>
            </w:pPr>
            <w:r w:rsidRPr="007802BC">
              <w:t>9975</w:t>
            </w:r>
          </w:p>
        </w:tc>
        <w:tc>
          <w:tcPr>
            <w:tcW w:w="944" w:type="pct"/>
            <w:shd w:val="clear" w:color="auto" w:fill="FFFFFF"/>
          </w:tcPr>
          <w:p w14:paraId="77F0804E" w14:textId="722734D7" w:rsidR="001A1BCE" w:rsidRPr="007802BC" w:rsidRDefault="001A1BCE" w:rsidP="001A1BCE">
            <w:pPr>
              <w:pStyle w:val="CETBodytext"/>
              <w:rPr>
                <w:lang w:val="en-GB"/>
              </w:rPr>
            </w:pPr>
            <w:r w:rsidRPr="007802BC">
              <w:t>9161</w:t>
            </w:r>
          </w:p>
        </w:tc>
        <w:tc>
          <w:tcPr>
            <w:tcW w:w="941" w:type="pct"/>
            <w:shd w:val="clear" w:color="auto" w:fill="FFFFFF"/>
          </w:tcPr>
          <w:p w14:paraId="60772FF0" w14:textId="2C90A67B" w:rsidR="001A1BCE" w:rsidRPr="007802BC" w:rsidRDefault="001A1BCE" w:rsidP="001A1BCE">
            <w:pPr>
              <w:pStyle w:val="CETBodytext"/>
              <w:ind w:right="-1"/>
              <w:rPr>
                <w:rFonts w:cs="Arial"/>
                <w:szCs w:val="18"/>
                <w:lang w:val="en-GB"/>
              </w:rPr>
            </w:pPr>
            <w:r w:rsidRPr="007802BC">
              <w:t>12367</w:t>
            </w:r>
          </w:p>
        </w:tc>
      </w:tr>
      <w:tr w:rsidR="009C1B99" w:rsidRPr="007802BC" w14:paraId="2FCF7061" w14:textId="77777777" w:rsidTr="009C1B99">
        <w:tc>
          <w:tcPr>
            <w:tcW w:w="1226" w:type="pct"/>
            <w:shd w:val="clear" w:color="auto" w:fill="FFFFFF"/>
          </w:tcPr>
          <w:p w14:paraId="33E9E94B" w14:textId="4082865A" w:rsidR="001A1BCE" w:rsidRPr="007802BC" w:rsidRDefault="001A1BCE" w:rsidP="001A1BCE">
            <w:pPr>
              <w:pStyle w:val="CETBodytext"/>
              <w:rPr>
                <w:lang w:val="en-GB"/>
              </w:rPr>
            </w:pPr>
            <w:r w:rsidRPr="007802BC">
              <w:t>Diameter</w:t>
            </w:r>
          </w:p>
        </w:tc>
        <w:tc>
          <w:tcPr>
            <w:tcW w:w="945" w:type="pct"/>
            <w:shd w:val="clear" w:color="auto" w:fill="FFFFFF"/>
          </w:tcPr>
          <w:p w14:paraId="1F113E7D" w14:textId="0BCF9AD8" w:rsidR="001A1BCE" w:rsidRPr="007802BC" w:rsidRDefault="001A1BCE" w:rsidP="001A1BCE">
            <w:pPr>
              <w:pStyle w:val="CETBodytext"/>
            </w:pPr>
            <w:r w:rsidRPr="007802BC">
              <w:t>m</w:t>
            </w:r>
          </w:p>
        </w:tc>
        <w:tc>
          <w:tcPr>
            <w:tcW w:w="944" w:type="pct"/>
            <w:shd w:val="clear" w:color="auto" w:fill="FFFFFF"/>
          </w:tcPr>
          <w:p w14:paraId="2FA7A515" w14:textId="4C2ABFE9" w:rsidR="001A1BCE" w:rsidRPr="007802BC" w:rsidRDefault="001A1BCE" w:rsidP="001A1BCE">
            <w:pPr>
              <w:pStyle w:val="CETBodytext"/>
              <w:rPr>
                <w:lang w:val="en-GB"/>
              </w:rPr>
            </w:pPr>
            <w:r w:rsidRPr="007802BC">
              <w:t>42</w:t>
            </w:r>
          </w:p>
        </w:tc>
        <w:tc>
          <w:tcPr>
            <w:tcW w:w="944" w:type="pct"/>
            <w:shd w:val="clear" w:color="auto" w:fill="FFFFFF"/>
          </w:tcPr>
          <w:p w14:paraId="4D74F15E" w14:textId="65232286" w:rsidR="001A1BCE" w:rsidRPr="007802BC" w:rsidRDefault="001A1BCE" w:rsidP="001A1BCE">
            <w:pPr>
              <w:pStyle w:val="CETBodytext"/>
              <w:rPr>
                <w:lang w:val="en-GB"/>
              </w:rPr>
            </w:pPr>
            <w:r w:rsidRPr="007802BC">
              <w:t>36</w:t>
            </w:r>
          </w:p>
        </w:tc>
        <w:tc>
          <w:tcPr>
            <w:tcW w:w="941" w:type="pct"/>
            <w:shd w:val="clear" w:color="auto" w:fill="FFFFFF"/>
          </w:tcPr>
          <w:p w14:paraId="1A5C7BB7" w14:textId="3868F13A" w:rsidR="001A1BCE" w:rsidRPr="007802BC" w:rsidRDefault="001A1BCE" w:rsidP="001A1BCE">
            <w:pPr>
              <w:pStyle w:val="CETBodytext"/>
              <w:ind w:right="-1"/>
              <w:rPr>
                <w:rFonts w:cs="Arial"/>
                <w:szCs w:val="18"/>
                <w:lang w:val="en-GB"/>
              </w:rPr>
            </w:pPr>
            <w:r w:rsidRPr="007802BC">
              <w:t>54</w:t>
            </w:r>
          </w:p>
        </w:tc>
      </w:tr>
      <w:tr w:rsidR="009C1B99" w:rsidRPr="007802BC" w14:paraId="7F4A5161" w14:textId="77777777" w:rsidTr="009C1B99">
        <w:tc>
          <w:tcPr>
            <w:tcW w:w="1226" w:type="pct"/>
            <w:shd w:val="clear" w:color="auto" w:fill="FFFFFF"/>
          </w:tcPr>
          <w:p w14:paraId="2EDE6487" w14:textId="10805DA4" w:rsidR="001A1BCE" w:rsidRPr="007802BC" w:rsidRDefault="001A1BCE" w:rsidP="001A1BCE">
            <w:pPr>
              <w:pStyle w:val="CETBodytext"/>
              <w:rPr>
                <w:lang w:val="en-GB"/>
              </w:rPr>
            </w:pPr>
            <w:r w:rsidRPr="007802BC">
              <w:t>Height</w:t>
            </w:r>
          </w:p>
        </w:tc>
        <w:tc>
          <w:tcPr>
            <w:tcW w:w="945" w:type="pct"/>
            <w:shd w:val="clear" w:color="auto" w:fill="FFFFFF"/>
          </w:tcPr>
          <w:p w14:paraId="1D39841C" w14:textId="1E2EFB69" w:rsidR="001A1BCE" w:rsidRPr="007802BC" w:rsidRDefault="001A1BCE" w:rsidP="001A1BCE">
            <w:pPr>
              <w:pStyle w:val="CETBodytext"/>
            </w:pPr>
            <w:r w:rsidRPr="007802BC">
              <w:t>m</w:t>
            </w:r>
          </w:p>
        </w:tc>
        <w:tc>
          <w:tcPr>
            <w:tcW w:w="944" w:type="pct"/>
            <w:shd w:val="clear" w:color="auto" w:fill="FFFFFF"/>
          </w:tcPr>
          <w:p w14:paraId="24C3490A" w14:textId="1029589F" w:rsidR="001A1BCE" w:rsidRPr="007802BC" w:rsidRDefault="001A1BCE" w:rsidP="001A1BCE">
            <w:pPr>
              <w:pStyle w:val="CETBodytext"/>
              <w:rPr>
                <w:lang w:val="en-GB"/>
              </w:rPr>
            </w:pPr>
            <w:r w:rsidRPr="007802BC">
              <w:t>7.2</w:t>
            </w:r>
          </w:p>
        </w:tc>
        <w:tc>
          <w:tcPr>
            <w:tcW w:w="944" w:type="pct"/>
            <w:shd w:val="clear" w:color="auto" w:fill="FFFFFF"/>
          </w:tcPr>
          <w:p w14:paraId="72D5CEBC" w14:textId="0FF069CA" w:rsidR="001A1BCE" w:rsidRPr="007802BC" w:rsidRDefault="001A1BCE" w:rsidP="001A1BCE">
            <w:pPr>
              <w:pStyle w:val="CETBodytext"/>
              <w:rPr>
                <w:lang w:val="en-GB"/>
              </w:rPr>
            </w:pPr>
            <w:r w:rsidRPr="007802BC">
              <w:t>9</w:t>
            </w:r>
          </w:p>
        </w:tc>
        <w:tc>
          <w:tcPr>
            <w:tcW w:w="941" w:type="pct"/>
            <w:shd w:val="clear" w:color="auto" w:fill="FFFFFF"/>
          </w:tcPr>
          <w:p w14:paraId="0F68F4CA" w14:textId="395525DC" w:rsidR="001A1BCE" w:rsidRPr="007802BC" w:rsidRDefault="001A1BCE" w:rsidP="001A1BCE">
            <w:pPr>
              <w:pStyle w:val="CETBodytext"/>
              <w:ind w:right="-1"/>
              <w:rPr>
                <w:rFonts w:cs="Arial"/>
                <w:szCs w:val="18"/>
                <w:lang w:val="en-GB"/>
              </w:rPr>
            </w:pPr>
            <w:r w:rsidRPr="007802BC">
              <w:t>5.4</w:t>
            </w:r>
          </w:p>
        </w:tc>
      </w:tr>
      <w:tr w:rsidR="009C1B99" w:rsidRPr="007802BC" w14:paraId="29F4A2A0" w14:textId="77777777" w:rsidTr="009C1B99">
        <w:tc>
          <w:tcPr>
            <w:tcW w:w="1226" w:type="pct"/>
            <w:shd w:val="clear" w:color="auto" w:fill="FFFFFF"/>
          </w:tcPr>
          <w:p w14:paraId="5FF5F323" w14:textId="19F86199" w:rsidR="001A1BCE" w:rsidRPr="007802BC" w:rsidRDefault="001A1BCE" w:rsidP="001A1BCE">
            <w:pPr>
              <w:pStyle w:val="CETBodytext"/>
              <w:rPr>
                <w:lang w:val="en-GB"/>
              </w:rPr>
            </w:pPr>
            <w:r w:rsidRPr="007802BC">
              <w:t>Filling level</w:t>
            </w:r>
          </w:p>
        </w:tc>
        <w:tc>
          <w:tcPr>
            <w:tcW w:w="945" w:type="pct"/>
            <w:shd w:val="clear" w:color="auto" w:fill="FFFFFF"/>
          </w:tcPr>
          <w:p w14:paraId="0B6D697D" w14:textId="29B71C8D" w:rsidR="001A1BCE" w:rsidRPr="007802BC" w:rsidRDefault="001A1BCE" w:rsidP="001A1BCE">
            <w:pPr>
              <w:pStyle w:val="CETBodytext"/>
            </w:pPr>
            <w:r w:rsidRPr="007802BC">
              <w:t>-</w:t>
            </w:r>
          </w:p>
        </w:tc>
        <w:tc>
          <w:tcPr>
            <w:tcW w:w="944" w:type="pct"/>
            <w:shd w:val="clear" w:color="auto" w:fill="FFFFFF"/>
          </w:tcPr>
          <w:p w14:paraId="797D8251" w14:textId="655BBCF8" w:rsidR="001A1BCE" w:rsidRPr="007802BC" w:rsidRDefault="001A1BCE" w:rsidP="001A1BCE">
            <w:pPr>
              <w:pStyle w:val="CETBodytext"/>
              <w:rPr>
                <w:lang w:val="en-GB"/>
              </w:rPr>
            </w:pPr>
            <w:r w:rsidRPr="007802BC">
              <w:t>0.75</w:t>
            </w:r>
          </w:p>
        </w:tc>
        <w:tc>
          <w:tcPr>
            <w:tcW w:w="944" w:type="pct"/>
            <w:shd w:val="clear" w:color="auto" w:fill="FFFFFF"/>
          </w:tcPr>
          <w:p w14:paraId="5EFD6040" w14:textId="15172E92" w:rsidR="001A1BCE" w:rsidRPr="007802BC" w:rsidRDefault="001A1BCE" w:rsidP="001A1BCE">
            <w:pPr>
              <w:pStyle w:val="CETBodytext"/>
              <w:rPr>
                <w:lang w:val="en-GB"/>
              </w:rPr>
            </w:pPr>
            <w:r w:rsidRPr="007802BC">
              <w:t>0.75</w:t>
            </w:r>
          </w:p>
        </w:tc>
        <w:tc>
          <w:tcPr>
            <w:tcW w:w="941" w:type="pct"/>
            <w:shd w:val="clear" w:color="auto" w:fill="FFFFFF"/>
          </w:tcPr>
          <w:p w14:paraId="396256C9" w14:textId="400C0686" w:rsidR="001A1BCE" w:rsidRPr="007802BC" w:rsidRDefault="001A1BCE" w:rsidP="001A1BCE">
            <w:pPr>
              <w:pStyle w:val="CETBodytext"/>
              <w:ind w:right="-1"/>
              <w:rPr>
                <w:rFonts w:cs="Arial"/>
                <w:szCs w:val="18"/>
                <w:lang w:val="en-GB"/>
              </w:rPr>
            </w:pPr>
            <w:r w:rsidRPr="007802BC">
              <w:t>0.75</w:t>
            </w:r>
          </w:p>
        </w:tc>
      </w:tr>
      <w:tr w:rsidR="009C1B99" w:rsidRPr="007802BC" w14:paraId="6B0CA411" w14:textId="77777777" w:rsidTr="009C1B99">
        <w:tc>
          <w:tcPr>
            <w:tcW w:w="1226" w:type="pct"/>
            <w:shd w:val="clear" w:color="auto" w:fill="FFFFFF"/>
          </w:tcPr>
          <w:p w14:paraId="210E7C92" w14:textId="7ADE4FB0" w:rsidR="001A1BCE" w:rsidRPr="007802BC" w:rsidRDefault="001A1BCE" w:rsidP="001A1BCE">
            <w:pPr>
              <w:pStyle w:val="CETBodytext"/>
              <w:rPr>
                <w:lang w:val="en-GB"/>
              </w:rPr>
            </w:pPr>
            <w:r w:rsidRPr="007802BC">
              <w:t>Substance</w:t>
            </w:r>
          </w:p>
        </w:tc>
        <w:tc>
          <w:tcPr>
            <w:tcW w:w="945" w:type="pct"/>
            <w:shd w:val="clear" w:color="auto" w:fill="FFFFFF"/>
          </w:tcPr>
          <w:p w14:paraId="21605A64" w14:textId="70CF2124" w:rsidR="001A1BCE" w:rsidRPr="007802BC" w:rsidRDefault="001A1BCE" w:rsidP="001A1BCE">
            <w:pPr>
              <w:pStyle w:val="CETBodytext"/>
            </w:pPr>
            <w:r w:rsidRPr="007802BC">
              <w:t>-</w:t>
            </w:r>
          </w:p>
        </w:tc>
        <w:tc>
          <w:tcPr>
            <w:tcW w:w="944" w:type="pct"/>
            <w:shd w:val="clear" w:color="auto" w:fill="FFFFFF"/>
          </w:tcPr>
          <w:p w14:paraId="43CDB1E6" w14:textId="7066588F" w:rsidR="001A1BCE" w:rsidRPr="007802BC" w:rsidRDefault="001A1BCE" w:rsidP="001A1BCE">
            <w:pPr>
              <w:pStyle w:val="CETBodytext"/>
              <w:rPr>
                <w:lang w:val="en-GB"/>
              </w:rPr>
            </w:pPr>
            <w:r w:rsidRPr="007802BC">
              <w:t>Gasoline</w:t>
            </w:r>
          </w:p>
        </w:tc>
        <w:tc>
          <w:tcPr>
            <w:tcW w:w="944" w:type="pct"/>
            <w:shd w:val="clear" w:color="auto" w:fill="FFFFFF"/>
          </w:tcPr>
          <w:p w14:paraId="452E9B9F" w14:textId="356255C1" w:rsidR="001A1BCE" w:rsidRPr="007802BC" w:rsidRDefault="001A1BCE" w:rsidP="001A1BCE">
            <w:pPr>
              <w:pStyle w:val="CETBodytext"/>
              <w:rPr>
                <w:lang w:val="en-GB"/>
              </w:rPr>
            </w:pPr>
            <w:r w:rsidRPr="007802BC">
              <w:t>Gasoline</w:t>
            </w:r>
          </w:p>
        </w:tc>
        <w:tc>
          <w:tcPr>
            <w:tcW w:w="941" w:type="pct"/>
            <w:shd w:val="clear" w:color="auto" w:fill="FFFFFF"/>
          </w:tcPr>
          <w:p w14:paraId="2814FF26" w14:textId="7EAB7C14" w:rsidR="001A1BCE" w:rsidRPr="007802BC" w:rsidRDefault="001A1BCE" w:rsidP="001A1BCE">
            <w:pPr>
              <w:pStyle w:val="CETBodytext"/>
              <w:ind w:right="-1"/>
              <w:rPr>
                <w:rFonts w:cs="Arial"/>
                <w:szCs w:val="18"/>
                <w:lang w:val="en-GB"/>
              </w:rPr>
            </w:pPr>
            <w:r w:rsidRPr="007802BC">
              <w:t>Crude oil</w:t>
            </w:r>
          </w:p>
        </w:tc>
      </w:tr>
      <w:tr w:rsidR="009C1B99" w:rsidRPr="007802BC" w14:paraId="62DE7A14" w14:textId="77777777" w:rsidTr="009C1B99">
        <w:tc>
          <w:tcPr>
            <w:tcW w:w="1226" w:type="pct"/>
            <w:shd w:val="clear" w:color="auto" w:fill="FFFFFF"/>
          </w:tcPr>
          <w:p w14:paraId="145CBFE1" w14:textId="3DA41E61" w:rsidR="001A1BCE" w:rsidRPr="007802BC" w:rsidRDefault="001A1BCE" w:rsidP="001A1BCE">
            <w:pPr>
              <w:pStyle w:val="CETBodytext"/>
              <w:rPr>
                <w:lang w:val="en-GB"/>
              </w:rPr>
            </w:pPr>
            <w:r w:rsidRPr="007802BC">
              <w:t>Physical state</w:t>
            </w:r>
          </w:p>
        </w:tc>
        <w:tc>
          <w:tcPr>
            <w:tcW w:w="945" w:type="pct"/>
            <w:shd w:val="clear" w:color="auto" w:fill="FFFFFF"/>
          </w:tcPr>
          <w:p w14:paraId="1F75F103" w14:textId="55374CB3" w:rsidR="001A1BCE" w:rsidRPr="007802BC" w:rsidRDefault="001A1BCE" w:rsidP="001A1BCE">
            <w:pPr>
              <w:pStyle w:val="CETBodytext"/>
            </w:pPr>
            <w:r w:rsidRPr="007802BC">
              <w:t>-</w:t>
            </w:r>
          </w:p>
        </w:tc>
        <w:tc>
          <w:tcPr>
            <w:tcW w:w="944" w:type="pct"/>
            <w:shd w:val="clear" w:color="auto" w:fill="FFFFFF"/>
          </w:tcPr>
          <w:p w14:paraId="4539DC86" w14:textId="29C2564F" w:rsidR="001A1BCE" w:rsidRPr="007802BC" w:rsidRDefault="001A1BCE" w:rsidP="001A1BCE">
            <w:pPr>
              <w:pStyle w:val="CETBodytext"/>
              <w:rPr>
                <w:lang w:val="en-GB"/>
              </w:rPr>
            </w:pPr>
            <w:r w:rsidRPr="007802BC">
              <w:t>Liquid</w:t>
            </w:r>
          </w:p>
        </w:tc>
        <w:tc>
          <w:tcPr>
            <w:tcW w:w="944" w:type="pct"/>
            <w:shd w:val="clear" w:color="auto" w:fill="FFFFFF"/>
          </w:tcPr>
          <w:p w14:paraId="57CDECF3" w14:textId="1880A83B" w:rsidR="001A1BCE" w:rsidRPr="007802BC" w:rsidRDefault="001A1BCE" w:rsidP="001A1BCE">
            <w:pPr>
              <w:pStyle w:val="CETBodytext"/>
              <w:rPr>
                <w:lang w:val="en-GB"/>
              </w:rPr>
            </w:pPr>
            <w:r w:rsidRPr="007802BC">
              <w:t>Liquid</w:t>
            </w:r>
          </w:p>
        </w:tc>
        <w:tc>
          <w:tcPr>
            <w:tcW w:w="941" w:type="pct"/>
            <w:shd w:val="clear" w:color="auto" w:fill="FFFFFF"/>
          </w:tcPr>
          <w:p w14:paraId="1208122D" w14:textId="61AE3B23" w:rsidR="001A1BCE" w:rsidRPr="007802BC" w:rsidRDefault="001A1BCE" w:rsidP="001A1BCE">
            <w:pPr>
              <w:pStyle w:val="CETBodytext"/>
              <w:ind w:right="-1"/>
              <w:rPr>
                <w:rFonts w:cs="Arial"/>
                <w:szCs w:val="18"/>
                <w:lang w:val="en-GB"/>
              </w:rPr>
            </w:pPr>
            <w:r w:rsidRPr="007802BC">
              <w:t>Liquid</w:t>
            </w:r>
          </w:p>
        </w:tc>
      </w:tr>
      <w:tr w:rsidR="009C1B99" w:rsidRPr="007802BC" w14:paraId="27E57DB1" w14:textId="77777777" w:rsidTr="009C1B99">
        <w:tc>
          <w:tcPr>
            <w:tcW w:w="1226" w:type="pct"/>
            <w:shd w:val="clear" w:color="auto" w:fill="FFFFFF"/>
          </w:tcPr>
          <w:p w14:paraId="5208D5C3" w14:textId="20884946" w:rsidR="00E74290" w:rsidRPr="007802BC" w:rsidRDefault="00E74290" w:rsidP="00E74290">
            <w:pPr>
              <w:pStyle w:val="CETBodytext"/>
            </w:pPr>
            <w:r w:rsidRPr="007802BC">
              <w:t xml:space="preserve">Inventory </w:t>
            </w:r>
          </w:p>
        </w:tc>
        <w:tc>
          <w:tcPr>
            <w:tcW w:w="945" w:type="pct"/>
            <w:shd w:val="clear" w:color="auto" w:fill="FFFFFF"/>
          </w:tcPr>
          <w:p w14:paraId="37FD8729" w14:textId="276FB95B" w:rsidR="00E74290" w:rsidRPr="007802BC" w:rsidRDefault="00E74290" w:rsidP="00E74290">
            <w:pPr>
              <w:pStyle w:val="CETBodytext"/>
            </w:pPr>
            <w:r w:rsidRPr="007802BC">
              <w:t>ton</w:t>
            </w:r>
          </w:p>
        </w:tc>
        <w:tc>
          <w:tcPr>
            <w:tcW w:w="944" w:type="pct"/>
            <w:shd w:val="clear" w:color="auto" w:fill="FFFFFF"/>
          </w:tcPr>
          <w:p w14:paraId="14370A43" w14:textId="04269102" w:rsidR="00E74290" w:rsidRPr="007802BC" w:rsidRDefault="00E74290" w:rsidP="00E74290">
            <w:pPr>
              <w:pStyle w:val="CETBodytext"/>
            </w:pPr>
            <w:r w:rsidRPr="007802BC">
              <w:t>5612</w:t>
            </w:r>
          </w:p>
        </w:tc>
        <w:tc>
          <w:tcPr>
            <w:tcW w:w="944" w:type="pct"/>
            <w:shd w:val="clear" w:color="auto" w:fill="FFFFFF"/>
          </w:tcPr>
          <w:p w14:paraId="1E916211" w14:textId="5695AF00" w:rsidR="00E74290" w:rsidRPr="007802BC" w:rsidRDefault="00E74290" w:rsidP="00E74290">
            <w:pPr>
              <w:pStyle w:val="CETBodytext"/>
            </w:pPr>
            <w:r w:rsidRPr="007802BC">
              <w:t>5153</w:t>
            </w:r>
          </w:p>
        </w:tc>
        <w:tc>
          <w:tcPr>
            <w:tcW w:w="941" w:type="pct"/>
            <w:shd w:val="clear" w:color="auto" w:fill="FFFFFF"/>
          </w:tcPr>
          <w:p w14:paraId="4A6BE2B8" w14:textId="47677275" w:rsidR="00E74290" w:rsidRPr="007802BC" w:rsidRDefault="00E74290" w:rsidP="00E74290">
            <w:pPr>
              <w:pStyle w:val="CETBodytext"/>
              <w:ind w:right="-1"/>
            </w:pPr>
            <w:r w:rsidRPr="007802BC">
              <w:t>8812</w:t>
            </w:r>
          </w:p>
        </w:tc>
      </w:tr>
      <w:tr w:rsidR="009C1B99" w:rsidRPr="007802BC" w14:paraId="481CF97F" w14:textId="77777777" w:rsidTr="009C1B99">
        <w:tc>
          <w:tcPr>
            <w:tcW w:w="1226" w:type="pct"/>
            <w:shd w:val="clear" w:color="auto" w:fill="FFFFFF"/>
          </w:tcPr>
          <w:p w14:paraId="240EE691" w14:textId="3F657D52" w:rsidR="001A1BCE" w:rsidRPr="007802BC" w:rsidRDefault="00E74290" w:rsidP="001A1BCE">
            <w:pPr>
              <w:pStyle w:val="CETBodytext"/>
              <w:ind w:right="-1"/>
              <w:rPr>
                <w:rFonts w:cs="Arial"/>
                <w:szCs w:val="18"/>
                <w:lang w:val="en-GB"/>
              </w:rPr>
            </w:pPr>
            <w:r w:rsidRPr="007802BC">
              <w:t xml:space="preserve">Catch basin </w:t>
            </w:r>
            <w:r w:rsidR="009C1B99" w:rsidRPr="007802BC">
              <w:t>area</w:t>
            </w:r>
          </w:p>
        </w:tc>
        <w:tc>
          <w:tcPr>
            <w:tcW w:w="945" w:type="pct"/>
            <w:shd w:val="clear" w:color="auto" w:fill="FFFFFF"/>
          </w:tcPr>
          <w:p w14:paraId="070EAFEA" w14:textId="33857A32" w:rsidR="001A1BCE" w:rsidRPr="007802BC" w:rsidRDefault="006E3A0B" w:rsidP="001A1BCE">
            <w:pPr>
              <w:pStyle w:val="CETBodytext"/>
              <w:ind w:right="-1"/>
            </w:pPr>
            <w:r w:rsidRPr="007802BC">
              <w:t>m</w:t>
            </w:r>
            <w:r w:rsidR="009C1B99" w:rsidRPr="007802BC">
              <w:rPr>
                <w:vertAlign w:val="superscript"/>
              </w:rPr>
              <w:t>2</w:t>
            </w:r>
          </w:p>
        </w:tc>
        <w:tc>
          <w:tcPr>
            <w:tcW w:w="944" w:type="pct"/>
            <w:shd w:val="clear" w:color="auto" w:fill="FFFFFF"/>
          </w:tcPr>
          <w:p w14:paraId="6AB00A9C" w14:textId="03A4BAA3" w:rsidR="001A1BCE" w:rsidRPr="007802BC" w:rsidRDefault="00B320FC" w:rsidP="001A1BCE">
            <w:pPr>
              <w:pStyle w:val="CETBodytext"/>
              <w:ind w:right="-1"/>
              <w:rPr>
                <w:rFonts w:cs="Arial"/>
                <w:szCs w:val="18"/>
                <w:lang w:val="en-GB"/>
              </w:rPr>
            </w:pPr>
            <w:r w:rsidRPr="007802BC">
              <w:t>3847</w:t>
            </w:r>
          </w:p>
        </w:tc>
        <w:tc>
          <w:tcPr>
            <w:tcW w:w="944" w:type="pct"/>
            <w:shd w:val="clear" w:color="auto" w:fill="FFFFFF"/>
          </w:tcPr>
          <w:p w14:paraId="7E93FCE0" w14:textId="0A2D7443" w:rsidR="001A1BCE" w:rsidRPr="007802BC" w:rsidRDefault="00B320FC" w:rsidP="001A1BCE">
            <w:pPr>
              <w:pStyle w:val="CETBodytext"/>
              <w:ind w:right="-1"/>
              <w:rPr>
                <w:rFonts w:cs="Arial"/>
                <w:szCs w:val="18"/>
                <w:lang w:val="en-GB"/>
              </w:rPr>
            </w:pPr>
            <w:r w:rsidRPr="007802BC">
              <w:t>3577</w:t>
            </w:r>
          </w:p>
        </w:tc>
        <w:tc>
          <w:tcPr>
            <w:tcW w:w="941" w:type="pct"/>
            <w:shd w:val="clear" w:color="auto" w:fill="FFFFFF"/>
          </w:tcPr>
          <w:p w14:paraId="0E592765" w14:textId="6FC86CA4" w:rsidR="001A1BCE" w:rsidRPr="007802BC" w:rsidRDefault="006A32E6" w:rsidP="001A1BCE">
            <w:pPr>
              <w:pStyle w:val="CETBodytext"/>
              <w:ind w:right="-1"/>
              <w:rPr>
                <w:rFonts w:cs="Arial"/>
                <w:szCs w:val="18"/>
                <w:lang w:val="en-GB"/>
              </w:rPr>
            </w:pPr>
            <w:r w:rsidRPr="007802BC">
              <w:t>4899</w:t>
            </w:r>
          </w:p>
        </w:tc>
      </w:tr>
    </w:tbl>
    <w:p w14:paraId="5EE669F2" w14:textId="14B0784B" w:rsidR="00FA1F5D" w:rsidRPr="007802BC" w:rsidRDefault="00692357" w:rsidP="00453E24">
      <w:pPr>
        <w:pStyle w:val="CETBodytext"/>
      </w:pPr>
      <w:r w:rsidRPr="007802BC">
        <w:lastRenderedPageBreak/>
        <w:t xml:space="preserve">The layout considered in the case study is provided in </w:t>
      </w:r>
      <w:r w:rsidRPr="007802BC">
        <w:fldChar w:fldCharType="begin"/>
      </w:r>
      <w:r w:rsidRPr="007802BC">
        <w:instrText xml:space="preserve"> REF _Ref183099011 \h  \* MERGEFORMAT </w:instrText>
      </w:r>
      <w:r w:rsidRPr="007802BC">
        <w:fldChar w:fldCharType="separate"/>
      </w:r>
      <w:r w:rsidRPr="007802BC">
        <w:t xml:space="preserve">Figure </w:t>
      </w:r>
      <w:r w:rsidRPr="007802BC">
        <w:rPr>
          <w:noProof/>
        </w:rPr>
        <w:t>3</w:t>
      </w:r>
      <w:r w:rsidRPr="007802BC">
        <w:fldChar w:fldCharType="end"/>
      </w:r>
      <w:r w:rsidRPr="007802BC">
        <w:t xml:space="preserve">-a. A forest lies along the northern border of the storage site, represented as a green area in </w:t>
      </w:r>
      <w:r w:rsidRPr="007802BC">
        <w:fldChar w:fldCharType="begin"/>
      </w:r>
      <w:r w:rsidRPr="007802BC">
        <w:instrText xml:space="preserve"> REF _Ref183099011 \h  \* MERGEFORMAT </w:instrText>
      </w:r>
      <w:r w:rsidRPr="007802BC">
        <w:fldChar w:fldCharType="separate"/>
      </w:r>
      <w:r w:rsidRPr="007802BC">
        <w:t xml:space="preserve">Figure </w:t>
      </w:r>
      <w:r w:rsidRPr="007802BC">
        <w:rPr>
          <w:noProof/>
        </w:rPr>
        <w:t>3</w:t>
      </w:r>
      <w:r w:rsidRPr="007802BC">
        <w:fldChar w:fldCharType="end"/>
      </w:r>
      <w:r w:rsidRPr="007802BC">
        <w:t xml:space="preserve">. The average vegetation height is assumed to be 10 meters. The wildfire is modeled according to </w:t>
      </w:r>
      <w:r w:rsidRPr="007802BC">
        <w:rPr>
          <w:lang w:val="en-GB"/>
        </w:rPr>
        <w:t>Ricci et al. (2024, 2021c)</w:t>
      </w:r>
      <w:r w:rsidRPr="007802BC">
        <w:t xml:space="preserve">, with the following input parameters: a flame blackbody temperature of 1200 K, a flame length set to 3.5 times the vegetation height (i.e., 35 m), and a maximum wildfire scenario duration of 15 minutes. A realistic wildfire return period was estimated using data from </w:t>
      </w:r>
      <w:proofErr w:type="spellStart"/>
      <w:r w:rsidRPr="007802BC">
        <w:t>Guyette</w:t>
      </w:r>
      <w:proofErr w:type="spellEnd"/>
      <w:r w:rsidRPr="007802BC">
        <w:t xml:space="preserve"> et al. (2012), leading to a wildfire frequency of 0.167 y</w:t>
      </w:r>
      <w:r w:rsidRPr="007802BC">
        <w:rPr>
          <w:vertAlign w:val="superscript"/>
        </w:rPr>
        <w:t>-1</w:t>
      </w:r>
      <w:r w:rsidRPr="007802BC">
        <w:t xml:space="preserve">. The analysis considers the catastrophic rupture of tanks followed by immediate ignition leading to a pool fire confined in the catch basin, </w:t>
      </w:r>
      <w:r w:rsidR="00C241D1" w:rsidRPr="007802BC">
        <w:t xml:space="preserve">the </w:t>
      </w:r>
      <w:r w:rsidRPr="007802BC">
        <w:t xml:space="preserve">areas </w:t>
      </w:r>
      <w:r w:rsidR="00C241D1" w:rsidRPr="007802BC">
        <w:t xml:space="preserve">of which </w:t>
      </w:r>
      <w:r w:rsidRPr="007802BC">
        <w:t xml:space="preserve">are reported in </w:t>
      </w:r>
      <w:r w:rsidRPr="007802BC">
        <w:fldChar w:fldCharType="begin"/>
      </w:r>
      <w:r w:rsidRPr="007802BC">
        <w:instrText xml:space="preserve"> REF _Ref183020900 \h  \* MERGEFORMAT </w:instrText>
      </w:r>
      <w:r w:rsidRPr="007802BC">
        <w:fldChar w:fldCharType="separate"/>
      </w:r>
      <w:r w:rsidRPr="007802BC">
        <w:t xml:space="preserve">Table </w:t>
      </w:r>
      <w:r w:rsidRPr="007802BC">
        <w:rPr>
          <w:noProof/>
        </w:rPr>
        <w:t>1</w:t>
      </w:r>
      <w:r w:rsidRPr="007802BC">
        <w:fldChar w:fldCharType="end"/>
      </w:r>
      <w:r w:rsidRPr="007802BC">
        <w:t xml:space="preserve">. Established literature models (Van Den Bosh and Weterings, 2005) were used for the consequence analysis. </w:t>
      </w:r>
      <w:r w:rsidRPr="007802BC">
        <w:fldChar w:fldCharType="begin"/>
      </w:r>
      <w:r w:rsidRPr="007802BC">
        <w:instrText xml:space="preserve"> REF _Ref183099011 \h  \* MERGEFORMAT </w:instrText>
      </w:r>
      <w:r w:rsidRPr="007802BC">
        <w:fldChar w:fldCharType="separate"/>
      </w:r>
      <w:r w:rsidRPr="007802BC">
        <w:t xml:space="preserve">Figure </w:t>
      </w:r>
      <w:r w:rsidRPr="007802BC">
        <w:rPr>
          <w:noProof/>
        </w:rPr>
        <w:t>3</w:t>
      </w:r>
      <w:r w:rsidRPr="007802BC">
        <w:fldChar w:fldCharType="end"/>
      </w:r>
      <w:r w:rsidRPr="007802BC">
        <w:t>-b illustrates the consequence assessment for the three tank types in the layout, also including the incident radiation from the wildfire.</w:t>
      </w:r>
    </w:p>
    <w:p w14:paraId="4234FB5D" w14:textId="1743253A" w:rsidR="004D4539" w:rsidRPr="007802BC" w:rsidRDefault="00887B7F" w:rsidP="00692357">
      <w:pPr>
        <w:pStyle w:val="CETCaption"/>
        <w:spacing w:before="120" w:after="120"/>
      </w:pPr>
      <w:r w:rsidRPr="007802BC">
        <w:rPr>
          <w:noProof/>
        </w:rPr>
        <w:drawing>
          <wp:inline distT="0" distB="0" distL="0" distR="0" wp14:anchorId="05F7D64D" wp14:editId="45E36B0A">
            <wp:extent cx="4320000" cy="1853762"/>
            <wp:effectExtent l="0" t="0" r="4445" b="0"/>
            <wp:docPr id="4" name="Elemento gra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pic:cNvPicPr/>
                  </pic:nvPicPr>
                  <pic:blipFill>
                    <a:blip r:embed="rId14">
                      <a:extLst>
                        <a:ext uri="{96DAC541-7B7A-43D3-8B79-37D633B846F1}">
                          <asvg:svgBlip xmlns:asvg="http://schemas.microsoft.com/office/drawing/2016/SVG/main" r:embed="rId15"/>
                        </a:ext>
                      </a:extLst>
                    </a:blip>
                    <a:stretch>
                      <a:fillRect/>
                    </a:stretch>
                  </pic:blipFill>
                  <pic:spPr>
                    <a:xfrm>
                      <a:off x="0" y="0"/>
                      <a:ext cx="4320000" cy="1853762"/>
                    </a:xfrm>
                    <a:prstGeom prst="rect">
                      <a:avLst/>
                    </a:prstGeom>
                  </pic:spPr>
                </pic:pic>
              </a:graphicData>
            </a:graphic>
          </wp:inline>
        </w:drawing>
      </w:r>
    </w:p>
    <w:p w14:paraId="2B2DE8AB" w14:textId="5B112DA3" w:rsidR="004D4539" w:rsidRPr="007802BC" w:rsidRDefault="004D4539" w:rsidP="00683A84">
      <w:pPr>
        <w:pStyle w:val="CETCaption"/>
        <w:spacing w:before="120"/>
      </w:pPr>
      <w:bookmarkStart w:id="4" w:name="_Ref183099011"/>
      <w:r w:rsidRPr="007802BC">
        <w:t xml:space="preserve">Figure </w:t>
      </w:r>
      <w:r w:rsidRPr="007802BC">
        <w:fldChar w:fldCharType="begin"/>
      </w:r>
      <w:r w:rsidRPr="007802BC">
        <w:instrText xml:space="preserve"> SEQ Figure \* ARABIC </w:instrText>
      </w:r>
      <w:r w:rsidRPr="007802BC">
        <w:fldChar w:fldCharType="separate"/>
      </w:r>
      <w:r w:rsidR="002D1D0F" w:rsidRPr="007802BC">
        <w:rPr>
          <w:noProof/>
        </w:rPr>
        <w:t>3</w:t>
      </w:r>
      <w:r w:rsidRPr="007802BC">
        <w:fldChar w:fldCharType="end"/>
      </w:r>
      <w:bookmarkEnd w:id="4"/>
      <w:r w:rsidRPr="007802BC">
        <w:t xml:space="preserve">. </w:t>
      </w:r>
      <w:r w:rsidR="000110B0" w:rsidRPr="007802BC">
        <w:t xml:space="preserve">Layout considered in the case study (a) and incident radiation as a function of the distance </w:t>
      </w:r>
      <w:r w:rsidR="00040BD9" w:rsidRPr="007802BC">
        <w:t>for wildfires and tank fires considered in the present contribution (b).</w:t>
      </w:r>
    </w:p>
    <w:p w14:paraId="3309B7C3" w14:textId="5C73349F" w:rsidR="008250C1" w:rsidRPr="007802BC" w:rsidRDefault="009E3292" w:rsidP="009E3292">
      <w:pPr>
        <w:pStyle w:val="CETBodytext"/>
      </w:pPr>
      <w:r w:rsidRPr="007802BC">
        <w:t>Water deluge sprinkler system</w:t>
      </w:r>
      <w:r w:rsidR="00786FDC" w:rsidRPr="007802BC">
        <w:t>s</w:t>
      </w:r>
      <w:r w:rsidR="002C34EC" w:rsidRPr="007802BC">
        <w:t xml:space="preserve"> (WDS)</w:t>
      </w:r>
      <w:r w:rsidRPr="007802BC">
        <w:t xml:space="preserve"> are </w:t>
      </w:r>
      <w:r w:rsidR="003C17F3" w:rsidRPr="007802BC">
        <w:t xml:space="preserve">the safety barrier </w:t>
      </w:r>
      <w:r w:rsidRPr="007802BC">
        <w:t xml:space="preserve">considered </w:t>
      </w:r>
      <w:r w:rsidR="003C17F3" w:rsidRPr="007802BC">
        <w:t>in the case study</w:t>
      </w:r>
      <w:r w:rsidRPr="007802BC">
        <w:t>.</w:t>
      </w:r>
      <w:r w:rsidR="00D37B6F" w:rsidRPr="007802BC">
        <w:t xml:space="preserve"> </w:t>
      </w:r>
      <w:r w:rsidR="00C22DE8" w:rsidRPr="007802BC">
        <w:t>These can be characterized accor</w:t>
      </w:r>
      <w:r w:rsidR="00931FB2" w:rsidRPr="007802BC">
        <w:t>d</w:t>
      </w:r>
      <w:r w:rsidR="00C22DE8" w:rsidRPr="007802BC">
        <w:t>in</w:t>
      </w:r>
      <w:r w:rsidR="00931FB2" w:rsidRPr="007802BC">
        <w:t>g</w:t>
      </w:r>
      <w:r w:rsidR="004116B5" w:rsidRPr="007802BC">
        <w:t xml:space="preserve"> to</w:t>
      </w:r>
      <w:r w:rsidR="00C22DE8" w:rsidRPr="007802BC">
        <w:t xml:space="preserve"> the gate “a” in </w:t>
      </w:r>
      <w:r w:rsidR="00C22DE8" w:rsidRPr="007802BC">
        <w:fldChar w:fldCharType="begin"/>
      </w:r>
      <w:r w:rsidR="00C22DE8" w:rsidRPr="007802BC">
        <w:instrText xml:space="preserve"> REF _Ref191472813 \h </w:instrText>
      </w:r>
      <w:r w:rsidR="00931FB2" w:rsidRPr="007802BC">
        <w:instrText xml:space="preserve"> \* MERGEFORMAT </w:instrText>
      </w:r>
      <w:r w:rsidR="00C22DE8" w:rsidRPr="007802BC">
        <w:fldChar w:fldCharType="separate"/>
      </w:r>
      <w:r w:rsidR="00C22DE8" w:rsidRPr="007802BC">
        <w:t xml:space="preserve">Figure </w:t>
      </w:r>
      <w:r w:rsidR="00C22DE8" w:rsidRPr="007802BC">
        <w:rPr>
          <w:noProof/>
        </w:rPr>
        <w:t>2</w:t>
      </w:r>
      <w:r w:rsidR="00C22DE8" w:rsidRPr="007802BC">
        <w:fldChar w:fldCharType="end"/>
      </w:r>
      <w:r w:rsidR="00C22DE8" w:rsidRPr="007802BC">
        <w:t>-a</w:t>
      </w:r>
      <w:r w:rsidR="00931FB2" w:rsidRPr="007802BC">
        <w:t>, and t</w:t>
      </w:r>
      <w:r w:rsidR="00786FDC" w:rsidRPr="007802BC">
        <w:t>he failure probab</w:t>
      </w:r>
      <w:r w:rsidR="00E40AD2" w:rsidRPr="007802BC">
        <w:t xml:space="preserve">ility </w:t>
      </w:r>
      <w:r w:rsidR="00EE5612" w:rsidRPr="007802BC">
        <w:t xml:space="preserve">is then evaluated </w:t>
      </w:r>
      <w:r w:rsidR="00F07172" w:rsidRPr="007802BC">
        <w:t xml:space="preserve">as </w:t>
      </w:r>
      <w:r w:rsidR="00EE5612" w:rsidRPr="007802BC">
        <w:t xml:space="preserve">equal to </w:t>
      </w:r>
      <w:r w:rsidR="00A26149" w:rsidRPr="007802BC">
        <w:t>7.</w:t>
      </w:r>
      <w:r w:rsidR="002C34EC" w:rsidRPr="007802BC">
        <w:t>2</w:t>
      </w:r>
      <w:r w:rsidR="00A26149" w:rsidRPr="007802BC">
        <w:rPr>
          <w:rFonts w:cs="Arial"/>
        </w:rPr>
        <w:t>∙</w:t>
      </w:r>
      <w:r w:rsidR="00A26149" w:rsidRPr="007802BC">
        <w:t>10</w:t>
      </w:r>
      <w:r w:rsidR="00A26149" w:rsidRPr="007802BC">
        <w:rPr>
          <w:vertAlign w:val="superscript"/>
        </w:rPr>
        <w:t>-2</w:t>
      </w:r>
      <w:r w:rsidR="002C34EC" w:rsidRPr="007802BC">
        <w:t xml:space="preserve"> y</w:t>
      </w:r>
      <w:r w:rsidR="002C34EC" w:rsidRPr="007802BC">
        <w:rPr>
          <w:vertAlign w:val="superscript"/>
        </w:rPr>
        <w:t>-1</w:t>
      </w:r>
      <w:r w:rsidR="00F02F05" w:rsidRPr="007802BC">
        <w:t>,</w:t>
      </w:r>
      <w:r w:rsidR="00F30238" w:rsidRPr="007802BC">
        <w:t xml:space="preserve"> </w:t>
      </w:r>
      <w:r w:rsidR="00D91E8F" w:rsidRPr="007802BC">
        <w:t xml:space="preserve">assuming </w:t>
      </w:r>
      <w:r w:rsidR="00573B40" w:rsidRPr="007802BC">
        <w:t xml:space="preserve">a </w:t>
      </w:r>
      <w:r w:rsidR="00D91E8F" w:rsidRPr="007802BC">
        <w:rPr>
          <w:i/>
          <w:iCs/>
        </w:rPr>
        <w:t>PFD</w:t>
      </w:r>
      <w:r w:rsidR="00D91E8F" w:rsidRPr="007802BC">
        <w:t xml:space="preserve"> </w:t>
      </w:r>
      <w:r w:rsidR="00573B40" w:rsidRPr="007802BC">
        <w:t>value of</w:t>
      </w:r>
      <w:r w:rsidR="00D91E8F" w:rsidRPr="007802BC">
        <w:t xml:space="preserve"> </w:t>
      </w:r>
      <w:r w:rsidR="002C34EC" w:rsidRPr="007802BC">
        <w:t>2</w:t>
      </w:r>
      <w:r w:rsidR="002C34EC" w:rsidRPr="007802BC">
        <w:rPr>
          <w:rFonts w:cs="Arial"/>
        </w:rPr>
        <w:t>∙</w:t>
      </w:r>
      <w:r w:rsidR="002C34EC" w:rsidRPr="007802BC">
        <w:t>10</w:t>
      </w:r>
      <w:r w:rsidR="002C34EC" w:rsidRPr="007802BC">
        <w:rPr>
          <w:vertAlign w:val="superscript"/>
        </w:rPr>
        <w:t>-3</w:t>
      </w:r>
      <w:r w:rsidR="002C34EC" w:rsidRPr="007802BC">
        <w:t xml:space="preserve"> y</w:t>
      </w:r>
      <w:r w:rsidR="002C34EC" w:rsidRPr="007802BC">
        <w:rPr>
          <w:vertAlign w:val="superscript"/>
        </w:rPr>
        <w:t>-1</w:t>
      </w:r>
      <w:r w:rsidR="002C34EC" w:rsidRPr="007802BC">
        <w:t xml:space="preserve"> </w:t>
      </w:r>
      <w:r w:rsidR="00B15AD3" w:rsidRPr="007802BC">
        <w:t xml:space="preserve">and </w:t>
      </w:r>
      <w:r w:rsidR="00D91E8F" w:rsidRPr="007802BC">
        <w:t xml:space="preserve">the </w:t>
      </w:r>
      <w:r w:rsidR="00D91E8F" w:rsidRPr="007802BC">
        <w:rPr>
          <w:rFonts w:cs="Arial"/>
          <w:i/>
          <w:iCs/>
        </w:rPr>
        <w:t>η</w:t>
      </w:r>
      <w:r w:rsidR="00D91E8F" w:rsidRPr="007802BC">
        <w:t xml:space="preserve"> equal to </w:t>
      </w:r>
      <w:r w:rsidR="002C34EC" w:rsidRPr="007802BC">
        <w:t>0.93</w:t>
      </w:r>
      <w:r w:rsidR="00D91E8F" w:rsidRPr="007802BC">
        <w:t xml:space="preserve"> </w:t>
      </w:r>
      <w:r w:rsidR="00576B8D" w:rsidRPr="007802BC">
        <w:t>obtained from</w:t>
      </w:r>
      <w:r w:rsidR="00F02F05" w:rsidRPr="007802BC">
        <w:t xml:space="preserve"> Mannan (2005)</w:t>
      </w:r>
      <w:r w:rsidR="00D91E8F" w:rsidRPr="007802BC">
        <w:t xml:space="preserve">. </w:t>
      </w:r>
      <w:r w:rsidR="00931FB2" w:rsidRPr="007802BC">
        <w:t>The possible configuration</w:t>
      </w:r>
      <w:r w:rsidR="00043D22" w:rsidRPr="007802BC">
        <w:t>s</w:t>
      </w:r>
      <w:r w:rsidR="00931FB2" w:rsidRPr="007802BC">
        <w:t xml:space="preserve"> of equipment items are represented in </w:t>
      </w:r>
      <w:r w:rsidR="00931FB2" w:rsidRPr="007802BC">
        <w:fldChar w:fldCharType="begin"/>
      </w:r>
      <w:r w:rsidR="00931FB2" w:rsidRPr="007802BC">
        <w:instrText xml:space="preserve"> REF _Ref191472813 \h  \* MERGEFORMAT </w:instrText>
      </w:r>
      <w:r w:rsidR="00931FB2" w:rsidRPr="007802BC">
        <w:fldChar w:fldCharType="separate"/>
      </w:r>
      <w:r w:rsidR="00931FB2" w:rsidRPr="007802BC">
        <w:t xml:space="preserve">Figure </w:t>
      </w:r>
      <w:r w:rsidR="00931FB2" w:rsidRPr="007802BC">
        <w:rPr>
          <w:noProof/>
        </w:rPr>
        <w:t>2</w:t>
      </w:r>
      <w:r w:rsidR="00931FB2" w:rsidRPr="007802BC">
        <w:fldChar w:fldCharType="end"/>
      </w:r>
      <w:r w:rsidR="00931FB2" w:rsidRPr="007802BC">
        <w:t xml:space="preserve">-c. </w:t>
      </w:r>
      <w:r w:rsidR="002C34EC" w:rsidRPr="007802BC">
        <w:t xml:space="preserve">In the case of WDS </w:t>
      </w:r>
      <w:r w:rsidR="00741FAF" w:rsidRPr="007802BC">
        <w:t xml:space="preserve">effectively </w:t>
      </w:r>
      <w:r w:rsidR="002C34EC" w:rsidRPr="007802BC">
        <w:t>working</w:t>
      </w:r>
      <w:r w:rsidR="00586C65" w:rsidRPr="007802BC">
        <w:t xml:space="preserve">, it reduces the incident radiation reaching the tank on which it is implemented. </w:t>
      </w:r>
      <w:r w:rsidR="004D4539" w:rsidRPr="007802BC">
        <w:t xml:space="preserve">This </w:t>
      </w:r>
      <w:r w:rsidR="00F07172" w:rsidRPr="007802BC">
        <w:t xml:space="preserve">can be </w:t>
      </w:r>
      <w:r w:rsidR="004D4539" w:rsidRPr="007802BC">
        <w:t xml:space="preserve">described </w:t>
      </w:r>
      <w:r w:rsidR="00F07172" w:rsidRPr="007802BC">
        <w:t xml:space="preserve">through </w:t>
      </w:r>
      <w:r w:rsidR="004D4539" w:rsidRPr="007802BC">
        <w:t xml:space="preserve">an attenuation parameter, that is considered equal to 0.5 in the present study </w:t>
      </w:r>
      <w:r w:rsidR="00F07172" w:rsidRPr="007802BC">
        <w:t>following</w:t>
      </w:r>
      <w:r w:rsidR="004D4539" w:rsidRPr="007802BC">
        <w:t xml:space="preserve"> other literature application</w:t>
      </w:r>
      <w:r w:rsidR="00F07172" w:rsidRPr="007802BC">
        <w:t>s</w:t>
      </w:r>
      <w:r w:rsidR="003518F5" w:rsidRPr="007802BC">
        <w:t xml:space="preserve"> (Ricci et al., 2022)</w:t>
      </w:r>
      <w:r w:rsidR="004D4539" w:rsidRPr="007802BC">
        <w:t>.</w:t>
      </w:r>
      <w:r w:rsidR="008250C1" w:rsidRPr="007802BC">
        <w:t xml:space="preserve"> </w:t>
      </w:r>
    </w:p>
    <w:p w14:paraId="3C10F1A7" w14:textId="0ADBF319" w:rsidR="00A451A1" w:rsidRPr="007802BC" w:rsidRDefault="007216E1" w:rsidP="009E3292">
      <w:pPr>
        <w:pStyle w:val="CETBodytext"/>
      </w:pPr>
      <w:r w:rsidRPr="007802BC">
        <w:t xml:space="preserve">To evaluate the influence of safety systems on the risk related to wildfire-induced </w:t>
      </w:r>
      <w:r w:rsidR="00892C70" w:rsidRPr="007802BC">
        <w:t xml:space="preserve">primary Natech accidents and related escalation scenarios, </w:t>
      </w:r>
      <w:r w:rsidR="00A451A1" w:rsidRPr="007802BC">
        <w:t>two cases are analyzed:</w:t>
      </w:r>
    </w:p>
    <w:p w14:paraId="698CB4D3" w14:textId="43B6ADC4" w:rsidR="00A451A1" w:rsidRPr="007802BC" w:rsidRDefault="00A451A1" w:rsidP="00A451A1">
      <w:pPr>
        <w:pStyle w:val="CETBodytext"/>
        <w:numPr>
          <w:ilvl w:val="0"/>
          <w:numId w:val="25"/>
        </w:numPr>
      </w:pPr>
      <w:r w:rsidRPr="007802BC">
        <w:rPr>
          <w:b/>
          <w:bCs/>
        </w:rPr>
        <w:t>Absence of WDS</w:t>
      </w:r>
      <w:r w:rsidRPr="007802BC">
        <w:t xml:space="preserve">. The case considers </w:t>
      </w:r>
      <w:r w:rsidR="00032BFC" w:rsidRPr="007802BC">
        <w:t xml:space="preserve">unprotected </w:t>
      </w:r>
      <w:r w:rsidRPr="007802BC">
        <w:t>tank</w:t>
      </w:r>
      <w:r w:rsidR="00032BFC" w:rsidRPr="007802BC">
        <w:t>s</w:t>
      </w:r>
      <w:r w:rsidRPr="007802BC">
        <w:t xml:space="preserve"> and the evaluation is performed following the procedure described in</w:t>
      </w:r>
      <w:r w:rsidR="003518F5" w:rsidRPr="007802BC">
        <w:t xml:space="preserve"> Ricci et al. (2024)</w:t>
      </w:r>
      <w:r w:rsidRPr="007802BC">
        <w:t>.</w:t>
      </w:r>
    </w:p>
    <w:p w14:paraId="687C3C9B" w14:textId="66CC199E" w:rsidR="00A451A1" w:rsidRPr="007802BC" w:rsidRDefault="00A451A1" w:rsidP="00A451A1">
      <w:pPr>
        <w:pStyle w:val="CETBodytext"/>
        <w:numPr>
          <w:ilvl w:val="0"/>
          <w:numId w:val="25"/>
        </w:numPr>
      </w:pPr>
      <w:r w:rsidRPr="007802BC">
        <w:rPr>
          <w:b/>
          <w:bCs/>
        </w:rPr>
        <w:t>Presence of WDS</w:t>
      </w:r>
      <w:r w:rsidRPr="007802BC">
        <w:t xml:space="preserve">. The case </w:t>
      </w:r>
      <w:r w:rsidR="00892C70" w:rsidRPr="007802BC">
        <w:t>includes the water deluge sprinkler systems on each tank, and the methodology described in the present study is applied to evaluate the risk.</w:t>
      </w:r>
    </w:p>
    <w:p w14:paraId="677EBFF0" w14:textId="4D32C6AB" w:rsidR="00600535" w:rsidRPr="007802BC" w:rsidRDefault="00FA1F5D" w:rsidP="00600535">
      <w:pPr>
        <w:pStyle w:val="CETHeading1"/>
        <w:tabs>
          <w:tab w:val="clear" w:pos="360"/>
          <w:tab w:val="right" w:pos="7100"/>
        </w:tabs>
        <w:jc w:val="both"/>
        <w:rPr>
          <w:lang w:val="en-GB"/>
        </w:rPr>
      </w:pPr>
      <w:r w:rsidRPr="007802BC">
        <w:rPr>
          <w:lang w:val="en-GB"/>
        </w:rPr>
        <w:t>Results and Discussion</w:t>
      </w:r>
    </w:p>
    <w:p w14:paraId="6CBA778F" w14:textId="134B518A" w:rsidR="009D499C" w:rsidRPr="007802BC" w:rsidRDefault="005E63F4" w:rsidP="00FA1F5D">
      <w:pPr>
        <w:pStyle w:val="CETBodytext"/>
        <w:rPr>
          <w:lang w:val="en-GB"/>
        </w:rPr>
      </w:pPr>
      <w:r w:rsidRPr="007802BC">
        <w:fldChar w:fldCharType="begin"/>
      </w:r>
      <w:r w:rsidRPr="007802BC">
        <w:instrText xml:space="preserve"> REF _Ref183100225 \h </w:instrText>
      </w:r>
      <w:r w:rsidR="00EE2929" w:rsidRPr="007802BC">
        <w:instrText xml:space="preserve"> \* MERGEFORMAT </w:instrText>
      </w:r>
      <w:r w:rsidRPr="007802BC">
        <w:fldChar w:fldCharType="separate"/>
      </w:r>
      <w:r w:rsidR="002D1D0F" w:rsidRPr="007802BC">
        <w:t xml:space="preserve">Figure </w:t>
      </w:r>
      <w:r w:rsidR="002D1D0F" w:rsidRPr="007802BC">
        <w:rPr>
          <w:noProof/>
        </w:rPr>
        <w:t>4</w:t>
      </w:r>
      <w:r w:rsidRPr="007802BC">
        <w:fldChar w:fldCharType="end"/>
      </w:r>
      <w:r w:rsidRPr="007802BC">
        <w:t xml:space="preserve"> reports the overall failure probability of each tank </w:t>
      </w:r>
      <w:r w:rsidR="009B2988" w:rsidRPr="007802BC">
        <w:t xml:space="preserve">in the absence and the presence of WDS. </w:t>
      </w:r>
    </w:p>
    <w:p w14:paraId="10339AFE" w14:textId="77777777" w:rsidR="004C7D58" w:rsidRPr="007802BC" w:rsidRDefault="00AD054C" w:rsidP="00683A84">
      <w:pPr>
        <w:pStyle w:val="CETCaption"/>
        <w:spacing w:before="120" w:after="120"/>
      </w:pPr>
      <w:r w:rsidRPr="007802BC">
        <w:rPr>
          <w:i w:val="0"/>
          <w:noProof/>
          <w:sz w:val="16"/>
          <w:szCs w:val="16"/>
        </w:rPr>
        <w:drawing>
          <wp:inline distT="0" distB="0" distL="0" distR="0" wp14:anchorId="686DA64F" wp14:editId="343B32BF">
            <wp:extent cx="2160000" cy="1453274"/>
            <wp:effectExtent l="0" t="0" r="0" b="0"/>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pic:cNvPicPr/>
                  </pic:nvPicPr>
                  <pic:blipFill rotWithShape="1">
                    <a:blip r:embed="rId16">
                      <a:extLst>
                        <a:ext uri="{96DAC541-7B7A-43D3-8B79-37D633B846F1}">
                          <asvg:svgBlip xmlns:asvg="http://schemas.microsoft.com/office/drawing/2016/SVG/main" r:embed="rId17"/>
                        </a:ext>
                      </a:extLst>
                    </a:blip>
                    <a:srcRect t="4293" b="6195"/>
                    <a:stretch/>
                  </pic:blipFill>
                  <pic:spPr bwMode="auto">
                    <a:xfrm>
                      <a:off x="0" y="0"/>
                      <a:ext cx="2160000" cy="1453274"/>
                    </a:xfrm>
                    <a:prstGeom prst="rect">
                      <a:avLst/>
                    </a:prstGeom>
                    <a:ln>
                      <a:noFill/>
                    </a:ln>
                    <a:extLst>
                      <a:ext uri="{53640926-AAD7-44D8-BBD7-CCE9431645EC}">
                        <a14:shadowObscured xmlns:a14="http://schemas.microsoft.com/office/drawing/2010/main"/>
                      </a:ext>
                    </a:extLst>
                  </pic:spPr>
                </pic:pic>
              </a:graphicData>
            </a:graphic>
          </wp:inline>
        </w:drawing>
      </w:r>
    </w:p>
    <w:p w14:paraId="76CC84BC" w14:textId="7496C66D" w:rsidR="004C7D58" w:rsidRPr="007802BC" w:rsidRDefault="004C7D58" w:rsidP="00683A84">
      <w:pPr>
        <w:pStyle w:val="CETCaption"/>
        <w:spacing w:before="120"/>
        <w:rPr>
          <w:rStyle w:val="CETCaptionCarattere"/>
          <w:i/>
        </w:rPr>
      </w:pPr>
      <w:bookmarkStart w:id="5" w:name="_Ref183100225"/>
      <w:r w:rsidRPr="007802BC">
        <w:t xml:space="preserve">Figure </w:t>
      </w:r>
      <w:r w:rsidRPr="007802BC">
        <w:fldChar w:fldCharType="begin"/>
      </w:r>
      <w:r w:rsidRPr="007802BC">
        <w:instrText xml:space="preserve"> SEQ Figure \* ARABIC </w:instrText>
      </w:r>
      <w:r w:rsidRPr="007802BC">
        <w:fldChar w:fldCharType="separate"/>
      </w:r>
      <w:r w:rsidR="002D1D0F" w:rsidRPr="007802BC">
        <w:rPr>
          <w:noProof/>
        </w:rPr>
        <w:t>4</w:t>
      </w:r>
      <w:r w:rsidRPr="007802BC">
        <w:fldChar w:fldCharType="end"/>
      </w:r>
      <w:bookmarkEnd w:id="5"/>
      <w:r w:rsidRPr="007802BC">
        <w:t>.</w:t>
      </w:r>
      <w:r w:rsidRPr="007802BC">
        <w:rPr>
          <w:rStyle w:val="CETCaptionCarattere"/>
          <w:i/>
        </w:rPr>
        <w:t xml:space="preserve"> </w:t>
      </w:r>
      <w:r w:rsidR="005E63F4" w:rsidRPr="007802BC">
        <w:rPr>
          <w:rStyle w:val="CETCaptionCarattere"/>
          <w:i/>
        </w:rPr>
        <w:t>Overall failure probability of each tank</w:t>
      </w:r>
      <w:r w:rsidR="005E63F4" w:rsidRPr="007802BC">
        <w:t xml:space="preserve"> </w:t>
      </w:r>
      <w:r w:rsidR="005E63F4" w:rsidRPr="007802BC">
        <w:rPr>
          <w:rStyle w:val="CETCaptionCarattere"/>
          <w:i/>
        </w:rPr>
        <w:t>for the two cases defined in Section 3.</w:t>
      </w:r>
    </w:p>
    <w:p w14:paraId="4FB10653" w14:textId="5F1BB18C" w:rsidR="00F53FC0" w:rsidRPr="007802BC" w:rsidRDefault="00F53FC0" w:rsidP="00F53FC0">
      <w:pPr>
        <w:pStyle w:val="CETBodytext"/>
      </w:pPr>
      <w:r w:rsidRPr="007802BC">
        <w:t xml:space="preserve">The overall failure probability is a vulnerability measure that accounts for all possible branches of the dynamic event tree in which the tank fails. As can be observed from the figure, the overall failure probability decreases </w:t>
      </w:r>
      <w:r w:rsidRPr="007802BC">
        <w:lastRenderedPageBreak/>
        <w:t>considerably when including safety systems in the assessment. Indeed, the value is halved when considering T1, and the reduction is even greater concerning the other tanks, reaching very low values for the tanks furthest from the wildfire.</w:t>
      </w:r>
      <w:r w:rsidR="00692357" w:rsidRPr="007802BC">
        <w:t xml:space="preserve"> </w:t>
      </w:r>
    </w:p>
    <w:p w14:paraId="19AE52F3" w14:textId="5DF768D0" w:rsidR="00F53FC0" w:rsidRPr="007802BC" w:rsidRDefault="00F53FC0" w:rsidP="00F53FC0">
      <w:pPr>
        <w:pStyle w:val="CETBodytext"/>
        <w:rPr>
          <w:lang w:val="en-GB"/>
        </w:rPr>
      </w:pPr>
      <w:r w:rsidRPr="007802BC">
        <w:rPr>
          <w:lang w:val="en-GB"/>
        </w:rPr>
        <w:t xml:space="preserve">This trend is reflected in the risk indices, such as the LISR shown in </w:t>
      </w:r>
      <w:r w:rsidRPr="007802BC">
        <w:rPr>
          <w:lang w:val="en-GB"/>
        </w:rPr>
        <w:fldChar w:fldCharType="begin"/>
      </w:r>
      <w:r w:rsidRPr="007802BC">
        <w:rPr>
          <w:lang w:val="en-GB"/>
        </w:rPr>
        <w:instrText xml:space="preserve"> REF _Ref183100996 \h  \* MERGEFORMAT </w:instrText>
      </w:r>
      <w:r w:rsidRPr="007802BC">
        <w:rPr>
          <w:lang w:val="en-GB"/>
        </w:rPr>
      </w:r>
      <w:r w:rsidRPr="007802BC">
        <w:rPr>
          <w:lang w:val="en-GB"/>
        </w:rPr>
        <w:fldChar w:fldCharType="separate"/>
      </w:r>
      <w:r w:rsidRPr="007802BC">
        <w:t xml:space="preserve">Figure </w:t>
      </w:r>
      <w:r w:rsidRPr="007802BC">
        <w:rPr>
          <w:noProof/>
        </w:rPr>
        <w:t>5</w:t>
      </w:r>
      <w:r w:rsidRPr="007802BC">
        <w:rPr>
          <w:lang w:val="en-GB"/>
        </w:rPr>
        <w:fldChar w:fldCharType="end"/>
      </w:r>
      <w:r w:rsidRPr="007802BC">
        <w:rPr>
          <w:lang w:val="en-GB"/>
        </w:rPr>
        <w:t>. Comparing the case in the absence of WDS (panel a) and the presence of WDS (panel b), it can be seen that the area related to LSIR values less than 1</w:t>
      </w:r>
      <w:r w:rsidRPr="007802BC">
        <w:rPr>
          <w:rFonts w:cs="Arial"/>
          <w:lang w:val="en-GB"/>
        </w:rPr>
        <w:t>∙</w:t>
      </w:r>
      <w:r w:rsidRPr="007802BC">
        <w:rPr>
          <w:lang w:val="en-GB"/>
        </w:rPr>
        <w:t>10</w:t>
      </w:r>
      <w:r w:rsidRPr="007802BC">
        <w:rPr>
          <w:vertAlign w:val="superscript"/>
          <w:lang w:val="en-GB"/>
        </w:rPr>
        <w:t>-5</w:t>
      </w:r>
      <w:r w:rsidRPr="007802BC">
        <w:rPr>
          <w:lang w:val="en-GB"/>
        </w:rPr>
        <w:t xml:space="preserve"> y</w:t>
      </w:r>
      <w:r w:rsidRPr="007802BC">
        <w:rPr>
          <w:vertAlign w:val="superscript"/>
          <w:lang w:val="en-GB"/>
        </w:rPr>
        <w:t>-1</w:t>
      </w:r>
      <w:r w:rsidRPr="007802BC">
        <w:rPr>
          <w:lang w:val="en-GB"/>
        </w:rPr>
        <w:t xml:space="preserve"> is comparable. On the contrary, for high-risk values, the area in the case of the presence of WDS is significantly smaller, emphasizing the risk reduction achieved by implementing safety systems. However, it is important to note that the maximum order of magnitude of the LSIR is the same for the two cases.</w:t>
      </w:r>
    </w:p>
    <w:p w14:paraId="088A134E" w14:textId="09316BAA" w:rsidR="00600535" w:rsidRPr="007802BC" w:rsidRDefault="008E3A39" w:rsidP="00683A84">
      <w:pPr>
        <w:pStyle w:val="CETCaption"/>
        <w:spacing w:before="120" w:after="120"/>
      </w:pPr>
      <w:r w:rsidRPr="007802BC">
        <w:rPr>
          <w:noProof/>
        </w:rPr>
        <w:drawing>
          <wp:inline distT="0" distB="0" distL="0" distR="0" wp14:anchorId="47FC100E" wp14:editId="0E54CF6C">
            <wp:extent cx="4212000" cy="2500130"/>
            <wp:effectExtent l="0" t="0" r="0"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18">
                      <a:extLst>
                        <a:ext uri="{96DAC541-7B7A-43D3-8B79-37D633B846F1}">
                          <asvg:svgBlip xmlns:asvg="http://schemas.microsoft.com/office/drawing/2016/SVG/main" r:embed="rId19"/>
                        </a:ext>
                      </a:extLst>
                    </a:blip>
                    <a:stretch>
                      <a:fillRect/>
                    </a:stretch>
                  </pic:blipFill>
                  <pic:spPr>
                    <a:xfrm>
                      <a:off x="0" y="0"/>
                      <a:ext cx="4212000" cy="2500130"/>
                    </a:xfrm>
                    <a:prstGeom prst="rect">
                      <a:avLst/>
                    </a:prstGeom>
                  </pic:spPr>
                </pic:pic>
              </a:graphicData>
            </a:graphic>
          </wp:inline>
        </w:drawing>
      </w:r>
    </w:p>
    <w:p w14:paraId="65E73FAD" w14:textId="61A708C4" w:rsidR="00600535" w:rsidRPr="007802BC" w:rsidRDefault="005B3837" w:rsidP="00683A84">
      <w:pPr>
        <w:pStyle w:val="CETCaption"/>
        <w:spacing w:before="120"/>
      </w:pPr>
      <w:bookmarkStart w:id="6" w:name="_Ref183100996"/>
      <w:r w:rsidRPr="007802BC">
        <w:t xml:space="preserve">Figure </w:t>
      </w:r>
      <w:r w:rsidRPr="007802BC">
        <w:fldChar w:fldCharType="begin"/>
      </w:r>
      <w:r w:rsidRPr="007802BC">
        <w:instrText xml:space="preserve"> SEQ Figure \* ARABIC </w:instrText>
      </w:r>
      <w:r w:rsidRPr="007802BC">
        <w:fldChar w:fldCharType="separate"/>
      </w:r>
      <w:r w:rsidR="002D1D0F" w:rsidRPr="007802BC">
        <w:rPr>
          <w:noProof/>
        </w:rPr>
        <w:t>5</w:t>
      </w:r>
      <w:r w:rsidRPr="007802BC">
        <w:fldChar w:fldCharType="end"/>
      </w:r>
      <w:bookmarkEnd w:id="6"/>
      <w:r w:rsidRPr="007802BC">
        <w:t>.</w:t>
      </w:r>
      <w:r w:rsidR="00600535" w:rsidRPr="007802BC">
        <w:rPr>
          <w:rStyle w:val="CETCaptionCarattere"/>
          <w:i/>
        </w:rPr>
        <w:t xml:space="preserve"> </w:t>
      </w:r>
      <w:r w:rsidR="007F66DC" w:rsidRPr="007802BC">
        <w:rPr>
          <w:rStyle w:val="CETCaptionCarattere"/>
          <w:i/>
        </w:rPr>
        <w:t>Local-Specific Individual Risk (LSIR) of the wildfire-induced primary Natech scenarios and the related domino effects considering the absence (a) and the presence (b) of water deluge systems protecting tanks.</w:t>
      </w:r>
    </w:p>
    <w:p w14:paraId="16D2A2FC" w14:textId="2F4245BE" w:rsidR="00CA078D" w:rsidRPr="007802BC" w:rsidRDefault="00C11C20" w:rsidP="00CA078D">
      <w:pPr>
        <w:pStyle w:val="CETBodytext"/>
      </w:pPr>
      <w:r w:rsidRPr="007802BC">
        <w:t xml:space="preserve">A similar conclusion can be derived by observing societal risk figures reported in </w:t>
      </w:r>
      <w:r w:rsidRPr="007802BC">
        <w:fldChar w:fldCharType="begin"/>
      </w:r>
      <w:r w:rsidRPr="007802BC">
        <w:instrText xml:space="preserve"> REF _Ref183102168 \h </w:instrText>
      </w:r>
      <w:r w:rsidR="00EE2929" w:rsidRPr="007802BC">
        <w:instrText xml:space="preserve"> \* MERGEFORMAT </w:instrText>
      </w:r>
      <w:r w:rsidRPr="007802BC">
        <w:fldChar w:fldCharType="separate"/>
      </w:r>
      <w:r w:rsidR="002D1D0F" w:rsidRPr="007802BC">
        <w:t xml:space="preserve">Figure </w:t>
      </w:r>
      <w:r w:rsidR="002D1D0F" w:rsidRPr="007802BC">
        <w:rPr>
          <w:noProof/>
        </w:rPr>
        <w:t>6</w:t>
      </w:r>
      <w:r w:rsidRPr="007802BC">
        <w:fldChar w:fldCharType="end"/>
      </w:r>
      <w:r w:rsidR="00D74AB2" w:rsidRPr="007802BC">
        <w:t xml:space="preserve">, namely </w:t>
      </w:r>
      <w:r w:rsidRPr="007802BC">
        <w:t xml:space="preserve">the F/N curves (panel a) and </w:t>
      </w:r>
      <w:r w:rsidR="00D74AB2" w:rsidRPr="007802BC">
        <w:t xml:space="preserve">the </w:t>
      </w:r>
      <w:r w:rsidRPr="007802BC">
        <w:t xml:space="preserve">risk indexes </w:t>
      </w:r>
      <w:r w:rsidR="00746545" w:rsidRPr="007802BC">
        <w:t xml:space="preserve">(panel b). </w:t>
      </w:r>
      <w:r w:rsidR="00F30016" w:rsidRPr="007802BC">
        <w:t xml:space="preserve">A reduction of more than an order of magnitude is achieved when accounting for the presence of WDS on the tanks. The most significant effect is observed in the risk values associated with </w:t>
      </w:r>
      <w:r w:rsidR="004F76C7" w:rsidRPr="007802BC">
        <w:t xml:space="preserve">a </w:t>
      </w:r>
      <w:r w:rsidR="00F30016" w:rsidRPr="007802BC">
        <w:t xml:space="preserve">high number of fatalities, as illustrated in </w:t>
      </w:r>
      <w:r w:rsidR="004F76C7" w:rsidRPr="007802BC">
        <w:fldChar w:fldCharType="begin"/>
      </w:r>
      <w:r w:rsidR="004F76C7" w:rsidRPr="007802BC">
        <w:instrText xml:space="preserve"> REF _Ref183102168 \h </w:instrText>
      </w:r>
      <w:r w:rsidR="00EE2929" w:rsidRPr="007802BC">
        <w:instrText xml:space="preserve"> \* MERGEFORMAT </w:instrText>
      </w:r>
      <w:r w:rsidR="004F76C7" w:rsidRPr="007802BC">
        <w:fldChar w:fldCharType="separate"/>
      </w:r>
      <w:r w:rsidR="002D1D0F" w:rsidRPr="007802BC">
        <w:t xml:space="preserve">Figure </w:t>
      </w:r>
      <w:r w:rsidR="002D1D0F" w:rsidRPr="007802BC">
        <w:rPr>
          <w:noProof/>
        </w:rPr>
        <w:t>6</w:t>
      </w:r>
      <w:r w:rsidR="004F76C7" w:rsidRPr="007802BC">
        <w:fldChar w:fldCharType="end"/>
      </w:r>
      <w:r w:rsidR="00F30016" w:rsidRPr="007802BC">
        <w:t xml:space="preserve">-a. This is also reflected in the difference between the Expectation Value metrics, an indicator that assigns greater weight to scenarios involving a </w:t>
      </w:r>
      <w:r w:rsidR="006E1E51" w:rsidRPr="007802BC">
        <w:t xml:space="preserve">high </w:t>
      </w:r>
      <w:r w:rsidR="00F30016" w:rsidRPr="007802BC">
        <w:t xml:space="preserve">number of </w:t>
      </w:r>
      <w:r w:rsidR="008250C1" w:rsidRPr="007802BC">
        <w:t>fatalities</w:t>
      </w:r>
      <w:r w:rsidR="00F30016" w:rsidRPr="007802BC">
        <w:t xml:space="preserve">. This result </w:t>
      </w:r>
      <w:r w:rsidR="00D74AB2" w:rsidRPr="007802BC">
        <w:t>is in line</w:t>
      </w:r>
      <w:r w:rsidR="00F30016" w:rsidRPr="007802BC">
        <w:t xml:space="preserve"> with </w:t>
      </w:r>
      <w:r w:rsidR="00D74AB2" w:rsidRPr="007802BC">
        <w:t xml:space="preserve">the </w:t>
      </w:r>
      <w:r w:rsidR="00F30016" w:rsidRPr="007802BC">
        <w:t>pr</w:t>
      </w:r>
      <w:r w:rsidR="00D74AB2" w:rsidRPr="007802BC">
        <w:t>evious</w:t>
      </w:r>
      <w:r w:rsidR="00F30016" w:rsidRPr="007802BC">
        <w:t xml:space="preserve"> considerations. </w:t>
      </w:r>
      <w:r w:rsidR="006E1E51" w:rsidRPr="007802BC">
        <w:t>Indeed, t</w:t>
      </w:r>
      <w:r w:rsidR="00F30016" w:rsidRPr="007802BC">
        <w:t xml:space="preserve">he modest failure probability of tanks located </w:t>
      </w:r>
      <w:r w:rsidR="00C21A46" w:rsidRPr="007802BC">
        <w:t>away</w:t>
      </w:r>
      <w:r w:rsidR="00F30016" w:rsidRPr="007802BC">
        <w:t xml:space="preserve"> from the wildfire, when</w:t>
      </w:r>
      <w:r w:rsidR="00D74AB2" w:rsidRPr="007802BC">
        <w:t xml:space="preserve"> the</w:t>
      </w:r>
      <w:r w:rsidR="00F30016" w:rsidRPr="007802BC">
        <w:t xml:space="preserve"> WDS </w:t>
      </w:r>
      <w:r w:rsidR="006E1E51" w:rsidRPr="007802BC">
        <w:t>is</w:t>
      </w:r>
      <w:r w:rsidR="00F30016" w:rsidRPr="007802BC">
        <w:t xml:space="preserve"> present, significantly reduces the likelihood of scenarios involving multiple tanks, which are typically associated with a high number of fatalities.</w:t>
      </w:r>
      <w:r w:rsidR="009C7715" w:rsidRPr="007802BC">
        <w:t xml:space="preserve"> </w:t>
      </w:r>
      <w:r w:rsidR="0016088C" w:rsidRPr="007802BC">
        <w:t>Eventually</w:t>
      </w:r>
      <w:r w:rsidR="009C7715" w:rsidRPr="007802BC">
        <w:t xml:space="preserve">, the population density considered in the analysis </w:t>
      </w:r>
      <w:r w:rsidR="003E422F" w:rsidRPr="007802BC">
        <w:t>represe</w:t>
      </w:r>
      <w:r w:rsidR="00BD4E82" w:rsidRPr="007802BC">
        <w:t>n</w:t>
      </w:r>
      <w:r w:rsidR="003E422F" w:rsidRPr="007802BC">
        <w:t>t</w:t>
      </w:r>
      <w:r w:rsidR="00BD4E82" w:rsidRPr="007802BC">
        <w:t>s</w:t>
      </w:r>
      <w:r w:rsidR="003E422F" w:rsidRPr="007802BC">
        <w:t xml:space="preserve"> a worst-case scenario w</w:t>
      </w:r>
      <w:r w:rsidR="00B27BEC" w:rsidRPr="007802BC">
        <w:t xml:space="preserve">ithout the </w:t>
      </w:r>
      <w:r w:rsidR="003E422F" w:rsidRPr="007802BC">
        <w:t xml:space="preserve">evacuation </w:t>
      </w:r>
      <w:r w:rsidR="00B27BEC" w:rsidRPr="007802BC">
        <w:t xml:space="preserve">of </w:t>
      </w:r>
      <w:r w:rsidR="00776239" w:rsidRPr="007802BC">
        <w:t xml:space="preserve">the site. </w:t>
      </w:r>
      <w:r w:rsidR="0041374D" w:rsidRPr="007802BC">
        <w:t>Indeed, evacuation procedures, especially in interface fires, may not always be effective, as was also demonstrated by the Black Saturday bushfires in Victoria</w:t>
      </w:r>
      <w:r w:rsidR="00645405" w:rsidRPr="007802BC">
        <w:t xml:space="preserve"> (Australia, 2009)</w:t>
      </w:r>
      <w:r w:rsidR="0041374D" w:rsidRPr="007802BC">
        <w:t xml:space="preserve"> </w:t>
      </w:r>
      <w:r w:rsidR="00602DDA" w:rsidRPr="007802BC">
        <w:t>(Haynes</w:t>
      </w:r>
      <w:r w:rsidR="00645405" w:rsidRPr="007802BC">
        <w:t xml:space="preserve"> et al. 2010).</w:t>
      </w:r>
    </w:p>
    <w:p w14:paraId="46BFF111" w14:textId="43112F47" w:rsidR="00CA078D" w:rsidRPr="007802BC" w:rsidRDefault="00AE44BD" w:rsidP="00683A84">
      <w:pPr>
        <w:pStyle w:val="CETCaption"/>
        <w:spacing w:before="120" w:after="120"/>
      </w:pPr>
      <w:r w:rsidRPr="007802BC">
        <w:rPr>
          <w:noProof/>
        </w:rPr>
        <w:drawing>
          <wp:inline distT="0" distB="0" distL="0" distR="0" wp14:anchorId="054F8FA9" wp14:editId="7D2E8767">
            <wp:extent cx="4212000" cy="1458705"/>
            <wp:effectExtent l="0" t="0" r="0" b="8255"/>
            <wp:docPr id="11" name="Elemento gra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mento grafico 11"/>
                    <pic:cNvPicPr/>
                  </pic:nvPicPr>
                  <pic:blipFill rotWithShape="1">
                    <a:blip r:embed="rId20">
                      <a:extLst>
                        <a:ext uri="{96DAC541-7B7A-43D3-8B79-37D633B846F1}">
                          <asvg:svgBlip xmlns:asvg="http://schemas.microsoft.com/office/drawing/2016/SVG/main" r:embed="rId21"/>
                        </a:ext>
                      </a:extLst>
                    </a:blip>
                    <a:srcRect t="1722" r="1183" b="7072"/>
                    <a:stretch/>
                  </pic:blipFill>
                  <pic:spPr bwMode="auto">
                    <a:xfrm>
                      <a:off x="0" y="0"/>
                      <a:ext cx="4212000" cy="1458705"/>
                    </a:xfrm>
                    <a:prstGeom prst="rect">
                      <a:avLst/>
                    </a:prstGeom>
                    <a:ln>
                      <a:noFill/>
                    </a:ln>
                    <a:extLst>
                      <a:ext uri="{53640926-AAD7-44D8-BBD7-CCE9431645EC}">
                        <a14:shadowObscured xmlns:a14="http://schemas.microsoft.com/office/drawing/2010/main"/>
                      </a:ext>
                    </a:extLst>
                  </pic:spPr>
                </pic:pic>
              </a:graphicData>
            </a:graphic>
          </wp:inline>
        </w:drawing>
      </w:r>
    </w:p>
    <w:p w14:paraId="1DD48266" w14:textId="2D8EBBE6" w:rsidR="00CA078D" w:rsidRPr="007802BC" w:rsidRDefault="005B3837" w:rsidP="00683A84">
      <w:pPr>
        <w:pStyle w:val="CETCaption"/>
        <w:spacing w:before="120"/>
        <w:rPr>
          <w:rStyle w:val="CETCaptionCarattere"/>
          <w:i/>
        </w:rPr>
      </w:pPr>
      <w:bookmarkStart w:id="7" w:name="_Ref183102168"/>
      <w:r w:rsidRPr="007802BC">
        <w:t xml:space="preserve">Figure </w:t>
      </w:r>
      <w:r w:rsidRPr="007802BC">
        <w:fldChar w:fldCharType="begin"/>
      </w:r>
      <w:r w:rsidRPr="007802BC">
        <w:instrText xml:space="preserve"> SEQ Figure \* ARABIC </w:instrText>
      </w:r>
      <w:r w:rsidRPr="007802BC">
        <w:fldChar w:fldCharType="separate"/>
      </w:r>
      <w:r w:rsidR="002D1D0F" w:rsidRPr="007802BC">
        <w:rPr>
          <w:noProof/>
        </w:rPr>
        <w:t>6</w:t>
      </w:r>
      <w:r w:rsidRPr="007802BC">
        <w:fldChar w:fldCharType="end"/>
      </w:r>
      <w:bookmarkEnd w:id="7"/>
      <w:r w:rsidRPr="007802BC">
        <w:t>.</w:t>
      </w:r>
      <w:r w:rsidR="00CA078D" w:rsidRPr="007802BC">
        <w:rPr>
          <w:rStyle w:val="CETCaptionCarattere"/>
          <w:i/>
        </w:rPr>
        <w:t xml:space="preserve"> </w:t>
      </w:r>
      <w:r w:rsidR="00D67076" w:rsidRPr="007802BC">
        <w:rPr>
          <w:rStyle w:val="CETCaptionCarattere"/>
          <w:i/>
        </w:rPr>
        <w:t>Societal risk (a) and risk ind</w:t>
      </w:r>
      <w:r w:rsidR="00692357" w:rsidRPr="007802BC">
        <w:rPr>
          <w:rStyle w:val="CETCaptionCarattere"/>
          <w:i/>
        </w:rPr>
        <w:t>ices</w:t>
      </w:r>
      <w:r w:rsidR="00AB7757" w:rsidRPr="007802BC">
        <w:rPr>
          <w:rStyle w:val="CETCaptionCarattere"/>
          <w:i/>
        </w:rPr>
        <w:t xml:space="preserve"> (b) </w:t>
      </w:r>
      <w:r w:rsidR="00632EBC" w:rsidRPr="007802BC">
        <w:rPr>
          <w:rStyle w:val="CETCaptionCarattere"/>
          <w:i/>
        </w:rPr>
        <w:t xml:space="preserve">for the two cases defined in Section 3. </w:t>
      </w:r>
      <w:r w:rsidR="009F2FBA" w:rsidRPr="007802BC">
        <w:rPr>
          <w:rStyle w:val="CETCaptionCarattere"/>
          <w:i/>
        </w:rPr>
        <w:t xml:space="preserve">A uniform population density of </w:t>
      </w:r>
      <w:r w:rsidR="002B2BC0" w:rsidRPr="007802BC">
        <w:rPr>
          <w:rStyle w:val="CETCaptionCarattere"/>
          <w:i/>
        </w:rPr>
        <w:t>5</w:t>
      </w:r>
      <w:r w:rsidR="009F2FBA" w:rsidRPr="007802BC">
        <w:rPr>
          <w:rStyle w:val="CETCaptionCarattere"/>
          <w:i/>
        </w:rPr>
        <w:t>0 people/ha and a presence probability of 60 % were assumed for societal risk calculations.</w:t>
      </w:r>
      <w:r w:rsidR="00632EBC" w:rsidRPr="007802BC">
        <w:rPr>
          <w:rStyle w:val="CETCaptionCarattere"/>
          <w:i/>
        </w:rPr>
        <w:t xml:space="preserve"> </w:t>
      </w:r>
    </w:p>
    <w:p w14:paraId="23AF8294" w14:textId="759F3B80" w:rsidR="00F53FC0" w:rsidRPr="007802BC" w:rsidRDefault="00F53FC0" w:rsidP="00F53FC0">
      <w:pPr>
        <w:pStyle w:val="CETBodytext"/>
      </w:pPr>
      <w:r w:rsidRPr="007802BC">
        <w:t xml:space="preserve">It is important to emphasize that the two cases considered in this study represent worst-case (absence of WDS) and best-case (presence of WDS) risk scenarios. Indeed, the developed methodology considers the action of safety barriers as independent. This assumption is certainly valid when considering passive systems, such as fireproofing. However, in the case of active barriers, interconnections can be present among the systems. As </w:t>
      </w:r>
      <w:r w:rsidRPr="007802BC">
        <w:lastRenderedPageBreak/>
        <w:t>an example, the water demand to properly operate for a prolonged period of time may not be available. Finally, the possible barrier performance depletion due to wildfire, as demonstrated in the case of other natural events (Misuri et al., 2020), has not been accounted for. Even considering the limitations discussed, the present methodology provides a method for considering safety systems in the evaluation of Natech wildfire accidents, taking a step towards a more realistic quantification of risk.</w:t>
      </w:r>
    </w:p>
    <w:p w14:paraId="68D26B83" w14:textId="77777777" w:rsidR="00600535" w:rsidRPr="007802BC" w:rsidRDefault="00600535" w:rsidP="00600535">
      <w:pPr>
        <w:pStyle w:val="CETHeading1"/>
        <w:rPr>
          <w:lang w:val="en-GB"/>
        </w:rPr>
      </w:pPr>
      <w:r w:rsidRPr="007802BC">
        <w:rPr>
          <w:lang w:val="en-GB"/>
        </w:rPr>
        <w:t>Conclusions</w:t>
      </w:r>
    </w:p>
    <w:p w14:paraId="36D0BAB9" w14:textId="23FD4765" w:rsidR="009F5A47" w:rsidRPr="007802BC" w:rsidRDefault="007F1B60" w:rsidP="007F1B60">
      <w:pPr>
        <w:pStyle w:val="CETBodytext"/>
      </w:pPr>
      <w:r w:rsidRPr="007802BC">
        <w:t xml:space="preserve">Climate change and global temperatures </w:t>
      </w:r>
      <w:r w:rsidR="00557B7A" w:rsidRPr="007802BC">
        <w:t xml:space="preserve">rising </w:t>
      </w:r>
      <w:r w:rsidRPr="007802BC">
        <w:t xml:space="preserve">have increased </w:t>
      </w:r>
      <w:r w:rsidR="00857B45" w:rsidRPr="007802BC">
        <w:t xml:space="preserve">the </w:t>
      </w:r>
      <w:r w:rsidRPr="007802BC">
        <w:t>frequency and intensity</w:t>
      </w:r>
      <w:r w:rsidR="00857B45" w:rsidRPr="007802BC">
        <w:t xml:space="preserve"> of wildfires</w:t>
      </w:r>
      <w:r w:rsidRPr="007802BC">
        <w:t xml:space="preserve">, </w:t>
      </w:r>
      <w:r w:rsidR="006F2DF1" w:rsidRPr="007802BC">
        <w:t xml:space="preserve">amplifying the </w:t>
      </w:r>
      <w:r w:rsidRPr="007802BC">
        <w:t xml:space="preserve">risk for human settlements and industrial facilities. </w:t>
      </w:r>
      <w:r w:rsidR="00591451" w:rsidRPr="007802BC">
        <w:t>T</w:t>
      </w:r>
      <w:r w:rsidRPr="007802BC">
        <w:t xml:space="preserve">he presence of hazardous substances </w:t>
      </w:r>
      <w:r w:rsidR="00591451" w:rsidRPr="007802BC">
        <w:t xml:space="preserve">in industrial sites </w:t>
      </w:r>
      <w:r w:rsidR="00517821" w:rsidRPr="007802BC">
        <w:t>intensif</w:t>
      </w:r>
      <w:r w:rsidR="008C04B0" w:rsidRPr="007802BC">
        <w:t>ies</w:t>
      </w:r>
      <w:r w:rsidRPr="007802BC">
        <w:t xml:space="preserve"> the </w:t>
      </w:r>
      <w:r w:rsidR="007422B6" w:rsidRPr="007802BC">
        <w:t xml:space="preserve">problem </w:t>
      </w:r>
      <w:r w:rsidR="001B13F7" w:rsidRPr="007802BC">
        <w:t xml:space="preserve">with the possible </w:t>
      </w:r>
      <w:r w:rsidR="008C04B0" w:rsidRPr="007802BC">
        <w:t>occurr</w:t>
      </w:r>
      <w:r w:rsidR="00857B45" w:rsidRPr="007802BC">
        <w:t>e</w:t>
      </w:r>
      <w:r w:rsidR="008C04B0" w:rsidRPr="007802BC">
        <w:t xml:space="preserve">nce </w:t>
      </w:r>
      <w:r w:rsidR="001B13F7" w:rsidRPr="007802BC">
        <w:t xml:space="preserve">of </w:t>
      </w:r>
      <w:r w:rsidR="007422B6" w:rsidRPr="007802BC">
        <w:t>technological cascading scenario</w:t>
      </w:r>
      <w:r w:rsidR="001B13F7" w:rsidRPr="007802BC">
        <w:t>s</w:t>
      </w:r>
      <w:r w:rsidR="008C04B0" w:rsidRPr="007802BC">
        <w:t>. E</w:t>
      </w:r>
      <w:r w:rsidRPr="007802BC">
        <w:t xml:space="preserve">xisting </w:t>
      </w:r>
      <w:r w:rsidR="00BF23C0" w:rsidRPr="007802BC">
        <w:t xml:space="preserve">clearance areas </w:t>
      </w:r>
      <w:r w:rsidRPr="007802BC">
        <w:t xml:space="preserve">and safety barriers are often insufficient to prevent </w:t>
      </w:r>
      <w:r w:rsidR="007422B6" w:rsidRPr="007802BC">
        <w:t>them</w:t>
      </w:r>
      <w:r w:rsidRPr="007802BC">
        <w:t>.</w:t>
      </w:r>
      <w:r w:rsidR="00BF23C0" w:rsidRPr="007802BC">
        <w:t xml:space="preserve"> </w:t>
      </w:r>
      <w:r w:rsidR="001B13F7" w:rsidRPr="007802BC">
        <w:t>Thus</w:t>
      </w:r>
      <w:r w:rsidRPr="007802BC">
        <w:t xml:space="preserve">, a methodology to evaluate industrial risk from wildfires </w:t>
      </w:r>
      <w:r w:rsidR="006F2DF1" w:rsidRPr="007802BC">
        <w:t>was developed</w:t>
      </w:r>
      <w:r w:rsidRPr="007802BC">
        <w:t xml:space="preserve">, considering safety measures and </w:t>
      </w:r>
      <w:r w:rsidR="008C04B0" w:rsidRPr="007802BC">
        <w:t xml:space="preserve">capturing </w:t>
      </w:r>
      <w:r w:rsidRPr="007802BC">
        <w:t>the dynamic behavior of wildfires. The methodology was tested on a case study, including a benchmark scenario without safety barriers.</w:t>
      </w:r>
      <w:r w:rsidR="00BF23C0" w:rsidRPr="007802BC">
        <w:t xml:space="preserve"> </w:t>
      </w:r>
      <w:r w:rsidRPr="007802BC">
        <w:t xml:space="preserve">Results show that safety barriers significantly reduce risk by lowering the probability of tank failures, especially for those </w:t>
      </w:r>
      <w:r w:rsidR="00A27761" w:rsidRPr="007802BC">
        <w:t>away</w:t>
      </w:r>
      <w:r w:rsidRPr="007802BC">
        <w:t xml:space="preserve"> from the facility, and by </w:t>
      </w:r>
      <w:r w:rsidR="008C04B0" w:rsidRPr="007802BC">
        <w:t xml:space="preserve">decreasing </w:t>
      </w:r>
      <w:r w:rsidRPr="007802BC">
        <w:t xml:space="preserve">the likelihood of simultaneous failures. This, in turn, </w:t>
      </w:r>
      <w:r w:rsidR="008C04B0" w:rsidRPr="007802BC">
        <w:t xml:space="preserve">limits </w:t>
      </w:r>
      <w:r w:rsidRPr="007802BC">
        <w:t>the extent of high local-specific individual risk areas.</w:t>
      </w:r>
      <w:r w:rsidR="00BF23C0" w:rsidRPr="007802BC">
        <w:t xml:space="preserve"> </w:t>
      </w:r>
      <w:r w:rsidR="008C04B0" w:rsidRPr="007802BC">
        <w:t>D</w:t>
      </w:r>
      <w:r w:rsidR="00A27761" w:rsidRPr="007802BC">
        <w:t>es</w:t>
      </w:r>
      <w:r w:rsidR="008C04B0" w:rsidRPr="007802BC">
        <w:t xml:space="preserve">pite the simplifying assumption of </w:t>
      </w:r>
      <w:r w:rsidR="00CD7419" w:rsidRPr="007802BC">
        <w:t>considering</w:t>
      </w:r>
      <w:r w:rsidRPr="007802BC">
        <w:t xml:space="preserve"> optimal barrier performance without accounting for potential failures during wildfires, this study </w:t>
      </w:r>
      <w:r w:rsidR="008C04B0" w:rsidRPr="007802BC">
        <w:t>can be considered</w:t>
      </w:r>
      <w:r w:rsidRPr="007802BC">
        <w:t xml:space="preserve"> a step toward</w:t>
      </w:r>
      <w:r w:rsidR="00CD7419" w:rsidRPr="007802BC">
        <w:t>s</w:t>
      </w:r>
      <w:r w:rsidRPr="007802BC">
        <w:t xml:space="preserve"> more realistic risk assessments for Natech </w:t>
      </w:r>
      <w:r w:rsidR="006F2DF1" w:rsidRPr="007802BC">
        <w:t>accidents</w:t>
      </w:r>
      <w:r w:rsidRPr="007802BC">
        <w:t xml:space="preserve"> triggered by wildfires. It highlights the critical role of safety barriers and provides a foundation for improving industrial resilience and risk management strategies.</w:t>
      </w:r>
    </w:p>
    <w:p w14:paraId="4F1327F8" w14:textId="77777777" w:rsidR="00600535" w:rsidRPr="007802BC" w:rsidRDefault="00600535" w:rsidP="00600535">
      <w:pPr>
        <w:pStyle w:val="CETReference"/>
      </w:pPr>
      <w:r w:rsidRPr="007802BC">
        <w:t>References</w:t>
      </w:r>
    </w:p>
    <w:p w14:paraId="6346D5D8" w14:textId="2BBC4A9E" w:rsidR="00E67F3A" w:rsidRPr="007802BC" w:rsidRDefault="00E67F3A" w:rsidP="00E67F3A">
      <w:pPr>
        <w:pStyle w:val="CETReferencetext"/>
      </w:pPr>
      <w:r w:rsidRPr="007802BC">
        <w:t xml:space="preserve">CRED, 2020, EM-DAT: The Emergency Events Database. Centre for Research on the Epidemiology of Disasters, Université </w:t>
      </w:r>
      <w:proofErr w:type="spellStart"/>
      <w:r w:rsidRPr="007802BC">
        <w:t>Catholique</w:t>
      </w:r>
      <w:proofErr w:type="spellEnd"/>
      <w:r w:rsidRPr="007802BC">
        <w:t xml:space="preserve"> de Louvain, www.emdat.be</w:t>
      </w:r>
    </w:p>
    <w:p w14:paraId="2F869A48" w14:textId="3AC25933" w:rsidR="00E67F3A" w:rsidRPr="007802BC" w:rsidRDefault="00E67F3A" w:rsidP="00E67F3A">
      <w:pPr>
        <w:pStyle w:val="CETReferencetext"/>
      </w:pPr>
      <w:proofErr w:type="spellStart"/>
      <w:r w:rsidRPr="007802BC">
        <w:t>Guyette</w:t>
      </w:r>
      <w:proofErr w:type="spellEnd"/>
      <w:r w:rsidRPr="007802BC">
        <w:t xml:space="preserve"> R.P., Stambaugh M.C., Dey D.C., </w:t>
      </w:r>
      <w:proofErr w:type="spellStart"/>
      <w:r w:rsidRPr="007802BC">
        <w:t>Muzika</w:t>
      </w:r>
      <w:proofErr w:type="spellEnd"/>
      <w:r w:rsidRPr="007802BC">
        <w:t xml:space="preserve"> R.M., 2012, Predicting Fire Frequency with Chemistry and Climate. Ecosystems, 15</w:t>
      </w:r>
      <w:r w:rsidR="005D7AC3" w:rsidRPr="007802BC">
        <w:t xml:space="preserve">, </w:t>
      </w:r>
      <w:r w:rsidRPr="007802BC">
        <w:t>2, 322–335.</w:t>
      </w:r>
    </w:p>
    <w:p w14:paraId="093F58D6" w14:textId="708F21B0" w:rsidR="004D0BC1" w:rsidRPr="007802BC" w:rsidRDefault="004D0BC1" w:rsidP="00E67F3A">
      <w:pPr>
        <w:pStyle w:val="CETReferencetext"/>
      </w:pPr>
      <w:r w:rsidRPr="007802BC">
        <w:t xml:space="preserve">Haynes K., </w:t>
      </w:r>
      <w:proofErr w:type="spellStart"/>
      <w:r w:rsidRPr="007802BC">
        <w:t>Handmer</w:t>
      </w:r>
      <w:proofErr w:type="spellEnd"/>
      <w:r w:rsidRPr="007802BC">
        <w:t xml:space="preserve"> J., </w:t>
      </w:r>
      <w:proofErr w:type="spellStart"/>
      <w:r w:rsidRPr="007802BC">
        <w:t>McAneney</w:t>
      </w:r>
      <w:proofErr w:type="spellEnd"/>
      <w:r w:rsidRPr="007802BC">
        <w:t xml:space="preserve"> J., Tibbits A., Coates L., 2010, Australian bushfire fatalities 1900–2008: exploring trends in relation to the ‘Prepare, stay and defend or leave early’ policy. Environmental Science &amp; Policy, 13(3), 185–194.</w:t>
      </w:r>
    </w:p>
    <w:p w14:paraId="59D99BB0" w14:textId="03249B50" w:rsidR="00E67F3A" w:rsidRPr="007802BC" w:rsidRDefault="00E67F3A" w:rsidP="00E67F3A">
      <w:pPr>
        <w:pStyle w:val="CETReferencetext"/>
      </w:pPr>
      <w:r w:rsidRPr="007802BC">
        <w:t xml:space="preserve">Landucci G., </w:t>
      </w:r>
      <w:proofErr w:type="spellStart"/>
      <w:r w:rsidRPr="007802BC">
        <w:t>Argenti</w:t>
      </w:r>
      <w:proofErr w:type="spellEnd"/>
      <w:r w:rsidRPr="007802BC">
        <w:t xml:space="preserve"> F., Tugnoli A., Cozzani V.</w:t>
      </w:r>
      <w:r w:rsidR="005D7AC3" w:rsidRPr="007802BC">
        <w:t>,</w:t>
      </w:r>
      <w:r w:rsidRPr="007802BC">
        <w:t xml:space="preserve"> 2015</w:t>
      </w:r>
      <w:r w:rsidR="005D7AC3" w:rsidRPr="007802BC">
        <w:t>,</w:t>
      </w:r>
      <w:r w:rsidRPr="007802BC">
        <w:t xml:space="preserve"> Quantitative assessment of safety barrier performance in the prevention of domino scenarios triggered by fire</w:t>
      </w:r>
      <w:r w:rsidR="00610C1D" w:rsidRPr="007802BC">
        <w:t>,</w:t>
      </w:r>
      <w:r w:rsidRPr="007802BC">
        <w:t xml:space="preserve"> Reliability Engineering &amp; System Safety, 143, 30–43.</w:t>
      </w:r>
    </w:p>
    <w:p w14:paraId="0C369F7C" w14:textId="0F7BC173" w:rsidR="00E67F3A" w:rsidRPr="007802BC" w:rsidRDefault="00E67F3A" w:rsidP="00E67F3A">
      <w:pPr>
        <w:pStyle w:val="CETReferencetext"/>
      </w:pPr>
      <w:r w:rsidRPr="007802BC">
        <w:t>Mannan S.</w:t>
      </w:r>
      <w:r w:rsidR="00610C1D" w:rsidRPr="007802BC">
        <w:t xml:space="preserve">, </w:t>
      </w:r>
      <w:r w:rsidRPr="007802BC">
        <w:t>2005. Lees’ loss prevention in the process industries</w:t>
      </w:r>
      <w:r w:rsidR="00610C1D" w:rsidRPr="007802BC">
        <w:t>, Elsevier Butterworth-Heinemann,</w:t>
      </w:r>
      <w:r w:rsidRPr="007802BC">
        <w:t xml:space="preserve"> Oxford, UK.</w:t>
      </w:r>
    </w:p>
    <w:p w14:paraId="269104C8" w14:textId="59997FD2" w:rsidR="00E67F3A" w:rsidRPr="007802BC" w:rsidRDefault="00E67F3A" w:rsidP="00E67F3A">
      <w:pPr>
        <w:pStyle w:val="CETReferencetext"/>
      </w:pPr>
      <w:r w:rsidRPr="007802BC">
        <w:t xml:space="preserve">Manzello S.L., </w:t>
      </w:r>
      <w:proofErr w:type="spellStart"/>
      <w:r w:rsidRPr="007802BC">
        <w:t>Blanchi</w:t>
      </w:r>
      <w:proofErr w:type="spellEnd"/>
      <w:r w:rsidRPr="007802BC">
        <w:t xml:space="preserve"> R., </w:t>
      </w:r>
      <w:proofErr w:type="spellStart"/>
      <w:r w:rsidRPr="007802BC">
        <w:t>Gollner</w:t>
      </w:r>
      <w:proofErr w:type="spellEnd"/>
      <w:r w:rsidRPr="007802BC">
        <w:t xml:space="preserve"> M.J., Gorham D., McAllister S., Pastor E., Planas E., </w:t>
      </w:r>
      <w:proofErr w:type="spellStart"/>
      <w:r w:rsidRPr="007802BC">
        <w:t>Reszka</w:t>
      </w:r>
      <w:proofErr w:type="spellEnd"/>
      <w:r w:rsidRPr="007802BC">
        <w:t xml:space="preserve"> P., Suzuki S.</w:t>
      </w:r>
      <w:r w:rsidR="00610C1D" w:rsidRPr="007802BC">
        <w:t>,</w:t>
      </w:r>
      <w:r w:rsidRPr="007802BC">
        <w:t xml:space="preserve"> 2018</w:t>
      </w:r>
      <w:r w:rsidR="00610C1D" w:rsidRPr="007802BC">
        <w:t>,</w:t>
      </w:r>
      <w:r w:rsidRPr="007802BC">
        <w:t xml:space="preserve"> Summary of workshop large outdoor fires and the built environment</w:t>
      </w:r>
      <w:r w:rsidR="00610C1D" w:rsidRPr="007802BC">
        <w:t>,</w:t>
      </w:r>
      <w:r w:rsidRPr="007802BC">
        <w:t xml:space="preserve"> Fire Safety Journal, 100, 76–92. </w:t>
      </w:r>
    </w:p>
    <w:p w14:paraId="247130FE" w14:textId="4C0417A7" w:rsidR="00E67F3A" w:rsidRPr="007802BC" w:rsidRDefault="00E67F3A" w:rsidP="00E67F3A">
      <w:pPr>
        <w:pStyle w:val="CETReferencetext"/>
      </w:pPr>
      <w:r w:rsidRPr="007802BC">
        <w:rPr>
          <w:lang w:val="en-US"/>
        </w:rPr>
        <w:t>Misuri A., Landucci G., Cozzani V.</w:t>
      </w:r>
      <w:r w:rsidR="00610C1D" w:rsidRPr="007802BC">
        <w:rPr>
          <w:lang w:val="en-US"/>
        </w:rPr>
        <w:t xml:space="preserve">, </w:t>
      </w:r>
      <w:r w:rsidRPr="007802BC">
        <w:rPr>
          <w:lang w:val="en-US"/>
        </w:rPr>
        <w:t>2020</w:t>
      </w:r>
      <w:r w:rsidR="00610C1D" w:rsidRPr="007802BC">
        <w:rPr>
          <w:lang w:val="en-US"/>
        </w:rPr>
        <w:t>,</w:t>
      </w:r>
      <w:r w:rsidRPr="007802BC">
        <w:rPr>
          <w:lang w:val="en-US"/>
        </w:rPr>
        <w:t xml:space="preserve"> </w:t>
      </w:r>
      <w:r w:rsidRPr="007802BC">
        <w:t>Assessment of safety barrier performance in Natech scenarios</w:t>
      </w:r>
      <w:r w:rsidR="00610C1D" w:rsidRPr="007802BC">
        <w:t>,</w:t>
      </w:r>
      <w:r w:rsidRPr="007802BC">
        <w:t xml:space="preserve"> Reliability Engineering &amp; System Safety, 193, 106597.</w:t>
      </w:r>
    </w:p>
    <w:p w14:paraId="25714CED" w14:textId="5D1DDE74" w:rsidR="00E67F3A" w:rsidRPr="007802BC" w:rsidRDefault="00E67F3A" w:rsidP="00E67F3A">
      <w:pPr>
        <w:pStyle w:val="CETReferencetext"/>
      </w:pPr>
      <w:r w:rsidRPr="007802BC">
        <w:rPr>
          <w:lang w:val="en-US"/>
        </w:rPr>
        <w:t>Misuri A., Ricci F., Sorichetti R., Cozzani V.</w:t>
      </w:r>
      <w:r w:rsidR="00610C1D" w:rsidRPr="007802BC">
        <w:rPr>
          <w:lang w:val="en-US"/>
        </w:rPr>
        <w:t xml:space="preserve">, </w:t>
      </w:r>
      <w:r w:rsidRPr="007802BC">
        <w:rPr>
          <w:lang w:val="en-US"/>
        </w:rPr>
        <w:t>2023</w:t>
      </w:r>
      <w:r w:rsidR="00610C1D" w:rsidRPr="007802BC">
        <w:rPr>
          <w:lang w:val="en-US"/>
        </w:rPr>
        <w:t>,</w:t>
      </w:r>
      <w:r w:rsidRPr="007802BC">
        <w:rPr>
          <w:lang w:val="en-US"/>
        </w:rPr>
        <w:t xml:space="preserve"> </w:t>
      </w:r>
      <w:r w:rsidRPr="007802BC">
        <w:t>The Effect of Safety Barrier Degradation on the Severity of Primary Natech Scenarios</w:t>
      </w:r>
      <w:r w:rsidR="00610C1D" w:rsidRPr="007802BC">
        <w:t>,</w:t>
      </w:r>
      <w:r w:rsidRPr="007802BC">
        <w:t xml:space="preserve"> Reliability Engineering &amp; System Safety, 235, 109272.</w:t>
      </w:r>
    </w:p>
    <w:p w14:paraId="06A0F2F9" w14:textId="4E9CF579" w:rsidR="00E67F3A" w:rsidRPr="007802BC" w:rsidRDefault="00E67F3A" w:rsidP="00E67F3A">
      <w:pPr>
        <w:pStyle w:val="CETReferencetext"/>
      </w:pPr>
      <w:r w:rsidRPr="007802BC">
        <w:t xml:space="preserve">Planas E., </w:t>
      </w:r>
      <w:proofErr w:type="spellStart"/>
      <w:r w:rsidRPr="007802BC">
        <w:t>Paugam</w:t>
      </w:r>
      <w:proofErr w:type="spellEnd"/>
      <w:r w:rsidRPr="007802BC">
        <w:t xml:space="preserve"> R., </w:t>
      </w:r>
      <w:proofErr w:type="spellStart"/>
      <w:r w:rsidRPr="007802BC">
        <w:t>Àgueda</w:t>
      </w:r>
      <w:proofErr w:type="spellEnd"/>
      <w:r w:rsidRPr="007802BC">
        <w:t xml:space="preserve"> A., Vacca P., Pastor E.</w:t>
      </w:r>
      <w:r w:rsidR="008904E8" w:rsidRPr="007802BC">
        <w:t>,</w:t>
      </w:r>
      <w:r w:rsidRPr="007802BC">
        <w:t xml:space="preserve"> 2023</w:t>
      </w:r>
      <w:r w:rsidR="008904E8" w:rsidRPr="007802BC">
        <w:t>,</w:t>
      </w:r>
      <w:r w:rsidRPr="007802BC">
        <w:t xml:space="preserve"> Fires at the wildland-industrial interface. Is there an emerging </w:t>
      </w:r>
      <w:proofErr w:type="gramStart"/>
      <w:r w:rsidRPr="007802BC">
        <w:t>problem?</w:t>
      </w:r>
      <w:r w:rsidR="008904E8" w:rsidRPr="007802BC">
        <w:t>,</w:t>
      </w:r>
      <w:proofErr w:type="gramEnd"/>
      <w:r w:rsidRPr="007802BC">
        <w:t xml:space="preserve"> Fire Safety Journal, 141, 103906. </w:t>
      </w:r>
    </w:p>
    <w:p w14:paraId="6795E9E2" w14:textId="7535C755" w:rsidR="00E67F3A" w:rsidRPr="007802BC" w:rsidRDefault="00E67F3A" w:rsidP="00E67F3A">
      <w:pPr>
        <w:pStyle w:val="CETReferencetext"/>
      </w:pPr>
      <w:r w:rsidRPr="007802BC">
        <w:rPr>
          <w:lang w:val="en-US"/>
        </w:rPr>
        <w:t>Ricci F., Casson Moreno V., Cozzani V.</w:t>
      </w:r>
      <w:r w:rsidR="008904E8" w:rsidRPr="007802BC">
        <w:rPr>
          <w:lang w:val="en-US"/>
        </w:rPr>
        <w:t>,</w:t>
      </w:r>
      <w:r w:rsidRPr="007802BC">
        <w:rPr>
          <w:lang w:val="en-US"/>
        </w:rPr>
        <w:t xml:space="preserve"> 2021</w:t>
      </w:r>
      <w:r w:rsidR="00D91EBC" w:rsidRPr="007802BC">
        <w:rPr>
          <w:lang w:val="en-US"/>
        </w:rPr>
        <w:t>a</w:t>
      </w:r>
      <w:r w:rsidR="008904E8" w:rsidRPr="007802BC">
        <w:rPr>
          <w:lang w:val="en-US"/>
        </w:rPr>
        <w:t>,</w:t>
      </w:r>
      <w:r w:rsidRPr="007802BC">
        <w:rPr>
          <w:lang w:val="en-US"/>
        </w:rPr>
        <w:t xml:space="preserve"> </w:t>
      </w:r>
      <w:r w:rsidRPr="007802BC">
        <w:t>A comprehensive analysis of the occurrence of Natech events in the process industry</w:t>
      </w:r>
      <w:r w:rsidR="008904E8" w:rsidRPr="007802BC">
        <w:t xml:space="preserve">, </w:t>
      </w:r>
      <w:r w:rsidRPr="007802BC">
        <w:t>Process Safety and Environmental Protection, 147, 703–713.</w:t>
      </w:r>
    </w:p>
    <w:p w14:paraId="7D3A827A" w14:textId="4ABFA785" w:rsidR="00E67F3A" w:rsidRPr="007802BC" w:rsidRDefault="00E67F3A" w:rsidP="00E67F3A">
      <w:pPr>
        <w:pStyle w:val="CETReferencetext"/>
      </w:pPr>
      <w:r w:rsidRPr="007802BC">
        <w:rPr>
          <w:lang w:val="en-US"/>
        </w:rPr>
        <w:t>Ricci F., Misuri A., Scarponi G.E., Cozzani V., Demichela M.</w:t>
      </w:r>
      <w:r w:rsidR="008904E8" w:rsidRPr="007802BC">
        <w:rPr>
          <w:lang w:val="en-US"/>
        </w:rPr>
        <w:t xml:space="preserve">, </w:t>
      </w:r>
      <w:r w:rsidRPr="007802BC">
        <w:rPr>
          <w:lang w:val="en-US"/>
        </w:rPr>
        <w:t>2024</w:t>
      </w:r>
      <w:r w:rsidR="008904E8" w:rsidRPr="007802BC">
        <w:rPr>
          <w:lang w:val="en-US"/>
        </w:rPr>
        <w:t>,</w:t>
      </w:r>
      <w:r w:rsidRPr="007802BC">
        <w:rPr>
          <w:lang w:val="en-US"/>
        </w:rPr>
        <w:t xml:space="preserve"> </w:t>
      </w:r>
      <w:r w:rsidRPr="007802BC">
        <w:t>Vulnerability Assessment of Industrial Sites to Interface Fires and Wildfires</w:t>
      </w:r>
      <w:r w:rsidR="008904E8" w:rsidRPr="007802BC">
        <w:t xml:space="preserve">, </w:t>
      </w:r>
      <w:r w:rsidRPr="007802BC">
        <w:t>Reliability Engineering &amp; System Safety, 243, 109895.</w:t>
      </w:r>
    </w:p>
    <w:p w14:paraId="48AC7A6E" w14:textId="2B2D0217" w:rsidR="00E67F3A" w:rsidRPr="007802BC" w:rsidRDefault="00E67F3A" w:rsidP="00E67F3A">
      <w:pPr>
        <w:pStyle w:val="CETReferencetext"/>
      </w:pPr>
      <w:r w:rsidRPr="007802BC">
        <w:rPr>
          <w:lang w:val="en-US"/>
        </w:rPr>
        <w:t>Ricci F., Scarponi G.E., Pastor E., Muñoz J. A., Planas E., Cozzani V.</w:t>
      </w:r>
      <w:r w:rsidR="00D14D67" w:rsidRPr="007802BC">
        <w:rPr>
          <w:lang w:val="en-US"/>
        </w:rPr>
        <w:t>,</w:t>
      </w:r>
      <w:r w:rsidRPr="007802BC">
        <w:rPr>
          <w:lang w:val="en-US"/>
        </w:rPr>
        <w:t xml:space="preserve"> 2021</w:t>
      </w:r>
      <w:r w:rsidR="00D91EBC" w:rsidRPr="007802BC">
        <w:rPr>
          <w:lang w:val="en-US"/>
        </w:rPr>
        <w:t>b</w:t>
      </w:r>
      <w:r w:rsidR="00D14D67" w:rsidRPr="007802BC">
        <w:rPr>
          <w:lang w:val="en-US"/>
        </w:rPr>
        <w:t>,</w:t>
      </w:r>
      <w:r w:rsidRPr="007802BC">
        <w:rPr>
          <w:lang w:val="en-US"/>
        </w:rPr>
        <w:t xml:space="preserve"> </w:t>
      </w:r>
      <w:r w:rsidRPr="007802BC">
        <w:t xml:space="preserve">Vulnerability of Industrial Storage Tanks to Wildfire: </w:t>
      </w:r>
      <w:proofErr w:type="gramStart"/>
      <w:r w:rsidRPr="007802BC">
        <w:t>a</w:t>
      </w:r>
      <w:proofErr w:type="gramEnd"/>
      <w:r w:rsidRPr="007802BC">
        <w:t xml:space="preserve"> Case Study</w:t>
      </w:r>
      <w:r w:rsidR="00D14D67" w:rsidRPr="007802BC">
        <w:t xml:space="preserve">, </w:t>
      </w:r>
      <w:r w:rsidRPr="007802BC">
        <w:t xml:space="preserve">Chemical Engineering Transactions, 86, 235–240. </w:t>
      </w:r>
    </w:p>
    <w:p w14:paraId="1BE1AE65" w14:textId="017566BE" w:rsidR="00E67F3A" w:rsidRPr="007802BC" w:rsidRDefault="00E67F3A" w:rsidP="00E67F3A">
      <w:pPr>
        <w:pStyle w:val="CETReferencetext"/>
      </w:pPr>
      <w:r w:rsidRPr="007802BC">
        <w:rPr>
          <w:lang w:val="en-US"/>
        </w:rPr>
        <w:t>Ricci F., Scarponi G. E., Pastor E., Planas E., Cozzani V.</w:t>
      </w:r>
      <w:r w:rsidR="00D4798C" w:rsidRPr="007802BC">
        <w:rPr>
          <w:lang w:val="en-US"/>
        </w:rPr>
        <w:t>,</w:t>
      </w:r>
      <w:r w:rsidRPr="007802BC">
        <w:rPr>
          <w:lang w:val="en-US"/>
        </w:rPr>
        <w:t xml:space="preserve"> 2021</w:t>
      </w:r>
      <w:r w:rsidR="00A55EA4" w:rsidRPr="007802BC">
        <w:rPr>
          <w:lang w:val="en-US"/>
        </w:rPr>
        <w:t>c</w:t>
      </w:r>
      <w:r w:rsidR="00D4798C" w:rsidRPr="007802BC">
        <w:rPr>
          <w:lang w:val="en-US"/>
        </w:rPr>
        <w:t>,</w:t>
      </w:r>
      <w:r w:rsidRPr="007802BC">
        <w:rPr>
          <w:lang w:val="en-US"/>
        </w:rPr>
        <w:t xml:space="preserve"> </w:t>
      </w:r>
      <w:r w:rsidRPr="007802BC">
        <w:t>Safety distances for storage tanks to prevent fire damage in Wildland-Industrial Interface</w:t>
      </w:r>
      <w:r w:rsidR="00D4798C" w:rsidRPr="007802BC">
        <w:t xml:space="preserve">, </w:t>
      </w:r>
      <w:r w:rsidRPr="007802BC">
        <w:t xml:space="preserve">Process Safety and Environmental Protection, 147, 693–702. </w:t>
      </w:r>
    </w:p>
    <w:p w14:paraId="3BEC29C4" w14:textId="73054F62" w:rsidR="00E67F3A" w:rsidRPr="007802BC" w:rsidRDefault="00E67F3A" w:rsidP="00E67F3A">
      <w:pPr>
        <w:pStyle w:val="CETReferencetext"/>
      </w:pPr>
      <w:r w:rsidRPr="007802BC">
        <w:rPr>
          <w:lang w:val="en-US"/>
        </w:rPr>
        <w:t>Ricci F., Scarponi G. E., Pastor E., Planas E., Cozzani V.</w:t>
      </w:r>
      <w:r w:rsidR="0066321E" w:rsidRPr="007802BC">
        <w:rPr>
          <w:lang w:val="en-US"/>
        </w:rPr>
        <w:t>,</w:t>
      </w:r>
      <w:r w:rsidRPr="007802BC">
        <w:rPr>
          <w:lang w:val="en-US"/>
        </w:rPr>
        <w:t xml:space="preserve"> 2022</w:t>
      </w:r>
      <w:r w:rsidR="0066321E" w:rsidRPr="007802BC">
        <w:rPr>
          <w:lang w:val="en-US"/>
        </w:rPr>
        <w:t>,</w:t>
      </w:r>
      <w:r w:rsidRPr="007802BC">
        <w:rPr>
          <w:lang w:val="en-US"/>
        </w:rPr>
        <w:t xml:space="preserve"> </w:t>
      </w:r>
      <w:r w:rsidRPr="007802BC">
        <w:t>Asset Integrity in the Case of Wildfires at Wildland-Industrial Interfaces</w:t>
      </w:r>
      <w:r w:rsidR="0066321E" w:rsidRPr="007802BC">
        <w:t>,</w:t>
      </w:r>
      <w:r w:rsidRPr="007802BC">
        <w:t xml:space="preserve"> Chemical Engineering Transactions, 90, 247–252.</w:t>
      </w:r>
    </w:p>
    <w:p w14:paraId="6E0B0C35" w14:textId="271EAD78" w:rsidR="00E67F3A" w:rsidRPr="007802BC" w:rsidRDefault="00E67F3A" w:rsidP="00E67F3A">
      <w:pPr>
        <w:pStyle w:val="CETReferencetext"/>
      </w:pPr>
      <w:proofErr w:type="spellStart"/>
      <w:r w:rsidRPr="007802BC">
        <w:t>Uijt</w:t>
      </w:r>
      <w:proofErr w:type="spellEnd"/>
      <w:r w:rsidRPr="007802BC">
        <w:t xml:space="preserve"> de Haag P.A.M., Ale B.J.M.</w:t>
      </w:r>
      <w:r w:rsidR="00F04648" w:rsidRPr="007802BC">
        <w:t>,</w:t>
      </w:r>
      <w:r w:rsidRPr="007802BC">
        <w:t xml:space="preserve"> 2005</w:t>
      </w:r>
      <w:r w:rsidR="00F04648" w:rsidRPr="007802BC">
        <w:t>,</w:t>
      </w:r>
      <w:r w:rsidRPr="007802BC">
        <w:t xml:space="preserve"> Guidelines for Quantitative Risk Assessment</w:t>
      </w:r>
      <w:r w:rsidR="001066A9" w:rsidRPr="007802BC">
        <w:t xml:space="preserve">, </w:t>
      </w:r>
      <w:r w:rsidRPr="007802BC">
        <w:t>Purple book</w:t>
      </w:r>
      <w:r w:rsidR="001066A9" w:rsidRPr="007802BC">
        <w:t>,</w:t>
      </w:r>
      <w:r w:rsidRPr="007802BC">
        <w:t xml:space="preserve"> Committee for the Prevention of Disasters.</w:t>
      </w:r>
    </w:p>
    <w:p w14:paraId="38E03C73" w14:textId="14429113" w:rsidR="00E67F3A" w:rsidRPr="007802BC" w:rsidRDefault="00E67F3A" w:rsidP="00E67F3A">
      <w:pPr>
        <w:pStyle w:val="CETReferencetext"/>
      </w:pPr>
      <w:r w:rsidRPr="007802BC">
        <w:t>Van Den Bosh C.J.H.</w:t>
      </w:r>
      <w:r w:rsidR="00F04648" w:rsidRPr="007802BC">
        <w:t xml:space="preserve">, </w:t>
      </w:r>
      <w:r w:rsidRPr="007802BC">
        <w:t>1992</w:t>
      </w:r>
      <w:r w:rsidR="00F04648" w:rsidRPr="007802BC">
        <w:t>,</w:t>
      </w:r>
      <w:r w:rsidRPr="007802BC">
        <w:t xml:space="preserve"> Methods for the Determination of Possible Damage to People and Objects Resulting from Releases of Hazardous Materials</w:t>
      </w:r>
      <w:r w:rsidR="001066A9" w:rsidRPr="007802BC">
        <w:t>,</w:t>
      </w:r>
      <w:r w:rsidRPr="007802BC">
        <w:t xml:space="preserve"> Green Book</w:t>
      </w:r>
      <w:r w:rsidR="00F04648" w:rsidRPr="007802BC">
        <w:t>,</w:t>
      </w:r>
      <w:r w:rsidRPr="007802BC">
        <w:t xml:space="preserve"> Committee for the Prevention of Disasters.</w:t>
      </w:r>
    </w:p>
    <w:p w14:paraId="0D7BD089" w14:textId="4DC7F831" w:rsidR="00E67F3A" w:rsidRPr="007802BC" w:rsidRDefault="00E67F3A" w:rsidP="00E67F3A">
      <w:pPr>
        <w:pStyle w:val="CETReferencetext"/>
      </w:pPr>
      <w:r w:rsidRPr="007802BC">
        <w:t>Van Den Bosh C.J.H., Weterings R.A.P.M.</w:t>
      </w:r>
      <w:r w:rsidR="00957B20" w:rsidRPr="007802BC">
        <w:t xml:space="preserve">, </w:t>
      </w:r>
      <w:r w:rsidRPr="007802BC">
        <w:t>2005</w:t>
      </w:r>
      <w:r w:rsidR="00957B20" w:rsidRPr="007802BC">
        <w:t>,</w:t>
      </w:r>
      <w:r w:rsidRPr="007802BC">
        <w:t xml:space="preserve"> Methods for the calculation of physical effects due to releases of hazardous materials (liquids and gases)</w:t>
      </w:r>
      <w:r w:rsidR="001066A9" w:rsidRPr="007802BC">
        <w:t>,</w:t>
      </w:r>
      <w:r w:rsidRPr="007802BC">
        <w:t xml:space="preserve"> Yellow Book</w:t>
      </w:r>
      <w:r w:rsidR="00957B20" w:rsidRPr="007802BC">
        <w:t xml:space="preserve">, </w:t>
      </w:r>
      <w:r w:rsidRPr="007802BC">
        <w:t>Committee for the Prevention of Disasters.</w:t>
      </w:r>
    </w:p>
    <w:p w14:paraId="12102272" w14:textId="340FA579" w:rsidR="009C7225" w:rsidRDefault="00E67F3A" w:rsidP="009C7225">
      <w:pPr>
        <w:pStyle w:val="CETReferencetext"/>
      </w:pPr>
      <w:r w:rsidRPr="007802BC">
        <w:t xml:space="preserve">Williams A.P., </w:t>
      </w:r>
      <w:proofErr w:type="spellStart"/>
      <w:r w:rsidRPr="007802BC">
        <w:t>Abatzoglou</w:t>
      </w:r>
      <w:proofErr w:type="spellEnd"/>
      <w:r w:rsidRPr="007802BC">
        <w:t xml:space="preserve"> J.T.</w:t>
      </w:r>
      <w:r w:rsidR="00957B20" w:rsidRPr="007802BC">
        <w:t xml:space="preserve">, </w:t>
      </w:r>
      <w:r w:rsidRPr="007802BC">
        <w:t>2016</w:t>
      </w:r>
      <w:r w:rsidR="00957B20" w:rsidRPr="007802BC">
        <w:t>,</w:t>
      </w:r>
      <w:r w:rsidRPr="007802BC">
        <w:t xml:space="preserve"> Recent Advances and Remaining Uncertainties in Resolving Past and Future Climate Effects on Global Fire Activity</w:t>
      </w:r>
      <w:r w:rsidR="00957B20" w:rsidRPr="007802BC">
        <w:t>,</w:t>
      </w:r>
      <w:r w:rsidRPr="007802BC">
        <w:t xml:space="preserve"> Current Climate Change Reports, 2(1), 1–14.</w:t>
      </w:r>
    </w:p>
    <w:sectPr w:rsidR="009C7225"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17773" w14:textId="77777777" w:rsidR="009A1F9A" w:rsidRDefault="009A1F9A" w:rsidP="004F5E36">
      <w:r>
        <w:separator/>
      </w:r>
    </w:p>
  </w:endnote>
  <w:endnote w:type="continuationSeparator" w:id="0">
    <w:p w14:paraId="61E6C1F4" w14:textId="77777777" w:rsidR="009A1F9A" w:rsidRDefault="009A1F9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75B4D" w14:textId="77777777" w:rsidR="009A1F9A" w:rsidRDefault="009A1F9A" w:rsidP="004F5E36">
      <w:r>
        <w:separator/>
      </w:r>
    </w:p>
  </w:footnote>
  <w:footnote w:type="continuationSeparator" w:id="0">
    <w:p w14:paraId="1BE9672E" w14:textId="77777777" w:rsidR="009A1F9A" w:rsidRDefault="009A1F9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EB7982"/>
    <w:multiLevelType w:val="hybridMultilevel"/>
    <w:tmpl w:val="A96E7B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5886670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US"/>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0123EC"/>
    <w:multiLevelType w:val="hybridMultilevel"/>
    <w:tmpl w:val="A0242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4"/>
  </w:num>
  <w:num w:numId="14">
    <w:abstractNumId w:val="21"/>
  </w:num>
  <w:num w:numId="15">
    <w:abstractNumId w:val="23"/>
  </w:num>
  <w:num w:numId="16">
    <w:abstractNumId w:val="22"/>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1"/>
  </w:num>
  <w:num w:numId="24">
    <w:abstractNumId w:val="1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qkFAAB+DfstAAAA"/>
  </w:docVars>
  <w:rsids>
    <w:rsidRoot w:val="000E414A"/>
    <w:rsid w:val="00001B1C"/>
    <w:rsid w:val="000027C0"/>
    <w:rsid w:val="000052FB"/>
    <w:rsid w:val="00005A19"/>
    <w:rsid w:val="00006F08"/>
    <w:rsid w:val="000110B0"/>
    <w:rsid w:val="000117CB"/>
    <w:rsid w:val="00016173"/>
    <w:rsid w:val="0003148D"/>
    <w:rsid w:val="00031EEC"/>
    <w:rsid w:val="00032BFC"/>
    <w:rsid w:val="000332BB"/>
    <w:rsid w:val="000342D2"/>
    <w:rsid w:val="000343F9"/>
    <w:rsid w:val="00040BD9"/>
    <w:rsid w:val="00043C46"/>
    <w:rsid w:val="00043D22"/>
    <w:rsid w:val="00045B96"/>
    <w:rsid w:val="00051566"/>
    <w:rsid w:val="00053B5E"/>
    <w:rsid w:val="000562A9"/>
    <w:rsid w:val="00062A9A"/>
    <w:rsid w:val="00062E51"/>
    <w:rsid w:val="00064C49"/>
    <w:rsid w:val="00065058"/>
    <w:rsid w:val="00067C9F"/>
    <w:rsid w:val="00072C5A"/>
    <w:rsid w:val="00076287"/>
    <w:rsid w:val="00077B93"/>
    <w:rsid w:val="00080378"/>
    <w:rsid w:val="00080407"/>
    <w:rsid w:val="00086C39"/>
    <w:rsid w:val="00087583"/>
    <w:rsid w:val="00091715"/>
    <w:rsid w:val="0009406F"/>
    <w:rsid w:val="0009474D"/>
    <w:rsid w:val="000A03B2"/>
    <w:rsid w:val="000A0AF9"/>
    <w:rsid w:val="000A558C"/>
    <w:rsid w:val="000A62FC"/>
    <w:rsid w:val="000A671D"/>
    <w:rsid w:val="000B1E1E"/>
    <w:rsid w:val="000B239B"/>
    <w:rsid w:val="000B2A9C"/>
    <w:rsid w:val="000C6079"/>
    <w:rsid w:val="000D0268"/>
    <w:rsid w:val="000D2D8D"/>
    <w:rsid w:val="000D34BE"/>
    <w:rsid w:val="000D404F"/>
    <w:rsid w:val="000E0B3C"/>
    <w:rsid w:val="000E102F"/>
    <w:rsid w:val="000E36F1"/>
    <w:rsid w:val="000E3A73"/>
    <w:rsid w:val="000E414A"/>
    <w:rsid w:val="000E54A3"/>
    <w:rsid w:val="000E75FD"/>
    <w:rsid w:val="000F093C"/>
    <w:rsid w:val="000F787B"/>
    <w:rsid w:val="000F7D6D"/>
    <w:rsid w:val="001066A9"/>
    <w:rsid w:val="001120E5"/>
    <w:rsid w:val="001153F3"/>
    <w:rsid w:val="0012091F"/>
    <w:rsid w:val="00124CB3"/>
    <w:rsid w:val="00126BC2"/>
    <w:rsid w:val="001308B6"/>
    <w:rsid w:val="0013121F"/>
    <w:rsid w:val="0013193A"/>
    <w:rsid w:val="00131FE6"/>
    <w:rsid w:val="0013263F"/>
    <w:rsid w:val="00132ED4"/>
    <w:rsid w:val="001331DF"/>
    <w:rsid w:val="00134DE4"/>
    <w:rsid w:val="0013655B"/>
    <w:rsid w:val="0014034D"/>
    <w:rsid w:val="00140FE3"/>
    <w:rsid w:val="001424C9"/>
    <w:rsid w:val="00144D16"/>
    <w:rsid w:val="00150E59"/>
    <w:rsid w:val="00152DE3"/>
    <w:rsid w:val="001544A8"/>
    <w:rsid w:val="00154F1A"/>
    <w:rsid w:val="0016088C"/>
    <w:rsid w:val="00164CF9"/>
    <w:rsid w:val="00165357"/>
    <w:rsid w:val="001665E9"/>
    <w:rsid w:val="001667A6"/>
    <w:rsid w:val="001741C2"/>
    <w:rsid w:val="0017554C"/>
    <w:rsid w:val="0018171E"/>
    <w:rsid w:val="001829A3"/>
    <w:rsid w:val="00184AD6"/>
    <w:rsid w:val="00185767"/>
    <w:rsid w:val="00192D47"/>
    <w:rsid w:val="00194EAC"/>
    <w:rsid w:val="00197E0E"/>
    <w:rsid w:val="001A1BCE"/>
    <w:rsid w:val="001A4AF7"/>
    <w:rsid w:val="001B0349"/>
    <w:rsid w:val="001B13F7"/>
    <w:rsid w:val="001B1E93"/>
    <w:rsid w:val="001B209C"/>
    <w:rsid w:val="001B36BF"/>
    <w:rsid w:val="001B4D2D"/>
    <w:rsid w:val="001B65C1"/>
    <w:rsid w:val="001C260F"/>
    <w:rsid w:val="001C5C3A"/>
    <w:rsid w:val="001C684B"/>
    <w:rsid w:val="001C6A18"/>
    <w:rsid w:val="001D0CFB"/>
    <w:rsid w:val="001D21AF"/>
    <w:rsid w:val="001D35D6"/>
    <w:rsid w:val="001D410F"/>
    <w:rsid w:val="001D53FC"/>
    <w:rsid w:val="001E0192"/>
    <w:rsid w:val="001E2EF2"/>
    <w:rsid w:val="001E687F"/>
    <w:rsid w:val="001F42A5"/>
    <w:rsid w:val="001F4A69"/>
    <w:rsid w:val="001F5B2F"/>
    <w:rsid w:val="001F7B9D"/>
    <w:rsid w:val="00201C93"/>
    <w:rsid w:val="002041D6"/>
    <w:rsid w:val="00210946"/>
    <w:rsid w:val="002224B4"/>
    <w:rsid w:val="002447EF"/>
    <w:rsid w:val="00251550"/>
    <w:rsid w:val="00251A13"/>
    <w:rsid w:val="00253F4A"/>
    <w:rsid w:val="00261A51"/>
    <w:rsid w:val="00263B05"/>
    <w:rsid w:val="002710E0"/>
    <w:rsid w:val="0027221A"/>
    <w:rsid w:val="00275B61"/>
    <w:rsid w:val="00280FAF"/>
    <w:rsid w:val="00282656"/>
    <w:rsid w:val="00284E45"/>
    <w:rsid w:val="00285104"/>
    <w:rsid w:val="00296B83"/>
    <w:rsid w:val="002A7A25"/>
    <w:rsid w:val="002B196D"/>
    <w:rsid w:val="002B24EB"/>
    <w:rsid w:val="002B282F"/>
    <w:rsid w:val="002B2BC0"/>
    <w:rsid w:val="002B4015"/>
    <w:rsid w:val="002B78CE"/>
    <w:rsid w:val="002C229A"/>
    <w:rsid w:val="002C2FB6"/>
    <w:rsid w:val="002C34EC"/>
    <w:rsid w:val="002C5D78"/>
    <w:rsid w:val="002C7B26"/>
    <w:rsid w:val="002D1D0F"/>
    <w:rsid w:val="002D284F"/>
    <w:rsid w:val="002E3136"/>
    <w:rsid w:val="002E5FA7"/>
    <w:rsid w:val="002E7B2F"/>
    <w:rsid w:val="002F1F2E"/>
    <w:rsid w:val="002F3309"/>
    <w:rsid w:val="002F48EF"/>
    <w:rsid w:val="003008CE"/>
    <w:rsid w:val="003009B7"/>
    <w:rsid w:val="00300E56"/>
    <w:rsid w:val="0030152C"/>
    <w:rsid w:val="00303E91"/>
    <w:rsid w:val="0030469C"/>
    <w:rsid w:val="00304F65"/>
    <w:rsid w:val="00304FEF"/>
    <w:rsid w:val="00307962"/>
    <w:rsid w:val="003160F6"/>
    <w:rsid w:val="00320C29"/>
    <w:rsid w:val="0032156A"/>
    <w:rsid w:val="00321CA6"/>
    <w:rsid w:val="00323763"/>
    <w:rsid w:val="00323C5F"/>
    <w:rsid w:val="00334C09"/>
    <w:rsid w:val="0033518A"/>
    <w:rsid w:val="003453E5"/>
    <w:rsid w:val="003518F5"/>
    <w:rsid w:val="003547E1"/>
    <w:rsid w:val="0037094F"/>
    <w:rsid w:val="003723D4"/>
    <w:rsid w:val="003746A9"/>
    <w:rsid w:val="003765B1"/>
    <w:rsid w:val="003765F4"/>
    <w:rsid w:val="00381905"/>
    <w:rsid w:val="00381F3F"/>
    <w:rsid w:val="00384CC8"/>
    <w:rsid w:val="003871FD"/>
    <w:rsid w:val="003A1E30"/>
    <w:rsid w:val="003A2829"/>
    <w:rsid w:val="003A3FEC"/>
    <w:rsid w:val="003A5664"/>
    <w:rsid w:val="003A7A18"/>
    <w:rsid w:val="003A7D1C"/>
    <w:rsid w:val="003B0467"/>
    <w:rsid w:val="003B304B"/>
    <w:rsid w:val="003B3146"/>
    <w:rsid w:val="003B49CD"/>
    <w:rsid w:val="003B4DEF"/>
    <w:rsid w:val="003B5782"/>
    <w:rsid w:val="003C17F3"/>
    <w:rsid w:val="003C408C"/>
    <w:rsid w:val="003C66D1"/>
    <w:rsid w:val="003C6981"/>
    <w:rsid w:val="003D14C3"/>
    <w:rsid w:val="003D1E02"/>
    <w:rsid w:val="003D4CB7"/>
    <w:rsid w:val="003D5042"/>
    <w:rsid w:val="003D6719"/>
    <w:rsid w:val="003E422F"/>
    <w:rsid w:val="003E4BC0"/>
    <w:rsid w:val="003F015E"/>
    <w:rsid w:val="003F01E4"/>
    <w:rsid w:val="003F1081"/>
    <w:rsid w:val="003F4614"/>
    <w:rsid w:val="00400414"/>
    <w:rsid w:val="00401A02"/>
    <w:rsid w:val="0040503D"/>
    <w:rsid w:val="004105D8"/>
    <w:rsid w:val="004116B5"/>
    <w:rsid w:val="004128FA"/>
    <w:rsid w:val="004131FB"/>
    <w:rsid w:val="0041374D"/>
    <w:rsid w:val="00413C38"/>
    <w:rsid w:val="0041446B"/>
    <w:rsid w:val="00417496"/>
    <w:rsid w:val="00421A5A"/>
    <w:rsid w:val="00423A2B"/>
    <w:rsid w:val="00424513"/>
    <w:rsid w:val="0042686E"/>
    <w:rsid w:val="00426DD4"/>
    <w:rsid w:val="0043085B"/>
    <w:rsid w:val="004376CB"/>
    <w:rsid w:val="0044071E"/>
    <w:rsid w:val="00442FB0"/>
    <w:rsid w:val="0044329C"/>
    <w:rsid w:val="004444F5"/>
    <w:rsid w:val="0044635C"/>
    <w:rsid w:val="00447859"/>
    <w:rsid w:val="00450C38"/>
    <w:rsid w:val="00453880"/>
    <w:rsid w:val="00453E24"/>
    <w:rsid w:val="00456824"/>
    <w:rsid w:val="00457456"/>
    <w:rsid w:val="004577FE"/>
    <w:rsid w:val="00457B9C"/>
    <w:rsid w:val="0046164A"/>
    <w:rsid w:val="004628D2"/>
    <w:rsid w:val="00462DCD"/>
    <w:rsid w:val="004648AD"/>
    <w:rsid w:val="004703A9"/>
    <w:rsid w:val="004760D5"/>
    <w:rsid w:val="004760DE"/>
    <w:rsid w:val="004763D7"/>
    <w:rsid w:val="0048148A"/>
    <w:rsid w:val="00481EA3"/>
    <w:rsid w:val="00490F56"/>
    <w:rsid w:val="00493C03"/>
    <w:rsid w:val="00496C55"/>
    <w:rsid w:val="004A004E"/>
    <w:rsid w:val="004A24CF"/>
    <w:rsid w:val="004A3FC5"/>
    <w:rsid w:val="004B1259"/>
    <w:rsid w:val="004B377C"/>
    <w:rsid w:val="004B468C"/>
    <w:rsid w:val="004B5BDA"/>
    <w:rsid w:val="004C374C"/>
    <w:rsid w:val="004C3D1D"/>
    <w:rsid w:val="004C3D84"/>
    <w:rsid w:val="004C54C1"/>
    <w:rsid w:val="004C7913"/>
    <w:rsid w:val="004C7D58"/>
    <w:rsid w:val="004D02FF"/>
    <w:rsid w:val="004D0BC1"/>
    <w:rsid w:val="004D22BA"/>
    <w:rsid w:val="004D447F"/>
    <w:rsid w:val="004D4539"/>
    <w:rsid w:val="004D7EB6"/>
    <w:rsid w:val="004E0954"/>
    <w:rsid w:val="004E3246"/>
    <w:rsid w:val="004E487C"/>
    <w:rsid w:val="004E4DD6"/>
    <w:rsid w:val="004F4002"/>
    <w:rsid w:val="004F5E36"/>
    <w:rsid w:val="004F76C7"/>
    <w:rsid w:val="00501B8E"/>
    <w:rsid w:val="00505605"/>
    <w:rsid w:val="00507B47"/>
    <w:rsid w:val="00507BEF"/>
    <w:rsid w:val="00507CC9"/>
    <w:rsid w:val="005119A5"/>
    <w:rsid w:val="00512D00"/>
    <w:rsid w:val="005150EB"/>
    <w:rsid w:val="00515D4A"/>
    <w:rsid w:val="00517821"/>
    <w:rsid w:val="00522452"/>
    <w:rsid w:val="00522872"/>
    <w:rsid w:val="00526148"/>
    <w:rsid w:val="005278B7"/>
    <w:rsid w:val="0053031C"/>
    <w:rsid w:val="00532016"/>
    <w:rsid w:val="00532EC0"/>
    <w:rsid w:val="005346C8"/>
    <w:rsid w:val="0054135B"/>
    <w:rsid w:val="005424FC"/>
    <w:rsid w:val="00543E7D"/>
    <w:rsid w:val="005444A7"/>
    <w:rsid w:val="00547A68"/>
    <w:rsid w:val="005531C9"/>
    <w:rsid w:val="00554469"/>
    <w:rsid w:val="00554879"/>
    <w:rsid w:val="0055496B"/>
    <w:rsid w:val="00557B7A"/>
    <w:rsid w:val="005619CF"/>
    <w:rsid w:val="00570C43"/>
    <w:rsid w:val="00573B40"/>
    <w:rsid w:val="00576B8D"/>
    <w:rsid w:val="00577F2C"/>
    <w:rsid w:val="00580386"/>
    <w:rsid w:val="00586C65"/>
    <w:rsid w:val="00591451"/>
    <w:rsid w:val="00592274"/>
    <w:rsid w:val="005935CF"/>
    <w:rsid w:val="005A0BCC"/>
    <w:rsid w:val="005A38AB"/>
    <w:rsid w:val="005A5F06"/>
    <w:rsid w:val="005A7538"/>
    <w:rsid w:val="005B2110"/>
    <w:rsid w:val="005B350B"/>
    <w:rsid w:val="005B3837"/>
    <w:rsid w:val="005B61E6"/>
    <w:rsid w:val="005C0DA3"/>
    <w:rsid w:val="005C36C5"/>
    <w:rsid w:val="005C71E9"/>
    <w:rsid w:val="005C77E1"/>
    <w:rsid w:val="005D0627"/>
    <w:rsid w:val="005D454E"/>
    <w:rsid w:val="005D565B"/>
    <w:rsid w:val="005D668A"/>
    <w:rsid w:val="005D6A2F"/>
    <w:rsid w:val="005D7AC3"/>
    <w:rsid w:val="005E0592"/>
    <w:rsid w:val="005E1A82"/>
    <w:rsid w:val="005E261E"/>
    <w:rsid w:val="005E5520"/>
    <w:rsid w:val="005E63F4"/>
    <w:rsid w:val="005E794C"/>
    <w:rsid w:val="005F0A28"/>
    <w:rsid w:val="005F0E5E"/>
    <w:rsid w:val="005F597F"/>
    <w:rsid w:val="00600535"/>
    <w:rsid w:val="00601159"/>
    <w:rsid w:val="0060223B"/>
    <w:rsid w:val="00602DDA"/>
    <w:rsid w:val="006061FC"/>
    <w:rsid w:val="006063DC"/>
    <w:rsid w:val="00610C1D"/>
    <w:rsid w:val="00610CD6"/>
    <w:rsid w:val="00612289"/>
    <w:rsid w:val="0061558D"/>
    <w:rsid w:val="0061713A"/>
    <w:rsid w:val="00620DEE"/>
    <w:rsid w:val="00621F92"/>
    <w:rsid w:val="0062280A"/>
    <w:rsid w:val="006231E1"/>
    <w:rsid w:val="00625182"/>
    <w:rsid w:val="00625639"/>
    <w:rsid w:val="00630CCB"/>
    <w:rsid w:val="00631B33"/>
    <w:rsid w:val="00632EBC"/>
    <w:rsid w:val="00634F5F"/>
    <w:rsid w:val="006374C6"/>
    <w:rsid w:val="00637955"/>
    <w:rsid w:val="0064184D"/>
    <w:rsid w:val="006422CC"/>
    <w:rsid w:val="00643821"/>
    <w:rsid w:val="00644D91"/>
    <w:rsid w:val="00645405"/>
    <w:rsid w:val="00647458"/>
    <w:rsid w:val="00647A0C"/>
    <w:rsid w:val="00651D18"/>
    <w:rsid w:val="0065519C"/>
    <w:rsid w:val="006569E9"/>
    <w:rsid w:val="006604FF"/>
    <w:rsid w:val="006605AE"/>
    <w:rsid w:val="00660E3E"/>
    <w:rsid w:val="00662E74"/>
    <w:rsid w:val="0066321E"/>
    <w:rsid w:val="00665147"/>
    <w:rsid w:val="00665347"/>
    <w:rsid w:val="00666C61"/>
    <w:rsid w:val="006700D3"/>
    <w:rsid w:val="006707CC"/>
    <w:rsid w:val="00680C23"/>
    <w:rsid w:val="00681E75"/>
    <w:rsid w:val="00683A84"/>
    <w:rsid w:val="00683E23"/>
    <w:rsid w:val="006845A1"/>
    <w:rsid w:val="00686C42"/>
    <w:rsid w:val="006908A1"/>
    <w:rsid w:val="00692357"/>
    <w:rsid w:val="00692D2A"/>
    <w:rsid w:val="00693766"/>
    <w:rsid w:val="006A1713"/>
    <w:rsid w:val="006A21AB"/>
    <w:rsid w:val="006A257C"/>
    <w:rsid w:val="006A3281"/>
    <w:rsid w:val="006A32E6"/>
    <w:rsid w:val="006A4593"/>
    <w:rsid w:val="006A6DE5"/>
    <w:rsid w:val="006B0490"/>
    <w:rsid w:val="006B24FE"/>
    <w:rsid w:val="006B4888"/>
    <w:rsid w:val="006C2E45"/>
    <w:rsid w:val="006C359C"/>
    <w:rsid w:val="006C4118"/>
    <w:rsid w:val="006C5266"/>
    <w:rsid w:val="006C5579"/>
    <w:rsid w:val="006C7FD3"/>
    <w:rsid w:val="006D107D"/>
    <w:rsid w:val="006D1965"/>
    <w:rsid w:val="006D2C15"/>
    <w:rsid w:val="006D6E8B"/>
    <w:rsid w:val="006D7209"/>
    <w:rsid w:val="006E1E51"/>
    <w:rsid w:val="006E3A0B"/>
    <w:rsid w:val="006E737D"/>
    <w:rsid w:val="006F19BB"/>
    <w:rsid w:val="006F2DF1"/>
    <w:rsid w:val="006F73B2"/>
    <w:rsid w:val="006F7AEE"/>
    <w:rsid w:val="00701F9E"/>
    <w:rsid w:val="00707623"/>
    <w:rsid w:val="00707DD1"/>
    <w:rsid w:val="00713973"/>
    <w:rsid w:val="00714CBB"/>
    <w:rsid w:val="00720A24"/>
    <w:rsid w:val="007216E1"/>
    <w:rsid w:val="0072780E"/>
    <w:rsid w:val="00732386"/>
    <w:rsid w:val="0073514D"/>
    <w:rsid w:val="00736371"/>
    <w:rsid w:val="00741FAF"/>
    <w:rsid w:val="007422B6"/>
    <w:rsid w:val="00742CF1"/>
    <w:rsid w:val="007447F3"/>
    <w:rsid w:val="00746545"/>
    <w:rsid w:val="0074666A"/>
    <w:rsid w:val="0075067D"/>
    <w:rsid w:val="00752E2D"/>
    <w:rsid w:val="0075499F"/>
    <w:rsid w:val="00760319"/>
    <w:rsid w:val="007658AE"/>
    <w:rsid w:val="007661C8"/>
    <w:rsid w:val="0077098D"/>
    <w:rsid w:val="0077378D"/>
    <w:rsid w:val="00774DA3"/>
    <w:rsid w:val="00776239"/>
    <w:rsid w:val="00777079"/>
    <w:rsid w:val="007802BC"/>
    <w:rsid w:val="0078258E"/>
    <w:rsid w:val="00783EFA"/>
    <w:rsid w:val="00785BF9"/>
    <w:rsid w:val="00786FDC"/>
    <w:rsid w:val="0079296C"/>
    <w:rsid w:val="00792CCB"/>
    <w:rsid w:val="007931FA"/>
    <w:rsid w:val="0079622F"/>
    <w:rsid w:val="007962E0"/>
    <w:rsid w:val="007A2232"/>
    <w:rsid w:val="007A4861"/>
    <w:rsid w:val="007A7BBA"/>
    <w:rsid w:val="007B0C50"/>
    <w:rsid w:val="007B3859"/>
    <w:rsid w:val="007B4132"/>
    <w:rsid w:val="007B48F9"/>
    <w:rsid w:val="007B5F8E"/>
    <w:rsid w:val="007B63C0"/>
    <w:rsid w:val="007C1095"/>
    <w:rsid w:val="007C1A43"/>
    <w:rsid w:val="007C2956"/>
    <w:rsid w:val="007C694F"/>
    <w:rsid w:val="007D0951"/>
    <w:rsid w:val="007D2CF8"/>
    <w:rsid w:val="007D50C0"/>
    <w:rsid w:val="007D527C"/>
    <w:rsid w:val="007D551E"/>
    <w:rsid w:val="007D610D"/>
    <w:rsid w:val="007E0D7D"/>
    <w:rsid w:val="007E3C55"/>
    <w:rsid w:val="007E590D"/>
    <w:rsid w:val="007F0F2E"/>
    <w:rsid w:val="007F1B60"/>
    <w:rsid w:val="007F66DC"/>
    <w:rsid w:val="0080013E"/>
    <w:rsid w:val="00801759"/>
    <w:rsid w:val="0080265A"/>
    <w:rsid w:val="00804312"/>
    <w:rsid w:val="00813288"/>
    <w:rsid w:val="008168FC"/>
    <w:rsid w:val="008204D2"/>
    <w:rsid w:val="00821236"/>
    <w:rsid w:val="00824816"/>
    <w:rsid w:val="008250C1"/>
    <w:rsid w:val="00830996"/>
    <w:rsid w:val="00832206"/>
    <w:rsid w:val="008345F1"/>
    <w:rsid w:val="00840C9B"/>
    <w:rsid w:val="008462F0"/>
    <w:rsid w:val="00847C8D"/>
    <w:rsid w:val="00857B45"/>
    <w:rsid w:val="00861950"/>
    <w:rsid w:val="00861A43"/>
    <w:rsid w:val="00865B07"/>
    <w:rsid w:val="008667EA"/>
    <w:rsid w:val="00873582"/>
    <w:rsid w:val="0087637F"/>
    <w:rsid w:val="008802BF"/>
    <w:rsid w:val="008803B6"/>
    <w:rsid w:val="00881DAD"/>
    <w:rsid w:val="00882377"/>
    <w:rsid w:val="0088327F"/>
    <w:rsid w:val="00885950"/>
    <w:rsid w:val="00886C54"/>
    <w:rsid w:val="00887B7F"/>
    <w:rsid w:val="008904E8"/>
    <w:rsid w:val="008912F5"/>
    <w:rsid w:val="00892228"/>
    <w:rsid w:val="0089247A"/>
    <w:rsid w:val="00892AD5"/>
    <w:rsid w:val="00892C70"/>
    <w:rsid w:val="008A1512"/>
    <w:rsid w:val="008A6A99"/>
    <w:rsid w:val="008B120F"/>
    <w:rsid w:val="008B1F66"/>
    <w:rsid w:val="008B54D8"/>
    <w:rsid w:val="008C04B0"/>
    <w:rsid w:val="008C2CCB"/>
    <w:rsid w:val="008C3C03"/>
    <w:rsid w:val="008C48EB"/>
    <w:rsid w:val="008C5B0A"/>
    <w:rsid w:val="008C7152"/>
    <w:rsid w:val="008D3164"/>
    <w:rsid w:val="008D32B9"/>
    <w:rsid w:val="008D433B"/>
    <w:rsid w:val="008D4A16"/>
    <w:rsid w:val="008D5F55"/>
    <w:rsid w:val="008D7730"/>
    <w:rsid w:val="008D7DD8"/>
    <w:rsid w:val="008E3A39"/>
    <w:rsid w:val="008E4380"/>
    <w:rsid w:val="008E5401"/>
    <w:rsid w:val="008E566E"/>
    <w:rsid w:val="008F1BD7"/>
    <w:rsid w:val="008F42F1"/>
    <w:rsid w:val="008F47CA"/>
    <w:rsid w:val="008F7EB4"/>
    <w:rsid w:val="00901261"/>
    <w:rsid w:val="0090161A"/>
    <w:rsid w:val="00901844"/>
    <w:rsid w:val="00901EB6"/>
    <w:rsid w:val="009041F8"/>
    <w:rsid w:val="00904C62"/>
    <w:rsid w:val="00922BA8"/>
    <w:rsid w:val="00924DAC"/>
    <w:rsid w:val="00927058"/>
    <w:rsid w:val="00931547"/>
    <w:rsid w:val="00931FB2"/>
    <w:rsid w:val="00932D83"/>
    <w:rsid w:val="00937847"/>
    <w:rsid w:val="00942750"/>
    <w:rsid w:val="00943C16"/>
    <w:rsid w:val="00944271"/>
    <w:rsid w:val="009450CE"/>
    <w:rsid w:val="009459BB"/>
    <w:rsid w:val="00946BF4"/>
    <w:rsid w:val="00947179"/>
    <w:rsid w:val="0095164B"/>
    <w:rsid w:val="00951A66"/>
    <w:rsid w:val="00954090"/>
    <w:rsid w:val="009573E7"/>
    <w:rsid w:val="00957B20"/>
    <w:rsid w:val="00960565"/>
    <w:rsid w:val="00962241"/>
    <w:rsid w:val="00963167"/>
    <w:rsid w:val="00963D5C"/>
    <w:rsid w:val="00963E05"/>
    <w:rsid w:val="00964A45"/>
    <w:rsid w:val="00966DA4"/>
    <w:rsid w:val="00967843"/>
    <w:rsid w:val="00967D54"/>
    <w:rsid w:val="00971028"/>
    <w:rsid w:val="00981C19"/>
    <w:rsid w:val="00982585"/>
    <w:rsid w:val="00987ECF"/>
    <w:rsid w:val="009933E9"/>
    <w:rsid w:val="00993B84"/>
    <w:rsid w:val="00994C6A"/>
    <w:rsid w:val="00996483"/>
    <w:rsid w:val="00996F5A"/>
    <w:rsid w:val="009A02BF"/>
    <w:rsid w:val="009A1F9A"/>
    <w:rsid w:val="009A62B6"/>
    <w:rsid w:val="009B041A"/>
    <w:rsid w:val="009B1043"/>
    <w:rsid w:val="009B2988"/>
    <w:rsid w:val="009B6072"/>
    <w:rsid w:val="009C0498"/>
    <w:rsid w:val="009C05C0"/>
    <w:rsid w:val="009C1AE7"/>
    <w:rsid w:val="009C1B99"/>
    <w:rsid w:val="009C2101"/>
    <w:rsid w:val="009C2AFB"/>
    <w:rsid w:val="009C37C3"/>
    <w:rsid w:val="009C6822"/>
    <w:rsid w:val="009C6BB2"/>
    <w:rsid w:val="009C7225"/>
    <w:rsid w:val="009C7715"/>
    <w:rsid w:val="009C7C86"/>
    <w:rsid w:val="009D021F"/>
    <w:rsid w:val="009D2FF7"/>
    <w:rsid w:val="009D499C"/>
    <w:rsid w:val="009D599D"/>
    <w:rsid w:val="009D5AC4"/>
    <w:rsid w:val="009E1292"/>
    <w:rsid w:val="009E3292"/>
    <w:rsid w:val="009E70EC"/>
    <w:rsid w:val="009E7884"/>
    <w:rsid w:val="009E788A"/>
    <w:rsid w:val="009F0E08"/>
    <w:rsid w:val="009F2FBA"/>
    <w:rsid w:val="009F4E08"/>
    <w:rsid w:val="009F5A47"/>
    <w:rsid w:val="009F78AD"/>
    <w:rsid w:val="00A002D7"/>
    <w:rsid w:val="00A06237"/>
    <w:rsid w:val="00A079AE"/>
    <w:rsid w:val="00A11D85"/>
    <w:rsid w:val="00A16429"/>
    <w:rsid w:val="00A16BC5"/>
    <w:rsid w:val="00A16E9F"/>
    <w:rsid w:val="00A1763D"/>
    <w:rsid w:val="00A17CEC"/>
    <w:rsid w:val="00A26149"/>
    <w:rsid w:val="00A27761"/>
    <w:rsid w:val="00A27CEC"/>
    <w:rsid w:val="00A27EF0"/>
    <w:rsid w:val="00A354EB"/>
    <w:rsid w:val="00A400B6"/>
    <w:rsid w:val="00A42361"/>
    <w:rsid w:val="00A436CF"/>
    <w:rsid w:val="00A451A1"/>
    <w:rsid w:val="00A50B20"/>
    <w:rsid w:val="00A50C3A"/>
    <w:rsid w:val="00A51390"/>
    <w:rsid w:val="00A55EA4"/>
    <w:rsid w:val="00A60D13"/>
    <w:rsid w:val="00A61720"/>
    <w:rsid w:val="00A62F77"/>
    <w:rsid w:val="00A7223D"/>
    <w:rsid w:val="00A72745"/>
    <w:rsid w:val="00A73A04"/>
    <w:rsid w:val="00A76EFC"/>
    <w:rsid w:val="00A87D50"/>
    <w:rsid w:val="00A90E04"/>
    <w:rsid w:val="00A91010"/>
    <w:rsid w:val="00A91A04"/>
    <w:rsid w:val="00A97F29"/>
    <w:rsid w:val="00AA702E"/>
    <w:rsid w:val="00AA7D26"/>
    <w:rsid w:val="00AB0964"/>
    <w:rsid w:val="00AB19A4"/>
    <w:rsid w:val="00AB3F7E"/>
    <w:rsid w:val="00AB5011"/>
    <w:rsid w:val="00AB7757"/>
    <w:rsid w:val="00AC2430"/>
    <w:rsid w:val="00AC3224"/>
    <w:rsid w:val="00AC7368"/>
    <w:rsid w:val="00AD054C"/>
    <w:rsid w:val="00AD16B9"/>
    <w:rsid w:val="00AE377D"/>
    <w:rsid w:val="00AE44BD"/>
    <w:rsid w:val="00AE6793"/>
    <w:rsid w:val="00AF0EBA"/>
    <w:rsid w:val="00AF1327"/>
    <w:rsid w:val="00AF22C8"/>
    <w:rsid w:val="00AF2463"/>
    <w:rsid w:val="00AF7EB9"/>
    <w:rsid w:val="00B02C8A"/>
    <w:rsid w:val="00B04E87"/>
    <w:rsid w:val="00B066D5"/>
    <w:rsid w:val="00B11624"/>
    <w:rsid w:val="00B1320A"/>
    <w:rsid w:val="00B15AD3"/>
    <w:rsid w:val="00B16DA5"/>
    <w:rsid w:val="00B17FBD"/>
    <w:rsid w:val="00B218C5"/>
    <w:rsid w:val="00B219D3"/>
    <w:rsid w:val="00B27BEC"/>
    <w:rsid w:val="00B315A6"/>
    <w:rsid w:val="00B31813"/>
    <w:rsid w:val="00B320FC"/>
    <w:rsid w:val="00B33365"/>
    <w:rsid w:val="00B43BAC"/>
    <w:rsid w:val="00B4510D"/>
    <w:rsid w:val="00B5236F"/>
    <w:rsid w:val="00B5413F"/>
    <w:rsid w:val="00B543BB"/>
    <w:rsid w:val="00B55E49"/>
    <w:rsid w:val="00B565B8"/>
    <w:rsid w:val="00B57B36"/>
    <w:rsid w:val="00B57E6F"/>
    <w:rsid w:val="00B61572"/>
    <w:rsid w:val="00B748D9"/>
    <w:rsid w:val="00B8069D"/>
    <w:rsid w:val="00B82725"/>
    <w:rsid w:val="00B8305E"/>
    <w:rsid w:val="00B8526D"/>
    <w:rsid w:val="00B85D17"/>
    <w:rsid w:val="00B8686D"/>
    <w:rsid w:val="00B9011A"/>
    <w:rsid w:val="00B936C8"/>
    <w:rsid w:val="00B93F69"/>
    <w:rsid w:val="00BA2CCF"/>
    <w:rsid w:val="00BA56E6"/>
    <w:rsid w:val="00BB1DDC"/>
    <w:rsid w:val="00BC10D6"/>
    <w:rsid w:val="00BC2F09"/>
    <w:rsid w:val="00BC30C9"/>
    <w:rsid w:val="00BD077D"/>
    <w:rsid w:val="00BD4E69"/>
    <w:rsid w:val="00BD4E82"/>
    <w:rsid w:val="00BE3E58"/>
    <w:rsid w:val="00BF13CE"/>
    <w:rsid w:val="00BF1CE4"/>
    <w:rsid w:val="00BF23C0"/>
    <w:rsid w:val="00BF2A2A"/>
    <w:rsid w:val="00BF7FDC"/>
    <w:rsid w:val="00C01616"/>
    <w:rsid w:val="00C0162B"/>
    <w:rsid w:val="00C068ED"/>
    <w:rsid w:val="00C114E2"/>
    <w:rsid w:val="00C11C20"/>
    <w:rsid w:val="00C13151"/>
    <w:rsid w:val="00C21A46"/>
    <w:rsid w:val="00C22DE8"/>
    <w:rsid w:val="00C22E0C"/>
    <w:rsid w:val="00C22ED7"/>
    <w:rsid w:val="00C23266"/>
    <w:rsid w:val="00C238F4"/>
    <w:rsid w:val="00C241D1"/>
    <w:rsid w:val="00C24B7A"/>
    <w:rsid w:val="00C24E37"/>
    <w:rsid w:val="00C318A3"/>
    <w:rsid w:val="00C345B1"/>
    <w:rsid w:val="00C40142"/>
    <w:rsid w:val="00C47343"/>
    <w:rsid w:val="00C50355"/>
    <w:rsid w:val="00C52C3C"/>
    <w:rsid w:val="00C542D9"/>
    <w:rsid w:val="00C56C8C"/>
    <w:rsid w:val="00C57182"/>
    <w:rsid w:val="00C57863"/>
    <w:rsid w:val="00C640AF"/>
    <w:rsid w:val="00C64B63"/>
    <w:rsid w:val="00C655FD"/>
    <w:rsid w:val="00C75407"/>
    <w:rsid w:val="00C77411"/>
    <w:rsid w:val="00C81CAE"/>
    <w:rsid w:val="00C841C6"/>
    <w:rsid w:val="00C870A8"/>
    <w:rsid w:val="00C87EA3"/>
    <w:rsid w:val="00C90D35"/>
    <w:rsid w:val="00C929EF"/>
    <w:rsid w:val="00C93CAF"/>
    <w:rsid w:val="00C94434"/>
    <w:rsid w:val="00C9510B"/>
    <w:rsid w:val="00C95184"/>
    <w:rsid w:val="00C975BC"/>
    <w:rsid w:val="00CA078D"/>
    <w:rsid w:val="00CA0D75"/>
    <w:rsid w:val="00CA1C95"/>
    <w:rsid w:val="00CA4A65"/>
    <w:rsid w:val="00CA5A9C"/>
    <w:rsid w:val="00CB10DD"/>
    <w:rsid w:val="00CB1EE3"/>
    <w:rsid w:val="00CB376C"/>
    <w:rsid w:val="00CB769D"/>
    <w:rsid w:val="00CB7AE3"/>
    <w:rsid w:val="00CC4C20"/>
    <w:rsid w:val="00CC4FE8"/>
    <w:rsid w:val="00CC55FF"/>
    <w:rsid w:val="00CD2AD7"/>
    <w:rsid w:val="00CD3517"/>
    <w:rsid w:val="00CD5FE2"/>
    <w:rsid w:val="00CD7419"/>
    <w:rsid w:val="00CE0C4C"/>
    <w:rsid w:val="00CE0DDF"/>
    <w:rsid w:val="00CE7C68"/>
    <w:rsid w:val="00CF6652"/>
    <w:rsid w:val="00CF7B0D"/>
    <w:rsid w:val="00D00739"/>
    <w:rsid w:val="00D02B4C"/>
    <w:rsid w:val="00D02D09"/>
    <w:rsid w:val="00D03457"/>
    <w:rsid w:val="00D040B7"/>
    <w:rsid w:val="00D040C4"/>
    <w:rsid w:val="00D043B6"/>
    <w:rsid w:val="00D0570A"/>
    <w:rsid w:val="00D14829"/>
    <w:rsid w:val="00D14D67"/>
    <w:rsid w:val="00D20AD1"/>
    <w:rsid w:val="00D23BCD"/>
    <w:rsid w:val="00D2582C"/>
    <w:rsid w:val="00D30FEA"/>
    <w:rsid w:val="00D37B6F"/>
    <w:rsid w:val="00D4605A"/>
    <w:rsid w:val="00D4682C"/>
    <w:rsid w:val="00D46B7E"/>
    <w:rsid w:val="00D47935"/>
    <w:rsid w:val="00D4798C"/>
    <w:rsid w:val="00D55560"/>
    <w:rsid w:val="00D57C84"/>
    <w:rsid w:val="00D60496"/>
    <w:rsid w:val="00D6057D"/>
    <w:rsid w:val="00D60B0B"/>
    <w:rsid w:val="00D67076"/>
    <w:rsid w:val="00D700A6"/>
    <w:rsid w:val="00D70648"/>
    <w:rsid w:val="00D71640"/>
    <w:rsid w:val="00D74AB2"/>
    <w:rsid w:val="00D806DB"/>
    <w:rsid w:val="00D818E7"/>
    <w:rsid w:val="00D836C5"/>
    <w:rsid w:val="00D84576"/>
    <w:rsid w:val="00D862F7"/>
    <w:rsid w:val="00D90C45"/>
    <w:rsid w:val="00D91A5A"/>
    <w:rsid w:val="00D91E8F"/>
    <w:rsid w:val="00D91EBC"/>
    <w:rsid w:val="00D94525"/>
    <w:rsid w:val="00D947EF"/>
    <w:rsid w:val="00DA1399"/>
    <w:rsid w:val="00DA24C6"/>
    <w:rsid w:val="00DA37EB"/>
    <w:rsid w:val="00DA4D7B"/>
    <w:rsid w:val="00DA7945"/>
    <w:rsid w:val="00DC2840"/>
    <w:rsid w:val="00DC73EE"/>
    <w:rsid w:val="00DD271C"/>
    <w:rsid w:val="00DE264A"/>
    <w:rsid w:val="00DF12E3"/>
    <w:rsid w:val="00DF5072"/>
    <w:rsid w:val="00DF54BE"/>
    <w:rsid w:val="00DF693F"/>
    <w:rsid w:val="00E02D18"/>
    <w:rsid w:val="00E041E7"/>
    <w:rsid w:val="00E0430C"/>
    <w:rsid w:val="00E05193"/>
    <w:rsid w:val="00E0651B"/>
    <w:rsid w:val="00E0774F"/>
    <w:rsid w:val="00E07B1B"/>
    <w:rsid w:val="00E10E8E"/>
    <w:rsid w:val="00E1314E"/>
    <w:rsid w:val="00E1681E"/>
    <w:rsid w:val="00E227F8"/>
    <w:rsid w:val="00E23CA1"/>
    <w:rsid w:val="00E31156"/>
    <w:rsid w:val="00E365BA"/>
    <w:rsid w:val="00E37884"/>
    <w:rsid w:val="00E409A8"/>
    <w:rsid w:val="00E40AD2"/>
    <w:rsid w:val="00E50C12"/>
    <w:rsid w:val="00E54788"/>
    <w:rsid w:val="00E60625"/>
    <w:rsid w:val="00E62584"/>
    <w:rsid w:val="00E63BE8"/>
    <w:rsid w:val="00E65B91"/>
    <w:rsid w:val="00E67F3A"/>
    <w:rsid w:val="00E7209D"/>
    <w:rsid w:val="00E72EAD"/>
    <w:rsid w:val="00E74290"/>
    <w:rsid w:val="00E76339"/>
    <w:rsid w:val="00E77223"/>
    <w:rsid w:val="00E8528B"/>
    <w:rsid w:val="00E85328"/>
    <w:rsid w:val="00E85B94"/>
    <w:rsid w:val="00E904A6"/>
    <w:rsid w:val="00E923A4"/>
    <w:rsid w:val="00E93588"/>
    <w:rsid w:val="00E9588D"/>
    <w:rsid w:val="00E96623"/>
    <w:rsid w:val="00E978D0"/>
    <w:rsid w:val="00EA187D"/>
    <w:rsid w:val="00EA4613"/>
    <w:rsid w:val="00EA547D"/>
    <w:rsid w:val="00EA7E53"/>
    <w:rsid w:val="00EA7F91"/>
    <w:rsid w:val="00EB094A"/>
    <w:rsid w:val="00EB1523"/>
    <w:rsid w:val="00EB1AAF"/>
    <w:rsid w:val="00EB1D7D"/>
    <w:rsid w:val="00EB3441"/>
    <w:rsid w:val="00EB362B"/>
    <w:rsid w:val="00EC0E49"/>
    <w:rsid w:val="00EC101F"/>
    <w:rsid w:val="00EC1D9F"/>
    <w:rsid w:val="00EC58F2"/>
    <w:rsid w:val="00EC6E78"/>
    <w:rsid w:val="00ED202F"/>
    <w:rsid w:val="00ED302D"/>
    <w:rsid w:val="00EE0131"/>
    <w:rsid w:val="00EE17B0"/>
    <w:rsid w:val="00EE2929"/>
    <w:rsid w:val="00EE32D6"/>
    <w:rsid w:val="00EE3F20"/>
    <w:rsid w:val="00EE5612"/>
    <w:rsid w:val="00EF06D9"/>
    <w:rsid w:val="00EF4EA9"/>
    <w:rsid w:val="00EF55B5"/>
    <w:rsid w:val="00F00889"/>
    <w:rsid w:val="00F01B77"/>
    <w:rsid w:val="00F02F05"/>
    <w:rsid w:val="00F03C17"/>
    <w:rsid w:val="00F04648"/>
    <w:rsid w:val="00F06043"/>
    <w:rsid w:val="00F06057"/>
    <w:rsid w:val="00F07172"/>
    <w:rsid w:val="00F0759B"/>
    <w:rsid w:val="00F138D7"/>
    <w:rsid w:val="00F14992"/>
    <w:rsid w:val="00F22B3C"/>
    <w:rsid w:val="00F25398"/>
    <w:rsid w:val="00F25973"/>
    <w:rsid w:val="00F271F1"/>
    <w:rsid w:val="00F27EE4"/>
    <w:rsid w:val="00F30016"/>
    <w:rsid w:val="00F30238"/>
    <w:rsid w:val="00F3049E"/>
    <w:rsid w:val="00F30C64"/>
    <w:rsid w:val="00F32BA2"/>
    <w:rsid w:val="00F32CDB"/>
    <w:rsid w:val="00F33AAE"/>
    <w:rsid w:val="00F41EE4"/>
    <w:rsid w:val="00F52683"/>
    <w:rsid w:val="00F53FC0"/>
    <w:rsid w:val="00F565FE"/>
    <w:rsid w:val="00F60EBD"/>
    <w:rsid w:val="00F63A70"/>
    <w:rsid w:val="00F63D8C"/>
    <w:rsid w:val="00F721B9"/>
    <w:rsid w:val="00F73E36"/>
    <w:rsid w:val="00F7534E"/>
    <w:rsid w:val="00F77012"/>
    <w:rsid w:val="00F904DB"/>
    <w:rsid w:val="00F93EDF"/>
    <w:rsid w:val="00FA1802"/>
    <w:rsid w:val="00FA1F5D"/>
    <w:rsid w:val="00FA21D0"/>
    <w:rsid w:val="00FA2C68"/>
    <w:rsid w:val="00FA4A1F"/>
    <w:rsid w:val="00FA5F5F"/>
    <w:rsid w:val="00FB3F94"/>
    <w:rsid w:val="00FB730C"/>
    <w:rsid w:val="00FC0DC5"/>
    <w:rsid w:val="00FC2695"/>
    <w:rsid w:val="00FC3E03"/>
    <w:rsid w:val="00FC3FC1"/>
    <w:rsid w:val="00FC58B3"/>
    <w:rsid w:val="00FC7222"/>
    <w:rsid w:val="00FD5712"/>
    <w:rsid w:val="00FD7F50"/>
    <w:rsid w:val="00FE6C2D"/>
    <w:rsid w:val="00FF05C8"/>
    <w:rsid w:val="00FF1A66"/>
    <w:rsid w:val="00FF4DAA"/>
    <w:rsid w:val="00FF51C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1F4A69"/>
    <w:rPr>
      <w:color w:val="808080"/>
    </w:rPr>
  </w:style>
  <w:style w:type="paragraph" w:styleId="Revisione">
    <w:name w:val="Revision"/>
    <w:hidden/>
    <w:uiPriority w:val="99"/>
    <w:semiHidden/>
    <w:rsid w:val="004A3FC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805">
      <w:bodyDiv w:val="1"/>
      <w:marLeft w:val="0"/>
      <w:marRight w:val="0"/>
      <w:marTop w:val="0"/>
      <w:marBottom w:val="0"/>
      <w:divBdr>
        <w:top w:val="none" w:sz="0" w:space="0" w:color="auto"/>
        <w:left w:val="none" w:sz="0" w:space="0" w:color="auto"/>
        <w:bottom w:val="none" w:sz="0" w:space="0" w:color="auto"/>
        <w:right w:val="none" w:sz="0" w:space="0" w:color="auto"/>
      </w:divBdr>
      <w:divsChild>
        <w:div w:id="524833643">
          <w:marLeft w:val="480"/>
          <w:marRight w:val="0"/>
          <w:marTop w:val="0"/>
          <w:marBottom w:val="0"/>
          <w:divBdr>
            <w:top w:val="none" w:sz="0" w:space="0" w:color="auto"/>
            <w:left w:val="none" w:sz="0" w:space="0" w:color="auto"/>
            <w:bottom w:val="none" w:sz="0" w:space="0" w:color="auto"/>
            <w:right w:val="none" w:sz="0" w:space="0" w:color="auto"/>
          </w:divBdr>
        </w:div>
        <w:div w:id="1596161553">
          <w:marLeft w:val="480"/>
          <w:marRight w:val="0"/>
          <w:marTop w:val="0"/>
          <w:marBottom w:val="0"/>
          <w:divBdr>
            <w:top w:val="none" w:sz="0" w:space="0" w:color="auto"/>
            <w:left w:val="none" w:sz="0" w:space="0" w:color="auto"/>
            <w:bottom w:val="none" w:sz="0" w:space="0" w:color="auto"/>
            <w:right w:val="none" w:sz="0" w:space="0" w:color="auto"/>
          </w:divBdr>
        </w:div>
        <w:div w:id="2050496046">
          <w:marLeft w:val="480"/>
          <w:marRight w:val="0"/>
          <w:marTop w:val="0"/>
          <w:marBottom w:val="0"/>
          <w:divBdr>
            <w:top w:val="none" w:sz="0" w:space="0" w:color="auto"/>
            <w:left w:val="none" w:sz="0" w:space="0" w:color="auto"/>
            <w:bottom w:val="none" w:sz="0" w:space="0" w:color="auto"/>
            <w:right w:val="none" w:sz="0" w:space="0" w:color="auto"/>
          </w:divBdr>
        </w:div>
        <w:div w:id="2018533949">
          <w:marLeft w:val="480"/>
          <w:marRight w:val="0"/>
          <w:marTop w:val="0"/>
          <w:marBottom w:val="0"/>
          <w:divBdr>
            <w:top w:val="none" w:sz="0" w:space="0" w:color="auto"/>
            <w:left w:val="none" w:sz="0" w:space="0" w:color="auto"/>
            <w:bottom w:val="none" w:sz="0" w:space="0" w:color="auto"/>
            <w:right w:val="none" w:sz="0" w:space="0" w:color="auto"/>
          </w:divBdr>
        </w:div>
        <w:div w:id="1574657581">
          <w:marLeft w:val="480"/>
          <w:marRight w:val="0"/>
          <w:marTop w:val="0"/>
          <w:marBottom w:val="0"/>
          <w:divBdr>
            <w:top w:val="none" w:sz="0" w:space="0" w:color="auto"/>
            <w:left w:val="none" w:sz="0" w:space="0" w:color="auto"/>
            <w:bottom w:val="none" w:sz="0" w:space="0" w:color="auto"/>
            <w:right w:val="none" w:sz="0" w:space="0" w:color="auto"/>
          </w:divBdr>
        </w:div>
      </w:divsChild>
    </w:div>
    <w:div w:id="58601337">
      <w:bodyDiv w:val="1"/>
      <w:marLeft w:val="0"/>
      <w:marRight w:val="0"/>
      <w:marTop w:val="0"/>
      <w:marBottom w:val="0"/>
      <w:divBdr>
        <w:top w:val="none" w:sz="0" w:space="0" w:color="auto"/>
        <w:left w:val="none" w:sz="0" w:space="0" w:color="auto"/>
        <w:bottom w:val="none" w:sz="0" w:space="0" w:color="auto"/>
        <w:right w:val="none" w:sz="0" w:space="0" w:color="auto"/>
      </w:divBdr>
    </w:div>
    <w:div w:id="60718131">
      <w:bodyDiv w:val="1"/>
      <w:marLeft w:val="0"/>
      <w:marRight w:val="0"/>
      <w:marTop w:val="0"/>
      <w:marBottom w:val="0"/>
      <w:divBdr>
        <w:top w:val="none" w:sz="0" w:space="0" w:color="auto"/>
        <w:left w:val="none" w:sz="0" w:space="0" w:color="auto"/>
        <w:bottom w:val="none" w:sz="0" w:space="0" w:color="auto"/>
        <w:right w:val="none" w:sz="0" w:space="0" w:color="auto"/>
      </w:divBdr>
      <w:divsChild>
        <w:div w:id="1923952200">
          <w:marLeft w:val="480"/>
          <w:marRight w:val="0"/>
          <w:marTop w:val="0"/>
          <w:marBottom w:val="0"/>
          <w:divBdr>
            <w:top w:val="none" w:sz="0" w:space="0" w:color="auto"/>
            <w:left w:val="none" w:sz="0" w:space="0" w:color="auto"/>
            <w:bottom w:val="none" w:sz="0" w:space="0" w:color="auto"/>
            <w:right w:val="none" w:sz="0" w:space="0" w:color="auto"/>
          </w:divBdr>
        </w:div>
        <w:div w:id="545064791">
          <w:marLeft w:val="480"/>
          <w:marRight w:val="0"/>
          <w:marTop w:val="0"/>
          <w:marBottom w:val="0"/>
          <w:divBdr>
            <w:top w:val="none" w:sz="0" w:space="0" w:color="auto"/>
            <w:left w:val="none" w:sz="0" w:space="0" w:color="auto"/>
            <w:bottom w:val="none" w:sz="0" w:space="0" w:color="auto"/>
            <w:right w:val="none" w:sz="0" w:space="0" w:color="auto"/>
          </w:divBdr>
        </w:div>
        <w:div w:id="354113397">
          <w:marLeft w:val="480"/>
          <w:marRight w:val="0"/>
          <w:marTop w:val="0"/>
          <w:marBottom w:val="0"/>
          <w:divBdr>
            <w:top w:val="none" w:sz="0" w:space="0" w:color="auto"/>
            <w:left w:val="none" w:sz="0" w:space="0" w:color="auto"/>
            <w:bottom w:val="none" w:sz="0" w:space="0" w:color="auto"/>
            <w:right w:val="none" w:sz="0" w:space="0" w:color="auto"/>
          </w:divBdr>
        </w:div>
        <w:div w:id="1211184122">
          <w:marLeft w:val="480"/>
          <w:marRight w:val="0"/>
          <w:marTop w:val="0"/>
          <w:marBottom w:val="0"/>
          <w:divBdr>
            <w:top w:val="none" w:sz="0" w:space="0" w:color="auto"/>
            <w:left w:val="none" w:sz="0" w:space="0" w:color="auto"/>
            <w:bottom w:val="none" w:sz="0" w:space="0" w:color="auto"/>
            <w:right w:val="none" w:sz="0" w:space="0" w:color="auto"/>
          </w:divBdr>
        </w:div>
        <w:div w:id="386412890">
          <w:marLeft w:val="480"/>
          <w:marRight w:val="0"/>
          <w:marTop w:val="0"/>
          <w:marBottom w:val="0"/>
          <w:divBdr>
            <w:top w:val="none" w:sz="0" w:space="0" w:color="auto"/>
            <w:left w:val="none" w:sz="0" w:space="0" w:color="auto"/>
            <w:bottom w:val="none" w:sz="0" w:space="0" w:color="auto"/>
            <w:right w:val="none" w:sz="0" w:space="0" w:color="auto"/>
          </w:divBdr>
        </w:div>
        <w:div w:id="1322736483">
          <w:marLeft w:val="480"/>
          <w:marRight w:val="0"/>
          <w:marTop w:val="0"/>
          <w:marBottom w:val="0"/>
          <w:divBdr>
            <w:top w:val="none" w:sz="0" w:space="0" w:color="auto"/>
            <w:left w:val="none" w:sz="0" w:space="0" w:color="auto"/>
            <w:bottom w:val="none" w:sz="0" w:space="0" w:color="auto"/>
            <w:right w:val="none" w:sz="0" w:space="0" w:color="auto"/>
          </w:divBdr>
        </w:div>
        <w:div w:id="1976981717">
          <w:marLeft w:val="480"/>
          <w:marRight w:val="0"/>
          <w:marTop w:val="0"/>
          <w:marBottom w:val="0"/>
          <w:divBdr>
            <w:top w:val="none" w:sz="0" w:space="0" w:color="auto"/>
            <w:left w:val="none" w:sz="0" w:space="0" w:color="auto"/>
            <w:bottom w:val="none" w:sz="0" w:space="0" w:color="auto"/>
            <w:right w:val="none" w:sz="0" w:space="0" w:color="auto"/>
          </w:divBdr>
        </w:div>
        <w:div w:id="211962536">
          <w:marLeft w:val="480"/>
          <w:marRight w:val="0"/>
          <w:marTop w:val="0"/>
          <w:marBottom w:val="0"/>
          <w:divBdr>
            <w:top w:val="none" w:sz="0" w:space="0" w:color="auto"/>
            <w:left w:val="none" w:sz="0" w:space="0" w:color="auto"/>
            <w:bottom w:val="none" w:sz="0" w:space="0" w:color="auto"/>
            <w:right w:val="none" w:sz="0" w:space="0" w:color="auto"/>
          </w:divBdr>
        </w:div>
        <w:div w:id="590237850">
          <w:marLeft w:val="480"/>
          <w:marRight w:val="0"/>
          <w:marTop w:val="0"/>
          <w:marBottom w:val="0"/>
          <w:divBdr>
            <w:top w:val="none" w:sz="0" w:space="0" w:color="auto"/>
            <w:left w:val="none" w:sz="0" w:space="0" w:color="auto"/>
            <w:bottom w:val="none" w:sz="0" w:space="0" w:color="auto"/>
            <w:right w:val="none" w:sz="0" w:space="0" w:color="auto"/>
          </w:divBdr>
        </w:div>
        <w:div w:id="1400517849">
          <w:marLeft w:val="480"/>
          <w:marRight w:val="0"/>
          <w:marTop w:val="0"/>
          <w:marBottom w:val="0"/>
          <w:divBdr>
            <w:top w:val="none" w:sz="0" w:space="0" w:color="auto"/>
            <w:left w:val="none" w:sz="0" w:space="0" w:color="auto"/>
            <w:bottom w:val="none" w:sz="0" w:space="0" w:color="auto"/>
            <w:right w:val="none" w:sz="0" w:space="0" w:color="auto"/>
          </w:divBdr>
        </w:div>
        <w:div w:id="263609623">
          <w:marLeft w:val="480"/>
          <w:marRight w:val="0"/>
          <w:marTop w:val="0"/>
          <w:marBottom w:val="0"/>
          <w:divBdr>
            <w:top w:val="none" w:sz="0" w:space="0" w:color="auto"/>
            <w:left w:val="none" w:sz="0" w:space="0" w:color="auto"/>
            <w:bottom w:val="none" w:sz="0" w:space="0" w:color="auto"/>
            <w:right w:val="none" w:sz="0" w:space="0" w:color="auto"/>
          </w:divBdr>
        </w:div>
        <w:div w:id="1866365356">
          <w:marLeft w:val="480"/>
          <w:marRight w:val="0"/>
          <w:marTop w:val="0"/>
          <w:marBottom w:val="0"/>
          <w:divBdr>
            <w:top w:val="none" w:sz="0" w:space="0" w:color="auto"/>
            <w:left w:val="none" w:sz="0" w:space="0" w:color="auto"/>
            <w:bottom w:val="none" w:sz="0" w:space="0" w:color="auto"/>
            <w:right w:val="none" w:sz="0" w:space="0" w:color="auto"/>
          </w:divBdr>
        </w:div>
        <w:div w:id="1648589026">
          <w:marLeft w:val="480"/>
          <w:marRight w:val="0"/>
          <w:marTop w:val="0"/>
          <w:marBottom w:val="0"/>
          <w:divBdr>
            <w:top w:val="none" w:sz="0" w:space="0" w:color="auto"/>
            <w:left w:val="none" w:sz="0" w:space="0" w:color="auto"/>
            <w:bottom w:val="none" w:sz="0" w:space="0" w:color="auto"/>
            <w:right w:val="none" w:sz="0" w:space="0" w:color="auto"/>
          </w:divBdr>
        </w:div>
        <w:div w:id="666519571">
          <w:marLeft w:val="480"/>
          <w:marRight w:val="0"/>
          <w:marTop w:val="0"/>
          <w:marBottom w:val="0"/>
          <w:divBdr>
            <w:top w:val="none" w:sz="0" w:space="0" w:color="auto"/>
            <w:left w:val="none" w:sz="0" w:space="0" w:color="auto"/>
            <w:bottom w:val="none" w:sz="0" w:space="0" w:color="auto"/>
            <w:right w:val="none" w:sz="0" w:space="0" w:color="auto"/>
          </w:divBdr>
        </w:div>
        <w:div w:id="251090947">
          <w:marLeft w:val="480"/>
          <w:marRight w:val="0"/>
          <w:marTop w:val="0"/>
          <w:marBottom w:val="0"/>
          <w:divBdr>
            <w:top w:val="none" w:sz="0" w:space="0" w:color="auto"/>
            <w:left w:val="none" w:sz="0" w:space="0" w:color="auto"/>
            <w:bottom w:val="none" w:sz="0" w:space="0" w:color="auto"/>
            <w:right w:val="none" w:sz="0" w:space="0" w:color="auto"/>
          </w:divBdr>
        </w:div>
        <w:div w:id="480925629">
          <w:marLeft w:val="480"/>
          <w:marRight w:val="0"/>
          <w:marTop w:val="0"/>
          <w:marBottom w:val="0"/>
          <w:divBdr>
            <w:top w:val="none" w:sz="0" w:space="0" w:color="auto"/>
            <w:left w:val="none" w:sz="0" w:space="0" w:color="auto"/>
            <w:bottom w:val="none" w:sz="0" w:space="0" w:color="auto"/>
            <w:right w:val="none" w:sz="0" w:space="0" w:color="auto"/>
          </w:divBdr>
        </w:div>
      </w:divsChild>
    </w:div>
    <w:div w:id="91360918">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99784744">
      <w:bodyDiv w:val="1"/>
      <w:marLeft w:val="0"/>
      <w:marRight w:val="0"/>
      <w:marTop w:val="0"/>
      <w:marBottom w:val="0"/>
      <w:divBdr>
        <w:top w:val="none" w:sz="0" w:space="0" w:color="auto"/>
        <w:left w:val="none" w:sz="0" w:space="0" w:color="auto"/>
        <w:bottom w:val="none" w:sz="0" w:space="0" w:color="auto"/>
        <w:right w:val="none" w:sz="0" w:space="0" w:color="auto"/>
      </w:divBdr>
    </w:div>
    <w:div w:id="200291869">
      <w:bodyDiv w:val="1"/>
      <w:marLeft w:val="0"/>
      <w:marRight w:val="0"/>
      <w:marTop w:val="0"/>
      <w:marBottom w:val="0"/>
      <w:divBdr>
        <w:top w:val="none" w:sz="0" w:space="0" w:color="auto"/>
        <w:left w:val="none" w:sz="0" w:space="0" w:color="auto"/>
        <w:bottom w:val="none" w:sz="0" w:space="0" w:color="auto"/>
        <w:right w:val="none" w:sz="0" w:space="0" w:color="auto"/>
      </w:divBdr>
      <w:divsChild>
        <w:div w:id="901017926">
          <w:marLeft w:val="480"/>
          <w:marRight w:val="0"/>
          <w:marTop w:val="0"/>
          <w:marBottom w:val="0"/>
          <w:divBdr>
            <w:top w:val="none" w:sz="0" w:space="0" w:color="auto"/>
            <w:left w:val="none" w:sz="0" w:space="0" w:color="auto"/>
            <w:bottom w:val="none" w:sz="0" w:space="0" w:color="auto"/>
            <w:right w:val="none" w:sz="0" w:space="0" w:color="auto"/>
          </w:divBdr>
        </w:div>
        <w:div w:id="988246919">
          <w:marLeft w:val="480"/>
          <w:marRight w:val="0"/>
          <w:marTop w:val="0"/>
          <w:marBottom w:val="0"/>
          <w:divBdr>
            <w:top w:val="none" w:sz="0" w:space="0" w:color="auto"/>
            <w:left w:val="none" w:sz="0" w:space="0" w:color="auto"/>
            <w:bottom w:val="none" w:sz="0" w:space="0" w:color="auto"/>
            <w:right w:val="none" w:sz="0" w:space="0" w:color="auto"/>
          </w:divBdr>
        </w:div>
        <w:div w:id="925696426">
          <w:marLeft w:val="480"/>
          <w:marRight w:val="0"/>
          <w:marTop w:val="0"/>
          <w:marBottom w:val="0"/>
          <w:divBdr>
            <w:top w:val="none" w:sz="0" w:space="0" w:color="auto"/>
            <w:left w:val="none" w:sz="0" w:space="0" w:color="auto"/>
            <w:bottom w:val="none" w:sz="0" w:space="0" w:color="auto"/>
            <w:right w:val="none" w:sz="0" w:space="0" w:color="auto"/>
          </w:divBdr>
        </w:div>
        <w:div w:id="1575120703">
          <w:marLeft w:val="480"/>
          <w:marRight w:val="0"/>
          <w:marTop w:val="0"/>
          <w:marBottom w:val="0"/>
          <w:divBdr>
            <w:top w:val="none" w:sz="0" w:space="0" w:color="auto"/>
            <w:left w:val="none" w:sz="0" w:space="0" w:color="auto"/>
            <w:bottom w:val="none" w:sz="0" w:space="0" w:color="auto"/>
            <w:right w:val="none" w:sz="0" w:space="0" w:color="auto"/>
          </w:divBdr>
        </w:div>
        <w:div w:id="1599943716">
          <w:marLeft w:val="480"/>
          <w:marRight w:val="0"/>
          <w:marTop w:val="0"/>
          <w:marBottom w:val="0"/>
          <w:divBdr>
            <w:top w:val="none" w:sz="0" w:space="0" w:color="auto"/>
            <w:left w:val="none" w:sz="0" w:space="0" w:color="auto"/>
            <w:bottom w:val="none" w:sz="0" w:space="0" w:color="auto"/>
            <w:right w:val="none" w:sz="0" w:space="0" w:color="auto"/>
          </w:divBdr>
        </w:div>
        <w:div w:id="1362130701">
          <w:marLeft w:val="480"/>
          <w:marRight w:val="0"/>
          <w:marTop w:val="0"/>
          <w:marBottom w:val="0"/>
          <w:divBdr>
            <w:top w:val="none" w:sz="0" w:space="0" w:color="auto"/>
            <w:left w:val="none" w:sz="0" w:space="0" w:color="auto"/>
            <w:bottom w:val="none" w:sz="0" w:space="0" w:color="auto"/>
            <w:right w:val="none" w:sz="0" w:space="0" w:color="auto"/>
          </w:divBdr>
        </w:div>
        <w:div w:id="1265572693">
          <w:marLeft w:val="480"/>
          <w:marRight w:val="0"/>
          <w:marTop w:val="0"/>
          <w:marBottom w:val="0"/>
          <w:divBdr>
            <w:top w:val="none" w:sz="0" w:space="0" w:color="auto"/>
            <w:left w:val="none" w:sz="0" w:space="0" w:color="auto"/>
            <w:bottom w:val="none" w:sz="0" w:space="0" w:color="auto"/>
            <w:right w:val="none" w:sz="0" w:space="0" w:color="auto"/>
          </w:divBdr>
        </w:div>
        <w:div w:id="294603658">
          <w:marLeft w:val="480"/>
          <w:marRight w:val="0"/>
          <w:marTop w:val="0"/>
          <w:marBottom w:val="0"/>
          <w:divBdr>
            <w:top w:val="none" w:sz="0" w:space="0" w:color="auto"/>
            <w:left w:val="none" w:sz="0" w:space="0" w:color="auto"/>
            <w:bottom w:val="none" w:sz="0" w:space="0" w:color="auto"/>
            <w:right w:val="none" w:sz="0" w:space="0" w:color="auto"/>
          </w:divBdr>
        </w:div>
        <w:div w:id="2084715368">
          <w:marLeft w:val="480"/>
          <w:marRight w:val="0"/>
          <w:marTop w:val="0"/>
          <w:marBottom w:val="0"/>
          <w:divBdr>
            <w:top w:val="none" w:sz="0" w:space="0" w:color="auto"/>
            <w:left w:val="none" w:sz="0" w:space="0" w:color="auto"/>
            <w:bottom w:val="none" w:sz="0" w:space="0" w:color="auto"/>
            <w:right w:val="none" w:sz="0" w:space="0" w:color="auto"/>
          </w:divBdr>
        </w:div>
        <w:div w:id="389230505">
          <w:marLeft w:val="480"/>
          <w:marRight w:val="0"/>
          <w:marTop w:val="0"/>
          <w:marBottom w:val="0"/>
          <w:divBdr>
            <w:top w:val="none" w:sz="0" w:space="0" w:color="auto"/>
            <w:left w:val="none" w:sz="0" w:space="0" w:color="auto"/>
            <w:bottom w:val="none" w:sz="0" w:space="0" w:color="auto"/>
            <w:right w:val="none" w:sz="0" w:space="0" w:color="auto"/>
          </w:divBdr>
        </w:div>
        <w:div w:id="1923293332">
          <w:marLeft w:val="480"/>
          <w:marRight w:val="0"/>
          <w:marTop w:val="0"/>
          <w:marBottom w:val="0"/>
          <w:divBdr>
            <w:top w:val="none" w:sz="0" w:space="0" w:color="auto"/>
            <w:left w:val="none" w:sz="0" w:space="0" w:color="auto"/>
            <w:bottom w:val="none" w:sz="0" w:space="0" w:color="auto"/>
            <w:right w:val="none" w:sz="0" w:space="0" w:color="auto"/>
          </w:divBdr>
        </w:div>
        <w:div w:id="1776168089">
          <w:marLeft w:val="480"/>
          <w:marRight w:val="0"/>
          <w:marTop w:val="0"/>
          <w:marBottom w:val="0"/>
          <w:divBdr>
            <w:top w:val="none" w:sz="0" w:space="0" w:color="auto"/>
            <w:left w:val="none" w:sz="0" w:space="0" w:color="auto"/>
            <w:bottom w:val="none" w:sz="0" w:space="0" w:color="auto"/>
            <w:right w:val="none" w:sz="0" w:space="0" w:color="auto"/>
          </w:divBdr>
        </w:div>
        <w:div w:id="1919484928">
          <w:marLeft w:val="480"/>
          <w:marRight w:val="0"/>
          <w:marTop w:val="0"/>
          <w:marBottom w:val="0"/>
          <w:divBdr>
            <w:top w:val="none" w:sz="0" w:space="0" w:color="auto"/>
            <w:left w:val="none" w:sz="0" w:space="0" w:color="auto"/>
            <w:bottom w:val="none" w:sz="0" w:space="0" w:color="auto"/>
            <w:right w:val="none" w:sz="0" w:space="0" w:color="auto"/>
          </w:divBdr>
        </w:div>
        <w:div w:id="1837112592">
          <w:marLeft w:val="480"/>
          <w:marRight w:val="0"/>
          <w:marTop w:val="0"/>
          <w:marBottom w:val="0"/>
          <w:divBdr>
            <w:top w:val="none" w:sz="0" w:space="0" w:color="auto"/>
            <w:left w:val="none" w:sz="0" w:space="0" w:color="auto"/>
            <w:bottom w:val="none" w:sz="0" w:space="0" w:color="auto"/>
            <w:right w:val="none" w:sz="0" w:space="0" w:color="auto"/>
          </w:divBdr>
        </w:div>
      </w:divsChild>
    </w:div>
    <w:div w:id="290675751">
      <w:bodyDiv w:val="1"/>
      <w:marLeft w:val="0"/>
      <w:marRight w:val="0"/>
      <w:marTop w:val="0"/>
      <w:marBottom w:val="0"/>
      <w:divBdr>
        <w:top w:val="none" w:sz="0" w:space="0" w:color="auto"/>
        <w:left w:val="none" w:sz="0" w:space="0" w:color="auto"/>
        <w:bottom w:val="none" w:sz="0" w:space="0" w:color="auto"/>
        <w:right w:val="none" w:sz="0" w:space="0" w:color="auto"/>
      </w:divBdr>
    </w:div>
    <w:div w:id="296181659">
      <w:bodyDiv w:val="1"/>
      <w:marLeft w:val="0"/>
      <w:marRight w:val="0"/>
      <w:marTop w:val="0"/>
      <w:marBottom w:val="0"/>
      <w:divBdr>
        <w:top w:val="none" w:sz="0" w:space="0" w:color="auto"/>
        <w:left w:val="none" w:sz="0" w:space="0" w:color="auto"/>
        <w:bottom w:val="none" w:sz="0" w:space="0" w:color="auto"/>
        <w:right w:val="none" w:sz="0" w:space="0" w:color="auto"/>
      </w:divBdr>
      <w:divsChild>
        <w:div w:id="26948958">
          <w:marLeft w:val="480"/>
          <w:marRight w:val="0"/>
          <w:marTop w:val="0"/>
          <w:marBottom w:val="0"/>
          <w:divBdr>
            <w:top w:val="none" w:sz="0" w:space="0" w:color="auto"/>
            <w:left w:val="none" w:sz="0" w:space="0" w:color="auto"/>
            <w:bottom w:val="none" w:sz="0" w:space="0" w:color="auto"/>
            <w:right w:val="none" w:sz="0" w:space="0" w:color="auto"/>
          </w:divBdr>
        </w:div>
        <w:div w:id="2119980933">
          <w:marLeft w:val="480"/>
          <w:marRight w:val="0"/>
          <w:marTop w:val="0"/>
          <w:marBottom w:val="0"/>
          <w:divBdr>
            <w:top w:val="none" w:sz="0" w:space="0" w:color="auto"/>
            <w:left w:val="none" w:sz="0" w:space="0" w:color="auto"/>
            <w:bottom w:val="none" w:sz="0" w:space="0" w:color="auto"/>
            <w:right w:val="none" w:sz="0" w:space="0" w:color="auto"/>
          </w:divBdr>
        </w:div>
        <w:div w:id="518547106">
          <w:marLeft w:val="480"/>
          <w:marRight w:val="0"/>
          <w:marTop w:val="0"/>
          <w:marBottom w:val="0"/>
          <w:divBdr>
            <w:top w:val="none" w:sz="0" w:space="0" w:color="auto"/>
            <w:left w:val="none" w:sz="0" w:space="0" w:color="auto"/>
            <w:bottom w:val="none" w:sz="0" w:space="0" w:color="auto"/>
            <w:right w:val="none" w:sz="0" w:space="0" w:color="auto"/>
          </w:divBdr>
        </w:div>
        <w:div w:id="87776542">
          <w:marLeft w:val="480"/>
          <w:marRight w:val="0"/>
          <w:marTop w:val="0"/>
          <w:marBottom w:val="0"/>
          <w:divBdr>
            <w:top w:val="none" w:sz="0" w:space="0" w:color="auto"/>
            <w:left w:val="none" w:sz="0" w:space="0" w:color="auto"/>
            <w:bottom w:val="none" w:sz="0" w:space="0" w:color="auto"/>
            <w:right w:val="none" w:sz="0" w:space="0" w:color="auto"/>
          </w:divBdr>
        </w:div>
        <w:div w:id="1515413381">
          <w:marLeft w:val="480"/>
          <w:marRight w:val="0"/>
          <w:marTop w:val="0"/>
          <w:marBottom w:val="0"/>
          <w:divBdr>
            <w:top w:val="none" w:sz="0" w:space="0" w:color="auto"/>
            <w:left w:val="none" w:sz="0" w:space="0" w:color="auto"/>
            <w:bottom w:val="none" w:sz="0" w:space="0" w:color="auto"/>
            <w:right w:val="none" w:sz="0" w:space="0" w:color="auto"/>
          </w:divBdr>
        </w:div>
        <w:div w:id="250353800">
          <w:marLeft w:val="480"/>
          <w:marRight w:val="0"/>
          <w:marTop w:val="0"/>
          <w:marBottom w:val="0"/>
          <w:divBdr>
            <w:top w:val="none" w:sz="0" w:space="0" w:color="auto"/>
            <w:left w:val="none" w:sz="0" w:space="0" w:color="auto"/>
            <w:bottom w:val="none" w:sz="0" w:space="0" w:color="auto"/>
            <w:right w:val="none" w:sz="0" w:space="0" w:color="auto"/>
          </w:divBdr>
        </w:div>
        <w:div w:id="959461333">
          <w:marLeft w:val="480"/>
          <w:marRight w:val="0"/>
          <w:marTop w:val="0"/>
          <w:marBottom w:val="0"/>
          <w:divBdr>
            <w:top w:val="none" w:sz="0" w:space="0" w:color="auto"/>
            <w:left w:val="none" w:sz="0" w:space="0" w:color="auto"/>
            <w:bottom w:val="none" w:sz="0" w:space="0" w:color="auto"/>
            <w:right w:val="none" w:sz="0" w:space="0" w:color="auto"/>
          </w:divBdr>
        </w:div>
        <w:div w:id="1841657357">
          <w:marLeft w:val="480"/>
          <w:marRight w:val="0"/>
          <w:marTop w:val="0"/>
          <w:marBottom w:val="0"/>
          <w:divBdr>
            <w:top w:val="none" w:sz="0" w:space="0" w:color="auto"/>
            <w:left w:val="none" w:sz="0" w:space="0" w:color="auto"/>
            <w:bottom w:val="none" w:sz="0" w:space="0" w:color="auto"/>
            <w:right w:val="none" w:sz="0" w:space="0" w:color="auto"/>
          </w:divBdr>
        </w:div>
        <w:div w:id="1858500025">
          <w:marLeft w:val="480"/>
          <w:marRight w:val="0"/>
          <w:marTop w:val="0"/>
          <w:marBottom w:val="0"/>
          <w:divBdr>
            <w:top w:val="none" w:sz="0" w:space="0" w:color="auto"/>
            <w:left w:val="none" w:sz="0" w:space="0" w:color="auto"/>
            <w:bottom w:val="none" w:sz="0" w:space="0" w:color="auto"/>
            <w:right w:val="none" w:sz="0" w:space="0" w:color="auto"/>
          </w:divBdr>
        </w:div>
        <w:div w:id="1749424150">
          <w:marLeft w:val="480"/>
          <w:marRight w:val="0"/>
          <w:marTop w:val="0"/>
          <w:marBottom w:val="0"/>
          <w:divBdr>
            <w:top w:val="none" w:sz="0" w:space="0" w:color="auto"/>
            <w:left w:val="none" w:sz="0" w:space="0" w:color="auto"/>
            <w:bottom w:val="none" w:sz="0" w:space="0" w:color="auto"/>
            <w:right w:val="none" w:sz="0" w:space="0" w:color="auto"/>
          </w:divBdr>
        </w:div>
        <w:div w:id="499080069">
          <w:marLeft w:val="480"/>
          <w:marRight w:val="0"/>
          <w:marTop w:val="0"/>
          <w:marBottom w:val="0"/>
          <w:divBdr>
            <w:top w:val="none" w:sz="0" w:space="0" w:color="auto"/>
            <w:left w:val="none" w:sz="0" w:space="0" w:color="auto"/>
            <w:bottom w:val="none" w:sz="0" w:space="0" w:color="auto"/>
            <w:right w:val="none" w:sz="0" w:space="0" w:color="auto"/>
          </w:divBdr>
        </w:div>
        <w:div w:id="849489713">
          <w:marLeft w:val="480"/>
          <w:marRight w:val="0"/>
          <w:marTop w:val="0"/>
          <w:marBottom w:val="0"/>
          <w:divBdr>
            <w:top w:val="none" w:sz="0" w:space="0" w:color="auto"/>
            <w:left w:val="none" w:sz="0" w:space="0" w:color="auto"/>
            <w:bottom w:val="none" w:sz="0" w:space="0" w:color="auto"/>
            <w:right w:val="none" w:sz="0" w:space="0" w:color="auto"/>
          </w:divBdr>
        </w:div>
      </w:divsChild>
    </w:div>
    <w:div w:id="340787862">
      <w:bodyDiv w:val="1"/>
      <w:marLeft w:val="0"/>
      <w:marRight w:val="0"/>
      <w:marTop w:val="0"/>
      <w:marBottom w:val="0"/>
      <w:divBdr>
        <w:top w:val="none" w:sz="0" w:space="0" w:color="auto"/>
        <w:left w:val="none" w:sz="0" w:space="0" w:color="auto"/>
        <w:bottom w:val="none" w:sz="0" w:space="0" w:color="auto"/>
        <w:right w:val="none" w:sz="0" w:space="0" w:color="auto"/>
      </w:divBdr>
    </w:div>
    <w:div w:id="343943718">
      <w:bodyDiv w:val="1"/>
      <w:marLeft w:val="0"/>
      <w:marRight w:val="0"/>
      <w:marTop w:val="0"/>
      <w:marBottom w:val="0"/>
      <w:divBdr>
        <w:top w:val="none" w:sz="0" w:space="0" w:color="auto"/>
        <w:left w:val="none" w:sz="0" w:space="0" w:color="auto"/>
        <w:bottom w:val="none" w:sz="0" w:space="0" w:color="auto"/>
        <w:right w:val="none" w:sz="0" w:space="0" w:color="auto"/>
      </w:divBdr>
      <w:divsChild>
        <w:div w:id="1441295772">
          <w:marLeft w:val="480"/>
          <w:marRight w:val="0"/>
          <w:marTop w:val="0"/>
          <w:marBottom w:val="0"/>
          <w:divBdr>
            <w:top w:val="none" w:sz="0" w:space="0" w:color="auto"/>
            <w:left w:val="none" w:sz="0" w:space="0" w:color="auto"/>
            <w:bottom w:val="none" w:sz="0" w:space="0" w:color="auto"/>
            <w:right w:val="none" w:sz="0" w:space="0" w:color="auto"/>
          </w:divBdr>
        </w:div>
        <w:div w:id="733433715">
          <w:marLeft w:val="480"/>
          <w:marRight w:val="0"/>
          <w:marTop w:val="0"/>
          <w:marBottom w:val="0"/>
          <w:divBdr>
            <w:top w:val="none" w:sz="0" w:space="0" w:color="auto"/>
            <w:left w:val="none" w:sz="0" w:space="0" w:color="auto"/>
            <w:bottom w:val="none" w:sz="0" w:space="0" w:color="auto"/>
            <w:right w:val="none" w:sz="0" w:space="0" w:color="auto"/>
          </w:divBdr>
        </w:div>
        <w:div w:id="2112237398">
          <w:marLeft w:val="480"/>
          <w:marRight w:val="0"/>
          <w:marTop w:val="0"/>
          <w:marBottom w:val="0"/>
          <w:divBdr>
            <w:top w:val="none" w:sz="0" w:space="0" w:color="auto"/>
            <w:left w:val="none" w:sz="0" w:space="0" w:color="auto"/>
            <w:bottom w:val="none" w:sz="0" w:space="0" w:color="auto"/>
            <w:right w:val="none" w:sz="0" w:space="0" w:color="auto"/>
          </w:divBdr>
        </w:div>
        <w:div w:id="354579560">
          <w:marLeft w:val="480"/>
          <w:marRight w:val="0"/>
          <w:marTop w:val="0"/>
          <w:marBottom w:val="0"/>
          <w:divBdr>
            <w:top w:val="none" w:sz="0" w:space="0" w:color="auto"/>
            <w:left w:val="none" w:sz="0" w:space="0" w:color="auto"/>
            <w:bottom w:val="none" w:sz="0" w:space="0" w:color="auto"/>
            <w:right w:val="none" w:sz="0" w:space="0" w:color="auto"/>
          </w:divBdr>
        </w:div>
        <w:div w:id="1918436563">
          <w:marLeft w:val="480"/>
          <w:marRight w:val="0"/>
          <w:marTop w:val="0"/>
          <w:marBottom w:val="0"/>
          <w:divBdr>
            <w:top w:val="none" w:sz="0" w:space="0" w:color="auto"/>
            <w:left w:val="none" w:sz="0" w:space="0" w:color="auto"/>
            <w:bottom w:val="none" w:sz="0" w:space="0" w:color="auto"/>
            <w:right w:val="none" w:sz="0" w:space="0" w:color="auto"/>
          </w:divBdr>
        </w:div>
        <w:div w:id="205680510">
          <w:marLeft w:val="480"/>
          <w:marRight w:val="0"/>
          <w:marTop w:val="0"/>
          <w:marBottom w:val="0"/>
          <w:divBdr>
            <w:top w:val="none" w:sz="0" w:space="0" w:color="auto"/>
            <w:left w:val="none" w:sz="0" w:space="0" w:color="auto"/>
            <w:bottom w:val="none" w:sz="0" w:space="0" w:color="auto"/>
            <w:right w:val="none" w:sz="0" w:space="0" w:color="auto"/>
          </w:divBdr>
        </w:div>
        <w:div w:id="1766462569">
          <w:marLeft w:val="480"/>
          <w:marRight w:val="0"/>
          <w:marTop w:val="0"/>
          <w:marBottom w:val="0"/>
          <w:divBdr>
            <w:top w:val="none" w:sz="0" w:space="0" w:color="auto"/>
            <w:left w:val="none" w:sz="0" w:space="0" w:color="auto"/>
            <w:bottom w:val="none" w:sz="0" w:space="0" w:color="auto"/>
            <w:right w:val="none" w:sz="0" w:space="0" w:color="auto"/>
          </w:divBdr>
        </w:div>
        <w:div w:id="349333514">
          <w:marLeft w:val="480"/>
          <w:marRight w:val="0"/>
          <w:marTop w:val="0"/>
          <w:marBottom w:val="0"/>
          <w:divBdr>
            <w:top w:val="none" w:sz="0" w:space="0" w:color="auto"/>
            <w:left w:val="none" w:sz="0" w:space="0" w:color="auto"/>
            <w:bottom w:val="none" w:sz="0" w:space="0" w:color="auto"/>
            <w:right w:val="none" w:sz="0" w:space="0" w:color="auto"/>
          </w:divBdr>
        </w:div>
        <w:div w:id="2016565286">
          <w:marLeft w:val="480"/>
          <w:marRight w:val="0"/>
          <w:marTop w:val="0"/>
          <w:marBottom w:val="0"/>
          <w:divBdr>
            <w:top w:val="none" w:sz="0" w:space="0" w:color="auto"/>
            <w:left w:val="none" w:sz="0" w:space="0" w:color="auto"/>
            <w:bottom w:val="none" w:sz="0" w:space="0" w:color="auto"/>
            <w:right w:val="none" w:sz="0" w:space="0" w:color="auto"/>
          </w:divBdr>
        </w:div>
        <w:div w:id="1431857763">
          <w:marLeft w:val="480"/>
          <w:marRight w:val="0"/>
          <w:marTop w:val="0"/>
          <w:marBottom w:val="0"/>
          <w:divBdr>
            <w:top w:val="none" w:sz="0" w:space="0" w:color="auto"/>
            <w:left w:val="none" w:sz="0" w:space="0" w:color="auto"/>
            <w:bottom w:val="none" w:sz="0" w:space="0" w:color="auto"/>
            <w:right w:val="none" w:sz="0" w:space="0" w:color="auto"/>
          </w:divBdr>
        </w:div>
        <w:div w:id="188027233">
          <w:marLeft w:val="480"/>
          <w:marRight w:val="0"/>
          <w:marTop w:val="0"/>
          <w:marBottom w:val="0"/>
          <w:divBdr>
            <w:top w:val="none" w:sz="0" w:space="0" w:color="auto"/>
            <w:left w:val="none" w:sz="0" w:space="0" w:color="auto"/>
            <w:bottom w:val="none" w:sz="0" w:space="0" w:color="auto"/>
            <w:right w:val="none" w:sz="0" w:space="0" w:color="auto"/>
          </w:divBdr>
        </w:div>
        <w:div w:id="881552099">
          <w:marLeft w:val="480"/>
          <w:marRight w:val="0"/>
          <w:marTop w:val="0"/>
          <w:marBottom w:val="0"/>
          <w:divBdr>
            <w:top w:val="none" w:sz="0" w:space="0" w:color="auto"/>
            <w:left w:val="none" w:sz="0" w:space="0" w:color="auto"/>
            <w:bottom w:val="none" w:sz="0" w:space="0" w:color="auto"/>
            <w:right w:val="none" w:sz="0" w:space="0" w:color="auto"/>
          </w:divBdr>
        </w:div>
        <w:div w:id="505898338">
          <w:marLeft w:val="480"/>
          <w:marRight w:val="0"/>
          <w:marTop w:val="0"/>
          <w:marBottom w:val="0"/>
          <w:divBdr>
            <w:top w:val="none" w:sz="0" w:space="0" w:color="auto"/>
            <w:left w:val="none" w:sz="0" w:space="0" w:color="auto"/>
            <w:bottom w:val="none" w:sz="0" w:space="0" w:color="auto"/>
            <w:right w:val="none" w:sz="0" w:space="0" w:color="auto"/>
          </w:divBdr>
        </w:div>
      </w:divsChild>
    </w:div>
    <w:div w:id="375080509">
      <w:bodyDiv w:val="1"/>
      <w:marLeft w:val="0"/>
      <w:marRight w:val="0"/>
      <w:marTop w:val="0"/>
      <w:marBottom w:val="0"/>
      <w:divBdr>
        <w:top w:val="none" w:sz="0" w:space="0" w:color="auto"/>
        <w:left w:val="none" w:sz="0" w:space="0" w:color="auto"/>
        <w:bottom w:val="none" w:sz="0" w:space="0" w:color="auto"/>
        <w:right w:val="none" w:sz="0" w:space="0" w:color="auto"/>
      </w:divBdr>
    </w:div>
    <w:div w:id="386029909">
      <w:bodyDiv w:val="1"/>
      <w:marLeft w:val="0"/>
      <w:marRight w:val="0"/>
      <w:marTop w:val="0"/>
      <w:marBottom w:val="0"/>
      <w:divBdr>
        <w:top w:val="none" w:sz="0" w:space="0" w:color="auto"/>
        <w:left w:val="none" w:sz="0" w:space="0" w:color="auto"/>
        <w:bottom w:val="none" w:sz="0" w:space="0" w:color="auto"/>
        <w:right w:val="none" w:sz="0" w:space="0" w:color="auto"/>
      </w:divBdr>
      <w:divsChild>
        <w:div w:id="996149894">
          <w:marLeft w:val="480"/>
          <w:marRight w:val="0"/>
          <w:marTop w:val="0"/>
          <w:marBottom w:val="0"/>
          <w:divBdr>
            <w:top w:val="none" w:sz="0" w:space="0" w:color="auto"/>
            <w:left w:val="none" w:sz="0" w:space="0" w:color="auto"/>
            <w:bottom w:val="none" w:sz="0" w:space="0" w:color="auto"/>
            <w:right w:val="none" w:sz="0" w:space="0" w:color="auto"/>
          </w:divBdr>
        </w:div>
        <w:div w:id="1208372485">
          <w:marLeft w:val="480"/>
          <w:marRight w:val="0"/>
          <w:marTop w:val="0"/>
          <w:marBottom w:val="0"/>
          <w:divBdr>
            <w:top w:val="none" w:sz="0" w:space="0" w:color="auto"/>
            <w:left w:val="none" w:sz="0" w:space="0" w:color="auto"/>
            <w:bottom w:val="none" w:sz="0" w:space="0" w:color="auto"/>
            <w:right w:val="none" w:sz="0" w:space="0" w:color="auto"/>
          </w:divBdr>
        </w:div>
        <w:div w:id="1713311843">
          <w:marLeft w:val="480"/>
          <w:marRight w:val="0"/>
          <w:marTop w:val="0"/>
          <w:marBottom w:val="0"/>
          <w:divBdr>
            <w:top w:val="none" w:sz="0" w:space="0" w:color="auto"/>
            <w:left w:val="none" w:sz="0" w:space="0" w:color="auto"/>
            <w:bottom w:val="none" w:sz="0" w:space="0" w:color="auto"/>
            <w:right w:val="none" w:sz="0" w:space="0" w:color="auto"/>
          </w:divBdr>
        </w:div>
        <w:div w:id="568853677">
          <w:marLeft w:val="480"/>
          <w:marRight w:val="0"/>
          <w:marTop w:val="0"/>
          <w:marBottom w:val="0"/>
          <w:divBdr>
            <w:top w:val="none" w:sz="0" w:space="0" w:color="auto"/>
            <w:left w:val="none" w:sz="0" w:space="0" w:color="auto"/>
            <w:bottom w:val="none" w:sz="0" w:space="0" w:color="auto"/>
            <w:right w:val="none" w:sz="0" w:space="0" w:color="auto"/>
          </w:divBdr>
        </w:div>
        <w:div w:id="1756513615">
          <w:marLeft w:val="480"/>
          <w:marRight w:val="0"/>
          <w:marTop w:val="0"/>
          <w:marBottom w:val="0"/>
          <w:divBdr>
            <w:top w:val="none" w:sz="0" w:space="0" w:color="auto"/>
            <w:left w:val="none" w:sz="0" w:space="0" w:color="auto"/>
            <w:bottom w:val="none" w:sz="0" w:space="0" w:color="auto"/>
            <w:right w:val="none" w:sz="0" w:space="0" w:color="auto"/>
          </w:divBdr>
        </w:div>
        <w:div w:id="2077505059">
          <w:marLeft w:val="480"/>
          <w:marRight w:val="0"/>
          <w:marTop w:val="0"/>
          <w:marBottom w:val="0"/>
          <w:divBdr>
            <w:top w:val="none" w:sz="0" w:space="0" w:color="auto"/>
            <w:left w:val="none" w:sz="0" w:space="0" w:color="auto"/>
            <w:bottom w:val="none" w:sz="0" w:space="0" w:color="auto"/>
            <w:right w:val="none" w:sz="0" w:space="0" w:color="auto"/>
          </w:divBdr>
        </w:div>
        <w:div w:id="1812209649">
          <w:marLeft w:val="480"/>
          <w:marRight w:val="0"/>
          <w:marTop w:val="0"/>
          <w:marBottom w:val="0"/>
          <w:divBdr>
            <w:top w:val="none" w:sz="0" w:space="0" w:color="auto"/>
            <w:left w:val="none" w:sz="0" w:space="0" w:color="auto"/>
            <w:bottom w:val="none" w:sz="0" w:space="0" w:color="auto"/>
            <w:right w:val="none" w:sz="0" w:space="0" w:color="auto"/>
          </w:divBdr>
        </w:div>
        <w:div w:id="1605529942">
          <w:marLeft w:val="480"/>
          <w:marRight w:val="0"/>
          <w:marTop w:val="0"/>
          <w:marBottom w:val="0"/>
          <w:divBdr>
            <w:top w:val="none" w:sz="0" w:space="0" w:color="auto"/>
            <w:left w:val="none" w:sz="0" w:space="0" w:color="auto"/>
            <w:bottom w:val="none" w:sz="0" w:space="0" w:color="auto"/>
            <w:right w:val="none" w:sz="0" w:space="0" w:color="auto"/>
          </w:divBdr>
        </w:div>
        <w:div w:id="115956427">
          <w:marLeft w:val="480"/>
          <w:marRight w:val="0"/>
          <w:marTop w:val="0"/>
          <w:marBottom w:val="0"/>
          <w:divBdr>
            <w:top w:val="none" w:sz="0" w:space="0" w:color="auto"/>
            <w:left w:val="none" w:sz="0" w:space="0" w:color="auto"/>
            <w:bottom w:val="none" w:sz="0" w:space="0" w:color="auto"/>
            <w:right w:val="none" w:sz="0" w:space="0" w:color="auto"/>
          </w:divBdr>
        </w:div>
        <w:div w:id="1384594340">
          <w:marLeft w:val="480"/>
          <w:marRight w:val="0"/>
          <w:marTop w:val="0"/>
          <w:marBottom w:val="0"/>
          <w:divBdr>
            <w:top w:val="none" w:sz="0" w:space="0" w:color="auto"/>
            <w:left w:val="none" w:sz="0" w:space="0" w:color="auto"/>
            <w:bottom w:val="none" w:sz="0" w:space="0" w:color="auto"/>
            <w:right w:val="none" w:sz="0" w:space="0" w:color="auto"/>
          </w:divBdr>
        </w:div>
        <w:div w:id="250823621">
          <w:marLeft w:val="480"/>
          <w:marRight w:val="0"/>
          <w:marTop w:val="0"/>
          <w:marBottom w:val="0"/>
          <w:divBdr>
            <w:top w:val="none" w:sz="0" w:space="0" w:color="auto"/>
            <w:left w:val="none" w:sz="0" w:space="0" w:color="auto"/>
            <w:bottom w:val="none" w:sz="0" w:space="0" w:color="auto"/>
            <w:right w:val="none" w:sz="0" w:space="0" w:color="auto"/>
          </w:divBdr>
        </w:div>
        <w:div w:id="2141143719">
          <w:marLeft w:val="480"/>
          <w:marRight w:val="0"/>
          <w:marTop w:val="0"/>
          <w:marBottom w:val="0"/>
          <w:divBdr>
            <w:top w:val="none" w:sz="0" w:space="0" w:color="auto"/>
            <w:left w:val="none" w:sz="0" w:space="0" w:color="auto"/>
            <w:bottom w:val="none" w:sz="0" w:space="0" w:color="auto"/>
            <w:right w:val="none" w:sz="0" w:space="0" w:color="auto"/>
          </w:divBdr>
        </w:div>
        <w:div w:id="288752830">
          <w:marLeft w:val="480"/>
          <w:marRight w:val="0"/>
          <w:marTop w:val="0"/>
          <w:marBottom w:val="0"/>
          <w:divBdr>
            <w:top w:val="none" w:sz="0" w:space="0" w:color="auto"/>
            <w:left w:val="none" w:sz="0" w:space="0" w:color="auto"/>
            <w:bottom w:val="none" w:sz="0" w:space="0" w:color="auto"/>
            <w:right w:val="none" w:sz="0" w:space="0" w:color="auto"/>
          </w:divBdr>
        </w:div>
        <w:div w:id="1878930436">
          <w:marLeft w:val="480"/>
          <w:marRight w:val="0"/>
          <w:marTop w:val="0"/>
          <w:marBottom w:val="0"/>
          <w:divBdr>
            <w:top w:val="none" w:sz="0" w:space="0" w:color="auto"/>
            <w:left w:val="none" w:sz="0" w:space="0" w:color="auto"/>
            <w:bottom w:val="none" w:sz="0" w:space="0" w:color="auto"/>
            <w:right w:val="none" w:sz="0" w:space="0" w:color="auto"/>
          </w:divBdr>
        </w:div>
        <w:div w:id="545214353">
          <w:marLeft w:val="480"/>
          <w:marRight w:val="0"/>
          <w:marTop w:val="0"/>
          <w:marBottom w:val="0"/>
          <w:divBdr>
            <w:top w:val="none" w:sz="0" w:space="0" w:color="auto"/>
            <w:left w:val="none" w:sz="0" w:space="0" w:color="auto"/>
            <w:bottom w:val="none" w:sz="0" w:space="0" w:color="auto"/>
            <w:right w:val="none" w:sz="0" w:space="0" w:color="auto"/>
          </w:divBdr>
        </w:div>
        <w:div w:id="2081169081">
          <w:marLeft w:val="480"/>
          <w:marRight w:val="0"/>
          <w:marTop w:val="0"/>
          <w:marBottom w:val="0"/>
          <w:divBdr>
            <w:top w:val="none" w:sz="0" w:space="0" w:color="auto"/>
            <w:left w:val="none" w:sz="0" w:space="0" w:color="auto"/>
            <w:bottom w:val="none" w:sz="0" w:space="0" w:color="auto"/>
            <w:right w:val="none" w:sz="0" w:space="0" w:color="auto"/>
          </w:divBdr>
        </w:div>
        <w:div w:id="974143329">
          <w:marLeft w:val="480"/>
          <w:marRight w:val="0"/>
          <w:marTop w:val="0"/>
          <w:marBottom w:val="0"/>
          <w:divBdr>
            <w:top w:val="none" w:sz="0" w:space="0" w:color="auto"/>
            <w:left w:val="none" w:sz="0" w:space="0" w:color="auto"/>
            <w:bottom w:val="none" w:sz="0" w:space="0" w:color="auto"/>
            <w:right w:val="none" w:sz="0" w:space="0" w:color="auto"/>
          </w:divBdr>
        </w:div>
      </w:divsChild>
    </w:div>
    <w:div w:id="398479155">
      <w:bodyDiv w:val="1"/>
      <w:marLeft w:val="0"/>
      <w:marRight w:val="0"/>
      <w:marTop w:val="0"/>
      <w:marBottom w:val="0"/>
      <w:divBdr>
        <w:top w:val="none" w:sz="0" w:space="0" w:color="auto"/>
        <w:left w:val="none" w:sz="0" w:space="0" w:color="auto"/>
        <w:bottom w:val="none" w:sz="0" w:space="0" w:color="auto"/>
        <w:right w:val="none" w:sz="0" w:space="0" w:color="auto"/>
      </w:divBdr>
    </w:div>
    <w:div w:id="484979129">
      <w:bodyDiv w:val="1"/>
      <w:marLeft w:val="0"/>
      <w:marRight w:val="0"/>
      <w:marTop w:val="0"/>
      <w:marBottom w:val="0"/>
      <w:divBdr>
        <w:top w:val="none" w:sz="0" w:space="0" w:color="auto"/>
        <w:left w:val="none" w:sz="0" w:space="0" w:color="auto"/>
        <w:bottom w:val="none" w:sz="0" w:space="0" w:color="auto"/>
        <w:right w:val="none" w:sz="0" w:space="0" w:color="auto"/>
      </w:divBdr>
      <w:divsChild>
        <w:div w:id="1645618396">
          <w:marLeft w:val="480"/>
          <w:marRight w:val="0"/>
          <w:marTop w:val="0"/>
          <w:marBottom w:val="0"/>
          <w:divBdr>
            <w:top w:val="none" w:sz="0" w:space="0" w:color="auto"/>
            <w:left w:val="none" w:sz="0" w:space="0" w:color="auto"/>
            <w:bottom w:val="none" w:sz="0" w:space="0" w:color="auto"/>
            <w:right w:val="none" w:sz="0" w:space="0" w:color="auto"/>
          </w:divBdr>
        </w:div>
        <w:div w:id="501625700">
          <w:marLeft w:val="480"/>
          <w:marRight w:val="0"/>
          <w:marTop w:val="0"/>
          <w:marBottom w:val="0"/>
          <w:divBdr>
            <w:top w:val="none" w:sz="0" w:space="0" w:color="auto"/>
            <w:left w:val="none" w:sz="0" w:space="0" w:color="auto"/>
            <w:bottom w:val="none" w:sz="0" w:space="0" w:color="auto"/>
            <w:right w:val="none" w:sz="0" w:space="0" w:color="auto"/>
          </w:divBdr>
        </w:div>
        <w:div w:id="448404053">
          <w:marLeft w:val="480"/>
          <w:marRight w:val="0"/>
          <w:marTop w:val="0"/>
          <w:marBottom w:val="0"/>
          <w:divBdr>
            <w:top w:val="none" w:sz="0" w:space="0" w:color="auto"/>
            <w:left w:val="none" w:sz="0" w:space="0" w:color="auto"/>
            <w:bottom w:val="none" w:sz="0" w:space="0" w:color="auto"/>
            <w:right w:val="none" w:sz="0" w:space="0" w:color="auto"/>
          </w:divBdr>
        </w:div>
        <w:div w:id="1231885284">
          <w:marLeft w:val="480"/>
          <w:marRight w:val="0"/>
          <w:marTop w:val="0"/>
          <w:marBottom w:val="0"/>
          <w:divBdr>
            <w:top w:val="none" w:sz="0" w:space="0" w:color="auto"/>
            <w:left w:val="none" w:sz="0" w:space="0" w:color="auto"/>
            <w:bottom w:val="none" w:sz="0" w:space="0" w:color="auto"/>
            <w:right w:val="none" w:sz="0" w:space="0" w:color="auto"/>
          </w:divBdr>
        </w:div>
        <w:div w:id="290018142">
          <w:marLeft w:val="480"/>
          <w:marRight w:val="0"/>
          <w:marTop w:val="0"/>
          <w:marBottom w:val="0"/>
          <w:divBdr>
            <w:top w:val="none" w:sz="0" w:space="0" w:color="auto"/>
            <w:left w:val="none" w:sz="0" w:space="0" w:color="auto"/>
            <w:bottom w:val="none" w:sz="0" w:space="0" w:color="auto"/>
            <w:right w:val="none" w:sz="0" w:space="0" w:color="auto"/>
          </w:divBdr>
        </w:div>
        <w:div w:id="1455951625">
          <w:marLeft w:val="480"/>
          <w:marRight w:val="0"/>
          <w:marTop w:val="0"/>
          <w:marBottom w:val="0"/>
          <w:divBdr>
            <w:top w:val="none" w:sz="0" w:space="0" w:color="auto"/>
            <w:left w:val="none" w:sz="0" w:space="0" w:color="auto"/>
            <w:bottom w:val="none" w:sz="0" w:space="0" w:color="auto"/>
            <w:right w:val="none" w:sz="0" w:space="0" w:color="auto"/>
          </w:divBdr>
        </w:div>
        <w:div w:id="1260405410">
          <w:marLeft w:val="480"/>
          <w:marRight w:val="0"/>
          <w:marTop w:val="0"/>
          <w:marBottom w:val="0"/>
          <w:divBdr>
            <w:top w:val="none" w:sz="0" w:space="0" w:color="auto"/>
            <w:left w:val="none" w:sz="0" w:space="0" w:color="auto"/>
            <w:bottom w:val="none" w:sz="0" w:space="0" w:color="auto"/>
            <w:right w:val="none" w:sz="0" w:space="0" w:color="auto"/>
          </w:divBdr>
        </w:div>
        <w:div w:id="1650745857">
          <w:marLeft w:val="480"/>
          <w:marRight w:val="0"/>
          <w:marTop w:val="0"/>
          <w:marBottom w:val="0"/>
          <w:divBdr>
            <w:top w:val="none" w:sz="0" w:space="0" w:color="auto"/>
            <w:left w:val="none" w:sz="0" w:space="0" w:color="auto"/>
            <w:bottom w:val="none" w:sz="0" w:space="0" w:color="auto"/>
            <w:right w:val="none" w:sz="0" w:space="0" w:color="auto"/>
          </w:divBdr>
        </w:div>
        <w:div w:id="1483424897">
          <w:marLeft w:val="480"/>
          <w:marRight w:val="0"/>
          <w:marTop w:val="0"/>
          <w:marBottom w:val="0"/>
          <w:divBdr>
            <w:top w:val="none" w:sz="0" w:space="0" w:color="auto"/>
            <w:left w:val="none" w:sz="0" w:space="0" w:color="auto"/>
            <w:bottom w:val="none" w:sz="0" w:space="0" w:color="auto"/>
            <w:right w:val="none" w:sz="0" w:space="0" w:color="auto"/>
          </w:divBdr>
        </w:div>
        <w:div w:id="441924163">
          <w:marLeft w:val="480"/>
          <w:marRight w:val="0"/>
          <w:marTop w:val="0"/>
          <w:marBottom w:val="0"/>
          <w:divBdr>
            <w:top w:val="none" w:sz="0" w:space="0" w:color="auto"/>
            <w:left w:val="none" w:sz="0" w:space="0" w:color="auto"/>
            <w:bottom w:val="none" w:sz="0" w:space="0" w:color="auto"/>
            <w:right w:val="none" w:sz="0" w:space="0" w:color="auto"/>
          </w:divBdr>
        </w:div>
        <w:div w:id="1122647777">
          <w:marLeft w:val="480"/>
          <w:marRight w:val="0"/>
          <w:marTop w:val="0"/>
          <w:marBottom w:val="0"/>
          <w:divBdr>
            <w:top w:val="none" w:sz="0" w:space="0" w:color="auto"/>
            <w:left w:val="none" w:sz="0" w:space="0" w:color="auto"/>
            <w:bottom w:val="none" w:sz="0" w:space="0" w:color="auto"/>
            <w:right w:val="none" w:sz="0" w:space="0" w:color="auto"/>
          </w:divBdr>
        </w:div>
        <w:div w:id="1769503355">
          <w:marLeft w:val="480"/>
          <w:marRight w:val="0"/>
          <w:marTop w:val="0"/>
          <w:marBottom w:val="0"/>
          <w:divBdr>
            <w:top w:val="none" w:sz="0" w:space="0" w:color="auto"/>
            <w:left w:val="none" w:sz="0" w:space="0" w:color="auto"/>
            <w:bottom w:val="none" w:sz="0" w:space="0" w:color="auto"/>
            <w:right w:val="none" w:sz="0" w:space="0" w:color="auto"/>
          </w:divBdr>
        </w:div>
        <w:div w:id="1642465326">
          <w:marLeft w:val="480"/>
          <w:marRight w:val="0"/>
          <w:marTop w:val="0"/>
          <w:marBottom w:val="0"/>
          <w:divBdr>
            <w:top w:val="none" w:sz="0" w:space="0" w:color="auto"/>
            <w:left w:val="none" w:sz="0" w:space="0" w:color="auto"/>
            <w:bottom w:val="none" w:sz="0" w:space="0" w:color="auto"/>
            <w:right w:val="none" w:sz="0" w:space="0" w:color="auto"/>
          </w:divBdr>
        </w:div>
        <w:div w:id="1465729794">
          <w:marLeft w:val="480"/>
          <w:marRight w:val="0"/>
          <w:marTop w:val="0"/>
          <w:marBottom w:val="0"/>
          <w:divBdr>
            <w:top w:val="none" w:sz="0" w:space="0" w:color="auto"/>
            <w:left w:val="none" w:sz="0" w:space="0" w:color="auto"/>
            <w:bottom w:val="none" w:sz="0" w:space="0" w:color="auto"/>
            <w:right w:val="none" w:sz="0" w:space="0" w:color="auto"/>
          </w:divBdr>
        </w:div>
        <w:div w:id="830372073">
          <w:marLeft w:val="480"/>
          <w:marRight w:val="0"/>
          <w:marTop w:val="0"/>
          <w:marBottom w:val="0"/>
          <w:divBdr>
            <w:top w:val="none" w:sz="0" w:space="0" w:color="auto"/>
            <w:left w:val="none" w:sz="0" w:space="0" w:color="auto"/>
            <w:bottom w:val="none" w:sz="0" w:space="0" w:color="auto"/>
            <w:right w:val="none" w:sz="0" w:space="0" w:color="auto"/>
          </w:divBdr>
        </w:div>
      </w:divsChild>
    </w:div>
    <w:div w:id="507404445">
      <w:bodyDiv w:val="1"/>
      <w:marLeft w:val="0"/>
      <w:marRight w:val="0"/>
      <w:marTop w:val="0"/>
      <w:marBottom w:val="0"/>
      <w:divBdr>
        <w:top w:val="none" w:sz="0" w:space="0" w:color="auto"/>
        <w:left w:val="none" w:sz="0" w:space="0" w:color="auto"/>
        <w:bottom w:val="none" w:sz="0" w:space="0" w:color="auto"/>
        <w:right w:val="none" w:sz="0" w:space="0" w:color="auto"/>
      </w:divBdr>
      <w:divsChild>
        <w:div w:id="115759854">
          <w:marLeft w:val="480"/>
          <w:marRight w:val="0"/>
          <w:marTop w:val="0"/>
          <w:marBottom w:val="0"/>
          <w:divBdr>
            <w:top w:val="none" w:sz="0" w:space="0" w:color="auto"/>
            <w:left w:val="none" w:sz="0" w:space="0" w:color="auto"/>
            <w:bottom w:val="none" w:sz="0" w:space="0" w:color="auto"/>
            <w:right w:val="none" w:sz="0" w:space="0" w:color="auto"/>
          </w:divBdr>
        </w:div>
        <w:div w:id="1985773108">
          <w:marLeft w:val="480"/>
          <w:marRight w:val="0"/>
          <w:marTop w:val="0"/>
          <w:marBottom w:val="0"/>
          <w:divBdr>
            <w:top w:val="none" w:sz="0" w:space="0" w:color="auto"/>
            <w:left w:val="none" w:sz="0" w:space="0" w:color="auto"/>
            <w:bottom w:val="none" w:sz="0" w:space="0" w:color="auto"/>
            <w:right w:val="none" w:sz="0" w:space="0" w:color="auto"/>
          </w:divBdr>
        </w:div>
        <w:div w:id="1119497954">
          <w:marLeft w:val="480"/>
          <w:marRight w:val="0"/>
          <w:marTop w:val="0"/>
          <w:marBottom w:val="0"/>
          <w:divBdr>
            <w:top w:val="none" w:sz="0" w:space="0" w:color="auto"/>
            <w:left w:val="none" w:sz="0" w:space="0" w:color="auto"/>
            <w:bottom w:val="none" w:sz="0" w:space="0" w:color="auto"/>
            <w:right w:val="none" w:sz="0" w:space="0" w:color="auto"/>
          </w:divBdr>
        </w:div>
        <w:div w:id="959150332">
          <w:marLeft w:val="480"/>
          <w:marRight w:val="0"/>
          <w:marTop w:val="0"/>
          <w:marBottom w:val="0"/>
          <w:divBdr>
            <w:top w:val="none" w:sz="0" w:space="0" w:color="auto"/>
            <w:left w:val="none" w:sz="0" w:space="0" w:color="auto"/>
            <w:bottom w:val="none" w:sz="0" w:space="0" w:color="auto"/>
            <w:right w:val="none" w:sz="0" w:space="0" w:color="auto"/>
          </w:divBdr>
        </w:div>
        <w:div w:id="355348441">
          <w:marLeft w:val="480"/>
          <w:marRight w:val="0"/>
          <w:marTop w:val="0"/>
          <w:marBottom w:val="0"/>
          <w:divBdr>
            <w:top w:val="none" w:sz="0" w:space="0" w:color="auto"/>
            <w:left w:val="none" w:sz="0" w:space="0" w:color="auto"/>
            <w:bottom w:val="none" w:sz="0" w:space="0" w:color="auto"/>
            <w:right w:val="none" w:sz="0" w:space="0" w:color="auto"/>
          </w:divBdr>
        </w:div>
        <w:div w:id="848371632">
          <w:marLeft w:val="480"/>
          <w:marRight w:val="0"/>
          <w:marTop w:val="0"/>
          <w:marBottom w:val="0"/>
          <w:divBdr>
            <w:top w:val="none" w:sz="0" w:space="0" w:color="auto"/>
            <w:left w:val="none" w:sz="0" w:space="0" w:color="auto"/>
            <w:bottom w:val="none" w:sz="0" w:space="0" w:color="auto"/>
            <w:right w:val="none" w:sz="0" w:space="0" w:color="auto"/>
          </w:divBdr>
        </w:div>
        <w:div w:id="786122509">
          <w:marLeft w:val="480"/>
          <w:marRight w:val="0"/>
          <w:marTop w:val="0"/>
          <w:marBottom w:val="0"/>
          <w:divBdr>
            <w:top w:val="none" w:sz="0" w:space="0" w:color="auto"/>
            <w:left w:val="none" w:sz="0" w:space="0" w:color="auto"/>
            <w:bottom w:val="none" w:sz="0" w:space="0" w:color="auto"/>
            <w:right w:val="none" w:sz="0" w:space="0" w:color="auto"/>
          </w:divBdr>
        </w:div>
        <w:div w:id="1395473413">
          <w:marLeft w:val="480"/>
          <w:marRight w:val="0"/>
          <w:marTop w:val="0"/>
          <w:marBottom w:val="0"/>
          <w:divBdr>
            <w:top w:val="none" w:sz="0" w:space="0" w:color="auto"/>
            <w:left w:val="none" w:sz="0" w:space="0" w:color="auto"/>
            <w:bottom w:val="none" w:sz="0" w:space="0" w:color="auto"/>
            <w:right w:val="none" w:sz="0" w:space="0" w:color="auto"/>
          </w:divBdr>
        </w:div>
        <w:div w:id="913784816">
          <w:marLeft w:val="480"/>
          <w:marRight w:val="0"/>
          <w:marTop w:val="0"/>
          <w:marBottom w:val="0"/>
          <w:divBdr>
            <w:top w:val="none" w:sz="0" w:space="0" w:color="auto"/>
            <w:left w:val="none" w:sz="0" w:space="0" w:color="auto"/>
            <w:bottom w:val="none" w:sz="0" w:space="0" w:color="auto"/>
            <w:right w:val="none" w:sz="0" w:space="0" w:color="auto"/>
          </w:divBdr>
        </w:div>
        <w:div w:id="47606910">
          <w:marLeft w:val="480"/>
          <w:marRight w:val="0"/>
          <w:marTop w:val="0"/>
          <w:marBottom w:val="0"/>
          <w:divBdr>
            <w:top w:val="none" w:sz="0" w:space="0" w:color="auto"/>
            <w:left w:val="none" w:sz="0" w:space="0" w:color="auto"/>
            <w:bottom w:val="none" w:sz="0" w:space="0" w:color="auto"/>
            <w:right w:val="none" w:sz="0" w:space="0" w:color="auto"/>
          </w:divBdr>
        </w:div>
        <w:div w:id="1462840158">
          <w:marLeft w:val="480"/>
          <w:marRight w:val="0"/>
          <w:marTop w:val="0"/>
          <w:marBottom w:val="0"/>
          <w:divBdr>
            <w:top w:val="none" w:sz="0" w:space="0" w:color="auto"/>
            <w:left w:val="none" w:sz="0" w:space="0" w:color="auto"/>
            <w:bottom w:val="none" w:sz="0" w:space="0" w:color="auto"/>
            <w:right w:val="none" w:sz="0" w:space="0" w:color="auto"/>
          </w:divBdr>
        </w:div>
        <w:div w:id="1256983028">
          <w:marLeft w:val="480"/>
          <w:marRight w:val="0"/>
          <w:marTop w:val="0"/>
          <w:marBottom w:val="0"/>
          <w:divBdr>
            <w:top w:val="none" w:sz="0" w:space="0" w:color="auto"/>
            <w:left w:val="none" w:sz="0" w:space="0" w:color="auto"/>
            <w:bottom w:val="none" w:sz="0" w:space="0" w:color="auto"/>
            <w:right w:val="none" w:sz="0" w:space="0" w:color="auto"/>
          </w:divBdr>
        </w:div>
        <w:div w:id="1849053730">
          <w:marLeft w:val="480"/>
          <w:marRight w:val="0"/>
          <w:marTop w:val="0"/>
          <w:marBottom w:val="0"/>
          <w:divBdr>
            <w:top w:val="none" w:sz="0" w:space="0" w:color="auto"/>
            <w:left w:val="none" w:sz="0" w:space="0" w:color="auto"/>
            <w:bottom w:val="none" w:sz="0" w:space="0" w:color="auto"/>
            <w:right w:val="none" w:sz="0" w:space="0" w:color="auto"/>
          </w:divBdr>
        </w:div>
        <w:div w:id="39671318">
          <w:marLeft w:val="480"/>
          <w:marRight w:val="0"/>
          <w:marTop w:val="0"/>
          <w:marBottom w:val="0"/>
          <w:divBdr>
            <w:top w:val="none" w:sz="0" w:space="0" w:color="auto"/>
            <w:left w:val="none" w:sz="0" w:space="0" w:color="auto"/>
            <w:bottom w:val="none" w:sz="0" w:space="0" w:color="auto"/>
            <w:right w:val="none" w:sz="0" w:space="0" w:color="auto"/>
          </w:divBdr>
        </w:div>
      </w:divsChild>
    </w:div>
    <w:div w:id="518011363">
      <w:bodyDiv w:val="1"/>
      <w:marLeft w:val="0"/>
      <w:marRight w:val="0"/>
      <w:marTop w:val="0"/>
      <w:marBottom w:val="0"/>
      <w:divBdr>
        <w:top w:val="none" w:sz="0" w:space="0" w:color="auto"/>
        <w:left w:val="none" w:sz="0" w:space="0" w:color="auto"/>
        <w:bottom w:val="none" w:sz="0" w:space="0" w:color="auto"/>
        <w:right w:val="none" w:sz="0" w:space="0" w:color="auto"/>
      </w:divBdr>
    </w:div>
    <w:div w:id="536431775">
      <w:bodyDiv w:val="1"/>
      <w:marLeft w:val="0"/>
      <w:marRight w:val="0"/>
      <w:marTop w:val="0"/>
      <w:marBottom w:val="0"/>
      <w:divBdr>
        <w:top w:val="none" w:sz="0" w:space="0" w:color="auto"/>
        <w:left w:val="none" w:sz="0" w:space="0" w:color="auto"/>
        <w:bottom w:val="none" w:sz="0" w:space="0" w:color="auto"/>
        <w:right w:val="none" w:sz="0" w:space="0" w:color="auto"/>
      </w:divBdr>
    </w:div>
    <w:div w:id="564341008">
      <w:bodyDiv w:val="1"/>
      <w:marLeft w:val="0"/>
      <w:marRight w:val="0"/>
      <w:marTop w:val="0"/>
      <w:marBottom w:val="0"/>
      <w:divBdr>
        <w:top w:val="none" w:sz="0" w:space="0" w:color="auto"/>
        <w:left w:val="none" w:sz="0" w:space="0" w:color="auto"/>
        <w:bottom w:val="none" w:sz="0" w:space="0" w:color="auto"/>
        <w:right w:val="none" w:sz="0" w:space="0" w:color="auto"/>
      </w:divBdr>
    </w:div>
    <w:div w:id="600140920">
      <w:bodyDiv w:val="1"/>
      <w:marLeft w:val="0"/>
      <w:marRight w:val="0"/>
      <w:marTop w:val="0"/>
      <w:marBottom w:val="0"/>
      <w:divBdr>
        <w:top w:val="none" w:sz="0" w:space="0" w:color="auto"/>
        <w:left w:val="none" w:sz="0" w:space="0" w:color="auto"/>
        <w:bottom w:val="none" w:sz="0" w:space="0" w:color="auto"/>
        <w:right w:val="none" w:sz="0" w:space="0" w:color="auto"/>
      </w:divBdr>
      <w:divsChild>
        <w:div w:id="182943617">
          <w:marLeft w:val="480"/>
          <w:marRight w:val="0"/>
          <w:marTop w:val="0"/>
          <w:marBottom w:val="0"/>
          <w:divBdr>
            <w:top w:val="none" w:sz="0" w:space="0" w:color="auto"/>
            <w:left w:val="none" w:sz="0" w:space="0" w:color="auto"/>
            <w:bottom w:val="none" w:sz="0" w:space="0" w:color="auto"/>
            <w:right w:val="none" w:sz="0" w:space="0" w:color="auto"/>
          </w:divBdr>
        </w:div>
        <w:div w:id="359017501">
          <w:marLeft w:val="480"/>
          <w:marRight w:val="0"/>
          <w:marTop w:val="0"/>
          <w:marBottom w:val="0"/>
          <w:divBdr>
            <w:top w:val="none" w:sz="0" w:space="0" w:color="auto"/>
            <w:left w:val="none" w:sz="0" w:space="0" w:color="auto"/>
            <w:bottom w:val="none" w:sz="0" w:space="0" w:color="auto"/>
            <w:right w:val="none" w:sz="0" w:space="0" w:color="auto"/>
          </w:divBdr>
        </w:div>
        <w:div w:id="1550220705">
          <w:marLeft w:val="480"/>
          <w:marRight w:val="0"/>
          <w:marTop w:val="0"/>
          <w:marBottom w:val="0"/>
          <w:divBdr>
            <w:top w:val="none" w:sz="0" w:space="0" w:color="auto"/>
            <w:left w:val="none" w:sz="0" w:space="0" w:color="auto"/>
            <w:bottom w:val="none" w:sz="0" w:space="0" w:color="auto"/>
            <w:right w:val="none" w:sz="0" w:space="0" w:color="auto"/>
          </w:divBdr>
        </w:div>
        <w:div w:id="1114130523">
          <w:marLeft w:val="480"/>
          <w:marRight w:val="0"/>
          <w:marTop w:val="0"/>
          <w:marBottom w:val="0"/>
          <w:divBdr>
            <w:top w:val="none" w:sz="0" w:space="0" w:color="auto"/>
            <w:left w:val="none" w:sz="0" w:space="0" w:color="auto"/>
            <w:bottom w:val="none" w:sz="0" w:space="0" w:color="auto"/>
            <w:right w:val="none" w:sz="0" w:space="0" w:color="auto"/>
          </w:divBdr>
        </w:div>
        <w:div w:id="1841384973">
          <w:marLeft w:val="480"/>
          <w:marRight w:val="0"/>
          <w:marTop w:val="0"/>
          <w:marBottom w:val="0"/>
          <w:divBdr>
            <w:top w:val="none" w:sz="0" w:space="0" w:color="auto"/>
            <w:left w:val="none" w:sz="0" w:space="0" w:color="auto"/>
            <w:bottom w:val="none" w:sz="0" w:space="0" w:color="auto"/>
            <w:right w:val="none" w:sz="0" w:space="0" w:color="auto"/>
          </w:divBdr>
        </w:div>
        <w:div w:id="1931620429">
          <w:marLeft w:val="480"/>
          <w:marRight w:val="0"/>
          <w:marTop w:val="0"/>
          <w:marBottom w:val="0"/>
          <w:divBdr>
            <w:top w:val="none" w:sz="0" w:space="0" w:color="auto"/>
            <w:left w:val="none" w:sz="0" w:space="0" w:color="auto"/>
            <w:bottom w:val="none" w:sz="0" w:space="0" w:color="auto"/>
            <w:right w:val="none" w:sz="0" w:space="0" w:color="auto"/>
          </w:divBdr>
        </w:div>
        <w:div w:id="239678731">
          <w:marLeft w:val="480"/>
          <w:marRight w:val="0"/>
          <w:marTop w:val="0"/>
          <w:marBottom w:val="0"/>
          <w:divBdr>
            <w:top w:val="none" w:sz="0" w:space="0" w:color="auto"/>
            <w:left w:val="none" w:sz="0" w:space="0" w:color="auto"/>
            <w:bottom w:val="none" w:sz="0" w:space="0" w:color="auto"/>
            <w:right w:val="none" w:sz="0" w:space="0" w:color="auto"/>
          </w:divBdr>
        </w:div>
        <w:div w:id="84965585">
          <w:marLeft w:val="480"/>
          <w:marRight w:val="0"/>
          <w:marTop w:val="0"/>
          <w:marBottom w:val="0"/>
          <w:divBdr>
            <w:top w:val="none" w:sz="0" w:space="0" w:color="auto"/>
            <w:left w:val="none" w:sz="0" w:space="0" w:color="auto"/>
            <w:bottom w:val="none" w:sz="0" w:space="0" w:color="auto"/>
            <w:right w:val="none" w:sz="0" w:space="0" w:color="auto"/>
          </w:divBdr>
        </w:div>
        <w:div w:id="174878923">
          <w:marLeft w:val="480"/>
          <w:marRight w:val="0"/>
          <w:marTop w:val="0"/>
          <w:marBottom w:val="0"/>
          <w:divBdr>
            <w:top w:val="none" w:sz="0" w:space="0" w:color="auto"/>
            <w:left w:val="none" w:sz="0" w:space="0" w:color="auto"/>
            <w:bottom w:val="none" w:sz="0" w:space="0" w:color="auto"/>
            <w:right w:val="none" w:sz="0" w:space="0" w:color="auto"/>
          </w:divBdr>
        </w:div>
        <w:div w:id="1480999592">
          <w:marLeft w:val="480"/>
          <w:marRight w:val="0"/>
          <w:marTop w:val="0"/>
          <w:marBottom w:val="0"/>
          <w:divBdr>
            <w:top w:val="none" w:sz="0" w:space="0" w:color="auto"/>
            <w:left w:val="none" w:sz="0" w:space="0" w:color="auto"/>
            <w:bottom w:val="none" w:sz="0" w:space="0" w:color="auto"/>
            <w:right w:val="none" w:sz="0" w:space="0" w:color="auto"/>
          </w:divBdr>
        </w:div>
        <w:div w:id="1238056912">
          <w:marLeft w:val="480"/>
          <w:marRight w:val="0"/>
          <w:marTop w:val="0"/>
          <w:marBottom w:val="0"/>
          <w:divBdr>
            <w:top w:val="none" w:sz="0" w:space="0" w:color="auto"/>
            <w:left w:val="none" w:sz="0" w:space="0" w:color="auto"/>
            <w:bottom w:val="none" w:sz="0" w:space="0" w:color="auto"/>
            <w:right w:val="none" w:sz="0" w:space="0" w:color="auto"/>
          </w:divBdr>
        </w:div>
        <w:div w:id="880170262">
          <w:marLeft w:val="480"/>
          <w:marRight w:val="0"/>
          <w:marTop w:val="0"/>
          <w:marBottom w:val="0"/>
          <w:divBdr>
            <w:top w:val="none" w:sz="0" w:space="0" w:color="auto"/>
            <w:left w:val="none" w:sz="0" w:space="0" w:color="auto"/>
            <w:bottom w:val="none" w:sz="0" w:space="0" w:color="auto"/>
            <w:right w:val="none" w:sz="0" w:space="0" w:color="auto"/>
          </w:divBdr>
        </w:div>
        <w:div w:id="1618366134">
          <w:marLeft w:val="480"/>
          <w:marRight w:val="0"/>
          <w:marTop w:val="0"/>
          <w:marBottom w:val="0"/>
          <w:divBdr>
            <w:top w:val="none" w:sz="0" w:space="0" w:color="auto"/>
            <w:left w:val="none" w:sz="0" w:space="0" w:color="auto"/>
            <w:bottom w:val="none" w:sz="0" w:space="0" w:color="auto"/>
            <w:right w:val="none" w:sz="0" w:space="0" w:color="auto"/>
          </w:divBdr>
        </w:div>
        <w:div w:id="1173832902">
          <w:marLeft w:val="480"/>
          <w:marRight w:val="0"/>
          <w:marTop w:val="0"/>
          <w:marBottom w:val="0"/>
          <w:divBdr>
            <w:top w:val="none" w:sz="0" w:space="0" w:color="auto"/>
            <w:left w:val="none" w:sz="0" w:space="0" w:color="auto"/>
            <w:bottom w:val="none" w:sz="0" w:space="0" w:color="auto"/>
            <w:right w:val="none" w:sz="0" w:space="0" w:color="auto"/>
          </w:divBdr>
        </w:div>
        <w:div w:id="2045907882">
          <w:marLeft w:val="480"/>
          <w:marRight w:val="0"/>
          <w:marTop w:val="0"/>
          <w:marBottom w:val="0"/>
          <w:divBdr>
            <w:top w:val="none" w:sz="0" w:space="0" w:color="auto"/>
            <w:left w:val="none" w:sz="0" w:space="0" w:color="auto"/>
            <w:bottom w:val="none" w:sz="0" w:space="0" w:color="auto"/>
            <w:right w:val="none" w:sz="0" w:space="0" w:color="auto"/>
          </w:divBdr>
        </w:div>
        <w:div w:id="1601375482">
          <w:marLeft w:val="480"/>
          <w:marRight w:val="0"/>
          <w:marTop w:val="0"/>
          <w:marBottom w:val="0"/>
          <w:divBdr>
            <w:top w:val="none" w:sz="0" w:space="0" w:color="auto"/>
            <w:left w:val="none" w:sz="0" w:space="0" w:color="auto"/>
            <w:bottom w:val="none" w:sz="0" w:space="0" w:color="auto"/>
            <w:right w:val="none" w:sz="0" w:space="0" w:color="auto"/>
          </w:divBdr>
        </w:div>
        <w:div w:id="1706635829">
          <w:marLeft w:val="480"/>
          <w:marRight w:val="0"/>
          <w:marTop w:val="0"/>
          <w:marBottom w:val="0"/>
          <w:divBdr>
            <w:top w:val="none" w:sz="0" w:space="0" w:color="auto"/>
            <w:left w:val="none" w:sz="0" w:space="0" w:color="auto"/>
            <w:bottom w:val="none" w:sz="0" w:space="0" w:color="auto"/>
            <w:right w:val="none" w:sz="0" w:space="0" w:color="auto"/>
          </w:divBdr>
        </w:div>
      </w:divsChild>
    </w:div>
    <w:div w:id="638727906">
      <w:bodyDiv w:val="1"/>
      <w:marLeft w:val="0"/>
      <w:marRight w:val="0"/>
      <w:marTop w:val="0"/>
      <w:marBottom w:val="0"/>
      <w:divBdr>
        <w:top w:val="none" w:sz="0" w:space="0" w:color="auto"/>
        <w:left w:val="none" w:sz="0" w:space="0" w:color="auto"/>
        <w:bottom w:val="none" w:sz="0" w:space="0" w:color="auto"/>
        <w:right w:val="none" w:sz="0" w:space="0" w:color="auto"/>
      </w:divBdr>
    </w:div>
    <w:div w:id="708458937">
      <w:bodyDiv w:val="1"/>
      <w:marLeft w:val="0"/>
      <w:marRight w:val="0"/>
      <w:marTop w:val="0"/>
      <w:marBottom w:val="0"/>
      <w:divBdr>
        <w:top w:val="none" w:sz="0" w:space="0" w:color="auto"/>
        <w:left w:val="none" w:sz="0" w:space="0" w:color="auto"/>
        <w:bottom w:val="none" w:sz="0" w:space="0" w:color="auto"/>
        <w:right w:val="none" w:sz="0" w:space="0" w:color="auto"/>
      </w:divBdr>
    </w:div>
    <w:div w:id="71056959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2912">
      <w:bodyDiv w:val="1"/>
      <w:marLeft w:val="0"/>
      <w:marRight w:val="0"/>
      <w:marTop w:val="0"/>
      <w:marBottom w:val="0"/>
      <w:divBdr>
        <w:top w:val="none" w:sz="0" w:space="0" w:color="auto"/>
        <w:left w:val="none" w:sz="0" w:space="0" w:color="auto"/>
        <w:bottom w:val="none" w:sz="0" w:space="0" w:color="auto"/>
        <w:right w:val="none" w:sz="0" w:space="0" w:color="auto"/>
      </w:divBdr>
      <w:divsChild>
        <w:div w:id="298651379">
          <w:marLeft w:val="480"/>
          <w:marRight w:val="0"/>
          <w:marTop w:val="0"/>
          <w:marBottom w:val="0"/>
          <w:divBdr>
            <w:top w:val="none" w:sz="0" w:space="0" w:color="auto"/>
            <w:left w:val="none" w:sz="0" w:space="0" w:color="auto"/>
            <w:bottom w:val="none" w:sz="0" w:space="0" w:color="auto"/>
            <w:right w:val="none" w:sz="0" w:space="0" w:color="auto"/>
          </w:divBdr>
        </w:div>
        <w:div w:id="131335065">
          <w:marLeft w:val="480"/>
          <w:marRight w:val="0"/>
          <w:marTop w:val="0"/>
          <w:marBottom w:val="0"/>
          <w:divBdr>
            <w:top w:val="none" w:sz="0" w:space="0" w:color="auto"/>
            <w:left w:val="none" w:sz="0" w:space="0" w:color="auto"/>
            <w:bottom w:val="none" w:sz="0" w:space="0" w:color="auto"/>
            <w:right w:val="none" w:sz="0" w:space="0" w:color="auto"/>
          </w:divBdr>
        </w:div>
        <w:div w:id="242951392">
          <w:marLeft w:val="480"/>
          <w:marRight w:val="0"/>
          <w:marTop w:val="0"/>
          <w:marBottom w:val="0"/>
          <w:divBdr>
            <w:top w:val="none" w:sz="0" w:space="0" w:color="auto"/>
            <w:left w:val="none" w:sz="0" w:space="0" w:color="auto"/>
            <w:bottom w:val="none" w:sz="0" w:space="0" w:color="auto"/>
            <w:right w:val="none" w:sz="0" w:space="0" w:color="auto"/>
          </w:divBdr>
        </w:div>
        <w:div w:id="985627339">
          <w:marLeft w:val="480"/>
          <w:marRight w:val="0"/>
          <w:marTop w:val="0"/>
          <w:marBottom w:val="0"/>
          <w:divBdr>
            <w:top w:val="none" w:sz="0" w:space="0" w:color="auto"/>
            <w:left w:val="none" w:sz="0" w:space="0" w:color="auto"/>
            <w:bottom w:val="none" w:sz="0" w:space="0" w:color="auto"/>
            <w:right w:val="none" w:sz="0" w:space="0" w:color="auto"/>
          </w:divBdr>
        </w:div>
        <w:div w:id="1811164123">
          <w:marLeft w:val="480"/>
          <w:marRight w:val="0"/>
          <w:marTop w:val="0"/>
          <w:marBottom w:val="0"/>
          <w:divBdr>
            <w:top w:val="none" w:sz="0" w:space="0" w:color="auto"/>
            <w:left w:val="none" w:sz="0" w:space="0" w:color="auto"/>
            <w:bottom w:val="none" w:sz="0" w:space="0" w:color="auto"/>
            <w:right w:val="none" w:sz="0" w:space="0" w:color="auto"/>
          </w:divBdr>
        </w:div>
        <w:div w:id="172426793">
          <w:marLeft w:val="480"/>
          <w:marRight w:val="0"/>
          <w:marTop w:val="0"/>
          <w:marBottom w:val="0"/>
          <w:divBdr>
            <w:top w:val="none" w:sz="0" w:space="0" w:color="auto"/>
            <w:left w:val="none" w:sz="0" w:space="0" w:color="auto"/>
            <w:bottom w:val="none" w:sz="0" w:space="0" w:color="auto"/>
            <w:right w:val="none" w:sz="0" w:space="0" w:color="auto"/>
          </w:divBdr>
        </w:div>
        <w:div w:id="1843469810">
          <w:marLeft w:val="480"/>
          <w:marRight w:val="0"/>
          <w:marTop w:val="0"/>
          <w:marBottom w:val="0"/>
          <w:divBdr>
            <w:top w:val="none" w:sz="0" w:space="0" w:color="auto"/>
            <w:left w:val="none" w:sz="0" w:space="0" w:color="auto"/>
            <w:bottom w:val="none" w:sz="0" w:space="0" w:color="auto"/>
            <w:right w:val="none" w:sz="0" w:space="0" w:color="auto"/>
          </w:divBdr>
        </w:div>
        <w:div w:id="1710907766">
          <w:marLeft w:val="480"/>
          <w:marRight w:val="0"/>
          <w:marTop w:val="0"/>
          <w:marBottom w:val="0"/>
          <w:divBdr>
            <w:top w:val="none" w:sz="0" w:space="0" w:color="auto"/>
            <w:left w:val="none" w:sz="0" w:space="0" w:color="auto"/>
            <w:bottom w:val="none" w:sz="0" w:space="0" w:color="auto"/>
            <w:right w:val="none" w:sz="0" w:space="0" w:color="auto"/>
          </w:divBdr>
        </w:div>
        <w:div w:id="2114354107">
          <w:marLeft w:val="480"/>
          <w:marRight w:val="0"/>
          <w:marTop w:val="0"/>
          <w:marBottom w:val="0"/>
          <w:divBdr>
            <w:top w:val="none" w:sz="0" w:space="0" w:color="auto"/>
            <w:left w:val="none" w:sz="0" w:space="0" w:color="auto"/>
            <w:bottom w:val="none" w:sz="0" w:space="0" w:color="auto"/>
            <w:right w:val="none" w:sz="0" w:space="0" w:color="auto"/>
          </w:divBdr>
        </w:div>
        <w:div w:id="1401176498">
          <w:marLeft w:val="480"/>
          <w:marRight w:val="0"/>
          <w:marTop w:val="0"/>
          <w:marBottom w:val="0"/>
          <w:divBdr>
            <w:top w:val="none" w:sz="0" w:space="0" w:color="auto"/>
            <w:left w:val="none" w:sz="0" w:space="0" w:color="auto"/>
            <w:bottom w:val="none" w:sz="0" w:space="0" w:color="auto"/>
            <w:right w:val="none" w:sz="0" w:space="0" w:color="auto"/>
          </w:divBdr>
        </w:div>
        <w:div w:id="1887719193">
          <w:marLeft w:val="480"/>
          <w:marRight w:val="0"/>
          <w:marTop w:val="0"/>
          <w:marBottom w:val="0"/>
          <w:divBdr>
            <w:top w:val="none" w:sz="0" w:space="0" w:color="auto"/>
            <w:left w:val="none" w:sz="0" w:space="0" w:color="auto"/>
            <w:bottom w:val="none" w:sz="0" w:space="0" w:color="auto"/>
            <w:right w:val="none" w:sz="0" w:space="0" w:color="auto"/>
          </w:divBdr>
        </w:div>
        <w:div w:id="414866931">
          <w:marLeft w:val="480"/>
          <w:marRight w:val="0"/>
          <w:marTop w:val="0"/>
          <w:marBottom w:val="0"/>
          <w:divBdr>
            <w:top w:val="none" w:sz="0" w:space="0" w:color="auto"/>
            <w:left w:val="none" w:sz="0" w:space="0" w:color="auto"/>
            <w:bottom w:val="none" w:sz="0" w:space="0" w:color="auto"/>
            <w:right w:val="none" w:sz="0" w:space="0" w:color="auto"/>
          </w:divBdr>
        </w:div>
        <w:div w:id="1416634429">
          <w:marLeft w:val="480"/>
          <w:marRight w:val="0"/>
          <w:marTop w:val="0"/>
          <w:marBottom w:val="0"/>
          <w:divBdr>
            <w:top w:val="none" w:sz="0" w:space="0" w:color="auto"/>
            <w:left w:val="none" w:sz="0" w:space="0" w:color="auto"/>
            <w:bottom w:val="none" w:sz="0" w:space="0" w:color="auto"/>
            <w:right w:val="none" w:sz="0" w:space="0" w:color="auto"/>
          </w:divBdr>
        </w:div>
        <w:div w:id="1349063086">
          <w:marLeft w:val="480"/>
          <w:marRight w:val="0"/>
          <w:marTop w:val="0"/>
          <w:marBottom w:val="0"/>
          <w:divBdr>
            <w:top w:val="none" w:sz="0" w:space="0" w:color="auto"/>
            <w:left w:val="none" w:sz="0" w:space="0" w:color="auto"/>
            <w:bottom w:val="none" w:sz="0" w:space="0" w:color="auto"/>
            <w:right w:val="none" w:sz="0" w:space="0" w:color="auto"/>
          </w:divBdr>
        </w:div>
        <w:div w:id="1046955182">
          <w:marLeft w:val="480"/>
          <w:marRight w:val="0"/>
          <w:marTop w:val="0"/>
          <w:marBottom w:val="0"/>
          <w:divBdr>
            <w:top w:val="none" w:sz="0" w:space="0" w:color="auto"/>
            <w:left w:val="none" w:sz="0" w:space="0" w:color="auto"/>
            <w:bottom w:val="none" w:sz="0" w:space="0" w:color="auto"/>
            <w:right w:val="none" w:sz="0" w:space="0" w:color="auto"/>
          </w:divBdr>
        </w:div>
        <w:div w:id="1917010876">
          <w:marLeft w:val="480"/>
          <w:marRight w:val="0"/>
          <w:marTop w:val="0"/>
          <w:marBottom w:val="0"/>
          <w:divBdr>
            <w:top w:val="none" w:sz="0" w:space="0" w:color="auto"/>
            <w:left w:val="none" w:sz="0" w:space="0" w:color="auto"/>
            <w:bottom w:val="none" w:sz="0" w:space="0" w:color="auto"/>
            <w:right w:val="none" w:sz="0" w:space="0" w:color="auto"/>
          </w:divBdr>
        </w:div>
        <w:div w:id="400444329">
          <w:marLeft w:val="480"/>
          <w:marRight w:val="0"/>
          <w:marTop w:val="0"/>
          <w:marBottom w:val="0"/>
          <w:divBdr>
            <w:top w:val="none" w:sz="0" w:space="0" w:color="auto"/>
            <w:left w:val="none" w:sz="0" w:space="0" w:color="auto"/>
            <w:bottom w:val="none" w:sz="0" w:space="0" w:color="auto"/>
            <w:right w:val="none" w:sz="0" w:space="0" w:color="auto"/>
          </w:divBdr>
        </w:div>
      </w:divsChild>
    </w:div>
    <w:div w:id="967129535">
      <w:bodyDiv w:val="1"/>
      <w:marLeft w:val="0"/>
      <w:marRight w:val="0"/>
      <w:marTop w:val="0"/>
      <w:marBottom w:val="0"/>
      <w:divBdr>
        <w:top w:val="none" w:sz="0" w:space="0" w:color="auto"/>
        <w:left w:val="none" w:sz="0" w:space="0" w:color="auto"/>
        <w:bottom w:val="none" w:sz="0" w:space="0" w:color="auto"/>
        <w:right w:val="none" w:sz="0" w:space="0" w:color="auto"/>
      </w:divBdr>
      <w:divsChild>
        <w:div w:id="1721392281">
          <w:marLeft w:val="480"/>
          <w:marRight w:val="0"/>
          <w:marTop w:val="0"/>
          <w:marBottom w:val="0"/>
          <w:divBdr>
            <w:top w:val="none" w:sz="0" w:space="0" w:color="auto"/>
            <w:left w:val="none" w:sz="0" w:space="0" w:color="auto"/>
            <w:bottom w:val="none" w:sz="0" w:space="0" w:color="auto"/>
            <w:right w:val="none" w:sz="0" w:space="0" w:color="auto"/>
          </w:divBdr>
        </w:div>
        <w:div w:id="238753838">
          <w:marLeft w:val="480"/>
          <w:marRight w:val="0"/>
          <w:marTop w:val="0"/>
          <w:marBottom w:val="0"/>
          <w:divBdr>
            <w:top w:val="none" w:sz="0" w:space="0" w:color="auto"/>
            <w:left w:val="none" w:sz="0" w:space="0" w:color="auto"/>
            <w:bottom w:val="none" w:sz="0" w:space="0" w:color="auto"/>
            <w:right w:val="none" w:sz="0" w:space="0" w:color="auto"/>
          </w:divBdr>
        </w:div>
        <w:div w:id="507212751">
          <w:marLeft w:val="480"/>
          <w:marRight w:val="0"/>
          <w:marTop w:val="0"/>
          <w:marBottom w:val="0"/>
          <w:divBdr>
            <w:top w:val="none" w:sz="0" w:space="0" w:color="auto"/>
            <w:left w:val="none" w:sz="0" w:space="0" w:color="auto"/>
            <w:bottom w:val="none" w:sz="0" w:space="0" w:color="auto"/>
            <w:right w:val="none" w:sz="0" w:space="0" w:color="auto"/>
          </w:divBdr>
        </w:div>
        <w:div w:id="1805469505">
          <w:marLeft w:val="480"/>
          <w:marRight w:val="0"/>
          <w:marTop w:val="0"/>
          <w:marBottom w:val="0"/>
          <w:divBdr>
            <w:top w:val="none" w:sz="0" w:space="0" w:color="auto"/>
            <w:left w:val="none" w:sz="0" w:space="0" w:color="auto"/>
            <w:bottom w:val="none" w:sz="0" w:space="0" w:color="auto"/>
            <w:right w:val="none" w:sz="0" w:space="0" w:color="auto"/>
          </w:divBdr>
        </w:div>
        <w:div w:id="530194852">
          <w:marLeft w:val="480"/>
          <w:marRight w:val="0"/>
          <w:marTop w:val="0"/>
          <w:marBottom w:val="0"/>
          <w:divBdr>
            <w:top w:val="none" w:sz="0" w:space="0" w:color="auto"/>
            <w:left w:val="none" w:sz="0" w:space="0" w:color="auto"/>
            <w:bottom w:val="none" w:sz="0" w:space="0" w:color="auto"/>
            <w:right w:val="none" w:sz="0" w:space="0" w:color="auto"/>
          </w:divBdr>
        </w:div>
        <w:div w:id="413019067">
          <w:marLeft w:val="480"/>
          <w:marRight w:val="0"/>
          <w:marTop w:val="0"/>
          <w:marBottom w:val="0"/>
          <w:divBdr>
            <w:top w:val="none" w:sz="0" w:space="0" w:color="auto"/>
            <w:left w:val="none" w:sz="0" w:space="0" w:color="auto"/>
            <w:bottom w:val="none" w:sz="0" w:space="0" w:color="auto"/>
            <w:right w:val="none" w:sz="0" w:space="0" w:color="auto"/>
          </w:divBdr>
        </w:div>
      </w:divsChild>
    </w:div>
    <w:div w:id="1064328789">
      <w:bodyDiv w:val="1"/>
      <w:marLeft w:val="0"/>
      <w:marRight w:val="0"/>
      <w:marTop w:val="0"/>
      <w:marBottom w:val="0"/>
      <w:divBdr>
        <w:top w:val="none" w:sz="0" w:space="0" w:color="auto"/>
        <w:left w:val="none" w:sz="0" w:space="0" w:color="auto"/>
        <w:bottom w:val="none" w:sz="0" w:space="0" w:color="auto"/>
        <w:right w:val="none" w:sz="0" w:space="0" w:color="auto"/>
      </w:divBdr>
    </w:div>
    <w:div w:id="1188327417">
      <w:bodyDiv w:val="1"/>
      <w:marLeft w:val="0"/>
      <w:marRight w:val="0"/>
      <w:marTop w:val="0"/>
      <w:marBottom w:val="0"/>
      <w:divBdr>
        <w:top w:val="none" w:sz="0" w:space="0" w:color="auto"/>
        <w:left w:val="none" w:sz="0" w:space="0" w:color="auto"/>
        <w:bottom w:val="none" w:sz="0" w:space="0" w:color="auto"/>
        <w:right w:val="none" w:sz="0" w:space="0" w:color="auto"/>
      </w:divBdr>
      <w:divsChild>
        <w:div w:id="1432824649">
          <w:marLeft w:val="480"/>
          <w:marRight w:val="0"/>
          <w:marTop w:val="0"/>
          <w:marBottom w:val="0"/>
          <w:divBdr>
            <w:top w:val="none" w:sz="0" w:space="0" w:color="auto"/>
            <w:left w:val="none" w:sz="0" w:space="0" w:color="auto"/>
            <w:bottom w:val="none" w:sz="0" w:space="0" w:color="auto"/>
            <w:right w:val="none" w:sz="0" w:space="0" w:color="auto"/>
          </w:divBdr>
        </w:div>
        <w:div w:id="290671833">
          <w:marLeft w:val="480"/>
          <w:marRight w:val="0"/>
          <w:marTop w:val="0"/>
          <w:marBottom w:val="0"/>
          <w:divBdr>
            <w:top w:val="none" w:sz="0" w:space="0" w:color="auto"/>
            <w:left w:val="none" w:sz="0" w:space="0" w:color="auto"/>
            <w:bottom w:val="none" w:sz="0" w:space="0" w:color="auto"/>
            <w:right w:val="none" w:sz="0" w:space="0" w:color="auto"/>
          </w:divBdr>
        </w:div>
        <w:div w:id="1192381528">
          <w:marLeft w:val="480"/>
          <w:marRight w:val="0"/>
          <w:marTop w:val="0"/>
          <w:marBottom w:val="0"/>
          <w:divBdr>
            <w:top w:val="none" w:sz="0" w:space="0" w:color="auto"/>
            <w:left w:val="none" w:sz="0" w:space="0" w:color="auto"/>
            <w:bottom w:val="none" w:sz="0" w:space="0" w:color="auto"/>
            <w:right w:val="none" w:sz="0" w:space="0" w:color="auto"/>
          </w:divBdr>
        </w:div>
        <w:div w:id="1910994766">
          <w:marLeft w:val="480"/>
          <w:marRight w:val="0"/>
          <w:marTop w:val="0"/>
          <w:marBottom w:val="0"/>
          <w:divBdr>
            <w:top w:val="none" w:sz="0" w:space="0" w:color="auto"/>
            <w:left w:val="none" w:sz="0" w:space="0" w:color="auto"/>
            <w:bottom w:val="none" w:sz="0" w:space="0" w:color="auto"/>
            <w:right w:val="none" w:sz="0" w:space="0" w:color="auto"/>
          </w:divBdr>
        </w:div>
        <w:div w:id="602805014">
          <w:marLeft w:val="480"/>
          <w:marRight w:val="0"/>
          <w:marTop w:val="0"/>
          <w:marBottom w:val="0"/>
          <w:divBdr>
            <w:top w:val="none" w:sz="0" w:space="0" w:color="auto"/>
            <w:left w:val="none" w:sz="0" w:space="0" w:color="auto"/>
            <w:bottom w:val="none" w:sz="0" w:space="0" w:color="auto"/>
            <w:right w:val="none" w:sz="0" w:space="0" w:color="auto"/>
          </w:divBdr>
        </w:div>
        <w:div w:id="919949256">
          <w:marLeft w:val="480"/>
          <w:marRight w:val="0"/>
          <w:marTop w:val="0"/>
          <w:marBottom w:val="0"/>
          <w:divBdr>
            <w:top w:val="none" w:sz="0" w:space="0" w:color="auto"/>
            <w:left w:val="none" w:sz="0" w:space="0" w:color="auto"/>
            <w:bottom w:val="none" w:sz="0" w:space="0" w:color="auto"/>
            <w:right w:val="none" w:sz="0" w:space="0" w:color="auto"/>
          </w:divBdr>
        </w:div>
        <w:div w:id="1283804142">
          <w:marLeft w:val="480"/>
          <w:marRight w:val="0"/>
          <w:marTop w:val="0"/>
          <w:marBottom w:val="0"/>
          <w:divBdr>
            <w:top w:val="none" w:sz="0" w:space="0" w:color="auto"/>
            <w:left w:val="none" w:sz="0" w:space="0" w:color="auto"/>
            <w:bottom w:val="none" w:sz="0" w:space="0" w:color="auto"/>
            <w:right w:val="none" w:sz="0" w:space="0" w:color="auto"/>
          </w:divBdr>
        </w:div>
        <w:div w:id="57629076">
          <w:marLeft w:val="480"/>
          <w:marRight w:val="0"/>
          <w:marTop w:val="0"/>
          <w:marBottom w:val="0"/>
          <w:divBdr>
            <w:top w:val="none" w:sz="0" w:space="0" w:color="auto"/>
            <w:left w:val="none" w:sz="0" w:space="0" w:color="auto"/>
            <w:bottom w:val="none" w:sz="0" w:space="0" w:color="auto"/>
            <w:right w:val="none" w:sz="0" w:space="0" w:color="auto"/>
          </w:divBdr>
        </w:div>
        <w:div w:id="421998689">
          <w:marLeft w:val="480"/>
          <w:marRight w:val="0"/>
          <w:marTop w:val="0"/>
          <w:marBottom w:val="0"/>
          <w:divBdr>
            <w:top w:val="none" w:sz="0" w:space="0" w:color="auto"/>
            <w:left w:val="none" w:sz="0" w:space="0" w:color="auto"/>
            <w:bottom w:val="none" w:sz="0" w:space="0" w:color="auto"/>
            <w:right w:val="none" w:sz="0" w:space="0" w:color="auto"/>
          </w:divBdr>
        </w:div>
        <w:div w:id="31153200">
          <w:marLeft w:val="480"/>
          <w:marRight w:val="0"/>
          <w:marTop w:val="0"/>
          <w:marBottom w:val="0"/>
          <w:divBdr>
            <w:top w:val="none" w:sz="0" w:space="0" w:color="auto"/>
            <w:left w:val="none" w:sz="0" w:space="0" w:color="auto"/>
            <w:bottom w:val="none" w:sz="0" w:space="0" w:color="auto"/>
            <w:right w:val="none" w:sz="0" w:space="0" w:color="auto"/>
          </w:divBdr>
        </w:div>
      </w:divsChild>
    </w:div>
    <w:div w:id="1219392629">
      <w:bodyDiv w:val="1"/>
      <w:marLeft w:val="0"/>
      <w:marRight w:val="0"/>
      <w:marTop w:val="0"/>
      <w:marBottom w:val="0"/>
      <w:divBdr>
        <w:top w:val="none" w:sz="0" w:space="0" w:color="auto"/>
        <w:left w:val="none" w:sz="0" w:space="0" w:color="auto"/>
        <w:bottom w:val="none" w:sz="0" w:space="0" w:color="auto"/>
        <w:right w:val="none" w:sz="0" w:space="0" w:color="auto"/>
      </w:divBdr>
    </w:div>
    <w:div w:id="1239290534">
      <w:bodyDiv w:val="1"/>
      <w:marLeft w:val="0"/>
      <w:marRight w:val="0"/>
      <w:marTop w:val="0"/>
      <w:marBottom w:val="0"/>
      <w:divBdr>
        <w:top w:val="none" w:sz="0" w:space="0" w:color="auto"/>
        <w:left w:val="none" w:sz="0" w:space="0" w:color="auto"/>
        <w:bottom w:val="none" w:sz="0" w:space="0" w:color="auto"/>
        <w:right w:val="none" w:sz="0" w:space="0" w:color="auto"/>
      </w:divBdr>
    </w:div>
    <w:div w:id="1310593590">
      <w:bodyDiv w:val="1"/>
      <w:marLeft w:val="0"/>
      <w:marRight w:val="0"/>
      <w:marTop w:val="0"/>
      <w:marBottom w:val="0"/>
      <w:divBdr>
        <w:top w:val="none" w:sz="0" w:space="0" w:color="auto"/>
        <w:left w:val="none" w:sz="0" w:space="0" w:color="auto"/>
        <w:bottom w:val="none" w:sz="0" w:space="0" w:color="auto"/>
        <w:right w:val="none" w:sz="0" w:space="0" w:color="auto"/>
      </w:divBdr>
      <w:divsChild>
        <w:div w:id="1834444198">
          <w:marLeft w:val="480"/>
          <w:marRight w:val="0"/>
          <w:marTop w:val="0"/>
          <w:marBottom w:val="0"/>
          <w:divBdr>
            <w:top w:val="none" w:sz="0" w:space="0" w:color="auto"/>
            <w:left w:val="none" w:sz="0" w:space="0" w:color="auto"/>
            <w:bottom w:val="none" w:sz="0" w:space="0" w:color="auto"/>
            <w:right w:val="none" w:sz="0" w:space="0" w:color="auto"/>
          </w:divBdr>
        </w:div>
        <w:div w:id="706875684">
          <w:marLeft w:val="480"/>
          <w:marRight w:val="0"/>
          <w:marTop w:val="0"/>
          <w:marBottom w:val="0"/>
          <w:divBdr>
            <w:top w:val="none" w:sz="0" w:space="0" w:color="auto"/>
            <w:left w:val="none" w:sz="0" w:space="0" w:color="auto"/>
            <w:bottom w:val="none" w:sz="0" w:space="0" w:color="auto"/>
            <w:right w:val="none" w:sz="0" w:space="0" w:color="auto"/>
          </w:divBdr>
        </w:div>
        <w:div w:id="568077032">
          <w:marLeft w:val="480"/>
          <w:marRight w:val="0"/>
          <w:marTop w:val="0"/>
          <w:marBottom w:val="0"/>
          <w:divBdr>
            <w:top w:val="none" w:sz="0" w:space="0" w:color="auto"/>
            <w:left w:val="none" w:sz="0" w:space="0" w:color="auto"/>
            <w:bottom w:val="none" w:sz="0" w:space="0" w:color="auto"/>
            <w:right w:val="none" w:sz="0" w:space="0" w:color="auto"/>
          </w:divBdr>
        </w:div>
        <w:div w:id="493301104">
          <w:marLeft w:val="480"/>
          <w:marRight w:val="0"/>
          <w:marTop w:val="0"/>
          <w:marBottom w:val="0"/>
          <w:divBdr>
            <w:top w:val="none" w:sz="0" w:space="0" w:color="auto"/>
            <w:left w:val="none" w:sz="0" w:space="0" w:color="auto"/>
            <w:bottom w:val="none" w:sz="0" w:space="0" w:color="auto"/>
            <w:right w:val="none" w:sz="0" w:space="0" w:color="auto"/>
          </w:divBdr>
        </w:div>
        <w:div w:id="726756118">
          <w:marLeft w:val="480"/>
          <w:marRight w:val="0"/>
          <w:marTop w:val="0"/>
          <w:marBottom w:val="0"/>
          <w:divBdr>
            <w:top w:val="none" w:sz="0" w:space="0" w:color="auto"/>
            <w:left w:val="none" w:sz="0" w:space="0" w:color="auto"/>
            <w:bottom w:val="none" w:sz="0" w:space="0" w:color="auto"/>
            <w:right w:val="none" w:sz="0" w:space="0" w:color="auto"/>
          </w:divBdr>
        </w:div>
        <w:div w:id="1457992906">
          <w:marLeft w:val="480"/>
          <w:marRight w:val="0"/>
          <w:marTop w:val="0"/>
          <w:marBottom w:val="0"/>
          <w:divBdr>
            <w:top w:val="none" w:sz="0" w:space="0" w:color="auto"/>
            <w:left w:val="none" w:sz="0" w:space="0" w:color="auto"/>
            <w:bottom w:val="none" w:sz="0" w:space="0" w:color="auto"/>
            <w:right w:val="none" w:sz="0" w:space="0" w:color="auto"/>
          </w:divBdr>
        </w:div>
        <w:div w:id="946043646">
          <w:marLeft w:val="480"/>
          <w:marRight w:val="0"/>
          <w:marTop w:val="0"/>
          <w:marBottom w:val="0"/>
          <w:divBdr>
            <w:top w:val="none" w:sz="0" w:space="0" w:color="auto"/>
            <w:left w:val="none" w:sz="0" w:space="0" w:color="auto"/>
            <w:bottom w:val="none" w:sz="0" w:space="0" w:color="auto"/>
            <w:right w:val="none" w:sz="0" w:space="0" w:color="auto"/>
          </w:divBdr>
        </w:div>
        <w:div w:id="411315812">
          <w:marLeft w:val="480"/>
          <w:marRight w:val="0"/>
          <w:marTop w:val="0"/>
          <w:marBottom w:val="0"/>
          <w:divBdr>
            <w:top w:val="none" w:sz="0" w:space="0" w:color="auto"/>
            <w:left w:val="none" w:sz="0" w:space="0" w:color="auto"/>
            <w:bottom w:val="none" w:sz="0" w:space="0" w:color="auto"/>
            <w:right w:val="none" w:sz="0" w:space="0" w:color="auto"/>
          </w:divBdr>
        </w:div>
        <w:div w:id="1435129233">
          <w:marLeft w:val="480"/>
          <w:marRight w:val="0"/>
          <w:marTop w:val="0"/>
          <w:marBottom w:val="0"/>
          <w:divBdr>
            <w:top w:val="none" w:sz="0" w:space="0" w:color="auto"/>
            <w:left w:val="none" w:sz="0" w:space="0" w:color="auto"/>
            <w:bottom w:val="none" w:sz="0" w:space="0" w:color="auto"/>
            <w:right w:val="none" w:sz="0" w:space="0" w:color="auto"/>
          </w:divBdr>
        </w:div>
        <w:div w:id="713388553">
          <w:marLeft w:val="480"/>
          <w:marRight w:val="0"/>
          <w:marTop w:val="0"/>
          <w:marBottom w:val="0"/>
          <w:divBdr>
            <w:top w:val="none" w:sz="0" w:space="0" w:color="auto"/>
            <w:left w:val="none" w:sz="0" w:space="0" w:color="auto"/>
            <w:bottom w:val="none" w:sz="0" w:space="0" w:color="auto"/>
            <w:right w:val="none" w:sz="0" w:space="0" w:color="auto"/>
          </w:divBdr>
        </w:div>
        <w:div w:id="1571772337">
          <w:marLeft w:val="480"/>
          <w:marRight w:val="0"/>
          <w:marTop w:val="0"/>
          <w:marBottom w:val="0"/>
          <w:divBdr>
            <w:top w:val="none" w:sz="0" w:space="0" w:color="auto"/>
            <w:left w:val="none" w:sz="0" w:space="0" w:color="auto"/>
            <w:bottom w:val="none" w:sz="0" w:space="0" w:color="auto"/>
            <w:right w:val="none" w:sz="0" w:space="0" w:color="auto"/>
          </w:divBdr>
        </w:div>
      </w:divsChild>
    </w:div>
    <w:div w:id="1328433886">
      <w:bodyDiv w:val="1"/>
      <w:marLeft w:val="0"/>
      <w:marRight w:val="0"/>
      <w:marTop w:val="0"/>
      <w:marBottom w:val="0"/>
      <w:divBdr>
        <w:top w:val="none" w:sz="0" w:space="0" w:color="auto"/>
        <w:left w:val="none" w:sz="0" w:space="0" w:color="auto"/>
        <w:bottom w:val="none" w:sz="0" w:space="0" w:color="auto"/>
        <w:right w:val="none" w:sz="0" w:space="0" w:color="auto"/>
      </w:divBdr>
      <w:divsChild>
        <w:div w:id="779450832">
          <w:marLeft w:val="480"/>
          <w:marRight w:val="0"/>
          <w:marTop w:val="0"/>
          <w:marBottom w:val="0"/>
          <w:divBdr>
            <w:top w:val="none" w:sz="0" w:space="0" w:color="auto"/>
            <w:left w:val="none" w:sz="0" w:space="0" w:color="auto"/>
            <w:bottom w:val="none" w:sz="0" w:space="0" w:color="auto"/>
            <w:right w:val="none" w:sz="0" w:space="0" w:color="auto"/>
          </w:divBdr>
        </w:div>
        <w:div w:id="1433358465">
          <w:marLeft w:val="480"/>
          <w:marRight w:val="0"/>
          <w:marTop w:val="0"/>
          <w:marBottom w:val="0"/>
          <w:divBdr>
            <w:top w:val="none" w:sz="0" w:space="0" w:color="auto"/>
            <w:left w:val="none" w:sz="0" w:space="0" w:color="auto"/>
            <w:bottom w:val="none" w:sz="0" w:space="0" w:color="auto"/>
            <w:right w:val="none" w:sz="0" w:space="0" w:color="auto"/>
          </w:divBdr>
        </w:div>
        <w:div w:id="2003653582">
          <w:marLeft w:val="480"/>
          <w:marRight w:val="0"/>
          <w:marTop w:val="0"/>
          <w:marBottom w:val="0"/>
          <w:divBdr>
            <w:top w:val="none" w:sz="0" w:space="0" w:color="auto"/>
            <w:left w:val="none" w:sz="0" w:space="0" w:color="auto"/>
            <w:bottom w:val="none" w:sz="0" w:space="0" w:color="auto"/>
            <w:right w:val="none" w:sz="0" w:space="0" w:color="auto"/>
          </w:divBdr>
        </w:div>
        <w:div w:id="403139156">
          <w:marLeft w:val="480"/>
          <w:marRight w:val="0"/>
          <w:marTop w:val="0"/>
          <w:marBottom w:val="0"/>
          <w:divBdr>
            <w:top w:val="none" w:sz="0" w:space="0" w:color="auto"/>
            <w:left w:val="none" w:sz="0" w:space="0" w:color="auto"/>
            <w:bottom w:val="none" w:sz="0" w:space="0" w:color="auto"/>
            <w:right w:val="none" w:sz="0" w:space="0" w:color="auto"/>
          </w:divBdr>
        </w:div>
        <w:div w:id="1307393831">
          <w:marLeft w:val="480"/>
          <w:marRight w:val="0"/>
          <w:marTop w:val="0"/>
          <w:marBottom w:val="0"/>
          <w:divBdr>
            <w:top w:val="none" w:sz="0" w:space="0" w:color="auto"/>
            <w:left w:val="none" w:sz="0" w:space="0" w:color="auto"/>
            <w:bottom w:val="none" w:sz="0" w:space="0" w:color="auto"/>
            <w:right w:val="none" w:sz="0" w:space="0" w:color="auto"/>
          </w:divBdr>
        </w:div>
        <w:div w:id="1183738055">
          <w:marLeft w:val="480"/>
          <w:marRight w:val="0"/>
          <w:marTop w:val="0"/>
          <w:marBottom w:val="0"/>
          <w:divBdr>
            <w:top w:val="none" w:sz="0" w:space="0" w:color="auto"/>
            <w:left w:val="none" w:sz="0" w:space="0" w:color="auto"/>
            <w:bottom w:val="none" w:sz="0" w:space="0" w:color="auto"/>
            <w:right w:val="none" w:sz="0" w:space="0" w:color="auto"/>
          </w:divBdr>
        </w:div>
        <w:div w:id="1067411907">
          <w:marLeft w:val="480"/>
          <w:marRight w:val="0"/>
          <w:marTop w:val="0"/>
          <w:marBottom w:val="0"/>
          <w:divBdr>
            <w:top w:val="none" w:sz="0" w:space="0" w:color="auto"/>
            <w:left w:val="none" w:sz="0" w:space="0" w:color="auto"/>
            <w:bottom w:val="none" w:sz="0" w:space="0" w:color="auto"/>
            <w:right w:val="none" w:sz="0" w:space="0" w:color="auto"/>
          </w:divBdr>
        </w:div>
        <w:div w:id="325859739">
          <w:marLeft w:val="480"/>
          <w:marRight w:val="0"/>
          <w:marTop w:val="0"/>
          <w:marBottom w:val="0"/>
          <w:divBdr>
            <w:top w:val="none" w:sz="0" w:space="0" w:color="auto"/>
            <w:left w:val="none" w:sz="0" w:space="0" w:color="auto"/>
            <w:bottom w:val="none" w:sz="0" w:space="0" w:color="auto"/>
            <w:right w:val="none" w:sz="0" w:space="0" w:color="auto"/>
          </w:divBdr>
        </w:div>
        <w:div w:id="352920624">
          <w:marLeft w:val="48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9616693">
      <w:bodyDiv w:val="1"/>
      <w:marLeft w:val="0"/>
      <w:marRight w:val="0"/>
      <w:marTop w:val="0"/>
      <w:marBottom w:val="0"/>
      <w:divBdr>
        <w:top w:val="none" w:sz="0" w:space="0" w:color="auto"/>
        <w:left w:val="none" w:sz="0" w:space="0" w:color="auto"/>
        <w:bottom w:val="none" w:sz="0" w:space="0" w:color="auto"/>
        <w:right w:val="none" w:sz="0" w:space="0" w:color="auto"/>
      </w:divBdr>
      <w:divsChild>
        <w:div w:id="1102257906">
          <w:marLeft w:val="480"/>
          <w:marRight w:val="0"/>
          <w:marTop w:val="0"/>
          <w:marBottom w:val="0"/>
          <w:divBdr>
            <w:top w:val="none" w:sz="0" w:space="0" w:color="auto"/>
            <w:left w:val="none" w:sz="0" w:space="0" w:color="auto"/>
            <w:bottom w:val="none" w:sz="0" w:space="0" w:color="auto"/>
            <w:right w:val="none" w:sz="0" w:space="0" w:color="auto"/>
          </w:divBdr>
        </w:div>
        <w:div w:id="863523307">
          <w:marLeft w:val="480"/>
          <w:marRight w:val="0"/>
          <w:marTop w:val="0"/>
          <w:marBottom w:val="0"/>
          <w:divBdr>
            <w:top w:val="none" w:sz="0" w:space="0" w:color="auto"/>
            <w:left w:val="none" w:sz="0" w:space="0" w:color="auto"/>
            <w:bottom w:val="none" w:sz="0" w:space="0" w:color="auto"/>
            <w:right w:val="none" w:sz="0" w:space="0" w:color="auto"/>
          </w:divBdr>
        </w:div>
        <w:div w:id="1381906737">
          <w:marLeft w:val="480"/>
          <w:marRight w:val="0"/>
          <w:marTop w:val="0"/>
          <w:marBottom w:val="0"/>
          <w:divBdr>
            <w:top w:val="none" w:sz="0" w:space="0" w:color="auto"/>
            <w:left w:val="none" w:sz="0" w:space="0" w:color="auto"/>
            <w:bottom w:val="none" w:sz="0" w:space="0" w:color="auto"/>
            <w:right w:val="none" w:sz="0" w:space="0" w:color="auto"/>
          </w:divBdr>
        </w:div>
        <w:div w:id="666326760">
          <w:marLeft w:val="480"/>
          <w:marRight w:val="0"/>
          <w:marTop w:val="0"/>
          <w:marBottom w:val="0"/>
          <w:divBdr>
            <w:top w:val="none" w:sz="0" w:space="0" w:color="auto"/>
            <w:left w:val="none" w:sz="0" w:space="0" w:color="auto"/>
            <w:bottom w:val="none" w:sz="0" w:space="0" w:color="auto"/>
            <w:right w:val="none" w:sz="0" w:space="0" w:color="auto"/>
          </w:divBdr>
        </w:div>
        <w:div w:id="740566642">
          <w:marLeft w:val="480"/>
          <w:marRight w:val="0"/>
          <w:marTop w:val="0"/>
          <w:marBottom w:val="0"/>
          <w:divBdr>
            <w:top w:val="none" w:sz="0" w:space="0" w:color="auto"/>
            <w:left w:val="none" w:sz="0" w:space="0" w:color="auto"/>
            <w:bottom w:val="none" w:sz="0" w:space="0" w:color="auto"/>
            <w:right w:val="none" w:sz="0" w:space="0" w:color="auto"/>
          </w:divBdr>
        </w:div>
        <w:div w:id="109864725">
          <w:marLeft w:val="480"/>
          <w:marRight w:val="0"/>
          <w:marTop w:val="0"/>
          <w:marBottom w:val="0"/>
          <w:divBdr>
            <w:top w:val="none" w:sz="0" w:space="0" w:color="auto"/>
            <w:left w:val="none" w:sz="0" w:space="0" w:color="auto"/>
            <w:bottom w:val="none" w:sz="0" w:space="0" w:color="auto"/>
            <w:right w:val="none" w:sz="0" w:space="0" w:color="auto"/>
          </w:divBdr>
        </w:div>
        <w:div w:id="1019893470">
          <w:marLeft w:val="480"/>
          <w:marRight w:val="0"/>
          <w:marTop w:val="0"/>
          <w:marBottom w:val="0"/>
          <w:divBdr>
            <w:top w:val="none" w:sz="0" w:space="0" w:color="auto"/>
            <w:left w:val="none" w:sz="0" w:space="0" w:color="auto"/>
            <w:bottom w:val="none" w:sz="0" w:space="0" w:color="auto"/>
            <w:right w:val="none" w:sz="0" w:space="0" w:color="auto"/>
          </w:divBdr>
        </w:div>
        <w:div w:id="558904644">
          <w:marLeft w:val="480"/>
          <w:marRight w:val="0"/>
          <w:marTop w:val="0"/>
          <w:marBottom w:val="0"/>
          <w:divBdr>
            <w:top w:val="none" w:sz="0" w:space="0" w:color="auto"/>
            <w:left w:val="none" w:sz="0" w:space="0" w:color="auto"/>
            <w:bottom w:val="none" w:sz="0" w:space="0" w:color="auto"/>
            <w:right w:val="none" w:sz="0" w:space="0" w:color="auto"/>
          </w:divBdr>
        </w:div>
        <w:div w:id="2117285011">
          <w:marLeft w:val="480"/>
          <w:marRight w:val="0"/>
          <w:marTop w:val="0"/>
          <w:marBottom w:val="0"/>
          <w:divBdr>
            <w:top w:val="none" w:sz="0" w:space="0" w:color="auto"/>
            <w:left w:val="none" w:sz="0" w:space="0" w:color="auto"/>
            <w:bottom w:val="none" w:sz="0" w:space="0" w:color="auto"/>
            <w:right w:val="none" w:sz="0" w:space="0" w:color="auto"/>
          </w:divBdr>
        </w:div>
        <w:div w:id="305822926">
          <w:marLeft w:val="480"/>
          <w:marRight w:val="0"/>
          <w:marTop w:val="0"/>
          <w:marBottom w:val="0"/>
          <w:divBdr>
            <w:top w:val="none" w:sz="0" w:space="0" w:color="auto"/>
            <w:left w:val="none" w:sz="0" w:space="0" w:color="auto"/>
            <w:bottom w:val="none" w:sz="0" w:space="0" w:color="auto"/>
            <w:right w:val="none" w:sz="0" w:space="0" w:color="auto"/>
          </w:divBdr>
        </w:div>
        <w:div w:id="241991635">
          <w:marLeft w:val="480"/>
          <w:marRight w:val="0"/>
          <w:marTop w:val="0"/>
          <w:marBottom w:val="0"/>
          <w:divBdr>
            <w:top w:val="none" w:sz="0" w:space="0" w:color="auto"/>
            <w:left w:val="none" w:sz="0" w:space="0" w:color="auto"/>
            <w:bottom w:val="none" w:sz="0" w:space="0" w:color="auto"/>
            <w:right w:val="none" w:sz="0" w:space="0" w:color="auto"/>
          </w:divBdr>
        </w:div>
        <w:div w:id="1648168953">
          <w:marLeft w:val="480"/>
          <w:marRight w:val="0"/>
          <w:marTop w:val="0"/>
          <w:marBottom w:val="0"/>
          <w:divBdr>
            <w:top w:val="none" w:sz="0" w:space="0" w:color="auto"/>
            <w:left w:val="none" w:sz="0" w:space="0" w:color="auto"/>
            <w:bottom w:val="none" w:sz="0" w:space="0" w:color="auto"/>
            <w:right w:val="none" w:sz="0" w:space="0" w:color="auto"/>
          </w:divBdr>
        </w:div>
      </w:divsChild>
    </w:div>
    <w:div w:id="1465003956">
      <w:bodyDiv w:val="1"/>
      <w:marLeft w:val="0"/>
      <w:marRight w:val="0"/>
      <w:marTop w:val="0"/>
      <w:marBottom w:val="0"/>
      <w:divBdr>
        <w:top w:val="none" w:sz="0" w:space="0" w:color="auto"/>
        <w:left w:val="none" w:sz="0" w:space="0" w:color="auto"/>
        <w:bottom w:val="none" w:sz="0" w:space="0" w:color="auto"/>
        <w:right w:val="none" w:sz="0" w:space="0" w:color="auto"/>
      </w:divBdr>
    </w:div>
    <w:div w:id="1470247775">
      <w:bodyDiv w:val="1"/>
      <w:marLeft w:val="0"/>
      <w:marRight w:val="0"/>
      <w:marTop w:val="0"/>
      <w:marBottom w:val="0"/>
      <w:divBdr>
        <w:top w:val="none" w:sz="0" w:space="0" w:color="auto"/>
        <w:left w:val="none" w:sz="0" w:space="0" w:color="auto"/>
        <w:bottom w:val="none" w:sz="0" w:space="0" w:color="auto"/>
        <w:right w:val="none" w:sz="0" w:space="0" w:color="auto"/>
      </w:divBdr>
    </w:div>
    <w:div w:id="1478494762">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0458625">
      <w:bodyDiv w:val="1"/>
      <w:marLeft w:val="0"/>
      <w:marRight w:val="0"/>
      <w:marTop w:val="0"/>
      <w:marBottom w:val="0"/>
      <w:divBdr>
        <w:top w:val="none" w:sz="0" w:space="0" w:color="auto"/>
        <w:left w:val="none" w:sz="0" w:space="0" w:color="auto"/>
        <w:bottom w:val="none" w:sz="0" w:space="0" w:color="auto"/>
        <w:right w:val="none" w:sz="0" w:space="0" w:color="auto"/>
      </w:divBdr>
      <w:divsChild>
        <w:div w:id="627054666">
          <w:marLeft w:val="480"/>
          <w:marRight w:val="0"/>
          <w:marTop w:val="0"/>
          <w:marBottom w:val="0"/>
          <w:divBdr>
            <w:top w:val="none" w:sz="0" w:space="0" w:color="auto"/>
            <w:left w:val="none" w:sz="0" w:space="0" w:color="auto"/>
            <w:bottom w:val="none" w:sz="0" w:space="0" w:color="auto"/>
            <w:right w:val="none" w:sz="0" w:space="0" w:color="auto"/>
          </w:divBdr>
        </w:div>
        <w:div w:id="1281911212">
          <w:marLeft w:val="480"/>
          <w:marRight w:val="0"/>
          <w:marTop w:val="0"/>
          <w:marBottom w:val="0"/>
          <w:divBdr>
            <w:top w:val="none" w:sz="0" w:space="0" w:color="auto"/>
            <w:left w:val="none" w:sz="0" w:space="0" w:color="auto"/>
            <w:bottom w:val="none" w:sz="0" w:space="0" w:color="auto"/>
            <w:right w:val="none" w:sz="0" w:space="0" w:color="auto"/>
          </w:divBdr>
        </w:div>
        <w:div w:id="504709070">
          <w:marLeft w:val="480"/>
          <w:marRight w:val="0"/>
          <w:marTop w:val="0"/>
          <w:marBottom w:val="0"/>
          <w:divBdr>
            <w:top w:val="none" w:sz="0" w:space="0" w:color="auto"/>
            <w:left w:val="none" w:sz="0" w:space="0" w:color="auto"/>
            <w:bottom w:val="none" w:sz="0" w:space="0" w:color="auto"/>
            <w:right w:val="none" w:sz="0" w:space="0" w:color="auto"/>
          </w:divBdr>
        </w:div>
        <w:div w:id="1836797553">
          <w:marLeft w:val="480"/>
          <w:marRight w:val="0"/>
          <w:marTop w:val="0"/>
          <w:marBottom w:val="0"/>
          <w:divBdr>
            <w:top w:val="none" w:sz="0" w:space="0" w:color="auto"/>
            <w:left w:val="none" w:sz="0" w:space="0" w:color="auto"/>
            <w:bottom w:val="none" w:sz="0" w:space="0" w:color="auto"/>
            <w:right w:val="none" w:sz="0" w:space="0" w:color="auto"/>
          </w:divBdr>
        </w:div>
        <w:div w:id="1366709026">
          <w:marLeft w:val="480"/>
          <w:marRight w:val="0"/>
          <w:marTop w:val="0"/>
          <w:marBottom w:val="0"/>
          <w:divBdr>
            <w:top w:val="none" w:sz="0" w:space="0" w:color="auto"/>
            <w:left w:val="none" w:sz="0" w:space="0" w:color="auto"/>
            <w:bottom w:val="none" w:sz="0" w:space="0" w:color="auto"/>
            <w:right w:val="none" w:sz="0" w:space="0" w:color="auto"/>
          </w:divBdr>
        </w:div>
        <w:div w:id="1435515451">
          <w:marLeft w:val="480"/>
          <w:marRight w:val="0"/>
          <w:marTop w:val="0"/>
          <w:marBottom w:val="0"/>
          <w:divBdr>
            <w:top w:val="none" w:sz="0" w:space="0" w:color="auto"/>
            <w:left w:val="none" w:sz="0" w:space="0" w:color="auto"/>
            <w:bottom w:val="none" w:sz="0" w:space="0" w:color="auto"/>
            <w:right w:val="none" w:sz="0" w:space="0" w:color="auto"/>
          </w:divBdr>
        </w:div>
        <w:div w:id="1892839330">
          <w:marLeft w:val="480"/>
          <w:marRight w:val="0"/>
          <w:marTop w:val="0"/>
          <w:marBottom w:val="0"/>
          <w:divBdr>
            <w:top w:val="none" w:sz="0" w:space="0" w:color="auto"/>
            <w:left w:val="none" w:sz="0" w:space="0" w:color="auto"/>
            <w:bottom w:val="none" w:sz="0" w:space="0" w:color="auto"/>
            <w:right w:val="none" w:sz="0" w:space="0" w:color="auto"/>
          </w:divBdr>
        </w:div>
        <w:div w:id="1068067852">
          <w:marLeft w:val="480"/>
          <w:marRight w:val="0"/>
          <w:marTop w:val="0"/>
          <w:marBottom w:val="0"/>
          <w:divBdr>
            <w:top w:val="none" w:sz="0" w:space="0" w:color="auto"/>
            <w:left w:val="none" w:sz="0" w:space="0" w:color="auto"/>
            <w:bottom w:val="none" w:sz="0" w:space="0" w:color="auto"/>
            <w:right w:val="none" w:sz="0" w:space="0" w:color="auto"/>
          </w:divBdr>
        </w:div>
        <w:div w:id="932083625">
          <w:marLeft w:val="480"/>
          <w:marRight w:val="0"/>
          <w:marTop w:val="0"/>
          <w:marBottom w:val="0"/>
          <w:divBdr>
            <w:top w:val="none" w:sz="0" w:space="0" w:color="auto"/>
            <w:left w:val="none" w:sz="0" w:space="0" w:color="auto"/>
            <w:bottom w:val="none" w:sz="0" w:space="0" w:color="auto"/>
            <w:right w:val="none" w:sz="0" w:space="0" w:color="auto"/>
          </w:divBdr>
        </w:div>
        <w:div w:id="765931066">
          <w:marLeft w:val="480"/>
          <w:marRight w:val="0"/>
          <w:marTop w:val="0"/>
          <w:marBottom w:val="0"/>
          <w:divBdr>
            <w:top w:val="none" w:sz="0" w:space="0" w:color="auto"/>
            <w:left w:val="none" w:sz="0" w:space="0" w:color="auto"/>
            <w:bottom w:val="none" w:sz="0" w:space="0" w:color="auto"/>
            <w:right w:val="none" w:sz="0" w:space="0" w:color="auto"/>
          </w:divBdr>
        </w:div>
        <w:div w:id="1876771927">
          <w:marLeft w:val="480"/>
          <w:marRight w:val="0"/>
          <w:marTop w:val="0"/>
          <w:marBottom w:val="0"/>
          <w:divBdr>
            <w:top w:val="none" w:sz="0" w:space="0" w:color="auto"/>
            <w:left w:val="none" w:sz="0" w:space="0" w:color="auto"/>
            <w:bottom w:val="none" w:sz="0" w:space="0" w:color="auto"/>
            <w:right w:val="none" w:sz="0" w:space="0" w:color="auto"/>
          </w:divBdr>
        </w:div>
      </w:divsChild>
    </w:div>
    <w:div w:id="1537354561">
      <w:bodyDiv w:val="1"/>
      <w:marLeft w:val="0"/>
      <w:marRight w:val="0"/>
      <w:marTop w:val="0"/>
      <w:marBottom w:val="0"/>
      <w:divBdr>
        <w:top w:val="none" w:sz="0" w:space="0" w:color="auto"/>
        <w:left w:val="none" w:sz="0" w:space="0" w:color="auto"/>
        <w:bottom w:val="none" w:sz="0" w:space="0" w:color="auto"/>
        <w:right w:val="none" w:sz="0" w:space="0" w:color="auto"/>
      </w:divBdr>
      <w:divsChild>
        <w:div w:id="864365582">
          <w:marLeft w:val="480"/>
          <w:marRight w:val="0"/>
          <w:marTop w:val="0"/>
          <w:marBottom w:val="0"/>
          <w:divBdr>
            <w:top w:val="none" w:sz="0" w:space="0" w:color="auto"/>
            <w:left w:val="none" w:sz="0" w:space="0" w:color="auto"/>
            <w:bottom w:val="none" w:sz="0" w:space="0" w:color="auto"/>
            <w:right w:val="none" w:sz="0" w:space="0" w:color="auto"/>
          </w:divBdr>
        </w:div>
        <w:div w:id="503016055">
          <w:marLeft w:val="480"/>
          <w:marRight w:val="0"/>
          <w:marTop w:val="0"/>
          <w:marBottom w:val="0"/>
          <w:divBdr>
            <w:top w:val="none" w:sz="0" w:space="0" w:color="auto"/>
            <w:left w:val="none" w:sz="0" w:space="0" w:color="auto"/>
            <w:bottom w:val="none" w:sz="0" w:space="0" w:color="auto"/>
            <w:right w:val="none" w:sz="0" w:space="0" w:color="auto"/>
          </w:divBdr>
        </w:div>
        <w:div w:id="2116169980">
          <w:marLeft w:val="480"/>
          <w:marRight w:val="0"/>
          <w:marTop w:val="0"/>
          <w:marBottom w:val="0"/>
          <w:divBdr>
            <w:top w:val="none" w:sz="0" w:space="0" w:color="auto"/>
            <w:left w:val="none" w:sz="0" w:space="0" w:color="auto"/>
            <w:bottom w:val="none" w:sz="0" w:space="0" w:color="auto"/>
            <w:right w:val="none" w:sz="0" w:space="0" w:color="auto"/>
          </w:divBdr>
        </w:div>
        <w:div w:id="1522889805">
          <w:marLeft w:val="480"/>
          <w:marRight w:val="0"/>
          <w:marTop w:val="0"/>
          <w:marBottom w:val="0"/>
          <w:divBdr>
            <w:top w:val="none" w:sz="0" w:space="0" w:color="auto"/>
            <w:left w:val="none" w:sz="0" w:space="0" w:color="auto"/>
            <w:bottom w:val="none" w:sz="0" w:space="0" w:color="auto"/>
            <w:right w:val="none" w:sz="0" w:space="0" w:color="auto"/>
          </w:divBdr>
        </w:div>
        <w:div w:id="1479952701">
          <w:marLeft w:val="480"/>
          <w:marRight w:val="0"/>
          <w:marTop w:val="0"/>
          <w:marBottom w:val="0"/>
          <w:divBdr>
            <w:top w:val="none" w:sz="0" w:space="0" w:color="auto"/>
            <w:left w:val="none" w:sz="0" w:space="0" w:color="auto"/>
            <w:bottom w:val="none" w:sz="0" w:space="0" w:color="auto"/>
            <w:right w:val="none" w:sz="0" w:space="0" w:color="auto"/>
          </w:divBdr>
        </w:div>
        <w:div w:id="1027218670">
          <w:marLeft w:val="480"/>
          <w:marRight w:val="0"/>
          <w:marTop w:val="0"/>
          <w:marBottom w:val="0"/>
          <w:divBdr>
            <w:top w:val="none" w:sz="0" w:space="0" w:color="auto"/>
            <w:left w:val="none" w:sz="0" w:space="0" w:color="auto"/>
            <w:bottom w:val="none" w:sz="0" w:space="0" w:color="auto"/>
            <w:right w:val="none" w:sz="0" w:space="0" w:color="auto"/>
          </w:divBdr>
        </w:div>
        <w:div w:id="1438788362">
          <w:marLeft w:val="480"/>
          <w:marRight w:val="0"/>
          <w:marTop w:val="0"/>
          <w:marBottom w:val="0"/>
          <w:divBdr>
            <w:top w:val="none" w:sz="0" w:space="0" w:color="auto"/>
            <w:left w:val="none" w:sz="0" w:space="0" w:color="auto"/>
            <w:bottom w:val="none" w:sz="0" w:space="0" w:color="auto"/>
            <w:right w:val="none" w:sz="0" w:space="0" w:color="auto"/>
          </w:divBdr>
        </w:div>
        <w:div w:id="743718356">
          <w:marLeft w:val="480"/>
          <w:marRight w:val="0"/>
          <w:marTop w:val="0"/>
          <w:marBottom w:val="0"/>
          <w:divBdr>
            <w:top w:val="none" w:sz="0" w:space="0" w:color="auto"/>
            <w:left w:val="none" w:sz="0" w:space="0" w:color="auto"/>
            <w:bottom w:val="none" w:sz="0" w:space="0" w:color="auto"/>
            <w:right w:val="none" w:sz="0" w:space="0" w:color="auto"/>
          </w:divBdr>
        </w:div>
        <w:div w:id="109784370">
          <w:marLeft w:val="480"/>
          <w:marRight w:val="0"/>
          <w:marTop w:val="0"/>
          <w:marBottom w:val="0"/>
          <w:divBdr>
            <w:top w:val="none" w:sz="0" w:space="0" w:color="auto"/>
            <w:left w:val="none" w:sz="0" w:space="0" w:color="auto"/>
            <w:bottom w:val="none" w:sz="0" w:space="0" w:color="auto"/>
            <w:right w:val="none" w:sz="0" w:space="0" w:color="auto"/>
          </w:divBdr>
        </w:div>
        <w:div w:id="1611661613">
          <w:marLeft w:val="480"/>
          <w:marRight w:val="0"/>
          <w:marTop w:val="0"/>
          <w:marBottom w:val="0"/>
          <w:divBdr>
            <w:top w:val="none" w:sz="0" w:space="0" w:color="auto"/>
            <w:left w:val="none" w:sz="0" w:space="0" w:color="auto"/>
            <w:bottom w:val="none" w:sz="0" w:space="0" w:color="auto"/>
            <w:right w:val="none" w:sz="0" w:space="0" w:color="auto"/>
          </w:divBdr>
        </w:div>
        <w:div w:id="419914493">
          <w:marLeft w:val="480"/>
          <w:marRight w:val="0"/>
          <w:marTop w:val="0"/>
          <w:marBottom w:val="0"/>
          <w:divBdr>
            <w:top w:val="none" w:sz="0" w:space="0" w:color="auto"/>
            <w:left w:val="none" w:sz="0" w:space="0" w:color="auto"/>
            <w:bottom w:val="none" w:sz="0" w:space="0" w:color="auto"/>
            <w:right w:val="none" w:sz="0" w:space="0" w:color="auto"/>
          </w:divBdr>
        </w:div>
        <w:div w:id="1014454761">
          <w:marLeft w:val="480"/>
          <w:marRight w:val="0"/>
          <w:marTop w:val="0"/>
          <w:marBottom w:val="0"/>
          <w:divBdr>
            <w:top w:val="none" w:sz="0" w:space="0" w:color="auto"/>
            <w:left w:val="none" w:sz="0" w:space="0" w:color="auto"/>
            <w:bottom w:val="none" w:sz="0" w:space="0" w:color="auto"/>
            <w:right w:val="none" w:sz="0" w:space="0" w:color="auto"/>
          </w:divBdr>
        </w:div>
      </w:divsChild>
    </w:div>
    <w:div w:id="1573926604">
      <w:bodyDiv w:val="1"/>
      <w:marLeft w:val="0"/>
      <w:marRight w:val="0"/>
      <w:marTop w:val="0"/>
      <w:marBottom w:val="0"/>
      <w:divBdr>
        <w:top w:val="none" w:sz="0" w:space="0" w:color="auto"/>
        <w:left w:val="none" w:sz="0" w:space="0" w:color="auto"/>
        <w:bottom w:val="none" w:sz="0" w:space="0" w:color="auto"/>
        <w:right w:val="none" w:sz="0" w:space="0" w:color="auto"/>
      </w:divBdr>
      <w:divsChild>
        <w:div w:id="886531612">
          <w:marLeft w:val="480"/>
          <w:marRight w:val="0"/>
          <w:marTop w:val="0"/>
          <w:marBottom w:val="0"/>
          <w:divBdr>
            <w:top w:val="none" w:sz="0" w:space="0" w:color="auto"/>
            <w:left w:val="none" w:sz="0" w:space="0" w:color="auto"/>
            <w:bottom w:val="none" w:sz="0" w:space="0" w:color="auto"/>
            <w:right w:val="none" w:sz="0" w:space="0" w:color="auto"/>
          </w:divBdr>
        </w:div>
        <w:div w:id="1736968163">
          <w:marLeft w:val="480"/>
          <w:marRight w:val="0"/>
          <w:marTop w:val="0"/>
          <w:marBottom w:val="0"/>
          <w:divBdr>
            <w:top w:val="none" w:sz="0" w:space="0" w:color="auto"/>
            <w:left w:val="none" w:sz="0" w:space="0" w:color="auto"/>
            <w:bottom w:val="none" w:sz="0" w:space="0" w:color="auto"/>
            <w:right w:val="none" w:sz="0" w:space="0" w:color="auto"/>
          </w:divBdr>
        </w:div>
        <w:div w:id="338504942">
          <w:marLeft w:val="480"/>
          <w:marRight w:val="0"/>
          <w:marTop w:val="0"/>
          <w:marBottom w:val="0"/>
          <w:divBdr>
            <w:top w:val="none" w:sz="0" w:space="0" w:color="auto"/>
            <w:left w:val="none" w:sz="0" w:space="0" w:color="auto"/>
            <w:bottom w:val="none" w:sz="0" w:space="0" w:color="auto"/>
            <w:right w:val="none" w:sz="0" w:space="0" w:color="auto"/>
          </w:divBdr>
        </w:div>
        <w:div w:id="781414828">
          <w:marLeft w:val="480"/>
          <w:marRight w:val="0"/>
          <w:marTop w:val="0"/>
          <w:marBottom w:val="0"/>
          <w:divBdr>
            <w:top w:val="none" w:sz="0" w:space="0" w:color="auto"/>
            <w:left w:val="none" w:sz="0" w:space="0" w:color="auto"/>
            <w:bottom w:val="none" w:sz="0" w:space="0" w:color="auto"/>
            <w:right w:val="none" w:sz="0" w:space="0" w:color="auto"/>
          </w:divBdr>
        </w:div>
        <w:div w:id="14962663">
          <w:marLeft w:val="480"/>
          <w:marRight w:val="0"/>
          <w:marTop w:val="0"/>
          <w:marBottom w:val="0"/>
          <w:divBdr>
            <w:top w:val="none" w:sz="0" w:space="0" w:color="auto"/>
            <w:left w:val="none" w:sz="0" w:space="0" w:color="auto"/>
            <w:bottom w:val="none" w:sz="0" w:space="0" w:color="auto"/>
            <w:right w:val="none" w:sz="0" w:space="0" w:color="auto"/>
          </w:divBdr>
        </w:div>
        <w:div w:id="1705516843">
          <w:marLeft w:val="480"/>
          <w:marRight w:val="0"/>
          <w:marTop w:val="0"/>
          <w:marBottom w:val="0"/>
          <w:divBdr>
            <w:top w:val="none" w:sz="0" w:space="0" w:color="auto"/>
            <w:left w:val="none" w:sz="0" w:space="0" w:color="auto"/>
            <w:bottom w:val="none" w:sz="0" w:space="0" w:color="auto"/>
            <w:right w:val="none" w:sz="0" w:space="0" w:color="auto"/>
          </w:divBdr>
        </w:div>
        <w:div w:id="1193496973">
          <w:marLeft w:val="480"/>
          <w:marRight w:val="0"/>
          <w:marTop w:val="0"/>
          <w:marBottom w:val="0"/>
          <w:divBdr>
            <w:top w:val="none" w:sz="0" w:space="0" w:color="auto"/>
            <w:left w:val="none" w:sz="0" w:space="0" w:color="auto"/>
            <w:bottom w:val="none" w:sz="0" w:space="0" w:color="auto"/>
            <w:right w:val="none" w:sz="0" w:space="0" w:color="auto"/>
          </w:divBdr>
        </w:div>
        <w:div w:id="465708332">
          <w:marLeft w:val="480"/>
          <w:marRight w:val="0"/>
          <w:marTop w:val="0"/>
          <w:marBottom w:val="0"/>
          <w:divBdr>
            <w:top w:val="none" w:sz="0" w:space="0" w:color="auto"/>
            <w:left w:val="none" w:sz="0" w:space="0" w:color="auto"/>
            <w:bottom w:val="none" w:sz="0" w:space="0" w:color="auto"/>
            <w:right w:val="none" w:sz="0" w:space="0" w:color="auto"/>
          </w:divBdr>
        </w:div>
        <w:div w:id="751312291">
          <w:marLeft w:val="480"/>
          <w:marRight w:val="0"/>
          <w:marTop w:val="0"/>
          <w:marBottom w:val="0"/>
          <w:divBdr>
            <w:top w:val="none" w:sz="0" w:space="0" w:color="auto"/>
            <w:left w:val="none" w:sz="0" w:space="0" w:color="auto"/>
            <w:bottom w:val="none" w:sz="0" w:space="0" w:color="auto"/>
            <w:right w:val="none" w:sz="0" w:space="0" w:color="auto"/>
          </w:divBdr>
        </w:div>
        <w:div w:id="117578511">
          <w:marLeft w:val="480"/>
          <w:marRight w:val="0"/>
          <w:marTop w:val="0"/>
          <w:marBottom w:val="0"/>
          <w:divBdr>
            <w:top w:val="none" w:sz="0" w:space="0" w:color="auto"/>
            <w:left w:val="none" w:sz="0" w:space="0" w:color="auto"/>
            <w:bottom w:val="none" w:sz="0" w:space="0" w:color="auto"/>
            <w:right w:val="none" w:sz="0" w:space="0" w:color="auto"/>
          </w:divBdr>
        </w:div>
        <w:div w:id="222765027">
          <w:marLeft w:val="480"/>
          <w:marRight w:val="0"/>
          <w:marTop w:val="0"/>
          <w:marBottom w:val="0"/>
          <w:divBdr>
            <w:top w:val="none" w:sz="0" w:space="0" w:color="auto"/>
            <w:left w:val="none" w:sz="0" w:space="0" w:color="auto"/>
            <w:bottom w:val="none" w:sz="0" w:space="0" w:color="auto"/>
            <w:right w:val="none" w:sz="0" w:space="0" w:color="auto"/>
          </w:divBdr>
        </w:div>
      </w:divsChild>
    </w:div>
    <w:div w:id="1574124570">
      <w:bodyDiv w:val="1"/>
      <w:marLeft w:val="0"/>
      <w:marRight w:val="0"/>
      <w:marTop w:val="0"/>
      <w:marBottom w:val="0"/>
      <w:divBdr>
        <w:top w:val="none" w:sz="0" w:space="0" w:color="auto"/>
        <w:left w:val="none" w:sz="0" w:space="0" w:color="auto"/>
        <w:bottom w:val="none" w:sz="0" w:space="0" w:color="auto"/>
        <w:right w:val="none" w:sz="0" w:space="0" w:color="auto"/>
      </w:divBdr>
      <w:divsChild>
        <w:div w:id="209995927">
          <w:marLeft w:val="480"/>
          <w:marRight w:val="0"/>
          <w:marTop w:val="0"/>
          <w:marBottom w:val="0"/>
          <w:divBdr>
            <w:top w:val="none" w:sz="0" w:space="0" w:color="auto"/>
            <w:left w:val="none" w:sz="0" w:space="0" w:color="auto"/>
            <w:bottom w:val="none" w:sz="0" w:space="0" w:color="auto"/>
            <w:right w:val="none" w:sz="0" w:space="0" w:color="auto"/>
          </w:divBdr>
        </w:div>
        <w:div w:id="2005208265">
          <w:marLeft w:val="480"/>
          <w:marRight w:val="0"/>
          <w:marTop w:val="0"/>
          <w:marBottom w:val="0"/>
          <w:divBdr>
            <w:top w:val="none" w:sz="0" w:space="0" w:color="auto"/>
            <w:left w:val="none" w:sz="0" w:space="0" w:color="auto"/>
            <w:bottom w:val="none" w:sz="0" w:space="0" w:color="auto"/>
            <w:right w:val="none" w:sz="0" w:space="0" w:color="auto"/>
          </w:divBdr>
        </w:div>
        <w:div w:id="53166059">
          <w:marLeft w:val="480"/>
          <w:marRight w:val="0"/>
          <w:marTop w:val="0"/>
          <w:marBottom w:val="0"/>
          <w:divBdr>
            <w:top w:val="none" w:sz="0" w:space="0" w:color="auto"/>
            <w:left w:val="none" w:sz="0" w:space="0" w:color="auto"/>
            <w:bottom w:val="none" w:sz="0" w:space="0" w:color="auto"/>
            <w:right w:val="none" w:sz="0" w:space="0" w:color="auto"/>
          </w:divBdr>
        </w:div>
        <w:div w:id="1175146092">
          <w:marLeft w:val="480"/>
          <w:marRight w:val="0"/>
          <w:marTop w:val="0"/>
          <w:marBottom w:val="0"/>
          <w:divBdr>
            <w:top w:val="none" w:sz="0" w:space="0" w:color="auto"/>
            <w:left w:val="none" w:sz="0" w:space="0" w:color="auto"/>
            <w:bottom w:val="none" w:sz="0" w:space="0" w:color="auto"/>
            <w:right w:val="none" w:sz="0" w:space="0" w:color="auto"/>
          </w:divBdr>
        </w:div>
        <w:div w:id="497306687">
          <w:marLeft w:val="480"/>
          <w:marRight w:val="0"/>
          <w:marTop w:val="0"/>
          <w:marBottom w:val="0"/>
          <w:divBdr>
            <w:top w:val="none" w:sz="0" w:space="0" w:color="auto"/>
            <w:left w:val="none" w:sz="0" w:space="0" w:color="auto"/>
            <w:bottom w:val="none" w:sz="0" w:space="0" w:color="auto"/>
            <w:right w:val="none" w:sz="0" w:space="0" w:color="auto"/>
          </w:divBdr>
        </w:div>
        <w:div w:id="547185712">
          <w:marLeft w:val="480"/>
          <w:marRight w:val="0"/>
          <w:marTop w:val="0"/>
          <w:marBottom w:val="0"/>
          <w:divBdr>
            <w:top w:val="none" w:sz="0" w:space="0" w:color="auto"/>
            <w:left w:val="none" w:sz="0" w:space="0" w:color="auto"/>
            <w:bottom w:val="none" w:sz="0" w:space="0" w:color="auto"/>
            <w:right w:val="none" w:sz="0" w:space="0" w:color="auto"/>
          </w:divBdr>
        </w:div>
        <w:div w:id="992177704">
          <w:marLeft w:val="480"/>
          <w:marRight w:val="0"/>
          <w:marTop w:val="0"/>
          <w:marBottom w:val="0"/>
          <w:divBdr>
            <w:top w:val="none" w:sz="0" w:space="0" w:color="auto"/>
            <w:left w:val="none" w:sz="0" w:space="0" w:color="auto"/>
            <w:bottom w:val="none" w:sz="0" w:space="0" w:color="auto"/>
            <w:right w:val="none" w:sz="0" w:space="0" w:color="auto"/>
          </w:divBdr>
        </w:div>
        <w:div w:id="464473467">
          <w:marLeft w:val="480"/>
          <w:marRight w:val="0"/>
          <w:marTop w:val="0"/>
          <w:marBottom w:val="0"/>
          <w:divBdr>
            <w:top w:val="none" w:sz="0" w:space="0" w:color="auto"/>
            <w:left w:val="none" w:sz="0" w:space="0" w:color="auto"/>
            <w:bottom w:val="none" w:sz="0" w:space="0" w:color="auto"/>
            <w:right w:val="none" w:sz="0" w:space="0" w:color="auto"/>
          </w:divBdr>
        </w:div>
        <w:div w:id="349110630">
          <w:marLeft w:val="480"/>
          <w:marRight w:val="0"/>
          <w:marTop w:val="0"/>
          <w:marBottom w:val="0"/>
          <w:divBdr>
            <w:top w:val="none" w:sz="0" w:space="0" w:color="auto"/>
            <w:left w:val="none" w:sz="0" w:space="0" w:color="auto"/>
            <w:bottom w:val="none" w:sz="0" w:space="0" w:color="auto"/>
            <w:right w:val="none" w:sz="0" w:space="0" w:color="auto"/>
          </w:divBdr>
        </w:div>
        <w:div w:id="928857206">
          <w:marLeft w:val="480"/>
          <w:marRight w:val="0"/>
          <w:marTop w:val="0"/>
          <w:marBottom w:val="0"/>
          <w:divBdr>
            <w:top w:val="none" w:sz="0" w:space="0" w:color="auto"/>
            <w:left w:val="none" w:sz="0" w:space="0" w:color="auto"/>
            <w:bottom w:val="none" w:sz="0" w:space="0" w:color="auto"/>
            <w:right w:val="none" w:sz="0" w:space="0" w:color="auto"/>
          </w:divBdr>
        </w:div>
        <w:div w:id="472331430">
          <w:marLeft w:val="480"/>
          <w:marRight w:val="0"/>
          <w:marTop w:val="0"/>
          <w:marBottom w:val="0"/>
          <w:divBdr>
            <w:top w:val="none" w:sz="0" w:space="0" w:color="auto"/>
            <w:left w:val="none" w:sz="0" w:space="0" w:color="auto"/>
            <w:bottom w:val="none" w:sz="0" w:space="0" w:color="auto"/>
            <w:right w:val="none" w:sz="0" w:space="0" w:color="auto"/>
          </w:divBdr>
        </w:div>
      </w:divsChild>
    </w:div>
    <w:div w:id="1645770198">
      <w:bodyDiv w:val="1"/>
      <w:marLeft w:val="0"/>
      <w:marRight w:val="0"/>
      <w:marTop w:val="0"/>
      <w:marBottom w:val="0"/>
      <w:divBdr>
        <w:top w:val="none" w:sz="0" w:space="0" w:color="auto"/>
        <w:left w:val="none" w:sz="0" w:space="0" w:color="auto"/>
        <w:bottom w:val="none" w:sz="0" w:space="0" w:color="auto"/>
        <w:right w:val="none" w:sz="0" w:space="0" w:color="auto"/>
      </w:divBdr>
      <w:divsChild>
        <w:div w:id="1058892534">
          <w:marLeft w:val="480"/>
          <w:marRight w:val="0"/>
          <w:marTop w:val="0"/>
          <w:marBottom w:val="0"/>
          <w:divBdr>
            <w:top w:val="none" w:sz="0" w:space="0" w:color="auto"/>
            <w:left w:val="none" w:sz="0" w:space="0" w:color="auto"/>
            <w:bottom w:val="none" w:sz="0" w:space="0" w:color="auto"/>
            <w:right w:val="none" w:sz="0" w:space="0" w:color="auto"/>
          </w:divBdr>
        </w:div>
        <w:div w:id="383336721">
          <w:marLeft w:val="480"/>
          <w:marRight w:val="0"/>
          <w:marTop w:val="0"/>
          <w:marBottom w:val="0"/>
          <w:divBdr>
            <w:top w:val="none" w:sz="0" w:space="0" w:color="auto"/>
            <w:left w:val="none" w:sz="0" w:space="0" w:color="auto"/>
            <w:bottom w:val="none" w:sz="0" w:space="0" w:color="auto"/>
            <w:right w:val="none" w:sz="0" w:space="0" w:color="auto"/>
          </w:divBdr>
        </w:div>
        <w:div w:id="974915242">
          <w:marLeft w:val="480"/>
          <w:marRight w:val="0"/>
          <w:marTop w:val="0"/>
          <w:marBottom w:val="0"/>
          <w:divBdr>
            <w:top w:val="none" w:sz="0" w:space="0" w:color="auto"/>
            <w:left w:val="none" w:sz="0" w:space="0" w:color="auto"/>
            <w:bottom w:val="none" w:sz="0" w:space="0" w:color="auto"/>
            <w:right w:val="none" w:sz="0" w:space="0" w:color="auto"/>
          </w:divBdr>
        </w:div>
        <w:div w:id="986477283">
          <w:marLeft w:val="480"/>
          <w:marRight w:val="0"/>
          <w:marTop w:val="0"/>
          <w:marBottom w:val="0"/>
          <w:divBdr>
            <w:top w:val="none" w:sz="0" w:space="0" w:color="auto"/>
            <w:left w:val="none" w:sz="0" w:space="0" w:color="auto"/>
            <w:bottom w:val="none" w:sz="0" w:space="0" w:color="auto"/>
            <w:right w:val="none" w:sz="0" w:space="0" w:color="auto"/>
          </w:divBdr>
        </w:div>
        <w:div w:id="595358505">
          <w:marLeft w:val="480"/>
          <w:marRight w:val="0"/>
          <w:marTop w:val="0"/>
          <w:marBottom w:val="0"/>
          <w:divBdr>
            <w:top w:val="none" w:sz="0" w:space="0" w:color="auto"/>
            <w:left w:val="none" w:sz="0" w:space="0" w:color="auto"/>
            <w:bottom w:val="none" w:sz="0" w:space="0" w:color="auto"/>
            <w:right w:val="none" w:sz="0" w:space="0" w:color="auto"/>
          </w:divBdr>
        </w:div>
        <w:div w:id="617756288">
          <w:marLeft w:val="480"/>
          <w:marRight w:val="0"/>
          <w:marTop w:val="0"/>
          <w:marBottom w:val="0"/>
          <w:divBdr>
            <w:top w:val="none" w:sz="0" w:space="0" w:color="auto"/>
            <w:left w:val="none" w:sz="0" w:space="0" w:color="auto"/>
            <w:bottom w:val="none" w:sz="0" w:space="0" w:color="auto"/>
            <w:right w:val="none" w:sz="0" w:space="0" w:color="auto"/>
          </w:divBdr>
        </w:div>
        <w:div w:id="1830052934">
          <w:marLeft w:val="480"/>
          <w:marRight w:val="0"/>
          <w:marTop w:val="0"/>
          <w:marBottom w:val="0"/>
          <w:divBdr>
            <w:top w:val="none" w:sz="0" w:space="0" w:color="auto"/>
            <w:left w:val="none" w:sz="0" w:space="0" w:color="auto"/>
            <w:bottom w:val="none" w:sz="0" w:space="0" w:color="auto"/>
            <w:right w:val="none" w:sz="0" w:space="0" w:color="auto"/>
          </w:divBdr>
        </w:div>
        <w:div w:id="1982034542">
          <w:marLeft w:val="480"/>
          <w:marRight w:val="0"/>
          <w:marTop w:val="0"/>
          <w:marBottom w:val="0"/>
          <w:divBdr>
            <w:top w:val="none" w:sz="0" w:space="0" w:color="auto"/>
            <w:left w:val="none" w:sz="0" w:space="0" w:color="auto"/>
            <w:bottom w:val="none" w:sz="0" w:space="0" w:color="auto"/>
            <w:right w:val="none" w:sz="0" w:space="0" w:color="auto"/>
          </w:divBdr>
        </w:div>
        <w:div w:id="57561042">
          <w:marLeft w:val="480"/>
          <w:marRight w:val="0"/>
          <w:marTop w:val="0"/>
          <w:marBottom w:val="0"/>
          <w:divBdr>
            <w:top w:val="none" w:sz="0" w:space="0" w:color="auto"/>
            <w:left w:val="none" w:sz="0" w:space="0" w:color="auto"/>
            <w:bottom w:val="none" w:sz="0" w:space="0" w:color="auto"/>
            <w:right w:val="none" w:sz="0" w:space="0" w:color="auto"/>
          </w:divBdr>
        </w:div>
        <w:div w:id="1309432627">
          <w:marLeft w:val="480"/>
          <w:marRight w:val="0"/>
          <w:marTop w:val="0"/>
          <w:marBottom w:val="0"/>
          <w:divBdr>
            <w:top w:val="none" w:sz="0" w:space="0" w:color="auto"/>
            <w:left w:val="none" w:sz="0" w:space="0" w:color="auto"/>
            <w:bottom w:val="none" w:sz="0" w:space="0" w:color="auto"/>
            <w:right w:val="none" w:sz="0" w:space="0" w:color="auto"/>
          </w:divBdr>
        </w:div>
      </w:divsChild>
    </w:div>
    <w:div w:id="1649283224">
      <w:bodyDiv w:val="1"/>
      <w:marLeft w:val="0"/>
      <w:marRight w:val="0"/>
      <w:marTop w:val="0"/>
      <w:marBottom w:val="0"/>
      <w:divBdr>
        <w:top w:val="none" w:sz="0" w:space="0" w:color="auto"/>
        <w:left w:val="none" w:sz="0" w:space="0" w:color="auto"/>
        <w:bottom w:val="none" w:sz="0" w:space="0" w:color="auto"/>
        <w:right w:val="none" w:sz="0" w:space="0" w:color="auto"/>
      </w:divBdr>
      <w:divsChild>
        <w:div w:id="449511835">
          <w:marLeft w:val="480"/>
          <w:marRight w:val="0"/>
          <w:marTop w:val="0"/>
          <w:marBottom w:val="0"/>
          <w:divBdr>
            <w:top w:val="none" w:sz="0" w:space="0" w:color="auto"/>
            <w:left w:val="none" w:sz="0" w:space="0" w:color="auto"/>
            <w:bottom w:val="none" w:sz="0" w:space="0" w:color="auto"/>
            <w:right w:val="none" w:sz="0" w:space="0" w:color="auto"/>
          </w:divBdr>
        </w:div>
        <w:div w:id="308677898">
          <w:marLeft w:val="480"/>
          <w:marRight w:val="0"/>
          <w:marTop w:val="0"/>
          <w:marBottom w:val="0"/>
          <w:divBdr>
            <w:top w:val="none" w:sz="0" w:space="0" w:color="auto"/>
            <w:left w:val="none" w:sz="0" w:space="0" w:color="auto"/>
            <w:bottom w:val="none" w:sz="0" w:space="0" w:color="auto"/>
            <w:right w:val="none" w:sz="0" w:space="0" w:color="auto"/>
          </w:divBdr>
        </w:div>
        <w:div w:id="963005260">
          <w:marLeft w:val="480"/>
          <w:marRight w:val="0"/>
          <w:marTop w:val="0"/>
          <w:marBottom w:val="0"/>
          <w:divBdr>
            <w:top w:val="none" w:sz="0" w:space="0" w:color="auto"/>
            <w:left w:val="none" w:sz="0" w:space="0" w:color="auto"/>
            <w:bottom w:val="none" w:sz="0" w:space="0" w:color="auto"/>
            <w:right w:val="none" w:sz="0" w:space="0" w:color="auto"/>
          </w:divBdr>
        </w:div>
        <w:div w:id="802583525">
          <w:marLeft w:val="480"/>
          <w:marRight w:val="0"/>
          <w:marTop w:val="0"/>
          <w:marBottom w:val="0"/>
          <w:divBdr>
            <w:top w:val="none" w:sz="0" w:space="0" w:color="auto"/>
            <w:left w:val="none" w:sz="0" w:space="0" w:color="auto"/>
            <w:bottom w:val="none" w:sz="0" w:space="0" w:color="auto"/>
            <w:right w:val="none" w:sz="0" w:space="0" w:color="auto"/>
          </w:divBdr>
        </w:div>
        <w:div w:id="1143549564">
          <w:marLeft w:val="480"/>
          <w:marRight w:val="0"/>
          <w:marTop w:val="0"/>
          <w:marBottom w:val="0"/>
          <w:divBdr>
            <w:top w:val="none" w:sz="0" w:space="0" w:color="auto"/>
            <w:left w:val="none" w:sz="0" w:space="0" w:color="auto"/>
            <w:bottom w:val="none" w:sz="0" w:space="0" w:color="auto"/>
            <w:right w:val="none" w:sz="0" w:space="0" w:color="auto"/>
          </w:divBdr>
        </w:div>
        <w:div w:id="1918132348">
          <w:marLeft w:val="480"/>
          <w:marRight w:val="0"/>
          <w:marTop w:val="0"/>
          <w:marBottom w:val="0"/>
          <w:divBdr>
            <w:top w:val="none" w:sz="0" w:space="0" w:color="auto"/>
            <w:left w:val="none" w:sz="0" w:space="0" w:color="auto"/>
            <w:bottom w:val="none" w:sz="0" w:space="0" w:color="auto"/>
            <w:right w:val="none" w:sz="0" w:space="0" w:color="auto"/>
          </w:divBdr>
        </w:div>
        <w:div w:id="621309042">
          <w:marLeft w:val="480"/>
          <w:marRight w:val="0"/>
          <w:marTop w:val="0"/>
          <w:marBottom w:val="0"/>
          <w:divBdr>
            <w:top w:val="none" w:sz="0" w:space="0" w:color="auto"/>
            <w:left w:val="none" w:sz="0" w:space="0" w:color="auto"/>
            <w:bottom w:val="none" w:sz="0" w:space="0" w:color="auto"/>
            <w:right w:val="none" w:sz="0" w:space="0" w:color="auto"/>
          </w:divBdr>
        </w:div>
        <w:div w:id="127477964">
          <w:marLeft w:val="480"/>
          <w:marRight w:val="0"/>
          <w:marTop w:val="0"/>
          <w:marBottom w:val="0"/>
          <w:divBdr>
            <w:top w:val="none" w:sz="0" w:space="0" w:color="auto"/>
            <w:left w:val="none" w:sz="0" w:space="0" w:color="auto"/>
            <w:bottom w:val="none" w:sz="0" w:space="0" w:color="auto"/>
            <w:right w:val="none" w:sz="0" w:space="0" w:color="auto"/>
          </w:divBdr>
        </w:div>
        <w:div w:id="504134611">
          <w:marLeft w:val="480"/>
          <w:marRight w:val="0"/>
          <w:marTop w:val="0"/>
          <w:marBottom w:val="0"/>
          <w:divBdr>
            <w:top w:val="none" w:sz="0" w:space="0" w:color="auto"/>
            <w:left w:val="none" w:sz="0" w:space="0" w:color="auto"/>
            <w:bottom w:val="none" w:sz="0" w:space="0" w:color="auto"/>
            <w:right w:val="none" w:sz="0" w:space="0" w:color="auto"/>
          </w:divBdr>
        </w:div>
        <w:div w:id="165097217">
          <w:marLeft w:val="480"/>
          <w:marRight w:val="0"/>
          <w:marTop w:val="0"/>
          <w:marBottom w:val="0"/>
          <w:divBdr>
            <w:top w:val="none" w:sz="0" w:space="0" w:color="auto"/>
            <w:left w:val="none" w:sz="0" w:space="0" w:color="auto"/>
            <w:bottom w:val="none" w:sz="0" w:space="0" w:color="auto"/>
            <w:right w:val="none" w:sz="0" w:space="0" w:color="auto"/>
          </w:divBdr>
        </w:div>
        <w:div w:id="1636060453">
          <w:marLeft w:val="480"/>
          <w:marRight w:val="0"/>
          <w:marTop w:val="0"/>
          <w:marBottom w:val="0"/>
          <w:divBdr>
            <w:top w:val="none" w:sz="0" w:space="0" w:color="auto"/>
            <w:left w:val="none" w:sz="0" w:space="0" w:color="auto"/>
            <w:bottom w:val="none" w:sz="0" w:space="0" w:color="auto"/>
            <w:right w:val="none" w:sz="0" w:space="0" w:color="auto"/>
          </w:divBdr>
        </w:div>
        <w:div w:id="347295415">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9712">
      <w:bodyDiv w:val="1"/>
      <w:marLeft w:val="0"/>
      <w:marRight w:val="0"/>
      <w:marTop w:val="0"/>
      <w:marBottom w:val="0"/>
      <w:divBdr>
        <w:top w:val="none" w:sz="0" w:space="0" w:color="auto"/>
        <w:left w:val="none" w:sz="0" w:space="0" w:color="auto"/>
        <w:bottom w:val="none" w:sz="0" w:space="0" w:color="auto"/>
        <w:right w:val="none" w:sz="0" w:space="0" w:color="auto"/>
      </w:divBdr>
    </w:div>
    <w:div w:id="1718161552">
      <w:bodyDiv w:val="1"/>
      <w:marLeft w:val="0"/>
      <w:marRight w:val="0"/>
      <w:marTop w:val="0"/>
      <w:marBottom w:val="0"/>
      <w:divBdr>
        <w:top w:val="none" w:sz="0" w:space="0" w:color="auto"/>
        <w:left w:val="none" w:sz="0" w:space="0" w:color="auto"/>
        <w:bottom w:val="none" w:sz="0" w:space="0" w:color="auto"/>
        <w:right w:val="none" w:sz="0" w:space="0" w:color="auto"/>
      </w:divBdr>
      <w:divsChild>
        <w:div w:id="1771312217">
          <w:marLeft w:val="480"/>
          <w:marRight w:val="0"/>
          <w:marTop w:val="0"/>
          <w:marBottom w:val="0"/>
          <w:divBdr>
            <w:top w:val="none" w:sz="0" w:space="0" w:color="auto"/>
            <w:left w:val="none" w:sz="0" w:space="0" w:color="auto"/>
            <w:bottom w:val="none" w:sz="0" w:space="0" w:color="auto"/>
            <w:right w:val="none" w:sz="0" w:space="0" w:color="auto"/>
          </w:divBdr>
        </w:div>
        <w:div w:id="736169101">
          <w:marLeft w:val="480"/>
          <w:marRight w:val="0"/>
          <w:marTop w:val="0"/>
          <w:marBottom w:val="0"/>
          <w:divBdr>
            <w:top w:val="none" w:sz="0" w:space="0" w:color="auto"/>
            <w:left w:val="none" w:sz="0" w:space="0" w:color="auto"/>
            <w:bottom w:val="none" w:sz="0" w:space="0" w:color="auto"/>
            <w:right w:val="none" w:sz="0" w:space="0" w:color="auto"/>
          </w:divBdr>
        </w:div>
        <w:div w:id="249855257">
          <w:marLeft w:val="480"/>
          <w:marRight w:val="0"/>
          <w:marTop w:val="0"/>
          <w:marBottom w:val="0"/>
          <w:divBdr>
            <w:top w:val="none" w:sz="0" w:space="0" w:color="auto"/>
            <w:left w:val="none" w:sz="0" w:space="0" w:color="auto"/>
            <w:bottom w:val="none" w:sz="0" w:space="0" w:color="auto"/>
            <w:right w:val="none" w:sz="0" w:space="0" w:color="auto"/>
          </w:divBdr>
        </w:div>
        <w:div w:id="1582594584">
          <w:marLeft w:val="480"/>
          <w:marRight w:val="0"/>
          <w:marTop w:val="0"/>
          <w:marBottom w:val="0"/>
          <w:divBdr>
            <w:top w:val="none" w:sz="0" w:space="0" w:color="auto"/>
            <w:left w:val="none" w:sz="0" w:space="0" w:color="auto"/>
            <w:bottom w:val="none" w:sz="0" w:space="0" w:color="auto"/>
            <w:right w:val="none" w:sz="0" w:space="0" w:color="auto"/>
          </w:divBdr>
        </w:div>
        <w:div w:id="212885446">
          <w:marLeft w:val="480"/>
          <w:marRight w:val="0"/>
          <w:marTop w:val="0"/>
          <w:marBottom w:val="0"/>
          <w:divBdr>
            <w:top w:val="none" w:sz="0" w:space="0" w:color="auto"/>
            <w:left w:val="none" w:sz="0" w:space="0" w:color="auto"/>
            <w:bottom w:val="none" w:sz="0" w:space="0" w:color="auto"/>
            <w:right w:val="none" w:sz="0" w:space="0" w:color="auto"/>
          </w:divBdr>
        </w:div>
        <w:div w:id="1309017092">
          <w:marLeft w:val="480"/>
          <w:marRight w:val="0"/>
          <w:marTop w:val="0"/>
          <w:marBottom w:val="0"/>
          <w:divBdr>
            <w:top w:val="none" w:sz="0" w:space="0" w:color="auto"/>
            <w:left w:val="none" w:sz="0" w:space="0" w:color="auto"/>
            <w:bottom w:val="none" w:sz="0" w:space="0" w:color="auto"/>
            <w:right w:val="none" w:sz="0" w:space="0" w:color="auto"/>
          </w:divBdr>
        </w:div>
        <w:div w:id="240527263">
          <w:marLeft w:val="480"/>
          <w:marRight w:val="0"/>
          <w:marTop w:val="0"/>
          <w:marBottom w:val="0"/>
          <w:divBdr>
            <w:top w:val="none" w:sz="0" w:space="0" w:color="auto"/>
            <w:left w:val="none" w:sz="0" w:space="0" w:color="auto"/>
            <w:bottom w:val="none" w:sz="0" w:space="0" w:color="auto"/>
            <w:right w:val="none" w:sz="0" w:space="0" w:color="auto"/>
          </w:divBdr>
        </w:div>
        <w:div w:id="472253366">
          <w:marLeft w:val="480"/>
          <w:marRight w:val="0"/>
          <w:marTop w:val="0"/>
          <w:marBottom w:val="0"/>
          <w:divBdr>
            <w:top w:val="none" w:sz="0" w:space="0" w:color="auto"/>
            <w:left w:val="none" w:sz="0" w:space="0" w:color="auto"/>
            <w:bottom w:val="none" w:sz="0" w:space="0" w:color="auto"/>
            <w:right w:val="none" w:sz="0" w:space="0" w:color="auto"/>
          </w:divBdr>
        </w:div>
        <w:div w:id="1761370195">
          <w:marLeft w:val="480"/>
          <w:marRight w:val="0"/>
          <w:marTop w:val="0"/>
          <w:marBottom w:val="0"/>
          <w:divBdr>
            <w:top w:val="none" w:sz="0" w:space="0" w:color="auto"/>
            <w:left w:val="none" w:sz="0" w:space="0" w:color="auto"/>
            <w:bottom w:val="none" w:sz="0" w:space="0" w:color="auto"/>
            <w:right w:val="none" w:sz="0" w:space="0" w:color="auto"/>
          </w:divBdr>
        </w:div>
        <w:div w:id="2013725635">
          <w:marLeft w:val="480"/>
          <w:marRight w:val="0"/>
          <w:marTop w:val="0"/>
          <w:marBottom w:val="0"/>
          <w:divBdr>
            <w:top w:val="none" w:sz="0" w:space="0" w:color="auto"/>
            <w:left w:val="none" w:sz="0" w:space="0" w:color="auto"/>
            <w:bottom w:val="none" w:sz="0" w:space="0" w:color="auto"/>
            <w:right w:val="none" w:sz="0" w:space="0" w:color="auto"/>
          </w:divBdr>
        </w:div>
        <w:div w:id="1296714640">
          <w:marLeft w:val="480"/>
          <w:marRight w:val="0"/>
          <w:marTop w:val="0"/>
          <w:marBottom w:val="0"/>
          <w:divBdr>
            <w:top w:val="none" w:sz="0" w:space="0" w:color="auto"/>
            <w:left w:val="none" w:sz="0" w:space="0" w:color="auto"/>
            <w:bottom w:val="none" w:sz="0" w:space="0" w:color="auto"/>
            <w:right w:val="none" w:sz="0" w:space="0" w:color="auto"/>
          </w:divBdr>
        </w:div>
        <w:div w:id="17708024">
          <w:marLeft w:val="480"/>
          <w:marRight w:val="0"/>
          <w:marTop w:val="0"/>
          <w:marBottom w:val="0"/>
          <w:divBdr>
            <w:top w:val="none" w:sz="0" w:space="0" w:color="auto"/>
            <w:left w:val="none" w:sz="0" w:space="0" w:color="auto"/>
            <w:bottom w:val="none" w:sz="0" w:space="0" w:color="auto"/>
            <w:right w:val="none" w:sz="0" w:space="0" w:color="auto"/>
          </w:divBdr>
        </w:div>
        <w:div w:id="1057507592">
          <w:marLeft w:val="480"/>
          <w:marRight w:val="0"/>
          <w:marTop w:val="0"/>
          <w:marBottom w:val="0"/>
          <w:divBdr>
            <w:top w:val="none" w:sz="0" w:space="0" w:color="auto"/>
            <w:left w:val="none" w:sz="0" w:space="0" w:color="auto"/>
            <w:bottom w:val="none" w:sz="0" w:space="0" w:color="auto"/>
            <w:right w:val="none" w:sz="0" w:space="0" w:color="auto"/>
          </w:divBdr>
        </w:div>
        <w:div w:id="1385912617">
          <w:marLeft w:val="480"/>
          <w:marRight w:val="0"/>
          <w:marTop w:val="0"/>
          <w:marBottom w:val="0"/>
          <w:divBdr>
            <w:top w:val="none" w:sz="0" w:space="0" w:color="auto"/>
            <w:left w:val="none" w:sz="0" w:space="0" w:color="auto"/>
            <w:bottom w:val="none" w:sz="0" w:space="0" w:color="auto"/>
            <w:right w:val="none" w:sz="0" w:space="0" w:color="auto"/>
          </w:divBdr>
        </w:div>
        <w:div w:id="336543515">
          <w:marLeft w:val="480"/>
          <w:marRight w:val="0"/>
          <w:marTop w:val="0"/>
          <w:marBottom w:val="0"/>
          <w:divBdr>
            <w:top w:val="none" w:sz="0" w:space="0" w:color="auto"/>
            <w:left w:val="none" w:sz="0" w:space="0" w:color="auto"/>
            <w:bottom w:val="none" w:sz="0" w:space="0" w:color="auto"/>
            <w:right w:val="none" w:sz="0" w:space="0" w:color="auto"/>
          </w:divBdr>
        </w:div>
        <w:div w:id="372538833">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75899309">
      <w:bodyDiv w:val="1"/>
      <w:marLeft w:val="0"/>
      <w:marRight w:val="0"/>
      <w:marTop w:val="0"/>
      <w:marBottom w:val="0"/>
      <w:divBdr>
        <w:top w:val="none" w:sz="0" w:space="0" w:color="auto"/>
        <w:left w:val="none" w:sz="0" w:space="0" w:color="auto"/>
        <w:bottom w:val="none" w:sz="0" w:space="0" w:color="auto"/>
        <w:right w:val="none" w:sz="0" w:space="0" w:color="auto"/>
      </w:divBdr>
    </w:div>
    <w:div w:id="1815442345">
      <w:bodyDiv w:val="1"/>
      <w:marLeft w:val="0"/>
      <w:marRight w:val="0"/>
      <w:marTop w:val="0"/>
      <w:marBottom w:val="0"/>
      <w:divBdr>
        <w:top w:val="none" w:sz="0" w:space="0" w:color="auto"/>
        <w:left w:val="none" w:sz="0" w:space="0" w:color="auto"/>
        <w:bottom w:val="none" w:sz="0" w:space="0" w:color="auto"/>
        <w:right w:val="none" w:sz="0" w:space="0" w:color="auto"/>
      </w:divBdr>
    </w:div>
    <w:div w:id="1865511840">
      <w:bodyDiv w:val="1"/>
      <w:marLeft w:val="0"/>
      <w:marRight w:val="0"/>
      <w:marTop w:val="0"/>
      <w:marBottom w:val="0"/>
      <w:divBdr>
        <w:top w:val="none" w:sz="0" w:space="0" w:color="auto"/>
        <w:left w:val="none" w:sz="0" w:space="0" w:color="auto"/>
        <w:bottom w:val="none" w:sz="0" w:space="0" w:color="auto"/>
        <w:right w:val="none" w:sz="0" w:space="0" w:color="auto"/>
      </w:divBdr>
    </w:div>
    <w:div w:id="1984651578">
      <w:bodyDiv w:val="1"/>
      <w:marLeft w:val="0"/>
      <w:marRight w:val="0"/>
      <w:marTop w:val="0"/>
      <w:marBottom w:val="0"/>
      <w:divBdr>
        <w:top w:val="none" w:sz="0" w:space="0" w:color="auto"/>
        <w:left w:val="none" w:sz="0" w:space="0" w:color="auto"/>
        <w:bottom w:val="none" w:sz="0" w:space="0" w:color="auto"/>
        <w:right w:val="none" w:sz="0" w:space="0" w:color="auto"/>
      </w:divBdr>
      <w:divsChild>
        <w:div w:id="1239942338">
          <w:marLeft w:val="480"/>
          <w:marRight w:val="0"/>
          <w:marTop w:val="0"/>
          <w:marBottom w:val="0"/>
          <w:divBdr>
            <w:top w:val="none" w:sz="0" w:space="0" w:color="auto"/>
            <w:left w:val="none" w:sz="0" w:space="0" w:color="auto"/>
            <w:bottom w:val="none" w:sz="0" w:space="0" w:color="auto"/>
            <w:right w:val="none" w:sz="0" w:space="0" w:color="auto"/>
          </w:divBdr>
        </w:div>
        <w:div w:id="213079572">
          <w:marLeft w:val="480"/>
          <w:marRight w:val="0"/>
          <w:marTop w:val="0"/>
          <w:marBottom w:val="0"/>
          <w:divBdr>
            <w:top w:val="none" w:sz="0" w:space="0" w:color="auto"/>
            <w:left w:val="none" w:sz="0" w:space="0" w:color="auto"/>
            <w:bottom w:val="none" w:sz="0" w:space="0" w:color="auto"/>
            <w:right w:val="none" w:sz="0" w:space="0" w:color="auto"/>
          </w:divBdr>
        </w:div>
        <w:div w:id="1452673668">
          <w:marLeft w:val="480"/>
          <w:marRight w:val="0"/>
          <w:marTop w:val="0"/>
          <w:marBottom w:val="0"/>
          <w:divBdr>
            <w:top w:val="none" w:sz="0" w:space="0" w:color="auto"/>
            <w:left w:val="none" w:sz="0" w:space="0" w:color="auto"/>
            <w:bottom w:val="none" w:sz="0" w:space="0" w:color="auto"/>
            <w:right w:val="none" w:sz="0" w:space="0" w:color="auto"/>
          </w:divBdr>
        </w:div>
        <w:div w:id="1832718784">
          <w:marLeft w:val="480"/>
          <w:marRight w:val="0"/>
          <w:marTop w:val="0"/>
          <w:marBottom w:val="0"/>
          <w:divBdr>
            <w:top w:val="none" w:sz="0" w:space="0" w:color="auto"/>
            <w:left w:val="none" w:sz="0" w:space="0" w:color="auto"/>
            <w:bottom w:val="none" w:sz="0" w:space="0" w:color="auto"/>
            <w:right w:val="none" w:sz="0" w:space="0" w:color="auto"/>
          </w:divBdr>
        </w:div>
        <w:div w:id="1963684998">
          <w:marLeft w:val="480"/>
          <w:marRight w:val="0"/>
          <w:marTop w:val="0"/>
          <w:marBottom w:val="0"/>
          <w:divBdr>
            <w:top w:val="none" w:sz="0" w:space="0" w:color="auto"/>
            <w:left w:val="none" w:sz="0" w:space="0" w:color="auto"/>
            <w:bottom w:val="none" w:sz="0" w:space="0" w:color="auto"/>
            <w:right w:val="none" w:sz="0" w:space="0" w:color="auto"/>
          </w:divBdr>
        </w:div>
        <w:div w:id="1855268637">
          <w:marLeft w:val="480"/>
          <w:marRight w:val="0"/>
          <w:marTop w:val="0"/>
          <w:marBottom w:val="0"/>
          <w:divBdr>
            <w:top w:val="none" w:sz="0" w:space="0" w:color="auto"/>
            <w:left w:val="none" w:sz="0" w:space="0" w:color="auto"/>
            <w:bottom w:val="none" w:sz="0" w:space="0" w:color="auto"/>
            <w:right w:val="none" w:sz="0" w:space="0" w:color="auto"/>
          </w:divBdr>
        </w:div>
        <w:div w:id="291064287">
          <w:marLeft w:val="480"/>
          <w:marRight w:val="0"/>
          <w:marTop w:val="0"/>
          <w:marBottom w:val="0"/>
          <w:divBdr>
            <w:top w:val="none" w:sz="0" w:space="0" w:color="auto"/>
            <w:left w:val="none" w:sz="0" w:space="0" w:color="auto"/>
            <w:bottom w:val="none" w:sz="0" w:space="0" w:color="auto"/>
            <w:right w:val="none" w:sz="0" w:space="0" w:color="auto"/>
          </w:divBdr>
        </w:div>
        <w:div w:id="542399520">
          <w:marLeft w:val="480"/>
          <w:marRight w:val="0"/>
          <w:marTop w:val="0"/>
          <w:marBottom w:val="0"/>
          <w:divBdr>
            <w:top w:val="none" w:sz="0" w:space="0" w:color="auto"/>
            <w:left w:val="none" w:sz="0" w:space="0" w:color="auto"/>
            <w:bottom w:val="none" w:sz="0" w:space="0" w:color="auto"/>
            <w:right w:val="none" w:sz="0" w:space="0" w:color="auto"/>
          </w:divBdr>
        </w:div>
        <w:div w:id="1431658343">
          <w:marLeft w:val="480"/>
          <w:marRight w:val="0"/>
          <w:marTop w:val="0"/>
          <w:marBottom w:val="0"/>
          <w:divBdr>
            <w:top w:val="none" w:sz="0" w:space="0" w:color="auto"/>
            <w:left w:val="none" w:sz="0" w:space="0" w:color="auto"/>
            <w:bottom w:val="none" w:sz="0" w:space="0" w:color="auto"/>
            <w:right w:val="none" w:sz="0" w:space="0" w:color="auto"/>
          </w:divBdr>
        </w:div>
        <w:div w:id="357971103">
          <w:marLeft w:val="480"/>
          <w:marRight w:val="0"/>
          <w:marTop w:val="0"/>
          <w:marBottom w:val="0"/>
          <w:divBdr>
            <w:top w:val="none" w:sz="0" w:space="0" w:color="auto"/>
            <w:left w:val="none" w:sz="0" w:space="0" w:color="auto"/>
            <w:bottom w:val="none" w:sz="0" w:space="0" w:color="auto"/>
            <w:right w:val="none" w:sz="0" w:space="0" w:color="auto"/>
          </w:divBdr>
        </w:div>
        <w:div w:id="1549343665">
          <w:marLeft w:val="480"/>
          <w:marRight w:val="0"/>
          <w:marTop w:val="0"/>
          <w:marBottom w:val="0"/>
          <w:divBdr>
            <w:top w:val="none" w:sz="0" w:space="0" w:color="auto"/>
            <w:left w:val="none" w:sz="0" w:space="0" w:color="auto"/>
            <w:bottom w:val="none" w:sz="0" w:space="0" w:color="auto"/>
            <w:right w:val="none" w:sz="0" w:space="0" w:color="auto"/>
          </w:divBdr>
        </w:div>
      </w:divsChild>
    </w:div>
    <w:div w:id="2003853972">
      <w:bodyDiv w:val="1"/>
      <w:marLeft w:val="0"/>
      <w:marRight w:val="0"/>
      <w:marTop w:val="0"/>
      <w:marBottom w:val="0"/>
      <w:divBdr>
        <w:top w:val="none" w:sz="0" w:space="0" w:color="auto"/>
        <w:left w:val="none" w:sz="0" w:space="0" w:color="auto"/>
        <w:bottom w:val="none" w:sz="0" w:space="0" w:color="auto"/>
        <w:right w:val="none" w:sz="0" w:space="0" w:color="auto"/>
      </w:divBdr>
      <w:divsChild>
        <w:div w:id="1333989581">
          <w:marLeft w:val="480"/>
          <w:marRight w:val="0"/>
          <w:marTop w:val="0"/>
          <w:marBottom w:val="0"/>
          <w:divBdr>
            <w:top w:val="none" w:sz="0" w:space="0" w:color="auto"/>
            <w:left w:val="none" w:sz="0" w:space="0" w:color="auto"/>
            <w:bottom w:val="none" w:sz="0" w:space="0" w:color="auto"/>
            <w:right w:val="none" w:sz="0" w:space="0" w:color="auto"/>
          </w:divBdr>
        </w:div>
        <w:div w:id="359207187">
          <w:marLeft w:val="480"/>
          <w:marRight w:val="0"/>
          <w:marTop w:val="0"/>
          <w:marBottom w:val="0"/>
          <w:divBdr>
            <w:top w:val="none" w:sz="0" w:space="0" w:color="auto"/>
            <w:left w:val="none" w:sz="0" w:space="0" w:color="auto"/>
            <w:bottom w:val="none" w:sz="0" w:space="0" w:color="auto"/>
            <w:right w:val="none" w:sz="0" w:space="0" w:color="auto"/>
          </w:divBdr>
        </w:div>
        <w:div w:id="562256432">
          <w:marLeft w:val="480"/>
          <w:marRight w:val="0"/>
          <w:marTop w:val="0"/>
          <w:marBottom w:val="0"/>
          <w:divBdr>
            <w:top w:val="none" w:sz="0" w:space="0" w:color="auto"/>
            <w:left w:val="none" w:sz="0" w:space="0" w:color="auto"/>
            <w:bottom w:val="none" w:sz="0" w:space="0" w:color="auto"/>
            <w:right w:val="none" w:sz="0" w:space="0" w:color="auto"/>
          </w:divBdr>
        </w:div>
        <w:div w:id="348678803">
          <w:marLeft w:val="480"/>
          <w:marRight w:val="0"/>
          <w:marTop w:val="0"/>
          <w:marBottom w:val="0"/>
          <w:divBdr>
            <w:top w:val="none" w:sz="0" w:space="0" w:color="auto"/>
            <w:left w:val="none" w:sz="0" w:space="0" w:color="auto"/>
            <w:bottom w:val="none" w:sz="0" w:space="0" w:color="auto"/>
            <w:right w:val="none" w:sz="0" w:space="0" w:color="auto"/>
          </w:divBdr>
        </w:div>
        <w:div w:id="938948754">
          <w:marLeft w:val="480"/>
          <w:marRight w:val="0"/>
          <w:marTop w:val="0"/>
          <w:marBottom w:val="0"/>
          <w:divBdr>
            <w:top w:val="none" w:sz="0" w:space="0" w:color="auto"/>
            <w:left w:val="none" w:sz="0" w:space="0" w:color="auto"/>
            <w:bottom w:val="none" w:sz="0" w:space="0" w:color="auto"/>
            <w:right w:val="none" w:sz="0" w:space="0" w:color="auto"/>
          </w:divBdr>
        </w:div>
        <w:div w:id="1173303265">
          <w:marLeft w:val="480"/>
          <w:marRight w:val="0"/>
          <w:marTop w:val="0"/>
          <w:marBottom w:val="0"/>
          <w:divBdr>
            <w:top w:val="none" w:sz="0" w:space="0" w:color="auto"/>
            <w:left w:val="none" w:sz="0" w:space="0" w:color="auto"/>
            <w:bottom w:val="none" w:sz="0" w:space="0" w:color="auto"/>
            <w:right w:val="none" w:sz="0" w:space="0" w:color="auto"/>
          </w:divBdr>
        </w:div>
        <w:div w:id="1595170624">
          <w:marLeft w:val="480"/>
          <w:marRight w:val="0"/>
          <w:marTop w:val="0"/>
          <w:marBottom w:val="0"/>
          <w:divBdr>
            <w:top w:val="none" w:sz="0" w:space="0" w:color="auto"/>
            <w:left w:val="none" w:sz="0" w:space="0" w:color="auto"/>
            <w:bottom w:val="none" w:sz="0" w:space="0" w:color="auto"/>
            <w:right w:val="none" w:sz="0" w:space="0" w:color="auto"/>
          </w:divBdr>
        </w:div>
        <w:div w:id="994843011">
          <w:marLeft w:val="480"/>
          <w:marRight w:val="0"/>
          <w:marTop w:val="0"/>
          <w:marBottom w:val="0"/>
          <w:divBdr>
            <w:top w:val="none" w:sz="0" w:space="0" w:color="auto"/>
            <w:left w:val="none" w:sz="0" w:space="0" w:color="auto"/>
            <w:bottom w:val="none" w:sz="0" w:space="0" w:color="auto"/>
            <w:right w:val="none" w:sz="0" w:space="0" w:color="auto"/>
          </w:divBdr>
        </w:div>
        <w:div w:id="878779560">
          <w:marLeft w:val="480"/>
          <w:marRight w:val="0"/>
          <w:marTop w:val="0"/>
          <w:marBottom w:val="0"/>
          <w:divBdr>
            <w:top w:val="none" w:sz="0" w:space="0" w:color="auto"/>
            <w:left w:val="none" w:sz="0" w:space="0" w:color="auto"/>
            <w:bottom w:val="none" w:sz="0" w:space="0" w:color="auto"/>
            <w:right w:val="none" w:sz="0" w:space="0" w:color="auto"/>
          </w:divBdr>
        </w:div>
        <w:div w:id="1868568646">
          <w:marLeft w:val="480"/>
          <w:marRight w:val="0"/>
          <w:marTop w:val="0"/>
          <w:marBottom w:val="0"/>
          <w:divBdr>
            <w:top w:val="none" w:sz="0" w:space="0" w:color="auto"/>
            <w:left w:val="none" w:sz="0" w:space="0" w:color="auto"/>
            <w:bottom w:val="none" w:sz="0" w:space="0" w:color="auto"/>
            <w:right w:val="none" w:sz="0" w:space="0" w:color="auto"/>
          </w:divBdr>
        </w:div>
        <w:div w:id="1174684982">
          <w:marLeft w:val="480"/>
          <w:marRight w:val="0"/>
          <w:marTop w:val="0"/>
          <w:marBottom w:val="0"/>
          <w:divBdr>
            <w:top w:val="none" w:sz="0" w:space="0" w:color="auto"/>
            <w:left w:val="none" w:sz="0" w:space="0" w:color="auto"/>
            <w:bottom w:val="none" w:sz="0" w:space="0" w:color="auto"/>
            <w:right w:val="none" w:sz="0" w:space="0" w:color="auto"/>
          </w:divBdr>
        </w:div>
        <w:div w:id="1130630240">
          <w:marLeft w:val="480"/>
          <w:marRight w:val="0"/>
          <w:marTop w:val="0"/>
          <w:marBottom w:val="0"/>
          <w:divBdr>
            <w:top w:val="none" w:sz="0" w:space="0" w:color="auto"/>
            <w:left w:val="none" w:sz="0" w:space="0" w:color="auto"/>
            <w:bottom w:val="none" w:sz="0" w:space="0" w:color="auto"/>
            <w:right w:val="none" w:sz="0" w:space="0" w:color="auto"/>
          </w:divBdr>
        </w:div>
        <w:div w:id="1224871079">
          <w:marLeft w:val="480"/>
          <w:marRight w:val="0"/>
          <w:marTop w:val="0"/>
          <w:marBottom w:val="0"/>
          <w:divBdr>
            <w:top w:val="none" w:sz="0" w:space="0" w:color="auto"/>
            <w:left w:val="none" w:sz="0" w:space="0" w:color="auto"/>
            <w:bottom w:val="none" w:sz="0" w:space="0" w:color="auto"/>
            <w:right w:val="none" w:sz="0" w:space="0" w:color="auto"/>
          </w:divBdr>
        </w:div>
        <w:div w:id="2086298648">
          <w:marLeft w:val="480"/>
          <w:marRight w:val="0"/>
          <w:marTop w:val="0"/>
          <w:marBottom w:val="0"/>
          <w:divBdr>
            <w:top w:val="none" w:sz="0" w:space="0" w:color="auto"/>
            <w:left w:val="none" w:sz="0" w:space="0" w:color="auto"/>
            <w:bottom w:val="none" w:sz="0" w:space="0" w:color="auto"/>
            <w:right w:val="none" w:sz="0" w:space="0" w:color="auto"/>
          </w:divBdr>
        </w:div>
        <w:div w:id="172889543">
          <w:marLeft w:val="480"/>
          <w:marRight w:val="0"/>
          <w:marTop w:val="0"/>
          <w:marBottom w:val="0"/>
          <w:divBdr>
            <w:top w:val="none" w:sz="0" w:space="0" w:color="auto"/>
            <w:left w:val="none" w:sz="0" w:space="0" w:color="auto"/>
            <w:bottom w:val="none" w:sz="0" w:space="0" w:color="auto"/>
            <w:right w:val="none" w:sz="0" w:space="0" w:color="auto"/>
          </w:divBdr>
        </w:div>
        <w:div w:id="2146577391">
          <w:marLeft w:val="480"/>
          <w:marRight w:val="0"/>
          <w:marTop w:val="0"/>
          <w:marBottom w:val="0"/>
          <w:divBdr>
            <w:top w:val="none" w:sz="0" w:space="0" w:color="auto"/>
            <w:left w:val="none" w:sz="0" w:space="0" w:color="auto"/>
            <w:bottom w:val="none" w:sz="0" w:space="0" w:color="auto"/>
            <w:right w:val="none" w:sz="0" w:space="0" w:color="auto"/>
          </w:divBdr>
        </w:div>
      </w:divsChild>
    </w:div>
    <w:div w:id="2022925226">
      <w:bodyDiv w:val="1"/>
      <w:marLeft w:val="0"/>
      <w:marRight w:val="0"/>
      <w:marTop w:val="0"/>
      <w:marBottom w:val="0"/>
      <w:divBdr>
        <w:top w:val="none" w:sz="0" w:space="0" w:color="auto"/>
        <w:left w:val="none" w:sz="0" w:space="0" w:color="auto"/>
        <w:bottom w:val="none" w:sz="0" w:space="0" w:color="auto"/>
        <w:right w:val="none" w:sz="0" w:space="0" w:color="auto"/>
      </w:divBdr>
    </w:div>
    <w:div w:id="2034109831">
      <w:bodyDiv w:val="1"/>
      <w:marLeft w:val="0"/>
      <w:marRight w:val="0"/>
      <w:marTop w:val="0"/>
      <w:marBottom w:val="0"/>
      <w:divBdr>
        <w:top w:val="none" w:sz="0" w:space="0" w:color="auto"/>
        <w:left w:val="none" w:sz="0" w:space="0" w:color="auto"/>
        <w:bottom w:val="none" w:sz="0" w:space="0" w:color="auto"/>
        <w:right w:val="none" w:sz="0" w:space="0" w:color="auto"/>
      </w:divBdr>
      <w:divsChild>
        <w:div w:id="1234123479">
          <w:marLeft w:val="480"/>
          <w:marRight w:val="0"/>
          <w:marTop w:val="0"/>
          <w:marBottom w:val="0"/>
          <w:divBdr>
            <w:top w:val="none" w:sz="0" w:space="0" w:color="auto"/>
            <w:left w:val="none" w:sz="0" w:space="0" w:color="auto"/>
            <w:bottom w:val="none" w:sz="0" w:space="0" w:color="auto"/>
            <w:right w:val="none" w:sz="0" w:space="0" w:color="auto"/>
          </w:divBdr>
        </w:div>
        <w:div w:id="1457678643">
          <w:marLeft w:val="480"/>
          <w:marRight w:val="0"/>
          <w:marTop w:val="0"/>
          <w:marBottom w:val="0"/>
          <w:divBdr>
            <w:top w:val="none" w:sz="0" w:space="0" w:color="auto"/>
            <w:left w:val="none" w:sz="0" w:space="0" w:color="auto"/>
            <w:bottom w:val="none" w:sz="0" w:space="0" w:color="auto"/>
            <w:right w:val="none" w:sz="0" w:space="0" w:color="auto"/>
          </w:divBdr>
        </w:div>
        <w:div w:id="2023973814">
          <w:marLeft w:val="480"/>
          <w:marRight w:val="0"/>
          <w:marTop w:val="0"/>
          <w:marBottom w:val="0"/>
          <w:divBdr>
            <w:top w:val="none" w:sz="0" w:space="0" w:color="auto"/>
            <w:left w:val="none" w:sz="0" w:space="0" w:color="auto"/>
            <w:bottom w:val="none" w:sz="0" w:space="0" w:color="auto"/>
            <w:right w:val="none" w:sz="0" w:space="0" w:color="auto"/>
          </w:divBdr>
        </w:div>
        <w:div w:id="1940871326">
          <w:marLeft w:val="480"/>
          <w:marRight w:val="0"/>
          <w:marTop w:val="0"/>
          <w:marBottom w:val="0"/>
          <w:divBdr>
            <w:top w:val="none" w:sz="0" w:space="0" w:color="auto"/>
            <w:left w:val="none" w:sz="0" w:space="0" w:color="auto"/>
            <w:bottom w:val="none" w:sz="0" w:space="0" w:color="auto"/>
            <w:right w:val="none" w:sz="0" w:space="0" w:color="auto"/>
          </w:divBdr>
        </w:div>
        <w:div w:id="893198068">
          <w:marLeft w:val="480"/>
          <w:marRight w:val="0"/>
          <w:marTop w:val="0"/>
          <w:marBottom w:val="0"/>
          <w:divBdr>
            <w:top w:val="none" w:sz="0" w:space="0" w:color="auto"/>
            <w:left w:val="none" w:sz="0" w:space="0" w:color="auto"/>
            <w:bottom w:val="none" w:sz="0" w:space="0" w:color="auto"/>
            <w:right w:val="none" w:sz="0" w:space="0" w:color="auto"/>
          </w:divBdr>
        </w:div>
        <w:div w:id="2017147996">
          <w:marLeft w:val="480"/>
          <w:marRight w:val="0"/>
          <w:marTop w:val="0"/>
          <w:marBottom w:val="0"/>
          <w:divBdr>
            <w:top w:val="none" w:sz="0" w:space="0" w:color="auto"/>
            <w:left w:val="none" w:sz="0" w:space="0" w:color="auto"/>
            <w:bottom w:val="none" w:sz="0" w:space="0" w:color="auto"/>
            <w:right w:val="none" w:sz="0" w:space="0" w:color="auto"/>
          </w:divBdr>
        </w:div>
        <w:div w:id="592127299">
          <w:marLeft w:val="480"/>
          <w:marRight w:val="0"/>
          <w:marTop w:val="0"/>
          <w:marBottom w:val="0"/>
          <w:divBdr>
            <w:top w:val="none" w:sz="0" w:space="0" w:color="auto"/>
            <w:left w:val="none" w:sz="0" w:space="0" w:color="auto"/>
            <w:bottom w:val="none" w:sz="0" w:space="0" w:color="auto"/>
            <w:right w:val="none" w:sz="0" w:space="0" w:color="auto"/>
          </w:divBdr>
        </w:div>
        <w:div w:id="461118303">
          <w:marLeft w:val="480"/>
          <w:marRight w:val="0"/>
          <w:marTop w:val="0"/>
          <w:marBottom w:val="0"/>
          <w:divBdr>
            <w:top w:val="none" w:sz="0" w:space="0" w:color="auto"/>
            <w:left w:val="none" w:sz="0" w:space="0" w:color="auto"/>
            <w:bottom w:val="none" w:sz="0" w:space="0" w:color="auto"/>
            <w:right w:val="none" w:sz="0" w:space="0" w:color="auto"/>
          </w:divBdr>
        </w:div>
        <w:div w:id="256326819">
          <w:marLeft w:val="480"/>
          <w:marRight w:val="0"/>
          <w:marTop w:val="0"/>
          <w:marBottom w:val="0"/>
          <w:divBdr>
            <w:top w:val="none" w:sz="0" w:space="0" w:color="auto"/>
            <w:left w:val="none" w:sz="0" w:space="0" w:color="auto"/>
            <w:bottom w:val="none" w:sz="0" w:space="0" w:color="auto"/>
            <w:right w:val="none" w:sz="0" w:space="0" w:color="auto"/>
          </w:divBdr>
        </w:div>
        <w:div w:id="1597325813">
          <w:marLeft w:val="480"/>
          <w:marRight w:val="0"/>
          <w:marTop w:val="0"/>
          <w:marBottom w:val="0"/>
          <w:divBdr>
            <w:top w:val="none" w:sz="0" w:space="0" w:color="auto"/>
            <w:left w:val="none" w:sz="0" w:space="0" w:color="auto"/>
            <w:bottom w:val="none" w:sz="0" w:space="0" w:color="auto"/>
            <w:right w:val="none" w:sz="0" w:space="0" w:color="auto"/>
          </w:divBdr>
        </w:div>
        <w:div w:id="1908879215">
          <w:marLeft w:val="480"/>
          <w:marRight w:val="0"/>
          <w:marTop w:val="0"/>
          <w:marBottom w:val="0"/>
          <w:divBdr>
            <w:top w:val="none" w:sz="0" w:space="0" w:color="auto"/>
            <w:left w:val="none" w:sz="0" w:space="0" w:color="auto"/>
            <w:bottom w:val="none" w:sz="0" w:space="0" w:color="auto"/>
            <w:right w:val="none" w:sz="0" w:space="0" w:color="auto"/>
          </w:divBdr>
        </w:div>
        <w:div w:id="1480726743">
          <w:marLeft w:val="480"/>
          <w:marRight w:val="0"/>
          <w:marTop w:val="0"/>
          <w:marBottom w:val="0"/>
          <w:divBdr>
            <w:top w:val="none" w:sz="0" w:space="0" w:color="auto"/>
            <w:left w:val="none" w:sz="0" w:space="0" w:color="auto"/>
            <w:bottom w:val="none" w:sz="0" w:space="0" w:color="auto"/>
            <w:right w:val="none" w:sz="0" w:space="0" w:color="auto"/>
          </w:divBdr>
        </w:div>
      </w:divsChild>
    </w:div>
    <w:div w:id="2057965342">
      <w:bodyDiv w:val="1"/>
      <w:marLeft w:val="0"/>
      <w:marRight w:val="0"/>
      <w:marTop w:val="0"/>
      <w:marBottom w:val="0"/>
      <w:divBdr>
        <w:top w:val="none" w:sz="0" w:space="0" w:color="auto"/>
        <w:left w:val="none" w:sz="0" w:space="0" w:color="auto"/>
        <w:bottom w:val="none" w:sz="0" w:space="0" w:color="auto"/>
        <w:right w:val="none" w:sz="0" w:space="0" w:color="auto"/>
      </w:divBdr>
    </w:div>
    <w:div w:id="2082364876">
      <w:bodyDiv w:val="1"/>
      <w:marLeft w:val="0"/>
      <w:marRight w:val="0"/>
      <w:marTop w:val="0"/>
      <w:marBottom w:val="0"/>
      <w:divBdr>
        <w:top w:val="none" w:sz="0" w:space="0" w:color="auto"/>
        <w:left w:val="none" w:sz="0" w:space="0" w:color="auto"/>
        <w:bottom w:val="none" w:sz="0" w:space="0" w:color="auto"/>
        <w:right w:val="none" w:sz="0" w:space="0" w:color="auto"/>
      </w:divBdr>
      <w:divsChild>
        <w:div w:id="723216416">
          <w:marLeft w:val="480"/>
          <w:marRight w:val="0"/>
          <w:marTop w:val="0"/>
          <w:marBottom w:val="0"/>
          <w:divBdr>
            <w:top w:val="none" w:sz="0" w:space="0" w:color="auto"/>
            <w:left w:val="none" w:sz="0" w:space="0" w:color="auto"/>
            <w:bottom w:val="none" w:sz="0" w:space="0" w:color="auto"/>
            <w:right w:val="none" w:sz="0" w:space="0" w:color="auto"/>
          </w:divBdr>
        </w:div>
        <w:div w:id="898979428">
          <w:marLeft w:val="480"/>
          <w:marRight w:val="0"/>
          <w:marTop w:val="0"/>
          <w:marBottom w:val="0"/>
          <w:divBdr>
            <w:top w:val="none" w:sz="0" w:space="0" w:color="auto"/>
            <w:left w:val="none" w:sz="0" w:space="0" w:color="auto"/>
            <w:bottom w:val="none" w:sz="0" w:space="0" w:color="auto"/>
            <w:right w:val="none" w:sz="0" w:space="0" w:color="auto"/>
          </w:divBdr>
        </w:div>
        <w:div w:id="1808165580">
          <w:marLeft w:val="480"/>
          <w:marRight w:val="0"/>
          <w:marTop w:val="0"/>
          <w:marBottom w:val="0"/>
          <w:divBdr>
            <w:top w:val="none" w:sz="0" w:space="0" w:color="auto"/>
            <w:left w:val="none" w:sz="0" w:space="0" w:color="auto"/>
            <w:bottom w:val="none" w:sz="0" w:space="0" w:color="auto"/>
            <w:right w:val="none" w:sz="0" w:space="0" w:color="auto"/>
          </w:divBdr>
        </w:div>
        <w:div w:id="1039354291">
          <w:marLeft w:val="480"/>
          <w:marRight w:val="0"/>
          <w:marTop w:val="0"/>
          <w:marBottom w:val="0"/>
          <w:divBdr>
            <w:top w:val="none" w:sz="0" w:space="0" w:color="auto"/>
            <w:left w:val="none" w:sz="0" w:space="0" w:color="auto"/>
            <w:bottom w:val="none" w:sz="0" w:space="0" w:color="auto"/>
            <w:right w:val="none" w:sz="0" w:space="0" w:color="auto"/>
          </w:divBdr>
        </w:div>
        <w:div w:id="2100171599">
          <w:marLeft w:val="480"/>
          <w:marRight w:val="0"/>
          <w:marTop w:val="0"/>
          <w:marBottom w:val="0"/>
          <w:divBdr>
            <w:top w:val="none" w:sz="0" w:space="0" w:color="auto"/>
            <w:left w:val="none" w:sz="0" w:space="0" w:color="auto"/>
            <w:bottom w:val="none" w:sz="0" w:space="0" w:color="auto"/>
            <w:right w:val="none" w:sz="0" w:space="0" w:color="auto"/>
          </w:divBdr>
        </w:div>
        <w:div w:id="1424450341">
          <w:marLeft w:val="480"/>
          <w:marRight w:val="0"/>
          <w:marTop w:val="0"/>
          <w:marBottom w:val="0"/>
          <w:divBdr>
            <w:top w:val="none" w:sz="0" w:space="0" w:color="auto"/>
            <w:left w:val="none" w:sz="0" w:space="0" w:color="auto"/>
            <w:bottom w:val="none" w:sz="0" w:space="0" w:color="auto"/>
            <w:right w:val="none" w:sz="0" w:space="0" w:color="auto"/>
          </w:divBdr>
        </w:div>
        <w:div w:id="656110720">
          <w:marLeft w:val="480"/>
          <w:marRight w:val="0"/>
          <w:marTop w:val="0"/>
          <w:marBottom w:val="0"/>
          <w:divBdr>
            <w:top w:val="none" w:sz="0" w:space="0" w:color="auto"/>
            <w:left w:val="none" w:sz="0" w:space="0" w:color="auto"/>
            <w:bottom w:val="none" w:sz="0" w:space="0" w:color="auto"/>
            <w:right w:val="none" w:sz="0" w:space="0" w:color="auto"/>
          </w:divBdr>
        </w:div>
      </w:divsChild>
    </w:div>
    <w:div w:id="2097359528">
      <w:bodyDiv w:val="1"/>
      <w:marLeft w:val="0"/>
      <w:marRight w:val="0"/>
      <w:marTop w:val="0"/>
      <w:marBottom w:val="0"/>
      <w:divBdr>
        <w:top w:val="none" w:sz="0" w:space="0" w:color="auto"/>
        <w:left w:val="none" w:sz="0" w:space="0" w:color="auto"/>
        <w:bottom w:val="none" w:sz="0" w:space="0" w:color="auto"/>
        <w:right w:val="none" w:sz="0" w:space="0" w:color="auto"/>
      </w:divBdr>
    </w:div>
    <w:div w:id="210884779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257260-E98E-4588-A068-E2D8C47F5D7D}">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c743fdab-bb8b-4601-88f8-36b6af2d7911&quot;,&quot;properties&quot;:{&quot;noteIndex&quot;:0},&quot;isEdited&quot;:false,&quot;manualOverride&quot;:{&quot;isManuallyOverridden&quot;:false,&quot;citeprocText&quot;:&quot;(Ricci, Casson Moreno, et al., 2021)&quot;,&quot;manualOverrideText&quot;:&quot;&quot;},&quot;citationTag&quot;:&quot;MENDELEY_CITATION_v3_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&quot;,&quot;citationItems&quot;:[{&quot;id&quot;:&quot;43e78091-31ea-31f5-84b1-8cef7db235a3&quot;,&quot;itemData&quot;:{&quot;type&quot;:&quot;article-journal&quot;,&quot;id&quot;:&quot;43e78091-31ea-31f5-84b1-8cef7db235a3&quot;,&quot;title&quot;:&quot;A comprehensive analysis of the occurrence of Natech events in the process industry&quot;,&quot;author&quot;:[{&quot;family&quot;:&quot;Ricci&quot;,&quot;given&quot;:&quot;Federica&quot;,&quot;parse-names&quot;:false,&quot;dropping-particle&quot;:&quot;&quot;,&quot;non-dropping-particle&quot;:&quot;&quot;},{&quot;family&quot;:&quot;Casson Moreno&quot;,&quot;given&quot;:&quot;Valeria&quot;,&quot;parse-names&quot;:false,&quot;dropping-particle&quot;:&quot;&quot;,&quot;non-dropping-particle&quot;:&quot;&quot;},{&quot;family&quot;:&quot;Cozzani&quot;,&quot;given&quot;:&quot;Valerio&quot;,&quot;parse-names&quot;:false,&quot;dropping-particle&quot;:&quot;&quot;,&quot;non-dropping-particle&quot;:&quot;&quot;}],&quot;container-title&quot;:&quot;Process Safety and Environmental Protection&quot;,&quot;DOI&quot;:&quot;10.1016/j.psep.2020.12.031&quot;,&quot;ISSN&quot;:&quot;09575820&quot;,&quot;URL&quot;:&quot;https://linkinghub.elsevier.com/retrieve/pii/S0957582020319583&quot;,&quot;issued&quot;:{&quot;date-parts&quot;:[[2021,3]]},&quot;page&quot;:&quot;703-713&quot;,&quot;volume&quot;:&quot;147&quot;,&quot;container-title-short&quot;:&quot;&quot;},&quot;isTemporary&quot;:false,&quot;suppress-author&quot;:false,&quot;composite&quot;:false,&quot;author-only&quot;:false}]},{&quot;citationID&quot;:&quot;MENDELEY_CITATION_f996b5e2-1368-4a12-a529-9cd83413e695&quot;,&quot;properties&quot;:{&quot;noteIndex&quot;:0},&quot;isEdited&quot;:false,&quot;manualOverride&quot;:{&quot;isManuallyOverridden&quot;:false,&quot;citeprocText&quot;:&quot;(Centre for Research on the Epidemiology of Disasters, 2020)&quot;,&quot;manualOverrideText&quot;:&quot;&quot;},&quot;citationTag&quot;:&quot;MENDELEY_CITATION_v3_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&quot;,&quot;citationItems&quot;:[{&quot;id&quot;:&quot;6ba17189-5d29-372d-8e65-72120a7f0fed&quot;,&quot;itemData&quot;:{&quot;type&quot;:&quot;webpage&quot;,&quot;id&quot;:&quot;6ba17189-5d29-372d-8e65-72120a7f0fed&quot;,&quot;title&quot;:&quot;EM-DAT: The Emergency Events Database&quot;,&quot;author&quot;:[{&quot;family&quot;:&quot;Centre for Research on the Epidemiology of Disasters&quot;,&quot;given&quot;:&quot;&quot;,&quot;parse-names&quot;:false,&quot;dropping-particle&quot;:&quot;&quot;,&quot;non-dropping-particle&quot;:&quot;&quot;}],&quot;container-title&quot;:&quot;Université catholique de Louvain (UCL)&quot;,&quot;accessed&quot;:{&quot;date-parts&quot;:[[2020,1,30]]},&quot;URL&quot;:&quot;www.emdat.be&quot;,&quot;issued&quot;:{&quot;date-parts&quot;:[[2020]]},&quot;container-title-short&quot;:&quot;&quot;},&quot;isTemporary&quot;:false}]},{&quot;citationID&quot;:&quot;MENDELEY_CITATION_653b9c09-4510-411a-9625-10b1d49be953&quot;,&quot;properties&quot;:{&quot;noteIndex&quot;:0},&quot;isEdited&quot;:false,&quot;manualOverride&quot;:{&quot;isManuallyOverridden&quot;:false,&quot;citeprocText&quot;:&quot;(Williams &amp;#38; Abatzoglou, 2016)&quot;,&quot;manualOverrideText&quot;:&quot;&quot;},&quot;citationTag&quot;:&quot;MENDELEY_CITATION_v3_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&quot;,&quot;citationItems&quot;:[{&quot;id&quot;:&quot;bf3d55bc-2f43-396e-b77d-a301b54c7f56&quot;,&quot;itemData&quot;:{&quot;type&quot;:&quot;article-journal&quot;,&quot;id&quot;:&quot;bf3d55bc-2f43-396e-b77d-a301b54c7f56&quot;,&quot;title&quot;:&quot;Recent Advances and Remaining Uncertainties in Resolving Past and Future Climate Effects on Global Fire Activity&quot;,&quot;author&quot;:[{&quot;family&quot;:&quot;Williams&quot;,&quot;given&quot;:&quot;A. Park&quot;,&quot;parse-names&quot;:false,&quot;dropping-particle&quot;:&quot;&quot;,&quot;non-dropping-particle&quot;:&quot;&quot;},{&quot;family&quot;:&quot;Abatzoglou&quot;,&quot;given&quot;:&quot;John T.&quot;,&quot;parse-names&quot;:false,&quot;dropping-particle&quot;:&quot;&quot;,&quot;non-dropping-particle&quot;:&quot;&quot;}],&quot;container-title&quot;:&quot;Current Climate Change Reports&quot;,&quot;container-title-short&quot;:&quot;Curr Clim Change Rep&quot;,&quot;DOI&quot;:&quot;10.1007/s40641-016-0031-0&quot;,&quot;ISSN&quot;:&quot;2198-6061&quot;,&quot;URL&quot;:&quot;http://link.springer.com/10.1007/s40641-016-0031-0&quot;,&quot;issued&quot;:{&quot;date-parts&quot;:[[2016,3,9]]},&quot;page&quot;:&quot;1-14&quot;,&quot;issue&quot;:&quot;1&quot;,&quot;volume&quot;:&quot;2&quot;},&quot;isTemporary&quot;:false}]},{&quot;citationID&quot;:&quot;MENDELEY_CITATION_21784fc2-d630-4b89-a338-7263e37805b2&quot;,&quot;properties&quot;:{&quot;noteIndex&quot;:0},&quot;isEdited&quot;:false,&quot;manualOverride&quot;:{&quot;isManuallyOverridden&quot;:false,&quot;citeprocText&quot;:&quot;(Manzello et al., 2018)&quot;,&quot;manualOverrideText&quot;:&quot;&quot;},&quot;citationTag&quot;:&quot;MENDELEY_CITATION_v3_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&quot;,&quot;citationItems&quot;:[{&quot;id&quot;:&quot;c90463ac-20e7-32bc-9259-dff242093af4&quot;,&quot;itemData&quot;:{&quot;type&quot;:&quot;article-journal&quot;,&quot;id&quot;:&quot;c90463ac-20e7-32bc-9259-dff242093af4&quot;,&quot;title&quot;:&quot;Summary of workshop large outdoor fires and the built environment&quot;,&quot;author&quot;:[{&quot;family&quot;:&quot;Manzello&quot;,&quot;given&quot;:&quot;Samuel L.&quot;,&quot;parse-names&quot;:false,&quot;dropping-particle&quot;:&quot;&quot;,&quot;non-dropping-particle&quot;:&quot;&quot;},{&quot;family&quot;:&quot;Blanchi&quot;,&quot;given&quot;:&quot;Raphaele&quot;,&quot;parse-names&quot;:false,&quot;dropping-particle&quot;:&quot;&quot;,&quot;non-dropping-particle&quot;:&quot;&quot;},{&quot;family&quot;:&quot;Gollner&quot;,&quot;given&quot;:&quot;Michael J.&quot;,&quot;parse-names&quot;:false,&quot;dropping-particle&quot;:&quot;&quot;,&quot;non-dropping-particle&quot;:&quot;&quot;},{&quot;family&quot;:&quot;Gorham&quot;,&quot;given&quot;:&quot;Daniel&quot;,&quot;parse-names&quot;:false,&quot;dropping-particle&quot;:&quot;&quot;,&quot;non-dropping-particle&quot;:&quot;&quot;},{&quot;family&quot;:&quot;McAllister&quot;,&quot;given&quot;:&quot;Sara&quot;,&quot;parse-names&quot;:false,&quot;dropping-particle&quot;:&quot;&quot;,&quot;non-dropping-particle&quot;:&quot;&quot;},{&quot;family&quot;:&quot;Pastor&quot;,&quot;given&quot;:&quot;Elsa&quot;,&quot;parse-names&quot;:false,&quot;dropping-particle&quot;:&quot;&quot;,&quot;non-dropping-particle&quot;:&quot;&quot;},{&quot;family&quot;:&quot;Planas&quot;,&quot;given&quot;:&quot;Eulàlia&quot;,&quot;parse-names&quot;:false,&quot;dropping-particle&quot;:&quot;&quot;,&quot;non-dropping-particle&quot;:&quot;&quot;},{&quot;family&quot;:&quot;Reszka&quot;,&quot;given&quot;:&quot;Pedro&quot;,&quot;parse-names&quot;:false,&quot;dropping-particle&quot;:&quot;&quot;,&quot;non-dropping-particle&quot;:&quot;&quot;},{&quot;family&quot;:&quot;Suzuki&quot;,&quot;given&quot;:&quot;Sayaka&quot;,&quot;parse-names&quot;:false,&quot;dropping-particle&quot;:&quot;&quot;,&quot;non-dropping-particle&quot;:&quot;&quot;}],&quot;container-title&quot;:&quot;Fire Safety Journal&quot;,&quot;container-title-short&quot;:&quot;Fire Saf J&quot;,&quot;DOI&quot;:&quot;10.1016/j.firesaf.2018.07.002&quot;,&quot;ISSN&quot;:&quot;03797112&quot;,&quot;URL&quot;:&quot;https://linkinghub.elsevier.com/retrieve/pii/S0379711217307154&quot;,&quot;issued&quot;:{&quot;date-parts&quot;:[[2018,9]]},&quot;page&quot;:&quot;76-92&quot;,&quot;abstract&quot;:&quot;Large outdoor fires present a risk to the built environment. Wildfires that spread into communities, referred to as Wildland-Urban Interface (WUI) fires, have destroyed communities throughout the world, and are an emerging problem in fire safety science. Other examples are large urban fires including those that have occurred after earthquakes. Research into large outdoor fires, and how to potentially mitigate the loss of structures in such fires, lags other areas of fire safety science research. At the same time, common characteristics between fire spread in WUI fires and urban fires have not been fully exploited. In this paper, an overview of the large outdoor fire risk to the built environment from each region is presented. Critical research needs for this problem in the context of fire safety science are provided. The present paper seeks to develop the foundation for an international research needs roadmap to reduce the risk of large outdoor fires to the built environment.&quot;,&quot;publisher&quot;:&quot;Elsevier Ltd&quot;,&quot;issue&quot;:&quot;July&quot;,&quot;volume&quot;:&quot;100&quot;},&quot;isTemporary&quot;:false}]},{&quot;citationID&quot;:&quot;MENDELEY_CITATION_78109cc0-f576-4ad3-b958-3ba998a32de0&quot;,&quot;properties&quot;:{&quot;noteIndex&quot;:0},&quot;isEdited&quot;:false,&quot;manualOverride&quot;:{&quot;isManuallyOverridden&quot;:false,&quot;citeprocText&quot;:&quot;(Planas et al., 2023)&quot;,&quot;manualOverrideText&quot;:&quot;&quot;},&quot;citationTag&quot;:&quot;MENDELEY_CITATION_v3_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&quot;,&quot;citationItems&quot;:[{&quot;id&quot;:&quot;e488eecf-cffa-3659-8381-d30ef57392f8&quot;,&quot;itemData&quot;:{&quot;type&quot;:&quot;article-journal&quot;,&quot;id&quot;:&quot;e488eecf-cffa-3659-8381-d30ef57392f8&quot;,&quot;title&quot;:&quot;Fires at the wildland-industrial interface. Is there an emerging problem?&quot;,&quot;author&quot;:[{&quot;family&quot;:&quot;Planas&quot;,&quot;given&quot;:&quot;Eulàlia&quot;,&quot;parse-names&quot;:false,&quot;dropping-particle&quot;:&quot;&quot;,&quot;non-dropping-particle&quot;:&quot;&quot;},{&quot;family&quot;:&quot;Paugam&quot;,&quot;given&quot;:&quot;Ronan&quot;,&quot;parse-names&quot;:false,&quot;dropping-particle&quot;:&quot;&quot;,&quot;non-dropping-particle&quot;:&quot;&quot;},{&quot;family&quot;:&quot;Àgueda&quot;,&quot;given&quot;:&quot;Alba&quot;,&quot;parse-names&quot;:false,&quot;dropping-particle&quot;:&quot;&quot;,&quot;non-dropping-particle&quot;:&quot;&quot;},{&quot;family&quot;:&quot;Vacca&quot;,&quot;given&quot;:&quot;Pascale&quot;,&quot;parse-names&quot;:false,&quot;dropping-particle&quot;:&quot;&quot;,&quot;non-dropping-particle&quot;:&quot;&quot;},{&quot;family&quot;:&quot;Pastor&quot;,&quot;given&quot;:&quot;Elsa&quot;,&quot;parse-names&quot;:false,&quot;dropping-particle&quot;:&quot;&quot;,&quot;non-dropping-particle&quot;:&quot;&quot;}],&quot;container-title&quot;:&quot;Fire Safety Journal&quot;,&quot;container-title-short&quot;:&quot;Fire Saf J&quot;,&quot;DOI&quot;:&quot;10.1016/j.firesaf.2023.103906&quot;,&quot;ISSN&quot;:&quot;03797112&quot;,&quot;issued&quot;:{&quot;date-parts&quot;:[[2023,12]]},&quot;page&quot;:&quot;103906&quot;,&quot;volume&quot;:&quot;141&quot;},&quot;isTemporary&quot;:false}]},{&quot;citationID&quot;:&quot;MENDELEY_CITATION_fd08e80e-6fd1-4abd-ae18-fce1fece4374&quot;,&quot;properties&quot;:{&quot;noteIndex&quot;:0},&quot;isEdited&quot;:false,&quot;manualOverride&quot;:{&quot;isManuallyOverridden&quot;:false,&quot;citeprocText&quot;:&quot;(Ricci, Scarponi, Pastor, Muñoz, et al., 2021)&quot;,&quot;manualOverrideText&quot;:&quot;&quot;},&quot;citationTag&quot;:&quot;MENDELEY_CITATION_v3_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&quot;,&quot;citationItems&quot;:[{&quot;id&quot;:&quot;0f530761-8e0d-345d-983b-0a05c6efe1c1&quot;,&quot;itemData&quot;:{&quot;type&quot;:&quot;article-journal&quot;,&quot;id&quot;:&quot;0f530761-8e0d-345d-983b-0a05c6efe1c1&quot;,&quot;title&quot;:&quot;Vulnerability of Industrial Storage Tanks to Wildfire: a Case Study&quot;,&quot;author&quot;:[{&quot;family&quot;:&quot;Ricci&quot;,&quot;given&quot;:&quot;Federica&quot;,&quot;parse-names&quot;:false,&quot;dropping-particle&quot;:&quot;&quot;,&quot;non-dropping-particle&quot;:&quot;&quot;},{&quot;family&quot;:&quot;Scarponi&quot;,&quot;given&quot;:&quot;G.E. Giordano E.&quot;,&quot;parse-names&quot;:false,&quot;dropping-particle&quot;:&quot;&quot;,&quot;non-dropping-particle&quot;:&quot;&quot;},{&quot;family&quot;:&quot;Pastor&quot;,&quot;given&quot;:&quot;Elsa&quot;,&quot;parse-names&quot;:false,&quot;dropping-particle&quot;:&quot;&quot;,&quot;non-dropping-particle&quot;:&quot;&quot;},{&quot;family&quot;:&quot;Muñoz&quot;,&quot;given&quot;:&quot;Juan Antonio&quot;,&quot;parse-names&quot;:false,&quot;dropping-particle&quot;:&quot;&quot;,&quot;non-dropping-particle&quot;:&quot;&quot;},{&quot;family&quot;:&quot;Planas&quot;,&quot;given&quot;:&quot;Eulàlia&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2186040&quot;,&quot;ISSN&quot;:&quot;22839216&quot;,&quot;issued&quot;:{&quot;date-parts&quot;:[[2021]]},&quot;page&quot;:&quot;235-240&quot;,&quot;abstract&quot;:&quot;Wildfires approaching the Wildland-Industrial Interfaces can be a serious threat for industrial items located at the plant boundary. These items are typically storage tanks involving large amounts of hazardous substances. Ensuring their integrity is of paramount importance to prevent the wildfire spread inside the industrial plant, avoiding the occurrence of major accidents such as fires, explosions and toxic releases. A methodology for the evaluation of safety distances between tanks and vegetation for the protection from wildfire hazard was developed and applied to a case study. The outcomes provide useful information for an effective emergency response planning in the case of wildfire. Moreover, the results obtained rise concern about the appropriateness of clearance areas between the vegetation and industrial areas currently adopted.&quot;,&quot;volume&quot;:&quot;86&quot;},&quot;isTemporary&quot;:false}]},{&quot;citationID&quot;:&quot;MENDELEY_CITATION_003002e9-b0ef-4482-8dc9-925b79c637b9&quot;,&quot;properties&quot;:{&quot;noteIndex&quot;:0},&quot;isEdited&quot;:false,&quot;manualOverride&quot;:{&quot;isManuallyOverridden&quot;:false,&quot;citeprocText&quot;:&quot;(Misuri et al., 2023)&quot;,&quot;manualOverrideText&quot;:&quot;&quot;},&quot;citationTag&quot;:&quot;MENDELEY_CITATION_v3_eyJjaXRhdGlvbklEIjoiTUVOREVMRVlfQ0lUQVRJT05fMDAzMDAyZTktYjBlZi00NDgyLThkYzktOTI1Yjc5YzYzN2I5IiwicHJvcGVydGllcyI6eyJub3RlSW5kZXgiOjB9LCJpc0VkaXRlZCI6ZmFsc2UsIm1hbnVhbE92ZXJyaWRlIjp7ImlzTWFudWFsbHlPdmVycmlkZGVuIjpmYWxzZSwiY2l0ZXByb2NUZXh0IjoiKE1pc3VyaSBldCBhbC4sIDIwMjMpIiwibWFudWFsT3ZlcnJpZGVUZXh0IjoiIn0sImNpdGF0aW9uSXRlbXMiOlt7ImlkIjoiMTM0OGI4MDgtOWIzYy0zYzhkLTllMGEtOGVkNzY0M2RmOTkxIiwiaXRlbURhdGEiOnsidHlwZSI6ImFydGljbGUtam91cm5hbCIsImlkIjoiMTM0OGI4MDgtOWIzYy0zYzhkLTllMGEtOGVkNzY0M2RmOTkx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V9XX0=&quot;,&quot;citationItems&quot;:[{&quot;id&quot;:&quot;1348b808-9b3c-3c8d-9e0a-8ed7643df991&quot;,&quot;itemData&quot;:{&quot;type&quot;:&quot;article-journal&quot;,&quot;id&quot;:&quot;1348b808-9b3c-3c8d-9e0a-8ed7643df991&quot;,&quot;title&quot;:&quot;The Effect of Safety Barrier Degradation on the Severity of Primary Natech Scenarios&quot;,&quot;author&quot;:[{&quot;family&quot;:&quot;Misuri&quot;,&quot;given&quot;:&quot;Alessio&quot;,&quot;parse-names&quot;:false,&quot;dropping-particle&quot;:&quot;&quot;,&quot;non-dropping-particle&quot;:&quot;&quot;},{&quot;family&quot;:&quot;Ricci&quot;,&quot;given&quot;:&quot;Federica&quot;,&quot;parse-names&quot;:false,&quot;dropping-particle&quot;:&quot;&quot;,&quot;non-dropping-particle&quot;:&quot;&quot;},{&quot;family&quot;:&quot;Sorichetti&quot;,&quot;given&quot;:&quot;Riccard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3.109272&quot;,&quot;ISSN&quot;:&quot;09518320&quot;,&quot;issued&quot;:{&quot;date-parts&quot;:[[2023,7]]},&quot;page&quot;:&quot;109272&quot;,&quot;volume&quot;:&quot;235&quot;},&quot;isTemporary&quot;:false}]},{&quot;citationID&quot;:&quot;MENDELEY_CITATION_48f79b4e-476c-49ac-89cf-2d230fdfbc66&quot;,&quot;properties&quot;:{&quot;noteIndex&quot;:0},&quot;isEdited&quot;:false,&quot;manualOverride&quot;:{&quot;isManuallyOverridden&quot;:false,&quot;citeprocText&quot;:&quot;(Ricci et al., 2024; Ricci, Scarponi, Pastor, Planas, et al., 2021)&quot;,&quot;manualOverrideText&quot;:&quot;&quot;},&quot;citationItems&quot;:[{&quot;id&quot;:&quot;393103c7-8287-3530-893a-e2d5acac3c06&quot;,&quot;itemData&quot;:{&quot;type&quot;:&quot;article-journal&quot;,&quot;id&quot;:&quot;393103c7-8287-3530-893a-e2d5acac3c06&quot;,&quot;title&quot;:&quot;Safety distances for storage tanks to prevent fire damage in Wildland-Industrial Interface&quot;,&quot;author&quot;:[{&quot;family&quot;:&quot;Ricci&quot;,&quot;given&quot;:&quot;Federica&quot;,&quot;parse-names&quot;:false,&quot;dropping-particle&quot;:&quot;&quot;,&quot;non-dropping-particle&quot;:&quot;&quot;},{&quot;family&quot;:&quot;Scarponi&quot;,&quot;given&quot;:&quot;Giordano Emrys&quot;,&quot;parse-names&quot;:false,&quot;dropping-particle&quot;:&quot;&quot;,&quot;non-dropping-particle&quot;:&quot;&quot;},{&quot;family&quot;:&quot;Pastor&quot;,&quot;given&quot;:&quot;Elsa&quot;,&quot;parse-names&quot;:false,&quot;dropping-particle&quot;:&quot;&quot;,&quot;non-dropping-particle&quot;:&quot;&quot;},{&quot;family&quot;:&quot;Planas&quot;,&quot;given&quot;:&quot;Eulàlia&quot;,&quot;parse-names&quot;:false,&quot;dropping-particle&quot;:&quot;&quot;,&quot;non-dropping-particle&quot;:&quot;&quot;},{&quot;family&quot;:&quot;Cozzani&quot;,&quot;given&quot;:&quot;Valerio&quot;,&quot;parse-names&quot;:false,&quot;dropping-particle&quot;:&quot;&quot;,&quot;non-dropping-particle&quot;:&quot;&quot;}],&quot;container-title&quot;:&quot;Process Safety and Environmental Protection&quot;,&quot;DOI&quot;:&quot;10.1016/j.psep.2021.01.002&quot;,&quot;ISSN&quot;:&quot;09575820&quot;,&quot;URL&quot;:&quot;https://linkinghub.elsevier.com/retrieve/pii/S0957582021000033&quot;,&quot;issued&quot;:{&quot;date-parts&quot;:[[2021,3]]},&quot;page&quot;:&quot;693-702&quot;,&quot;volume&quot;:&quot;147&quot;,&quot;container-title-short&quot;:&quot;&quot;},&quot;isTemporary&quot;:false},{&quot;id&quot;:&quot;36569f90-1073-33bf-a7aa-9fe39e8f1e4f&quot;,&quot;itemData&quot;:{&quot;type&quot;:&quot;article-journal&quot;,&quot;id&quot;:&quot;36569f90-1073-33bf-a7aa-9fe39e8f1e4f&quot;,&quot;title&quot;:&quot;Vulnerability Assessment of Industrial Sites to Interface Fires and Wildfires&quot;,&quot;author&quot;:[{&quot;family&quot;:&quot;Ricci&quot;,&quot;given&quot;:&quot;Federica&quot;,&quot;parse-names&quot;:false,&quot;dropping-particle&quot;:&quot;&quot;,&quot;non-dropping-particle&quot;:&quot;&quot;},{&quot;family&quot;:&quot;Misuri&quot;,&quot;given&quot;:&quot;Alessio&quot;,&quot;parse-names&quot;:false,&quot;dropping-particle&quot;:&quot;&quot;,&quot;non-dropping-particle&quot;:&quot;&quot;},{&quot;family&quot;:&quot;Scarponi&quot;,&quot;given&quot;:&quot;Giordano Emrys&quot;,&quot;parse-names&quot;:false,&quot;dropping-particle&quot;:&quot;&quot;,&quot;non-dropping-particle&quot;:&quot;&quot;},{&quot;family&quot;:&quot;Cozzani&quot;,&quot;given&quot;:&quot;Valerio&quot;,&quot;parse-names&quot;:false,&quot;dropping-particle&quot;:&quot;&quot;,&quot;non-dropping-particle&quot;:&quot;&quot;},{&quot;family&quot;:&quot;Demichela&quot;,&quot;given&quot;:&quot;Micaela&quot;,&quot;parse-names&quot;:false,&quot;dropping-particle&quot;:&quot;&quot;,&quot;non-dropping-particle&quot;:&quot;&quot;}],&quot;container-title&quot;:&quot;Reliability Engineering &amp; System Safety&quot;,&quot;container-title-short&quot;:&quot;Reliab Eng Syst Saf&quot;,&quot;DOI&quot;:&quot;10.1016/j.ress.2023.109895&quot;,&quot;ISSN&quot;:&quot;09518320&quot;,&quot;issued&quot;:{&quot;date-parts&quot;:[[2024,3]]},&quot;page&quot;:&quot;109895&quot;,&quot;volume&quot;:&quot;243&quot;},&quot;isTemporary&quot;:false}],&quot;citationTag&quot;:&quot;MENDELEY_CITATION_v3_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&quot;},{&quot;citationID&quot;:&quot;MENDELEY_CITATION_2a967758-20d4-4e76-953a-792a4f49be46&quot;,&quot;properties&quot;:{&quot;noteIndex&quot;:0},&quot;isEdited&quot;:false,&quot;manualOverride&quot;:{&quot;isManuallyOverridden&quot;:false,&quot;citeprocText&quot;:&quot;(Uijt de Haag &amp;#38; Ale, 2005)&quot;,&quot;manualOverrideText&quot;:&quot;&quot;},&quot;citationTag&quot;:&quot;MENDELEY_CITATION_v3_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&quot;,&quot;citationItems&quot;:[{&quot;id&quot;:&quot;58e26531-3b04-336e-9d83-8edaf7b1c43d&quot;,&quot;itemData&quot;:{&quot;type&quot;:&quot;book&quot;,&quot;id&quot;:&quot;58e26531-3b04-336e-9d83-8edaf7b1c43d&quot;,&quot;title&quot;:&quot;Guidelines for Quantitative Risk Assessment (Purple book)&quot;,&quot;author&quot;:[{&quot;family&quot;:&quot;Uijt de Haag&quot;,&quot;given&quot;:&quot;P.A.M.&quot;,&quot;parse-names&quot;:false,&quot;dropping-particle&quot;:&quot;&quot;,&quot;non-dropping-particle&quot;:&quot;&quot;},{&quot;family&quot;:&quot;Ale&quot;,&quot;given&quot;:&quot;B.J.M.&quot;,&quot;parse-names&quot;:false,&quot;dropping-particle&quot;:&quot;&quot;,&quot;non-dropping-particle&quot;:&quot;&quot;}],&quot;issued&quot;:{&quot;date-parts&quot;:[[2005]]},&quot;publisher-place&quot;:&quot;the Hague (NL)&quot;,&quot;publisher&quot;:&quot;Committee for the Prevention of Disasters&quot;,&quot;container-title-short&quot;:&quot;&quot;},&quot;isTemporary&quot;:false}]},{&quot;citationID&quot;:&quot;MENDELEY_CITATION_53cd7014-74d1-4313-9d9c-198076cb04a7&quot;,&quot;properties&quot;:{&quot;noteIndex&quot;:0,&quot;mode&quot;:&quot;composite&quot;},&quot;isEdited&quot;:false,&quot;manualOverride&quot;:{&quot;isManuallyOverridden&quot;:false,&quot;citeprocText&quot;:&quot;Landucci et al. (2015)&quot;,&quot;manualOverrideText&quot;:&quot;&quot;},&quot;citationTag&quot;:&quot;MENDELEY_CITATION_v3_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&quot;,&quot;citationItems&quot;:[{&quot;id&quot;:&quot;80e02ea8-78ad-3054-9015-a434c5c4fac9&quot;,&quot;itemData&quot;:{&quot;type&quot;:&quot;article-journal&quot;,&quot;id&quot;:&quot;80e02ea8-78ad-3054-9015-a434c5c4fac9&quot;,&quot;title&quot;:&quot;Quantitative assessment of safety barrier performance in the prevention of domino scenarios triggered by fire&quot;,&quot;author&quot;:[{&quot;family&quot;:&quot;Landucci&quot;,&quot;given&quot;:&quot;Gabriele&quot;,&quot;parse-names&quot;:false,&quot;dropping-particle&quot;:&quot;&quot;,&quot;non-dropping-particle&quot;:&quot;&quot;},{&quot;family&quot;:&quot;Argenti&quot;,&quot;given&quot;:&quot;Francesca&quot;,&quot;parse-names&quot;:false,&quot;dropping-particle&quot;:&quot;&quot;,&quot;non-dropping-particle&quot;:&quot;&quot;},{&quot;family&quot;:&quot;Tugnoli&quot;,&quot;given&quot;:&quot;Alessandr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15.03.023&quot;,&quot;ISSN&quot;:&quot;09518320&quot;,&quot;URL&quot;:&quot;https://linkinghub.elsevier.com/retrieve/pii/S0951832015000897&quot;,&quot;issued&quot;:{&quot;date-parts&quot;:[[2015,11]]},&quot;page&quot;:&quot;30-43&quot;,&quot;volume&quot;:&quot;143&quot;},&quot;isTemporary&quot;:false,&quot;displayAs&quot;:&quot;composite&quot;,&quot;suppress-author&quot;:false,&quot;composite&quot;:true,&quot;author-only&quot;:false}]},{&quot;citationID&quot;:&quot;MENDELEY_CITATION_e8241cf4-4d75-46d8-877e-881efe1a7e8c&quot;,&quot;properties&quot;:{&quot;noteIndex&quot;:0,&quot;mode&quot;:&quot;composite&quot;},&quot;isEdited&quot;:false,&quot;manualOverride&quot;:{&quot;isManuallyOverridden&quot;:false,&quot;citeprocText&quot;:&quot;Ricci et al. (2024)&quot;,&quot;manualOverrideText&quot;:&quot;&quot;},&quot;citationItems&quot;:[{&quot;id&quot;:&quot;36569f90-1073-33bf-a7aa-9fe39e8f1e4f&quot;,&quot;itemData&quot;:{&quot;type&quot;:&quot;article-journal&quot;,&quot;id&quot;:&quot;36569f90-1073-33bf-a7aa-9fe39e8f1e4f&quot;,&quot;title&quot;:&quot;Vulnerability Assessment of Industrial Sites to Interface Fires and Wildfires&quot;,&quot;author&quot;:[{&quot;family&quot;:&quot;Ricci&quot;,&quot;given&quot;:&quot;Federica&quot;,&quot;parse-names&quot;:false,&quot;dropping-particle&quot;:&quot;&quot;,&quot;non-dropping-particle&quot;:&quot;&quot;},{&quot;family&quot;:&quot;Misuri&quot;,&quot;given&quot;:&quot;Alessio&quot;,&quot;parse-names&quot;:false,&quot;dropping-particle&quot;:&quot;&quot;,&quot;non-dropping-particle&quot;:&quot;&quot;},{&quot;family&quot;:&quot;Scarponi&quot;,&quot;given&quot;:&quot;Giordano Emrys&quot;,&quot;parse-names&quot;:false,&quot;dropping-particle&quot;:&quot;&quot;,&quot;non-dropping-particle&quot;:&quot;&quot;},{&quot;family&quot;:&quot;Cozzani&quot;,&quot;given&quot;:&quot;Valerio&quot;,&quot;parse-names&quot;:false,&quot;dropping-particle&quot;:&quot;&quot;,&quot;non-dropping-particle&quot;:&quot;&quot;},{&quot;family&quot;:&quot;Demichela&quot;,&quot;given&quot;:&quot;Micaela&quot;,&quot;parse-names&quot;:false,&quot;dropping-particle&quot;:&quot;&quot;,&quot;non-dropping-particle&quot;:&quot;&quot;}],&quot;container-title&quot;:&quot;Reliability Engineering &amp; System Safety&quot;,&quot;container-title-short&quot;:&quot;Reliab Eng Syst Saf&quot;,&quot;DOI&quot;:&quot;10.1016/j.ress.2023.109895&quot;,&quot;ISSN&quot;:&quot;09518320&quot;,&quot;issued&quot;:{&quot;date-parts&quot;:[[2024,3]]},&quot;page&quot;:&quot;109895&quot;,&quot;volume&quot;:&quot;243&quot;},&quot;isTemporary&quot;:false,&quot;displayAs&quot;:&quot;composite&quot;,&quot;suppress-author&quot;:false,&quot;composite&quot;:true,&quot;author-only&quot;:false}],&quot;citationTag&quot;:&quot;MENDELEY_CITATION_v3_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&quot;},{&quot;citationID&quot;:&quot;MENDELEY_CITATION_d46c45c6-7179-4e0e-81c0-51b65929d2f6&quot;,&quot;properties&quot;:{&quot;noteIndex&quot;:0,&quot;mode&quot;:&quot;composite&quot;},&quot;isEdited&quot;:false,&quot;manualOverride&quot;:{&quot;isManuallyOverridden&quot;:false,&quot;citeprocText&quot;:&quot;Ricci et al. (2024)&quot;,&quot;manualOverrideText&quot;:&quot;&quot;},&quot;citationItems&quot;:[{&quot;id&quot;:&quot;36569f90-1073-33bf-a7aa-9fe39e8f1e4f&quot;,&quot;itemData&quot;:{&quot;type&quot;:&quot;article-journal&quot;,&quot;id&quot;:&quot;36569f90-1073-33bf-a7aa-9fe39e8f1e4f&quot;,&quot;title&quot;:&quot;Vulnerability Assessment of Industrial Sites to Interface Fires and Wildfires&quot;,&quot;author&quot;:[{&quot;family&quot;:&quot;Ricci&quot;,&quot;given&quot;:&quot;Federica&quot;,&quot;parse-names&quot;:false,&quot;dropping-particle&quot;:&quot;&quot;,&quot;non-dropping-particle&quot;:&quot;&quot;},{&quot;family&quot;:&quot;Misuri&quot;,&quot;given&quot;:&quot;Alessio&quot;,&quot;parse-names&quot;:false,&quot;dropping-particle&quot;:&quot;&quot;,&quot;non-dropping-particle&quot;:&quot;&quot;},{&quot;family&quot;:&quot;Scarponi&quot;,&quot;given&quot;:&quot;Giordano Emrys&quot;,&quot;parse-names&quot;:false,&quot;dropping-particle&quot;:&quot;&quot;,&quot;non-dropping-particle&quot;:&quot;&quot;},{&quot;family&quot;:&quot;Cozzani&quot;,&quot;given&quot;:&quot;Valerio&quot;,&quot;parse-names&quot;:false,&quot;dropping-particle&quot;:&quot;&quot;,&quot;non-dropping-particle&quot;:&quot;&quot;},{&quot;family&quot;:&quot;Demichela&quot;,&quot;given&quot;:&quot;Micaela&quot;,&quot;parse-names&quot;:false,&quot;dropping-particle&quot;:&quot;&quot;,&quot;non-dropping-particle&quot;:&quot;&quot;}],&quot;container-title&quot;:&quot;Reliability Engineering &amp; System Safety&quot;,&quot;container-title-short&quot;:&quot;Reliab Eng Syst Saf&quot;,&quot;DOI&quot;:&quot;10.1016/j.ress.2023.109895&quot;,&quot;ISSN&quot;:&quot;09518320&quot;,&quot;issued&quot;:{&quot;date-parts&quot;:[[2024,3]]},&quot;page&quot;:&quot;109895&quot;,&quot;volume&quot;:&quot;243&quot;},&quot;isTemporary&quot;:false,&quot;displayAs&quot;:&quot;composite&quot;,&quot;suppress-author&quot;:false,&quot;composite&quot;:true,&quot;author-only&quot;:false}],&quot;citationTag&quot;:&quot;MENDELEY_CITATION_v3_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&quot;},{&quot;citationID&quot;:&quot;MENDELEY_CITATION_5b68ae46-a11f-4929-9665-7efdddc6f4ee&quot;,&quot;properties&quot;:{&quot;noteIndex&quot;:0},&quot;isEdited&quot;:false,&quot;manualOverride&quot;:{&quot;isManuallyOverridden&quot;:false,&quot;citeprocText&quot;:&quot;(Misuri et al., 2023)&quot;,&quot;manualOverrideText&quot;:&quot;&quot;},&quot;citationTag&quot;:&quot;MENDELEY_CITATION_v3_eyJjaXRhdGlvbklEIjoiTUVOREVMRVlfQ0lUQVRJT05fNWI2OGFlNDYtYTExZi00OTI5LTk2NjUtN2VmZGRkYzZmNGVlIiwicHJvcGVydGllcyI6eyJub3RlSW5kZXgiOjB9LCJpc0VkaXRlZCI6ZmFsc2UsIm1hbnVhbE92ZXJyaWRlIjp7ImlzTWFudWFsbHlPdmVycmlkZGVuIjpmYWxzZSwiY2l0ZXByb2NUZXh0IjoiKE1pc3VyaSBldCBhbC4sIDIwMjMpIiwibWFudWFsT3ZlcnJpZGVUZXh0IjoiIn0sImNpdGF0aW9uSXRlbXMiOlt7ImlkIjoiMTM0OGI4MDgtOWIzYy0zYzhkLTllMGEtOGVkNzY0M2RmOTkxIiwiaXRlbURhdGEiOnsidHlwZSI6ImFydGljbGUtam91cm5hbCIsImlkIjoiMTM0OGI4MDgtOWIzYy0zYzhkLTllMGEtOGVkNzY0M2RmOTkx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UsInN1cHByZXNzLWF1dGhvciI6ZmFsc2UsImNvbXBvc2l0ZSI6ZmFsc2UsImF1dGhvci1vbmx5IjpmYWxzZX1dfQ==&quot;,&quot;citationItems&quot;:[{&quot;id&quot;:&quot;1348b808-9b3c-3c8d-9e0a-8ed7643df991&quot;,&quot;itemData&quot;:{&quot;type&quot;:&quot;article-journal&quot;,&quot;id&quot;:&quot;1348b808-9b3c-3c8d-9e0a-8ed7643df991&quot;,&quot;title&quot;:&quot;The Effect of Safety Barrier Degradation on the Severity of Primary Natech Scenarios&quot;,&quot;author&quot;:[{&quot;family&quot;:&quot;Misuri&quot;,&quot;given&quot;:&quot;Alessio&quot;,&quot;parse-names&quot;:false,&quot;dropping-particle&quot;:&quot;&quot;,&quot;non-dropping-particle&quot;:&quot;&quot;},{&quot;family&quot;:&quot;Ricci&quot;,&quot;given&quot;:&quot;Federica&quot;,&quot;parse-names&quot;:false,&quot;dropping-particle&quot;:&quot;&quot;,&quot;non-dropping-particle&quot;:&quot;&quot;},{&quot;family&quot;:&quot;Sorichetti&quot;,&quot;given&quot;:&quot;Riccard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3.109272&quot;,&quot;ISSN&quot;:&quot;09518320&quot;,&quot;issued&quot;:{&quot;date-parts&quot;:[[2023,7]]},&quot;page&quot;:&quot;109272&quot;,&quot;volume&quot;:&quot;235&quot;},&quot;isTemporary&quot;:false,&quot;suppress-author&quot;:false,&quot;composite&quot;:false,&quot;author-only&quot;:false}]},{&quot;citationID&quot;:&quot;MENDELEY_CITATION_0db9b9b3-7bf3-4e21-ab33-c7a54fe001aa&quot;,&quot;properties&quot;:{&quot;noteIndex&quot;:0,&quot;mode&quot;:&quot;composite&quot;},&quot;isEdited&quot;:false,&quot;manualOverride&quot;:{&quot;isManuallyOverridden&quot;:false,&quot;citeprocText&quot;:&quot;C. J. H. Van Den Bosh (1992)&quot;,&quot;manualOverrideText&quot;:&quot;&quot;},&quot;citationTag&quot;:&quot;MENDELEY_CITATION_v3_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&quot;,&quot;citationItems&quot;:[{&quot;id&quot;:&quot;3f5aa576-9aaa-38ef-a43c-f77414ec4238&quot;,&quot;itemData&quot;:{&quot;type&quot;:&quot;book&quot;,&quot;id&quot;:&quot;3f5aa576-9aaa-38ef-a43c-f77414ec4238&quot;,&quot;title&quot;:&quot;Methods for the Determination of Possible Damage to People and Objects Resulting from Releases of Hazardous Materials (Green Book)&quot;,&quot;author&quot;:[{&quot;family&quot;:&quot;Bosh&quot;,&quot;given&quot;:&quot;C J H&quot;,&quot;parse-names&quot;:false,&quot;dropping-particle&quot;:&quot;&quot;,&quot;non-dropping-particle&quot;:&quot;Van Den&quot;}],&quot;issued&quot;:{&quot;date-parts&quot;:[[1992]]},&quot;publisher-place&quot;:&quot;the Hague (NL)&quot;,&quot;publisher&quot;:&quot;Committee for the Prevention of Disasters&quot;,&quot;container-title-short&quot;:&quot;&quot;},&quot;isTemporary&quot;:false,&quot;displayAs&quot;:&quot;composite&quot;,&quot;suppress-author&quot;:false,&quot;composite&quot;:true,&quot;author-only&quot;:false}]},{&quot;citationID&quot;:&quot;MENDELEY_CITATION_7ce94b62-c7f8-46d1-9ec4-775ee68c08eb&quot;,&quot;properties&quot;:{&quot;noteIndex&quot;:0},&quot;isEdited&quot;:false,&quot;manualOverride&quot;:{&quot;isManuallyOverridden&quot;:false,&quot;citeprocText&quot;:&quot;(Ricci et al., 2024)&quot;,&quot;manualOverrideText&quot;:&quot;&quot;},&quot;citationTag&quot;:&quot;MENDELEY_CITATION_v3_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&quot;,&quot;citationItems&quot;:[{&quot;id&quot;:&quot;36569f90-1073-33bf-a7aa-9fe39e8f1e4f&quot;,&quot;itemData&quot;:{&quot;type&quot;:&quot;article-journal&quot;,&quot;id&quot;:&quot;36569f90-1073-33bf-a7aa-9fe39e8f1e4f&quot;,&quot;title&quot;:&quot;Vulnerability Assessment of Industrial Sites to Interface Fires and Wildfires&quot;,&quot;author&quot;:[{&quot;family&quot;:&quot;Ricci&quot;,&quot;given&quot;:&quot;Federica&quot;,&quot;parse-names&quot;:false,&quot;dropping-particle&quot;:&quot;&quot;,&quot;non-dropping-particle&quot;:&quot;&quot;},{&quot;family&quot;:&quot;Misuri&quot;,&quot;given&quot;:&quot;Alessio&quot;,&quot;parse-names&quot;:false,&quot;dropping-particle&quot;:&quot;&quot;,&quot;non-dropping-particle&quot;:&quot;&quot;},{&quot;family&quot;:&quot;Scarponi&quot;,&quot;given&quot;:&quot;Giordano Emrys&quot;,&quot;parse-names&quot;:false,&quot;dropping-particle&quot;:&quot;&quot;,&quot;non-dropping-particle&quot;:&quot;&quot;},{&quot;family&quot;:&quot;Cozzani&quot;,&quot;given&quot;:&quot;Valerio&quot;,&quot;parse-names&quot;:false,&quot;dropping-particle&quot;:&quot;&quot;,&quot;non-dropping-particle&quot;:&quot;&quot;},{&quot;family&quot;:&quot;Demichela&quot;,&quot;given&quot;:&quot;Micaela&quot;,&quot;parse-names&quot;:false,&quot;dropping-particle&quot;:&quot;&quot;,&quot;non-dropping-particle&quot;:&quot;&quot;}],&quot;container-title&quot;:&quot;Reliability Engineering &amp; System Safety&quot;,&quot;container-title-short&quot;:&quot;Reliab Eng Syst Saf&quot;,&quot;DOI&quot;:&quot;10.1016/j.ress.2023.109895&quot;,&quot;ISSN&quot;:&quot;09518320&quot;,&quot;issued&quot;:{&quot;date-parts&quot;:[[2024,3]]},&quot;page&quot;:&quot;109895&quot;,&quot;volume&quot;:&quot;243&quot;},&quot;isTemporary&quot;:false,&quot;suppress-author&quot;:false,&quot;composite&quot;:false,&quot;author-only&quot;:false}]},{&quot;citationID&quot;:&quot;MENDELEY_CITATION_1b51d868-07ff-411a-b084-ab33796bf7aa&quot;,&quot;properties&quot;:{&quot;noteIndex&quot;:0},&quot;isEdited&quot;:false,&quot;manualOverride&quot;:{&quot;isManuallyOverridden&quot;:false,&quot;citeprocText&quot;:&quot;(Uijt de Haag &amp;#38; Ale, 2005)&quot;,&quot;manualOverrideText&quot;:&quot;&quot;},&quot;citationTag&quot;:&quot;MENDELEY_CITATION_v3_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&quot;,&quot;citationItems&quot;:[{&quot;id&quot;:&quot;58e26531-3b04-336e-9d83-8edaf7b1c43d&quot;,&quot;itemData&quot;:{&quot;type&quot;:&quot;book&quot;,&quot;id&quot;:&quot;58e26531-3b04-336e-9d83-8edaf7b1c43d&quot;,&quot;title&quot;:&quot;Guidelines for Quantitative Risk Assessment (Purple book)&quot;,&quot;author&quot;:[{&quot;family&quot;:&quot;Uijt de Haag&quot;,&quot;given&quot;:&quot;P.A.M.&quot;,&quot;parse-names&quot;:false,&quot;dropping-particle&quot;:&quot;&quot;,&quot;non-dropping-particle&quot;:&quot;&quot;},{&quot;family&quot;:&quot;Ale&quot;,&quot;given&quot;:&quot;B.J.M.&quot;,&quot;parse-names&quot;:false,&quot;dropping-particle&quot;:&quot;&quot;,&quot;non-dropping-particle&quot;:&quot;&quot;}],&quot;issued&quot;:{&quot;date-parts&quot;:[[2005]]},&quot;publisher-place&quot;:&quot;the Hague (NL)&quot;,&quot;publisher&quot;:&quot;Committee for the Prevention of Disasters&quot;,&quot;container-title-short&quot;:&quot;&quot;},&quot;isTemporary&quot;:false,&quot;suppress-author&quot;:false,&quot;composite&quot;:false,&quot;author-only&quot;:false}]},{&quot;citationID&quot;:&quot;MENDELEY_CITATION_2cb8b19c-fcc8-4014-9ed1-b857e0330446&quot;,&quot;properties&quot;:{&quot;noteIndex&quot;:0},&quot;isEdited&quot;:false,&quot;manualOverride&quot;:{&quot;isManuallyOverridden&quot;:false,&quot;citeprocText&quot;:&quot;(Ricci et al., 2024; Ricci, Scarponi, Pastor, Planas, et al., 2021)&quot;,&quot;manualOverrideText&quot;:&quot;&quot;},&quot;citationItems&quot;:[{&quot;id&quot;:&quot;393103c7-8287-3530-893a-e2d5acac3c06&quot;,&quot;itemData&quot;:{&quot;type&quot;:&quot;article-journal&quot;,&quot;id&quot;:&quot;393103c7-8287-3530-893a-e2d5acac3c06&quot;,&quot;title&quot;:&quot;Safety distances for storage tanks to prevent fire damage in Wildland-Industrial Interface&quot;,&quot;author&quot;:[{&quot;family&quot;:&quot;Ricci&quot;,&quot;given&quot;:&quot;Federica&quot;,&quot;parse-names&quot;:false,&quot;dropping-particle&quot;:&quot;&quot;,&quot;non-dropping-particle&quot;:&quot;&quot;},{&quot;family&quot;:&quot;Scarponi&quot;,&quot;given&quot;:&quot;Giordano Emrys&quot;,&quot;parse-names&quot;:false,&quot;dropping-particle&quot;:&quot;&quot;,&quot;non-dropping-particle&quot;:&quot;&quot;},{&quot;family&quot;:&quot;Pastor&quot;,&quot;given&quot;:&quot;Elsa&quot;,&quot;parse-names&quot;:false,&quot;dropping-particle&quot;:&quot;&quot;,&quot;non-dropping-particle&quot;:&quot;&quot;},{&quot;family&quot;:&quot;Planas&quot;,&quot;given&quot;:&quot;Eulàlia&quot;,&quot;parse-names&quot;:false,&quot;dropping-particle&quot;:&quot;&quot;,&quot;non-dropping-particle&quot;:&quot;&quot;},{&quot;family&quot;:&quot;Cozzani&quot;,&quot;given&quot;:&quot;Valerio&quot;,&quot;parse-names&quot;:false,&quot;dropping-particle&quot;:&quot;&quot;,&quot;non-dropping-particle&quot;:&quot;&quot;}],&quot;container-title&quot;:&quot;Process Safety and Environmental Protection&quot;,&quot;DOI&quot;:&quot;10.1016/j.psep.2021.01.002&quot;,&quot;ISSN&quot;:&quot;09575820&quot;,&quot;URL&quot;:&quot;https://linkinghub.elsevier.com/retrieve/pii/S0957582021000033&quot;,&quot;issued&quot;:{&quot;date-parts&quot;:[[2021,3]]},&quot;page&quot;:&quot;693-702&quot;,&quot;volume&quot;:&quot;147&quot;,&quot;container-title-short&quot;:&quot;&quot;},&quot;isTemporary&quot;:false},{&quot;id&quot;:&quot;36569f90-1073-33bf-a7aa-9fe39e8f1e4f&quot;,&quot;itemData&quot;:{&quot;type&quot;:&quot;article-journal&quot;,&quot;id&quot;:&quot;36569f90-1073-33bf-a7aa-9fe39e8f1e4f&quot;,&quot;title&quot;:&quot;Vulnerability Assessment of Industrial Sites to Interface Fires and Wildfires&quot;,&quot;author&quot;:[{&quot;family&quot;:&quot;Ricci&quot;,&quot;given&quot;:&quot;Federica&quot;,&quot;parse-names&quot;:false,&quot;dropping-particle&quot;:&quot;&quot;,&quot;non-dropping-particle&quot;:&quot;&quot;},{&quot;family&quot;:&quot;Misuri&quot;,&quot;given&quot;:&quot;Alessio&quot;,&quot;parse-names&quot;:false,&quot;dropping-particle&quot;:&quot;&quot;,&quot;non-dropping-particle&quot;:&quot;&quot;},{&quot;family&quot;:&quot;Scarponi&quot;,&quot;given&quot;:&quot;Giordano Emrys&quot;,&quot;parse-names&quot;:false,&quot;dropping-particle&quot;:&quot;&quot;,&quot;non-dropping-particle&quot;:&quot;&quot;},{&quot;family&quot;:&quot;Cozzani&quot;,&quot;given&quot;:&quot;Valerio&quot;,&quot;parse-names&quot;:false,&quot;dropping-particle&quot;:&quot;&quot;,&quot;non-dropping-particle&quot;:&quot;&quot;},{&quot;family&quot;:&quot;Demichela&quot;,&quot;given&quot;:&quot;Micaela&quot;,&quot;parse-names&quot;:false,&quot;dropping-particle&quot;:&quot;&quot;,&quot;non-dropping-particle&quot;:&quot;&quot;}],&quot;container-title&quot;:&quot;Reliability Engineering &amp; System Safety&quot;,&quot;container-title-short&quot;:&quot;Reliab Eng Syst Saf&quot;,&quot;DOI&quot;:&quot;10.1016/j.ress.2023.109895&quot;,&quot;ISSN&quot;:&quot;09518320&quot;,&quot;issued&quot;:{&quot;date-parts&quot;:[[2024,3]]},&quot;page&quot;:&quot;109895&quot;,&quot;volume&quot;:&quot;243&quot;},&quot;isTemporary&quot;:false}],&quot;citationTag&quot;:&quot;MENDELEY_CITATION_v3_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&quot;},{&quot;citationID&quot;:&quot;MENDELEY_CITATION_70a45fa4-6129-4935-baba-1a97927796c4&quot;,&quot;properties&quot;:{&quot;noteIndex&quot;:0,&quot;mode&quot;:&quot;composite&quot;},&quot;isEdited&quot;:false,&quot;manualOverride&quot;:{&quot;isManuallyOverridden&quot;:false,&quot;citeprocText&quot;:&quot;Guyette et al. (2012)&quot;,&quot;manualOverrideText&quot;:&quot;&quot;},&quot;citationTag&quot;:&quot;MENDELEY_CITATION_v3_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&quot;,&quot;citationItems&quot;:[{&quot;id&quot;:&quot;9b12087d-b577-3126-a48b-88c129c918da&quot;,&quot;itemData&quot;:{&quot;type&quot;:&quot;article-journal&quot;,&quot;id&quot;:&quot;9b12087d-b577-3126-a48b-88c129c918da&quot;,&quot;title&quot;:&quot;Predicting Fire Frequency with Chemistry and Climate&quot;,&quot;author&quot;:[{&quot;family&quot;:&quot;Guyette&quot;,&quot;given&quot;:&quot;Richard P.&quot;,&quot;parse-names&quot;:false,&quot;dropping-particle&quot;:&quot;&quot;,&quot;non-dropping-particle&quot;:&quot;&quot;},{&quot;family&quot;:&quot;Stambaugh&quot;,&quot;given&quot;:&quot;Michael C.&quot;,&quot;parse-names&quot;:false,&quot;dropping-particle&quot;:&quot;&quot;,&quot;non-dropping-particle&quot;:&quot;&quot;},{&quot;family&quot;:&quot;Dey&quot;,&quot;given&quot;:&quot;Daniel C.&quot;,&quot;parse-names&quot;:false,&quot;dropping-particle&quot;:&quot;&quot;,&quot;non-dropping-particle&quot;:&quot;&quot;},{&quot;family&quot;:&quot;Muzika&quot;,&quot;given&quot;:&quot;Rose-Marie&quot;,&quot;parse-names&quot;:false,&quot;dropping-particle&quot;:&quot;&quot;,&quot;non-dropping-particle&quot;:&quot;&quot;}],&quot;container-title&quot;:&quot;Ecosystems&quot;,&quot;DOI&quot;:&quot;10.1007/s10021-011-9512-0&quot;,&quot;ISSN&quot;:&quot;1432-9840&quot;,&quot;URL&quot;:&quot;http://link.springer.com/10.1007/s10021-011-9512-0&quot;,&quot;issued&quot;:{&quot;date-parts&quot;:[[2012,3,4]]},&quot;page&quot;:&quot;322-335&quot;,&quot;issue&quot;:&quot;2&quot;,&quot;volume&quot;:&quot;15&quot;,&quot;container-title-short&quot;:&quot;&quot;},&quot;isTemporary&quot;:false,&quot;displayAs&quot;:&quot;composite&quot;,&quot;suppress-author&quot;:false,&quot;composite&quot;:true,&quot;author-only&quot;:false}]},{&quot;citationID&quot;:&quot;MENDELEY_CITATION_1cac10ce-c25d-4567-b07e-e911c2cf5674&quot;,&quot;properties&quot;:{&quot;noteIndex&quot;:0},&quot;isEdited&quot;:false,&quot;manualOverride&quot;:{&quot;isManuallyOverridden&quot;:false,&quot;citeprocText&quot;:&quot;(C. J. H. J. H. Van Den Bosh &amp;#38; Weterings, 2005)&quot;,&quot;manualOverrideText&quot;:&quot;&quot;},&quot;citationTag&quot;:&quot;MENDELEY_CITATION_v3_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&quot;,&quot;citationItems&quot;:[{&quot;id&quot;:&quot;5e18414a-ff1d-3e22-90de-283931e08557&quot;,&quot;itemData&quot;:{&quot;type&quot;:&quot;book&quot;,&quot;id&quot;:&quot;5e18414a-ff1d-3e22-90de-283931e08557&quot;,&quot;title&quot;:&quot;Methods for the calculation of physical effects due to releases of hazardous materials (liquids and gases) (Yellow Book)&quot;,&quot;author&quot;:[{&quot;family&quot;:&quot;Bosh&quot;,&quot;given&quot;:&quot;C.J.H. J H&quot;,&quot;parse-names&quot;:false,&quot;dropping-particle&quot;:&quot;&quot;,&quot;non-dropping-particle&quot;:&quot;Van Den&quot;},{&quot;family&quot;:&quot;Weterings&quot;,&quot;given&quot;:&quot;R.A.P.M.&quot;,&quot;parse-names&quot;:false,&quot;dropping-particle&quot;:&quot;&quot;,&quot;non-dropping-particle&quot;:&quot;&quot;}],&quot;issued&quot;:{&quot;date-parts&quot;:[[2005]]},&quot;publisher-place&quot;:&quot;the Hague (NL)&quot;,&quot;edition&quot;:&quot;third&quot;,&quot;publisher&quot;:&quot;Committee for the Prevention of Disasters&quot;,&quot;container-title-short&quot;:&quot;&quot;},&quot;isTemporary&quot;:false,&quot;suppress-author&quot;:false,&quot;composite&quot;:false,&quot;author-only&quot;:false}]},{&quot;citationID&quot;:&quot;MENDELEY_CITATION_161d7d52-f249-4fe6-91a7-c1c3d7ba3d6a&quot;,&quot;properties&quot;:{&quot;noteIndex&quot;:0},&quot;isEdited&quot;:false,&quot;manualOverride&quot;:{&quot;isManuallyOverridden&quot;:false,&quot;citeprocText&quot;:&quot;(Ricci et al., 2022)&quot;,&quot;manualOverrideText&quot;:&quot;&quot;},&quot;citationItems&quot;:[{&quot;id&quot;:&quot;a1ea3b6b-d814-3b94-b304-4a82ccb9c44e&quot;,&quot;itemData&quot;:{&quot;type&quot;:&quot;article-journal&quot;,&quot;id&quot;:&quot;a1ea3b6b-d814-3b94-b304-4a82ccb9c44e&quot;,&quot;title&quot;:&quot;Asset Integrity in the Case of Wildfires at Wildland-Industrial Interfaces&quot;,&quot;author&quot;:[{&quot;family&quot;:&quot;Ricci&quot;,&quot;given&quot;:&quot;F.&quot;,&quot;parse-names&quot;:false,&quot;dropping-particle&quot;:&quot;&quot;,&quot;non-dropping-particle&quot;:&quot;&quot;},{&quot;family&quot;:&quot;Scarponi&quot;,&quot;given&quot;:&quot;G.E.&quot;,&quot;parse-names&quot;:false,&quot;dropping-particle&quot;:&quot;&quot;,&quot;non-dropping-particle&quot;:&quot;&quot;},{&quot;family&quot;:&quot;Pastor&quot;,&quot;given&quot;:&quot;E.&quot;,&quot;parse-names&quot;:false,&quot;dropping-particle&quot;:&quot;&quot;,&quot;non-dropping-particle&quot;:&quot;&quot;},{&quot;family&quot;:&quot;Planas&quot;,&quot;given&quot;:&quot;E.&quot;,&quot;parse-names&quot;:false,&quot;dropping-particle&quot;:&quot;&quot;,&quot;non-dropping-particle&quot;:&quot;&quot;},{&quot;family&quot;:&quot;Cozzani&quot;,&quot;given&quot;:&quot;V.&quot;,&quot;parse-names&quot;:false,&quot;dropping-particle&quot;:&quot;&quot;,&quot;non-dropping-particle&quot;:&quot;&quot;}],&quot;container-title&quot;:&quot;Chemical Engineering Transactions&quot;,&quot;container-title-short&quot;:&quot;Chem Eng Trans&quot;,&quot;DOI&quot;:&quot;10.3303/CET2290042&quot;,&quot;issued&quot;:{&quot;date-parts&quot;:[[2022]]},&quot;page&quot;:&quot;247-252&quot;,&quot;volume&quot;:&quot;90&quot;},&quot;isTemporary&quot;:false,&quot;suppress-author&quot;:false,&quot;composite&quot;:false,&quot;author-only&quot;:false}],&quot;citationTag&quot;:&quot;MENDELEY_CITATION_v3_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&quot;},{&quot;citationID&quot;:&quot;MENDELEY_CITATION_510b89d3-8101-42d0-bc1f-fc47e1d956aa&quot;,&quot;properties&quot;:{&quot;noteIndex&quot;:0},&quot;isEdited&quot;:false,&quot;manualOverride&quot;:{&quot;isManuallyOverridden&quot;:false,&quot;citeprocText&quot;:&quot;(Landucci et al., 2015)&quot;,&quot;manualOverrideText&quot;:&quot;&quot;},&quot;citationItems&quot;:[{&quot;id&quot;:&quot;80e02ea8-78ad-3054-9015-a434c5c4fac9&quot;,&quot;itemData&quot;:{&quot;type&quot;:&quot;article-journal&quot;,&quot;id&quot;:&quot;80e02ea8-78ad-3054-9015-a434c5c4fac9&quot;,&quot;title&quot;:&quot;Quantitative assessment of safety barrier performance in the prevention of domino scenarios triggered by fire&quot;,&quot;author&quot;:[{&quot;family&quot;:&quot;Landucci&quot;,&quot;given&quot;:&quot;Gabriele&quot;,&quot;parse-names&quot;:false,&quot;dropping-particle&quot;:&quot;&quot;,&quot;non-dropping-particle&quot;:&quot;&quot;},{&quot;family&quot;:&quot;Argenti&quot;,&quot;given&quot;:&quot;Francesca&quot;,&quot;parse-names&quot;:false,&quot;dropping-particle&quot;:&quot;&quot;,&quot;non-dropping-particle&quot;:&quot;&quot;},{&quot;family&quot;:&quot;Tugnoli&quot;,&quot;given&quot;:&quot;Alessandr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15.03.023&quot;,&quot;ISSN&quot;:&quot;09518320&quot;,&quot;URL&quot;:&quot;https://linkinghub.elsevier.com/retrieve/pii/S0951832015000897&quot;,&quot;issued&quot;:{&quot;date-parts&quot;:[[2015,11]]},&quot;page&quot;:&quot;30-43&quot;,&quot;volume&quot;:&quot;143&quot;},&quot;isTemporary&quot;:false,&quot;suppress-author&quot;:false,&quot;composite&quot;:false,&quot;author-only&quot;:false}],&quot;citationTag&quot;:&quot;MENDELEY_CITATION_v3_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&quot;},{&quot;citationID&quot;:&quot;MENDELEY_CITATION_af710631-78e1-43d2-8400-339d6c45be01&quot;,&quot;properties&quot;:{&quot;noteIndex&quot;:0},&quot;isEdited&quot;:false,&quot;manualOverride&quot;:{&quot;isManuallyOverridden&quot;:true,&quot;citeprocText&quot;:&quot;(Landucci et al., 2015)&quot;,&quot;manualOverrideText&quot;:&quot;Landucci et al., (2015)&quot;},&quot;citationItems&quot;:[{&quot;id&quot;:&quot;80e02ea8-78ad-3054-9015-a434c5c4fac9&quot;,&quot;itemData&quot;:{&quot;type&quot;:&quot;article-journal&quot;,&quot;id&quot;:&quot;80e02ea8-78ad-3054-9015-a434c5c4fac9&quot;,&quot;title&quot;:&quot;Quantitative assessment of safety barrier performance in the prevention of domino scenarios triggered by fire&quot;,&quot;author&quot;:[{&quot;family&quot;:&quot;Landucci&quot;,&quot;given&quot;:&quot;Gabriele&quot;,&quot;parse-names&quot;:false,&quot;dropping-particle&quot;:&quot;&quot;,&quot;non-dropping-particle&quot;:&quot;&quot;},{&quot;family&quot;:&quot;Argenti&quot;,&quot;given&quot;:&quot;Francesca&quot;,&quot;parse-names&quot;:false,&quot;dropping-particle&quot;:&quot;&quot;,&quot;non-dropping-particle&quot;:&quot;&quot;},{&quot;family&quot;:&quot;Tugnoli&quot;,&quot;given&quot;:&quot;Alessandr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15.03.023&quot;,&quot;ISSN&quot;:&quot;09518320&quot;,&quot;URL&quot;:&quot;https://linkinghub.elsevier.com/retrieve/pii/S0951832015000897&quot;,&quot;issued&quot;:{&quot;date-parts&quot;:[[2015,11]]},&quot;page&quot;:&quot;30-43&quot;,&quot;volume&quot;:&quot;143&quot;},&quot;isTemporary&quot;:false,&quot;suppress-author&quot;:false,&quot;composite&quot;:false,&quot;author-only&quot;:false}],&quot;citationTag&quot;:&quot;MENDELEY_CITATION_v3_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E1LjAzLjAyMyIsIklTU04iOiIwOTUxODMyMCIsIlVSTCI6Imh0dHBzOi8vbGlua2luZ2h1Yi5lbHNldmllci5jb20vcmV0cmlldmUvcGlpL1MwOTUxODMyMDE1MDAwODk3IiwiaXNzdWVkIjp7ImRhdGUtcGFydHMiOltbMjAxNSwxMV1dfSwicGFnZSI6IjMwLTQzIiwidm9sdW1lIjoiMTQzIn0sImlzVGVtcG9yYXJ5IjpmYWxzZSwic3VwcHJlc3MtYXV0aG9yIjpmYWxzZSwiY29tcG9zaXRlIjpmYWxzZSwiYXV0aG9yLW9ubHkiOmZhbHNlfV19&quot;},{&quot;citationID&quot;:&quot;MENDELEY_CITATION_6776eff1-0f09-44cd-a7d4-10414fca27e8&quot;,&quot;properties&quot;:{&quot;noteIndex&quot;:0,&quot;mode&quot;:&quot;composite&quot;},&quot;isEdited&quot;:false,&quot;manualOverride&quot;:{&quot;isManuallyOverridden&quot;:false,&quot;citeprocText&quot;:&quot;Mannan (2005)&quot;,&quot;manualOverrideText&quot;:&quot;&quot;},&quot;citationTag&quot;:&quot;MENDELEY_CITATION_v3_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&quot;,&quot;citationItems&quot;:[{&quot;id&quot;:&quot;b12b162f-14ec-3e6a-a24f-b1f41098fdc7&quot;,&quot;itemData&quot;:{&quot;type&quot;:&quot;book&quot;,&quot;id&quot;:&quot;b12b162f-14ec-3e6a-a24f-b1f41098fdc7&quot;,&quot;title&quot;:&quot;Lees' loss prevention in the process industries&quot;,&quot;author&quot;:[{&quot;family&quot;:&quot;Mannan&quot;,&quot;given&quot;:&quot;Sam&quot;,&quot;parse-names&quot;:false,&quot;dropping-particle&quot;:&quot;&quot;,&quot;non-dropping-particle&quot;:&quot;&quot;}],&quot;issued&quot;:{&quot;date-parts&quot;:[[2005]]},&quot;edition&quot;:&quot;3rd ed.&quot;,&quot;publisher&quot;:&quot;Oxford, UK: Elsevier Butterworth-Heinemann&quot;,&quot;container-title-short&quot;:&quot;&quot;},&quot;isTemporary&quot;:false,&quot;displayAs&quot;:&quot;composite&quot;,&quot;suppress-author&quot;:false,&quot;composite&quot;:true,&quot;author-only&quot;:false}]},{&quot;citationID&quot;:&quot;MENDELEY_CITATION_724bb098-e8bf-48c3-bf22-fc7c32287d5d&quot;,&quot;properties&quot;:{&quot;noteIndex&quot;:0},&quot;isEdited&quot;:false,&quot;manualOverride&quot;:{&quot;isManuallyOverridden&quot;:false,&quot;citeprocText&quot;:&quot;(Ricci et al., 2022)&quot;,&quot;manualOverrideText&quot;:&quot;&quot;},&quot;citationItems&quot;:[{&quot;id&quot;:&quot;a1ea3b6b-d814-3b94-b304-4a82ccb9c44e&quot;,&quot;itemData&quot;:{&quot;type&quot;:&quot;article-journal&quot;,&quot;id&quot;:&quot;a1ea3b6b-d814-3b94-b304-4a82ccb9c44e&quot;,&quot;title&quot;:&quot;Asset Integrity in the Case of Wildfires at Wildland-Industrial Interfaces&quot;,&quot;author&quot;:[{&quot;family&quot;:&quot;Ricci&quot;,&quot;given&quot;:&quot;F.&quot;,&quot;parse-names&quot;:false,&quot;dropping-particle&quot;:&quot;&quot;,&quot;non-dropping-particle&quot;:&quot;&quot;},{&quot;family&quot;:&quot;Scarponi&quot;,&quot;given&quot;:&quot;G.E.&quot;,&quot;parse-names&quot;:false,&quot;dropping-particle&quot;:&quot;&quot;,&quot;non-dropping-particle&quot;:&quot;&quot;},{&quot;family&quot;:&quot;Pastor&quot;,&quot;given&quot;:&quot;E.&quot;,&quot;parse-names&quot;:false,&quot;dropping-particle&quot;:&quot;&quot;,&quot;non-dropping-particle&quot;:&quot;&quot;},{&quot;family&quot;:&quot;Planas&quot;,&quot;given&quot;:&quot;E.&quot;,&quot;parse-names&quot;:false,&quot;dropping-particle&quot;:&quot;&quot;,&quot;non-dropping-particle&quot;:&quot;&quot;},{&quot;family&quot;:&quot;Cozzani&quot;,&quot;given&quot;:&quot;V.&quot;,&quot;parse-names&quot;:false,&quot;dropping-particle&quot;:&quot;&quot;,&quot;non-dropping-particle&quot;:&quot;&quot;}],&quot;container-title&quot;:&quot;Chemical Engineering Transactions&quot;,&quot;container-title-short&quot;:&quot;Chem Eng Trans&quot;,&quot;DOI&quot;:&quot;10.3303/CET2290042&quot;,&quot;issued&quot;:{&quot;date-parts&quot;:[[2022]]},&quot;page&quot;:&quot;247-252&quot;,&quot;volume&quot;:&quot;90&quot;},&quot;isTemporary&quot;:false,&quot;suppress-author&quot;:false,&quot;composite&quot;:false,&quot;author-only&quot;:false}],&quot;citationTag&quot;:&quot;MENDELEY_CITATION_v3_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&quot;},{&quot;citationID&quot;:&quot;MENDELEY_CITATION_3f3e4301-7806-4bf8-94d1-f61797fe6fcb&quot;,&quot;properties&quot;:{&quot;noteIndex&quot;:0,&quot;mode&quot;:&quot;composite&quot;},&quot;isEdited&quot;:false,&quot;manualOverride&quot;:{&quot;isManuallyOverridden&quot;:false,&quot;citeprocText&quot;:&quot;Ricci et al. (2024)&quot;,&quot;manualOverrideText&quot;:&quot;&quot;},&quot;citationTag&quot;:&quot;MENDELEY_CITATION_v3_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&quot;,&quot;citationItems&quot;:[{&quot;id&quot;:&quot;36569f90-1073-33bf-a7aa-9fe39e8f1e4f&quot;,&quot;itemData&quot;:{&quot;type&quot;:&quot;article-journal&quot;,&quot;id&quot;:&quot;36569f90-1073-33bf-a7aa-9fe39e8f1e4f&quot;,&quot;title&quot;:&quot;Vulnerability Assessment of Industrial Sites to Interface Fires and Wildfires&quot;,&quot;author&quot;:[{&quot;family&quot;:&quot;Ricci&quot;,&quot;given&quot;:&quot;Federica&quot;,&quot;parse-names&quot;:false,&quot;dropping-particle&quot;:&quot;&quot;,&quot;non-dropping-particle&quot;:&quot;&quot;},{&quot;family&quot;:&quot;Misuri&quot;,&quot;given&quot;:&quot;Alessio&quot;,&quot;parse-names&quot;:false,&quot;dropping-particle&quot;:&quot;&quot;,&quot;non-dropping-particle&quot;:&quot;&quot;},{&quot;family&quot;:&quot;Scarponi&quot;,&quot;given&quot;:&quot;Giordano Emrys&quot;,&quot;parse-names&quot;:false,&quot;dropping-particle&quot;:&quot;&quot;,&quot;non-dropping-particle&quot;:&quot;&quot;},{&quot;family&quot;:&quot;Cozzani&quot;,&quot;given&quot;:&quot;Valerio&quot;,&quot;parse-names&quot;:false,&quot;dropping-particle&quot;:&quot;&quot;,&quot;non-dropping-particle&quot;:&quot;&quot;},{&quot;family&quot;:&quot;Demichela&quot;,&quot;given&quot;:&quot;Micaela&quot;,&quot;parse-names&quot;:false,&quot;dropping-particle&quot;:&quot;&quot;,&quot;non-dropping-particle&quot;:&quot;&quot;}],&quot;container-title&quot;:&quot;Reliability Engineering &amp; System Safety&quot;,&quot;container-title-short&quot;:&quot;Reliab Eng Syst Saf&quot;,&quot;DOI&quot;:&quot;10.1016/j.ress.2023.109895&quot;,&quot;ISSN&quot;:&quot;09518320&quot;,&quot;issued&quot;:{&quot;date-parts&quot;:[[2024,3]]},&quot;page&quot;:&quot;109895&quot;,&quot;volume&quot;:&quot;243&quot;},&quot;isTemporary&quot;:false,&quot;displayAs&quot;:&quot;composite&quot;,&quot;suppress-author&quot;:false,&quot;composite&quot;:true,&quot;author-only&quot;:false}]},{&quot;citationID&quot;:&quot;MENDELEY_CITATION_5991f8c9-5796-4e9d-b8d8-9d172a1602ba&quot;,&quot;properties&quot;:{&quot;noteIndex&quot;:0},&quot;isEdited&quot;:false,&quot;manualOverride&quot;:{&quot;isManuallyOverridden&quot;:false,&quot;citeprocText&quot;:&quot;(Misuri et al., 2020)&quot;,&quot;manualOverrideText&quot;:&quot;&quot;},&quot;citationTag&quot;:&quot;MENDELEY_CITATION_v3_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AmIFN5c3RlbSBTYWZldHkiLCJjb250YWluZXItdGl0bGUtc2hvcnQiOiJSZWxpYWIgRW5nIFN5c3QgU2FmIiwiRE9JIjoiMTAuMTAxNi9qLnJlc3MuMjAxOS4xMDY1OTciLCJJU1NOIjoiMDk1MTgzMjAiLCJVUkwiOiJodHRwczovL2xpbmtpbmdodWIuZWxzZXZpZXIuY29tL3JldHJpZXZlL3BpaS9TMDk1MTgzMjAxOTMwNjE3OSIsImlzc3VlZCI6eyJkYXRlLXBhcnRzIjpbWzIwMjAsMV1dfSwicGFnZSI6IjEwNjU5NyIsInZvbHVtZSI6IjE5MyJ9LCJpc1RlbXBvcmFyeSI6ZmFsc2UsInN1cHByZXNzLWF1dGhvciI6ZmFsc2UsImNvbXBvc2l0ZSI6ZmFsc2UsImF1dGhvci1vbmx5IjpmYWxzZX1dfQ==&quot;,&quot;citationItems&quot;:[{&quot;id&quot;:&quot;8df30ce7-c271-36f0-8c0f-e7b9420f21c6&quot;,&quot;itemData&quot;:{&quot;type&quot;:&quot;article-journal&quot;,&quot;id&quot;:&quot;8df30ce7-c271-36f0-8c0f-e7b9420f21c6&quot;,&quot;title&quot;:&quot;Assessment of safety barrier performance in Natech scenarios&quot;,&quot;author&quot;:[{&quot;family&quot;:&quot;Misuri&quot;,&quot;given&quot;:&quot;Alessio&quot;,&quot;parse-names&quot;:false,&quot;dropping-particle&quot;:&quot;&quot;,&quot;non-dropping-particle&quot;:&quot;&quot;},{&quot;family&quot;:&quot;Landucci&quot;,&quot;given&quot;:&quot;Gabriele&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19.106597&quot;,&quot;ISSN&quot;:&quot;09518320&quot;,&quot;URL&quot;:&quot;https://linkinghub.elsevier.com/retrieve/pii/S0951832019306179&quot;,&quot;issued&quot;:{&quot;date-parts&quot;:[[2020,1]]},&quot;page&quot;:&quot;106597&quot;,&quot;volume&quot;:&quot;193&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6</Pages>
  <Words>3430</Words>
  <Characters>19554</Characters>
  <Application>Microsoft Office Word</Application>
  <DocSecurity>0</DocSecurity>
  <Lines>162</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Federica Ricci</cp:lastModifiedBy>
  <cp:revision>85</cp:revision>
  <cp:lastPrinted>2024-11-22T09:19:00Z</cp:lastPrinted>
  <dcterms:created xsi:type="dcterms:W3CDTF">2024-12-17T09:27:00Z</dcterms:created>
  <dcterms:modified xsi:type="dcterms:W3CDTF">2025-02-28T09:19:00Z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