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977322" w:rsidRPr="00977322"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977322" w:rsidRDefault="000A03B2" w:rsidP="00DE264A">
            <w:pPr>
              <w:tabs>
                <w:tab w:val="left" w:pos="-108"/>
              </w:tabs>
              <w:ind w:left="-108"/>
              <w:jc w:val="left"/>
              <w:rPr>
                <w:rFonts w:cs="Arial"/>
                <w:b/>
                <w:bCs/>
                <w:i/>
                <w:iCs/>
                <w:sz w:val="12"/>
                <w:szCs w:val="12"/>
                <w:lang w:eastAsia="it-IT"/>
              </w:rPr>
            </w:pPr>
            <w:bookmarkStart w:id="0" w:name="_Hlk145068772"/>
            <w:r w:rsidRPr="00977322">
              <w:rPr>
                <w:rFonts w:ascii="AdvP6960" w:hAnsi="AdvP6960" w:cs="AdvP6960"/>
                <w:noProof/>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977322">
              <w:rPr>
                <w:rFonts w:ascii="AdvP6960" w:hAnsi="AdvP6960" w:cs="AdvP6960"/>
                <w:szCs w:val="18"/>
                <w:lang w:eastAsia="it-IT"/>
              </w:rPr>
              <w:t xml:space="preserve"> </w:t>
            </w:r>
            <w:r w:rsidRPr="00977322">
              <w:rPr>
                <w:rFonts w:cs="Arial"/>
                <w:b/>
                <w:bCs/>
                <w:i/>
                <w:iCs/>
                <w:sz w:val="24"/>
                <w:szCs w:val="24"/>
                <w:lang w:eastAsia="it-IT"/>
              </w:rPr>
              <w:t>CHEMICAL ENGINEERING TRANSACTIONS</w:t>
            </w:r>
            <w:r w:rsidRPr="00977322">
              <w:rPr>
                <w:sz w:val="24"/>
                <w:szCs w:val="24"/>
                <w:lang w:eastAsia="it-IT"/>
              </w:rPr>
              <w:t xml:space="preserve"> </w:t>
            </w:r>
            <w:r w:rsidRPr="00977322">
              <w:rPr>
                <w:rFonts w:cs="Arial"/>
                <w:b/>
                <w:bCs/>
                <w:i/>
                <w:iCs/>
                <w:sz w:val="27"/>
                <w:szCs w:val="27"/>
                <w:lang w:eastAsia="it-IT"/>
              </w:rPr>
              <w:br/>
            </w:r>
          </w:p>
          <w:p w14:paraId="4B780582" w14:textId="47EF826C" w:rsidR="000A03B2" w:rsidRPr="00977322" w:rsidRDefault="00A76EFC" w:rsidP="001D21AF">
            <w:pPr>
              <w:tabs>
                <w:tab w:val="left" w:pos="-108"/>
              </w:tabs>
              <w:ind w:left="-108"/>
              <w:rPr>
                <w:rFonts w:cs="Arial"/>
                <w:b/>
                <w:bCs/>
                <w:i/>
                <w:iCs/>
                <w:sz w:val="22"/>
                <w:szCs w:val="22"/>
                <w:lang w:eastAsia="it-IT"/>
              </w:rPr>
            </w:pPr>
            <w:r w:rsidRPr="00977322">
              <w:rPr>
                <w:rFonts w:cs="Arial"/>
                <w:b/>
                <w:bCs/>
                <w:i/>
                <w:iCs/>
                <w:sz w:val="22"/>
                <w:szCs w:val="22"/>
                <w:lang w:eastAsia="it-IT"/>
              </w:rPr>
              <w:t>VOL.</w:t>
            </w:r>
            <w:r w:rsidR="00785BF9" w:rsidRPr="00977322">
              <w:rPr>
                <w:rFonts w:cs="Arial"/>
                <w:b/>
                <w:bCs/>
                <w:i/>
                <w:iCs/>
                <w:sz w:val="22"/>
                <w:szCs w:val="22"/>
                <w:lang w:eastAsia="it-IT"/>
              </w:rPr>
              <w:t xml:space="preserve"> </w:t>
            </w:r>
            <w:r w:rsidR="00994C6A" w:rsidRPr="00977322">
              <w:rPr>
                <w:rFonts w:cs="Arial"/>
                <w:b/>
                <w:bCs/>
                <w:i/>
                <w:iCs/>
                <w:sz w:val="22"/>
                <w:szCs w:val="22"/>
                <w:lang w:eastAsia="it-IT"/>
              </w:rPr>
              <w:t>xxx</w:t>
            </w:r>
            <w:r w:rsidR="007B48F9" w:rsidRPr="00977322">
              <w:rPr>
                <w:rFonts w:cs="Arial"/>
                <w:b/>
                <w:bCs/>
                <w:i/>
                <w:iCs/>
                <w:sz w:val="22"/>
                <w:szCs w:val="22"/>
                <w:lang w:eastAsia="it-IT"/>
              </w:rPr>
              <w:t>,</w:t>
            </w:r>
            <w:r w:rsidR="00FA5F5F" w:rsidRPr="00977322">
              <w:rPr>
                <w:rFonts w:cs="Arial"/>
                <w:b/>
                <w:bCs/>
                <w:i/>
                <w:iCs/>
                <w:sz w:val="22"/>
                <w:szCs w:val="22"/>
                <w:lang w:eastAsia="it-IT"/>
              </w:rPr>
              <w:t xml:space="preserve"> </w:t>
            </w:r>
            <w:r w:rsidR="0030152C" w:rsidRPr="00977322">
              <w:rPr>
                <w:rFonts w:cs="Arial"/>
                <w:b/>
                <w:bCs/>
                <w:i/>
                <w:iCs/>
                <w:sz w:val="22"/>
                <w:szCs w:val="22"/>
                <w:lang w:eastAsia="it-IT"/>
              </w:rPr>
              <w:t>202</w:t>
            </w:r>
            <w:r w:rsidR="00994C6A" w:rsidRPr="00977322">
              <w:rPr>
                <w:rFonts w:cs="Arial"/>
                <w:b/>
                <w:bCs/>
                <w:i/>
                <w:iCs/>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977322" w:rsidRDefault="000A03B2" w:rsidP="00CD5FE2">
            <w:pPr>
              <w:spacing w:line="140" w:lineRule="atLeast"/>
              <w:jc w:val="right"/>
              <w:rPr>
                <w:rFonts w:cs="Arial"/>
                <w:sz w:val="14"/>
                <w:szCs w:val="14"/>
              </w:rPr>
            </w:pPr>
            <w:r w:rsidRPr="00977322">
              <w:rPr>
                <w:rFonts w:cs="Arial"/>
                <w:sz w:val="14"/>
                <w:szCs w:val="14"/>
              </w:rPr>
              <w:t>A publication of</w:t>
            </w:r>
          </w:p>
          <w:p w14:paraId="599E5441" w14:textId="77777777" w:rsidR="000A03B2" w:rsidRPr="00977322" w:rsidRDefault="000A03B2" w:rsidP="00CD5FE2">
            <w:pPr>
              <w:jc w:val="right"/>
            </w:pPr>
            <w:r w:rsidRPr="00977322">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977322" w:rsidRPr="00977322" w14:paraId="380FA3CD" w14:textId="77777777" w:rsidTr="00DE264A">
        <w:trPr>
          <w:trHeight w:val="567"/>
          <w:jc w:val="center"/>
        </w:trPr>
        <w:tc>
          <w:tcPr>
            <w:tcW w:w="6946" w:type="dxa"/>
            <w:vMerge/>
            <w:tcBorders>
              <w:right w:val="single" w:sz="4" w:space="0" w:color="auto"/>
            </w:tcBorders>
          </w:tcPr>
          <w:p w14:paraId="39E5E4C1" w14:textId="77777777" w:rsidR="000A03B2" w:rsidRPr="00977322"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977322" w:rsidRDefault="000A03B2" w:rsidP="00CD5FE2">
            <w:pPr>
              <w:spacing w:line="140" w:lineRule="atLeast"/>
              <w:jc w:val="right"/>
              <w:rPr>
                <w:rFonts w:cs="Arial"/>
                <w:sz w:val="14"/>
                <w:szCs w:val="14"/>
              </w:rPr>
            </w:pPr>
            <w:r w:rsidRPr="00977322">
              <w:rPr>
                <w:rFonts w:cs="Arial"/>
                <w:sz w:val="14"/>
                <w:szCs w:val="14"/>
              </w:rPr>
              <w:t>The Italian Association</w:t>
            </w:r>
          </w:p>
          <w:p w14:paraId="7522B1D2" w14:textId="77777777" w:rsidR="000A03B2" w:rsidRPr="00977322" w:rsidRDefault="000A03B2" w:rsidP="00CD5FE2">
            <w:pPr>
              <w:spacing w:line="140" w:lineRule="atLeast"/>
              <w:jc w:val="right"/>
              <w:rPr>
                <w:rFonts w:cs="Arial"/>
                <w:sz w:val="14"/>
                <w:szCs w:val="14"/>
              </w:rPr>
            </w:pPr>
            <w:r w:rsidRPr="00977322">
              <w:rPr>
                <w:rFonts w:cs="Arial"/>
                <w:sz w:val="14"/>
                <w:szCs w:val="14"/>
              </w:rPr>
              <w:t>of Chemical Engineering</w:t>
            </w:r>
          </w:p>
          <w:p w14:paraId="4F0CC5DE" w14:textId="47FDB2FC" w:rsidR="000A03B2" w:rsidRPr="00977322" w:rsidRDefault="000D0268" w:rsidP="00CD5FE2">
            <w:pPr>
              <w:spacing w:line="140" w:lineRule="atLeast"/>
              <w:jc w:val="right"/>
              <w:rPr>
                <w:rFonts w:cs="Arial"/>
                <w:sz w:val="13"/>
                <w:szCs w:val="13"/>
              </w:rPr>
            </w:pPr>
            <w:r w:rsidRPr="00977322">
              <w:rPr>
                <w:rFonts w:cs="Arial"/>
                <w:sz w:val="13"/>
                <w:szCs w:val="13"/>
              </w:rPr>
              <w:t>Online at www.cetjournal.it</w:t>
            </w:r>
          </w:p>
        </w:tc>
      </w:tr>
      <w:tr w:rsidR="00977322" w:rsidRPr="00977322" w14:paraId="2D1B7169" w14:textId="77777777" w:rsidTr="00DE264A">
        <w:trPr>
          <w:trHeight w:val="68"/>
          <w:jc w:val="center"/>
        </w:trPr>
        <w:tc>
          <w:tcPr>
            <w:tcW w:w="8789" w:type="dxa"/>
            <w:gridSpan w:val="2"/>
          </w:tcPr>
          <w:p w14:paraId="30F07041" w14:textId="7360678C" w:rsidR="00F27EE4" w:rsidRPr="00977322" w:rsidRDefault="00AA7D26" w:rsidP="00F27EE4">
            <w:pPr>
              <w:ind w:left="-107"/>
              <w:rPr>
                <w:rFonts w:ascii="Tahoma" w:hAnsi="Tahoma" w:cs="Tahoma"/>
                <w:b/>
                <w:bCs/>
                <w:sz w:val="14"/>
                <w:szCs w:val="14"/>
                <w:shd w:val="clear" w:color="auto" w:fill="FFFFFF"/>
                <w:lang w:val="it-IT"/>
              </w:rPr>
            </w:pPr>
            <w:r w:rsidRPr="00977322">
              <w:rPr>
                <w:rFonts w:ascii="Tahoma" w:hAnsi="Tahoma" w:cs="Tahoma"/>
                <w:iCs/>
                <w:sz w:val="14"/>
                <w:szCs w:val="14"/>
                <w:lang w:val="it-IT" w:eastAsia="it-IT"/>
              </w:rPr>
              <w:t>Guest Editors:</w:t>
            </w:r>
            <w:r w:rsidR="007D610D" w:rsidRPr="00977322">
              <w:rPr>
                <w:rFonts w:ascii="Aptos" w:eastAsiaTheme="minorHAnsi" w:hAnsi="Aptos" w:cs="Aptos"/>
                <w:sz w:val="22"/>
                <w:szCs w:val="22"/>
                <w:lang w:val="it-IT"/>
                <w14:ligatures w14:val="standardContextual"/>
              </w:rPr>
              <w:t xml:space="preserve"> </w:t>
            </w:r>
            <w:r w:rsidR="00F27EE4" w:rsidRPr="00977322">
              <w:rPr>
                <w:rFonts w:ascii="Tahoma" w:hAnsi="Tahoma" w:cs="Tahoma"/>
                <w:sz w:val="14"/>
                <w:szCs w:val="14"/>
                <w:shd w:val="clear" w:color="auto" w:fill="FFFFFF"/>
                <w:lang w:val="it-IT"/>
              </w:rPr>
              <w:t>Bruno Fabiano, Valerio Cozzani</w:t>
            </w:r>
          </w:p>
          <w:p w14:paraId="1B0F1814" w14:textId="2DB8A072" w:rsidR="000A03B2" w:rsidRPr="00977322" w:rsidRDefault="00AA7D26" w:rsidP="00AA7D26">
            <w:pPr>
              <w:tabs>
                <w:tab w:val="left" w:pos="-108"/>
              </w:tabs>
              <w:spacing w:line="140" w:lineRule="atLeast"/>
              <w:ind w:left="-107"/>
              <w:jc w:val="left"/>
            </w:pPr>
            <w:r w:rsidRPr="00977322">
              <w:rPr>
                <w:rFonts w:ascii="Tahoma" w:hAnsi="Tahoma" w:cs="Tahoma"/>
                <w:iCs/>
                <w:sz w:val="14"/>
                <w:szCs w:val="14"/>
                <w:lang w:eastAsia="it-IT"/>
              </w:rPr>
              <w:t>Copyright © 202</w:t>
            </w:r>
            <w:r w:rsidR="00994C6A" w:rsidRPr="00977322">
              <w:rPr>
                <w:rFonts w:ascii="Tahoma" w:hAnsi="Tahoma" w:cs="Tahoma"/>
                <w:iCs/>
                <w:sz w:val="14"/>
                <w:szCs w:val="14"/>
                <w:lang w:eastAsia="it-IT"/>
              </w:rPr>
              <w:t>5</w:t>
            </w:r>
            <w:r w:rsidRPr="00977322">
              <w:rPr>
                <w:rFonts w:ascii="Tahoma" w:hAnsi="Tahoma" w:cs="Tahoma"/>
                <w:iCs/>
                <w:sz w:val="14"/>
                <w:szCs w:val="14"/>
                <w:lang w:eastAsia="it-IT"/>
              </w:rPr>
              <w:t>, AIDIC Servizi S.r.l.</w:t>
            </w:r>
            <w:r w:rsidRPr="00977322">
              <w:rPr>
                <w:rFonts w:ascii="Tahoma" w:hAnsi="Tahoma" w:cs="Tahoma"/>
                <w:iCs/>
                <w:sz w:val="14"/>
                <w:szCs w:val="14"/>
                <w:lang w:eastAsia="it-IT"/>
              </w:rPr>
              <w:br/>
            </w:r>
            <w:r w:rsidRPr="00977322">
              <w:rPr>
                <w:rFonts w:ascii="Tahoma" w:hAnsi="Tahoma" w:cs="Tahoma"/>
                <w:b/>
                <w:iCs/>
                <w:sz w:val="14"/>
                <w:szCs w:val="14"/>
                <w:lang w:eastAsia="it-IT"/>
              </w:rPr>
              <w:t>ISBN</w:t>
            </w:r>
            <w:r w:rsidRPr="00977322">
              <w:rPr>
                <w:rFonts w:ascii="Tahoma" w:hAnsi="Tahoma" w:cs="Tahoma"/>
                <w:iCs/>
                <w:sz w:val="14"/>
                <w:szCs w:val="14"/>
                <w:lang w:eastAsia="it-IT"/>
              </w:rPr>
              <w:t xml:space="preserve"> </w:t>
            </w:r>
            <w:r w:rsidR="003B49CD" w:rsidRPr="00977322">
              <w:rPr>
                <w:rFonts w:ascii="Tahoma" w:hAnsi="Tahoma" w:cs="Tahoma"/>
                <w:sz w:val="14"/>
                <w:szCs w:val="14"/>
              </w:rPr>
              <w:t>979-12-81206-</w:t>
            </w:r>
            <w:r w:rsidR="00F27EE4" w:rsidRPr="00977322">
              <w:rPr>
                <w:rFonts w:ascii="Tahoma" w:hAnsi="Tahoma" w:cs="Tahoma"/>
                <w:sz w:val="14"/>
                <w:szCs w:val="14"/>
              </w:rPr>
              <w:t>xx-y</w:t>
            </w:r>
            <w:r w:rsidRPr="00977322">
              <w:rPr>
                <w:rFonts w:ascii="Tahoma" w:hAnsi="Tahoma" w:cs="Tahoma"/>
                <w:iCs/>
                <w:sz w:val="14"/>
                <w:szCs w:val="14"/>
                <w:lang w:eastAsia="it-IT"/>
              </w:rPr>
              <w:t xml:space="preserve">; </w:t>
            </w:r>
            <w:r w:rsidRPr="00977322">
              <w:rPr>
                <w:rFonts w:ascii="Tahoma" w:hAnsi="Tahoma" w:cs="Tahoma"/>
                <w:b/>
                <w:iCs/>
                <w:sz w:val="14"/>
                <w:szCs w:val="14"/>
                <w:lang w:eastAsia="it-IT"/>
              </w:rPr>
              <w:t>ISSN</w:t>
            </w:r>
            <w:r w:rsidRPr="00977322">
              <w:rPr>
                <w:rFonts w:ascii="Tahoma" w:hAnsi="Tahoma" w:cs="Tahoma"/>
                <w:iCs/>
                <w:sz w:val="14"/>
                <w:szCs w:val="14"/>
                <w:lang w:eastAsia="it-IT"/>
              </w:rPr>
              <w:t xml:space="preserve"> 2283-9216</w:t>
            </w:r>
          </w:p>
        </w:tc>
      </w:tr>
    </w:tbl>
    <w:bookmarkEnd w:id="0"/>
    <w:p w14:paraId="2E667253" w14:textId="4E98F2A1" w:rsidR="00E978D0" w:rsidRPr="00A47168" w:rsidRDefault="00302563" w:rsidP="00E978D0">
      <w:pPr>
        <w:pStyle w:val="CETTitle"/>
      </w:pPr>
      <w:r w:rsidRPr="00A47168">
        <w:t>Considering Sustainability of Explosions Protection Measures</w:t>
      </w:r>
      <w:r w:rsidR="005A537E" w:rsidRPr="00A47168">
        <w:t>: Two Examples</w:t>
      </w:r>
    </w:p>
    <w:p w14:paraId="0488FED2" w14:textId="304911D2" w:rsidR="00B57E6F" w:rsidRPr="00A47168" w:rsidRDefault="00592C28" w:rsidP="00B57E6F">
      <w:pPr>
        <w:pStyle w:val="CETAuthors"/>
        <w:rPr>
          <w:lang w:val="de-CH"/>
        </w:rPr>
      </w:pPr>
      <w:r w:rsidRPr="00A47168">
        <w:rPr>
          <w:lang w:val="de-CH"/>
        </w:rPr>
        <w:t>Marc Steinkrauss</w:t>
      </w:r>
      <w:r w:rsidR="00B57E6F" w:rsidRPr="00A47168">
        <w:rPr>
          <w:vertAlign w:val="superscript"/>
          <w:lang w:val="de-CH"/>
        </w:rPr>
        <w:t>a</w:t>
      </w:r>
      <w:r w:rsidR="00802946" w:rsidRPr="00A47168">
        <w:rPr>
          <w:vertAlign w:val="superscript"/>
          <w:lang w:val="de-CH"/>
        </w:rPr>
        <w:t>,</w:t>
      </w:r>
      <w:r w:rsidR="00802946" w:rsidRPr="00A47168">
        <w:rPr>
          <w:lang w:val="de-CH"/>
        </w:rPr>
        <w:t>*</w:t>
      </w:r>
      <w:r w:rsidR="00B57E6F" w:rsidRPr="00A47168">
        <w:rPr>
          <w:lang w:val="de-CH"/>
        </w:rPr>
        <w:t xml:space="preserve">, </w:t>
      </w:r>
      <w:r w:rsidRPr="00A47168">
        <w:rPr>
          <w:lang w:val="de-CH"/>
        </w:rPr>
        <w:t>Georg Suter</w:t>
      </w:r>
      <w:r w:rsidR="00B57E6F" w:rsidRPr="00A47168">
        <w:rPr>
          <w:vertAlign w:val="superscript"/>
          <w:lang w:val="de-CH"/>
        </w:rPr>
        <w:t>b,</w:t>
      </w:r>
      <w:r w:rsidR="00B57E6F" w:rsidRPr="00A47168">
        <w:rPr>
          <w:lang w:val="de-CH"/>
        </w:rPr>
        <w:t xml:space="preserve">*, </w:t>
      </w:r>
      <w:r w:rsidR="00710F6B" w:rsidRPr="00A47168">
        <w:rPr>
          <w:lang w:val="de-CH"/>
        </w:rPr>
        <w:t>Alexander</w:t>
      </w:r>
      <w:r w:rsidR="00BF63CA" w:rsidRPr="00A47168">
        <w:rPr>
          <w:lang w:val="de-CH"/>
        </w:rPr>
        <w:t xml:space="preserve"> </w:t>
      </w:r>
      <w:r w:rsidR="00710F6B" w:rsidRPr="00A47168">
        <w:rPr>
          <w:lang w:val="de-CH"/>
        </w:rPr>
        <w:t>Kranz</w:t>
      </w:r>
      <w:r w:rsidR="00BE1A67" w:rsidRPr="00A47168">
        <w:rPr>
          <w:vertAlign w:val="superscript"/>
          <w:lang w:val="de-CH"/>
        </w:rPr>
        <w:t>a</w:t>
      </w:r>
      <w:r w:rsidR="00BF63CA" w:rsidRPr="00A47168">
        <w:rPr>
          <w:lang w:val="de-CH"/>
        </w:rPr>
        <w:t>,</w:t>
      </w:r>
      <w:r w:rsidR="00710F6B" w:rsidRPr="00A47168">
        <w:rPr>
          <w:lang w:val="de-CH"/>
        </w:rPr>
        <w:t xml:space="preserve"> Andrea A</w:t>
      </w:r>
      <w:r w:rsidR="00C87CF2" w:rsidRPr="00A47168">
        <w:rPr>
          <w:lang w:val="de-CH"/>
        </w:rPr>
        <w:t>.</w:t>
      </w:r>
      <w:r w:rsidR="00710F6B" w:rsidRPr="00A47168">
        <w:rPr>
          <w:lang w:val="de-CH"/>
        </w:rPr>
        <w:t xml:space="preserve"> Bumann</w:t>
      </w:r>
      <w:r w:rsidR="00BE1A67" w:rsidRPr="00A47168">
        <w:rPr>
          <w:vertAlign w:val="superscript"/>
          <w:lang w:val="de-CH"/>
        </w:rPr>
        <w:t>a</w:t>
      </w:r>
    </w:p>
    <w:p w14:paraId="6B2D21B3" w14:textId="2852B242" w:rsidR="00B57E6F" w:rsidRPr="00A47168" w:rsidRDefault="00B57E6F" w:rsidP="00B57E6F">
      <w:pPr>
        <w:pStyle w:val="CETAddress"/>
        <w:rPr>
          <w:lang w:val="de-CH"/>
        </w:rPr>
      </w:pPr>
      <w:r w:rsidRPr="00A47168">
        <w:rPr>
          <w:vertAlign w:val="superscript"/>
          <w:lang w:val="de-CH"/>
        </w:rPr>
        <w:t>a</w:t>
      </w:r>
      <w:r w:rsidR="00BE1A67" w:rsidRPr="00A47168">
        <w:rPr>
          <w:rFonts w:cs="Arial"/>
          <w:szCs w:val="16"/>
          <w:lang w:val="de-CH"/>
        </w:rPr>
        <w:t>PELEVEN AG, Sandgrubenstrasse 44, CH-4058 Basel (Schweiz)</w:t>
      </w:r>
    </w:p>
    <w:p w14:paraId="3D72B0B0" w14:textId="5030E0AA" w:rsidR="00B57E6F" w:rsidRPr="00A47168" w:rsidRDefault="00B57E6F" w:rsidP="00B57E6F">
      <w:pPr>
        <w:pStyle w:val="CETAddress"/>
      </w:pPr>
      <w:r w:rsidRPr="00A47168">
        <w:rPr>
          <w:vertAlign w:val="superscript"/>
        </w:rPr>
        <w:t>b</w:t>
      </w:r>
      <w:r w:rsidR="00802946" w:rsidRPr="00A47168">
        <w:rPr>
          <w:rFonts w:cs="Arial"/>
          <w:szCs w:val="16"/>
        </w:rPr>
        <w:t>FireEx Consulting GmbH, Stieracker 20, CH-5070 Frick (Schweiz)</w:t>
      </w:r>
    </w:p>
    <w:p w14:paraId="73F1267A" w14:textId="18AA722C" w:rsidR="00B57E6F" w:rsidRPr="00B63965" w:rsidRDefault="00B57E6F" w:rsidP="00B57E6F">
      <w:pPr>
        <w:pStyle w:val="CETemail"/>
        <w:rPr>
          <w:lang w:val="en-US"/>
        </w:rPr>
      </w:pPr>
      <w:r w:rsidRPr="00A47168">
        <w:t xml:space="preserve"> </w:t>
      </w:r>
      <w:r w:rsidR="00A47168" w:rsidRPr="00A47168">
        <w:rPr>
          <w:rFonts w:cs="Arial"/>
          <w:szCs w:val="16"/>
        </w:rPr>
        <w:t>marc.steinkrauss@peleven.ch</w:t>
      </w:r>
    </w:p>
    <w:p w14:paraId="3A463D8B" w14:textId="37C4E092" w:rsidR="00201736" w:rsidRDefault="0082763D" w:rsidP="00201736">
      <w:pPr>
        <w:pStyle w:val="CETBodytext"/>
      </w:pPr>
      <w:r w:rsidRPr="0082763D">
        <w:rPr>
          <w:lang w:val="en-GB"/>
        </w:rPr>
        <w:t xml:space="preserve">Loss Prevention aims to mitigate process risks, yet the growing emphasis on sustainability in industrial operations requires a reassessment of traditional protection concepts. This paper examines how explosion protection measures, particularly nitrogen inerting and ventilation, can be optimized for both safety and sustainability. Nitrogen, commonly used to prevent explosive atmospheres, is </w:t>
      </w:r>
      <w:r w:rsidR="000D6A5B" w:rsidRPr="0082763D">
        <w:rPr>
          <w:lang w:val="en-GB"/>
        </w:rPr>
        <w:t>resource intensive</w:t>
      </w:r>
      <w:r w:rsidRPr="0082763D">
        <w:rPr>
          <w:lang w:val="en-GB"/>
        </w:rPr>
        <w:t xml:space="preserve">. By comparing different inerting methods and incorporating reliable technical monitoring, nitrogen consumption and CO2 emissions can be significantly reduced. Similarly, while ventilation is essential for safety, it is </w:t>
      </w:r>
      <w:r w:rsidR="000D6A5B" w:rsidRPr="0082763D">
        <w:rPr>
          <w:lang w:val="en-GB"/>
        </w:rPr>
        <w:t>energy intensive</w:t>
      </w:r>
      <w:r w:rsidRPr="0082763D">
        <w:rPr>
          <w:lang w:val="en-GB"/>
        </w:rPr>
        <w:t>. The paper discusses how optimizing ventilation systems can lower both energy and heating losses. Through these examples, the paper highlights how companies can enhance resource efficiency without compromising safety, contributing to sustainable operational practices.</w:t>
      </w:r>
    </w:p>
    <w:p w14:paraId="476B2F2E" w14:textId="52B36035" w:rsidR="00600535" w:rsidRPr="00B63965" w:rsidRDefault="00600535" w:rsidP="00600535">
      <w:pPr>
        <w:pStyle w:val="CETHeading1"/>
        <w:rPr>
          <w:lang w:val="en-GB"/>
        </w:rPr>
      </w:pPr>
      <w:r w:rsidRPr="00B63965">
        <w:rPr>
          <w:lang w:val="en-GB"/>
        </w:rPr>
        <w:t>Introduction</w:t>
      </w:r>
    </w:p>
    <w:p w14:paraId="0CBF1999" w14:textId="6FB28468" w:rsidR="00F57FB7" w:rsidRPr="00F57FB7" w:rsidRDefault="00F57FB7" w:rsidP="00F57FB7">
      <w:pPr>
        <w:pStyle w:val="CETBodytext"/>
        <w:rPr>
          <w:lang w:val="en-GB"/>
        </w:rPr>
      </w:pPr>
      <w:r w:rsidRPr="00F57FB7">
        <w:rPr>
          <w:lang w:val="en-GB"/>
        </w:rPr>
        <w:t>Over the decades, many recognized protection concepts have been developed, for example, in explosion protection. In addition, companies subject to the CSRD/CSDD directives are obligated to align themselves with sustainability. This includes resource-efficient production, reducing CO</w:t>
      </w:r>
      <w:r w:rsidRPr="0029155E">
        <w:rPr>
          <w:vertAlign w:val="subscript"/>
          <w:lang w:val="en-GB"/>
        </w:rPr>
        <w:t>2</w:t>
      </w:r>
      <w:r w:rsidRPr="00F57FB7">
        <w:rPr>
          <w:lang w:val="en-GB"/>
        </w:rPr>
        <w:t xml:space="preserve"> emissions, and minimizing pollutants released into the atmosphere.</w:t>
      </w:r>
      <w:r w:rsidR="00C30784">
        <w:rPr>
          <w:lang w:val="en-GB"/>
        </w:rPr>
        <w:t xml:space="preserve"> </w:t>
      </w:r>
      <w:r w:rsidRPr="00F57FB7">
        <w:rPr>
          <w:lang w:val="en-GB"/>
        </w:rPr>
        <w:t>The sustainability of industrial processes means that protection concepts should now be questioned for their sustainability. In some areas, has too much emphasis been placed on safety, thereby neglecting resource efficiency and sustainability?</w:t>
      </w:r>
    </w:p>
    <w:p w14:paraId="001E26D9" w14:textId="6C86E0FD" w:rsidR="00F57FB7" w:rsidRDefault="00F57FB7" w:rsidP="00F57FB7">
      <w:pPr>
        <w:pStyle w:val="CETBodytext"/>
        <w:rPr>
          <w:lang w:val="en-GB"/>
        </w:rPr>
      </w:pPr>
      <w:r w:rsidRPr="00F57FB7">
        <w:rPr>
          <w:lang w:val="en-GB"/>
        </w:rPr>
        <w:t>The authors aim to stimulate a discussion on whether safety must be compromised for sustainability by presenting two examples of explosion protection. Our fundamental understanding is that facilities in explosive areas must be operated safely, or the handling of explosive materials must be secure.</w:t>
      </w:r>
      <w:r w:rsidR="00C30784">
        <w:rPr>
          <w:lang w:val="en-GB"/>
        </w:rPr>
        <w:t xml:space="preserve"> </w:t>
      </w:r>
      <w:r w:rsidRPr="00F57FB7">
        <w:rPr>
          <w:lang w:val="en-GB"/>
        </w:rPr>
        <w:t>Are we too conservative in explosion protection, with the motto "more is better"? Are we using our knowledge and information sources correctly?</w:t>
      </w:r>
    </w:p>
    <w:p w14:paraId="214C63B8" w14:textId="787A2CBA" w:rsidR="00065914" w:rsidRPr="00B63965" w:rsidRDefault="00065914" w:rsidP="00065914">
      <w:pPr>
        <w:pStyle w:val="CETHeading1"/>
        <w:rPr>
          <w:lang w:val="en-GB"/>
        </w:rPr>
      </w:pPr>
      <w:r>
        <w:rPr>
          <w:lang w:val="en-GB"/>
        </w:rPr>
        <w:t>Industrial processes</w:t>
      </w:r>
    </w:p>
    <w:p w14:paraId="4BB0D71E" w14:textId="76D191C2" w:rsidR="001424F8" w:rsidRDefault="00F57FB7" w:rsidP="00600535">
      <w:pPr>
        <w:pStyle w:val="CETBodytext"/>
        <w:rPr>
          <w:lang w:val="en-GB"/>
        </w:rPr>
      </w:pPr>
      <w:r w:rsidRPr="00F57FB7">
        <w:rPr>
          <w:lang w:val="en-GB"/>
        </w:rPr>
        <w:t>Processes in the chemical, petrochemical, pharmaceutical, and life sciences industries often involve flammable solvents and powders.</w:t>
      </w:r>
    </w:p>
    <w:p w14:paraId="09FA8874" w14:textId="357F8B8F" w:rsidR="00540C0D" w:rsidRPr="00065914" w:rsidRDefault="00944B47" w:rsidP="000D6A5B">
      <w:pPr>
        <w:pStyle w:val="CETBodytext"/>
      </w:pPr>
      <w:r w:rsidRPr="00944B47">
        <w:rPr>
          <w:noProof/>
        </w:rPr>
        <w:drawing>
          <wp:inline distT="0" distB="0" distL="0" distR="0" wp14:anchorId="7919CAAE" wp14:editId="206A6012">
            <wp:extent cx="1612555" cy="1473200"/>
            <wp:effectExtent l="0" t="0" r="6985" b="0"/>
            <wp:docPr id="2043442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44277" name=""/>
                    <pic:cNvPicPr/>
                  </pic:nvPicPr>
                  <pic:blipFill>
                    <a:blip r:embed="rId10"/>
                    <a:stretch>
                      <a:fillRect/>
                    </a:stretch>
                  </pic:blipFill>
                  <pic:spPr>
                    <a:xfrm>
                      <a:off x="0" y="0"/>
                      <a:ext cx="1643752" cy="1501701"/>
                    </a:xfrm>
                    <a:prstGeom prst="rect">
                      <a:avLst/>
                    </a:prstGeom>
                  </pic:spPr>
                </pic:pic>
              </a:graphicData>
            </a:graphic>
          </wp:inline>
        </w:drawing>
      </w:r>
      <w:r w:rsidR="000D6A5B">
        <w:rPr>
          <w:lang w:val="en-GB"/>
        </w:rPr>
        <w:br/>
      </w:r>
      <w:r w:rsidR="00540C0D" w:rsidRPr="00065914">
        <w:rPr>
          <w:rStyle w:val="CETCaptionCarattere"/>
        </w:rPr>
        <w:t>Figure 1: Explosion Triangle</w:t>
      </w:r>
    </w:p>
    <w:p w14:paraId="585958FD" w14:textId="070FB816" w:rsidR="00160530" w:rsidRPr="00160530" w:rsidRDefault="00160530" w:rsidP="00160530">
      <w:pPr>
        <w:pStyle w:val="CETBodytext"/>
      </w:pPr>
      <w:r w:rsidRPr="00160530">
        <w:lastRenderedPageBreak/>
        <w:t xml:space="preserve">Despite the continuous development of manufacturing processes, it is only moderately successful in substituting explosive substances. Many ignition sources can be effectively eliminated, such as </w:t>
      </w:r>
      <w:r w:rsidR="000D6A5B" w:rsidRPr="00160530">
        <w:t>using</w:t>
      </w:r>
      <w:r w:rsidRPr="00160530">
        <w:t xml:space="preserve"> approved mechanical and electrical equipment or consistent grounding and potential equalization. However, operational ignition sources, especially brush discharges, can still occur.</w:t>
      </w:r>
      <w:r w:rsidR="00B63A31">
        <w:t xml:space="preserve"> </w:t>
      </w:r>
    </w:p>
    <w:p w14:paraId="76B7D931" w14:textId="72D471A2" w:rsidR="00160530" w:rsidRDefault="00160530" w:rsidP="00160530">
      <w:pPr>
        <w:pStyle w:val="CETBodytext"/>
      </w:pPr>
      <w:r w:rsidRPr="00160530">
        <w:t xml:space="preserve">If neither can be avoided, it may be necessary to reduce the oxygen content by working with inert gases. Another applicable alternative is to dilute a potentially explosive atmosphere with ventilation measures. Both measures consider the material properties of </w:t>
      </w:r>
      <w:r w:rsidR="000D6A5B" w:rsidRPr="00160530">
        <w:t>flammable</w:t>
      </w:r>
      <w:r w:rsidRPr="00160530">
        <w:t xml:space="preserve"> substances.</w:t>
      </w:r>
    </w:p>
    <w:p w14:paraId="7ACB681A" w14:textId="3A7065F5" w:rsidR="00D220A9" w:rsidRPr="00D220A9" w:rsidRDefault="00D220A9" w:rsidP="00D220A9">
      <w:pPr>
        <w:pStyle w:val="CETheadingx"/>
      </w:pPr>
      <w:r>
        <w:rPr>
          <w:lang w:val="en-GB"/>
        </w:rPr>
        <w:t>Nitrogen and Inerting</w:t>
      </w:r>
    </w:p>
    <w:p w14:paraId="1F2304B6" w14:textId="4C370297" w:rsidR="00DB6D6F" w:rsidRPr="00DB6D6F" w:rsidRDefault="00DB6D6F" w:rsidP="00DB6D6F">
      <w:pPr>
        <w:pStyle w:val="CETBodytext"/>
      </w:pPr>
      <w:r w:rsidRPr="00DB6D6F">
        <w:t>In explosion protection, nitrogen is extensively used for the inerting of processes. Nitrogen is produced using the globally widespread Linde process. No reliable global data exists on the amount of liquid nitrogen produced. The electricity consumption for producing 1 kg of liquid nitrogen typically ranges between 0.4 and 1.0 kWh, depending on the plant’s efficiency and the technologies used.</w:t>
      </w:r>
      <w:r w:rsidR="00857DEA">
        <w:t xml:space="preserve"> </w:t>
      </w:r>
    </w:p>
    <w:p w14:paraId="1D7885DF" w14:textId="77777777" w:rsidR="00DB6D6F" w:rsidRPr="00DB6D6F" w:rsidRDefault="00DB6D6F" w:rsidP="00DB6D6F">
      <w:pPr>
        <w:pStyle w:val="CETBodytext"/>
      </w:pPr>
      <w:r w:rsidRPr="00DB6D6F">
        <w:t>Three main methods are used for inerting apparatuses and systems in explosion protection:</w:t>
      </w:r>
    </w:p>
    <w:p w14:paraId="33B487FD" w14:textId="77777777" w:rsidR="00DB6D6F" w:rsidRPr="00CB0E65" w:rsidRDefault="00DB6D6F" w:rsidP="0016159B">
      <w:pPr>
        <w:pStyle w:val="CETBodytext"/>
        <w:numPr>
          <w:ilvl w:val="0"/>
          <w:numId w:val="29"/>
        </w:numPr>
        <w:rPr>
          <w:lang w:val="de-CH"/>
        </w:rPr>
      </w:pPr>
      <w:r w:rsidRPr="00CB0E65">
        <w:rPr>
          <w:lang w:val="de-CH"/>
        </w:rPr>
        <w:t>Vacuum inerting</w:t>
      </w:r>
    </w:p>
    <w:p w14:paraId="2FD1D5CB" w14:textId="77777777" w:rsidR="00DB6D6F" w:rsidRPr="00CB0E65" w:rsidRDefault="00DB6D6F" w:rsidP="0016159B">
      <w:pPr>
        <w:pStyle w:val="CETBodytext"/>
        <w:numPr>
          <w:ilvl w:val="0"/>
          <w:numId w:val="29"/>
        </w:numPr>
        <w:rPr>
          <w:lang w:val="de-CH"/>
        </w:rPr>
      </w:pPr>
      <w:r w:rsidRPr="00CB0E65">
        <w:rPr>
          <w:lang w:val="de-CH"/>
        </w:rPr>
        <w:t>Flow inerting</w:t>
      </w:r>
    </w:p>
    <w:p w14:paraId="2003A144" w14:textId="77777777" w:rsidR="00DB6D6F" w:rsidRPr="00CB0E65" w:rsidRDefault="00DB6D6F" w:rsidP="0016159B">
      <w:pPr>
        <w:pStyle w:val="CETBodytext"/>
        <w:numPr>
          <w:ilvl w:val="0"/>
          <w:numId w:val="29"/>
        </w:numPr>
        <w:rPr>
          <w:lang w:val="de-CH"/>
        </w:rPr>
      </w:pPr>
      <w:r w:rsidRPr="00CB0E65">
        <w:rPr>
          <w:lang w:val="de-CH"/>
        </w:rPr>
        <w:t>Pressure inerting</w:t>
      </w:r>
    </w:p>
    <w:p w14:paraId="464E8359" w14:textId="52A70AA5" w:rsidR="00DB6D6F" w:rsidRDefault="00DB6D6F" w:rsidP="00DB6D6F">
      <w:pPr>
        <w:pStyle w:val="CETBodytext"/>
      </w:pPr>
      <w:r w:rsidRPr="00DB6D6F">
        <w:t xml:space="preserve">Vacuum and flow inerting are the </w:t>
      </w:r>
      <w:r w:rsidR="001845A8" w:rsidRPr="00DB6D6F">
        <w:t>most used</w:t>
      </w:r>
      <w:r w:rsidRPr="00DB6D6F">
        <w:t xml:space="preserve"> methods. In the chemical and pharmaceutical industries, vacuum-tight reactors and equipment undergo vacuum cycles for inerting</w:t>
      </w:r>
      <w:r w:rsidR="00B178EC">
        <w:t>.</w:t>
      </w:r>
    </w:p>
    <w:p w14:paraId="6DAC632C" w14:textId="77777777" w:rsidR="003273F3" w:rsidRDefault="003273F3" w:rsidP="00DB6D6F">
      <w:pPr>
        <w:pStyle w:val="CETBodytext"/>
      </w:pPr>
    </w:p>
    <w:p w14:paraId="4A345E9D" w14:textId="4DA91463" w:rsidR="00957597" w:rsidRPr="00065914" w:rsidRDefault="00E0422A" w:rsidP="001845A8">
      <w:pPr>
        <w:pStyle w:val="CETBodytext"/>
      </w:pPr>
      <w:r>
        <w:rPr>
          <w:noProof/>
        </w:rPr>
        <w:drawing>
          <wp:inline distT="0" distB="0" distL="0" distR="0" wp14:anchorId="6A8005C9" wp14:editId="34A47865">
            <wp:extent cx="2514600" cy="1684398"/>
            <wp:effectExtent l="0" t="0" r="0" b="0"/>
            <wp:docPr id="99210347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103475" name=""/>
                    <pic:cNvPicPr/>
                  </pic:nvPicPr>
                  <pic:blipFill>
                    <a:blip r:embed="rId11"/>
                    <a:stretch>
                      <a:fillRect/>
                    </a:stretch>
                  </pic:blipFill>
                  <pic:spPr>
                    <a:xfrm>
                      <a:off x="0" y="0"/>
                      <a:ext cx="2529159" cy="1694150"/>
                    </a:xfrm>
                    <a:prstGeom prst="rect">
                      <a:avLst/>
                    </a:prstGeom>
                  </pic:spPr>
                </pic:pic>
              </a:graphicData>
            </a:graphic>
          </wp:inline>
        </w:drawing>
      </w:r>
      <w:r w:rsidR="001845A8">
        <w:br/>
      </w:r>
      <w:r w:rsidR="00957597" w:rsidRPr="00065914">
        <w:rPr>
          <w:rStyle w:val="CETCaptionCarattere"/>
        </w:rPr>
        <w:t xml:space="preserve">Figure </w:t>
      </w:r>
      <w:r w:rsidR="00957597">
        <w:rPr>
          <w:rStyle w:val="CETCaptionCarattere"/>
        </w:rPr>
        <w:t>2</w:t>
      </w:r>
      <w:r w:rsidR="00957597" w:rsidRPr="00065914">
        <w:rPr>
          <w:rStyle w:val="CETCaptionCarattere"/>
        </w:rPr>
        <w:t xml:space="preserve">: </w:t>
      </w:r>
      <w:r w:rsidR="00957597">
        <w:rPr>
          <w:rStyle w:val="CETCaptionCarattere"/>
        </w:rPr>
        <w:t>Vacuum inerting</w:t>
      </w:r>
    </w:p>
    <w:p w14:paraId="4DDAA6A5" w14:textId="2409868D" w:rsidR="00761A4C" w:rsidRPr="00B178EC" w:rsidRDefault="00761A4C" w:rsidP="00761A4C">
      <w:pPr>
        <w:pStyle w:val="CETTabletitle"/>
      </w:pPr>
      <w:r w:rsidRPr="00B178EC">
        <w:t xml:space="preserve">Table 1: </w:t>
      </w:r>
      <w:r w:rsidR="00D14E38" w:rsidRPr="00B178EC">
        <w:t>The residual oxygen content as a function of pressure changes and target pressure</w:t>
      </w:r>
      <w:r w:rsidR="00857DEA">
        <w:t xml:space="preserve"> </w:t>
      </w:r>
      <w:r w:rsidR="009C055F">
        <w:t>[5]</w:t>
      </w:r>
    </w:p>
    <w:tbl>
      <w:tblPr>
        <w:tblW w:w="7938"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1985"/>
        <w:gridCol w:w="2126"/>
        <w:gridCol w:w="1984"/>
      </w:tblGrid>
      <w:tr w:rsidR="00B63A31" w:rsidRPr="00B178EC" w14:paraId="3E616277" w14:textId="77777777" w:rsidTr="00B63A31">
        <w:tc>
          <w:tcPr>
            <w:tcW w:w="1843" w:type="dxa"/>
            <w:tcBorders>
              <w:top w:val="single" w:sz="12" w:space="0" w:color="008000"/>
              <w:bottom w:val="single" w:sz="6" w:space="0" w:color="008000"/>
            </w:tcBorders>
            <w:shd w:val="clear" w:color="auto" w:fill="FFFFFF"/>
          </w:tcPr>
          <w:p w14:paraId="5837D8A3" w14:textId="59A31A4B" w:rsidR="00B63A31" w:rsidRPr="00B178EC" w:rsidRDefault="00B63A31" w:rsidP="00715F97">
            <w:pPr>
              <w:pStyle w:val="CETBodytext"/>
              <w:jc w:val="left"/>
              <w:rPr>
                <w:lang w:val="en-GB"/>
              </w:rPr>
            </w:pPr>
            <w:r>
              <w:rPr>
                <w:lang w:val="en-GB"/>
              </w:rPr>
              <w:t>Number of</w:t>
            </w:r>
            <w:r>
              <w:rPr>
                <w:lang w:val="en-GB"/>
              </w:rPr>
              <w:br/>
              <w:t>pressure changes</w:t>
            </w:r>
          </w:p>
        </w:tc>
        <w:tc>
          <w:tcPr>
            <w:tcW w:w="1985" w:type="dxa"/>
            <w:tcBorders>
              <w:top w:val="single" w:sz="12" w:space="0" w:color="008000"/>
              <w:bottom w:val="single" w:sz="6" w:space="0" w:color="008000"/>
            </w:tcBorders>
            <w:shd w:val="clear" w:color="auto" w:fill="FFFFFF"/>
          </w:tcPr>
          <w:p w14:paraId="717ED71A" w14:textId="6B1B3015" w:rsidR="00B63A31" w:rsidRPr="00B178EC" w:rsidRDefault="00B63A31" w:rsidP="00715F97">
            <w:pPr>
              <w:pStyle w:val="CETBodytext"/>
              <w:jc w:val="left"/>
              <w:rPr>
                <w:lang w:val="en-GB"/>
              </w:rPr>
            </w:pPr>
            <w:r>
              <w:rPr>
                <w:lang w:val="en-GB"/>
              </w:rPr>
              <w:t xml:space="preserve">1013 hPa to 800 hPa </w:t>
            </w:r>
            <w:r>
              <w:rPr>
                <w:lang w:val="en-GB"/>
              </w:rPr>
              <w:br/>
              <w:t>[O</w:t>
            </w:r>
            <w:r w:rsidRPr="00B63A31">
              <w:rPr>
                <w:vertAlign w:val="subscript"/>
                <w:lang w:val="en-GB"/>
              </w:rPr>
              <w:t>2</w:t>
            </w:r>
            <w:r>
              <w:rPr>
                <w:lang w:val="en-GB"/>
              </w:rPr>
              <w:t xml:space="preserve"> Vol-%]</w:t>
            </w:r>
          </w:p>
        </w:tc>
        <w:tc>
          <w:tcPr>
            <w:tcW w:w="2126" w:type="dxa"/>
            <w:tcBorders>
              <w:top w:val="single" w:sz="12" w:space="0" w:color="008000"/>
              <w:bottom w:val="single" w:sz="6" w:space="0" w:color="008000"/>
            </w:tcBorders>
            <w:shd w:val="clear" w:color="auto" w:fill="FFFFFF"/>
          </w:tcPr>
          <w:p w14:paraId="2A0F043F" w14:textId="5548CE5B" w:rsidR="00B63A31" w:rsidRPr="00B178EC" w:rsidRDefault="00B63A31" w:rsidP="00B63A31">
            <w:pPr>
              <w:pStyle w:val="CETBodytext"/>
              <w:jc w:val="left"/>
              <w:rPr>
                <w:lang w:val="en-GB"/>
              </w:rPr>
            </w:pPr>
            <w:r>
              <w:rPr>
                <w:lang w:val="en-GB"/>
              </w:rPr>
              <w:t xml:space="preserve">1013 hPa to 500 hPa </w:t>
            </w:r>
            <w:r>
              <w:rPr>
                <w:lang w:val="en-GB"/>
              </w:rPr>
              <w:br/>
              <w:t>[O</w:t>
            </w:r>
            <w:r w:rsidRPr="00B63A31">
              <w:rPr>
                <w:vertAlign w:val="subscript"/>
                <w:lang w:val="en-GB"/>
              </w:rPr>
              <w:t>2</w:t>
            </w:r>
            <w:r>
              <w:rPr>
                <w:lang w:val="en-GB"/>
              </w:rPr>
              <w:t xml:space="preserve"> Vol-%]</w:t>
            </w:r>
          </w:p>
        </w:tc>
        <w:tc>
          <w:tcPr>
            <w:tcW w:w="1984" w:type="dxa"/>
            <w:tcBorders>
              <w:top w:val="single" w:sz="12" w:space="0" w:color="008000"/>
              <w:bottom w:val="single" w:sz="6" w:space="0" w:color="008000"/>
            </w:tcBorders>
            <w:shd w:val="clear" w:color="auto" w:fill="FFFFFF"/>
          </w:tcPr>
          <w:p w14:paraId="1D22ABD9" w14:textId="6B23C0A5" w:rsidR="00B63A31" w:rsidRPr="00B178EC" w:rsidRDefault="00B63A31" w:rsidP="00B63A31">
            <w:pPr>
              <w:pStyle w:val="CETBodytext"/>
              <w:ind w:right="-1"/>
              <w:jc w:val="left"/>
              <w:rPr>
                <w:rFonts w:cs="Arial"/>
                <w:szCs w:val="18"/>
                <w:lang w:val="en-GB"/>
              </w:rPr>
            </w:pPr>
            <w:r>
              <w:rPr>
                <w:lang w:val="en-GB"/>
              </w:rPr>
              <w:t xml:space="preserve">1013 hPa to 100 hPa </w:t>
            </w:r>
            <w:r>
              <w:rPr>
                <w:lang w:val="en-GB"/>
              </w:rPr>
              <w:br/>
              <w:t>[O</w:t>
            </w:r>
            <w:r w:rsidRPr="00B63A31">
              <w:rPr>
                <w:vertAlign w:val="subscript"/>
                <w:lang w:val="en-GB"/>
              </w:rPr>
              <w:t>2</w:t>
            </w:r>
            <w:r>
              <w:rPr>
                <w:lang w:val="en-GB"/>
              </w:rPr>
              <w:t xml:space="preserve"> Vol-%]</w:t>
            </w:r>
          </w:p>
        </w:tc>
      </w:tr>
      <w:tr w:rsidR="00B63A31" w:rsidRPr="00B178EC" w14:paraId="6E7BEAA4" w14:textId="77777777" w:rsidTr="00B63A31">
        <w:tc>
          <w:tcPr>
            <w:tcW w:w="1843" w:type="dxa"/>
            <w:shd w:val="clear" w:color="auto" w:fill="FFFFFF"/>
          </w:tcPr>
          <w:p w14:paraId="390B5223" w14:textId="04853F27" w:rsidR="00B63A31" w:rsidRPr="00B178EC" w:rsidRDefault="00B63A31" w:rsidP="00452870">
            <w:pPr>
              <w:pStyle w:val="CETBodytext"/>
              <w:rPr>
                <w:lang w:val="en-GB"/>
              </w:rPr>
            </w:pPr>
            <w:r>
              <w:rPr>
                <w:lang w:val="en-GB"/>
              </w:rPr>
              <w:t>1</w:t>
            </w:r>
          </w:p>
        </w:tc>
        <w:tc>
          <w:tcPr>
            <w:tcW w:w="1985" w:type="dxa"/>
            <w:shd w:val="clear" w:color="auto" w:fill="FFFFFF"/>
          </w:tcPr>
          <w:p w14:paraId="025AD991" w14:textId="093861BB" w:rsidR="00B63A31" w:rsidRPr="00B178EC" w:rsidRDefault="00B63A31" w:rsidP="00452870">
            <w:pPr>
              <w:pStyle w:val="CETBodytext"/>
              <w:rPr>
                <w:lang w:val="en-GB"/>
              </w:rPr>
            </w:pPr>
            <w:r>
              <w:rPr>
                <w:lang w:val="en-GB"/>
              </w:rPr>
              <w:t>16,6</w:t>
            </w:r>
          </w:p>
        </w:tc>
        <w:tc>
          <w:tcPr>
            <w:tcW w:w="2126" w:type="dxa"/>
            <w:shd w:val="clear" w:color="auto" w:fill="FFFFFF"/>
          </w:tcPr>
          <w:p w14:paraId="725942C6" w14:textId="5EACFF3B" w:rsidR="00B63A31" w:rsidRPr="00B178EC" w:rsidRDefault="00B63A31" w:rsidP="00452870">
            <w:pPr>
              <w:pStyle w:val="CETBodytext"/>
              <w:rPr>
                <w:lang w:val="en-GB"/>
              </w:rPr>
            </w:pPr>
            <w:r>
              <w:rPr>
                <w:lang w:val="en-GB"/>
              </w:rPr>
              <w:t>10,6</w:t>
            </w:r>
          </w:p>
        </w:tc>
        <w:tc>
          <w:tcPr>
            <w:tcW w:w="1984" w:type="dxa"/>
            <w:shd w:val="clear" w:color="auto" w:fill="FFFFFF"/>
          </w:tcPr>
          <w:p w14:paraId="6563A17D" w14:textId="04D79F33" w:rsidR="00B63A31" w:rsidRPr="00B178EC" w:rsidRDefault="00B63A31" w:rsidP="00452870">
            <w:pPr>
              <w:pStyle w:val="CETBodytext"/>
              <w:ind w:right="-1"/>
              <w:rPr>
                <w:rFonts w:cs="Arial"/>
                <w:szCs w:val="18"/>
                <w:lang w:val="en-GB"/>
              </w:rPr>
            </w:pPr>
            <w:r>
              <w:rPr>
                <w:rFonts w:cs="Arial"/>
                <w:szCs w:val="18"/>
                <w:lang w:val="en-GB"/>
              </w:rPr>
              <w:t>2,5</w:t>
            </w:r>
          </w:p>
        </w:tc>
      </w:tr>
      <w:tr w:rsidR="00B63A31" w:rsidRPr="00B178EC" w14:paraId="5B09768A" w14:textId="77777777" w:rsidTr="00B63A31">
        <w:tc>
          <w:tcPr>
            <w:tcW w:w="1843" w:type="dxa"/>
            <w:shd w:val="clear" w:color="auto" w:fill="FFFFFF"/>
          </w:tcPr>
          <w:p w14:paraId="61B60812" w14:textId="06D46C96" w:rsidR="00B63A31" w:rsidRPr="00B178EC" w:rsidRDefault="00B63A31" w:rsidP="00452870">
            <w:pPr>
              <w:pStyle w:val="CETBodytext"/>
              <w:rPr>
                <w:lang w:val="en-GB"/>
              </w:rPr>
            </w:pPr>
            <w:r>
              <w:rPr>
                <w:lang w:val="en-GB"/>
              </w:rPr>
              <w:t>2</w:t>
            </w:r>
          </w:p>
        </w:tc>
        <w:tc>
          <w:tcPr>
            <w:tcW w:w="1985" w:type="dxa"/>
            <w:shd w:val="clear" w:color="auto" w:fill="FFFFFF"/>
          </w:tcPr>
          <w:p w14:paraId="1F608B75" w14:textId="7163E70F" w:rsidR="00B63A31" w:rsidRPr="00B178EC" w:rsidRDefault="00B63A31" w:rsidP="00452870">
            <w:pPr>
              <w:pStyle w:val="CETBodytext"/>
              <w:rPr>
                <w:lang w:val="en-GB"/>
              </w:rPr>
            </w:pPr>
            <w:r>
              <w:rPr>
                <w:lang w:val="en-GB"/>
              </w:rPr>
              <w:t>13,2</w:t>
            </w:r>
          </w:p>
        </w:tc>
        <w:tc>
          <w:tcPr>
            <w:tcW w:w="2126" w:type="dxa"/>
            <w:shd w:val="clear" w:color="auto" w:fill="FFFFFF"/>
          </w:tcPr>
          <w:p w14:paraId="55D2D714" w14:textId="46D8FE3B" w:rsidR="00B63A31" w:rsidRPr="00B178EC" w:rsidRDefault="00B63A31" w:rsidP="00452870">
            <w:pPr>
              <w:pStyle w:val="CETBodytext"/>
              <w:rPr>
                <w:lang w:val="en-GB"/>
              </w:rPr>
            </w:pPr>
            <w:r>
              <w:rPr>
                <w:lang w:val="en-GB"/>
              </w:rPr>
              <w:t>5,5</w:t>
            </w:r>
          </w:p>
        </w:tc>
        <w:tc>
          <w:tcPr>
            <w:tcW w:w="1984" w:type="dxa"/>
            <w:shd w:val="clear" w:color="auto" w:fill="FFFFFF"/>
          </w:tcPr>
          <w:p w14:paraId="1491F05C" w14:textId="359A84A1" w:rsidR="00B63A31" w:rsidRPr="00B178EC" w:rsidRDefault="00B63A31" w:rsidP="00452870">
            <w:pPr>
              <w:pStyle w:val="CETBodytext"/>
              <w:ind w:right="-1"/>
              <w:rPr>
                <w:rFonts w:cs="Arial"/>
                <w:szCs w:val="18"/>
                <w:lang w:val="en-GB"/>
              </w:rPr>
            </w:pPr>
            <w:r>
              <w:rPr>
                <w:rFonts w:cs="Arial"/>
                <w:szCs w:val="18"/>
                <w:lang w:val="en-GB"/>
              </w:rPr>
              <w:t>0,7</w:t>
            </w:r>
          </w:p>
        </w:tc>
      </w:tr>
      <w:tr w:rsidR="00B63A31" w:rsidRPr="00B178EC" w14:paraId="3222ED6B" w14:textId="77777777" w:rsidTr="00B63A31">
        <w:tc>
          <w:tcPr>
            <w:tcW w:w="1843" w:type="dxa"/>
            <w:shd w:val="clear" w:color="auto" w:fill="FFFFFF"/>
          </w:tcPr>
          <w:p w14:paraId="783C5116" w14:textId="1E56752C" w:rsidR="00B63A31" w:rsidRPr="00B178EC" w:rsidRDefault="00B63A31" w:rsidP="00452870">
            <w:pPr>
              <w:pStyle w:val="CETBodytext"/>
              <w:rPr>
                <w:lang w:val="en-GB"/>
              </w:rPr>
            </w:pPr>
            <w:r>
              <w:rPr>
                <w:lang w:val="en-GB"/>
              </w:rPr>
              <w:t>3</w:t>
            </w:r>
          </w:p>
        </w:tc>
        <w:tc>
          <w:tcPr>
            <w:tcW w:w="1985" w:type="dxa"/>
            <w:shd w:val="clear" w:color="auto" w:fill="FFFFFF"/>
          </w:tcPr>
          <w:p w14:paraId="3CFFB4A0" w14:textId="473660A5" w:rsidR="00B63A31" w:rsidRPr="00B178EC" w:rsidRDefault="00B63A31" w:rsidP="00452870">
            <w:pPr>
              <w:pStyle w:val="CETBodytext"/>
              <w:rPr>
                <w:lang w:val="en-GB"/>
              </w:rPr>
            </w:pPr>
            <w:r>
              <w:rPr>
                <w:lang w:val="en-GB"/>
              </w:rPr>
              <w:t>10,6</w:t>
            </w:r>
          </w:p>
        </w:tc>
        <w:tc>
          <w:tcPr>
            <w:tcW w:w="2126" w:type="dxa"/>
            <w:shd w:val="clear" w:color="auto" w:fill="FFFFFF"/>
          </w:tcPr>
          <w:p w14:paraId="38C12CE0" w14:textId="50264987" w:rsidR="00B63A31" w:rsidRPr="00B178EC" w:rsidRDefault="00B63A31" w:rsidP="00452870">
            <w:pPr>
              <w:pStyle w:val="CETBodytext"/>
              <w:rPr>
                <w:lang w:val="en-GB"/>
              </w:rPr>
            </w:pPr>
            <w:r>
              <w:rPr>
                <w:lang w:val="en-GB"/>
              </w:rPr>
              <w:t>3,0</w:t>
            </w:r>
          </w:p>
        </w:tc>
        <w:tc>
          <w:tcPr>
            <w:tcW w:w="1984" w:type="dxa"/>
            <w:shd w:val="clear" w:color="auto" w:fill="FFFFFF"/>
          </w:tcPr>
          <w:p w14:paraId="65E3638A" w14:textId="391EB6A1" w:rsidR="00B63A31" w:rsidRPr="00B178EC" w:rsidRDefault="00B63A31" w:rsidP="00452870">
            <w:pPr>
              <w:pStyle w:val="CETBodytext"/>
              <w:ind w:right="-1"/>
              <w:rPr>
                <w:rFonts w:cs="Arial"/>
                <w:szCs w:val="18"/>
                <w:lang w:val="en-GB"/>
              </w:rPr>
            </w:pPr>
            <w:r>
              <w:rPr>
                <w:rFonts w:cs="Arial"/>
                <w:szCs w:val="18"/>
                <w:lang w:val="en-GB"/>
              </w:rPr>
              <w:t>0,5</w:t>
            </w:r>
          </w:p>
        </w:tc>
      </w:tr>
      <w:tr w:rsidR="00B63A31" w:rsidRPr="00B178EC" w14:paraId="1B65152C" w14:textId="77777777" w:rsidTr="00B63A31">
        <w:tc>
          <w:tcPr>
            <w:tcW w:w="1843" w:type="dxa"/>
            <w:shd w:val="clear" w:color="auto" w:fill="FFFFFF"/>
          </w:tcPr>
          <w:p w14:paraId="4373FABC" w14:textId="75D9DD6E" w:rsidR="00B63A31" w:rsidRPr="00B178EC" w:rsidRDefault="00B63A31" w:rsidP="00452870">
            <w:pPr>
              <w:pStyle w:val="CETBodytext"/>
              <w:rPr>
                <w:lang w:val="en-GB"/>
              </w:rPr>
            </w:pPr>
            <w:r>
              <w:rPr>
                <w:lang w:val="en-GB"/>
              </w:rPr>
              <w:t>4</w:t>
            </w:r>
          </w:p>
        </w:tc>
        <w:tc>
          <w:tcPr>
            <w:tcW w:w="1985" w:type="dxa"/>
            <w:shd w:val="clear" w:color="auto" w:fill="FFFFFF"/>
          </w:tcPr>
          <w:p w14:paraId="5366D5AA" w14:textId="75B60F2B" w:rsidR="00B63A31" w:rsidRPr="00B178EC" w:rsidRDefault="00B63A31" w:rsidP="00452870">
            <w:pPr>
              <w:pStyle w:val="CETBodytext"/>
              <w:rPr>
                <w:lang w:val="en-GB"/>
              </w:rPr>
            </w:pPr>
            <w:r>
              <w:rPr>
                <w:lang w:val="en-GB"/>
              </w:rPr>
              <w:t>8,4</w:t>
            </w:r>
          </w:p>
        </w:tc>
        <w:tc>
          <w:tcPr>
            <w:tcW w:w="2126" w:type="dxa"/>
            <w:shd w:val="clear" w:color="auto" w:fill="FFFFFF"/>
          </w:tcPr>
          <w:p w14:paraId="2B1FACA8" w14:textId="6D245801" w:rsidR="00B63A31" w:rsidRPr="00B178EC" w:rsidRDefault="00B63A31" w:rsidP="00452870">
            <w:pPr>
              <w:pStyle w:val="CETBodytext"/>
              <w:rPr>
                <w:lang w:val="en-GB"/>
              </w:rPr>
            </w:pPr>
            <w:r>
              <w:rPr>
                <w:lang w:val="en-GB"/>
              </w:rPr>
              <w:t>1,7</w:t>
            </w:r>
          </w:p>
        </w:tc>
        <w:tc>
          <w:tcPr>
            <w:tcW w:w="1984" w:type="dxa"/>
            <w:shd w:val="clear" w:color="auto" w:fill="FFFFFF"/>
          </w:tcPr>
          <w:p w14:paraId="792F70F6" w14:textId="30D1E2C1" w:rsidR="00B63A31" w:rsidRPr="00B178EC" w:rsidRDefault="00B63A31" w:rsidP="00452870">
            <w:pPr>
              <w:pStyle w:val="CETBodytext"/>
              <w:ind w:right="-1"/>
              <w:rPr>
                <w:rFonts w:cs="Arial"/>
                <w:szCs w:val="18"/>
                <w:lang w:val="en-GB"/>
              </w:rPr>
            </w:pPr>
            <w:r>
              <w:rPr>
                <w:rFonts w:cs="Arial"/>
                <w:szCs w:val="18"/>
                <w:lang w:val="en-GB"/>
              </w:rPr>
              <w:t>0,5</w:t>
            </w:r>
          </w:p>
        </w:tc>
      </w:tr>
      <w:tr w:rsidR="00B63A31" w:rsidRPr="00B178EC" w14:paraId="49A27F1A" w14:textId="77777777" w:rsidTr="00B63A31">
        <w:tc>
          <w:tcPr>
            <w:tcW w:w="1843" w:type="dxa"/>
            <w:shd w:val="clear" w:color="auto" w:fill="FFFFFF"/>
          </w:tcPr>
          <w:p w14:paraId="22E59A21" w14:textId="4210AF3F" w:rsidR="00B63A31" w:rsidRPr="00B178EC" w:rsidRDefault="00B63A31" w:rsidP="00452870">
            <w:pPr>
              <w:pStyle w:val="CETBodytext"/>
              <w:ind w:right="-1"/>
              <w:rPr>
                <w:rFonts w:cs="Arial"/>
                <w:szCs w:val="18"/>
                <w:lang w:val="en-GB"/>
              </w:rPr>
            </w:pPr>
            <w:r>
              <w:rPr>
                <w:rFonts w:cs="Arial"/>
                <w:szCs w:val="18"/>
                <w:lang w:val="en-GB"/>
              </w:rPr>
              <w:t>5</w:t>
            </w:r>
          </w:p>
        </w:tc>
        <w:tc>
          <w:tcPr>
            <w:tcW w:w="1985" w:type="dxa"/>
            <w:shd w:val="clear" w:color="auto" w:fill="FFFFFF"/>
          </w:tcPr>
          <w:p w14:paraId="5D56A3E7" w14:textId="6C6C5685" w:rsidR="00B63A31" w:rsidRPr="00B178EC" w:rsidRDefault="00B63A31" w:rsidP="00452870">
            <w:pPr>
              <w:pStyle w:val="CETBodytext"/>
              <w:ind w:right="-1"/>
              <w:rPr>
                <w:rFonts w:cs="Arial"/>
                <w:szCs w:val="18"/>
                <w:lang w:val="en-GB"/>
              </w:rPr>
            </w:pPr>
            <w:r>
              <w:rPr>
                <w:rFonts w:cs="Arial"/>
                <w:szCs w:val="18"/>
                <w:lang w:val="en-GB"/>
              </w:rPr>
              <w:t>6,8</w:t>
            </w:r>
          </w:p>
        </w:tc>
        <w:tc>
          <w:tcPr>
            <w:tcW w:w="2126" w:type="dxa"/>
            <w:shd w:val="clear" w:color="auto" w:fill="FFFFFF"/>
          </w:tcPr>
          <w:p w14:paraId="5FDAAC6F" w14:textId="7E0C496C" w:rsidR="00B63A31" w:rsidRPr="00B178EC" w:rsidRDefault="00B63A31" w:rsidP="00452870">
            <w:pPr>
              <w:pStyle w:val="CETBodytext"/>
              <w:ind w:right="-1"/>
              <w:rPr>
                <w:rFonts w:cs="Arial"/>
                <w:szCs w:val="18"/>
                <w:lang w:val="en-GB"/>
              </w:rPr>
            </w:pPr>
            <w:r>
              <w:rPr>
                <w:rFonts w:cs="Arial"/>
                <w:szCs w:val="18"/>
                <w:lang w:val="en-GB"/>
              </w:rPr>
              <w:t>1,1</w:t>
            </w:r>
          </w:p>
        </w:tc>
        <w:tc>
          <w:tcPr>
            <w:tcW w:w="1984" w:type="dxa"/>
            <w:shd w:val="clear" w:color="auto" w:fill="FFFFFF"/>
          </w:tcPr>
          <w:p w14:paraId="6315FE28" w14:textId="20C0DA2B" w:rsidR="00B63A31" w:rsidRPr="00B178EC" w:rsidRDefault="00B63A31" w:rsidP="00452870">
            <w:pPr>
              <w:pStyle w:val="CETBodytext"/>
              <w:ind w:right="-1"/>
              <w:rPr>
                <w:rFonts w:cs="Arial"/>
                <w:szCs w:val="18"/>
                <w:lang w:val="en-GB"/>
              </w:rPr>
            </w:pPr>
            <w:r>
              <w:rPr>
                <w:rFonts w:cs="Arial"/>
                <w:szCs w:val="18"/>
                <w:lang w:val="en-GB"/>
              </w:rPr>
              <w:t>0,5</w:t>
            </w:r>
          </w:p>
        </w:tc>
      </w:tr>
    </w:tbl>
    <w:p w14:paraId="15653FBE" w14:textId="77777777" w:rsidR="003273F3" w:rsidRDefault="003273F3" w:rsidP="00DB6D6F">
      <w:pPr>
        <w:pStyle w:val="CETBodytext"/>
      </w:pPr>
    </w:p>
    <w:p w14:paraId="4D11B869" w14:textId="247E8EC6" w:rsidR="00DB6D6F" w:rsidRDefault="00B178EC" w:rsidP="00DB6D6F">
      <w:pPr>
        <w:pStyle w:val="CETBodytext"/>
      </w:pPr>
      <w:r w:rsidRPr="00016327">
        <w:t xml:space="preserve">In the chemical and pharmaceutical industry, it is common practice to carry out inerting up to 100 mbar(a) in </w:t>
      </w:r>
      <w:r w:rsidR="00C30784">
        <w:t>3</w:t>
      </w:r>
      <w:r w:rsidRPr="00016327">
        <w:t xml:space="preserve"> cycles. The residual oxygen content is then reduced to 0.5%</w:t>
      </w:r>
      <w:r>
        <w:t>.</w:t>
      </w:r>
      <w:r w:rsidR="00C30784">
        <w:t xml:space="preserve"> </w:t>
      </w:r>
      <w:r w:rsidR="00DE6803">
        <w:t>I</w:t>
      </w:r>
      <w:r w:rsidR="00DB6D6F" w:rsidRPr="00DB6D6F">
        <w:t>n cases where non-pressure and non-vacuum-resistant apparatus, like centrifuges and mobile containers (e.g., IBCs), are used, flow inerting is applied.</w:t>
      </w:r>
    </w:p>
    <w:p w14:paraId="6AF12739" w14:textId="7EA510A8" w:rsidR="009B473E" w:rsidRPr="00065914" w:rsidRDefault="00E0422A" w:rsidP="001845A8">
      <w:pPr>
        <w:pStyle w:val="CETBodytext"/>
      </w:pPr>
      <w:r>
        <w:rPr>
          <w:noProof/>
        </w:rPr>
        <w:drawing>
          <wp:inline distT="0" distB="0" distL="0" distR="0" wp14:anchorId="1D7D015B" wp14:editId="77CB6F51">
            <wp:extent cx="2332051" cy="1638300"/>
            <wp:effectExtent l="0" t="0" r="0" b="0"/>
            <wp:docPr id="577817977" name="Grafik 1" descr="Ein Bild, das Diagramm, Entwurf, Text, technische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17977" name="Grafik 1" descr="Ein Bild, das Diagramm, Entwurf, Text, technische Zeichnung enthält.&#10;&#10;Automatisch generierte Beschreibung"/>
                    <pic:cNvPicPr/>
                  </pic:nvPicPr>
                  <pic:blipFill>
                    <a:blip r:embed="rId12"/>
                    <a:stretch>
                      <a:fillRect/>
                    </a:stretch>
                  </pic:blipFill>
                  <pic:spPr>
                    <a:xfrm>
                      <a:off x="0" y="0"/>
                      <a:ext cx="2358871" cy="1657141"/>
                    </a:xfrm>
                    <a:prstGeom prst="rect">
                      <a:avLst/>
                    </a:prstGeom>
                  </pic:spPr>
                </pic:pic>
              </a:graphicData>
            </a:graphic>
          </wp:inline>
        </w:drawing>
      </w:r>
      <w:r w:rsidR="001845A8">
        <w:br/>
      </w:r>
      <w:r w:rsidR="009B473E" w:rsidRPr="00065914">
        <w:rPr>
          <w:rStyle w:val="CETCaptionCarattere"/>
        </w:rPr>
        <w:t xml:space="preserve">Figure </w:t>
      </w:r>
      <w:r w:rsidR="009B473E">
        <w:rPr>
          <w:rStyle w:val="CETCaptionCarattere"/>
          <w:i w:val="0"/>
        </w:rPr>
        <w:t>3</w:t>
      </w:r>
      <w:r w:rsidR="009B473E" w:rsidRPr="00065914">
        <w:rPr>
          <w:rStyle w:val="CETCaptionCarattere"/>
        </w:rPr>
        <w:t xml:space="preserve">: </w:t>
      </w:r>
      <w:r w:rsidR="00363790">
        <w:rPr>
          <w:rStyle w:val="CETCaptionCarattere"/>
          <w:i w:val="0"/>
        </w:rPr>
        <w:t>Flow</w:t>
      </w:r>
      <w:r w:rsidR="009B473E">
        <w:rPr>
          <w:rStyle w:val="CETCaptionCarattere"/>
        </w:rPr>
        <w:t xml:space="preserve"> inerting</w:t>
      </w:r>
    </w:p>
    <w:p w14:paraId="57B96C77" w14:textId="7AF3F0A8" w:rsidR="006124CC" w:rsidRPr="00FF34F3" w:rsidRDefault="00A912D4" w:rsidP="00FF34F3">
      <w:pPr>
        <w:pStyle w:val="CETBodytext"/>
        <w:rPr>
          <w:rStyle w:val="CETCaptionCarattere"/>
        </w:rPr>
      </w:pPr>
      <w:r>
        <w:rPr>
          <w:rStyle w:val="CETCaptionCarattere"/>
          <w:noProof/>
        </w:rPr>
        <w:lastRenderedPageBreak/>
        <w:drawing>
          <wp:inline distT="0" distB="0" distL="0" distR="0" wp14:anchorId="70989EB4" wp14:editId="184091F3">
            <wp:extent cx="3258952" cy="1936750"/>
            <wp:effectExtent l="0" t="0" r="0" b="6350"/>
            <wp:docPr id="29232886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90418" cy="1955450"/>
                    </a:xfrm>
                    <a:prstGeom prst="rect">
                      <a:avLst/>
                    </a:prstGeom>
                    <a:noFill/>
                  </pic:spPr>
                </pic:pic>
              </a:graphicData>
            </a:graphic>
          </wp:inline>
        </w:drawing>
      </w:r>
      <w:r w:rsidR="00FF34F3">
        <w:rPr>
          <w:rStyle w:val="CETCaptionCarattere"/>
        </w:rPr>
        <w:br/>
      </w:r>
      <w:r w:rsidR="006124CC" w:rsidRPr="00065914">
        <w:rPr>
          <w:rStyle w:val="CETCaptionCarattere"/>
        </w:rPr>
        <w:t xml:space="preserve">Figure </w:t>
      </w:r>
      <w:r w:rsidR="006124CC" w:rsidRPr="00FF34F3">
        <w:rPr>
          <w:rStyle w:val="CETCaptionCarattere"/>
        </w:rPr>
        <w:t>4</w:t>
      </w:r>
      <w:r w:rsidR="006124CC" w:rsidRPr="00065914">
        <w:rPr>
          <w:rStyle w:val="CETCaptionCarattere"/>
        </w:rPr>
        <w:t xml:space="preserve">: </w:t>
      </w:r>
      <w:r w:rsidR="006124CC" w:rsidRPr="00FF34F3">
        <w:rPr>
          <w:rStyle w:val="CETCaptionCarattere"/>
        </w:rPr>
        <w:t>The oxygen concentration as a function of the N</w:t>
      </w:r>
      <w:r w:rsidR="006124CC" w:rsidRPr="00C30784">
        <w:rPr>
          <w:rStyle w:val="CETCaptionCarattere"/>
          <w:vertAlign w:val="subscript"/>
        </w:rPr>
        <w:t>2</w:t>
      </w:r>
      <w:r w:rsidR="006124CC" w:rsidRPr="00FF34F3">
        <w:rPr>
          <w:rStyle w:val="CETCaptionCarattere"/>
        </w:rPr>
        <w:t xml:space="preserve"> amount in the flow.</w:t>
      </w:r>
      <w:r w:rsidR="00857DEA">
        <w:rPr>
          <w:rStyle w:val="CETCaptionCarattere"/>
        </w:rPr>
        <w:t xml:space="preserve"> </w:t>
      </w:r>
      <w:r w:rsidR="009C055F">
        <w:rPr>
          <w:rStyle w:val="CETCaptionCarattere"/>
        </w:rPr>
        <w:t>[5]</w:t>
      </w:r>
    </w:p>
    <w:p w14:paraId="7CCA3259" w14:textId="77777777" w:rsidR="009B473E" w:rsidRDefault="009B473E" w:rsidP="00DB6D6F">
      <w:pPr>
        <w:pStyle w:val="CETBodytext"/>
      </w:pPr>
    </w:p>
    <w:p w14:paraId="29CD826A" w14:textId="40EA2FF6" w:rsidR="0053575F" w:rsidRPr="00DB6D6F" w:rsidRDefault="0053575F" w:rsidP="00DB6D6F">
      <w:pPr>
        <w:pStyle w:val="CETBodytext"/>
      </w:pPr>
      <w:r w:rsidRPr="0053575F">
        <w:t>To achieve a similarly low value during flow inerting, five times the volume of the container in nitrogen is required.</w:t>
      </w:r>
    </w:p>
    <w:p w14:paraId="3BDC6E22" w14:textId="77777777" w:rsidR="00DB6D6F" w:rsidRPr="00DB6D6F" w:rsidRDefault="00DB6D6F" w:rsidP="00DB6D6F">
      <w:pPr>
        <w:pStyle w:val="CETBodytext"/>
      </w:pPr>
      <w:r w:rsidRPr="00DB6D6F">
        <w:t>Though inerting is an effective method, it also presents challenges:</w:t>
      </w:r>
    </w:p>
    <w:p w14:paraId="1279EDF7" w14:textId="77777777" w:rsidR="00DB6D6F" w:rsidRPr="00DB6D6F" w:rsidRDefault="00DB6D6F" w:rsidP="00DB6D6F">
      <w:pPr>
        <w:pStyle w:val="CETBodytext"/>
        <w:numPr>
          <w:ilvl w:val="0"/>
          <w:numId w:val="25"/>
        </w:numPr>
        <w:rPr>
          <w:lang w:val="de-CH"/>
        </w:rPr>
      </w:pPr>
      <w:r w:rsidRPr="00DB6D6F">
        <w:rPr>
          <w:lang w:val="de-CH"/>
        </w:rPr>
        <w:t>Monitoring oxygen concentration</w:t>
      </w:r>
    </w:p>
    <w:p w14:paraId="6AAAC783" w14:textId="77777777" w:rsidR="00DB6D6F" w:rsidRPr="00DB6D6F" w:rsidRDefault="00DB6D6F" w:rsidP="00DB6D6F">
      <w:pPr>
        <w:pStyle w:val="CETBodytext"/>
        <w:numPr>
          <w:ilvl w:val="0"/>
          <w:numId w:val="25"/>
        </w:numPr>
        <w:rPr>
          <w:lang w:val="de-CH"/>
        </w:rPr>
      </w:pPr>
      <w:r w:rsidRPr="00DB6D6F">
        <w:rPr>
          <w:lang w:val="de-CH"/>
        </w:rPr>
        <w:t>Costs for inert gases</w:t>
      </w:r>
    </w:p>
    <w:p w14:paraId="34B4E1EE" w14:textId="77777777" w:rsidR="00DB6D6F" w:rsidRPr="00DB6D6F" w:rsidRDefault="00DB6D6F" w:rsidP="00DB6D6F">
      <w:pPr>
        <w:pStyle w:val="CETBodytext"/>
        <w:numPr>
          <w:ilvl w:val="0"/>
          <w:numId w:val="25"/>
        </w:numPr>
        <w:rPr>
          <w:lang w:val="de-CH"/>
        </w:rPr>
      </w:pPr>
      <w:r w:rsidRPr="00DB6D6F">
        <w:rPr>
          <w:lang w:val="de-CH"/>
        </w:rPr>
        <w:t>Environmental impact</w:t>
      </w:r>
    </w:p>
    <w:p w14:paraId="1A4C2C2C" w14:textId="77777777" w:rsidR="00DB6D6F" w:rsidRPr="00DB6D6F" w:rsidRDefault="00DB6D6F" w:rsidP="00DB6D6F">
      <w:pPr>
        <w:pStyle w:val="CETBodytext"/>
        <w:numPr>
          <w:ilvl w:val="0"/>
          <w:numId w:val="25"/>
        </w:numPr>
        <w:rPr>
          <w:lang w:val="de-CH"/>
        </w:rPr>
      </w:pPr>
      <w:r w:rsidRPr="00DB6D6F">
        <w:rPr>
          <w:lang w:val="de-CH"/>
        </w:rPr>
        <w:t>Influence of material safety data</w:t>
      </w:r>
    </w:p>
    <w:p w14:paraId="77475D1D" w14:textId="48D090B0" w:rsidR="00DB6D6F" w:rsidRPr="00DB6D6F" w:rsidRDefault="00CA7330" w:rsidP="00DB6D6F">
      <w:pPr>
        <w:pStyle w:val="CETheadingx"/>
        <w:rPr>
          <w:lang w:val="en-GB"/>
        </w:rPr>
      </w:pPr>
      <w:r w:rsidRPr="00CA7330">
        <w:rPr>
          <w:lang w:val="en-GB"/>
        </w:rPr>
        <w:t>Influence of safety-related material properties</w:t>
      </w:r>
    </w:p>
    <w:p w14:paraId="35643520" w14:textId="77777777" w:rsidR="007979DB" w:rsidRPr="00EB37D4" w:rsidRDefault="00C54A5A" w:rsidP="007979DB">
      <w:pPr>
        <w:pStyle w:val="CETBodytext"/>
      </w:pPr>
      <w:r w:rsidRPr="00C54A5A">
        <w:t>For the inerting of processes, however, the limiting oxygen concentration is the crucial parameter. The limiting oxygen concentration (also known as the lower oxygen limit, or Limiting Oxygen Concentration, LOC) refers to the maximum oxygen concentration in a gas mixture at which combustion or explosion of a flammable substance is just barely not possible. It is a key parameter in explosion protection, particularly in inerting.</w:t>
      </w:r>
      <w:r w:rsidR="006A692E">
        <w:t xml:space="preserve"> </w:t>
      </w:r>
      <w:r w:rsidR="007979DB" w:rsidRPr="00EB37D4">
        <w:t>The limiting oxygen concentration is a material-specific characteristic and depends on the following factors:</w:t>
      </w:r>
    </w:p>
    <w:p w14:paraId="6056E723" w14:textId="77777777" w:rsidR="007979DB" w:rsidRPr="007979DB" w:rsidRDefault="007979DB" w:rsidP="007979DB">
      <w:pPr>
        <w:pStyle w:val="CETBodytext"/>
        <w:numPr>
          <w:ilvl w:val="0"/>
          <w:numId w:val="30"/>
        </w:numPr>
        <w:rPr>
          <w:lang w:val="de-CH"/>
        </w:rPr>
      </w:pPr>
      <w:r w:rsidRPr="007979DB">
        <w:rPr>
          <w:lang w:val="de-CH"/>
        </w:rPr>
        <w:t>Type of combustible substance</w:t>
      </w:r>
    </w:p>
    <w:p w14:paraId="00EE13BE" w14:textId="77777777" w:rsidR="007979DB" w:rsidRPr="007979DB" w:rsidRDefault="007979DB" w:rsidP="007979DB">
      <w:pPr>
        <w:pStyle w:val="CETBodytext"/>
        <w:numPr>
          <w:ilvl w:val="0"/>
          <w:numId w:val="30"/>
        </w:numPr>
        <w:rPr>
          <w:lang w:val="de-CH"/>
        </w:rPr>
      </w:pPr>
      <w:r w:rsidRPr="007979DB">
        <w:rPr>
          <w:lang w:val="de-CH"/>
        </w:rPr>
        <w:t>Pressure and temperature</w:t>
      </w:r>
    </w:p>
    <w:p w14:paraId="48781453" w14:textId="77777777" w:rsidR="007979DB" w:rsidRPr="007979DB" w:rsidRDefault="007979DB" w:rsidP="007979DB">
      <w:pPr>
        <w:pStyle w:val="CETBodytext"/>
        <w:numPr>
          <w:ilvl w:val="0"/>
          <w:numId w:val="30"/>
        </w:numPr>
        <w:rPr>
          <w:lang w:val="de-CH"/>
        </w:rPr>
      </w:pPr>
      <w:r w:rsidRPr="007979DB">
        <w:rPr>
          <w:lang w:val="de-CH"/>
        </w:rPr>
        <w:t>Type of inert gas</w:t>
      </w:r>
    </w:p>
    <w:p w14:paraId="39155100" w14:textId="6838202E" w:rsidR="00DB6D6F" w:rsidRPr="00DB6D6F" w:rsidRDefault="00EB37D4" w:rsidP="00DB6D6F">
      <w:pPr>
        <w:pStyle w:val="CETBodytext"/>
      </w:pPr>
      <w:r w:rsidRPr="00EB37D4">
        <w:t>The LOC varies depending on the substance and conditions.</w:t>
      </w:r>
      <w:r>
        <w:t xml:space="preserve"> </w:t>
      </w:r>
      <w:r w:rsidR="00DB6D6F" w:rsidRPr="00DB6D6F">
        <w:t>Typical LOC values at room temperature and normal pressure include:</w:t>
      </w:r>
    </w:p>
    <w:p w14:paraId="01D13B61" w14:textId="77777777" w:rsidR="00DB6D6F" w:rsidRPr="00DB6D6F" w:rsidRDefault="00DB6D6F" w:rsidP="00DB6D6F">
      <w:pPr>
        <w:pStyle w:val="CETBodytext"/>
        <w:numPr>
          <w:ilvl w:val="0"/>
          <w:numId w:val="26"/>
        </w:numPr>
        <w:rPr>
          <w:lang w:val="de-CH"/>
        </w:rPr>
      </w:pPr>
      <w:r w:rsidRPr="00DB6D6F">
        <w:rPr>
          <w:lang w:val="de-CH"/>
        </w:rPr>
        <w:t>Methane: ~12 vol% oxygen</w:t>
      </w:r>
    </w:p>
    <w:p w14:paraId="52DFAB90" w14:textId="77777777" w:rsidR="00DB6D6F" w:rsidRPr="00DB6D6F" w:rsidRDefault="00DB6D6F" w:rsidP="00DB6D6F">
      <w:pPr>
        <w:pStyle w:val="CETBodytext"/>
        <w:numPr>
          <w:ilvl w:val="0"/>
          <w:numId w:val="26"/>
        </w:numPr>
        <w:rPr>
          <w:lang w:val="de-CH"/>
        </w:rPr>
      </w:pPr>
      <w:r w:rsidRPr="00DB6D6F">
        <w:rPr>
          <w:lang w:val="de-CH"/>
        </w:rPr>
        <w:t>Hydrogen: ~5 vol% oxygen</w:t>
      </w:r>
    </w:p>
    <w:p w14:paraId="69C59D69" w14:textId="77777777" w:rsidR="00DB6D6F" w:rsidRPr="00DB6D6F" w:rsidRDefault="00DB6D6F" w:rsidP="00DB6D6F">
      <w:pPr>
        <w:pStyle w:val="CETBodytext"/>
        <w:numPr>
          <w:ilvl w:val="0"/>
          <w:numId w:val="26"/>
        </w:numPr>
        <w:rPr>
          <w:lang w:val="de-CH"/>
        </w:rPr>
      </w:pPr>
      <w:r w:rsidRPr="00DB6D6F">
        <w:rPr>
          <w:lang w:val="de-CH"/>
        </w:rPr>
        <w:t>Gasoline vapors: ~10 vol% oxygen</w:t>
      </w:r>
    </w:p>
    <w:p w14:paraId="1CCF8CFE" w14:textId="75C938C8" w:rsidR="00D220A9" w:rsidRDefault="00DB6D6F" w:rsidP="00D220A9">
      <w:pPr>
        <w:pStyle w:val="CETBodytext"/>
        <w:numPr>
          <w:ilvl w:val="0"/>
          <w:numId w:val="26"/>
        </w:numPr>
        <w:rPr>
          <w:lang w:val="de-CH"/>
        </w:rPr>
      </w:pPr>
      <w:r w:rsidRPr="00DB6D6F">
        <w:rPr>
          <w:lang w:val="de-CH"/>
        </w:rPr>
        <w:t>Coal dust: ~8 vol% oxygen</w:t>
      </w:r>
    </w:p>
    <w:p w14:paraId="2A28EE31" w14:textId="77777777" w:rsidR="006D25AC" w:rsidRDefault="006D25AC" w:rsidP="006D25AC">
      <w:pPr>
        <w:pStyle w:val="CETBodytext"/>
        <w:rPr>
          <w:lang w:val="de-CH"/>
        </w:rPr>
      </w:pPr>
    </w:p>
    <w:p w14:paraId="1DBF8992" w14:textId="415F6E17" w:rsidR="00A1517C" w:rsidRDefault="00C30784" w:rsidP="006D25AC">
      <w:pPr>
        <w:pStyle w:val="CETBodytext"/>
        <w:rPr>
          <w:lang w:val="de-CH"/>
        </w:rPr>
      </w:pPr>
      <w:r>
        <w:rPr>
          <w:noProof/>
          <w:lang w:val="de-CH"/>
        </w:rPr>
        <w:drawing>
          <wp:inline distT="0" distB="0" distL="0" distR="0" wp14:anchorId="07FF2E51" wp14:editId="2ED8BF7E">
            <wp:extent cx="2739272" cy="2444750"/>
            <wp:effectExtent l="0" t="0" r="4445" b="0"/>
            <wp:docPr id="176536793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7944" cy="2470340"/>
                    </a:xfrm>
                    <a:prstGeom prst="rect">
                      <a:avLst/>
                    </a:prstGeom>
                    <a:noFill/>
                  </pic:spPr>
                </pic:pic>
              </a:graphicData>
            </a:graphic>
          </wp:inline>
        </w:drawing>
      </w:r>
    </w:p>
    <w:p w14:paraId="52BA05D9" w14:textId="3F4B7BF3" w:rsidR="006D25AC" w:rsidRPr="00C30784" w:rsidRDefault="006D25AC" w:rsidP="006D25AC">
      <w:pPr>
        <w:pStyle w:val="CETBodytext"/>
        <w:rPr>
          <w:rStyle w:val="CETCaptionCarattere"/>
        </w:rPr>
      </w:pPr>
      <w:r w:rsidRPr="00C30784">
        <w:rPr>
          <w:rStyle w:val="CETCaptionCarattere"/>
        </w:rPr>
        <w:t xml:space="preserve">Figure 5: </w:t>
      </w:r>
      <w:r w:rsidR="00C30784" w:rsidRPr="00C30784">
        <w:rPr>
          <w:rStyle w:val="CETCaptionCarattere"/>
        </w:rPr>
        <w:t>Effect of LOC on the MIE</w:t>
      </w:r>
      <w:r w:rsidR="00C30784">
        <w:rPr>
          <w:rStyle w:val="CETCaptionCarattere"/>
        </w:rPr>
        <w:t xml:space="preserve"> (Minimum Ignition Energy)</w:t>
      </w:r>
      <w:r w:rsidR="00857DEA">
        <w:rPr>
          <w:rStyle w:val="CETCaptionCarattere"/>
        </w:rPr>
        <w:t xml:space="preserve"> </w:t>
      </w:r>
      <w:r w:rsidR="009C055F">
        <w:rPr>
          <w:rStyle w:val="CETCaptionCarattere"/>
        </w:rPr>
        <w:t>[6]</w:t>
      </w:r>
    </w:p>
    <w:p w14:paraId="41EE2308" w14:textId="71DB71E8" w:rsidR="00CD4DA0" w:rsidRPr="00CD4DA0" w:rsidRDefault="00CD4DA0" w:rsidP="00CD4DA0">
      <w:pPr>
        <w:pStyle w:val="CETheadingx"/>
        <w:rPr>
          <w:lang w:val="en-GB"/>
        </w:rPr>
      </w:pPr>
      <w:r w:rsidRPr="00CD4DA0">
        <w:rPr>
          <w:bCs/>
          <w:lang w:val="de-CH"/>
        </w:rPr>
        <w:lastRenderedPageBreak/>
        <w:t xml:space="preserve">Impact on </w:t>
      </w:r>
      <w:r w:rsidR="00A1517C">
        <w:rPr>
          <w:bCs/>
          <w:lang w:val="de-CH"/>
        </w:rPr>
        <w:t>i</w:t>
      </w:r>
      <w:r w:rsidRPr="00CD4DA0">
        <w:rPr>
          <w:bCs/>
          <w:lang w:val="de-CH"/>
        </w:rPr>
        <w:t xml:space="preserve">gnition </w:t>
      </w:r>
      <w:r w:rsidR="00A1517C">
        <w:rPr>
          <w:bCs/>
          <w:lang w:val="de-CH"/>
        </w:rPr>
        <w:t>s</w:t>
      </w:r>
      <w:r w:rsidRPr="00CD4DA0">
        <w:rPr>
          <w:bCs/>
          <w:lang w:val="de-CH"/>
        </w:rPr>
        <w:t>ources</w:t>
      </w:r>
    </w:p>
    <w:p w14:paraId="67C2B2A9" w14:textId="77777777" w:rsidR="00CD4DA0" w:rsidRPr="00CD4DA0" w:rsidRDefault="00CD4DA0" w:rsidP="00CD4DA0">
      <w:pPr>
        <w:pStyle w:val="CETBodytext"/>
      </w:pPr>
      <w:r w:rsidRPr="00CD4DA0">
        <w:t>Most ignition sources can be prevented through organizational and technical measures. Electrical ignition sources are avoided by using explosion-proof devices. Electrostatic ignition sources like spark discharges are prevented by grounding. Brush discharges, however, cannot be avoided in stirrers, requiring inerting measures.</w:t>
      </w:r>
    </w:p>
    <w:p w14:paraId="3316FCEB" w14:textId="77777777" w:rsidR="002766A3" w:rsidRPr="002766A3" w:rsidRDefault="00E67753" w:rsidP="002766A3">
      <w:pPr>
        <w:pStyle w:val="CETHeading1"/>
        <w:rPr>
          <w:lang w:val="en-GB"/>
        </w:rPr>
      </w:pPr>
      <w:r>
        <w:t>Exapmples</w:t>
      </w:r>
    </w:p>
    <w:p w14:paraId="334CE58C" w14:textId="4C58919A" w:rsidR="00CD4DA0" w:rsidRPr="00E67753" w:rsidRDefault="00CD4DA0" w:rsidP="00CD4DA0">
      <w:pPr>
        <w:pStyle w:val="CETheadingx"/>
        <w:rPr>
          <w:lang w:val="en-GB"/>
        </w:rPr>
      </w:pPr>
      <w:r w:rsidRPr="00E67753">
        <w:rPr>
          <w:bCs/>
        </w:rPr>
        <w:t xml:space="preserve">Nitrogen </w:t>
      </w:r>
      <w:r w:rsidR="002766A3">
        <w:rPr>
          <w:bCs/>
        </w:rPr>
        <w:t>c</w:t>
      </w:r>
      <w:r w:rsidRPr="00E67753">
        <w:rPr>
          <w:bCs/>
        </w:rPr>
        <w:t xml:space="preserve">onsumption </w:t>
      </w:r>
      <w:r w:rsidR="002766A3">
        <w:rPr>
          <w:bCs/>
        </w:rPr>
        <w:t>e</w:t>
      </w:r>
      <w:r w:rsidRPr="00E67753">
        <w:rPr>
          <w:bCs/>
        </w:rPr>
        <w:t xml:space="preserve">xample: 10m³ </w:t>
      </w:r>
      <w:r w:rsidR="00977322">
        <w:rPr>
          <w:bCs/>
        </w:rPr>
        <w:t>r</w:t>
      </w:r>
      <w:r w:rsidRPr="00E67753">
        <w:rPr>
          <w:bCs/>
        </w:rPr>
        <w:t>eactor</w:t>
      </w:r>
    </w:p>
    <w:p w14:paraId="74D2A26D" w14:textId="77777777" w:rsidR="00187190" w:rsidRDefault="00187190" w:rsidP="00187190">
      <w:pPr>
        <w:pStyle w:val="CETBodytext"/>
      </w:pPr>
      <w:r>
        <w:t xml:space="preserve">Inerting today: 3x vacuum inerting at 100 mbar  </w:t>
      </w:r>
    </w:p>
    <w:p w14:paraId="4FAE222A" w14:textId="77777777" w:rsidR="00187190" w:rsidRDefault="00187190" w:rsidP="00187190">
      <w:pPr>
        <w:pStyle w:val="CETBodytext"/>
      </w:pPr>
      <w:r>
        <w:t>N</w:t>
      </w:r>
      <w:r w:rsidRPr="00FB492F">
        <w:rPr>
          <w:vertAlign w:val="subscript"/>
        </w:rPr>
        <w:t>2</w:t>
      </w:r>
      <w:r>
        <w:t xml:space="preserve"> consumption: 2.7 times the container volume → 27 Nm³ N</w:t>
      </w:r>
      <w:r w:rsidRPr="00FB492F">
        <w:rPr>
          <w:vertAlign w:val="subscript"/>
        </w:rPr>
        <w:t>2</w:t>
      </w:r>
      <w:r>
        <w:t xml:space="preserve">  </w:t>
      </w:r>
    </w:p>
    <w:p w14:paraId="666174C1" w14:textId="77777777" w:rsidR="00187190" w:rsidRDefault="00187190" w:rsidP="00187190">
      <w:pPr>
        <w:pStyle w:val="CETBodytext"/>
      </w:pPr>
      <w:r>
        <w:t xml:space="preserve">Consumption: 3x vacuum inerting at 100 mbar  </w:t>
      </w:r>
    </w:p>
    <w:p w14:paraId="43C9059A" w14:textId="77777777" w:rsidR="00187190" w:rsidRDefault="00187190" w:rsidP="00187190">
      <w:pPr>
        <w:pStyle w:val="CETBodytext"/>
      </w:pPr>
      <w:r>
        <w:t>N</w:t>
      </w:r>
      <w:r w:rsidRPr="00FB492F">
        <w:rPr>
          <w:vertAlign w:val="subscript"/>
        </w:rPr>
        <w:t>2</w:t>
      </w:r>
      <w:r>
        <w:t xml:space="preserve"> consumption: 27 Nm³ N</w:t>
      </w:r>
      <w:r w:rsidRPr="00FB492F">
        <w:rPr>
          <w:vertAlign w:val="subscript"/>
        </w:rPr>
        <w:t>2</w:t>
      </w:r>
      <w:r>
        <w:t xml:space="preserve"> → 33.8 kg N</w:t>
      </w:r>
      <w:r w:rsidRPr="00FB492F">
        <w:rPr>
          <w:vertAlign w:val="subscript"/>
        </w:rPr>
        <w:t>2</w:t>
      </w:r>
      <w:r>
        <w:t xml:space="preserve">  </w:t>
      </w:r>
    </w:p>
    <w:p w14:paraId="11E8B798" w14:textId="77777777" w:rsidR="00187190" w:rsidRDefault="00187190" w:rsidP="00187190">
      <w:pPr>
        <w:pStyle w:val="CETBodytext"/>
      </w:pPr>
      <w:r>
        <w:t>1 Nm³ of nitrogen corresponds to 1.251 kg of liquid nitrogen (N</w:t>
      </w:r>
      <w:r w:rsidRPr="00FB492F">
        <w:rPr>
          <w:vertAlign w:val="subscript"/>
        </w:rPr>
        <w:t>2</w:t>
      </w:r>
      <w:r>
        <w:t>fl)</w:t>
      </w:r>
    </w:p>
    <w:p w14:paraId="27D8031C" w14:textId="77777777" w:rsidR="00187190" w:rsidRDefault="00187190" w:rsidP="00187190">
      <w:pPr>
        <w:pStyle w:val="CETBodytext"/>
      </w:pPr>
    </w:p>
    <w:p w14:paraId="24FC0830" w14:textId="3B08DC20" w:rsidR="00187190" w:rsidRDefault="00187190" w:rsidP="00187190">
      <w:pPr>
        <w:pStyle w:val="CETBodytext"/>
      </w:pPr>
      <w:r>
        <w:t>How to define safe operation?</w:t>
      </w:r>
    </w:p>
    <w:p w14:paraId="73D2EA0F" w14:textId="77777777" w:rsidR="00187190" w:rsidRDefault="00187190" w:rsidP="00187190">
      <w:pPr>
        <w:pStyle w:val="CETBodytext"/>
      </w:pPr>
      <w:r>
        <w:t>When focusing on the limiting oxygen concentration (LOC), an oxygen content of &lt;6% (see Table 1) is sufficient, provided that hydrogen is excluded.</w:t>
      </w:r>
    </w:p>
    <w:p w14:paraId="7D6A2C5E" w14:textId="77777777" w:rsidR="00187190" w:rsidRDefault="00187190" w:rsidP="00187190">
      <w:pPr>
        <w:pStyle w:val="CETBodytext"/>
      </w:pPr>
    </w:p>
    <w:p w14:paraId="6D351A24" w14:textId="63AA7B75" w:rsidR="00187190" w:rsidRDefault="00187190" w:rsidP="00187190">
      <w:pPr>
        <w:pStyle w:val="CETBodytext"/>
      </w:pPr>
      <w:r>
        <w:t>Required amount for safe operation:</w:t>
      </w:r>
    </w:p>
    <w:p w14:paraId="2938CAFE" w14:textId="77777777" w:rsidR="00187190" w:rsidRDefault="00187190" w:rsidP="00643C25">
      <w:pPr>
        <w:pStyle w:val="CETBodytext"/>
        <w:numPr>
          <w:ilvl w:val="0"/>
          <w:numId w:val="36"/>
        </w:numPr>
      </w:pPr>
      <w:r>
        <w:t xml:space="preserve">2x vacuum inerting at 500 mbar  </w:t>
      </w:r>
    </w:p>
    <w:p w14:paraId="02D04C1E" w14:textId="77777777" w:rsidR="00187190" w:rsidRDefault="00187190" w:rsidP="00643C25">
      <w:pPr>
        <w:pStyle w:val="CETBodytext"/>
        <w:numPr>
          <w:ilvl w:val="0"/>
          <w:numId w:val="36"/>
        </w:numPr>
      </w:pPr>
      <w:r>
        <w:t>N</w:t>
      </w:r>
      <w:r w:rsidRPr="00AF7DAB">
        <w:rPr>
          <w:vertAlign w:val="subscript"/>
        </w:rPr>
        <w:t>2</w:t>
      </w:r>
      <w:r>
        <w:t xml:space="preserve"> consumption: 1.0 times the container volume → 10 Nm³ N</w:t>
      </w:r>
      <w:r w:rsidRPr="00AF7DAB">
        <w:rPr>
          <w:vertAlign w:val="subscript"/>
        </w:rPr>
        <w:t>2</w:t>
      </w:r>
    </w:p>
    <w:p w14:paraId="0C04C636" w14:textId="77777777" w:rsidR="00187190" w:rsidRDefault="00187190" w:rsidP="00187190">
      <w:pPr>
        <w:pStyle w:val="CETBodytext"/>
      </w:pPr>
    </w:p>
    <w:p w14:paraId="2E34B8A6" w14:textId="1588999F" w:rsidR="00187190" w:rsidRDefault="00187190" w:rsidP="00187190">
      <w:pPr>
        <w:pStyle w:val="CETBodytext"/>
      </w:pPr>
      <w:r>
        <w:t>Resulting savings:</w:t>
      </w:r>
    </w:p>
    <w:p w14:paraId="379C7729" w14:textId="77777777" w:rsidR="00187190" w:rsidRDefault="00187190" w:rsidP="00187190">
      <w:pPr>
        <w:pStyle w:val="CETBodytext"/>
      </w:pPr>
      <w:r>
        <w:t xml:space="preserve">Per reactor inerting, the following savings are achieved:  </w:t>
      </w:r>
    </w:p>
    <w:p w14:paraId="089439B3" w14:textId="77777777" w:rsidR="00187190" w:rsidRDefault="00187190" w:rsidP="00643C25">
      <w:pPr>
        <w:pStyle w:val="CETBodytext"/>
        <w:numPr>
          <w:ilvl w:val="0"/>
          <w:numId w:val="37"/>
        </w:numPr>
      </w:pPr>
      <w:r>
        <w:t>Savings of 17 Nm³ N</w:t>
      </w:r>
      <w:r w:rsidRPr="00AF7DAB">
        <w:rPr>
          <w:vertAlign w:val="subscript"/>
        </w:rPr>
        <w:t>2</w:t>
      </w:r>
      <w:r>
        <w:t xml:space="preserve"> ≈ 21.3 kg N</w:t>
      </w:r>
      <w:r w:rsidRPr="00AF7DAB">
        <w:rPr>
          <w:vertAlign w:val="subscript"/>
        </w:rPr>
        <w:t>2</w:t>
      </w:r>
      <w:r>
        <w:t xml:space="preserve">  </w:t>
      </w:r>
    </w:p>
    <w:p w14:paraId="39764312" w14:textId="2208E928" w:rsidR="00187190" w:rsidRDefault="00187190" w:rsidP="00643C25">
      <w:pPr>
        <w:pStyle w:val="CETBodytext"/>
        <w:numPr>
          <w:ilvl w:val="0"/>
          <w:numId w:val="37"/>
        </w:numPr>
      </w:pPr>
      <w:r>
        <w:t>Emissions factor for liquid nitrogen (N</w:t>
      </w:r>
      <w:r w:rsidRPr="00AF7DAB">
        <w:rPr>
          <w:vertAlign w:val="subscript"/>
        </w:rPr>
        <w:t>2</w:t>
      </w:r>
      <w:r>
        <w:t>) = 0.22 kg CO</w:t>
      </w:r>
      <w:r w:rsidRPr="00AF7DAB">
        <w:rPr>
          <w:vertAlign w:val="subscript"/>
        </w:rPr>
        <w:t>2</w:t>
      </w:r>
      <w:r>
        <w:t xml:space="preserve"> per kg N</w:t>
      </w:r>
      <w:r w:rsidRPr="00AF7DAB">
        <w:rPr>
          <w:vertAlign w:val="subscript"/>
        </w:rPr>
        <w:t>2</w:t>
      </w:r>
      <w:r>
        <w:t xml:space="preserve"> </w:t>
      </w:r>
      <w:r w:rsidR="009C055F">
        <w:t>[1,2]</w:t>
      </w:r>
      <w:r>
        <w:t xml:space="preserve"> </w:t>
      </w:r>
    </w:p>
    <w:p w14:paraId="08F7E87A" w14:textId="77777777" w:rsidR="00187190" w:rsidRDefault="00187190" w:rsidP="00643C25">
      <w:pPr>
        <w:pStyle w:val="CETBodytext"/>
        <w:numPr>
          <w:ilvl w:val="0"/>
          <w:numId w:val="37"/>
        </w:numPr>
      </w:pPr>
      <w:r>
        <w:t>Nitrogen savings of approx. 63%, or ≈ 4.7 kg CO</w:t>
      </w:r>
      <w:r w:rsidRPr="00AF7DAB">
        <w:rPr>
          <w:vertAlign w:val="subscript"/>
        </w:rPr>
        <w:t>2</w:t>
      </w:r>
    </w:p>
    <w:p w14:paraId="299E491E" w14:textId="77777777" w:rsidR="00187190" w:rsidRDefault="00187190" w:rsidP="00187190">
      <w:pPr>
        <w:pStyle w:val="CETBodytext"/>
      </w:pPr>
    </w:p>
    <w:p w14:paraId="5DAF6F73" w14:textId="27BA3154" w:rsidR="00B42179" w:rsidRPr="001845A8" w:rsidRDefault="00187190" w:rsidP="00187190">
      <w:pPr>
        <w:pStyle w:val="CETBodytext"/>
      </w:pPr>
      <w:r>
        <w:t>This example demonstrates that nitrogen consumption can be drastically reduced, and as a result, companies can also achieve significant CO</w:t>
      </w:r>
      <w:r w:rsidRPr="00AF7DAB">
        <w:rPr>
          <w:vertAlign w:val="subscript"/>
        </w:rPr>
        <w:t>2</w:t>
      </w:r>
      <w:r>
        <w:t xml:space="preserve"> savings in their Scope 3 emissions.</w:t>
      </w:r>
    </w:p>
    <w:p w14:paraId="77BE8D25" w14:textId="0E6B90FF" w:rsidR="00B42179" w:rsidRDefault="00B42179" w:rsidP="00B42179">
      <w:pPr>
        <w:pStyle w:val="CETBodytext"/>
      </w:pPr>
      <w:r>
        <w:t>The work required to evacuate the gas in the reactor is approximately 1.205 MJ (1,205,131 J). The power required for the vacuum pump to perform this evacuation in 5 minutes is approximately 4.02 kW.</w:t>
      </w:r>
    </w:p>
    <w:p w14:paraId="6A602100" w14:textId="6439B701" w:rsidR="00F644FD" w:rsidRDefault="00B42179" w:rsidP="00B42179">
      <w:pPr>
        <w:pStyle w:val="CETBodytext"/>
      </w:pPr>
      <w:r>
        <w:t>This represents the electrical energy that must be supplied to the vacuum pump to achieve the desired evacuation.</w:t>
      </w:r>
    </w:p>
    <w:p w14:paraId="388E8D90" w14:textId="3CF12604" w:rsidR="00F644FD" w:rsidRPr="00833A20" w:rsidRDefault="00833A20" w:rsidP="00833A20">
      <w:pPr>
        <w:pStyle w:val="CETheadingx"/>
        <w:rPr>
          <w:bCs/>
        </w:rPr>
      </w:pPr>
      <w:r w:rsidRPr="00833A20">
        <w:rPr>
          <w:bCs/>
        </w:rPr>
        <w:t>Energy consumption of a vacuum pump</w:t>
      </w:r>
    </w:p>
    <w:p w14:paraId="61875B69" w14:textId="77777777" w:rsidR="00975AD1" w:rsidRDefault="000A061E" w:rsidP="000A061E">
      <w:pPr>
        <w:pStyle w:val="CETBodytext"/>
      </w:pPr>
      <w:r w:rsidRPr="000A061E">
        <w:t>What amount of electrical energy does a vacuum pump need to evacuate a 10 m³ reactor to 100 mbar at 25°C? It is assumed that one evacuation step takes 5 minutes.</w:t>
      </w:r>
      <w:r w:rsidR="00F422CC">
        <w:t xml:space="preserve"> </w:t>
      </w:r>
    </w:p>
    <w:p w14:paraId="57EFD2F6" w14:textId="204024C9" w:rsidR="000A061E" w:rsidRDefault="000A061E" w:rsidP="00160530">
      <w:pPr>
        <w:pStyle w:val="CETBodytext"/>
        <w:rPr>
          <w:lang w:val="en-GB"/>
        </w:rPr>
      </w:pPr>
      <w:r w:rsidRPr="000A061E">
        <w:t>The process is carried out by a vacuum pump. To simplify, it is assumed that the process is adiabatic, meaning that no heat transfer to the outside occurs.</w:t>
      </w:r>
      <w:r w:rsidR="00F422CC">
        <w:t xml:space="preserve"> </w:t>
      </w:r>
      <w:r w:rsidRPr="000A061E">
        <w:t>The work that a vacuum pump must perform can be roughly calculated by determining the energy required to evacuate the gas.</w:t>
      </w:r>
    </w:p>
    <w:tbl>
      <w:tblPr>
        <w:tblW w:w="5000" w:type="pct"/>
        <w:tblLook w:val="04A0" w:firstRow="1" w:lastRow="0" w:firstColumn="1" w:lastColumn="0" w:noHBand="0" w:noVBand="1"/>
      </w:tblPr>
      <w:tblGrid>
        <w:gridCol w:w="7984"/>
        <w:gridCol w:w="803"/>
      </w:tblGrid>
      <w:tr w:rsidR="00EC1779" w:rsidRPr="00EC1779" w14:paraId="45CF1008" w14:textId="77777777" w:rsidTr="0042709B">
        <w:tc>
          <w:tcPr>
            <w:tcW w:w="7984" w:type="dxa"/>
            <w:shd w:val="clear" w:color="auto" w:fill="auto"/>
            <w:vAlign w:val="center"/>
          </w:tcPr>
          <w:tbl>
            <w:tblPr>
              <w:tblW w:w="5000" w:type="pct"/>
              <w:tblLook w:val="04A0" w:firstRow="1" w:lastRow="0" w:firstColumn="1" w:lastColumn="0" w:noHBand="0" w:noVBand="1"/>
            </w:tblPr>
            <w:tblGrid>
              <w:gridCol w:w="7048"/>
              <w:gridCol w:w="720"/>
            </w:tblGrid>
            <w:tr w:rsidR="00EC1779" w:rsidRPr="00EC1779" w14:paraId="6BD01D8B" w14:textId="77777777" w:rsidTr="003766EE">
              <w:tc>
                <w:tcPr>
                  <w:tcW w:w="8188" w:type="dxa"/>
                  <w:shd w:val="clear" w:color="auto" w:fill="auto"/>
                  <w:vAlign w:val="center"/>
                </w:tcPr>
                <w:p w14:paraId="0EE85541" w14:textId="71FA9AE7" w:rsidR="00906F89" w:rsidRPr="00EC1779" w:rsidRDefault="00EC1779" w:rsidP="00906F89">
                  <w:pPr>
                    <w:pStyle w:val="CETEquation"/>
                  </w:pPr>
                  <m:oMathPara>
                    <m:oMathParaPr>
                      <m:jc m:val="left"/>
                    </m:oMathParaPr>
                    <m:oMath>
                      <m:r>
                        <m:rPr>
                          <m:sty m:val="p"/>
                        </m:rPr>
                        <w:rPr>
                          <w:rFonts w:ascii="Cambria Math" w:hAnsi="Cambria Math" w:cs="Arial"/>
                          <w:szCs w:val="18"/>
                        </w:rPr>
                        <m:t xml:space="preserve">W= </m:t>
                      </m:r>
                      <m:nary>
                        <m:naryPr>
                          <m:limLoc m:val="subSup"/>
                          <m:ctrlPr>
                            <w:rPr>
                              <w:rFonts w:ascii="Cambria Math" w:hAnsi="Cambria Math" w:cs="Arial"/>
                              <w:iCs/>
                              <w:szCs w:val="18"/>
                            </w:rPr>
                          </m:ctrlPr>
                        </m:naryPr>
                        <m:sub>
                          <m:sSub>
                            <m:sSubPr>
                              <m:ctrlPr>
                                <w:rPr>
                                  <w:rFonts w:ascii="Cambria Math" w:hAnsi="Cambria Math" w:cs="Arial"/>
                                  <w:i/>
                                  <w:iCs/>
                                  <w:szCs w:val="18"/>
                                </w:rPr>
                              </m:ctrlPr>
                            </m:sSubPr>
                            <m:e>
                              <m:r>
                                <w:rPr>
                                  <w:rFonts w:ascii="Cambria Math" w:hAnsi="Cambria Math" w:cs="Arial"/>
                                  <w:szCs w:val="18"/>
                                </w:rPr>
                                <m:t>p</m:t>
                              </m:r>
                            </m:e>
                            <m:sub>
                              <m:r>
                                <w:rPr>
                                  <w:rFonts w:ascii="Cambria Math" w:hAnsi="Cambria Math" w:cs="Arial"/>
                                  <w:szCs w:val="18"/>
                                </w:rPr>
                                <m:t>initial</m:t>
                              </m:r>
                            </m:sub>
                          </m:sSub>
                        </m:sub>
                        <m:sup>
                          <m:sSub>
                            <m:sSubPr>
                              <m:ctrlPr>
                                <w:rPr>
                                  <w:rFonts w:ascii="Cambria Math" w:hAnsi="Cambria Math" w:cs="Arial"/>
                                  <w:iCs/>
                                  <w:szCs w:val="18"/>
                                </w:rPr>
                              </m:ctrlPr>
                            </m:sSubPr>
                            <m:e>
                              <m:r>
                                <m:rPr>
                                  <m:sty m:val="p"/>
                                </m:rPr>
                                <w:rPr>
                                  <w:rFonts w:ascii="Cambria Math" w:hAnsi="Cambria Math" w:cs="Arial"/>
                                  <w:szCs w:val="18"/>
                                </w:rPr>
                                <m:t>p</m:t>
                              </m:r>
                            </m:e>
                            <m:sub>
                              <m:r>
                                <w:rPr>
                                  <w:rFonts w:ascii="Cambria Math" w:hAnsi="Cambria Math" w:cs="Arial"/>
                                  <w:szCs w:val="18"/>
                                </w:rPr>
                                <m:t>final</m:t>
                              </m:r>
                            </m:sub>
                          </m:sSub>
                        </m:sup>
                        <m:e>
                          <m:r>
                            <m:rPr>
                              <m:sty m:val="p"/>
                            </m:rPr>
                            <w:rPr>
                              <w:rFonts w:ascii="Cambria Math" w:hAnsi="Cambria Math" w:cs="Arial"/>
                              <w:szCs w:val="18"/>
                            </w:rPr>
                            <m:t>V*dp</m:t>
                          </m:r>
                        </m:e>
                      </m:nary>
                    </m:oMath>
                  </m:oMathPara>
                </w:p>
              </w:tc>
              <w:tc>
                <w:tcPr>
                  <w:tcW w:w="815" w:type="dxa"/>
                  <w:shd w:val="clear" w:color="auto" w:fill="auto"/>
                  <w:vAlign w:val="center"/>
                </w:tcPr>
                <w:p w14:paraId="021B491A" w14:textId="716F48A1" w:rsidR="00906F89" w:rsidRPr="00EC1779" w:rsidRDefault="00906F89" w:rsidP="00906F89">
                  <w:pPr>
                    <w:pStyle w:val="CETEquation"/>
                    <w:jc w:val="right"/>
                  </w:pPr>
                </w:p>
              </w:tc>
            </w:tr>
          </w:tbl>
          <w:p w14:paraId="56FC67C6" w14:textId="1F93ED71" w:rsidR="00906F89" w:rsidRPr="00EC1779" w:rsidRDefault="00906F89" w:rsidP="003766EE">
            <w:pPr>
              <w:pStyle w:val="CETEquation"/>
            </w:pPr>
          </w:p>
        </w:tc>
        <w:tc>
          <w:tcPr>
            <w:tcW w:w="803" w:type="dxa"/>
            <w:shd w:val="clear" w:color="auto" w:fill="auto"/>
            <w:vAlign w:val="center"/>
          </w:tcPr>
          <w:p w14:paraId="2C25EBAD" w14:textId="3716FE44" w:rsidR="00906F89" w:rsidRPr="00EC1779" w:rsidRDefault="00EC1779" w:rsidP="0042709B">
            <w:pPr>
              <w:pStyle w:val="CETEquation"/>
              <w:jc w:val="right"/>
            </w:pPr>
            <w:r w:rsidRPr="00EC1779">
              <w:t>(1)</w:t>
            </w:r>
          </w:p>
        </w:tc>
      </w:tr>
    </w:tbl>
    <w:p w14:paraId="565726FD" w14:textId="70AD64C5" w:rsidR="0042709B" w:rsidRDefault="0042709B" w:rsidP="00160530">
      <w:pPr>
        <w:pStyle w:val="CETBodytext"/>
        <w:rPr>
          <w:lang w:val="en-GB"/>
        </w:rPr>
      </w:pPr>
      <w:r w:rsidRPr="0042709B">
        <w:rPr>
          <w:lang w:val="en-GB"/>
        </w:rPr>
        <w:t>For an approximate calculation of the work that must be performed, we can use the following formula for the isothermal compression of an ideal gas:</w:t>
      </w:r>
    </w:p>
    <w:tbl>
      <w:tblPr>
        <w:tblStyle w:val="Grigliatabellachiar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3"/>
        <w:gridCol w:w="804"/>
      </w:tblGrid>
      <w:tr w:rsidR="0042709B" w:rsidRPr="00CE234E" w14:paraId="17A8561C" w14:textId="77777777" w:rsidTr="00262247">
        <w:tc>
          <w:tcPr>
            <w:tcW w:w="8188" w:type="dxa"/>
          </w:tcPr>
          <w:p w14:paraId="42528423" w14:textId="4444099B" w:rsidR="0042709B" w:rsidRPr="00262247" w:rsidRDefault="00262247" w:rsidP="003766EE">
            <w:pPr>
              <w:pStyle w:val="CETEquation"/>
              <w:rPr>
                <w:color w:val="8064A2" w:themeColor="accent4"/>
              </w:rPr>
            </w:pPr>
            <m:oMathPara>
              <m:oMathParaPr>
                <m:jc m:val="left"/>
              </m:oMathParaPr>
              <m:oMath>
                <m:r>
                  <m:rPr>
                    <m:sty m:val="p"/>
                  </m:rPr>
                  <w:rPr>
                    <w:rFonts w:ascii="Cambria Math" w:hAnsi="Cambria Math" w:cs="Arial"/>
                    <w:szCs w:val="18"/>
                  </w:rPr>
                  <m:t>W=n*R*T*ln⁡</m:t>
                </m:r>
                <m:d>
                  <m:dPr>
                    <m:ctrlPr>
                      <w:rPr>
                        <w:rFonts w:ascii="Cambria Math" w:hAnsi="Cambria Math" w:cs="Arial"/>
                        <w:iCs/>
                        <w:szCs w:val="18"/>
                      </w:rPr>
                    </m:ctrlPr>
                  </m:dPr>
                  <m:e>
                    <m:f>
                      <m:fPr>
                        <m:ctrlPr>
                          <w:rPr>
                            <w:rFonts w:ascii="Cambria Math" w:hAnsi="Cambria Math" w:cs="Arial"/>
                            <w:iCs/>
                            <w:szCs w:val="18"/>
                          </w:rPr>
                        </m:ctrlPr>
                      </m:fPr>
                      <m:num>
                        <m:sSub>
                          <m:sSubPr>
                            <m:ctrlPr>
                              <w:rPr>
                                <w:rFonts w:ascii="Cambria Math" w:hAnsi="Cambria Math" w:cs="Arial"/>
                                <w:iCs/>
                                <w:szCs w:val="18"/>
                              </w:rPr>
                            </m:ctrlPr>
                          </m:sSubPr>
                          <m:e>
                            <m:r>
                              <m:rPr>
                                <m:sty m:val="p"/>
                              </m:rPr>
                              <w:rPr>
                                <w:rFonts w:ascii="Cambria Math" w:hAnsi="Cambria Math" w:cs="Arial"/>
                                <w:szCs w:val="18"/>
                              </w:rPr>
                              <m:t>p</m:t>
                            </m:r>
                          </m:e>
                          <m:sub>
                            <m:r>
                              <m:rPr>
                                <m:sty m:val="p"/>
                              </m:rPr>
                              <w:rPr>
                                <w:rFonts w:ascii="Cambria Math" w:hAnsi="Cambria Math" w:cs="Arial"/>
                                <w:szCs w:val="18"/>
                              </w:rPr>
                              <m:t>initial</m:t>
                            </m:r>
                          </m:sub>
                        </m:sSub>
                      </m:num>
                      <m:den>
                        <m:sSub>
                          <m:sSubPr>
                            <m:ctrlPr>
                              <w:rPr>
                                <w:rFonts w:ascii="Cambria Math" w:hAnsi="Cambria Math" w:cs="Arial"/>
                                <w:iCs/>
                                <w:szCs w:val="18"/>
                              </w:rPr>
                            </m:ctrlPr>
                          </m:sSubPr>
                          <m:e>
                            <m:r>
                              <m:rPr>
                                <m:sty m:val="p"/>
                              </m:rPr>
                              <w:rPr>
                                <w:rFonts w:ascii="Cambria Math" w:hAnsi="Cambria Math" w:cs="Arial"/>
                                <w:szCs w:val="18"/>
                              </w:rPr>
                              <m:t>p</m:t>
                            </m:r>
                          </m:e>
                          <m:sub>
                            <m:r>
                              <m:rPr>
                                <m:sty m:val="p"/>
                              </m:rPr>
                              <w:rPr>
                                <w:rFonts w:ascii="Cambria Math" w:hAnsi="Cambria Math" w:cs="Arial"/>
                                <w:szCs w:val="18"/>
                              </w:rPr>
                              <m:t>final</m:t>
                            </m:r>
                          </m:sub>
                        </m:sSub>
                      </m:den>
                    </m:f>
                  </m:e>
                </m:d>
              </m:oMath>
            </m:oMathPara>
          </w:p>
        </w:tc>
        <w:tc>
          <w:tcPr>
            <w:tcW w:w="815" w:type="dxa"/>
          </w:tcPr>
          <w:p w14:paraId="72A3F985" w14:textId="584CC948" w:rsidR="0042709B" w:rsidRPr="00CE234E" w:rsidRDefault="0042709B" w:rsidP="003766EE">
            <w:pPr>
              <w:pStyle w:val="CETEquation"/>
              <w:jc w:val="right"/>
              <w:rPr>
                <w:color w:val="8064A2" w:themeColor="accent4"/>
              </w:rPr>
            </w:pPr>
            <w:r w:rsidRPr="0042709B">
              <w:t>(2)</w:t>
            </w:r>
          </w:p>
        </w:tc>
      </w:tr>
    </w:tbl>
    <w:p w14:paraId="57BE3A0C" w14:textId="77777777" w:rsidR="00C9428E" w:rsidRDefault="006A362C" w:rsidP="006A362C">
      <w:pPr>
        <w:pStyle w:val="CETBodytext"/>
        <w:rPr>
          <w:lang w:val="en-GB"/>
        </w:rPr>
      </w:pPr>
      <w:r w:rsidRPr="006A362C">
        <w:rPr>
          <w:lang w:val="en-GB"/>
        </w:rPr>
        <w:t xml:space="preserve">The electrical energy required for a vacuum pump to evacuate a 10 m³ reactor from 1 bar to 100 mbar is approximately 0.64 kWh. </w:t>
      </w:r>
    </w:p>
    <w:p w14:paraId="3615FB43" w14:textId="77777777" w:rsidR="00C9428E" w:rsidRDefault="006A362C" w:rsidP="006A362C">
      <w:pPr>
        <w:pStyle w:val="CETBodytext"/>
        <w:rPr>
          <w:lang w:val="en-GB"/>
        </w:rPr>
      </w:pPr>
      <w:r w:rsidRPr="006A362C">
        <w:rPr>
          <w:lang w:val="en-GB"/>
        </w:rPr>
        <w:t xml:space="preserve">A vacuum pump has an efficiency between 50% and 70%, so an efficiency of 60% is assumed. Therefore, the energy consumption is 1.07 kWh. </w:t>
      </w:r>
    </w:p>
    <w:p w14:paraId="427703F2" w14:textId="37C5B0A2" w:rsidR="006A362C" w:rsidRPr="006A362C" w:rsidRDefault="006A362C" w:rsidP="006A362C">
      <w:pPr>
        <w:pStyle w:val="CETBodytext"/>
        <w:rPr>
          <w:lang w:val="en-GB"/>
        </w:rPr>
      </w:pPr>
      <w:r w:rsidRPr="006A362C">
        <w:rPr>
          <w:lang w:val="en-GB"/>
        </w:rPr>
        <w:t>Performing the inerting process three times requires an energy consumption of 3.21 kWh.</w:t>
      </w:r>
    </w:p>
    <w:p w14:paraId="0D59DFEC" w14:textId="2B739E1F" w:rsidR="006A362C" w:rsidRPr="006A362C" w:rsidRDefault="006A362C" w:rsidP="006A362C">
      <w:pPr>
        <w:pStyle w:val="CETBodytext"/>
        <w:rPr>
          <w:lang w:val="en-GB"/>
        </w:rPr>
      </w:pPr>
      <w:r w:rsidRPr="006A362C">
        <w:rPr>
          <w:lang w:val="en-GB"/>
        </w:rPr>
        <w:t>If the inerting is only carried out until an oxygen content of 5.5% is reached, then only two inerting steps to 500 mbar are necessary.</w:t>
      </w:r>
    </w:p>
    <w:p w14:paraId="36F414D2" w14:textId="77777777" w:rsidR="00A31D6F" w:rsidRPr="00A31D6F" w:rsidRDefault="00A31D6F" w:rsidP="00A31D6F">
      <w:pPr>
        <w:pStyle w:val="CETBodytext"/>
        <w:rPr>
          <w:lang w:val="en-GB"/>
        </w:rPr>
      </w:pPr>
      <w:r w:rsidRPr="00A31D6F">
        <w:rPr>
          <w:lang w:val="en-GB"/>
        </w:rPr>
        <w:t>What electrical energy does a vacuum pump need to evacuate a 10m</w:t>
      </w:r>
      <w:r w:rsidRPr="00A31D6F">
        <w:rPr>
          <w:vertAlign w:val="superscript"/>
          <w:lang w:val="en-GB"/>
        </w:rPr>
        <w:t>3</w:t>
      </w:r>
      <w:r w:rsidRPr="00A31D6F">
        <w:rPr>
          <w:lang w:val="en-GB"/>
        </w:rPr>
        <w:t xml:space="preserve"> reactor to 500 mbara at 25°C? It is assumed that 1 evacuation step also takes 5 minutes here. </w:t>
      </w:r>
    </w:p>
    <w:p w14:paraId="4CCF96F4" w14:textId="77777777" w:rsidR="00A31D6F" w:rsidRPr="00A31D6F" w:rsidRDefault="00A31D6F" w:rsidP="00A31D6F">
      <w:pPr>
        <w:pStyle w:val="CETBodytext"/>
        <w:rPr>
          <w:lang w:val="en-GB"/>
        </w:rPr>
      </w:pPr>
      <w:r w:rsidRPr="00A31D6F">
        <w:rPr>
          <w:lang w:val="en-GB"/>
        </w:rPr>
        <w:lastRenderedPageBreak/>
        <w:t xml:space="preserve">The electrical energy required by a vacuum pump to evacuate a 10 m³ reactor from 1 bar to 100 mbar is approximately 0.19 kWh. At the above-mentioned efficiency of 60%, this is 0.32 kWh. </w:t>
      </w:r>
    </w:p>
    <w:p w14:paraId="52DEE03D" w14:textId="77777777" w:rsidR="00A31D6F" w:rsidRPr="00A31D6F" w:rsidRDefault="00A31D6F" w:rsidP="00A31D6F">
      <w:pPr>
        <w:pStyle w:val="CETBodytext"/>
        <w:rPr>
          <w:lang w:val="en-GB"/>
        </w:rPr>
      </w:pPr>
      <w:r w:rsidRPr="00A31D6F">
        <w:rPr>
          <w:lang w:val="en-GB"/>
        </w:rPr>
        <w:t xml:space="preserve">Inertising twice requires an energy consumption of 0.64 kWh. </w:t>
      </w:r>
    </w:p>
    <w:p w14:paraId="70FF6479" w14:textId="77777777" w:rsidR="00A31D6F" w:rsidRPr="00A31D6F" w:rsidRDefault="00A31D6F" w:rsidP="00A31D6F">
      <w:pPr>
        <w:pStyle w:val="CETBodytext"/>
        <w:rPr>
          <w:lang w:val="en-GB"/>
        </w:rPr>
      </w:pPr>
      <w:r w:rsidRPr="00A31D6F">
        <w:rPr>
          <w:lang w:val="en-GB"/>
        </w:rPr>
        <w:t xml:space="preserve">The following savings result per inertisation of the reactor: </w:t>
      </w:r>
    </w:p>
    <w:p w14:paraId="10BE67B4" w14:textId="77777777" w:rsidR="00A31D6F" w:rsidRPr="00A31D6F" w:rsidRDefault="00A31D6F" w:rsidP="00A31D6F">
      <w:pPr>
        <w:pStyle w:val="CETBodytext"/>
        <w:rPr>
          <w:lang w:val="en-GB"/>
        </w:rPr>
      </w:pPr>
      <w:r w:rsidRPr="00A31D6F">
        <w:rPr>
          <w:lang w:val="en-GB"/>
        </w:rPr>
        <w:t xml:space="preserve">Energy consumption can be reduced by 2.57 kWh, or around 80 %. </w:t>
      </w:r>
    </w:p>
    <w:p w14:paraId="6B2282E8" w14:textId="09ECE495" w:rsidR="00A31D6F" w:rsidRPr="00A31D6F" w:rsidRDefault="00A31D6F" w:rsidP="00A31D6F">
      <w:pPr>
        <w:pStyle w:val="CETBodytext"/>
        <w:rPr>
          <w:lang w:val="en-GB"/>
        </w:rPr>
      </w:pPr>
      <w:r w:rsidRPr="00A31D6F">
        <w:rPr>
          <w:lang w:val="en-GB"/>
        </w:rPr>
        <w:t>Assuming an electricity emission factor of 0.38 kg CO</w:t>
      </w:r>
      <w:r w:rsidRPr="00A31D6F">
        <w:rPr>
          <w:vertAlign w:val="subscript"/>
          <w:lang w:val="en-GB"/>
        </w:rPr>
        <w:t>2</w:t>
      </w:r>
      <w:r w:rsidRPr="00A31D6F">
        <w:rPr>
          <w:lang w:val="en-GB"/>
        </w:rPr>
        <w:t xml:space="preserve"> / kWh</w:t>
      </w:r>
      <w:r w:rsidR="009C055F">
        <w:rPr>
          <w:lang w:val="en-GB"/>
        </w:rPr>
        <w:t xml:space="preserve"> [2,3]</w:t>
      </w:r>
      <w:r w:rsidRPr="00A31D6F">
        <w:rPr>
          <w:lang w:val="en-GB"/>
        </w:rPr>
        <w:t>, this corresponds to a reduction of 0.98 kg in a company's Scope 2 CO</w:t>
      </w:r>
      <w:r w:rsidRPr="00A31D6F">
        <w:rPr>
          <w:vertAlign w:val="subscript"/>
          <w:lang w:val="en-GB"/>
        </w:rPr>
        <w:t>2</w:t>
      </w:r>
      <w:r w:rsidRPr="00A31D6F">
        <w:rPr>
          <w:lang w:val="en-GB"/>
        </w:rPr>
        <w:t xml:space="preserve"> emissions. This illustrates the existing efficiency potential.</w:t>
      </w:r>
    </w:p>
    <w:p w14:paraId="6E7E66A9" w14:textId="77777777" w:rsidR="00A81083" w:rsidRPr="00E26874" w:rsidRDefault="00A81083" w:rsidP="00E26874">
      <w:pPr>
        <w:pStyle w:val="CETheadingx"/>
        <w:rPr>
          <w:bCs/>
        </w:rPr>
      </w:pPr>
      <w:r w:rsidRPr="00E26874">
        <w:rPr>
          <w:bCs/>
        </w:rPr>
        <w:t>Safeguarding the stirred reactor</w:t>
      </w:r>
    </w:p>
    <w:p w14:paraId="02355FCD" w14:textId="77777777" w:rsidR="00A81083" w:rsidRDefault="00A81083" w:rsidP="00A81083">
      <w:pPr>
        <w:pStyle w:val="CETBodytext"/>
      </w:pPr>
      <w:r>
        <w:t xml:space="preserve">Inertisation is a very reliable and proven method of preventing a dangerous explosive atmosphere. However, provided that a higher residual concentration of oxygen is accepted in the stirred reactor, the oxygen concentration must be reliably safeguarded. Various options are available for this purpose, whereby vacuum inertisation is still the basic assumption. </w:t>
      </w:r>
    </w:p>
    <w:p w14:paraId="54A8FF6F" w14:textId="77777777" w:rsidR="00A81083" w:rsidRDefault="00A81083" w:rsidP="00A81083">
      <w:pPr>
        <w:pStyle w:val="CETBodytext"/>
      </w:pPr>
      <w:r>
        <w:t>1. use of pressure and flow rate with SIL requirements and without direct oxygen measurement</w:t>
      </w:r>
    </w:p>
    <w:p w14:paraId="725C157F" w14:textId="77777777" w:rsidR="00A81083" w:rsidRDefault="00A81083" w:rsidP="00A81083">
      <w:pPr>
        <w:pStyle w:val="CETBodytext"/>
      </w:pPr>
      <w:r>
        <w:t xml:space="preserve">The oxygen content must be determined before the start of production using a validated measuring method. </w:t>
      </w:r>
    </w:p>
    <w:p w14:paraId="51B1A79D" w14:textId="77777777" w:rsidR="00A81083" w:rsidRDefault="00A81083" w:rsidP="00A81083">
      <w:pPr>
        <w:pStyle w:val="CETBodytext"/>
      </w:pPr>
      <w:r>
        <w:t>2. use of pressure or flow with SIL requirements with a direct oxygen measurement</w:t>
      </w:r>
    </w:p>
    <w:p w14:paraId="27782341" w14:textId="77777777" w:rsidR="00A81083" w:rsidRDefault="00A81083" w:rsidP="00A81083">
      <w:pPr>
        <w:pStyle w:val="CETBodytext"/>
      </w:pPr>
      <w:r>
        <w:t xml:space="preserve">The two methods are shown schematically in the following figure. </w:t>
      </w:r>
    </w:p>
    <w:p w14:paraId="16EBE8CB" w14:textId="77777777" w:rsidR="00E26874" w:rsidRDefault="00E26874" w:rsidP="00A81083">
      <w:pPr>
        <w:pStyle w:val="CETBodytext"/>
      </w:pPr>
    </w:p>
    <w:p w14:paraId="6067FDE7" w14:textId="3DEED3B8" w:rsidR="00E26874" w:rsidRPr="006D25AC" w:rsidRDefault="00E0422A" w:rsidP="00E26874">
      <w:pPr>
        <w:pStyle w:val="CETBodytext"/>
        <w:rPr>
          <w:rStyle w:val="CETCaptionCarattere"/>
          <w:lang w:val="de-CH"/>
        </w:rPr>
      </w:pPr>
      <w:r>
        <w:rPr>
          <w:noProof/>
        </w:rPr>
        <w:drawing>
          <wp:inline distT="0" distB="0" distL="0" distR="0" wp14:anchorId="0E3D01A1" wp14:editId="1C0C874B">
            <wp:extent cx="2844800" cy="1872911"/>
            <wp:effectExtent l="0" t="0" r="0" b="0"/>
            <wp:docPr id="1654365638" name="Grafik 1" descr="Ein Bild, das Diagramm, technische Zeichnung, Pla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365638" name="Grafik 1" descr="Ein Bild, das Diagramm, technische Zeichnung, Plan, Text enthält.&#10;&#10;Automatisch generierte Beschreibung"/>
                    <pic:cNvPicPr/>
                  </pic:nvPicPr>
                  <pic:blipFill>
                    <a:blip r:embed="rId15"/>
                    <a:stretch>
                      <a:fillRect/>
                    </a:stretch>
                  </pic:blipFill>
                  <pic:spPr>
                    <a:xfrm>
                      <a:off x="0" y="0"/>
                      <a:ext cx="2854354" cy="1879201"/>
                    </a:xfrm>
                    <a:prstGeom prst="rect">
                      <a:avLst/>
                    </a:prstGeom>
                  </pic:spPr>
                </pic:pic>
              </a:graphicData>
            </a:graphic>
          </wp:inline>
        </w:drawing>
      </w:r>
      <w:r w:rsidR="001718F2">
        <w:rPr>
          <w:rStyle w:val="CETCaptionCarattere"/>
          <w:lang w:val="de-CH"/>
        </w:rPr>
        <w:br/>
      </w:r>
      <w:r w:rsidR="00E26874" w:rsidRPr="00E26874">
        <w:rPr>
          <w:rStyle w:val="CETCaptionCarattere"/>
          <w:lang w:val="de-CH"/>
        </w:rPr>
        <w:t xml:space="preserve">Figure </w:t>
      </w:r>
      <w:r w:rsidR="00B5409C">
        <w:rPr>
          <w:rStyle w:val="CETCaptionCarattere"/>
          <w:lang w:val="de-CH"/>
        </w:rPr>
        <w:t>6</w:t>
      </w:r>
      <w:r w:rsidR="00E26874" w:rsidRPr="00E26874">
        <w:rPr>
          <w:rStyle w:val="CETCaptionCarattere"/>
          <w:lang w:val="de-CH"/>
        </w:rPr>
        <w:t xml:space="preserve">: </w:t>
      </w:r>
      <w:r w:rsidR="000B656A" w:rsidRPr="000B656A">
        <w:rPr>
          <w:rStyle w:val="CETCaptionCarattere"/>
          <w:lang w:val="de-CH"/>
        </w:rPr>
        <w:t>Influence of oxygen limit concentration on the minimum ignition energy</w:t>
      </w:r>
    </w:p>
    <w:p w14:paraId="12E3B984" w14:textId="77777777" w:rsidR="00A57D9C" w:rsidRPr="00A57D9C" w:rsidRDefault="00A57D9C" w:rsidP="00A57D9C">
      <w:pPr>
        <w:pStyle w:val="CETheadingx"/>
        <w:rPr>
          <w:bCs/>
        </w:rPr>
      </w:pPr>
      <w:r w:rsidRPr="00A57D9C">
        <w:rPr>
          <w:bCs/>
        </w:rPr>
        <w:t>Ventilation</w:t>
      </w:r>
    </w:p>
    <w:p w14:paraId="4550B30D" w14:textId="77777777" w:rsidR="00A57D9C" w:rsidRPr="00A57D9C" w:rsidRDefault="00A57D9C" w:rsidP="00A57D9C">
      <w:pPr>
        <w:pStyle w:val="CETBodytext"/>
      </w:pPr>
      <w:r w:rsidRPr="00A57D9C">
        <w:t>Ventilation is an effective measure for eliminating a hazardous explosive atmosphere, especially when storing hazardous substances such as flammable solvents. How efficient must ventilation measures be? An example using a solvent room:</w:t>
      </w:r>
    </w:p>
    <w:p w14:paraId="43F1D91B" w14:textId="71F4E4AE" w:rsidR="00A57D9C" w:rsidRPr="00A57D9C" w:rsidRDefault="00A57D9C" w:rsidP="002645F5">
      <w:pPr>
        <w:pStyle w:val="CETBodytext"/>
        <w:numPr>
          <w:ilvl w:val="0"/>
          <w:numId w:val="34"/>
        </w:numPr>
      </w:pPr>
      <w:r w:rsidRPr="00A57D9C">
        <w:t>Room for storing flammable solvents: 5</w:t>
      </w:r>
      <w:r w:rsidR="00B24BA7">
        <w:t xml:space="preserve"> </w:t>
      </w:r>
      <w:r w:rsidRPr="00A57D9C">
        <w:t>m x 6</w:t>
      </w:r>
      <w:r w:rsidR="00B24BA7">
        <w:t xml:space="preserve"> </w:t>
      </w:r>
      <w:r w:rsidRPr="00A57D9C">
        <w:t>m x 3</w:t>
      </w:r>
      <w:r w:rsidR="00B24BA7">
        <w:t xml:space="preserve"> </w:t>
      </w:r>
      <w:r w:rsidRPr="00A57D9C">
        <w:t>m = 90</w:t>
      </w:r>
      <w:r w:rsidR="00B24BA7">
        <w:t xml:space="preserve"> </w:t>
      </w:r>
      <w:r w:rsidRPr="00A57D9C">
        <w:t>m</w:t>
      </w:r>
      <w:r w:rsidRPr="002645F5">
        <w:rPr>
          <w:vertAlign w:val="superscript"/>
        </w:rPr>
        <w:t>3</w:t>
      </w:r>
    </w:p>
    <w:p w14:paraId="3022C36A" w14:textId="5AF5D9ED" w:rsidR="00A57D9C" w:rsidRPr="00A57D9C" w:rsidRDefault="00A57D9C" w:rsidP="002645F5">
      <w:pPr>
        <w:pStyle w:val="CETBodytext"/>
        <w:numPr>
          <w:ilvl w:val="0"/>
          <w:numId w:val="34"/>
        </w:numPr>
      </w:pPr>
      <w:r w:rsidRPr="00A57D9C">
        <w:t>5-fold air change = 450</w:t>
      </w:r>
      <w:r w:rsidR="00B24BA7">
        <w:t xml:space="preserve"> </w:t>
      </w:r>
      <w:r w:rsidRPr="00A57D9C">
        <w:t>m</w:t>
      </w:r>
      <w:r w:rsidRPr="002645F5">
        <w:rPr>
          <w:vertAlign w:val="superscript"/>
        </w:rPr>
        <w:t>3</w:t>
      </w:r>
      <w:r w:rsidRPr="00A57D9C">
        <w:t>/h</w:t>
      </w:r>
    </w:p>
    <w:p w14:paraId="40AF94D8" w14:textId="24B63689" w:rsidR="00A57D9C" w:rsidRPr="00A57D9C" w:rsidRDefault="00A57D9C" w:rsidP="002645F5">
      <w:pPr>
        <w:pStyle w:val="CETBodytext"/>
        <w:numPr>
          <w:ilvl w:val="0"/>
          <w:numId w:val="34"/>
        </w:numPr>
      </w:pPr>
      <w:r w:rsidRPr="00A57D9C">
        <w:t>Required fan needs 500</w:t>
      </w:r>
      <w:r w:rsidR="00B24BA7">
        <w:t xml:space="preserve"> </w:t>
      </w:r>
      <w:r w:rsidRPr="00A57D9C">
        <w:t>W</w:t>
      </w:r>
    </w:p>
    <w:p w14:paraId="2AEE0C6B" w14:textId="77777777" w:rsidR="00A57D9C" w:rsidRPr="00A57D9C" w:rsidRDefault="00A57D9C" w:rsidP="002645F5">
      <w:pPr>
        <w:pStyle w:val="CETBodytext"/>
        <w:numPr>
          <w:ilvl w:val="0"/>
          <w:numId w:val="34"/>
        </w:numPr>
      </w:pPr>
      <w:r w:rsidRPr="00A57D9C">
        <w:t>Average dT between input and output = 5K (winter)</w:t>
      </w:r>
    </w:p>
    <w:p w14:paraId="095F3892" w14:textId="77777777" w:rsidR="00A57D9C" w:rsidRPr="00A57D9C" w:rsidRDefault="00A57D9C" w:rsidP="002645F5">
      <w:pPr>
        <w:pStyle w:val="CETBodytext"/>
        <w:numPr>
          <w:ilvl w:val="0"/>
          <w:numId w:val="34"/>
        </w:numPr>
      </w:pPr>
      <w:r w:rsidRPr="00A57D9C">
        <w:t>Cp (air) = 1.3kJ/m3K</w:t>
      </w:r>
    </w:p>
    <w:p w14:paraId="08253CBE" w14:textId="241B6559" w:rsidR="00A57D9C" w:rsidRPr="00A57D9C" w:rsidRDefault="00A57D9C" w:rsidP="00471087">
      <w:pPr>
        <w:pStyle w:val="CETBodytext"/>
        <w:numPr>
          <w:ilvl w:val="0"/>
          <w:numId w:val="34"/>
        </w:numPr>
      </w:pPr>
      <w:r w:rsidRPr="00A57D9C">
        <w:t>Energy consumption in the winter half-year (180 days):</w:t>
      </w:r>
      <w:r w:rsidR="002645F5">
        <w:t xml:space="preserve"> </w:t>
      </w:r>
      <w:r w:rsidRPr="00A57D9C">
        <w:t>180 x 24 x (1.3x5x450/3600 + 0.5) = 2.1 MWh</w:t>
      </w:r>
    </w:p>
    <w:p w14:paraId="1797F488" w14:textId="77777777" w:rsidR="00A57D9C" w:rsidRPr="00A57D9C" w:rsidRDefault="00A57D9C" w:rsidP="00A57D9C">
      <w:pPr>
        <w:pStyle w:val="CETBodytext"/>
      </w:pPr>
    </w:p>
    <w:p w14:paraId="3B8CBF07" w14:textId="33AAAC7D" w:rsidR="00A57D9C" w:rsidRPr="00A57D9C" w:rsidRDefault="00A57D9C" w:rsidP="00A57D9C">
      <w:pPr>
        <w:pStyle w:val="CETBodytext"/>
      </w:pPr>
      <w:r w:rsidRPr="00A57D9C">
        <w:t>Assuming an electricity emission factor of 0.38 kg CO</w:t>
      </w:r>
      <w:r w:rsidRPr="00E329EB">
        <w:rPr>
          <w:vertAlign w:val="subscript"/>
        </w:rPr>
        <w:t>2</w:t>
      </w:r>
      <w:r w:rsidRPr="00A57D9C">
        <w:t xml:space="preserve"> / kWh</w:t>
      </w:r>
      <w:r w:rsidR="009C055F">
        <w:t>[2,3]</w:t>
      </w:r>
      <w:r w:rsidRPr="00A57D9C">
        <w:t>, this corresponds to a reduction in a company's Scope 2 emissions of 798 kg CO</w:t>
      </w:r>
      <w:r w:rsidRPr="00E329EB">
        <w:rPr>
          <w:vertAlign w:val="subscript"/>
        </w:rPr>
        <w:t>2</w:t>
      </w:r>
      <w:r w:rsidRPr="00A57D9C">
        <w:t xml:space="preserve">. </w:t>
      </w:r>
    </w:p>
    <w:p w14:paraId="21893D2C" w14:textId="77777777" w:rsidR="00A57D9C" w:rsidRPr="00A57D9C" w:rsidRDefault="00A57D9C" w:rsidP="00A57D9C">
      <w:pPr>
        <w:pStyle w:val="CETBodytext"/>
      </w:pPr>
      <w:r w:rsidRPr="00A57D9C">
        <w:t xml:space="preserve">In terms of sustainability, these exemplary calculations show that there is in some cases significant potential for savings in the area of explosion protection that require closer consideration than is often the case in the context of overarching sustainability roadmaps. </w:t>
      </w:r>
    </w:p>
    <w:p w14:paraId="791518A3" w14:textId="09E42975" w:rsidR="00A57D9C" w:rsidRPr="007607BE" w:rsidRDefault="001202F2" w:rsidP="007607BE">
      <w:pPr>
        <w:pStyle w:val="CETHeading1"/>
      </w:pPr>
      <w:r>
        <w:t>Discussion</w:t>
      </w:r>
    </w:p>
    <w:p w14:paraId="12C684A3" w14:textId="77777777" w:rsidR="00A57D9C" w:rsidRPr="00A57D9C" w:rsidRDefault="00A57D9C" w:rsidP="00A57D9C">
      <w:pPr>
        <w:pStyle w:val="CETBodytext"/>
      </w:pPr>
      <w:r w:rsidRPr="00A57D9C">
        <w:t>The CO</w:t>
      </w:r>
      <w:r w:rsidRPr="00A7295B">
        <w:rPr>
          <w:vertAlign w:val="subscript"/>
        </w:rPr>
        <w:t>2</w:t>
      </w:r>
      <w:r w:rsidRPr="00A57D9C">
        <w:t xml:space="preserve"> balance of a company is essentially influenced by the fact that</w:t>
      </w:r>
    </w:p>
    <w:p w14:paraId="64DB22DA" w14:textId="77777777" w:rsidR="00A57D9C" w:rsidRPr="00A57D9C" w:rsidRDefault="00A57D9C" w:rsidP="00A57D9C">
      <w:pPr>
        <w:pStyle w:val="CETBodytext"/>
      </w:pPr>
      <w:r w:rsidRPr="00A57D9C">
        <w:t>- the CO</w:t>
      </w:r>
      <w:r w:rsidRPr="00A7295B">
        <w:rPr>
          <w:vertAlign w:val="subscript"/>
        </w:rPr>
        <w:t>2</w:t>
      </w:r>
      <w:r w:rsidRPr="00A57D9C">
        <w:t xml:space="preserve"> emissions of the raw materials/services sold by companies are directly included in the CO</w:t>
      </w:r>
      <w:r w:rsidRPr="00A7295B">
        <w:rPr>
          <w:vertAlign w:val="subscript"/>
        </w:rPr>
        <w:t>2</w:t>
      </w:r>
      <w:r w:rsidRPr="00A57D9C">
        <w:t xml:space="preserve"> balance of customers (Scope 3).</w:t>
      </w:r>
    </w:p>
    <w:p w14:paraId="45D4E388" w14:textId="77777777" w:rsidR="00A57D9C" w:rsidRPr="00A57D9C" w:rsidRDefault="00A57D9C" w:rsidP="00A57D9C">
      <w:pPr>
        <w:pStyle w:val="CETBodytext"/>
      </w:pPr>
      <w:r w:rsidRPr="00A57D9C">
        <w:t>- approx. 80 % of a company's total CO</w:t>
      </w:r>
      <w:r w:rsidRPr="00A7295B">
        <w:rPr>
          <w:vertAlign w:val="subscript"/>
        </w:rPr>
        <w:t>2</w:t>
      </w:r>
      <w:r w:rsidRPr="00A57D9C">
        <w:t xml:space="preserve"> emissions come from the upstream value chain</w:t>
      </w:r>
    </w:p>
    <w:p w14:paraId="1329A62F" w14:textId="77777777" w:rsidR="00A57D9C" w:rsidRPr="00A57D9C" w:rsidRDefault="00A57D9C" w:rsidP="00A57D9C">
      <w:pPr>
        <w:pStyle w:val="CETBodytext"/>
      </w:pPr>
      <w:r w:rsidRPr="00A57D9C">
        <w:t>- customers can only achieve their sustainability goals if suppliers become more sustainable.</w:t>
      </w:r>
    </w:p>
    <w:p w14:paraId="3FD92161" w14:textId="77777777" w:rsidR="00A57D9C" w:rsidRPr="00A57D9C" w:rsidRDefault="00A57D9C" w:rsidP="00A57D9C">
      <w:pPr>
        <w:pStyle w:val="CETBodytext"/>
      </w:pPr>
      <w:r w:rsidRPr="00A57D9C">
        <w:t xml:space="preserve">With these two examples, not only can safety concepts in explosion protection such as inertisation and ventilation measures be maintained, but the sustainability goals of companies can also be positively influenced. </w:t>
      </w:r>
    </w:p>
    <w:p w14:paraId="1D983109" w14:textId="6C490E66" w:rsidR="00A81083" w:rsidRPr="00A57D9C" w:rsidRDefault="00A57D9C" w:rsidP="00160530">
      <w:pPr>
        <w:pStyle w:val="CETBodytext"/>
      </w:pPr>
      <w:r w:rsidRPr="00A57D9C">
        <w:lastRenderedPageBreak/>
        <w:t xml:space="preserve">The two examples show that it is possible to save resources, time and energy with a lower nitrogen consumption of approx. 60% and a reduced power consumption of 80% by modifying the operation of the vacuum pump. In order not to undermine the protection concept, important material characteristics such as the oxygen limit concentration can be </w:t>
      </w:r>
      <w:r w:rsidR="00B5409C" w:rsidRPr="00A57D9C">
        <w:t>used,</w:t>
      </w:r>
      <w:r w:rsidRPr="00A57D9C">
        <w:t xml:space="preserve"> and the processes can be safeguarded by means of process control technology in SIL quality. The same applies to ventilation. The high energy consumption can be significantly reduced if the air changes are reduced to such an extent that the LEL is always significantly </w:t>
      </w:r>
      <w:r w:rsidR="00B5409C" w:rsidRPr="00A57D9C">
        <w:t>undercut,</w:t>
      </w:r>
      <w:r w:rsidRPr="00A57D9C">
        <w:t xml:space="preserve"> and the evaporation rate is reduced by minimising the surface area of collection trays. </w:t>
      </w:r>
    </w:p>
    <w:p w14:paraId="20179C20" w14:textId="785D9608" w:rsidR="00A7295B" w:rsidRPr="007607BE" w:rsidRDefault="00A7295B" w:rsidP="00A7295B">
      <w:pPr>
        <w:pStyle w:val="CETHeading1"/>
      </w:pPr>
      <w:r>
        <w:t>Conclusion</w:t>
      </w:r>
    </w:p>
    <w:p w14:paraId="71F25711" w14:textId="398CF43F" w:rsidR="0079537D" w:rsidRPr="0079537D" w:rsidRDefault="0079537D" w:rsidP="0079537D">
      <w:pPr>
        <w:pStyle w:val="CETBodytext"/>
      </w:pPr>
      <w:r w:rsidRPr="0079537D">
        <w:t>The CO</w:t>
      </w:r>
      <w:r w:rsidRPr="00A93CEA">
        <w:rPr>
          <w:vertAlign w:val="subscript"/>
        </w:rPr>
        <w:t>2</w:t>
      </w:r>
      <w:r w:rsidRPr="0079537D">
        <w:t xml:space="preserve"> footprint of a company is largely influenced by the sustainability of its supply chain, with approximately 80% of total emissions coming from upstream activities. The responsibility to reduce these emissions, particularly Scope 3, lies not only with end-users but also with suppliers. As regulations like the CSRD </w:t>
      </w:r>
      <w:r w:rsidR="009C055F">
        <w:t xml:space="preserve">[3] </w:t>
      </w:r>
      <w:r w:rsidRPr="0079537D">
        <w:t>and CSDD continue to push for corporate sustainability, it becomes imperative for companies to integrate sustainable practices into every aspect of their operations, including safety measures like explosion protection.</w:t>
      </w:r>
    </w:p>
    <w:p w14:paraId="79030EA6" w14:textId="42F7DB33" w:rsidR="0079537D" w:rsidRPr="0079537D" w:rsidRDefault="0079537D" w:rsidP="0079537D">
      <w:pPr>
        <w:pStyle w:val="CETBodytext"/>
      </w:pPr>
      <w:r w:rsidRPr="0079537D">
        <w:t>The examples presented in this document demonstrate that maintaining high safety standards in explosion protection does not have to conflict with sustainability goals. By optimizing inerting processes and ventilation measures, companies can significantly reduce resource consumption</w:t>
      </w:r>
      <w:r w:rsidR="00A93CEA">
        <w:t xml:space="preserve"> - </w:t>
      </w:r>
      <w:r w:rsidRPr="0079537D">
        <w:t>saving up to 60% in nitrogen usage and 80% in energy consumption, leading to notable reductions in CO</w:t>
      </w:r>
      <w:r w:rsidRPr="00A93CEA">
        <w:rPr>
          <w:vertAlign w:val="subscript"/>
        </w:rPr>
        <w:t>2</w:t>
      </w:r>
      <w:r w:rsidRPr="0079537D">
        <w:t xml:space="preserve"> emissions. These changes not only ensure continued safety but also enhance operational efficiency, lower costs, and contribute to a company’s overall sustainability targets.</w:t>
      </w:r>
    </w:p>
    <w:p w14:paraId="4CFE750F" w14:textId="6F2E0418" w:rsidR="0079537D" w:rsidRPr="0079537D" w:rsidRDefault="0079537D" w:rsidP="0079537D">
      <w:pPr>
        <w:pStyle w:val="CETBodytext"/>
      </w:pPr>
      <w:r w:rsidRPr="0079537D">
        <w:t>Looking forward, companies must adopt a more integrated approach to safety and sustainability. By leveraging key material data, such as oxygen limiting concentration, and securing processes with advanced control systems (e.g., SIL quality), businesses can strike a balance between minimizing environmental impact and maintaining operational safety. Furthermore, applying these optimizations across various sectors could unlock even greater resource savings, making them scalable solutions for industries beyond chemicals and pharmaceuticals.</w:t>
      </w:r>
      <w:r w:rsidR="009C055F">
        <w:t xml:space="preserve"> </w:t>
      </w:r>
      <w:r w:rsidRPr="0079537D">
        <w:t>In conclusion, aligning explosion protection measures with sustainability is not only feasible but essential in the modern industrial landscape. Companies that proactively embrace these innovations will not only strengthen their environmental responsibility but also gain a competitive edge in meeting the sustainability expectations of regulators, customers, and society at large. The path forward requires thoughtful implementation of safety systems that protect both people and the planet, ensuring long-term business resilience in a world increasingly defined by sustainability imperatives.</w:t>
      </w:r>
    </w:p>
    <w:p w14:paraId="465E029B" w14:textId="77777777" w:rsidR="009C05C5" w:rsidRDefault="009C05C5" w:rsidP="00160530">
      <w:pPr>
        <w:pStyle w:val="CETBodytext"/>
      </w:pPr>
    </w:p>
    <w:p w14:paraId="07A6D20F" w14:textId="0ECF229E" w:rsidR="00280FAF" w:rsidRPr="005D4FD0" w:rsidRDefault="00280FAF" w:rsidP="00280FAF">
      <w:pPr>
        <w:pStyle w:val="CETHeadingxx"/>
        <w:rPr>
          <w:lang w:val="en-GB"/>
        </w:rPr>
        <w:sectPr w:rsidR="00280FAF" w:rsidRPr="005D4FD0" w:rsidSect="00DC73EE">
          <w:type w:val="continuous"/>
          <w:pgSz w:w="11906" w:h="16838" w:code="9"/>
          <w:pgMar w:top="1701" w:right="1418" w:bottom="1701" w:left="1701" w:header="1701" w:footer="0" w:gutter="0"/>
          <w:cols w:space="708"/>
          <w:formProt w:val="0"/>
          <w:titlePg/>
          <w:docGrid w:linePitch="360"/>
        </w:sectPr>
      </w:pPr>
      <w:r w:rsidRPr="005D4FD0">
        <w:t>Nomenclature</w:t>
      </w:r>
    </w:p>
    <w:p w14:paraId="25D52BD8" w14:textId="77777777" w:rsidR="00280FAF" w:rsidRPr="00CE234E" w:rsidRDefault="00280FAF" w:rsidP="00280FAF">
      <w:pPr>
        <w:pStyle w:val="CETBodytext"/>
        <w:jc w:val="left"/>
        <w:rPr>
          <w:rFonts w:eastAsia="SimSun"/>
          <w:color w:val="8064A2" w:themeColor="accent4"/>
        </w:rPr>
      </w:pPr>
      <w:r w:rsidRPr="00CE234E">
        <w:rPr>
          <w:rFonts w:eastAsia="SimSun"/>
          <w:color w:val="8064A2" w:themeColor="accent4"/>
        </w:rPr>
        <w:t>a – mesh size, m</w:t>
      </w:r>
    </w:p>
    <w:p w14:paraId="7DFFBF41" w14:textId="77777777" w:rsidR="00280FAF" w:rsidRPr="00CE234E" w:rsidRDefault="00280FAF" w:rsidP="00280FAF">
      <w:pPr>
        <w:pStyle w:val="CETBodytext"/>
        <w:jc w:val="left"/>
        <w:rPr>
          <w:rFonts w:eastAsia="SimSun"/>
          <w:color w:val="8064A2" w:themeColor="accent4"/>
        </w:rPr>
        <w:sectPr w:rsidR="00280FAF" w:rsidRPr="00CE234E" w:rsidSect="00DC73EE">
          <w:type w:val="continuous"/>
          <w:pgSz w:w="11906" w:h="16838" w:code="9"/>
          <w:pgMar w:top="1701" w:right="1418" w:bottom="1701" w:left="1701" w:header="1701" w:footer="0" w:gutter="0"/>
          <w:cols w:space="708"/>
          <w:formProt w:val="0"/>
          <w:titlePg/>
          <w:docGrid w:linePitch="360"/>
        </w:sectPr>
      </w:pPr>
    </w:p>
    <w:p w14:paraId="57590CE2" w14:textId="77777777" w:rsidR="00280FAF" w:rsidRPr="00CE234E" w:rsidRDefault="00280FAF" w:rsidP="00280FAF">
      <w:pPr>
        <w:pStyle w:val="CETBodytext"/>
        <w:jc w:val="left"/>
        <w:rPr>
          <w:rFonts w:eastAsia="SimSun"/>
          <w:color w:val="8064A2" w:themeColor="accent4"/>
        </w:rPr>
      </w:pPr>
      <w:r w:rsidRPr="00CE234E">
        <w:rPr>
          <w:rFonts w:eastAsia="SimSun"/>
          <w:color w:val="8064A2" w:themeColor="accent4"/>
        </w:rPr>
        <w:t>A</w:t>
      </w:r>
      <w:r w:rsidRPr="00CE234E">
        <w:rPr>
          <w:rFonts w:eastAsia="SimSun"/>
          <w:color w:val="8064A2" w:themeColor="accent4"/>
          <w:vertAlign w:val="subscript"/>
        </w:rPr>
        <w:t>fin</w:t>
      </w:r>
      <w:r w:rsidRPr="00CE234E">
        <w:rPr>
          <w:rFonts w:eastAsia="SimSun"/>
          <w:color w:val="8064A2" w:themeColor="accent4"/>
        </w:rPr>
        <w:t xml:space="preserve"> – fin surface area, m</w:t>
      </w:r>
      <w:r w:rsidRPr="00CE234E">
        <w:rPr>
          <w:rFonts w:eastAsia="SimSun"/>
          <w:color w:val="8064A2" w:themeColor="accent4"/>
          <w:vertAlign w:val="superscript"/>
        </w:rPr>
        <w:t>2</w:t>
      </w:r>
    </w:p>
    <w:p w14:paraId="0E502614" w14:textId="77777777" w:rsidR="00280FAF" w:rsidRPr="00CE234E" w:rsidRDefault="00280FAF" w:rsidP="00280FAF">
      <w:pPr>
        <w:pStyle w:val="CETBodytext"/>
        <w:jc w:val="left"/>
        <w:rPr>
          <w:rFonts w:eastAsia="SimSun"/>
          <w:color w:val="8064A2" w:themeColor="accent4"/>
        </w:rPr>
      </w:pPr>
      <w:r w:rsidRPr="00CE234E">
        <w:rPr>
          <w:rFonts w:eastAsia="SimSun"/>
          <w:color w:val="8064A2" w:themeColor="accent4"/>
        </w:rPr>
        <w:t>L</w:t>
      </w:r>
      <w:r w:rsidRPr="00CE234E">
        <w:rPr>
          <w:rFonts w:eastAsia="SimSun"/>
          <w:color w:val="8064A2" w:themeColor="accent4"/>
          <w:vertAlign w:val="subscript"/>
        </w:rPr>
        <w:t>ex</w:t>
      </w:r>
      <w:r w:rsidRPr="00CE234E">
        <w:rPr>
          <w:rFonts w:eastAsia="SimSun"/>
          <w:color w:val="8064A2" w:themeColor="accent4"/>
        </w:rPr>
        <w:t xml:space="preserve"> – fin extended length, m</w:t>
      </w:r>
    </w:p>
    <w:p w14:paraId="33D176ED" w14:textId="77777777" w:rsidR="00280FAF" w:rsidRPr="00CE234E" w:rsidRDefault="00280FAF" w:rsidP="00280FAF">
      <w:pPr>
        <w:pStyle w:val="CETBodytext"/>
        <w:jc w:val="left"/>
        <w:rPr>
          <w:rFonts w:eastAsia="SimSun"/>
          <w:color w:val="8064A2" w:themeColor="accent4"/>
        </w:rPr>
      </w:pPr>
      <w:r w:rsidRPr="00CE234E">
        <w:rPr>
          <w:rFonts w:eastAsia="SimSun"/>
          <w:color w:val="8064A2" w:themeColor="accent4"/>
        </w:rPr>
        <w:t>L</w:t>
      </w:r>
      <w:r w:rsidRPr="00CE234E">
        <w:rPr>
          <w:rFonts w:eastAsia="SimSun"/>
          <w:color w:val="8064A2" w:themeColor="accent4"/>
          <w:vertAlign w:val="subscript"/>
        </w:rPr>
        <w:t>c</w:t>
      </w:r>
      <w:r w:rsidRPr="00CE234E">
        <w:rPr>
          <w:rFonts w:eastAsia="SimSun"/>
          <w:color w:val="8064A2" w:themeColor="accent4"/>
        </w:rPr>
        <w:t xml:space="preserve"> – fin length, m</w:t>
      </w:r>
    </w:p>
    <w:p w14:paraId="05CC3BA4" w14:textId="77777777" w:rsidR="00280FAF" w:rsidRPr="00CE234E" w:rsidRDefault="00280FAF" w:rsidP="00280FAF">
      <w:pPr>
        <w:pStyle w:val="CETBodytext"/>
        <w:jc w:val="left"/>
        <w:rPr>
          <w:rFonts w:eastAsia="SimSun"/>
          <w:color w:val="8064A2" w:themeColor="accent4"/>
        </w:rPr>
      </w:pPr>
      <w:r w:rsidRPr="00CE234E">
        <w:rPr>
          <w:rFonts w:eastAsia="SimSun"/>
          <w:color w:val="8064A2" w:themeColor="accent4"/>
        </w:rPr>
        <w:t>n – number of mesh elements, -</w:t>
      </w:r>
    </w:p>
    <w:p w14:paraId="0718B861" w14:textId="77777777" w:rsidR="00280FAF" w:rsidRPr="00CE234E" w:rsidRDefault="00280FAF" w:rsidP="00280FAF">
      <w:pPr>
        <w:pStyle w:val="CETBodytext"/>
        <w:jc w:val="left"/>
        <w:rPr>
          <w:rFonts w:eastAsia="SimSun"/>
          <w:color w:val="8064A2" w:themeColor="accent4"/>
        </w:rPr>
      </w:pPr>
      <w:r w:rsidRPr="00CE234E">
        <w:rPr>
          <w:rFonts w:eastAsia="SimSun"/>
          <w:color w:val="8064A2" w:themeColor="accent4"/>
        </w:rPr>
        <w:t>P</w:t>
      </w:r>
      <w:r w:rsidRPr="00CE234E">
        <w:rPr>
          <w:rFonts w:eastAsia="SimSun"/>
          <w:color w:val="8064A2" w:themeColor="accent4"/>
          <w:vertAlign w:val="subscript"/>
        </w:rPr>
        <w:t>l</w:t>
      </w:r>
      <w:r w:rsidRPr="00CE234E">
        <w:rPr>
          <w:rFonts w:eastAsia="SimSun"/>
          <w:color w:val="8064A2" w:themeColor="accent4"/>
        </w:rPr>
        <w:t xml:space="preserve"> – longitudinal fin pitch, m</w:t>
      </w:r>
    </w:p>
    <w:p w14:paraId="5A6624BF" w14:textId="77777777" w:rsidR="00280FAF" w:rsidRPr="00CE234E" w:rsidRDefault="00280FAF" w:rsidP="00280FAF">
      <w:pPr>
        <w:pStyle w:val="CETBodytext"/>
        <w:jc w:val="left"/>
        <w:rPr>
          <w:rFonts w:eastAsia="SimSun"/>
          <w:color w:val="8064A2" w:themeColor="accent4"/>
        </w:rPr>
      </w:pPr>
      <w:r w:rsidRPr="00CE234E">
        <w:rPr>
          <w:rFonts w:eastAsia="SimSun"/>
          <w:color w:val="8064A2" w:themeColor="accent4"/>
        </w:rPr>
        <w:t>P</w:t>
      </w:r>
      <w:r w:rsidRPr="00CE234E">
        <w:rPr>
          <w:rFonts w:eastAsia="SimSun"/>
          <w:color w:val="8064A2" w:themeColor="accent4"/>
          <w:vertAlign w:val="subscript"/>
        </w:rPr>
        <w:t>t</w:t>
      </w:r>
      <w:r w:rsidRPr="00CE234E">
        <w:rPr>
          <w:rFonts w:eastAsia="SimSun"/>
          <w:color w:val="8064A2" w:themeColor="accent4"/>
        </w:rPr>
        <w:t xml:space="preserve"> – transversal fin pitch, m</w:t>
      </w:r>
    </w:p>
    <w:p w14:paraId="1B9CA67B" w14:textId="77777777" w:rsidR="00280FAF" w:rsidRPr="00CE234E" w:rsidRDefault="00280FAF" w:rsidP="00280FAF">
      <w:pPr>
        <w:pStyle w:val="CETBodytext"/>
        <w:jc w:val="left"/>
        <w:rPr>
          <w:rFonts w:eastAsia="SimSun"/>
          <w:color w:val="8064A2" w:themeColor="accent4"/>
        </w:rPr>
      </w:pPr>
      <w:r w:rsidRPr="00CE234E">
        <w:rPr>
          <w:rFonts w:eastAsia="SimSun"/>
          <w:color w:val="8064A2" w:themeColor="accent4"/>
        </w:rPr>
        <w:t>r</w:t>
      </w:r>
      <w:r w:rsidRPr="00CE234E">
        <w:rPr>
          <w:rFonts w:eastAsia="SimSun"/>
          <w:color w:val="8064A2" w:themeColor="accent4"/>
          <w:vertAlign w:val="subscript"/>
        </w:rPr>
        <w:t>in</w:t>
      </w:r>
      <w:r w:rsidRPr="00CE234E">
        <w:rPr>
          <w:rFonts w:eastAsia="SimSun"/>
          <w:color w:val="8064A2" w:themeColor="accent4"/>
        </w:rPr>
        <w:t xml:space="preserve"> – outer radius of a plain tube, m</w:t>
      </w:r>
    </w:p>
    <w:p w14:paraId="63AB7028" w14:textId="77777777" w:rsidR="00280FAF" w:rsidRPr="00CE234E" w:rsidRDefault="00280FAF" w:rsidP="00280FAF">
      <w:pPr>
        <w:pStyle w:val="CETBodytext"/>
        <w:jc w:val="left"/>
        <w:rPr>
          <w:rFonts w:eastAsia="SimSun"/>
          <w:color w:val="8064A2" w:themeColor="accent4"/>
        </w:rPr>
      </w:pPr>
      <w:r w:rsidRPr="00CE234E">
        <w:rPr>
          <w:rFonts w:eastAsia="SimSun"/>
          <w:color w:val="8064A2" w:themeColor="accent4"/>
        </w:rPr>
        <w:t>T – fin surface local temperature, K</w:t>
      </w:r>
    </w:p>
    <w:p w14:paraId="42FAA691" w14:textId="77777777" w:rsidR="00280FAF" w:rsidRPr="00CE234E" w:rsidRDefault="00280FAF" w:rsidP="00280FAF">
      <w:pPr>
        <w:pStyle w:val="CETBodytext"/>
        <w:jc w:val="left"/>
        <w:rPr>
          <w:rFonts w:eastAsia="SimSun"/>
          <w:color w:val="8064A2" w:themeColor="accent4"/>
        </w:rPr>
      </w:pPr>
      <w:r w:rsidRPr="00CE234E">
        <w:rPr>
          <w:rFonts w:eastAsia="SimSun"/>
          <w:color w:val="8064A2" w:themeColor="accent4"/>
        </w:rPr>
        <w:t>T</w:t>
      </w:r>
      <w:r w:rsidRPr="00CE234E">
        <w:rPr>
          <w:rFonts w:eastAsia="SimSun"/>
          <w:color w:val="8064A2" w:themeColor="accent4"/>
          <w:vertAlign w:val="subscript"/>
        </w:rPr>
        <w:t>b</w:t>
      </w:r>
      <w:r w:rsidRPr="00CE234E">
        <w:rPr>
          <w:rFonts w:eastAsia="SimSun"/>
          <w:color w:val="8064A2" w:themeColor="accent4"/>
        </w:rPr>
        <w:t xml:space="preserve"> – fin base temperature, K</w:t>
      </w:r>
    </w:p>
    <w:p w14:paraId="24D4E211" w14:textId="77777777" w:rsidR="00280FAF" w:rsidRPr="00CE234E" w:rsidRDefault="00280FAF" w:rsidP="00280FAF">
      <w:pPr>
        <w:pStyle w:val="CETBodytext"/>
        <w:jc w:val="left"/>
        <w:rPr>
          <w:rFonts w:eastAsia="SimSun"/>
          <w:color w:val="8064A2" w:themeColor="accent4"/>
        </w:rPr>
      </w:pPr>
      <w:r w:rsidRPr="00CE234E">
        <w:rPr>
          <w:rFonts w:eastAsia="SimSun"/>
          <w:color w:val="8064A2" w:themeColor="accent4"/>
        </w:rPr>
        <w:t>T</w:t>
      </w:r>
      <w:r w:rsidRPr="00CE234E">
        <w:rPr>
          <w:rFonts w:eastAsia="SimSun"/>
          <w:color w:val="8064A2" w:themeColor="accent4"/>
          <w:vertAlign w:val="subscript"/>
        </w:rPr>
        <w:t>cz</w:t>
      </w:r>
      <w:r w:rsidRPr="00CE234E">
        <w:rPr>
          <w:rFonts w:eastAsia="SimSun"/>
          <w:color w:val="8064A2" w:themeColor="accent4"/>
        </w:rPr>
        <w:t xml:space="preserve"> – ambient temperature, K</w:t>
      </w:r>
    </w:p>
    <w:p w14:paraId="15F17467" w14:textId="77777777" w:rsidR="00280FAF" w:rsidRPr="00CE234E" w:rsidRDefault="00280FAF" w:rsidP="00280FAF">
      <w:pPr>
        <w:pStyle w:val="CETBodytext"/>
        <w:jc w:val="left"/>
        <w:rPr>
          <w:rFonts w:eastAsia="SimSun"/>
          <w:color w:val="8064A2" w:themeColor="accent4"/>
        </w:rPr>
      </w:pPr>
      <w:r w:rsidRPr="00CE234E">
        <w:rPr>
          <w:rFonts w:eastAsia="SimSun"/>
          <w:color w:val="8064A2" w:themeColor="accent4"/>
        </w:rPr>
        <w:t>w – fin width, m</w:t>
      </w:r>
    </w:p>
    <w:p w14:paraId="6B0B5F2B" w14:textId="77777777" w:rsidR="00280FAF" w:rsidRPr="00CE234E" w:rsidRDefault="00280FAF" w:rsidP="00280FAF">
      <w:pPr>
        <w:pStyle w:val="CETBodytext"/>
        <w:jc w:val="left"/>
        <w:rPr>
          <w:rFonts w:eastAsia="SimSun"/>
          <w:color w:val="8064A2" w:themeColor="accent4"/>
        </w:rPr>
      </w:pPr>
      <w:r w:rsidRPr="00CE234E">
        <w:rPr>
          <w:rFonts w:eastAsia="SimSun"/>
          <w:color w:val="8064A2" w:themeColor="accent4"/>
        </w:rPr>
        <w:t>x, y – cartesian coordinates</w:t>
      </w:r>
    </w:p>
    <w:p w14:paraId="2E4EE6F7" w14:textId="77777777" w:rsidR="00280FAF" w:rsidRPr="00CE234E" w:rsidRDefault="00280FAF" w:rsidP="00280FAF">
      <w:pPr>
        <w:pStyle w:val="CETBodytext"/>
        <w:jc w:val="left"/>
        <w:rPr>
          <w:rFonts w:eastAsia="SimSun"/>
          <w:color w:val="8064A2" w:themeColor="accent4"/>
        </w:rPr>
      </w:pPr>
      <w:r w:rsidRPr="00CE234E">
        <w:rPr>
          <w:rFonts w:eastAsia="SimSun"/>
          <w:color w:val="8064A2" w:themeColor="accent4"/>
          <w:lang w:val="el-GR"/>
        </w:rPr>
        <w:t xml:space="preserve">α - </w:t>
      </w:r>
      <w:r w:rsidRPr="00CE234E">
        <w:rPr>
          <w:rFonts w:eastAsia="SimSun"/>
          <w:color w:val="8064A2" w:themeColor="accent4"/>
        </w:rPr>
        <w:t>heat transfer coefficient, W/(m</w:t>
      </w:r>
      <w:r w:rsidRPr="00CE234E">
        <w:rPr>
          <w:rFonts w:eastAsia="SimSun"/>
          <w:color w:val="8064A2" w:themeColor="accent4"/>
          <w:vertAlign w:val="superscript"/>
        </w:rPr>
        <w:t>2</w:t>
      </w:r>
      <w:r w:rsidRPr="00CE234E">
        <w:rPr>
          <w:rFonts w:ascii="Times New Roman" w:eastAsia="SimSun" w:hAnsi="Times New Roman"/>
          <w:color w:val="8064A2" w:themeColor="accent4"/>
        </w:rPr>
        <w:t>·</w:t>
      </w:r>
      <w:r w:rsidRPr="00CE234E">
        <w:rPr>
          <w:rFonts w:eastAsia="SimSun"/>
          <w:color w:val="8064A2" w:themeColor="accent4"/>
        </w:rPr>
        <w:t>K)</w:t>
      </w:r>
    </w:p>
    <w:p w14:paraId="23FF4C40" w14:textId="77777777" w:rsidR="00280FAF" w:rsidRPr="00CE234E" w:rsidRDefault="00280FAF" w:rsidP="00280FAF">
      <w:pPr>
        <w:pStyle w:val="CETBodytext"/>
        <w:jc w:val="left"/>
        <w:rPr>
          <w:rFonts w:eastAsia="SimSun"/>
          <w:color w:val="8064A2" w:themeColor="accent4"/>
        </w:rPr>
      </w:pPr>
      <w:r w:rsidRPr="00CE234E">
        <w:rPr>
          <w:rFonts w:eastAsia="SimSun" w:cs="Arial"/>
          <w:color w:val="8064A2" w:themeColor="accent4"/>
          <w:lang w:val="el-GR"/>
        </w:rPr>
        <w:t>λ</w:t>
      </w:r>
      <w:r w:rsidRPr="00CE234E">
        <w:rPr>
          <w:rFonts w:eastAsia="SimSun"/>
          <w:color w:val="8064A2" w:themeColor="accent4"/>
          <w:lang w:val="el-GR"/>
        </w:rPr>
        <w:t xml:space="preserve"> – </w:t>
      </w:r>
      <w:r w:rsidRPr="00CE234E">
        <w:rPr>
          <w:rFonts w:eastAsia="SimSun"/>
          <w:color w:val="8064A2" w:themeColor="accent4"/>
        </w:rPr>
        <w:t>thermal conductivity, W/(m</w:t>
      </w:r>
      <w:r w:rsidRPr="00CE234E">
        <w:rPr>
          <w:rFonts w:ascii="Times New Roman" w:eastAsia="SimSun" w:hAnsi="Times New Roman"/>
          <w:color w:val="8064A2" w:themeColor="accent4"/>
        </w:rPr>
        <w:t>·</w:t>
      </w:r>
      <w:r w:rsidRPr="00CE234E">
        <w:rPr>
          <w:rFonts w:eastAsia="SimSun"/>
          <w:color w:val="8064A2" w:themeColor="accent4"/>
        </w:rPr>
        <w:t>K)</w:t>
      </w:r>
    </w:p>
    <w:p w14:paraId="141D07C6" w14:textId="77777777" w:rsidR="00280FAF" w:rsidRPr="00CE234E" w:rsidRDefault="00280FAF" w:rsidP="00280FAF">
      <w:pPr>
        <w:pStyle w:val="CETBodytext"/>
        <w:jc w:val="left"/>
        <w:rPr>
          <w:rFonts w:eastAsia="SimSun"/>
          <w:color w:val="8064A2" w:themeColor="accent4"/>
        </w:rPr>
      </w:pPr>
      <w:r w:rsidRPr="00CE234E">
        <w:rPr>
          <w:rFonts w:eastAsia="SimSun"/>
          <w:color w:val="8064A2" w:themeColor="accent4"/>
          <w:lang w:val="el-GR"/>
        </w:rPr>
        <w:t xml:space="preserve">δ </w:t>
      </w:r>
      <w:r w:rsidRPr="00CE234E">
        <w:rPr>
          <w:rFonts w:eastAsia="SimSun"/>
          <w:color w:val="8064A2" w:themeColor="accent4"/>
        </w:rPr>
        <w:t>– fin thickness, m</w:t>
      </w:r>
    </w:p>
    <w:p w14:paraId="38BFE636" w14:textId="77777777" w:rsidR="00280FAF" w:rsidRPr="00CE234E" w:rsidRDefault="00280FAF" w:rsidP="00280FAF">
      <w:pPr>
        <w:pStyle w:val="CETBodytext"/>
        <w:jc w:val="left"/>
        <w:rPr>
          <w:rFonts w:eastAsia="SimSun"/>
          <w:color w:val="8064A2" w:themeColor="accent4"/>
        </w:rPr>
        <w:sectPr w:rsidR="00280FAF" w:rsidRPr="00CE234E" w:rsidSect="00DC73EE">
          <w:type w:val="continuous"/>
          <w:pgSz w:w="11906" w:h="16838" w:code="9"/>
          <w:pgMar w:top="1701" w:right="1418" w:bottom="1701" w:left="1701" w:header="1701" w:footer="0" w:gutter="0"/>
          <w:cols w:num="2" w:space="708"/>
          <w:formProt w:val="0"/>
          <w:titlePg/>
          <w:docGrid w:linePitch="360"/>
        </w:sectPr>
      </w:pPr>
      <w:r w:rsidRPr="00CE234E">
        <w:rPr>
          <w:rFonts w:eastAsia="SimSun"/>
          <w:color w:val="8064A2" w:themeColor="accent4"/>
          <w:lang w:val="el-GR"/>
        </w:rPr>
        <w:t xml:space="preserve">η – </w:t>
      </w:r>
      <w:r w:rsidRPr="00CE234E">
        <w:rPr>
          <w:rFonts w:eastAsia="SimSun"/>
          <w:color w:val="8064A2" w:themeColor="accent4"/>
        </w:rPr>
        <w:t>fin efficiency,  -</w:t>
      </w:r>
    </w:p>
    <w:p w14:paraId="459D05E6" w14:textId="77777777" w:rsidR="00600535" w:rsidRPr="00103C4C" w:rsidRDefault="00600535" w:rsidP="00600535">
      <w:pPr>
        <w:pStyle w:val="CETAcknowledgementstitle"/>
      </w:pPr>
      <w:r w:rsidRPr="00103C4C">
        <w:t>Acknowledgments</w:t>
      </w:r>
    </w:p>
    <w:p w14:paraId="0B6F54B4" w14:textId="327B729B" w:rsidR="005D4FD0" w:rsidRPr="005D4FD0" w:rsidRDefault="005D4FD0" w:rsidP="00600535">
      <w:pPr>
        <w:pStyle w:val="CETReference"/>
        <w:rPr>
          <w:b w:val="0"/>
        </w:rPr>
      </w:pPr>
      <w:r w:rsidRPr="005D4FD0">
        <w:rPr>
          <w:b w:val="0"/>
        </w:rPr>
        <w:t>We would like to express our sincere gratitude to [Company Name] for their invaluable support in fostering interdisciplinary collaborations that have significantly contributed to the success of this work. We deeply appreciate the opportunity provided by the company to share our insights through presentations and publications, which has allowed us to contribute to the broader scientific community.</w:t>
      </w:r>
    </w:p>
    <w:p w14:paraId="4F1327F8" w14:textId="4DF6AD9E" w:rsidR="00600535" w:rsidRPr="00E0422A" w:rsidRDefault="00600535" w:rsidP="00600535">
      <w:pPr>
        <w:pStyle w:val="CETReference"/>
        <w:rPr>
          <w:lang w:val="de-CH"/>
        </w:rPr>
      </w:pPr>
      <w:r w:rsidRPr="00E0422A">
        <w:rPr>
          <w:lang w:val="de-CH"/>
        </w:rPr>
        <w:t>References</w:t>
      </w:r>
    </w:p>
    <w:p w14:paraId="02299BDE" w14:textId="2A82E763" w:rsidR="00D51692" w:rsidRPr="00E0422A" w:rsidRDefault="009C055F" w:rsidP="009E0518">
      <w:pPr>
        <w:pStyle w:val="CETReferencetext"/>
        <w:rPr>
          <w:lang w:val="de-CH"/>
        </w:rPr>
      </w:pPr>
      <w:r>
        <w:rPr>
          <w:lang w:val="de-CH"/>
        </w:rPr>
        <w:t xml:space="preserve">[1] </w:t>
      </w:r>
      <w:r w:rsidR="00D51692" w:rsidRPr="00E0422A">
        <w:rPr>
          <w:lang w:val="de-CH"/>
        </w:rPr>
        <w:t xml:space="preserve">BAFA </w:t>
      </w:r>
      <w:r w:rsidR="00AB072F" w:rsidRPr="00E0422A">
        <w:rPr>
          <w:lang w:val="de-CH"/>
        </w:rPr>
        <w:t>- Bundesamt für Wirtschaft und Ausfuhrkontrolle (</w:t>
      </w:r>
      <w:r w:rsidR="00D51692" w:rsidRPr="00E0422A">
        <w:rPr>
          <w:lang w:val="de-CH"/>
        </w:rPr>
        <w:t>2021</w:t>
      </w:r>
      <w:r w:rsidR="00AB072F" w:rsidRPr="00E0422A">
        <w:rPr>
          <w:lang w:val="de-CH"/>
        </w:rPr>
        <w:t>):</w:t>
      </w:r>
      <w:r w:rsidR="00D51692" w:rsidRPr="00E0422A">
        <w:rPr>
          <w:lang w:val="de-CH"/>
        </w:rPr>
        <w:t xml:space="preserve"> Informationsblatt CO2-Faktoren</w:t>
      </w:r>
      <w:r>
        <w:rPr>
          <w:lang w:val="de-CH"/>
        </w:rPr>
        <w:t xml:space="preserve"> </w:t>
      </w:r>
    </w:p>
    <w:p w14:paraId="7668FF00" w14:textId="4287B125" w:rsidR="00AB072F" w:rsidRPr="00AB072F" w:rsidRDefault="009C055F" w:rsidP="00AB072F">
      <w:pPr>
        <w:pStyle w:val="CETReferencetext"/>
        <w:rPr>
          <w:lang w:val="de-CH"/>
        </w:rPr>
      </w:pPr>
      <w:r>
        <w:rPr>
          <w:lang w:val="de-CH"/>
        </w:rPr>
        <w:t xml:space="preserve">[2] </w:t>
      </w:r>
      <w:r w:rsidR="00AB072F" w:rsidRPr="00E0422A">
        <w:rPr>
          <w:lang w:val="de-CH"/>
        </w:rPr>
        <w:t xml:space="preserve">UBA - Umweltbundesamt (2024): </w:t>
      </w:r>
      <w:r w:rsidR="00AB072F" w:rsidRPr="00AB072F">
        <w:rPr>
          <w:lang w:val="de-CH"/>
        </w:rPr>
        <w:t>CO</w:t>
      </w:r>
      <w:r w:rsidR="00AB072F" w:rsidRPr="009C055F">
        <w:rPr>
          <w:vertAlign w:val="subscript"/>
          <w:lang w:val="de-CH"/>
        </w:rPr>
        <w:t>2</w:t>
      </w:r>
      <w:r w:rsidR="00AB072F" w:rsidRPr="00AB072F">
        <w:rPr>
          <w:lang w:val="de-CH"/>
        </w:rPr>
        <w:t>-Emissionen pro Kilowattstunde Strom 2023 gesunke</w:t>
      </w:r>
      <w:r w:rsidR="00AB072F">
        <w:rPr>
          <w:lang w:val="de-CH"/>
        </w:rPr>
        <w:t>n</w:t>
      </w:r>
    </w:p>
    <w:p w14:paraId="096FDDD8" w14:textId="7578DFEA" w:rsidR="006A2371" w:rsidRPr="009E0518" w:rsidRDefault="009C055F" w:rsidP="006A2371">
      <w:pPr>
        <w:pStyle w:val="CETReferencetext"/>
      </w:pPr>
      <w:r>
        <w:t xml:space="preserve">[3] </w:t>
      </w:r>
      <w:r w:rsidR="006A2371" w:rsidRPr="009E0518">
        <w:t xml:space="preserve">CSRD </w:t>
      </w:r>
      <w:r w:rsidR="00AB072F">
        <w:t xml:space="preserve">- </w:t>
      </w:r>
      <w:r w:rsidR="006A2371" w:rsidRPr="009E0518">
        <w:t xml:space="preserve">Corporate Sustainability Reporting Directive (EU) 2022/2464 </w:t>
      </w:r>
    </w:p>
    <w:p w14:paraId="67D5CDC6" w14:textId="2166C6A0" w:rsidR="001E1CF6" w:rsidRPr="009C055F" w:rsidRDefault="009C055F" w:rsidP="009E0518">
      <w:pPr>
        <w:pStyle w:val="CETReferencetext"/>
        <w:rPr>
          <w:lang w:val="de-CH"/>
        </w:rPr>
      </w:pPr>
      <w:r>
        <w:rPr>
          <w:lang w:val="de-CH"/>
        </w:rPr>
        <w:t xml:space="preserve">[3] </w:t>
      </w:r>
      <w:r w:rsidR="001E1CF6" w:rsidRPr="009C055F">
        <w:rPr>
          <w:lang w:val="de-CH"/>
        </w:rPr>
        <w:t xml:space="preserve">SUVA </w:t>
      </w:r>
      <w:r w:rsidR="004676D1" w:rsidRPr="009C055F">
        <w:rPr>
          <w:lang w:val="de-CH"/>
        </w:rPr>
        <w:t>- Schweizerische Unfallversicherungsanstalt </w:t>
      </w:r>
      <w:r>
        <w:rPr>
          <w:lang w:val="de-CH"/>
        </w:rPr>
        <w:t xml:space="preserve">Dokument </w:t>
      </w:r>
      <w:r w:rsidR="001E1CF6" w:rsidRPr="009C055F">
        <w:rPr>
          <w:lang w:val="de-CH"/>
        </w:rPr>
        <w:t>2153</w:t>
      </w:r>
    </w:p>
    <w:p w14:paraId="077E44A5" w14:textId="10C2D5D0" w:rsidR="00B63A31" w:rsidRDefault="009C055F" w:rsidP="00B63A31">
      <w:pPr>
        <w:pStyle w:val="CETReferencetext"/>
        <w:rPr>
          <w:lang w:val="de-CH"/>
        </w:rPr>
      </w:pPr>
      <w:r>
        <w:rPr>
          <w:lang w:val="de-CH"/>
        </w:rPr>
        <w:t xml:space="preserve">[5] </w:t>
      </w:r>
      <w:r w:rsidR="00B63A31" w:rsidRPr="00B63A31">
        <w:rPr>
          <w:lang w:val="de-CH"/>
        </w:rPr>
        <w:t>BCI 155 - Umsetzung der ATEX 137</w:t>
      </w:r>
      <w:r w:rsidR="00B63A31">
        <w:rPr>
          <w:lang w:val="de-CH"/>
        </w:rPr>
        <w:t xml:space="preserve"> </w:t>
      </w:r>
      <w:r w:rsidR="00B63A31" w:rsidRPr="00B63A31">
        <w:rPr>
          <w:lang w:val="de-CH"/>
        </w:rPr>
        <w:t>in der Basler Chemischen und Pharmazeutischen</w:t>
      </w:r>
      <w:r w:rsidR="00B63A31">
        <w:rPr>
          <w:lang w:val="de-CH"/>
        </w:rPr>
        <w:t xml:space="preserve"> </w:t>
      </w:r>
      <w:r w:rsidR="00B63A31" w:rsidRPr="009C055F">
        <w:rPr>
          <w:lang w:val="de-CH"/>
        </w:rPr>
        <w:t>Industrie</w:t>
      </w:r>
    </w:p>
    <w:p w14:paraId="1B5FC61D" w14:textId="6009D5FC" w:rsidR="009C055F" w:rsidRPr="009C055F" w:rsidRDefault="009C055F" w:rsidP="009C055F">
      <w:r>
        <w:rPr>
          <w:lang w:val="en-US"/>
        </w:rPr>
        <w:t>[6] H.Schacke and C.-D. Walther, Proc. Loss Prev. Symp. 1992</w:t>
      </w:r>
    </w:p>
    <w:sectPr w:rsidR="009C055F" w:rsidRPr="009C055F"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1A193" w14:textId="77777777" w:rsidR="006831B9" w:rsidRDefault="006831B9" w:rsidP="004F5E36">
      <w:r>
        <w:separator/>
      </w:r>
    </w:p>
  </w:endnote>
  <w:endnote w:type="continuationSeparator" w:id="0">
    <w:p w14:paraId="2BA6E3E1" w14:textId="77777777" w:rsidR="006831B9" w:rsidRDefault="006831B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3B1BC" w14:textId="77777777" w:rsidR="006831B9" w:rsidRDefault="006831B9" w:rsidP="004F5E36">
      <w:r>
        <w:separator/>
      </w:r>
    </w:p>
  </w:footnote>
  <w:footnote w:type="continuationSeparator" w:id="0">
    <w:p w14:paraId="7D205340" w14:textId="77777777" w:rsidR="006831B9" w:rsidRDefault="006831B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4502F66"/>
    <w:multiLevelType w:val="multilevel"/>
    <w:tmpl w:val="4A1E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58660A"/>
    <w:multiLevelType w:val="multilevel"/>
    <w:tmpl w:val="79A04A4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2D8866AD"/>
    <w:multiLevelType w:val="hybridMultilevel"/>
    <w:tmpl w:val="73EEE5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34A5719"/>
    <w:multiLevelType w:val="multilevel"/>
    <w:tmpl w:val="418C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DC27838"/>
    <w:multiLevelType w:val="hybridMultilevel"/>
    <w:tmpl w:val="85A446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D795E77"/>
    <w:multiLevelType w:val="hybridMultilevel"/>
    <w:tmpl w:val="7F8ED9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AD554C7"/>
    <w:multiLevelType w:val="multilevel"/>
    <w:tmpl w:val="1F7E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C9700A2"/>
    <w:multiLevelType w:val="multilevel"/>
    <w:tmpl w:val="F6C21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E93724"/>
    <w:multiLevelType w:val="multilevel"/>
    <w:tmpl w:val="50AE8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6882765">
    <w:abstractNumId w:val="13"/>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4"/>
  </w:num>
  <w:num w:numId="13" w16cid:durableId="695733619">
    <w:abstractNumId w:val="17"/>
  </w:num>
  <w:num w:numId="14" w16cid:durableId="145903400">
    <w:abstractNumId w:val="25"/>
  </w:num>
  <w:num w:numId="15" w16cid:durableId="19162326">
    <w:abstractNumId w:val="28"/>
  </w:num>
  <w:num w:numId="16" w16cid:durableId="1977102699">
    <w:abstractNumId w:val="27"/>
  </w:num>
  <w:num w:numId="17" w16cid:durableId="860774865">
    <w:abstractNumId w:val="15"/>
  </w:num>
  <w:num w:numId="18" w16cid:durableId="313221457">
    <w:abstractNumId w:val="17"/>
    <w:lvlOverride w:ilvl="0">
      <w:startOverride w:val="1"/>
    </w:lvlOverride>
  </w:num>
  <w:num w:numId="19" w16cid:durableId="534971577">
    <w:abstractNumId w:val="23"/>
  </w:num>
  <w:num w:numId="20" w16cid:durableId="1150947773">
    <w:abstractNumId w:val="22"/>
  </w:num>
  <w:num w:numId="21" w16cid:durableId="124660497">
    <w:abstractNumId w:val="19"/>
  </w:num>
  <w:num w:numId="22" w16cid:durableId="2099861471">
    <w:abstractNumId w:val="18"/>
  </w:num>
  <w:num w:numId="23" w16cid:durableId="84351335">
    <w:abstractNumId w:val="12"/>
  </w:num>
  <w:num w:numId="24" w16cid:durableId="1730689691">
    <w:abstractNumId w:val="30"/>
  </w:num>
  <w:num w:numId="25" w16cid:durableId="1041398019">
    <w:abstractNumId w:val="10"/>
  </w:num>
  <w:num w:numId="26" w16cid:durableId="346710634">
    <w:abstractNumId w:val="16"/>
  </w:num>
  <w:num w:numId="27" w16cid:durableId="725639902">
    <w:abstractNumId w:val="13"/>
  </w:num>
  <w:num w:numId="28" w16cid:durableId="1722629956">
    <w:abstractNumId w:val="29"/>
  </w:num>
  <w:num w:numId="29" w16cid:durableId="1230461842">
    <w:abstractNumId w:val="11"/>
  </w:num>
  <w:num w:numId="30" w16cid:durableId="1366710020">
    <w:abstractNumId w:val="26"/>
  </w:num>
  <w:num w:numId="31" w16cid:durableId="1156191056">
    <w:abstractNumId w:val="13"/>
  </w:num>
  <w:num w:numId="32" w16cid:durableId="1387293807">
    <w:abstractNumId w:val="13"/>
  </w:num>
  <w:num w:numId="33" w16cid:durableId="992681792">
    <w:abstractNumId w:val="13"/>
  </w:num>
  <w:num w:numId="34" w16cid:durableId="1942445470">
    <w:abstractNumId w:val="20"/>
  </w:num>
  <w:num w:numId="35" w16cid:durableId="1608931467">
    <w:abstractNumId w:val="13"/>
  </w:num>
  <w:num w:numId="36" w16cid:durableId="1547715522">
    <w:abstractNumId w:val="14"/>
  </w:num>
  <w:num w:numId="37" w16cid:durableId="1724995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0E3"/>
    <w:rsid w:val="000117CB"/>
    <w:rsid w:val="00016327"/>
    <w:rsid w:val="0003148D"/>
    <w:rsid w:val="00031EEC"/>
    <w:rsid w:val="00051566"/>
    <w:rsid w:val="000562A9"/>
    <w:rsid w:val="00062A9A"/>
    <w:rsid w:val="00065058"/>
    <w:rsid w:val="00065914"/>
    <w:rsid w:val="0008419D"/>
    <w:rsid w:val="00086C39"/>
    <w:rsid w:val="000A03B2"/>
    <w:rsid w:val="000A061E"/>
    <w:rsid w:val="000B656A"/>
    <w:rsid w:val="000C49C0"/>
    <w:rsid w:val="000D0268"/>
    <w:rsid w:val="000D34BE"/>
    <w:rsid w:val="000D6A5B"/>
    <w:rsid w:val="000E0B3C"/>
    <w:rsid w:val="000E102F"/>
    <w:rsid w:val="000E36F1"/>
    <w:rsid w:val="000E3A73"/>
    <w:rsid w:val="000E414A"/>
    <w:rsid w:val="000E75FD"/>
    <w:rsid w:val="000F093C"/>
    <w:rsid w:val="000F787B"/>
    <w:rsid w:val="00100566"/>
    <w:rsid w:val="00103C4C"/>
    <w:rsid w:val="00111F80"/>
    <w:rsid w:val="001202F2"/>
    <w:rsid w:val="0012091F"/>
    <w:rsid w:val="001251FA"/>
    <w:rsid w:val="00126BC2"/>
    <w:rsid w:val="001308B6"/>
    <w:rsid w:val="0013121F"/>
    <w:rsid w:val="00131FE6"/>
    <w:rsid w:val="0013263F"/>
    <w:rsid w:val="001331DF"/>
    <w:rsid w:val="00134DE4"/>
    <w:rsid w:val="0014034D"/>
    <w:rsid w:val="00140FE3"/>
    <w:rsid w:val="001424F8"/>
    <w:rsid w:val="00144465"/>
    <w:rsid w:val="00144D16"/>
    <w:rsid w:val="00150E59"/>
    <w:rsid w:val="00152DE3"/>
    <w:rsid w:val="00160530"/>
    <w:rsid w:val="0016159B"/>
    <w:rsid w:val="00164CF9"/>
    <w:rsid w:val="001667A6"/>
    <w:rsid w:val="001718F2"/>
    <w:rsid w:val="0018171E"/>
    <w:rsid w:val="001845A8"/>
    <w:rsid w:val="00184AD6"/>
    <w:rsid w:val="00187190"/>
    <w:rsid w:val="00196C89"/>
    <w:rsid w:val="001A4AF7"/>
    <w:rsid w:val="001B0349"/>
    <w:rsid w:val="001B1E93"/>
    <w:rsid w:val="001B65C1"/>
    <w:rsid w:val="001C260F"/>
    <w:rsid w:val="001C5C3A"/>
    <w:rsid w:val="001C684B"/>
    <w:rsid w:val="001D0CFB"/>
    <w:rsid w:val="001D21AF"/>
    <w:rsid w:val="001D53FC"/>
    <w:rsid w:val="001E1CF6"/>
    <w:rsid w:val="001E7504"/>
    <w:rsid w:val="001F42A5"/>
    <w:rsid w:val="001F7B9D"/>
    <w:rsid w:val="00201736"/>
    <w:rsid w:val="00201C93"/>
    <w:rsid w:val="002224B4"/>
    <w:rsid w:val="002359F8"/>
    <w:rsid w:val="002447EF"/>
    <w:rsid w:val="0024627A"/>
    <w:rsid w:val="00251550"/>
    <w:rsid w:val="002561EE"/>
    <w:rsid w:val="00262247"/>
    <w:rsid w:val="00263B05"/>
    <w:rsid w:val="002645F5"/>
    <w:rsid w:val="0027221A"/>
    <w:rsid w:val="00275B61"/>
    <w:rsid w:val="002766A3"/>
    <w:rsid w:val="00280FAF"/>
    <w:rsid w:val="00282656"/>
    <w:rsid w:val="0029155E"/>
    <w:rsid w:val="002937F0"/>
    <w:rsid w:val="00296B83"/>
    <w:rsid w:val="002979C2"/>
    <w:rsid w:val="002B4015"/>
    <w:rsid w:val="002B78CE"/>
    <w:rsid w:val="002C2FB6"/>
    <w:rsid w:val="002E5FA7"/>
    <w:rsid w:val="002F3309"/>
    <w:rsid w:val="003008CE"/>
    <w:rsid w:val="003009B7"/>
    <w:rsid w:val="00300E56"/>
    <w:rsid w:val="0030152C"/>
    <w:rsid w:val="00302563"/>
    <w:rsid w:val="0030469C"/>
    <w:rsid w:val="00321CA6"/>
    <w:rsid w:val="00323763"/>
    <w:rsid w:val="00323C5F"/>
    <w:rsid w:val="003273F3"/>
    <w:rsid w:val="00334C09"/>
    <w:rsid w:val="00363790"/>
    <w:rsid w:val="003723D4"/>
    <w:rsid w:val="00381905"/>
    <w:rsid w:val="00384CC8"/>
    <w:rsid w:val="003871FD"/>
    <w:rsid w:val="003A1E30"/>
    <w:rsid w:val="003A2829"/>
    <w:rsid w:val="003A4BA0"/>
    <w:rsid w:val="003A7D1C"/>
    <w:rsid w:val="003B240B"/>
    <w:rsid w:val="003B304B"/>
    <w:rsid w:val="003B3146"/>
    <w:rsid w:val="003B49CD"/>
    <w:rsid w:val="003D1E02"/>
    <w:rsid w:val="003F015E"/>
    <w:rsid w:val="00400414"/>
    <w:rsid w:val="0041446B"/>
    <w:rsid w:val="0042709B"/>
    <w:rsid w:val="0044071E"/>
    <w:rsid w:val="0044329C"/>
    <w:rsid w:val="00453E24"/>
    <w:rsid w:val="00457456"/>
    <w:rsid w:val="004577FE"/>
    <w:rsid w:val="00457B9C"/>
    <w:rsid w:val="0046164A"/>
    <w:rsid w:val="004628D2"/>
    <w:rsid w:val="00462DCD"/>
    <w:rsid w:val="004648AD"/>
    <w:rsid w:val="004676D1"/>
    <w:rsid w:val="004703A9"/>
    <w:rsid w:val="004760DE"/>
    <w:rsid w:val="004763D7"/>
    <w:rsid w:val="004A004E"/>
    <w:rsid w:val="004A01CC"/>
    <w:rsid w:val="004A24CF"/>
    <w:rsid w:val="004C3D1D"/>
    <w:rsid w:val="004C3D84"/>
    <w:rsid w:val="004C7913"/>
    <w:rsid w:val="004E4DD6"/>
    <w:rsid w:val="004F5E36"/>
    <w:rsid w:val="00507B47"/>
    <w:rsid w:val="00507BEF"/>
    <w:rsid w:val="00507CC9"/>
    <w:rsid w:val="005119A5"/>
    <w:rsid w:val="005278B7"/>
    <w:rsid w:val="00532016"/>
    <w:rsid w:val="005346C8"/>
    <w:rsid w:val="0053575F"/>
    <w:rsid w:val="00535C5F"/>
    <w:rsid w:val="00540C0D"/>
    <w:rsid w:val="005424FC"/>
    <w:rsid w:val="00543E7D"/>
    <w:rsid w:val="00547A68"/>
    <w:rsid w:val="005531C9"/>
    <w:rsid w:val="00554879"/>
    <w:rsid w:val="00570C43"/>
    <w:rsid w:val="00575841"/>
    <w:rsid w:val="00592274"/>
    <w:rsid w:val="00592C28"/>
    <w:rsid w:val="005A2ECA"/>
    <w:rsid w:val="005A537E"/>
    <w:rsid w:val="005B2110"/>
    <w:rsid w:val="005B350B"/>
    <w:rsid w:val="005B61E6"/>
    <w:rsid w:val="005C77E1"/>
    <w:rsid w:val="005D4FD0"/>
    <w:rsid w:val="005D668A"/>
    <w:rsid w:val="005D6A2F"/>
    <w:rsid w:val="005E0592"/>
    <w:rsid w:val="005E1A82"/>
    <w:rsid w:val="005E794C"/>
    <w:rsid w:val="005F0A28"/>
    <w:rsid w:val="005F0E5E"/>
    <w:rsid w:val="00600535"/>
    <w:rsid w:val="00610CD6"/>
    <w:rsid w:val="006124CC"/>
    <w:rsid w:val="00620DEE"/>
    <w:rsid w:val="00621F92"/>
    <w:rsid w:val="0062280A"/>
    <w:rsid w:val="006231E1"/>
    <w:rsid w:val="00625639"/>
    <w:rsid w:val="00631B33"/>
    <w:rsid w:val="0064184D"/>
    <w:rsid w:val="006422CC"/>
    <w:rsid w:val="00643C25"/>
    <w:rsid w:val="00651D18"/>
    <w:rsid w:val="00660E3E"/>
    <w:rsid w:val="00662E74"/>
    <w:rsid w:val="006751B1"/>
    <w:rsid w:val="00680C23"/>
    <w:rsid w:val="006831B9"/>
    <w:rsid w:val="00683E23"/>
    <w:rsid w:val="00693766"/>
    <w:rsid w:val="006A2371"/>
    <w:rsid w:val="006A3281"/>
    <w:rsid w:val="006A362C"/>
    <w:rsid w:val="006A692E"/>
    <w:rsid w:val="006A6DE5"/>
    <w:rsid w:val="006B4888"/>
    <w:rsid w:val="006C2E45"/>
    <w:rsid w:val="006C359C"/>
    <w:rsid w:val="006C5579"/>
    <w:rsid w:val="006D25AC"/>
    <w:rsid w:val="006D6E8B"/>
    <w:rsid w:val="006D7209"/>
    <w:rsid w:val="006E737D"/>
    <w:rsid w:val="00707DD1"/>
    <w:rsid w:val="00710F6B"/>
    <w:rsid w:val="00713973"/>
    <w:rsid w:val="00715F97"/>
    <w:rsid w:val="00720A24"/>
    <w:rsid w:val="00732386"/>
    <w:rsid w:val="0073514D"/>
    <w:rsid w:val="00742CF1"/>
    <w:rsid w:val="007447F3"/>
    <w:rsid w:val="0075499F"/>
    <w:rsid w:val="007607BE"/>
    <w:rsid w:val="00761A4C"/>
    <w:rsid w:val="007661C8"/>
    <w:rsid w:val="0077098D"/>
    <w:rsid w:val="0078258C"/>
    <w:rsid w:val="00784229"/>
    <w:rsid w:val="00785BF9"/>
    <w:rsid w:val="007931FA"/>
    <w:rsid w:val="0079537D"/>
    <w:rsid w:val="007979DB"/>
    <w:rsid w:val="007A4861"/>
    <w:rsid w:val="007A7BBA"/>
    <w:rsid w:val="007B0C50"/>
    <w:rsid w:val="007B48F9"/>
    <w:rsid w:val="007B495B"/>
    <w:rsid w:val="007C1A43"/>
    <w:rsid w:val="007D0951"/>
    <w:rsid w:val="007D610D"/>
    <w:rsid w:val="0080013E"/>
    <w:rsid w:val="00801759"/>
    <w:rsid w:val="00802946"/>
    <w:rsid w:val="00813288"/>
    <w:rsid w:val="008168FC"/>
    <w:rsid w:val="0082763D"/>
    <w:rsid w:val="00830996"/>
    <w:rsid w:val="00833A20"/>
    <w:rsid w:val="008345F1"/>
    <w:rsid w:val="00857DEA"/>
    <w:rsid w:val="00861CDB"/>
    <w:rsid w:val="00865B07"/>
    <w:rsid w:val="008667EA"/>
    <w:rsid w:val="0087637F"/>
    <w:rsid w:val="00892AD5"/>
    <w:rsid w:val="008A1512"/>
    <w:rsid w:val="008B056D"/>
    <w:rsid w:val="008D32B9"/>
    <w:rsid w:val="008D433B"/>
    <w:rsid w:val="008D4A16"/>
    <w:rsid w:val="008E5401"/>
    <w:rsid w:val="008E566E"/>
    <w:rsid w:val="0090161A"/>
    <w:rsid w:val="00901EB6"/>
    <w:rsid w:val="009041F8"/>
    <w:rsid w:val="00904C62"/>
    <w:rsid w:val="00906F89"/>
    <w:rsid w:val="00922BA8"/>
    <w:rsid w:val="00924DAC"/>
    <w:rsid w:val="00927058"/>
    <w:rsid w:val="00942750"/>
    <w:rsid w:val="00944B47"/>
    <w:rsid w:val="009450CE"/>
    <w:rsid w:val="009459BB"/>
    <w:rsid w:val="00947179"/>
    <w:rsid w:val="0095164B"/>
    <w:rsid w:val="00954090"/>
    <w:rsid w:val="009573E7"/>
    <w:rsid w:val="00957597"/>
    <w:rsid w:val="00963E05"/>
    <w:rsid w:val="00964A45"/>
    <w:rsid w:val="00967843"/>
    <w:rsid w:val="00967D54"/>
    <w:rsid w:val="00971028"/>
    <w:rsid w:val="00975AD1"/>
    <w:rsid w:val="00977322"/>
    <w:rsid w:val="009865AD"/>
    <w:rsid w:val="00993B84"/>
    <w:rsid w:val="00994C6A"/>
    <w:rsid w:val="00996483"/>
    <w:rsid w:val="00996F5A"/>
    <w:rsid w:val="009A7441"/>
    <w:rsid w:val="009B041A"/>
    <w:rsid w:val="009B473E"/>
    <w:rsid w:val="009C055F"/>
    <w:rsid w:val="009C05C5"/>
    <w:rsid w:val="009C37C3"/>
    <w:rsid w:val="009C7C86"/>
    <w:rsid w:val="009D2FF7"/>
    <w:rsid w:val="009E0518"/>
    <w:rsid w:val="009E7884"/>
    <w:rsid w:val="009E788A"/>
    <w:rsid w:val="009F0E08"/>
    <w:rsid w:val="00A079AE"/>
    <w:rsid w:val="00A1517C"/>
    <w:rsid w:val="00A1763D"/>
    <w:rsid w:val="00A17CEC"/>
    <w:rsid w:val="00A27EF0"/>
    <w:rsid w:val="00A31D6F"/>
    <w:rsid w:val="00A42361"/>
    <w:rsid w:val="00A47168"/>
    <w:rsid w:val="00A50B20"/>
    <w:rsid w:val="00A51390"/>
    <w:rsid w:val="00A57D9C"/>
    <w:rsid w:val="00A60D13"/>
    <w:rsid w:val="00A7223D"/>
    <w:rsid w:val="00A72745"/>
    <w:rsid w:val="00A7295B"/>
    <w:rsid w:val="00A76EFC"/>
    <w:rsid w:val="00A81083"/>
    <w:rsid w:val="00A87D50"/>
    <w:rsid w:val="00A91010"/>
    <w:rsid w:val="00A912D4"/>
    <w:rsid w:val="00A93CEA"/>
    <w:rsid w:val="00A97F29"/>
    <w:rsid w:val="00AA702E"/>
    <w:rsid w:val="00AA7D26"/>
    <w:rsid w:val="00AB072F"/>
    <w:rsid w:val="00AB0964"/>
    <w:rsid w:val="00AB3F7E"/>
    <w:rsid w:val="00AB5011"/>
    <w:rsid w:val="00AC7368"/>
    <w:rsid w:val="00AD16B9"/>
    <w:rsid w:val="00AE377D"/>
    <w:rsid w:val="00AF0EBA"/>
    <w:rsid w:val="00AF2463"/>
    <w:rsid w:val="00AF7DAB"/>
    <w:rsid w:val="00B02C8A"/>
    <w:rsid w:val="00B1079A"/>
    <w:rsid w:val="00B13710"/>
    <w:rsid w:val="00B178EC"/>
    <w:rsid w:val="00B17FBD"/>
    <w:rsid w:val="00B24BA7"/>
    <w:rsid w:val="00B315A6"/>
    <w:rsid w:val="00B31813"/>
    <w:rsid w:val="00B33365"/>
    <w:rsid w:val="00B41B3C"/>
    <w:rsid w:val="00B42179"/>
    <w:rsid w:val="00B5409C"/>
    <w:rsid w:val="00B57B36"/>
    <w:rsid w:val="00B57E6F"/>
    <w:rsid w:val="00B63965"/>
    <w:rsid w:val="00B63A31"/>
    <w:rsid w:val="00B71BAA"/>
    <w:rsid w:val="00B8686D"/>
    <w:rsid w:val="00B93F69"/>
    <w:rsid w:val="00BB1DDC"/>
    <w:rsid w:val="00BC30C9"/>
    <w:rsid w:val="00BC7143"/>
    <w:rsid w:val="00BD077D"/>
    <w:rsid w:val="00BE1A67"/>
    <w:rsid w:val="00BE3E58"/>
    <w:rsid w:val="00BF13CE"/>
    <w:rsid w:val="00BF63CA"/>
    <w:rsid w:val="00C01616"/>
    <w:rsid w:val="00C0162B"/>
    <w:rsid w:val="00C068ED"/>
    <w:rsid w:val="00C22E0C"/>
    <w:rsid w:val="00C30784"/>
    <w:rsid w:val="00C345B1"/>
    <w:rsid w:val="00C40142"/>
    <w:rsid w:val="00C46B36"/>
    <w:rsid w:val="00C52C3C"/>
    <w:rsid w:val="00C54A5A"/>
    <w:rsid w:val="00C57182"/>
    <w:rsid w:val="00C57863"/>
    <w:rsid w:val="00C640AF"/>
    <w:rsid w:val="00C655FD"/>
    <w:rsid w:val="00C75407"/>
    <w:rsid w:val="00C841C6"/>
    <w:rsid w:val="00C870A8"/>
    <w:rsid w:val="00C87CF2"/>
    <w:rsid w:val="00C9428E"/>
    <w:rsid w:val="00C94434"/>
    <w:rsid w:val="00CA0D75"/>
    <w:rsid w:val="00CA1C95"/>
    <w:rsid w:val="00CA5A9C"/>
    <w:rsid w:val="00CA7330"/>
    <w:rsid w:val="00CB0E65"/>
    <w:rsid w:val="00CB39DC"/>
    <w:rsid w:val="00CC4C20"/>
    <w:rsid w:val="00CD3517"/>
    <w:rsid w:val="00CD4DA0"/>
    <w:rsid w:val="00CD5FE2"/>
    <w:rsid w:val="00CE234E"/>
    <w:rsid w:val="00CE7C68"/>
    <w:rsid w:val="00D02B4C"/>
    <w:rsid w:val="00D040C4"/>
    <w:rsid w:val="00D14E38"/>
    <w:rsid w:val="00D20AD1"/>
    <w:rsid w:val="00D220A9"/>
    <w:rsid w:val="00D2582C"/>
    <w:rsid w:val="00D453C0"/>
    <w:rsid w:val="00D46B7E"/>
    <w:rsid w:val="00D51692"/>
    <w:rsid w:val="00D57C84"/>
    <w:rsid w:val="00D6057D"/>
    <w:rsid w:val="00D71640"/>
    <w:rsid w:val="00D836C5"/>
    <w:rsid w:val="00D84576"/>
    <w:rsid w:val="00D858FA"/>
    <w:rsid w:val="00DA1399"/>
    <w:rsid w:val="00DA24C6"/>
    <w:rsid w:val="00DA4D7B"/>
    <w:rsid w:val="00DB6D6F"/>
    <w:rsid w:val="00DC1322"/>
    <w:rsid w:val="00DC2840"/>
    <w:rsid w:val="00DC73EE"/>
    <w:rsid w:val="00DD271C"/>
    <w:rsid w:val="00DE264A"/>
    <w:rsid w:val="00DE6803"/>
    <w:rsid w:val="00DF5072"/>
    <w:rsid w:val="00DF547B"/>
    <w:rsid w:val="00E02D18"/>
    <w:rsid w:val="00E03DB1"/>
    <w:rsid w:val="00E041E7"/>
    <w:rsid w:val="00E0422A"/>
    <w:rsid w:val="00E05AAD"/>
    <w:rsid w:val="00E12A29"/>
    <w:rsid w:val="00E23CA1"/>
    <w:rsid w:val="00E26874"/>
    <w:rsid w:val="00E329EB"/>
    <w:rsid w:val="00E409A8"/>
    <w:rsid w:val="00E50C12"/>
    <w:rsid w:val="00E638B5"/>
    <w:rsid w:val="00E65B91"/>
    <w:rsid w:val="00E67753"/>
    <w:rsid w:val="00E7209D"/>
    <w:rsid w:val="00E72EAD"/>
    <w:rsid w:val="00E74B41"/>
    <w:rsid w:val="00E77223"/>
    <w:rsid w:val="00E8528B"/>
    <w:rsid w:val="00E85B94"/>
    <w:rsid w:val="00E978D0"/>
    <w:rsid w:val="00EA4613"/>
    <w:rsid w:val="00EA7F91"/>
    <w:rsid w:val="00EB1523"/>
    <w:rsid w:val="00EB37D4"/>
    <w:rsid w:val="00EC0E49"/>
    <w:rsid w:val="00EC101F"/>
    <w:rsid w:val="00EC1779"/>
    <w:rsid w:val="00EC1D9F"/>
    <w:rsid w:val="00ED664D"/>
    <w:rsid w:val="00EE0131"/>
    <w:rsid w:val="00EE17B0"/>
    <w:rsid w:val="00EF06D9"/>
    <w:rsid w:val="00F27EE4"/>
    <w:rsid w:val="00F3049E"/>
    <w:rsid w:val="00F30C64"/>
    <w:rsid w:val="00F32BA2"/>
    <w:rsid w:val="00F32CDB"/>
    <w:rsid w:val="00F41EE4"/>
    <w:rsid w:val="00F422CC"/>
    <w:rsid w:val="00F565FE"/>
    <w:rsid w:val="00F57FB7"/>
    <w:rsid w:val="00F63A70"/>
    <w:rsid w:val="00F63D8C"/>
    <w:rsid w:val="00F644FD"/>
    <w:rsid w:val="00F7534E"/>
    <w:rsid w:val="00F761AD"/>
    <w:rsid w:val="00F80A8B"/>
    <w:rsid w:val="00F93EDF"/>
    <w:rsid w:val="00FA1802"/>
    <w:rsid w:val="00FA21D0"/>
    <w:rsid w:val="00FA5F5F"/>
    <w:rsid w:val="00FB492F"/>
    <w:rsid w:val="00FB730C"/>
    <w:rsid w:val="00FC2695"/>
    <w:rsid w:val="00FC3E03"/>
    <w:rsid w:val="00FC3FC1"/>
    <w:rsid w:val="00FD3EA4"/>
    <w:rsid w:val="00FF34F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table" w:styleId="Grigliatabellachiara">
    <w:name w:val="Grid Table Light"/>
    <w:basedOn w:val="Tabellanormale"/>
    <w:uiPriority w:val="40"/>
    <w:rsid w:val="0026224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246813429">
      <w:bodyDiv w:val="1"/>
      <w:marLeft w:val="0"/>
      <w:marRight w:val="0"/>
      <w:marTop w:val="0"/>
      <w:marBottom w:val="0"/>
      <w:divBdr>
        <w:top w:val="none" w:sz="0" w:space="0" w:color="auto"/>
        <w:left w:val="none" w:sz="0" w:space="0" w:color="auto"/>
        <w:bottom w:val="none" w:sz="0" w:space="0" w:color="auto"/>
        <w:right w:val="none" w:sz="0" w:space="0" w:color="auto"/>
      </w:divBdr>
    </w:div>
    <w:div w:id="334260417">
      <w:bodyDiv w:val="1"/>
      <w:marLeft w:val="0"/>
      <w:marRight w:val="0"/>
      <w:marTop w:val="0"/>
      <w:marBottom w:val="0"/>
      <w:divBdr>
        <w:top w:val="none" w:sz="0" w:space="0" w:color="auto"/>
        <w:left w:val="none" w:sz="0" w:space="0" w:color="auto"/>
        <w:bottom w:val="none" w:sz="0" w:space="0" w:color="auto"/>
        <w:right w:val="none" w:sz="0" w:space="0" w:color="auto"/>
      </w:divBdr>
    </w:div>
    <w:div w:id="363218597">
      <w:bodyDiv w:val="1"/>
      <w:marLeft w:val="0"/>
      <w:marRight w:val="0"/>
      <w:marTop w:val="0"/>
      <w:marBottom w:val="0"/>
      <w:divBdr>
        <w:top w:val="none" w:sz="0" w:space="0" w:color="auto"/>
        <w:left w:val="none" w:sz="0" w:space="0" w:color="auto"/>
        <w:bottom w:val="none" w:sz="0" w:space="0" w:color="auto"/>
        <w:right w:val="none" w:sz="0" w:space="0" w:color="auto"/>
      </w:divBdr>
    </w:div>
    <w:div w:id="374886435">
      <w:bodyDiv w:val="1"/>
      <w:marLeft w:val="0"/>
      <w:marRight w:val="0"/>
      <w:marTop w:val="0"/>
      <w:marBottom w:val="0"/>
      <w:divBdr>
        <w:top w:val="none" w:sz="0" w:space="0" w:color="auto"/>
        <w:left w:val="none" w:sz="0" w:space="0" w:color="auto"/>
        <w:bottom w:val="none" w:sz="0" w:space="0" w:color="auto"/>
        <w:right w:val="none" w:sz="0" w:space="0" w:color="auto"/>
      </w:divBdr>
    </w:div>
    <w:div w:id="541132304">
      <w:bodyDiv w:val="1"/>
      <w:marLeft w:val="0"/>
      <w:marRight w:val="0"/>
      <w:marTop w:val="0"/>
      <w:marBottom w:val="0"/>
      <w:divBdr>
        <w:top w:val="none" w:sz="0" w:space="0" w:color="auto"/>
        <w:left w:val="none" w:sz="0" w:space="0" w:color="auto"/>
        <w:bottom w:val="none" w:sz="0" w:space="0" w:color="auto"/>
        <w:right w:val="none" w:sz="0" w:space="0" w:color="auto"/>
      </w:divBdr>
    </w:div>
    <w:div w:id="609554614">
      <w:bodyDiv w:val="1"/>
      <w:marLeft w:val="0"/>
      <w:marRight w:val="0"/>
      <w:marTop w:val="0"/>
      <w:marBottom w:val="0"/>
      <w:divBdr>
        <w:top w:val="none" w:sz="0" w:space="0" w:color="auto"/>
        <w:left w:val="none" w:sz="0" w:space="0" w:color="auto"/>
        <w:bottom w:val="none" w:sz="0" w:space="0" w:color="auto"/>
        <w:right w:val="none" w:sz="0" w:space="0" w:color="auto"/>
      </w:divBdr>
    </w:div>
    <w:div w:id="707072257">
      <w:bodyDiv w:val="1"/>
      <w:marLeft w:val="0"/>
      <w:marRight w:val="0"/>
      <w:marTop w:val="0"/>
      <w:marBottom w:val="0"/>
      <w:divBdr>
        <w:top w:val="none" w:sz="0" w:space="0" w:color="auto"/>
        <w:left w:val="none" w:sz="0" w:space="0" w:color="auto"/>
        <w:bottom w:val="none" w:sz="0" w:space="0" w:color="auto"/>
        <w:right w:val="none" w:sz="0" w:space="0" w:color="auto"/>
      </w:divBdr>
    </w:div>
    <w:div w:id="727917111">
      <w:bodyDiv w:val="1"/>
      <w:marLeft w:val="0"/>
      <w:marRight w:val="0"/>
      <w:marTop w:val="0"/>
      <w:marBottom w:val="0"/>
      <w:divBdr>
        <w:top w:val="none" w:sz="0" w:space="0" w:color="auto"/>
        <w:left w:val="none" w:sz="0" w:space="0" w:color="auto"/>
        <w:bottom w:val="none" w:sz="0" w:space="0" w:color="auto"/>
        <w:right w:val="none" w:sz="0" w:space="0" w:color="auto"/>
      </w:divBdr>
    </w:div>
    <w:div w:id="74503407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8076">
      <w:bodyDiv w:val="1"/>
      <w:marLeft w:val="0"/>
      <w:marRight w:val="0"/>
      <w:marTop w:val="0"/>
      <w:marBottom w:val="0"/>
      <w:divBdr>
        <w:top w:val="none" w:sz="0" w:space="0" w:color="auto"/>
        <w:left w:val="none" w:sz="0" w:space="0" w:color="auto"/>
        <w:bottom w:val="none" w:sz="0" w:space="0" w:color="auto"/>
        <w:right w:val="none" w:sz="0" w:space="0" w:color="auto"/>
      </w:divBdr>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6311559">
      <w:bodyDiv w:val="1"/>
      <w:marLeft w:val="0"/>
      <w:marRight w:val="0"/>
      <w:marTop w:val="0"/>
      <w:marBottom w:val="0"/>
      <w:divBdr>
        <w:top w:val="none" w:sz="0" w:space="0" w:color="auto"/>
        <w:left w:val="none" w:sz="0" w:space="0" w:color="auto"/>
        <w:bottom w:val="none" w:sz="0" w:space="0" w:color="auto"/>
        <w:right w:val="none" w:sz="0" w:space="0" w:color="auto"/>
      </w:divBdr>
    </w:div>
    <w:div w:id="877007604">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09667">
      <w:bodyDiv w:val="1"/>
      <w:marLeft w:val="0"/>
      <w:marRight w:val="0"/>
      <w:marTop w:val="0"/>
      <w:marBottom w:val="0"/>
      <w:divBdr>
        <w:top w:val="none" w:sz="0" w:space="0" w:color="auto"/>
        <w:left w:val="none" w:sz="0" w:space="0" w:color="auto"/>
        <w:bottom w:val="none" w:sz="0" w:space="0" w:color="auto"/>
        <w:right w:val="none" w:sz="0" w:space="0" w:color="auto"/>
      </w:divBdr>
    </w:div>
    <w:div w:id="1168593668">
      <w:bodyDiv w:val="1"/>
      <w:marLeft w:val="0"/>
      <w:marRight w:val="0"/>
      <w:marTop w:val="0"/>
      <w:marBottom w:val="0"/>
      <w:divBdr>
        <w:top w:val="none" w:sz="0" w:space="0" w:color="auto"/>
        <w:left w:val="none" w:sz="0" w:space="0" w:color="auto"/>
        <w:bottom w:val="none" w:sz="0" w:space="0" w:color="auto"/>
        <w:right w:val="none" w:sz="0" w:space="0" w:color="auto"/>
      </w:divBdr>
    </w:div>
    <w:div w:id="1222836638">
      <w:bodyDiv w:val="1"/>
      <w:marLeft w:val="0"/>
      <w:marRight w:val="0"/>
      <w:marTop w:val="0"/>
      <w:marBottom w:val="0"/>
      <w:divBdr>
        <w:top w:val="none" w:sz="0" w:space="0" w:color="auto"/>
        <w:left w:val="none" w:sz="0" w:space="0" w:color="auto"/>
        <w:bottom w:val="none" w:sz="0" w:space="0" w:color="auto"/>
        <w:right w:val="none" w:sz="0" w:space="0" w:color="auto"/>
      </w:divBdr>
    </w:div>
    <w:div w:id="1331371697">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77720115">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63698714">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931699605">
      <w:bodyDiv w:val="1"/>
      <w:marLeft w:val="0"/>
      <w:marRight w:val="0"/>
      <w:marTop w:val="0"/>
      <w:marBottom w:val="0"/>
      <w:divBdr>
        <w:top w:val="none" w:sz="0" w:space="0" w:color="auto"/>
        <w:left w:val="none" w:sz="0" w:space="0" w:color="auto"/>
        <w:bottom w:val="none" w:sz="0" w:space="0" w:color="auto"/>
        <w:right w:val="none" w:sz="0" w:space="0" w:color="auto"/>
      </w:divBdr>
    </w:div>
    <w:div w:id="1969824019">
      <w:bodyDiv w:val="1"/>
      <w:marLeft w:val="0"/>
      <w:marRight w:val="0"/>
      <w:marTop w:val="0"/>
      <w:marBottom w:val="0"/>
      <w:divBdr>
        <w:top w:val="none" w:sz="0" w:space="0" w:color="auto"/>
        <w:left w:val="none" w:sz="0" w:space="0" w:color="auto"/>
        <w:bottom w:val="none" w:sz="0" w:space="0" w:color="auto"/>
        <w:right w:val="none" w:sz="0" w:space="0" w:color="auto"/>
      </w:divBdr>
    </w:div>
    <w:div w:id="205554615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2474</Words>
  <Characters>14103</Characters>
  <Application>Microsoft Office Word</Application>
  <DocSecurity>0</DocSecurity>
  <Lines>117</Lines>
  <Paragraphs>33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6</cp:revision>
  <cp:lastPrinted>2015-05-12T18:31:00Z</cp:lastPrinted>
  <dcterms:created xsi:type="dcterms:W3CDTF">2024-11-03T18:12:00Z</dcterms:created>
  <dcterms:modified xsi:type="dcterms:W3CDTF">2024-11-21T11:29:00Z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