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30F07041" w14:textId="11182ABA" w:rsidR="00F27EE4" w:rsidRPr="00F27EE4" w:rsidRDefault="00AA7D26" w:rsidP="00F27EE4">
            <w:pPr>
              <w:ind w:left="-107"/>
              <w:rPr>
                <w:rFonts w:ascii="Tahoma" w:hAnsi="Tahoma" w:cs="Tahoma"/>
                <w:b/>
                <w:bCs/>
                <w:color w:val="000000"/>
                <w:sz w:val="14"/>
                <w:szCs w:val="14"/>
                <w:shd w:val="clear" w:color="auto" w:fill="FFFFFF"/>
                <w:lang w:val="it-IT"/>
              </w:rPr>
            </w:pPr>
            <w:r w:rsidRPr="00F27EE4">
              <w:rPr>
                <w:rFonts w:ascii="Tahoma" w:hAnsi="Tahoma" w:cs="Tahoma"/>
                <w:iCs/>
                <w:color w:val="333333"/>
                <w:sz w:val="14"/>
                <w:szCs w:val="14"/>
                <w:lang w:val="it-IT" w:eastAsia="it-IT"/>
              </w:rPr>
              <w:t>Guest Editors:</w:t>
            </w:r>
            <w:r w:rsidR="007D610D" w:rsidRPr="00F27EE4">
              <w:rPr>
                <w:rFonts w:ascii="Aptos" w:eastAsiaTheme="minorHAnsi" w:hAnsi="Aptos" w:cs="Aptos"/>
                <w:sz w:val="22"/>
                <w:szCs w:val="22"/>
                <w:lang w:val="it-IT"/>
                <w14:ligatures w14:val="standardContextual"/>
              </w:rPr>
              <w:t xml:space="preserve"> </w:t>
            </w:r>
            <w:r w:rsidR="00F27EE4" w:rsidRPr="00F27EE4">
              <w:rPr>
                <w:rFonts w:ascii="Tahoma" w:hAnsi="Tahoma" w:cs="Tahoma"/>
                <w:color w:val="000000"/>
                <w:sz w:val="14"/>
                <w:szCs w:val="14"/>
                <w:shd w:val="clear" w:color="auto" w:fill="FFFFFF"/>
                <w:lang w:val="it-IT"/>
              </w:rPr>
              <w:t>Bruno Fabiano, Va</w:t>
            </w:r>
            <w:r w:rsidR="00F27EE4">
              <w:rPr>
                <w:rFonts w:ascii="Tahoma" w:hAnsi="Tahoma" w:cs="Tahoma"/>
                <w:color w:val="000000"/>
                <w:sz w:val="14"/>
                <w:szCs w:val="14"/>
                <w:shd w:val="clear" w:color="auto" w:fill="FFFFFF"/>
                <w:lang w:val="it-IT"/>
              </w:rPr>
              <w:t>lerio Cozzani</w:t>
            </w:r>
          </w:p>
          <w:p w14:paraId="1B0F1814" w14:textId="2DB8A072"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F27EE4">
              <w:rPr>
                <w:rFonts w:ascii="Tahoma" w:hAnsi="Tahoma" w:cs="Tahoma"/>
                <w:sz w:val="14"/>
                <w:szCs w:val="14"/>
              </w:rPr>
              <w:t>xx-y</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65867394" w:rsidR="00E978D0" w:rsidRPr="00B57B36" w:rsidRDefault="002E4B67" w:rsidP="00E978D0">
      <w:pPr>
        <w:pStyle w:val="CETTitle"/>
      </w:pPr>
      <w:r>
        <w:t>The Crucial Role of Safety in Carbon Capture and Storage: Addressing Knowledge Gaps for a Sustainable Future</w:t>
      </w:r>
    </w:p>
    <w:p w14:paraId="0488FED2" w14:textId="10000224" w:rsidR="00B57E6F" w:rsidRPr="002E4B67" w:rsidRDefault="002E4B67" w:rsidP="00B57E6F">
      <w:pPr>
        <w:pStyle w:val="CETAuthors"/>
        <w:rPr>
          <w:lang w:val="it-IT"/>
        </w:rPr>
      </w:pPr>
      <w:r w:rsidRPr="002E4B67">
        <w:rPr>
          <w:lang w:val="it-IT"/>
        </w:rPr>
        <w:t>Federica Tamburini, Francesco Zanobetti, Sarah Bonvicini, Valeri</w:t>
      </w:r>
      <w:r>
        <w:rPr>
          <w:lang w:val="it-IT"/>
        </w:rPr>
        <w:t>o Cozzani</w:t>
      </w:r>
    </w:p>
    <w:p w14:paraId="1D8E6EF8" w14:textId="68EEEE30" w:rsidR="002E4B67" w:rsidRPr="002E4B67" w:rsidRDefault="002E4B67" w:rsidP="002E4B67">
      <w:pPr>
        <w:pStyle w:val="CETAddress"/>
        <w:rPr>
          <w:lang w:val="it-IT"/>
        </w:rPr>
      </w:pPr>
      <w:r w:rsidRPr="002E4B67">
        <w:rPr>
          <w:lang w:val="it-IT"/>
        </w:rPr>
        <w:t>LISES - Dipartimento di Ingegneria Civile, Chimica, Ambientale e dei Materiali, Alma Mater Studiorum - Università di</w:t>
      </w:r>
    </w:p>
    <w:p w14:paraId="6B2D21B3" w14:textId="31348E04" w:rsidR="00B57E6F" w:rsidRPr="002E4B67" w:rsidRDefault="002E4B67" w:rsidP="002E4B67">
      <w:pPr>
        <w:pStyle w:val="CETAddress"/>
        <w:rPr>
          <w:lang w:val="it-IT"/>
        </w:rPr>
      </w:pPr>
      <w:r w:rsidRPr="002E4B67">
        <w:rPr>
          <w:lang w:val="it-IT"/>
        </w:rPr>
        <w:t>Bologna, 40131, Bologna, Italy</w:t>
      </w:r>
      <w:r w:rsidR="00B57E6F" w:rsidRPr="002E4B67">
        <w:rPr>
          <w:lang w:val="it-IT"/>
        </w:rPr>
        <w:t xml:space="preserve"> </w:t>
      </w:r>
    </w:p>
    <w:p w14:paraId="73F1267A" w14:textId="47646F64" w:rsidR="00B57E6F" w:rsidRPr="002E4B67" w:rsidRDefault="002E4B67" w:rsidP="00B57E6F">
      <w:pPr>
        <w:pStyle w:val="CETemail"/>
        <w:rPr>
          <w:lang w:val="it-IT"/>
        </w:rPr>
      </w:pPr>
      <w:r w:rsidRPr="002E4B67">
        <w:rPr>
          <w:lang w:val="it-IT"/>
        </w:rPr>
        <w:t>federica.tamburini9@unibo.it</w:t>
      </w:r>
    </w:p>
    <w:p w14:paraId="38F76186" w14:textId="5A0C6F40" w:rsidR="006A6DE5" w:rsidRPr="004C4C74" w:rsidRDefault="002003C8" w:rsidP="00A61211">
      <w:pPr>
        <w:pStyle w:val="CETBodytext"/>
        <w:rPr>
          <w:lang w:val="en-GB"/>
        </w:rPr>
      </w:pPr>
      <w:r w:rsidRPr="002003C8">
        <w:rPr>
          <w:lang w:val="en-GB"/>
        </w:rPr>
        <w:t>Global warming, driven largely by rising carbon dioxide (C</w:t>
      </w:r>
      <w:r>
        <w:rPr>
          <w:lang w:val="en-GB"/>
        </w:rPr>
        <w:t>O</w:t>
      </w:r>
      <w:r w:rsidRPr="002003C8">
        <w:rPr>
          <w:vertAlign w:val="subscript"/>
          <w:lang w:val="en-GB"/>
        </w:rPr>
        <w:t>2</w:t>
      </w:r>
      <w:r w:rsidRPr="002003C8">
        <w:rPr>
          <w:lang w:val="en-GB"/>
        </w:rPr>
        <w:t>) emissions from human activities, continues to pose a critical global challenge, impacting ecosystems, economies, and public health.</w:t>
      </w:r>
      <w:r>
        <w:rPr>
          <w:lang w:val="en-GB"/>
        </w:rPr>
        <w:t xml:space="preserve"> </w:t>
      </w:r>
      <w:r w:rsidR="00A61211" w:rsidRPr="00A61211">
        <w:rPr>
          <w:lang w:val="en-GB"/>
        </w:rPr>
        <w:t>Carbon Capture and Storage (CCS) has emerged as a promising strategy for reducing emissions, particularly during the ongoing energy transition when fossil fuels remain a primary energy source. However, the effectiveness and public acceptance of CCS are hampered by safety concerns throughout its value chain, especially due to</w:t>
      </w:r>
      <w:r w:rsidR="00A61211">
        <w:rPr>
          <w:lang w:val="en-GB"/>
        </w:rPr>
        <w:t xml:space="preserve"> the peculiar </w:t>
      </w:r>
      <w:r w:rsidR="00A61211" w:rsidRPr="00A61211">
        <w:rPr>
          <w:lang w:val="en-GB"/>
        </w:rPr>
        <w:t>thermodynamic properties</w:t>
      </w:r>
      <w:r w:rsidR="00A61211">
        <w:rPr>
          <w:lang w:val="en-GB"/>
        </w:rPr>
        <w:t xml:space="preserve"> of CO</w:t>
      </w:r>
      <w:r w:rsidR="00A61211" w:rsidRPr="00A61211">
        <w:rPr>
          <w:vertAlign w:val="subscript"/>
          <w:lang w:val="en-GB"/>
        </w:rPr>
        <w:t>2</w:t>
      </w:r>
      <w:r w:rsidR="00A61211" w:rsidRPr="00A61211">
        <w:rPr>
          <w:lang w:val="en-GB"/>
        </w:rPr>
        <w:t>.</w:t>
      </w:r>
      <w:r w:rsidR="00CA0778">
        <w:rPr>
          <w:lang w:val="en-GB"/>
        </w:rPr>
        <w:t xml:space="preserve"> </w:t>
      </w:r>
      <w:r w:rsidR="00A61211" w:rsidRPr="00A61211">
        <w:rPr>
          <w:lang w:val="en-GB"/>
        </w:rPr>
        <w:t xml:space="preserve">This paper addresses </w:t>
      </w:r>
      <w:r w:rsidR="0058408F">
        <w:rPr>
          <w:lang w:val="en-GB"/>
        </w:rPr>
        <w:t>such</w:t>
      </w:r>
      <w:r w:rsidR="00A61211" w:rsidRPr="00A61211">
        <w:rPr>
          <w:lang w:val="en-GB"/>
        </w:rPr>
        <w:t xml:space="preserve"> safety concerns reviewing existing literature on risk assessment and safety evaluation models for CCS technology, identifying key knowledge gaps across all </w:t>
      </w:r>
      <w:r w:rsidR="00A61211" w:rsidRPr="003A2FE0">
        <w:rPr>
          <w:lang w:val="en-GB"/>
        </w:rPr>
        <w:t xml:space="preserve">stages of the CCS value chain. Then, to bridge these gaps, a twofold approach is proposed: </w:t>
      </w:r>
      <w:proofErr w:type="spellStart"/>
      <w:r w:rsidR="003A2FE0">
        <w:rPr>
          <w:lang w:val="en-GB"/>
        </w:rPr>
        <w:t>i</w:t>
      </w:r>
      <w:proofErr w:type="spellEnd"/>
      <w:r w:rsidR="003A2FE0">
        <w:rPr>
          <w:lang w:val="en-GB"/>
        </w:rPr>
        <w:t>)</w:t>
      </w:r>
      <w:r w:rsidR="00A61211" w:rsidRPr="003A2FE0">
        <w:rPr>
          <w:lang w:val="en-GB"/>
        </w:rPr>
        <w:t xml:space="preserve"> the study</w:t>
      </w:r>
      <w:r w:rsidR="00A61211" w:rsidRPr="00A61211">
        <w:rPr>
          <w:lang w:val="en-GB"/>
        </w:rPr>
        <w:t xml:space="preserve"> compiles a comprehensive baseline of reference data for </w:t>
      </w:r>
      <w:r w:rsidR="003A2FE0">
        <w:rPr>
          <w:lang w:val="en-GB"/>
        </w:rPr>
        <w:t xml:space="preserve">the </w:t>
      </w:r>
      <w:r w:rsidR="00A61211" w:rsidRPr="00A61211">
        <w:rPr>
          <w:lang w:val="en-GB"/>
        </w:rPr>
        <w:t>safety assessment</w:t>
      </w:r>
      <w:r w:rsidR="003A2FE0">
        <w:rPr>
          <w:lang w:val="en-GB"/>
        </w:rPr>
        <w:t xml:space="preserve"> of CCS systems</w:t>
      </w:r>
      <w:r w:rsidR="00A61211" w:rsidRPr="00A61211">
        <w:rPr>
          <w:lang w:val="en-GB"/>
        </w:rPr>
        <w:t xml:space="preserve">; </w:t>
      </w:r>
      <w:r w:rsidR="003A2FE0">
        <w:rPr>
          <w:lang w:val="en-GB"/>
        </w:rPr>
        <w:t>ii)</w:t>
      </w:r>
      <w:r w:rsidR="00A61211" w:rsidRPr="00A61211">
        <w:rPr>
          <w:lang w:val="en-GB"/>
        </w:rPr>
        <w:t xml:space="preserve"> inherent safety principles </w:t>
      </w:r>
      <w:r w:rsidR="003A2FE0">
        <w:rPr>
          <w:lang w:val="en-GB"/>
        </w:rPr>
        <w:t xml:space="preserve">are applied </w:t>
      </w:r>
      <w:r w:rsidR="00A61211" w:rsidRPr="00A61211">
        <w:rPr>
          <w:lang w:val="en-GB"/>
        </w:rPr>
        <w:t>to a real-world</w:t>
      </w:r>
      <w:r w:rsidR="006C5C36">
        <w:rPr>
          <w:lang w:val="en-GB"/>
        </w:rPr>
        <w:t>-like</w:t>
      </w:r>
      <w:r w:rsidR="00A61211" w:rsidRPr="00A61211">
        <w:rPr>
          <w:lang w:val="en-GB"/>
        </w:rPr>
        <w:t xml:space="preserve"> CCS case study, using consequence model</w:t>
      </w:r>
      <w:r w:rsidR="00A61211">
        <w:rPr>
          <w:lang w:val="en-GB"/>
        </w:rPr>
        <w:t>l</w:t>
      </w:r>
      <w:r w:rsidR="00A61211" w:rsidRPr="00A61211">
        <w:rPr>
          <w:lang w:val="en-GB"/>
        </w:rPr>
        <w:t xml:space="preserve">ing to </w:t>
      </w:r>
      <w:r w:rsidR="003A2FE0">
        <w:rPr>
          <w:lang w:val="en-GB"/>
        </w:rPr>
        <w:t>assess specific</w:t>
      </w:r>
      <w:r w:rsidR="00A61211" w:rsidRPr="00A61211">
        <w:rPr>
          <w:lang w:val="en-GB"/>
        </w:rPr>
        <w:t xml:space="preserve"> </w:t>
      </w:r>
      <w:r w:rsidR="00A231D8">
        <w:rPr>
          <w:lang w:val="en-GB"/>
        </w:rPr>
        <w:t>hazard indexes</w:t>
      </w:r>
      <w:r w:rsidR="00A61211" w:rsidRPr="00A61211">
        <w:rPr>
          <w:lang w:val="en-GB"/>
        </w:rPr>
        <w:t xml:space="preserve">. By combining </w:t>
      </w:r>
      <w:r w:rsidR="003A2FE0">
        <w:rPr>
          <w:lang w:val="en-GB"/>
        </w:rPr>
        <w:t xml:space="preserve">the </w:t>
      </w:r>
      <w:r w:rsidR="00A61211" w:rsidRPr="00A61211">
        <w:rPr>
          <w:lang w:val="en-GB"/>
        </w:rPr>
        <w:t>theoretical review with practical application</w:t>
      </w:r>
      <w:r w:rsidR="003A2FE0">
        <w:rPr>
          <w:lang w:val="en-GB"/>
        </w:rPr>
        <w:t>s</w:t>
      </w:r>
      <w:r w:rsidR="00A61211" w:rsidRPr="00A61211">
        <w:rPr>
          <w:lang w:val="en-GB"/>
        </w:rPr>
        <w:t xml:space="preserve">, the paper emphasizes the importance of integrating safety into CCS design and operations </w:t>
      </w:r>
      <w:r w:rsidR="00CF506E">
        <w:rPr>
          <w:lang w:val="en-GB"/>
        </w:rPr>
        <w:t xml:space="preserve">and </w:t>
      </w:r>
      <w:r w:rsidR="003A2FE0">
        <w:rPr>
          <w:lang w:val="en-GB"/>
        </w:rPr>
        <w:t xml:space="preserve">provides data to support </w:t>
      </w:r>
      <w:r w:rsidR="00A61211" w:rsidRPr="00A61211">
        <w:rPr>
          <w:lang w:val="en-GB"/>
        </w:rPr>
        <w:t xml:space="preserve">safety </w:t>
      </w:r>
      <w:r w:rsidR="003A2FE0">
        <w:rPr>
          <w:lang w:val="en-GB"/>
        </w:rPr>
        <w:t xml:space="preserve">enhancement </w:t>
      </w:r>
      <w:r w:rsidR="00A61211" w:rsidRPr="00A61211">
        <w:rPr>
          <w:lang w:val="en-GB"/>
        </w:rPr>
        <w:t>in future CCS projects.</w:t>
      </w:r>
    </w:p>
    <w:p w14:paraId="476B2F2E" w14:textId="19AEC4FE" w:rsidR="00600535" w:rsidRDefault="00600535" w:rsidP="00600535">
      <w:pPr>
        <w:pStyle w:val="CETHeading1"/>
        <w:rPr>
          <w:lang w:val="en-GB"/>
        </w:rPr>
      </w:pPr>
      <w:r w:rsidRPr="00B57B36">
        <w:rPr>
          <w:lang w:val="en-GB"/>
        </w:rPr>
        <w:t>Introduction</w:t>
      </w:r>
    </w:p>
    <w:p w14:paraId="323734C5" w14:textId="21F60D4F" w:rsidR="00C15A7D" w:rsidRPr="00551EB1" w:rsidRDefault="001C07DE" w:rsidP="00F95D83">
      <w:pPr>
        <w:pStyle w:val="CETBodytext"/>
        <w:rPr>
          <w:lang w:val="en-GB"/>
        </w:rPr>
      </w:pPr>
      <w:r w:rsidRPr="001C07DE">
        <w:rPr>
          <w:lang w:val="en-GB"/>
        </w:rPr>
        <w:t>Climate change and the global push to reduce greenhouse gas emissions have made the energy transition an urgent priority</w:t>
      </w:r>
      <w:r w:rsidR="006F6B7F">
        <w:t xml:space="preserve"> (IPCC, 2005)</w:t>
      </w:r>
      <w:r w:rsidRPr="001C07DE">
        <w:rPr>
          <w:lang w:val="en-GB"/>
        </w:rPr>
        <w:t xml:space="preserve">. While renewable energy sources like green hydrogen </w:t>
      </w:r>
      <w:r w:rsidR="00520F18">
        <w:rPr>
          <w:lang w:val="en-GB"/>
        </w:rPr>
        <w:t>offer</w:t>
      </w:r>
      <w:r w:rsidRPr="001C07DE">
        <w:rPr>
          <w:lang w:val="en-GB"/>
        </w:rPr>
        <w:t xml:space="preserve"> long-term solution</w:t>
      </w:r>
      <w:r w:rsidR="00520F18">
        <w:rPr>
          <w:lang w:val="en-GB"/>
        </w:rPr>
        <w:t>s</w:t>
      </w:r>
      <w:r w:rsidRPr="001C07DE">
        <w:rPr>
          <w:lang w:val="en-GB"/>
        </w:rPr>
        <w:t xml:space="preserve"> for a sustainable, low-carbon future, technologies </w:t>
      </w:r>
      <w:r w:rsidR="00520F18">
        <w:rPr>
          <w:lang w:val="en-GB"/>
        </w:rPr>
        <w:t>such as</w:t>
      </w:r>
      <w:r w:rsidRPr="001C07DE">
        <w:rPr>
          <w:lang w:val="en-GB"/>
        </w:rPr>
        <w:t xml:space="preserve"> Carbon Capture and Storage (CCS) </w:t>
      </w:r>
      <w:r w:rsidR="00520F18">
        <w:rPr>
          <w:lang w:val="en-GB"/>
        </w:rPr>
        <w:t xml:space="preserve">are </w:t>
      </w:r>
      <w:r w:rsidR="003A2FE0">
        <w:rPr>
          <w:lang w:val="en-GB"/>
        </w:rPr>
        <w:t>key</w:t>
      </w:r>
      <w:r w:rsidRPr="001C07DE">
        <w:rPr>
          <w:lang w:val="en-GB"/>
        </w:rPr>
        <w:t xml:space="preserve"> short</w:t>
      </w:r>
      <w:r w:rsidR="003A2FE0">
        <w:rPr>
          <w:lang w:val="en-GB"/>
        </w:rPr>
        <w:t xml:space="preserve"> and mid</w:t>
      </w:r>
      <w:r w:rsidRPr="001C07DE">
        <w:rPr>
          <w:lang w:val="en-GB"/>
        </w:rPr>
        <w:t xml:space="preserve">-term strategies to bridge the gap during the </w:t>
      </w:r>
      <w:r w:rsidR="003A2FE0">
        <w:rPr>
          <w:lang w:val="en-GB"/>
        </w:rPr>
        <w:t xml:space="preserve">energy </w:t>
      </w:r>
      <w:r w:rsidRPr="001C07DE">
        <w:rPr>
          <w:lang w:val="en-GB"/>
        </w:rPr>
        <w:t>transition</w:t>
      </w:r>
      <w:r w:rsidR="006F6B7F">
        <w:rPr>
          <w:lang w:val="en-GB"/>
        </w:rPr>
        <w:t xml:space="preserve"> (Tamburini et al., 202</w:t>
      </w:r>
      <w:r w:rsidR="00B531DD">
        <w:rPr>
          <w:lang w:val="en-GB"/>
        </w:rPr>
        <w:t>4</w:t>
      </w:r>
      <w:r w:rsidR="0090510C">
        <w:rPr>
          <w:lang w:val="en-GB"/>
        </w:rPr>
        <w:t>a</w:t>
      </w:r>
      <w:r w:rsidR="006F6B7F">
        <w:rPr>
          <w:lang w:val="en-GB"/>
        </w:rPr>
        <w:t>)</w:t>
      </w:r>
      <w:r w:rsidRPr="001C07DE">
        <w:rPr>
          <w:lang w:val="en-GB"/>
        </w:rPr>
        <w:t xml:space="preserve">. </w:t>
      </w:r>
      <w:r>
        <w:rPr>
          <w:lang w:val="en-GB"/>
        </w:rPr>
        <w:t>CC</w:t>
      </w:r>
      <w:r w:rsidRPr="001C07DE">
        <w:rPr>
          <w:lang w:val="en-GB"/>
        </w:rPr>
        <w:t xml:space="preserve">S is </w:t>
      </w:r>
      <w:r w:rsidR="00520F18" w:rsidRPr="001C07DE">
        <w:rPr>
          <w:lang w:val="en-GB"/>
        </w:rPr>
        <w:t>particularly</w:t>
      </w:r>
      <w:r w:rsidRPr="001C07DE">
        <w:rPr>
          <w:lang w:val="en-GB"/>
        </w:rPr>
        <w:t xml:space="preserve"> important in decarbonizing hard-to-abate sectors and </w:t>
      </w:r>
      <w:r w:rsidR="003A2FE0">
        <w:rPr>
          <w:lang w:val="en-GB"/>
        </w:rPr>
        <w:t xml:space="preserve">in </w:t>
      </w:r>
      <w:r w:rsidR="00520F18">
        <w:rPr>
          <w:lang w:val="en-GB"/>
        </w:rPr>
        <w:t>enabling</w:t>
      </w:r>
      <w:r w:rsidRPr="001C07DE">
        <w:rPr>
          <w:lang w:val="en-GB"/>
        </w:rPr>
        <w:t xml:space="preserve"> the production of blue hydrogen, which </w:t>
      </w:r>
      <w:r w:rsidR="00520F18">
        <w:rPr>
          <w:lang w:val="en-GB"/>
        </w:rPr>
        <w:t>relies on</w:t>
      </w:r>
      <w:r w:rsidRPr="001C07DE">
        <w:rPr>
          <w:lang w:val="en-GB"/>
        </w:rPr>
        <w:t xml:space="preserve"> natural gas</w:t>
      </w:r>
      <w:r w:rsidR="00E510D5">
        <w:rPr>
          <w:lang w:val="en-GB"/>
        </w:rPr>
        <w:t xml:space="preserve"> (NG)</w:t>
      </w:r>
      <w:r w:rsidRPr="001C07DE">
        <w:rPr>
          <w:lang w:val="en-GB"/>
        </w:rPr>
        <w:t xml:space="preserve"> but captures and stores the resulting </w:t>
      </w:r>
      <w:r>
        <w:rPr>
          <w:lang w:val="en-GB"/>
        </w:rPr>
        <w:t>carbon dioxide (</w:t>
      </w:r>
      <w:r w:rsidRPr="001C07DE">
        <w:rPr>
          <w:lang w:val="en-GB"/>
        </w:rPr>
        <w:t>CO</w:t>
      </w:r>
      <w:r w:rsidRPr="001C07DE">
        <w:rPr>
          <w:vertAlign w:val="subscript"/>
          <w:lang w:val="en-GB"/>
        </w:rPr>
        <w:t>2</w:t>
      </w:r>
      <w:r>
        <w:rPr>
          <w:lang w:val="en-GB"/>
        </w:rPr>
        <w:t>)</w:t>
      </w:r>
      <w:r w:rsidRPr="001C07DE">
        <w:rPr>
          <w:lang w:val="en-GB"/>
        </w:rPr>
        <w:t xml:space="preserve"> emissions to </w:t>
      </w:r>
      <w:r w:rsidR="00520F18">
        <w:rPr>
          <w:lang w:val="en-GB"/>
        </w:rPr>
        <w:t>lower</w:t>
      </w:r>
      <w:r w:rsidRPr="001C07DE">
        <w:rPr>
          <w:lang w:val="en-GB"/>
        </w:rPr>
        <w:t xml:space="preserve"> its carbon footprint</w:t>
      </w:r>
      <w:r w:rsidR="00F81968">
        <w:rPr>
          <w:lang w:val="en-GB"/>
        </w:rPr>
        <w:t xml:space="preserve"> (</w:t>
      </w:r>
      <w:proofErr w:type="spellStart"/>
      <w:r w:rsidR="00F81968">
        <w:rPr>
          <w:lang w:val="en-GB"/>
        </w:rPr>
        <w:t>Noussan</w:t>
      </w:r>
      <w:proofErr w:type="spellEnd"/>
      <w:r w:rsidR="00F81968">
        <w:rPr>
          <w:lang w:val="en-GB"/>
        </w:rPr>
        <w:t xml:space="preserve"> et al., 2021).</w:t>
      </w:r>
      <w:r w:rsidR="00551EB1">
        <w:rPr>
          <w:lang w:val="en-GB"/>
        </w:rPr>
        <w:t xml:space="preserve"> </w:t>
      </w:r>
      <w:r w:rsidR="007534E5">
        <w:rPr>
          <w:lang w:val="en-GB"/>
        </w:rPr>
        <w:t>Basically, t</w:t>
      </w:r>
      <w:r w:rsidR="00520F18">
        <w:rPr>
          <w:lang w:val="en-GB"/>
        </w:rPr>
        <w:t>he</w:t>
      </w:r>
      <w:r w:rsidR="00C06FE1">
        <w:rPr>
          <w:lang w:val="en-GB"/>
        </w:rPr>
        <w:t xml:space="preserve"> CCS</w:t>
      </w:r>
      <w:r w:rsidR="00520F18">
        <w:rPr>
          <w:lang w:val="en-GB"/>
        </w:rPr>
        <w:t xml:space="preserve"> process</w:t>
      </w:r>
      <w:r w:rsidR="00C06FE1" w:rsidRPr="00F95D83">
        <w:rPr>
          <w:lang w:val="en-GB"/>
        </w:rPr>
        <w:t xml:space="preserve"> involves a value chain consisting of four main stages: capture, conditioning, transport, and injection </w:t>
      </w:r>
      <w:r w:rsidR="00A336DF">
        <w:rPr>
          <w:lang w:val="en-GB"/>
        </w:rPr>
        <w:t>and</w:t>
      </w:r>
      <w:r w:rsidR="00C06FE1" w:rsidRPr="00F95D83">
        <w:rPr>
          <w:lang w:val="en-GB"/>
        </w:rPr>
        <w:t xml:space="preserve"> storage</w:t>
      </w:r>
      <w:r w:rsidR="00C06FE1">
        <w:rPr>
          <w:lang w:val="en-GB"/>
        </w:rPr>
        <w:t xml:space="preserve">, as </w:t>
      </w:r>
      <w:r w:rsidR="00171B95">
        <w:rPr>
          <w:lang w:val="en-GB"/>
        </w:rPr>
        <w:t>represented</w:t>
      </w:r>
      <w:r w:rsidR="00C06FE1">
        <w:rPr>
          <w:lang w:val="en-GB"/>
        </w:rPr>
        <w:t xml:space="preserve"> in</w:t>
      </w:r>
      <w:r w:rsidR="00171B95">
        <w:rPr>
          <w:lang w:val="en-GB"/>
        </w:rPr>
        <w:t xml:space="preserve"> </w:t>
      </w:r>
      <w:r w:rsidR="00171B95">
        <w:rPr>
          <w:lang w:val="en-GB"/>
        </w:rPr>
        <w:fldChar w:fldCharType="begin"/>
      </w:r>
      <w:r w:rsidR="00171B95">
        <w:rPr>
          <w:lang w:val="en-GB"/>
        </w:rPr>
        <w:instrText xml:space="preserve"> REF _Ref180664874 \h </w:instrText>
      </w:r>
      <w:r w:rsidR="00171B95">
        <w:rPr>
          <w:lang w:val="en-GB"/>
        </w:rPr>
      </w:r>
      <w:r w:rsidR="00171B95">
        <w:rPr>
          <w:lang w:val="en-GB"/>
        </w:rPr>
        <w:fldChar w:fldCharType="separate"/>
      </w:r>
      <w:r w:rsidR="00916652">
        <w:t xml:space="preserve">Figure </w:t>
      </w:r>
      <w:r w:rsidR="00916652">
        <w:rPr>
          <w:noProof/>
        </w:rPr>
        <w:t>1</w:t>
      </w:r>
      <w:r w:rsidR="00171B95">
        <w:rPr>
          <w:lang w:val="en-GB"/>
        </w:rPr>
        <w:fldChar w:fldCharType="end"/>
      </w:r>
      <w:r w:rsidR="00C06FE1" w:rsidRPr="00F95D83">
        <w:rPr>
          <w:lang w:val="en-GB"/>
        </w:rPr>
        <w:t>.</w:t>
      </w:r>
    </w:p>
    <w:p w14:paraId="2C0C5DE9" w14:textId="717B8A1C" w:rsidR="000669C6" w:rsidRDefault="000669C6" w:rsidP="00F95D83">
      <w:pPr>
        <w:pStyle w:val="CETBodytext"/>
      </w:pPr>
    </w:p>
    <w:p w14:paraId="7A94FF93" w14:textId="77777777" w:rsidR="00171B95" w:rsidRDefault="000669C6" w:rsidP="00171B95">
      <w:pPr>
        <w:pStyle w:val="CETBodytext"/>
        <w:keepNext/>
      </w:pPr>
      <w:r w:rsidRPr="000669C6">
        <w:rPr>
          <w:noProof/>
        </w:rPr>
        <w:drawing>
          <wp:inline distT="0" distB="0" distL="0" distR="0" wp14:anchorId="51F98A33" wp14:editId="58E2D513">
            <wp:extent cx="5579745" cy="1446246"/>
            <wp:effectExtent l="0" t="0" r="1905" b="190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9745" cy="1446246"/>
                    </a:xfrm>
                    <a:prstGeom prst="rect">
                      <a:avLst/>
                    </a:prstGeom>
                    <a:noFill/>
                    <a:ln>
                      <a:noFill/>
                    </a:ln>
                  </pic:spPr>
                </pic:pic>
              </a:graphicData>
            </a:graphic>
          </wp:inline>
        </w:drawing>
      </w:r>
    </w:p>
    <w:p w14:paraId="14D370FA" w14:textId="1EA4509F" w:rsidR="00C15A7D" w:rsidRDefault="00171B95" w:rsidP="00171B95">
      <w:pPr>
        <w:pStyle w:val="CETCaption"/>
      </w:pPr>
      <w:bookmarkStart w:id="1" w:name="_Ref180664874"/>
      <w:r>
        <w:t xml:space="preserve">Figure </w:t>
      </w:r>
      <w:r>
        <w:fldChar w:fldCharType="begin"/>
      </w:r>
      <w:r>
        <w:instrText xml:space="preserve"> SEQ Figure \* ARABIC </w:instrText>
      </w:r>
      <w:r>
        <w:fldChar w:fldCharType="separate"/>
      </w:r>
      <w:r w:rsidR="00916652">
        <w:rPr>
          <w:noProof/>
        </w:rPr>
        <w:t>1</w:t>
      </w:r>
      <w:r>
        <w:fldChar w:fldCharType="end"/>
      </w:r>
      <w:bookmarkEnd w:id="1"/>
      <w:r w:rsidR="009E7E03">
        <w:t>:</w:t>
      </w:r>
      <w:r>
        <w:t xml:space="preserve"> </w:t>
      </w:r>
      <w:r w:rsidRPr="00E03421">
        <w:t xml:space="preserve">Schematization of the </w:t>
      </w:r>
      <w:r w:rsidR="00E332EC" w:rsidRPr="001C07DE">
        <w:t xml:space="preserve">Carbon Capture and Storage </w:t>
      </w:r>
      <w:r w:rsidR="00E332EC">
        <w:t>(</w:t>
      </w:r>
      <w:r w:rsidRPr="00E03421">
        <w:t>CCS</w:t>
      </w:r>
      <w:r w:rsidR="00E332EC">
        <w:t>)</w:t>
      </w:r>
      <w:r w:rsidRPr="00E03421">
        <w:t xml:space="preserve"> value chain.</w:t>
      </w:r>
    </w:p>
    <w:p w14:paraId="60B5C796" w14:textId="1E502C19" w:rsidR="001C07DE" w:rsidRDefault="00171B95" w:rsidP="00F95D83">
      <w:pPr>
        <w:pStyle w:val="CETBodytext"/>
        <w:rPr>
          <w:lang w:val="en-GB"/>
        </w:rPr>
      </w:pPr>
      <w:r>
        <w:rPr>
          <w:lang w:val="en-GB"/>
        </w:rPr>
        <w:lastRenderedPageBreak/>
        <w:t>In</w:t>
      </w:r>
      <w:r w:rsidRPr="00F95D83">
        <w:rPr>
          <w:lang w:val="en-GB"/>
        </w:rPr>
        <w:t xml:space="preserve"> this process</w:t>
      </w:r>
      <w:r>
        <w:t>, CO</w:t>
      </w:r>
      <w:r w:rsidRPr="00415FC7">
        <w:rPr>
          <w:vertAlign w:val="subscript"/>
        </w:rPr>
        <w:t>2</w:t>
      </w:r>
      <w:r>
        <w:t xml:space="preserve"> emissions are captured from industrial sources, compressed for safe transport, transferred via pipelines or alternative methods (e.g., ships, trucks, or rail) to a storage site, and injected into deep geological formations such as saline aquifers or depleted oil and gas reservoirs for long-term sequestration</w:t>
      </w:r>
      <w:r w:rsidR="006F6B7F">
        <w:t xml:space="preserve"> </w:t>
      </w:r>
      <w:r w:rsidR="006F6B7F">
        <w:rPr>
          <w:lang w:val="en-GB"/>
        </w:rPr>
        <w:t>(Tamburini et al., 2024</w:t>
      </w:r>
      <w:r w:rsidR="0090510C">
        <w:rPr>
          <w:lang w:val="en-GB"/>
        </w:rPr>
        <w:t>b</w:t>
      </w:r>
      <w:r w:rsidR="006F6B7F">
        <w:rPr>
          <w:lang w:val="en-GB"/>
        </w:rPr>
        <w:t>).</w:t>
      </w:r>
      <w:r w:rsidR="00390E12">
        <w:rPr>
          <w:lang w:val="en-GB"/>
        </w:rPr>
        <w:t xml:space="preserve"> </w:t>
      </w:r>
      <w:r w:rsidR="00520F18">
        <w:t>Despite</w:t>
      </w:r>
      <w:r w:rsidR="00415FC7">
        <w:t xml:space="preserve"> the</w:t>
      </w:r>
      <w:r w:rsidR="00520F18">
        <w:t xml:space="preserve"> environmental</w:t>
      </w:r>
      <w:r w:rsidR="00415FC7">
        <w:t xml:space="preserve"> </w:t>
      </w:r>
      <w:r w:rsidR="00520F18">
        <w:t>benefits o</w:t>
      </w:r>
      <w:r w:rsidR="00415FC7">
        <w:t>ffered b</w:t>
      </w:r>
      <w:r w:rsidR="00C06FE1">
        <w:t>y this decarbonization technolog</w:t>
      </w:r>
      <w:r w:rsidR="00520F18">
        <w:t>y</w:t>
      </w:r>
      <w:r w:rsidR="00C06FE1">
        <w:t xml:space="preserve">, </w:t>
      </w:r>
      <w:r w:rsidR="00520F18">
        <w:t>it</w:t>
      </w:r>
      <w:r w:rsidR="001C07DE">
        <w:t xml:space="preserve"> also carries </w:t>
      </w:r>
      <w:r w:rsidR="00C06FE1">
        <w:t xml:space="preserve">potential safety </w:t>
      </w:r>
      <w:r w:rsidR="00520F18">
        <w:t>risk</w:t>
      </w:r>
      <w:r w:rsidR="00C06FE1">
        <w:t>s in the event of</w:t>
      </w:r>
      <w:r w:rsidR="00520F18">
        <w:t xml:space="preserve"> accidental</w:t>
      </w:r>
      <w:r w:rsidR="00C06FE1">
        <w:t xml:space="preserve"> releases</w:t>
      </w:r>
      <w:r w:rsidR="005146D7">
        <w:t xml:space="preserve"> (Tamburini et al., 2023)</w:t>
      </w:r>
      <w:r w:rsidR="00C06FE1">
        <w:t xml:space="preserve">. </w:t>
      </w:r>
      <w:r w:rsidR="00C073E4">
        <w:t xml:space="preserve">Indeed, </w:t>
      </w:r>
      <w:r w:rsidR="00C06FE1">
        <w:t>CO</w:t>
      </w:r>
      <w:r w:rsidR="00C06FE1" w:rsidRPr="00C06FE1">
        <w:rPr>
          <w:vertAlign w:val="subscript"/>
        </w:rPr>
        <w:t>2</w:t>
      </w:r>
      <w:r w:rsidR="00C06FE1">
        <w:t xml:space="preserve"> is </w:t>
      </w:r>
      <w:r w:rsidR="00520F18">
        <w:t xml:space="preserve">not only </w:t>
      </w:r>
      <w:r w:rsidR="00C06FE1">
        <w:t>mildly toxic</w:t>
      </w:r>
      <w:r w:rsidR="00520F18">
        <w:t xml:space="preserve"> but also acts as</w:t>
      </w:r>
      <w:r w:rsidR="00C06FE1">
        <w:t xml:space="preserve"> a physical stressor. </w:t>
      </w:r>
      <w:r w:rsidR="00FD18B8" w:rsidRPr="00FD18B8">
        <w:t xml:space="preserve">When </w:t>
      </w:r>
      <w:r w:rsidR="00C0113F">
        <w:t>it</w:t>
      </w:r>
      <w:r w:rsidR="00FD18B8" w:rsidRPr="00FD18B8">
        <w:t xml:space="preserve"> is released from high-pressure equipment into the atmosphere, the pressure difference causes the formation of solid dry ice particles within the gaseous cloud. This occurs because the CO</w:t>
      </w:r>
      <w:r w:rsidR="00FD18B8" w:rsidRPr="007F3C57">
        <w:rPr>
          <w:vertAlign w:val="subscript"/>
        </w:rPr>
        <w:t>2</w:t>
      </w:r>
      <w:r w:rsidR="00FD18B8" w:rsidRPr="00FD18B8">
        <w:t xml:space="preserve">'s triple point </w:t>
      </w:r>
      <w:r w:rsidR="00C0113F">
        <w:t xml:space="preserve">pressure </w:t>
      </w:r>
      <w:r w:rsidR="00FD18B8" w:rsidRPr="00FD18B8">
        <w:t xml:space="preserve">(5.2 atm) </w:t>
      </w:r>
      <w:r w:rsidR="0025668B">
        <w:t>exceeds</w:t>
      </w:r>
      <w:r w:rsidR="00FD18B8" w:rsidRPr="00FD18B8">
        <w:t xml:space="preserve"> atmospheric pressure. The resulting cloud can cause cold burns upon human exposure, material erosion, or cold embrittlement of equipment.</w:t>
      </w:r>
      <w:r w:rsidR="00FD18B8">
        <w:t xml:space="preserve"> </w:t>
      </w:r>
      <w:r w:rsidR="00C06FE1" w:rsidRPr="00F95D83">
        <w:rPr>
          <w:lang w:val="en-GB"/>
        </w:rPr>
        <w:t>Additionally, CO</w:t>
      </w:r>
      <w:r w:rsidR="00C06FE1" w:rsidRPr="00C06FE1">
        <w:rPr>
          <w:vertAlign w:val="subscript"/>
          <w:lang w:val="en-GB"/>
        </w:rPr>
        <w:t>2</w:t>
      </w:r>
      <w:r w:rsidR="00C06FE1" w:rsidRPr="00F95D83">
        <w:rPr>
          <w:lang w:val="en-GB"/>
        </w:rPr>
        <w:t xml:space="preserve"> releases</w:t>
      </w:r>
      <w:r w:rsidR="00520F18">
        <w:rPr>
          <w:lang w:val="en-GB"/>
        </w:rPr>
        <w:t xml:space="preserve"> into marine environment</w:t>
      </w:r>
      <w:r w:rsidR="00C06FE1" w:rsidRPr="00F95D83">
        <w:rPr>
          <w:lang w:val="en-GB"/>
        </w:rPr>
        <w:t xml:space="preserve"> can lower pH </w:t>
      </w:r>
      <w:r w:rsidR="00520F18">
        <w:rPr>
          <w:lang w:val="en-GB"/>
        </w:rPr>
        <w:t>levels</w:t>
      </w:r>
      <w:r w:rsidR="00C06FE1" w:rsidRPr="00F95D83">
        <w:rPr>
          <w:lang w:val="en-GB"/>
        </w:rPr>
        <w:t>, potentially impacting marine biota.</w:t>
      </w:r>
    </w:p>
    <w:p w14:paraId="3D298C23" w14:textId="075E6C22" w:rsidR="00C15A7D" w:rsidRDefault="00CB23A8" w:rsidP="0025572E">
      <w:pPr>
        <w:pStyle w:val="CETBodytext"/>
      </w:pPr>
      <w:r w:rsidRPr="00CB23A8">
        <w:rPr>
          <w:lang w:val="en-GB"/>
        </w:rPr>
        <w:t xml:space="preserve">To enable the widespread deployment of CCS technologies in industrial applications and ensure public acceptance, guaranteeing robust safety performance </w:t>
      </w:r>
      <w:r w:rsidR="00FE7E0A">
        <w:rPr>
          <w:lang w:val="en-GB"/>
        </w:rPr>
        <w:t>becomes</w:t>
      </w:r>
      <w:r w:rsidRPr="00CB23A8">
        <w:rPr>
          <w:lang w:val="en-GB"/>
        </w:rPr>
        <w:t xml:space="preserve"> crucial.</w:t>
      </w:r>
      <w:r w:rsidR="00520F18">
        <w:rPr>
          <w:lang w:val="en-GB"/>
        </w:rPr>
        <w:t xml:space="preserve"> </w:t>
      </w:r>
      <w:r w:rsidR="0025572E" w:rsidRPr="0025572E">
        <w:rPr>
          <w:lang w:val="en-GB"/>
        </w:rPr>
        <w:t xml:space="preserve">A preliminary literature review of existing data, models, and tools for risk assessment and safety evaluation in CCS technology </w:t>
      </w:r>
      <w:r w:rsidR="00FE7E0A">
        <w:rPr>
          <w:lang w:val="en-GB"/>
        </w:rPr>
        <w:t>reveals</w:t>
      </w:r>
      <w:r w:rsidR="0025572E" w:rsidRPr="0025572E">
        <w:rPr>
          <w:lang w:val="en-GB"/>
        </w:rPr>
        <w:t xml:space="preserve"> several knowledge gaps across each stage of the CCS value chain</w:t>
      </w:r>
      <w:r w:rsidR="0025572E">
        <w:rPr>
          <w:lang w:val="en-GB"/>
        </w:rPr>
        <w:t>. To address these gaps, a</w:t>
      </w:r>
      <w:r w:rsidR="007525D7" w:rsidRPr="007525D7">
        <w:t xml:space="preserve"> </w:t>
      </w:r>
      <w:r w:rsidR="007525D7" w:rsidRPr="007525D7">
        <w:rPr>
          <w:lang w:val="en-GB"/>
        </w:rPr>
        <w:t>baseline of reference data for safety assessment procedures</w:t>
      </w:r>
      <w:r w:rsidR="007525D7">
        <w:rPr>
          <w:lang w:val="en-GB"/>
        </w:rPr>
        <w:t xml:space="preserve"> </w:t>
      </w:r>
      <w:r w:rsidR="00FC23F6">
        <w:rPr>
          <w:lang w:val="en-GB"/>
        </w:rPr>
        <w:t>i</w:t>
      </w:r>
      <w:r w:rsidR="0025572E">
        <w:rPr>
          <w:lang w:val="en-GB"/>
        </w:rPr>
        <w:t xml:space="preserve">s </w:t>
      </w:r>
      <w:r w:rsidR="00FF61D3">
        <w:rPr>
          <w:lang w:val="en-GB"/>
        </w:rPr>
        <w:t>suggested</w:t>
      </w:r>
      <w:r w:rsidR="0025572E">
        <w:rPr>
          <w:lang w:val="en-GB"/>
        </w:rPr>
        <w:t xml:space="preserve">, </w:t>
      </w:r>
      <w:r w:rsidR="007525D7">
        <w:rPr>
          <w:lang w:val="en-GB"/>
        </w:rPr>
        <w:t xml:space="preserve">and </w:t>
      </w:r>
      <w:r w:rsidR="0025572E">
        <w:rPr>
          <w:lang w:val="en-GB"/>
        </w:rPr>
        <w:t xml:space="preserve">inherent safety principles </w:t>
      </w:r>
      <w:r w:rsidR="00FC23F6">
        <w:rPr>
          <w:lang w:val="en-GB"/>
        </w:rPr>
        <w:t>ar</w:t>
      </w:r>
      <w:r w:rsidR="0025572E">
        <w:rPr>
          <w:lang w:val="en-GB"/>
        </w:rPr>
        <w:t>e</w:t>
      </w:r>
      <w:r w:rsidR="007525D7">
        <w:rPr>
          <w:lang w:val="en-GB"/>
        </w:rPr>
        <w:t xml:space="preserve"> appl</w:t>
      </w:r>
      <w:r w:rsidR="0025572E">
        <w:rPr>
          <w:lang w:val="en-GB"/>
        </w:rPr>
        <w:t xml:space="preserve">ied </w:t>
      </w:r>
      <w:r w:rsidR="007525D7">
        <w:rPr>
          <w:lang w:val="en-GB"/>
        </w:rPr>
        <w:t>to a real-</w:t>
      </w:r>
      <w:r w:rsidR="00FC23F6">
        <w:rPr>
          <w:lang w:val="en-GB"/>
        </w:rPr>
        <w:t>world</w:t>
      </w:r>
      <w:r w:rsidR="00FA2791">
        <w:rPr>
          <w:lang w:val="en-GB"/>
        </w:rPr>
        <w:t>-like</w:t>
      </w:r>
      <w:r w:rsidR="007525D7">
        <w:rPr>
          <w:lang w:val="en-GB"/>
        </w:rPr>
        <w:t xml:space="preserve"> case study involving a CCS system </w:t>
      </w:r>
      <w:r w:rsidR="007525D7" w:rsidRPr="00F95D83">
        <w:rPr>
          <w:lang w:val="en-GB"/>
        </w:rPr>
        <w:t>retrofitted onto a power generation plant</w:t>
      </w:r>
      <w:r w:rsidR="007525D7">
        <w:rPr>
          <w:lang w:val="en-GB"/>
        </w:rPr>
        <w:t xml:space="preserve">. </w:t>
      </w:r>
      <w:r w:rsidR="00C15A7D" w:rsidRPr="0025572E">
        <w:rPr>
          <w:lang w:val="en-GB"/>
        </w:rPr>
        <w:t>Th</w:t>
      </w:r>
      <w:r w:rsidR="00C15A7D">
        <w:rPr>
          <w:lang w:val="en-GB"/>
        </w:rPr>
        <w:t xml:space="preserve">is twofold approach provides </w:t>
      </w:r>
      <w:r w:rsidR="00C15A7D" w:rsidRPr="0025572E">
        <w:rPr>
          <w:lang w:val="en-GB"/>
        </w:rPr>
        <w:t>both theoretical and practical insights</w:t>
      </w:r>
      <w:r w:rsidR="00C15A7D">
        <w:rPr>
          <w:lang w:val="en-GB"/>
        </w:rPr>
        <w:t xml:space="preserve"> that support the safe implementation of CCS technologies from the</w:t>
      </w:r>
      <w:r w:rsidR="00F95D83" w:rsidRPr="00F95D83">
        <w:rPr>
          <w:lang w:val="en-GB"/>
        </w:rPr>
        <w:t xml:space="preserve"> early design phase</w:t>
      </w:r>
      <w:r w:rsidR="007525D7">
        <w:rPr>
          <w:lang w:val="en-GB"/>
        </w:rPr>
        <w:t>s of projects.</w:t>
      </w:r>
    </w:p>
    <w:p w14:paraId="6C33EC3B" w14:textId="7E700E17" w:rsidR="00C850C9" w:rsidRPr="00C15A7D" w:rsidRDefault="00C850C9" w:rsidP="00C850C9">
      <w:pPr>
        <w:pStyle w:val="CETBodytext"/>
      </w:pPr>
      <w:r>
        <w:t xml:space="preserve">In the following, Section </w:t>
      </w:r>
      <w:r>
        <w:fldChar w:fldCharType="begin"/>
      </w:r>
      <w:r>
        <w:instrText xml:space="preserve"> REF _Ref180672619 \r \h </w:instrText>
      </w:r>
      <w:r>
        <w:fldChar w:fldCharType="separate"/>
      </w:r>
      <w:r w:rsidR="00916652">
        <w:t>2</w:t>
      </w:r>
      <w:r>
        <w:fldChar w:fldCharType="end"/>
      </w:r>
      <w:r>
        <w:t xml:space="preserve"> </w:t>
      </w:r>
      <w:r w:rsidR="001E3CF9">
        <w:t>provides</w:t>
      </w:r>
      <w:r>
        <w:t xml:space="preserve"> the results of the gap analysis</w:t>
      </w:r>
      <w:r w:rsidR="00BC7E94">
        <w:t xml:space="preserve"> suggesting </w:t>
      </w:r>
      <w:r w:rsidR="00EF0D2F">
        <w:t>baseline reference data where no specific information for CO</w:t>
      </w:r>
      <w:r w:rsidR="00EF0D2F" w:rsidRPr="00EF0D2F">
        <w:rPr>
          <w:vertAlign w:val="subscript"/>
        </w:rPr>
        <w:t>2</w:t>
      </w:r>
      <w:r w:rsidR="00EF0D2F">
        <w:t xml:space="preserve"> is available</w:t>
      </w:r>
      <w:r w:rsidR="001E3CF9">
        <w:t>, while</w:t>
      </w:r>
      <w:r>
        <w:t xml:space="preserve"> Section </w:t>
      </w:r>
      <w:r w:rsidR="002D0AD7">
        <w:fldChar w:fldCharType="begin"/>
      </w:r>
      <w:r w:rsidR="002D0AD7">
        <w:instrText xml:space="preserve"> REF _Ref182306820 \r \h </w:instrText>
      </w:r>
      <w:r w:rsidR="002D0AD7">
        <w:fldChar w:fldCharType="separate"/>
      </w:r>
      <w:r w:rsidR="00916652">
        <w:t>3</w:t>
      </w:r>
      <w:r w:rsidR="002D0AD7">
        <w:fldChar w:fldCharType="end"/>
      </w:r>
      <w:r w:rsidR="002D0AD7">
        <w:t xml:space="preserve"> </w:t>
      </w:r>
      <w:r>
        <w:t xml:space="preserve">presents the methodology </w:t>
      </w:r>
      <w:r w:rsidR="001E3CF9">
        <w:t>for</w:t>
      </w:r>
      <w:r>
        <w:t xml:space="preserve"> quantitatively assess</w:t>
      </w:r>
      <w:r w:rsidR="001E3CF9">
        <w:t>ing</w:t>
      </w:r>
      <w:r>
        <w:t xml:space="preserve"> inherent safety</w:t>
      </w:r>
      <w:r w:rsidR="001E3CF9">
        <w:t xml:space="preserve">. </w:t>
      </w:r>
      <w:r w:rsidR="002D1CC4">
        <w:t xml:space="preserve">Then, </w:t>
      </w:r>
      <w:r>
        <w:t xml:space="preserve">Section </w:t>
      </w:r>
      <w:r>
        <w:fldChar w:fldCharType="begin"/>
      </w:r>
      <w:r>
        <w:instrText xml:space="preserve"> REF _Ref180672693 \r \h </w:instrText>
      </w:r>
      <w:r>
        <w:fldChar w:fldCharType="separate"/>
      </w:r>
      <w:r w:rsidR="00916652">
        <w:t>4</w:t>
      </w:r>
      <w:r>
        <w:fldChar w:fldCharType="end"/>
      </w:r>
      <w:r>
        <w:t xml:space="preserve"> introduces the case study </w:t>
      </w:r>
      <w:r w:rsidR="001E3CF9">
        <w:t>used</w:t>
      </w:r>
      <w:r>
        <w:t xml:space="preserve"> to demonstrate the applicability of the methodology</w:t>
      </w:r>
      <w:r w:rsidR="00552823">
        <w:t xml:space="preserve"> a</w:t>
      </w:r>
      <w:r w:rsidR="00906023">
        <w:t xml:space="preserve">nd illustrates </w:t>
      </w:r>
      <w:r w:rsidR="00BB3B56">
        <w:t xml:space="preserve">and discusses </w:t>
      </w:r>
      <w:r w:rsidR="00906023">
        <w:t xml:space="preserve">the results of </w:t>
      </w:r>
      <w:r w:rsidR="00E20DDF">
        <w:t>the</w:t>
      </w:r>
      <w:r w:rsidR="00BB3B56">
        <w:t xml:space="preserve"> application</w:t>
      </w:r>
      <w:r>
        <w:t xml:space="preserve">. </w:t>
      </w:r>
      <w:r w:rsidR="001E3CF9">
        <w:t>Lastly</w:t>
      </w:r>
      <w:r>
        <w:t xml:space="preserve">, </w:t>
      </w:r>
      <w:r w:rsidR="002D1CC4">
        <w:t xml:space="preserve">some </w:t>
      </w:r>
      <w:r>
        <w:t>conclusive remarks are outlined in Section</w:t>
      </w:r>
      <w:r w:rsidR="00BB3B56">
        <w:t xml:space="preserve"> </w:t>
      </w:r>
      <w:r w:rsidR="00BB3B56">
        <w:fldChar w:fldCharType="begin"/>
      </w:r>
      <w:r w:rsidR="00BB3B56">
        <w:instrText xml:space="preserve"> REF _Ref180672840 \r \h </w:instrText>
      </w:r>
      <w:r w:rsidR="00BB3B56">
        <w:fldChar w:fldCharType="separate"/>
      </w:r>
      <w:r w:rsidR="00916652">
        <w:t>5</w:t>
      </w:r>
      <w:r w:rsidR="00BB3B56">
        <w:fldChar w:fldCharType="end"/>
      </w:r>
      <w:r>
        <w:t>.</w:t>
      </w:r>
    </w:p>
    <w:p w14:paraId="4D667E6D" w14:textId="6C2B5B7B" w:rsidR="004C4C74" w:rsidRDefault="00A61211" w:rsidP="00C70B0A">
      <w:pPr>
        <w:pStyle w:val="CETHeading1"/>
        <w:rPr>
          <w:lang w:val="en-GB"/>
        </w:rPr>
      </w:pPr>
      <w:bookmarkStart w:id="2" w:name="_Ref180672619"/>
      <w:r>
        <w:rPr>
          <w:lang w:val="en-GB"/>
        </w:rPr>
        <w:t>Gap analysis</w:t>
      </w:r>
      <w:bookmarkEnd w:id="2"/>
    </w:p>
    <w:p w14:paraId="566160E3" w14:textId="72A46D24" w:rsidR="007346C3" w:rsidRDefault="00E27194" w:rsidP="007346C3">
      <w:pPr>
        <w:pStyle w:val="CETBodytext"/>
        <w:rPr>
          <w:lang w:val="en-GB"/>
        </w:rPr>
      </w:pPr>
      <w:r w:rsidRPr="00E27194">
        <w:rPr>
          <w:lang w:val="en-GB"/>
        </w:rPr>
        <w:t xml:space="preserve">The gap analysis </w:t>
      </w:r>
      <w:r w:rsidR="00B67279">
        <w:rPr>
          <w:lang w:val="en-GB"/>
        </w:rPr>
        <w:t xml:space="preserve">has </w:t>
      </w:r>
      <w:r w:rsidRPr="00E27194">
        <w:rPr>
          <w:lang w:val="en-GB"/>
        </w:rPr>
        <w:t>reveal</w:t>
      </w:r>
      <w:r w:rsidR="008B0537">
        <w:rPr>
          <w:lang w:val="en-GB"/>
        </w:rPr>
        <w:t>ed</w:t>
      </w:r>
      <w:r w:rsidRPr="00E27194">
        <w:rPr>
          <w:lang w:val="en-GB"/>
        </w:rPr>
        <w:t xml:space="preserve"> several critical lacks in the data and models necessary for conducting a comprehensive Quantitative Risk Assessment (QRA) of the </w:t>
      </w:r>
      <w:r>
        <w:rPr>
          <w:lang w:val="en-GB"/>
        </w:rPr>
        <w:t>CCS</w:t>
      </w:r>
      <w:r w:rsidRPr="00E27194">
        <w:rPr>
          <w:lang w:val="en-GB"/>
        </w:rPr>
        <w:t xml:space="preserve"> value chain</w:t>
      </w:r>
      <w:r>
        <w:rPr>
          <w:lang w:val="en-GB"/>
        </w:rPr>
        <w:t xml:space="preserve">, as </w:t>
      </w:r>
      <w:r w:rsidRPr="00E27194">
        <w:rPr>
          <w:lang w:val="en-GB"/>
        </w:rPr>
        <w:t xml:space="preserve">shown in Figure </w:t>
      </w:r>
      <w:r w:rsidR="00020438">
        <w:rPr>
          <w:lang w:val="en-GB"/>
        </w:rPr>
        <w:fldChar w:fldCharType="begin"/>
      </w:r>
      <w:r w:rsidR="00020438">
        <w:rPr>
          <w:lang w:val="en-GB"/>
        </w:rPr>
        <w:instrText xml:space="preserve"> REF _Ref180672619 \r \h </w:instrText>
      </w:r>
      <w:r w:rsidR="00020438">
        <w:rPr>
          <w:lang w:val="en-GB"/>
        </w:rPr>
      </w:r>
      <w:r w:rsidR="00020438">
        <w:rPr>
          <w:lang w:val="en-GB"/>
        </w:rPr>
        <w:fldChar w:fldCharType="separate"/>
      </w:r>
      <w:r w:rsidR="00916652">
        <w:rPr>
          <w:lang w:val="en-GB"/>
        </w:rPr>
        <w:t>2</w:t>
      </w:r>
      <w:r w:rsidR="00020438">
        <w:rPr>
          <w:lang w:val="en-GB"/>
        </w:rPr>
        <w:fldChar w:fldCharType="end"/>
      </w:r>
      <w:r w:rsidR="00020438">
        <w:rPr>
          <w:lang w:val="en-GB"/>
        </w:rPr>
        <w:t xml:space="preserve">. </w:t>
      </w:r>
    </w:p>
    <w:p w14:paraId="0A273AA9" w14:textId="77777777" w:rsidR="00020438" w:rsidRPr="007346C3" w:rsidRDefault="00020438" w:rsidP="007346C3">
      <w:pPr>
        <w:pStyle w:val="CETBodytext"/>
        <w:rPr>
          <w:lang w:val="en-GB"/>
        </w:rPr>
      </w:pPr>
    </w:p>
    <w:p w14:paraId="27E4EFA9" w14:textId="77777777" w:rsidR="00773274" w:rsidRDefault="00773274" w:rsidP="00773274">
      <w:pPr>
        <w:pStyle w:val="CETBodytext"/>
        <w:keepNext/>
      </w:pPr>
      <w:r w:rsidRPr="00773274">
        <w:rPr>
          <w:noProof/>
        </w:rPr>
        <w:drawing>
          <wp:inline distT="0" distB="0" distL="0" distR="0" wp14:anchorId="5EFE9B2D" wp14:editId="5974604B">
            <wp:extent cx="5579745" cy="2652452"/>
            <wp:effectExtent l="0" t="0" r="190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9745" cy="2652452"/>
                    </a:xfrm>
                    <a:prstGeom prst="rect">
                      <a:avLst/>
                    </a:prstGeom>
                    <a:noFill/>
                    <a:ln>
                      <a:noFill/>
                    </a:ln>
                  </pic:spPr>
                </pic:pic>
              </a:graphicData>
            </a:graphic>
          </wp:inline>
        </w:drawing>
      </w:r>
    </w:p>
    <w:p w14:paraId="418DA96E" w14:textId="4B29564B" w:rsidR="00C629F5" w:rsidRDefault="00773274" w:rsidP="00773274">
      <w:pPr>
        <w:pStyle w:val="CETCaption"/>
        <w:rPr>
          <w:rFonts w:cs="Arial"/>
        </w:rPr>
      </w:pPr>
      <w:r>
        <w:t xml:space="preserve">Figure </w:t>
      </w:r>
      <w:r>
        <w:fldChar w:fldCharType="begin"/>
      </w:r>
      <w:r>
        <w:instrText xml:space="preserve"> SEQ Figure \* ARABIC </w:instrText>
      </w:r>
      <w:r>
        <w:fldChar w:fldCharType="separate"/>
      </w:r>
      <w:r w:rsidR="00916652">
        <w:rPr>
          <w:noProof/>
        </w:rPr>
        <w:t>2</w:t>
      </w:r>
      <w:r>
        <w:fldChar w:fldCharType="end"/>
      </w:r>
      <w:r w:rsidR="009E7E03">
        <w:t>:</w:t>
      </w:r>
      <w:r>
        <w:t xml:space="preserve"> </w:t>
      </w:r>
      <w:r w:rsidR="00020438">
        <w:t>Qualitative o</w:t>
      </w:r>
      <w:r w:rsidRPr="00A81121">
        <w:rPr>
          <w:rFonts w:cs="Arial"/>
        </w:rPr>
        <w:t>verview of the results of the gap analysi</w:t>
      </w:r>
      <w:r w:rsidR="00EF0D2F" w:rsidRPr="00A81121">
        <w:rPr>
          <w:rFonts w:cs="Arial"/>
        </w:rPr>
        <w:t xml:space="preserve">s: </w:t>
      </w:r>
      <w:r w:rsidR="00EF0D2F" w:rsidRPr="00A81121">
        <w:rPr>
          <w:rFonts w:ascii="Segoe UI Symbol" w:hAnsi="Segoe UI Symbol" w:cs="Segoe UI Symbol"/>
        </w:rPr>
        <w:t>✓</w:t>
      </w:r>
      <w:r w:rsidR="00EF0D2F" w:rsidRPr="00A81121">
        <w:rPr>
          <w:rFonts w:cs="Arial"/>
        </w:rPr>
        <w:t xml:space="preserve"> and </w:t>
      </w:r>
      <w:r w:rsidR="00EF0D2F" w:rsidRPr="00A81121">
        <w:rPr>
          <w:rFonts w:ascii="Segoe UI Symbol" w:hAnsi="Segoe UI Symbol" w:cs="Segoe UI Symbol"/>
        </w:rPr>
        <w:t>✗</w:t>
      </w:r>
      <w:r w:rsidR="00EF0D2F" w:rsidRPr="00A81121">
        <w:rPr>
          <w:rFonts w:cs="Arial"/>
        </w:rPr>
        <w:t xml:space="preserve"> indicate the availability or not of specific and validated scenario</w:t>
      </w:r>
      <w:r w:rsidR="005D6E9B">
        <w:rPr>
          <w:rFonts w:cs="Arial"/>
        </w:rPr>
        <w:t>s</w:t>
      </w:r>
      <w:r w:rsidR="00EF0D2F" w:rsidRPr="00A81121">
        <w:rPr>
          <w:rFonts w:cs="Arial"/>
        </w:rPr>
        <w:t>/data/models for CO</w:t>
      </w:r>
      <w:r w:rsidR="00EF0D2F" w:rsidRPr="00A81121">
        <w:rPr>
          <w:rFonts w:cs="Arial"/>
          <w:vertAlign w:val="subscript"/>
        </w:rPr>
        <w:t>2</w:t>
      </w:r>
      <w:r w:rsidR="00EF0D2F" w:rsidRPr="00A81121">
        <w:rPr>
          <w:rFonts w:cs="Arial"/>
        </w:rPr>
        <w:t>.</w:t>
      </w:r>
    </w:p>
    <w:p w14:paraId="59AF2D2D" w14:textId="1EF1B468" w:rsidR="006139C1" w:rsidRDefault="00AC13F1" w:rsidP="00E27194">
      <w:pPr>
        <w:pStyle w:val="CETBodytext"/>
        <w:rPr>
          <w:lang w:val="en-GB"/>
        </w:rPr>
      </w:pPr>
      <w:r>
        <w:rPr>
          <w:lang w:val="en-GB"/>
        </w:rPr>
        <w:t xml:space="preserve">Specifically, </w:t>
      </w:r>
      <w:r w:rsidRPr="00E27194">
        <w:rPr>
          <w:lang w:val="en-GB"/>
        </w:rPr>
        <w:t xml:space="preserve">the analysis </w:t>
      </w:r>
      <w:r w:rsidR="00A3100E">
        <w:rPr>
          <w:lang w:val="en-GB"/>
        </w:rPr>
        <w:t xml:space="preserve">has </w:t>
      </w:r>
      <w:r w:rsidRPr="00E27194">
        <w:rPr>
          <w:lang w:val="en-GB"/>
        </w:rPr>
        <w:t>highlight</w:t>
      </w:r>
      <w:r>
        <w:rPr>
          <w:lang w:val="en-GB"/>
        </w:rPr>
        <w:t>ed</w:t>
      </w:r>
      <w:r w:rsidRPr="00E27194">
        <w:rPr>
          <w:lang w:val="en-GB"/>
        </w:rPr>
        <w:t xml:space="preserve"> the absence of specific studies addressing critical scenarios</w:t>
      </w:r>
      <w:r>
        <w:rPr>
          <w:lang w:val="en-GB"/>
        </w:rPr>
        <w:t xml:space="preserve"> identification</w:t>
      </w:r>
      <w:r w:rsidRPr="00E27194">
        <w:rPr>
          <w:lang w:val="en-GB"/>
        </w:rPr>
        <w:t xml:space="preserve"> and failure frequencies, particularly in CO</w:t>
      </w:r>
      <w:r w:rsidRPr="00020438">
        <w:rPr>
          <w:vertAlign w:val="subscript"/>
          <w:lang w:val="en-GB"/>
        </w:rPr>
        <w:t>2</w:t>
      </w:r>
      <w:r w:rsidRPr="00E27194">
        <w:rPr>
          <w:lang w:val="en-GB"/>
        </w:rPr>
        <w:t xml:space="preserve"> capture, conditioning, and transport, due to the limited operational experience </w:t>
      </w:r>
      <w:r w:rsidRPr="007F0D38">
        <w:rPr>
          <w:szCs w:val="18"/>
          <w:lang w:val="en-GB"/>
        </w:rPr>
        <w:t xml:space="preserve">with large-scale CCS applications. In these cases, generic scenarios and baseline failure frequency data from </w:t>
      </w:r>
      <w:r w:rsidR="00A3100E">
        <w:rPr>
          <w:szCs w:val="18"/>
          <w:lang w:val="en-GB"/>
        </w:rPr>
        <w:t xml:space="preserve">the </w:t>
      </w:r>
      <w:r w:rsidRPr="007F0D38">
        <w:rPr>
          <w:szCs w:val="18"/>
        </w:rPr>
        <w:t xml:space="preserve">ARAMIS </w:t>
      </w:r>
      <w:r>
        <w:rPr>
          <w:szCs w:val="18"/>
        </w:rPr>
        <w:t>(</w:t>
      </w:r>
      <w:r w:rsidRPr="00E9005B">
        <w:rPr>
          <w:szCs w:val="18"/>
        </w:rPr>
        <w:t>Accidental Risk Assessment Methodology for Industries</w:t>
      </w:r>
      <w:r>
        <w:rPr>
          <w:szCs w:val="18"/>
        </w:rPr>
        <w:t xml:space="preserve">) </w:t>
      </w:r>
      <w:r w:rsidRPr="007F0D38">
        <w:rPr>
          <w:szCs w:val="18"/>
        </w:rPr>
        <w:t>methodology</w:t>
      </w:r>
      <w:r>
        <w:rPr>
          <w:szCs w:val="18"/>
        </w:rPr>
        <w:t xml:space="preserve"> (</w:t>
      </w:r>
      <w:proofErr w:type="spellStart"/>
      <w:r>
        <w:rPr>
          <w:szCs w:val="18"/>
        </w:rPr>
        <w:t>Delvosalle</w:t>
      </w:r>
      <w:proofErr w:type="spellEnd"/>
      <w:r>
        <w:rPr>
          <w:szCs w:val="18"/>
        </w:rPr>
        <w:t xml:space="preserve"> et al., 2006), the </w:t>
      </w:r>
      <w:r w:rsidRPr="007F0D38">
        <w:rPr>
          <w:szCs w:val="18"/>
        </w:rPr>
        <w:t>TNO Purple Book</w:t>
      </w:r>
      <w:r>
        <w:rPr>
          <w:szCs w:val="18"/>
        </w:rPr>
        <w:t xml:space="preserve"> (</w:t>
      </w:r>
      <w:proofErr w:type="spellStart"/>
      <w:r w:rsidRPr="00CE3DA7">
        <w:t>Uijt</w:t>
      </w:r>
      <w:proofErr w:type="spellEnd"/>
      <w:r w:rsidRPr="00CE3DA7">
        <w:t xml:space="preserve"> de Haag</w:t>
      </w:r>
      <w:r>
        <w:t xml:space="preserve"> and Ale, 1999)</w:t>
      </w:r>
      <w:r>
        <w:rPr>
          <w:szCs w:val="18"/>
        </w:rPr>
        <w:t>, and other sources for transport methods (</w:t>
      </w:r>
      <w:proofErr w:type="spellStart"/>
      <w:r>
        <w:rPr>
          <w:szCs w:val="18"/>
        </w:rPr>
        <w:t>Saccomanno</w:t>
      </w:r>
      <w:proofErr w:type="spellEnd"/>
      <w:r>
        <w:rPr>
          <w:szCs w:val="18"/>
        </w:rPr>
        <w:t xml:space="preserve"> et al., 1993; IOGP, 2010) </w:t>
      </w:r>
      <w:r w:rsidRPr="007F0D38">
        <w:rPr>
          <w:szCs w:val="18"/>
          <w:lang w:val="en-GB"/>
        </w:rPr>
        <w:t>can</w:t>
      </w:r>
      <w:r w:rsidRPr="00E27194">
        <w:rPr>
          <w:lang w:val="en-GB"/>
        </w:rPr>
        <w:t xml:space="preserve"> serve as a starting point</w:t>
      </w:r>
      <w:r>
        <w:rPr>
          <w:lang w:val="en-GB"/>
        </w:rPr>
        <w:t>. More s</w:t>
      </w:r>
      <w:r w:rsidRPr="00E27194">
        <w:rPr>
          <w:lang w:val="en-GB"/>
        </w:rPr>
        <w:t xml:space="preserve">pecific information is available for storage systems, drawing on experience from the </w:t>
      </w:r>
      <w:proofErr w:type="spellStart"/>
      <w:r w:rsidRPr="00E27194">
        <w:rPr>
          <w:lang w:val="en-GB"/>
        </w:rPr>
        <w:t>Oil&amp;Gas</w:t>
      </w:r>
      <w:proofErr w:type="spellEnd"/>
      <w:r w:rsidRPr="00E27194">
        <w:rPr>
          <w:lang w:val="en-GB"/>
        </w:rPr>
        <w:t xml:space="preserve"> sector. </w:t>
      </w:r>
      <w:r w:rsidR="000B6D26">
        <w:rPr>
          <w:lang w:val="en-GB"/>
        </w:rPr>
        <w:t>Furthermore</w:t>
      </w:r>
      <w:r w:rsidR="00C80BD5" w:rsidRPr="00E27194">
        <w:rPr>
          <w:lang w:val="en-GB"/>
        </w:rPr>
        <w:t>,</w:t>
      </w:r>
      <w:r w:rsidR="001A6E7E">
        <w:rPr>
          <w:lang w:val="en-GB"/>
        </w:rPr>
        <w:t xml:space="preserve"> </w:t>
      </w:r>
      <w:r w:rsidR="00C80BD5" w:rsidRPr="00E27194">
        <w:rPr>
          <w:lang w:val="en-GB"/>
        </w:rPr>
        <w:t xml:space="preserve">considerable </w:t>
      </w:r>
      <w:r w:rsidR="00C80BD5" w:rsidRPr="00E27194">
        <w:rPr>
          <w:lang w:val="en-GB"/>
        </w:rPr>
        <w:lastRenderedPageBreak/>
        <w:t>uncertainty</w:t>
      </w:r>
      <w:r w:rsidR="00C15DAB">
        <w:rPr>
          <w:lang w:val="en-GB"/>
        </w:rPr>
        <w:t xml:space="preserve"> </w:t>
      </w:r>
      <w:r w:rsidR="00254060">
        <w:rPr>
          <w:lang w:val="en-GB"/>
        </w:rPr>
        <w:t>remains</w:t>
      </w:r>
      <w:r w:rsidR="00C80BD5" w:rsidRPr="00E27194">
        <w:rPr>
          <w:lang w:val="en-GB"/>
        </w:rPr>
        <w:t xml:space="preserve"> in characterizing end-point scenarios, especially for</w:t>
      </w:r>
      <w:r w:rsidR="000B6D26">
        <w:rPr>
          <w:lang w:val="en-GB"/>
        </w:rPr>
        <w:t xml:space="preserve"> </w:t>
      </w:r>
      <w:r w:rsidR="00C80BD5" w:rsidRPr="00E27194">
        <w:rPr>
          <w:lang w:val="en-GB"/>
        </w:rPr>
        <w:t xml:space="preserve">releases from capture units </w:t>
      </w:r>
      <w:r w:rsidR="001D5EBF">
        <w:rPr>
          <w:lang w:val="en-GB"/>
        </w:rPr>
        <w:t xml:space="preserve">where </w:t>
      </w:r>
      <w:r w:rsidR="00C80BD5" w:rsidRPr="00E27194">
        <w:rPr>
          <w:lang w:val="en-GB"/>
        </w:rPr>
        <w:t>hazardous substances like amine solvents</w:t>
      </w:r>
      <w:r w:rsidR="007C23E1">
        <w:rPr>
          <w:lang w:val="en-GB"/>
        </w:rPr>
        <w:t xml:space="preserve"> are </w:t>
      </w:r>
      <w:r w:rsidR="00E2200B">
        <w:rPr>
          <w:lang w:val="en-GB"/>
        </w:rPr>
        <w:t>involved</w:t>
      </w:r>
      <w:r w:rsidR="00C96549">
        <w:rPr>
          <w:lang w:val="en-GB"/>
        </w:rPr>
        <w:t xml:space="preserve">, as well as </w:t>
      </w:r>
      <w:r w:rsidR="001D5EBF">
        <w:rPr>
          <w:lang w:val="en-GB"/>
        </w:rPr>
        <w:t xml:space="preserve">for </w:t>
      </w:r>
      <w:r w:rsidR="00C96549" w:rsidRPr="00C96549">
        <w:rPr>
          <w:lang w:val="en-GB"/>
        </w:rPr>
        <w:t>underwater releases from sealines and risers during transport and injection</w:t>
      </w:r>
      <w:r w:rsidR="00C96549">
        <w:rPr>
          <w:lang w:val="en-GB"/>
        </w:rPr>
        <w:t>.</w:t>
      </w:r>
      <w:r w:rsidR="006139C1">
        <w:rPr>
          <w:lang w:val="en-GB"/>
        </w:rPr>
        <w:t xml:space="preserve"> Reference</w:t>
      </w:r>
      <w:r w:rsidR="00C96549">
        <w:rPr>
          <w:lang w:val="en-GB"/>
        </w:rPr>
        <w:t xml:space="preserve"> </w:t>
      </w:r>
      <w:r w:rsidR="00C96549">
        <w:rPr>
          <w:szCs w:val="18"/>
          <w:lang w:val="en-GB"/>
        </w:rPr>
        <w:t xml:space="preserve">event trees </w:t>
      </w:r>
      <w:r w:rsidR="00C96549" w:rsidRPr="007F0D38">
        <w:rPr>
          <w:szCs w:val="18"/>
          <w:lang w:val="en-GB"/>
        </w:rPr>
        <w:t>from</w:t>
      </w:r>
      <w:r w:rsidR="007357A3">
        <w:rPr>
          <w:szCs w:val="18"/>
          <w:lang w:val="en-GB"/>
        </w:rPr>
        <w:t xml:space="preserve"> the</w:t>
      </w:r>
      <w:r w:rsidR="00C96549" w:rsidRPr="007F0D38">
        <w:rPr>
          <w:szCs w:val="18"/>
          <w:lang w:val="en-GB"/>
        </w:rPr>
        <w:t xml:space="preserve"> </w:t>
      </w:r>
      <w:r w:rsidR="00C96549">
        <w:rPr>
          <w:szCs w:val="18"/>
        </w:rPr>
        <w:t>MIRAS</w:t>
      </w:r>
      <w:r w:rsidR="00031D6E">
        <w:rPr>
          <w:szCs w:val="18"/>
        </w:rPr>
        <w:t xml:space="preserve"> (</w:t>
      </w:r>
      <w:r w:rsidR="00031D6E" w:rsidRPr="00031D6E">
        <w:rPr>
          <w:szCs w:val="18"/>
        </w:rPr>
        <w:t>Methodology for the Identification of Reference Accident Scenarios)</w:t>
      </w:r>
      <w:r w:rsidR="00C96549">
        <w:rPr>
          <w:szCs w:val="18"/>
        </w:rPr>
        <w:t xml:space="preserve"> procedure</w:t>
      </w:r>
      <w:r w:rsidR="00031D6E">
        <w:rPr>
          <w:szCs w:val="18"/>
        </w:rPr>
        <w:t xml:space="preserve"> </w:t>
      </w:r>
      <w:r w:rsidR="00BA0C18">
        <w:rPr>
          <w:szCs w:val="18"/>
        </w:rPr>
        <w:t>(</w:t>
      </w:r>
      <w:proofErr w:type="spellStart"/>
      <w:r w:rsidR="00BA0C18">
        <w:rPr>
          <w:szCs w:val="18"/>
        </w:rPr>
        <w:t>Delvosalle</w:t>
      </w:r>
      <w:proofErr w:type="spellEnd"/>
      <w:r w:rsidR="00BA0C18">
        <w:rPr>
          <w:szCs w:val="18"/>
        </w:rPr>
        <w:t xml:space="preserve"> et al., 2004)</w:t>
      </w:r>
      <w:r w:rsidR="00C96549">
        <w:rPr>
          <w:szCs w:val="18"/>
        </w:rPr>
        <w:t xml:space="preserve"> and the</w:t>
      </w:r>
      <w:r w:rsidR="00C96549" w:rsidRPr="007F0D38">
        <w:rPr>
          <w:szCs w:val="18"/>
        </w:rPr>
        <w:t xml:space="preserve"> TNO Purple Book</w:t>
      </w:r>
      <w:r w:rsidR="00C96549">
        <w:rPr>
          <w:szCs w:val="18"/>
        </w:rPr>
        <w:t xml:space="preserve"> </w:t>
      </w:r>
      <w:r w:rsidR="00031D6E">
        <w:rPr>
          <w:szCs w:val="18"/>
        </w:rPr>
        <w:t>(</w:t>
      </w:r>
      <w:proofErr w:type="spellStart"/>
      <w:r w:rsidR="00031D6E" w:rsidRPr="00CE3DA7">
        <w:t>Uijt</w:t>
      </w:r>
      <w:proofErr w:type="spellEnd"/>
      <w:r w:rsidR="00031D6E" w:rsidRPr="00CE3DA7">
        <w:t xml:space="preserve"> de Haag</w:t>
      </w:r>
      <w:r w:rsidR="00031D6E">
        <w:t xml:space="preserve"> and Ale, 1999) </w:t>
      </w:r>
      <w:r w:rsidR="00C96549">
        <w:rPr>
          <w:szCs w:val="18"/>
          <w:lang w:val="en-GB"/>
        </w:rPr>
        <w:t xml:space="preserve">can </w:t>
      </w:r>
      <w:r w:rsidR="00C15DAB">
        <w:rPr>
          <w:szCs w:val="18"/>
          <w:lang w:val="en-GB"/>
        </w:rPr>
        <w:t>aid in</w:t>
      </w:r>
      <w:r w:rsidR="00C96549">
        <w:rPr>
          <w:szCs w:val="18"/>
          <w:lang w:val="en-GB"/>
        </w:rPr>
        <w:t xml:space="preserve"> identify</w:t>
      </w:r>
      <w:r w:rsidR="00C15DAB">
        <w:rPr>
          <w:szCs w:val="18"/>
          <w:lang w:val="en-GB"/>
        </w:rPr>
        <w:t>ing</w:t>
      </w:r>
      <w:r w:rsidR="00C96549">
        <w:rPr>
          <w:szCs w:val="18"/>
          <w:lang w:val="en-GB"/>
        </w:rPr>
        <w:t xml:space="preserve"> end-point scenarios following critical events </w:t>
      </w:r>
      <w:r w:rsidR="00C15DAB">
        <w:rPr>
          <w:szCs w:val="18"/>
          <w:lang w:val="en-GB"/>
        </w:rPr>
        <w:t>in</w:t>
      </w:r>
      <w:r w:rsidR="00C96549">
        <w:rPr>
          <w:szCs w:val="18"/>
          <w:lang w:val="en-GB"/>
        </w:rPr>
        <w:t xml:space="preserve"> capture unit</w:t>
      </w:r>
      <w:r w:rsidR="00C15DAB">
        <w:rPr>
          <w:szCs w:val="18"/>
          <w:lang w:val="en-GB"/>
        </w:rPr>
        <w:t>s</w:t>
      </w:r>
      <w:r w:rsidR="00C96549">
        <w:rPr>
          <w:szCs w:val="18"/>
          <w:lang w:val="en-GB"/>
        </w:rPr>
        <w:t xml:space="preserve">. </w:t>
      </w:r>
      <w:r w:rsidR="007357A3">
        <w:rPr>
          <w:szCs w:val="18"/>
          <w:lang w:val="en-GB"/>
        </w:rPr>
        <w:t>However</w:t>
      </w:r>
      <w:r w:rsidR="00C96549" w:rsidRPr="00C96549">
        <w:rPr>
          <w:szCs w:val="18"/>
          <w:lang w:val="en-GB"/>
        </w:rPr>
        <w:t>, other</w:t>
      </w:r>
      <w:r w:rsidR="00C96549" w:rsidRPr="00C96549">
        <w:t xml:space="preserve"> </w:t>
      </w:r>
      <w:r w:rsidR="00C96549" w:rsidRPr="00C96549">
        <w:rPr>
          <w:szCs w:val="18"/>
          <w:lang w:val="en-GB"/>
        </w:rPr>
        <w:t xml:space="preserve">non-specific literature sources may </w:t>
      </w:r>
      <w:r w:rsidR="00863292">
        <w:rPr>
          <w:szCs w:val="18"/>
          <w:lang w:val="en-GB"/>
        </w:rPr>
        <w:t xml:space="preserve">also </w:t>
      </w:r>
      <w:r w:rsidR="00C96549" w:rsidRPr="00C96549">
        <w:rPr>
          <w:szCs w:val="18"/>
          <w:lang w:val="en-GB"/>
        </w:rPr>
        <w:t>be considered to derive</w:t>
      </w:r>
      <w:r w:rsidR="00C96549">
        <w:rPr>
          <w:szCs w:val="18"/>
          <w:lang w:val="en-GB"/>
        </w:rPr>
        <w:t xml:space="preserve"> </w:t>
      </w:r>
      <w:r w:rsidR="00C96549" w:rsidRPr="00C96549">
        <w:rPr>
          <w:szCs w:val="18"/>
          <w:lang w:val="en-GB"/>
        </w:rPr>
        <w:t>similar data (CCPS, 2000; Mannan, 2012; OREDA, 2015).</w:t>
      </w:r>
      <w:r w:rsidR="00C80BD5">
        <w:rPr>
          <w:lang w:val="en-GB"/>
        </w:rPr>
        <w:t xml:space="preserve"> </w:t>
      </w:r>
      <w:r w:rsidR="00E27194" w:rsidRPr="00E27194">
        <w:rPr>
          <w:lang w:val="en-GB"/>
        </w:rPr>
        <w:t xml:space="preserve">The gap analysis </w:t>
      </w:r>
      <w:r w:rsidR="00863292">
        <w:rPr>
          <w:lang w:val="en-GB"/>
        </w:rPr>
        <w:t xml:space="preserve">has </w:t>
      </w:r>
      <w:r w:rsidR="00CA2CD4">
        <w:rPr>
          <w:lang w:val="en-GB"/>
        </w:rPr>
        <w:t>further</w:t>
      </w:r>
      <w:r w:rsidR="00E27194" w:rsidRPr="00E27194">
        <w:rPr>
          <w:lang w:val="en-GB"/>
        </w:rPr>
        <w:t xml:space="preserve"> underscore</w:t>
      </w:r>
      <w:r w:rsidR="006139C1">
        <w:rPr>
          <w:lang w:val="en-GB"/>
        </w:rPr>
        <w:t>d</w:t>
      </w:r>
      <w:r w:rsidR="00E27194" w:rsidRPr="00E27194">
        <w:rPr>
          <w:lang w:val="en-GB"/>
        </w:rPr>
        <w:t xml:space="preserve"> challenges in consequence mode</w:t>
      </w:r>
      <w:r w:rsidR="006139C1">
        <w:rPr>
          <w:lang w:val="en-GB"/>
        </w:rPr>
        <w:t>l</w:t>
      </w:r>
      <w:r w:rsidR="00E27194" w:rsidRPr="00E27194">
        <w:rPr>
          <w:lang w:val="en-GB"/>
        </w:rPr>
        <w:t>ling</w:t>
      </w:r>
      <w:r w:rsidR="006139C1">
        <w:rPr>
          <w:lang w:val="en-GB"/>
        </w:rPr>
        <w:t>.</w:t>
      </w:r>
      <w:r w:rsidR="007F2CEB">
        <w:rPr>
          <w:lang w:val="en-GB"/>
        </w:rPr>
        <w:t xml:space="preserve"> </w:t>
      </w:r>
      <w:r w:rsidR="00E27194" w:rsidRPr="00E27194">
        <w:rPr>
          <w:lang w:val="en-GB"/>
        </w:rPr>
        <w:t>While models for atmospheric CO</w:t>
      </w:r>
      <w:r w:rsidR="00E27194" w:rsidRPr="007F2CEB">
        <w:rPr>
          <w:vertAlign w:val="subscript"/>
          <w:lang w:val="en-GB"/>
        </w:rPr>
        <w:t>2</w:t>
      </w:r>
      <w:r w:rsidR="00E27194" w:rsidRPr="00E27194">
        <w:rPr>
          <w:lang w:val="en-GB"/>
        </w:rPr>
        <w:t xml:space="preserve"> releases have been validated through experimental campaigns</w:t>
      </w:r>
      <w:r w:rsidR="00BA0C18">
        <w:rPr>
          <w:lang w:val="en-GB"/>
        </w:rPr>
        <w:t xml:space="preserve"> (Sherpa Consulting, 2015)</w:t>
      </w:r>
      <w:r w:rsidR="00E27194" w:rsidRPr="00E27194">
        <w:rPr>
          <w:lang w:val="en-GB"/>
        </w:rPr>
        <w:t xml:space="preserve">, significant knowledge gaps persist in other areas of the CCS chain, </w:t>
      </w:r>
      <w:r w:rsidR="006139C1" w:rsidRPr="00E27194">
        <w:rPr>
          <w:lang w:val="en-GB"/>
        </w:rPr>
        <w:t xml:space="preserve">particularly for </w:t>
      </w:r>
      <w:r w:rsidR="000E3C10">
        <w:rPr>
          <w:lang w:val="en-GB"/>
        </w:rPr>
        <w:t>underwater stages</w:t>
      </w:r>
      <w:r w:rsidR="006139C1">
        <w:rPr>
          <w:lang w:val="en-GB"/>
        </w:rPr>
        <w:t>. Indeed,</w:t>
      </w:r>
      <w:r w:rsidR="006139C1" w:rsidRPr="00E27194">
        <w:rPr>
          <w:lang w:val="en-GB"/>
        </w:rPr>
        <w:t xml:space="preserve"> </w:t>
      </w:r>
      <w:r w:rsidR="006139C1">
        <w:rPr>
          <w:lang w:val="en-GB"/>
        </w:rPr>
        <w:t xml:space="preserve">source term and dispersion </w:t>
      </w:r>
      <w:r w:rsidR="006139C1" w:rsidRPr="00E27194">
        <w:rPr>
          <w:lang w:val="en-GB"/>
        </w:rPr>
        <w:t>models</w:t>
      </w:r>
      <w:r w:rsidR="006139C1">
        <w:rPr>
          <w:lang w:val="en-GB"/>
        </w:rPr>
        <w:t xml:space="preserve"> in software tools able to simulate underwater releases</w:t>
      </w:r>
      <w:r w:rsidR="003B2A59">
        <w:rPr>
          <w:lang w:val="en-GB"/>
        </w:rPr>
        <w:t>, such as</w:t>
      </w:r>
      <w:r w:rsidR="006139C1" w:rsidRPr="00E27194">
        <w:rPr>
          <w:lang w:val="en-GB"/>
        </w:rPr>
        <w:t xml:space="preserve"> OLGA</w:t>
      </w:r>
      <w:r w:rsidR="006139C1">
        <w:rPr>
          <w:lang w:val="en-GB"/>
        </w:rPr>
        <w:t xml:space="preserve"> </w:t>
      </w:r>
      <w:r w:rsidR="00AC224C">
        <w:rPr>
          <w:lang w:val="en-GB"/>
        </w:rPr>
        <w:t>(</w:t>
      </w:r>
      <w:r w:rsidR="00AC224C" w:rsidRPr="00AC224C">
        <w:t>Schlumberger, 202</w:t>
      </w:r>
      <w:r w:rsidR="00AC224C">
        <w:t xml:space="preserve">4) </w:t>
      </w:r>
      <w:r w:rsidR="006139C1" w:rsidRPr="00E27194">
        <w:rPr>
          <w:lang w:val="en-GB"/>
        </w:rPr>
        <w:t>and TAMOC</w:t>
      </w:r>
      <w:r w:rsidR="00AC224C">
        <w:rPr>
          <w:lang w:val="en-GB"/>
        </w:rPr>
        <w:t xml:space="preserve"> (</w:t>
      </w:r>
      <w:proofErr w:type="spellStart"/>
      <w:r w:rsidR="00AC224C" w:rsidRPr="00AC224C">
        <w:t>Socolofsky</w:t>
      </w:r>
      <w:proofErr w:type="spellEnd"/>
      <w:r w:rsidR="00AC224C">
        <w:t xml:space="preserve"> et al.</w:t>
      </w:r>
      <w:r w:rsidR="00AC224C" w:rsidRPr="00AC224C">
        <w:t>,</w:t>
      </w:r>
      <w:r w:rsidR="00AC224C">
        <w:t xml:space="preserve"> 2015)</w:t>
      </w:r>
      <w:r w:rsidR="00B57159">
        <w:t>,</w:t>
      </w:r>
      <w:r w:rsidR="006139C1" w:rsidRPr="00E27194">
        <w:rPr>
          <w:lang w:val="en-GB"/>
        </w:rPr>
        <w:t xml:space="preserve"> lack</w:t>
      </w:r>
      <w:r w:rsidR="00B57159">
        <w:rPr>
          <w:lang w:val="en-GB"/>
        </w:rPr>
        <w:t xml:space="preserve"> adequate</w:t>
      </w:r>
      <w:r w:rsidR="006139C1" w:rsidRPr="00E27194">
        <w:rPr>
          <w:lang w:val="en-GB"/>
        </w:rPr>
        <w:t xml:space="preserve"> validation</w:t>
      </w:r>
      <w:r w:rsidR="00FF2C7A">
        <w:rPr>
          <w:lang w:val="en-GB"/>
        </w:rPr>
        <w:t xml:space="preserve">. </w:t>
      </w:r>
      <w:r w:rsidR="00B57159">
        <w:rPr>
          <w:lang w:val="en-GB"/>
        </w:rPr>
        <w:t>A</w:t>
      </w:r>
      <w:r w:rsidR="00FF2C7A" w:rsidRPr="00FF2C7A">
        <w:rPr>
          <w:lang w:val="en-GB"/>
        </w:rPr>
        <w:t>ddressing the</w:t>
      </w:r>
      <w:r w:rsidR="00B57159">
        <w:rPr>
          <w:lang w:val="en-GB"/>
        </w:rPr>
        <w:t>se</w:t>
      </w:r>
      <w:r w:rsidR="00FF2C7A" w:rsidRPr="00FF2C7A">
        <w:rPr>
          <w:lang w:val="en-GB"/>
        </w:rPr>
        <w:t xml:space="preserve"> identified gaps is </w:t>
      </w:r>
      <w:r w:rsidR="00A042A3">
        <w:rPr>
          <w:lang w:val="en-GB"/>
        </w:rPr>
        <w:t>crucial</w:t>
      </w:r>
      <w:r w:rsidR="00FF2C7A" w:rsidRPr="00FF2C7A">
        <w:rPr>
          <w:lang w:val="en-GB"/>
        </w:rPr>
        <w:t xml:space="preserve"> to enhance the reliability, safety, and public confidence in CCS technologies.</w:t>
      </w:r>
    </w:p>
    <w:p w14:paraId="2C43E6A5" w14:textId="780B6CF8" w:rsidR="00C70B0A" w:rsidRDefault="00BA0262" w:rsidP="00C70B0A">
      <w:pPr>
        <w:pStyle w:val="CETHeading1"/>
      </w:pPr>
      <w:bookmarkStart w:id="3" w:name="_Ref182306820"/>
      <w:r>
        <w:t>Inherent safety methodology</w:t>
      </w:r>
      <w:bookmarkEnd w:id="3"/>
    </w:p>
    <w:p w14:paraId="55287B39" w14:textId="3C0D4FA4" w:rsidR="00496216" w:rsidRDefault="00EB0C83" w:rsidP="006A2148">
      <w:pPr>
        <w:pStyle w:val="CETBodytext"/>
      </w:pPr>
      <w:r>
        <w:t xml:space="preserve">The assessment and analysis of the inherent safety performance of a CCS system </w:t>
      </w:r>
      <w:r w:rsidR="000B4AFC">
        <w:t>have been</w:t>
      </w:r>
      <w:r>
        <w:t xml:space="preserve"> c</w:t>
      </w:r>
      <w:r w:rsidR="000B4AFC">
        <w:t>onducted</w:t>
      </w:r>
      <w:r>
        <w:t xml:space="preserve"> applying a consequence-based methodology</w:t>
      </w:r>
      <w:r w:rsidR="00912284">
        <w:t xml:space="preserve"> originally</w:t>
      </w:r>
      <w:r>
        <w:t xml:space="preserve"> developed </w:t>
      </w:r>
      <w:r w:rsidR="00B25167">
        <w:t>by</w:t>
      </w:r>
      <w:r>
        <w:t xml:space="preserve"> (Tugnoli et al., 2007) and </w:t>
      </w:r>
      <w:r w:rsidR="00D121C1">
        <w:t>later</w:t>
      </w:r>
      <w:r w:rsidR="00912284">
        <w:t xml:space="preserve"> refined</w:t>
      </w:r>
      <w:r>
        <w:t xml:space="preserve"> by </w:t>
      </w:r>
      <w:r w:rsidR="00B25167">
        <w:t>(</w:t>
      </w:r>
      <w:proofErr w:type="spellStart"/>
      <w:r w:rsidR="00B25167">
        <w:t>Crivellari</w:t>
      </w:r>
      <w:proofErr w:type="spellEnd"/>
      <w:r w:rsidR="00B25167">
        <w:t xml:space="preserve"> et al., 2018)</w:t>
      </w:r>
      <w:r>
        <w:t>. T</w:t>
      </w:r>
      <w:r w:rsidR="00A528D1">
        <w:t>his</w:t>
      </w:r>
      <w:r>
        <w:t xml:space="preserve"> approach </w:t>
      </w:r>
      <w:r w:rsidR="00A528D1">
        <w:t xml:space="preserve">calculates </w:t>
      </w:r>
      <w:r>
        <w:t xml:space="preserve">hazard indexes </w:t>
      </w:r>
      <w:r w:rsidR="000B4AFC">
        <w:t>by</w:t>
      </w:r>
      <w:r w:rsidR="00A528D1">
        <w:t xml:space="preserve"> evaluati</w:t>
      </w:r>
      <w:r w:rsidR="000B4AFC">
        <w:t>ng</w:t>
      </w:r>
      <w:r>
        <w:t xml:space="preserve"> the expected </w:t>
      </w:r>
      <w:r w:rsidR="00A52D1F">
        <w:t>end-point scenarios</w:t>
      </w:r>
      <w:r>
        <w:t xml:space="preserve"> </w:t>
      </w:r>
      <w:r w:rsidR="00A528D1">
        <w:t xml:space="preserve">arising </w:t>
      </w:r>
      <w:r>
        <w:t>from accident</w:t>
      </w:r>
      <w:r w:rsidR="00AB5AE7">
        <w:t xml:space="preserve">al events </w:t>
      </w:r>
      <w:r>
        <w:t xml:space="preserve">identified </w:t>
      </w:r>
      <w:r w:rsidR="00A528D1">
        <w:t>within</w:t>
      </w:r>
      <w:r>
        <w:t xml:space="preserve"> the system</w:t>
      </w:r>
      <w:r w:rsidR="00D121C1">
        <w:t xml:space="preserve">. </w:t>
      </w:r>
      <w:r w:rsidR="00D121C1" w:rsidRPr="00D121C1">
        <w:t xml:space="preserve">The methodology </w:t>
      </w:r>
      <w:r w:rsidR="000B4AFC">
        <w:t>comprises</w:t>
      </w:r>
      <w:r w:rsidR="00D121C1" w:rsidRPr="00D121C1">
        <w:t xml:space="preserve"> a preliminary information-gathering phase, followed by four main steps</w:t>
      </w:r>
      <w:r w:rsidR="00D121C1">
        <w:t>.</w:t>
      </w:r>
      <w:r w:rsidR="00AB5AE7">
        <w:t xml:space="preserve"> </w:t>
      </w:r>
      <w:r w:rsidR="00BD686C" w:rsidRPr="00BD686C">
        <w:t xml:space="preserve">In the preliminary phase, relevant input information is collected, including system </w:t>
      </w:r>
      <w:r w:rsidR="008B209A">
        <w:t>and</w:t>
      </w:r>
      <w:r w:rsidR="00BD686C" w:rsidRPr="00BD686C">
        <w:t xml:space="preserve"> component specifications, process and geometrical details of equipment items, as well as the hazardous and thermodynamic properties of the substances involved</w:t>
      </w:r>
      <w:r w:rsidR="00E642AE">
        <w:t xml:space="preserve">. </w:t>
      </w:r>
      <w:r w:rsidR="00BD686C" w:rsidRPr="00BD686C">
        <w:t>The first step then identifies and classifies hazardous equipment items at various stages of the CCS value chain according to their functional categories</w:t>
      </w:r>
      <w:r w:rsidR="00157D83">
        <w:t xml:space="preserve"> </w:t>
      </w:r>
      <w:r w:rsidR="00157D83">
        <w:rPr>
          <w:szCs w:val="18"/>
        </w:rPr>
        <w:t>(</w:t>
      </w:r>
      <w:proofErr w:type="spellStart"/>
      <w:r w:rsidR="00157D83">
        <w:rPr>
          <w:szCs w:val="18"/>
        </w:rPr>
        <w:t>Delvosalle</w:t>
      </w:r>
      <w:proofErr w:type="spellEnd"/>
      <w:r w:rsidR="00157D83">
        <w:rPr>
          <w:szCs w:val="18"/>
        </w:rPr>
        <w:t xml:space="preserve"> et al., 2006)</w:t>
      </w:r>
      <w:r w:rsidR="00BD686C" w:rsidRPr="00BD686C">
        <w:t>.</w:t>
      </w:r>
      <w:r w:rsidR="009F5397">
        <w:t xml:space="preserve"> </w:t>
      </w:r>
      <w:r w:rsidR="00D121C1">
        <w:t>Next,</w:t>
      </w:r>
      <w:r w:rsidR="00EB6092">
        <w:t xml:space="preserve"> </w:t>
      </w:r>
      <w:r w:rsidR="00A528D1">
        <w:t xml:space="preserve">potential </w:t>
      </w:r>
      <w:r w:rsidR="00EB6092">
        <w:t>critical events</w:t>
      </w:r>
      <w:r w:rsidR="00D121C1">
        <w:t xml:space="preserve"> are defined</w:t>
      </w:r>
      <w:r w:rsidR="00EB6092">
        <w:t xml:space="preserve"> </w:t>
      </w:r>
      <w:r w:rsidR="00A528D1">
        <w:t>for each</w:t>
      </w:r>
      <w:r w:rsidR="00EB6092">
        <w:t xml:space="preserve"> equipment item by </w:t>
      </w:r>
      <w:r w:rsidR="00A528D1">
        <w:t>establishing</w:t>
      </w:r>
      <w:r w:rsidR="00E63D4C">
        <w:t xml:space="preserve"> reference</w:t>
      </w:r>
      <w:r w:rsidR="00EB6092">
        <w:t xml:space="preserve"> release modes. </w:t>
      </w:r>
      <w:r w:rsidR="00D054C1">
        <w:t>For</w:t>
      </w:r>
      <w:r w:rsidR="009C27CD">
        <w:t xml:space="preserve"> example</w:t>
      </w:r>
      <w:r w:rsidR="00EE2352">
        <w:t xml:space="preserve">, </w:t>
      </w:r>
      <w:r w:rsidR="00D054C1">
        <w:t>in the</w:t>
      </w:r>
      <w:r w:rsidR="00157D83">
        <w:t xml:space="preserve"> capture and conditioning</w:t>
      </w:r>
      <w:r w:rsidR="001E7169" w:rsidRPr="001E7169">
        <w:t xml:space="preserve"> process units</w:t>
      </w:r>
      <w:r w:rsidR="00EE2352">
        <w:t xml:space="preserve"> of the </w:t>
      </w:r>
      <w:r w:rsidR="009C27CD">
        <w:t xml:space="preserve">investigated </w:t>
      </w:r>
      <w:r w:rsidR="00EE2352">
        <w:t>case study</w:t>
      </w:r>
      <w:r w:rsidR="001E7169" w:rsidRPr="001E7169">
        <w:t xml:space="preserve">, eight specific release modes </w:t>
      </w:r>
      <w:r w:rsidR="00D054C1">
        <w:t>have been</w:t>
      </w:r>
      <w:r w:rsidR="001E7169" w:rsidRPr="001E7169">
        <w:t xml:space="preserve"> considered: a leak with </w:t>
      </w:r>
      <w:r w:rsidR="001E7169">
        <w:t xml:space="preserve">a hole of </w:t>
      </w:r>
      <w:r w:rsidR="001E7169" w:rsidRPr="001E7169">
        <w:t xml:space="preserve">10% </w:t>
      </w:r>
      <w:r w:rsidR="008A7303">
        <w:t xml:space="preserve">of </w:t>
      </w:r>
      <w:r w:rsidR="001E7169">
        <w:t>the</w:t>
      </w:r>
      <w:r w:rsidR="001E7169" w:rsidRPr="001E7169">
        <w:t xml:space="preserve"> pipe diameter (R1), a leak with</w:t>
      </w:r>
      <w:r w:rsidR="001E7169">
        <w:t xml:space="preserve"> a hole of</w:t>
      </w:r>
      <w:r w:rsidR="001E7169" w:rsidRPr="001E7169">
        <w:t xml:space="preserve"> 22% </w:t>
      </w:r>
      <w:r w:rsidR="008A7303">
        <w:t xml:space="preserve">of </w:t>
      </w:r>
      <w:r w:rsidR="001E7169">
        <w:t>the</w:t>
      </w:r>
      <w:r w:rsidR="001E7169" w:rsidRPr="001E7169">
        <w:t xml:space="preserve"> pipe diameter (R2), a full-bore pipe rupture (R3), a leak with an equivalent hole diameter of 10 mm (R4), a leak with an equivalent hole diameter of 35 mm (R5), a leak with an equivalent hole diameter of 100 mm (R6), a catastrophic rupture with release of the entire inventory </w:t>
      </w:r>
      <w:r w:rsidR="008A7303">
        <w:t>over</w:t>
      </w:r>
      <w:r w:rsidR="001E7169" w:rsidRPr="001E7169">
        <w:t xml:space="preserve"> 600 s at a constant rate (R7), and a catastrophic rupture with instantaneous release of the entire inventory (R8). In contrast, only four release modes </w:t>
      </w:r>
      <w:r w:rsidR="00924460">
        <w:t>have been</w:t>
      </w:r>
      <w:r w:rsidR="001E7169" w:rsidRPr="001E7169">
        <w:t xml:space="preserve"> defined for </w:t>
      </w:r>
      <w:r w:rsidR="00157D83">
        <w:t xml:space="preserve">transport via </w:t>
      </w:r>
      <w:r w:rsidR="001E7169" w:rsidRPr="001E7169">
        <w:t>pipelines: a leak with a 10 mm hole diameter (R9), a leak with a 50 mm hole diameter (R10), a leak with a 100 mm hole diameter (R11), and a full-bore rupture (R12).</w:t>
      </w:r>
      <w:r w:rsidR="003514EE">
        <w:t xml:space="preserve"> </w:t>
      </w:r>
      <w:r w:rsidR="00D121C1" w:rsidRPr="00D121C1">
        <w:t>To account for the likelihood of equipment failure</w:t>
      </w:r>
      <w:r w:rsidR="000A1865">
        <w:t>, specific credit factors (</w:t>
      </w:r>
      <m:oMath>
        <m:r>
          <w:rPr>
            <w:rFonts w:ascii="Cambria Math" w:hAnsi="Cambria Math"/>
          </w:rPr>
          <m:t>c</m:t>
        </m:r>
        <m:sSub>
          <m:sSubPr>
            <m:ctrlPr>
              <w:rPr>
                <w:rFonts w:ascii="Cambria Math" w:hAnsi="Cambria Math"/>
                <w:i/>
              </w:rPr>
            </m:ctrlPr>
          </m:sSubPr>
          <m:e>
            <m:r>
              <w:rPr>
                <w:rFonts w:ascii="Cambria Math" w:hAnsi="Cambria Math"/>
              </w:rPr>
              <m:t>f</m:t>
            </m:r>
          </m:e>
          <m:sub>
            <m:r>
              <w:rPr>
                <w:rFonts w:ascii="Cambria Math" w:hAnsi="Cambria Math"/>
              </w:rPr>
              <m:t>i,k</m:t>
            </m:r>
          </m:sub>
        </m:sSub>
      </m:oMath>
      <w:r w:rsidR="000A1865">
        <w:t xml:space="preserve">) </w:t>
      </w:r>
      <w:r w:rsidR="0009190E">
        <w:t>are</w:t>
      </w:r>
      <w:r w:rsidR="000A1865">
        <w:t xml:space="preserve"> estimated for </w:t>
      </w:r>
      <w:r w:rsidR="006A2148">
        <w:t>each</w:t>
      </w:r>
      <w:r w:rsidR="000A1865">
        <w:t xml:space="preserve"> </w:t>
      </w:r>
      <m:oMath>
        <m:sSup>
          <m:sSupPr>
            <m:ctrlPr>
              <w:rPr>
                <w:rFonts w:ascii="Cambria Math" w:hAnsi="Cambria Math"/>
                <w:i/>
              </w:rPr>
            </m:ctrlPr>
          </m:sSupPr>
          <m:e>
            <m:r>
              <w:rPr>
                <w:rFonts w:ascii="Cambria Math" w:hAnsi="Cambria Math"/>
              </w:rPr>
              <m:t>i</m:t>
            </m:r>
          </m:e>
          <m:sup>
            <m:r>
              <w:rPr>
                <w:rFonts w:ascii="Cambria Math" w:hAnsi="Cambria Math"/>
              </w:rPr>
              <m:t>th</m:t>
            </m:r>
          </m:sup>
        </m:sSup>
      </m:oMath>
      <w:r w:rsidR="000A1865">
        <w:t xml:space="preserve"> release mode of </w:t>
      </w:r>
      <w:r w:rsidR="006A2148">
        <w:t>each</w:t>
      </w:r>
      <w:r w:rsidR="000A1865">
        <w:t xml:space="preserve"> </w:t>
      </w:r>
      <m:oMath>
        <m:sSup>
          <m:sSupPr>
            <m:ctrlPr>
              <w:rPr>
                <w:rFonts w:ascii="Cambria Math" w:hAnsi="Cambria Math"/>
                <w:i/>
              </w:rPr>
            </m:ctrlPr>
          </m:sSupPr>
          <m:e>
            <m:r>
              <w:rPr>
                <w:rFonts w:ascii="Cambria Math" w:hAnsi="Cambria Math"/>
              </w:rPr>
              <m:t>k</m:t>
            </m:r>
          </m:e>
          <m:sup>
            <m:r>
              <w:rPr>
                <w:rFonts w:ascii="Cambria Math" w:hAnsi="Cambria Math"/>
              </w:rPr>
              <m:t>th</m:t>
            </m:r>
          </m:sup>
        </m:sSup>
      </m:oMath>
      <w:r w:rsidR="000A1865">
        <w:t xml:space="preserve"> </w:t>
      </w:r>
      <w:r w:rsidR="00D121C1">
        <w:t>equipment item</w:t>
      </w:r>
      <w:r w:rsidR="001E7169">
        <w:t>.</w:t>
      </w:r>
      <w:r w:rsidR="000A1865">
        <w:t xml:space="preserve"> </w:t>
      </w:r>
      <w:r w:rsidR="001E7169" w:rsidRPr="001E7169">
        <w:t>These estimates are based on statistical frequency data, which may be specific to C</w:t>
      </w:r>
      <w:r w:rsidR="0009190E">
        <w:t>O</w:t>
      </w:r>
      <w:r w:rsidR="0009190E" w:rsidRPr="0009190E">
        <w:rPr>
          <w:vertAlign w:val="subscript"/>
        </w:rPr>
        <w:t>2</w:t>
      </w:r>
      <w:r w:rsidR="001E7169" w:rsidRPr="001E7169">
        <w:t xml:space="preserve"> applications or generalized, as outlined in Section</w:t>
      </w:r>
      <w:r w:rsidR="001E7169">
        <w:t xml:space="preserve"> </w:t>
      </w:r>
      <w:r w:rsidR="00EB6092">
        <w:fldChar w:fldCharType="begin"/>
      </w:r>
      <w:r w:rsidR="00EB6092">
        <w:instrText xml:space="preserve"> REF _Ref180672619 \r \h </w:instrText>
      </w:r>
      <w:r w:rsidR="00EB6092">
        <w:fldChar w:fldCharType="separate"/>
      </w:r>
      <w:r w:rsidR="00916652">
        <w:t>2</w:t>
      </w:r>
      <w:r w:rsidR="00EB6092">
        <w:fldChar w:fldCharType="end"/>
      </w:r>
      <w:r w:rsidR="00EB6092">
        <w:t xml:space="preserve">. </w:t>
      </w:r>
      <w:r w:rsidR="00D121C1">
        <w:t>In</w:t>
      </w:r>
      <w:r w:rsidR="000A1865">
        <w:t xml:space="preserve"> the third step</w:t>
      </w:r>
      <w:r w:rsidR="00D121C1">
        <w:t>,</w:t>
      </w:r>
      <w:r w:rsidR="000A1865">
        <w:t xml:space="preserve"> accident scenarios are identified for each release mode</w:t>
      </w:r>
      <w:r w:rsidR="006A2148">
        <w:t xml:space="preserve"> </w:t>
      </w:r>
      <w:r w:rsidR="000A1865">
        <w:t>using a set of generic event trees</w:t>
      </w:r>
      <w:r w:rsidR="003B628C">
        <w:t>.</w:t>
      </w:r>
      <w:r w:rsidR="003B628C" w:rsidRPr="003B628C">
        <w:t xml:space="preserve"> </w:t>
      </w:r>
      <w:r w:rsidR="00A1270D">
        <w:t>Since</w:t>
      </w:r>
      <w:r w:rsidR="003B628C">
        <w:t xml:space="preserve"> the </w:t>
      </w:r>
      <w:r w:rsidR="006A2148">
        <w:t>c</w:t>
      </w:r>
      <w:r w:rsidR="003B628C">
        <w:t>urrent consequence analysis</w:t>
      </w:r>
      <w:r w:rsidR="006A2148">
        <w:t xml:space="preserve"> </w:t>
      </w:r>
      <w:r w:rsidR="001E7169">
        <w:t>focuses</w:t>
      </w:r>
      <w:r w:rsidR="006A2148">
        <w:t xml:space="preserve"> on human impacts, </w:t>
      </w:r>
      <w:r w:rsidR="003B628C">
        <w:t xml:space="preserve">threshold values for physical effects </w:t>
      </w:r>
      <w:r w:rsidR="001E7169">
        <w:t>are</w:t>
      </w:r>
      <w:r w:rsidR="003B628C">
        <w:t xml:space="preserve"> defined</w:t>
      </w:r>
      <w:r w:rsidR="001E7169">
        <w:t xml:space="preserve"> from (Tugnoli et al., 2007)</w:t>
      </w:r>
      <w:r w:rsidR="003B628C">
        <w:t xml:space="preserve">. </w:t>
      </w:r>
      <w:r w:rsidR="006A2148">
        <w:t>Following this</w:t>
      </w:r>
      <w:r w:rsidR="003B628C">
        <w:t>, specific damage distances (</w:t>
      </w:r>
      <m:oMath>
        <m:sSub>
          <m:sSubPr>
            <m:ctrlPr>
              <w:rPr>
                <w:rFonts w:ascii="Cambria Math" w:hAnsi="Cambria Math"/>
                <w:i/>
              </w:rPr>
            </m:ctrlPr>
          </m:sSubPr>
          <m:e>
            <m:r>
              <w:rPr>
                <w:rFonts w:ascii="Cambria Math" w:hAnsi="Cambria Math"/>
              </w:rPr>
              <m:t>d</m:t>
            </m:r>
          </m:e>
          <m:sub>
            <m:r>
              <w:rPr>
                <w:rFonts w:ascii="Cambria Math" w:hAnsi="Cambria Math"/>
              </w:rPr>
              <m:t>i,j,k</m:t>
            </m:r>
          </m:sub>
        </m:sSub>
      </m:oMath>
      <w:r w:rsidR="003B628C">
        <w:t xml:space="preserve">) </w:t>
      </w:r>
      <w:r w:rsidR="006A2148">
        <w:t>are</w:t>
      </w:r>
      <w:r w:rsidR="003B628C">
        <w:t xml:space="preserve"> calculated for </w:t>
      </w:r>
      <w:r w:rsidR="006A2148">
        <w:t>each</w:t>
      </w:r>
      <w:r w:rsidR="00D121C1">
        <w:t xml:space="preserve"> </w:t>
      </w:r>
      <m:oMath>
        <m:sSup>
          <m:sSupPr>
            <m:ctrlPr>
              <w:rPr>
                <w:rFonts w:ascii="Cambria Math" w:hAnsi="Cambria Math"/>
                <w:i/>
              </w:rPr>
            </m:ctrlPr>
          </m:sSupPr>
          <m:e>
            <m:r>
              <w:rPr>
                <w:rFonts w:ascii="Cambria Math" w:hAnsi="Cambria Math"/>
              </w:rPr>
              <m:t>j</m:t>
            </m:r>
          </m:e>
          <m:sup>
            <m:r>
              <w:rPr>
                <w:rFonts w:ascii="Cambria Math" w:hAnsi="Cambria Math"/>
              </w:rPr>
              <m:t>th</m:t>
            </m:r>
          </m:sup>
        </m:sSup>
      </m:oMath>
      <w:r w:rsidR="00D121C1">
        <w:t xml:space="preserve"> </w:t>
      </w:r>
      <w:r w:rsidR="003B628C">
        <w:t xml:space="preserve">accident scenario </w:t>
      </w:r>
      <w:r w:rsidR="006A2148">
        <w:t xml:space="preserve">associated with </w:t>
      </w:r>
      <w:r w:rsidR="003B628C">
        <w:t xml:space="preserve">the </w:t>
      </w:r>
      <m:oMath>
        <m:sSup>
          <m:sSupPr>
            <m:ctrlPr>
              <w:rPr>
                <w:rFonts w:ascii="Cambria Math" w:hAnsi="Cambria Math"/>
                <w:i/>
              </w:rPr>
            </m:ctrlPr>
          </m:sSupPr>
          <m:e>
            <m:r>
              <w:rPr>
                <w:rFonts w:ascii="Cambria Math" w:hAnsi="Cambria Math"/>
              </w:rPr>
              <m:t>i</m:t>
            </m:r>
          </m:e>
          <m:sup>
            <m:r>
              <w:rPr>
                <w:rFonts w:ascii="Cambria Math" w:hAnsi="Cambria Math"/>
              </w:rPr>
              <m:t>th</m:t>
            </m:r>
          </m:sup>
        </m:sSup>
      </m:oMath>
      <w:r w:rsidR="003B628C">
        <w:t xml:space="preserve"> release mode of the </w:t>
      </w:r>
      <m:oMath>
        <m:sSup>
          <m:sSupPr>
            <m:ctrlPr>
              <w:rPr>
                <w:rFonts w:ascii="Cambria Math" w:hAnsi="Cambria Math"/>
                <w:i/>
              </w:rPr>
            </m:ctrlPr>
          </m:sSupPr>
          <m:e>
            <m:r>
              <w:rPr>
                <w:rFonts w:ascii="Cambria Math" w:hAnsi="Cambria Math"/>
              </w:rPr>
              <m:t>k</m:t>
            </m:r>
          </m:e>
          <m:sup>
            <m:r>
              <w:rPr>
                <w:rFonts w:ascii="Cambria Math" w:hAnsi="Cambria Math"/>
              </w:rPr>
              <m:t>th</m:t>
            </m:r>
          </m:sup>
        </m:sSup>
      </m:oMath>
      <w:r w:rsidR="00D121C1">
        <w:t xml:space="preserve"> </w:t>
      </w:r>
      <w:r w:rsidR="00AC37FD">
        <w:t>equipment item</w:t>
      </w:r>
      <w:r w:rsidR="006A2148">
        <w:t xml:space="preserve">, </w:t>
      </w:r>
      <w:r w:rsidR="003B628C">
        <w:t xml:space="preserve">adopting well-known consequence simulation models and </w:t>
      </w:r>
      <w:r w:rsidR="00A1270D">
        <w:t xml:space="preserve">the </w:t>
      </w:r>
      <w:r w:rsidR="003B628C">
        <w:t>defined threshold values</w:t>
      </w:r>
      <w:r w:rsidR="00A1270D">
        <w:t>.</w:t>
      </w:r>
      <w:r w:rsidR="006A2148">
        <w:t xml:space="preserve"> </w:t>
      </w:r>
      <w:r w:rsidR="006A2148" w:rsidRPr="006A2148">
        <w:t>Finally, the Potential Hazard Index (</w:t>
      </w:r>
      <m:oMath>
        <m:r>
          <w:rPr>
            <w:rFonts w:ascii="Cambria Math" w:hAnsi="Cambria Math"/>
          </w:rPr>
          <m:t>PI</m:t>
        </m:r>
      </m:oMath>
      <w:r w:rsidR="005B4CB7">
        <w:t>)</w:t>
      </w:r>
      <w:r w:rsidR="006A2148" w:rsidRPr="006A2148">
        <w:t xml:space="preserve"> and the Inherent Hazard Index </w:t>
      </w:r>
      <w:r w:rsidR="005B4CB7">
        <w:t>(</w:t>
      </w:r>
      <m:oMath>
        <m:r>
          <w:rPr>
            <w:rFonts w:ascii="Cambria Math" w:hAnsi="Cambria Math"/>
          </w:rPr>
          <m:t>HI</m:t>
        </m:r>
      </m:oMath>
      <w:r w:rsidR="006A2148" w:rsidRPr="006A2148">
        <w:t>)</w:t>
      </w:r>
      <w:r w:rsidR="005B4CB7">
        <w:t xml:space="preserve"> </w:t>
      </w:r>
      <w:r w:rsidR="006A2148" w:rsidRPr="006A2148">
        <w:t xml:space="preserve">are calculated for each </w:t>
      </w:r>
      <m:oMath>
        <m:sSup>
          <m:sSupPr>
            <m:ctrlPr>
              <w:rPr>
                <w:rFonts w:ascii="Cambria Math" w:hAnsi="Cambria Math"/>
                <w:i/>
              </w:rPr>
            </m:ctrlPr>
          </m:sSupPr>
          <m:e>
            <m:r>
              <w:rPr>
                <w:rFonts w:ascii="Cambria Math" w:hAnsi="Cambria Math"/>
              </w:rPr>
              <m:t>k</m:t>
            </m:r>
          </m:e>
          <m:sup>
            <m:r>
              <w:rPr>
                <w:rFonts w:ascii="Cambria Math" w:hAnsi="Cambria Math"/>
              </w:rPr>
              <m:t>th</m:t>
            </m:r>
          </m:sup>
        </m:sSup>
      </m:oMath>
      <w:r w:rsidR="006A2148">
        <w:t xml:space="preserve"> </w:t>
      </w:r>
      <w:r w:rsidR="005B4CB7">
        <w:t>equipment item</w:t>
      </w:r>
      <w:r w:rsidR="00F83E6F">
        <w:t>,</w:t>
      </w:r>
      <w:r w:rsidR="001E7169">
        <w:t xml:space="preserve"> </w:t>
      </w:r>
      <w:r w:rsidR="00496216">
        <w:t>as follows:</w:t>
      </w:r>
    </w:p>
    <w:tbl>
      <w:tblPr>
        <w:tblW w:w="5000" w:type="pct"/>
        <w:tblLook w:val="04A0" w:firstRow="1" w:lastRow="0" w:firstColumn="1" w:lastColumn="0" w:noHBand="0" w:noVBand="1"/>
      </w:tblPr>
      <w:tblGrid>
        <w:gridCol w:w="7985"/>
        <w:gridCol w:w="802"/>
      </w:tblGrid>
      <w:tr w:rsidR="00500EA9" w:rsidRPr="00B57B36" w14:paraId="2FB05627" w14:textId="77777777" w:rsidTr="00500EA9">
        <w:tc>
          <w:tcPr>
            <w:tcW w:w="7976" w:type="dxa"/>
            <w:shd w:val="clear" w:color="auto" w:fill="auto"/>
            <w:vAlign w:val="center"/>
          </w:tcPr>
          <w:p w14:paraId="19342C37" w14:textId="4CF5FC66" w:rsidR="00500EA9" w:rsidRPr="00500EA9" w:rsidRDefault="00500EA9" w:rsidP="00500EA9">
            <w:pPr>
              <w:pStyle w:val="CETBodytext"/>
            </w:pPr>
            <m:oMathPara>
              <m:oMathParaPr>
                <m:jc m:val="left"/>
              </m:oMathParaPr>
              <m:oMath>
                <m:r>
                  <w:rPr>
                    <w:rFonts w:ascii="Cambria Math" w:hAnsi="Cambria Math" w:cstheme="minorHAnsi"/>
                  </w:rPr>
                  <m:t>P</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k</m:t>
                    </m:r>
                  </m:sub>
                </m:sSub>
                <m:r>
                  <w:rPr>
                    <w:rFonts w:ascii="Cambria Math" w:hAnsi="Cambria Math" w:cstheme="minorHAnsi"/>
                  </w:rPr>
                  <m:t>=π∙</m:t>
                </m:r>
                <m:func>
                  <m:funcPr>
                    <m:ctrlPr>
                      <w:rPr>
                        <w:rFonts w:ascii="Cambria Math" w:hAnsi="Cambria Math" w:cstheme="minorHAnsi"/>
                        <w:i/>
                      </w:rPr>
                    </m:ctrlPr>
                  </m:funcPr>
                  <m:fName>
                    <m:limLow>
                      <m:limLowPr>
                        <m:ctrlPr>
                          <w:rPr>
                            <w:rFonts w:ascii="Cambria Math" w:hAnsi="Cambria Math" w:cstheme="minorHAnsi"/>
                            <w:i/>
                          </w:rPr>
                        </m:ctrlPr>
                      </m:limLowPr>
                      <m:e>
                        <m:r>
                          <m:rPr>
                            <m:sty m:val="p"/>
                          </m:rPr>
                          <w:rPr>
                            <w:rFonts w:ascii="Cambria Math" w:hAnsi="Cambria Math" w:cstheme="minorHAnsi"/>
                          </w:rPr>
                          <m:t>max</m:t>
                        </m:r>
                      </m:e>
                      <m:lim>
                        <m:r>
                          <w:rPr>
                            <w:rFonts w:ascii="Cambria Math" w:hAnsi="Cambria Math" w:cstheme="minorHAnsi"/>
                          </w:rPr>
                          <m:t>i</m:t>
                        </m:r>
                      </m:lim>
                    </m:limLow>
                  </m:fName>
                  <m:e>
                    <m:sSup>
                      <m:sSupPr>
                        <m:ctrlPr>
                          <w:rPr>
                            <w:rFonts w:ascii="Cambria Math" w:hAnsi="Cambria Math" w:cstheme="minorHAnsi"/>
                            <w:i/>
                          </w:rPr>
                        </m:ctrlPr>
                      </m:sSupPr>
                      <m:e>
                        <m:d>
                          <m:dPr>
                            <m:ctrlPr>
                              <w:rPr>
                                <w:rFonts w:ascii="Cambria Math" w:hAnsi="Cambria Math" w:cstheme="minorHAnsi"/>
                                <w:i/>
                              </w:rPr>
                            </m:ctrlPr>
                          </m:dPr>
                          <m:e>
                            <m:func>
                              <m:funcPr>
                                <m:ctrlPr>
                                  <w:rPr>
                                    <w:rFonts w:ascii="Cambria Math" w:hAnsi="Cambria Math" w:cstheme="minorHAnsi"/>
                                    <w:i/>
                                  </w:rPr>
                                </m:ctrlPr>
                              </m:funcPr>
                              <m:fName>
                                <m:limLow>
                                  <m:limLowPr>
                                    <m:ctrlPr>
                                      <w:rPr>
                                        <w:rFonts w:ascii="Cambria Math" w:hAnsi="Cambria Math" w:cstheme="minorHAnsi"/>
                                        <w:i/>
                                      </w:rPr>
                                    </m:ctrlPr>
                                  </m:limLowPr>
                                  <m:e>
                                    <m:r>
                                      <m:rPr>
                                        <m:sty m:val="p"/>
                                      </m:rPr>
                                      <w:rPr>
                                        <w:rFonts w:ascii="Cambria Math" w:hAnsi="Cambria Math" w:cstheme="minorHAnsi"/>
                                      </w:rPr>
                                      <m:t>max</m:t>
                                    </m:r>
                                  </m:e>
                                  <m:lim>
                                    <m:r>
                                      <w:rPr>
                                        <w:rFonts w:ascii="Cambria Math" w:hAnsi="Cambria Math" w:cstheme="minorHAnsi"/>
                                      </w:rPr>
                                      <m:t>j</m:t>
                                    </m:r>
                                  </m:lim>
                                </m:limLow>
                              </m:fName>
                              <m:e>
                                <m:d>
                                  <m:dPr>
                                    <m:ctrlPr>
                                      <w:rPr>
                                        <w:rFonts w:ascii="Cambria Math" w:hAnsi="Cambria Math" w:cstheme="minorHAnsi"/>
                                        <w:i/>
                                      </w:rPr>
                                    </m:ctrlPr>
                                  </m:dPr>
                                  <m:e>
                                    <m:r>
                                      <m:rPr>
                                        <m:sty m:val="p"/>
                                      </m:rPr>
                                      <w:rPr>
                                        <w:rFonts w:ascii="Cambria Math" w:hAnsi="Cambria Math" w:cstheme="minorHAnsi"/>
                                      </w:rPr>
                                      <m:t>max⁡</m:t>
                                    </m:r>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i,j,k</m:t>
                                        </m:r>
                                      </m:sub>
                                    </m:sSub>
                                    <m:r>
                                      <w:rPr>
                                        <w:rFonts w:ascii="Cambria Math" w:hAnsi="Cambria Math" w:cstheme="minorHAnsi"/>
                                      </w:rPr>
                                      <m:t>,5 m)</m:t>
                                    </m:r>
                                  </m:e>
                                </m:d>
                              </m:e>
                            </m:func>
                          </m:e>
                        </m:d>
                      </m:e>
                      <m:sup>
                        <m:r>
                          <w:rPr>
                            <w:rFonts w:ascii="Cambria Math" w:hAnsi="Cambria Math" w:cstheme="minorHAnsi"/>
                          </w:rPr>
                          <m:t>2</m:t>
                        </m:r>
                      </m:sup>
                    </m:sSup>
                  </m:e>
                </m:func>
              </m:oMath>
            </m:oMathPara>
          </w:p>
        </w:tc>
        <w:tc>
          <w:tcPr>
            <w:tcW w:w="801" w:type="dxa"/>
            <w:shd w:val="clear" w:color="auto" w:fill="auto"/>
            <w:vAlign w:val="center"/>
          </w:tcPr>
          <w:p w14:paraId="0190EBBD" w14:textId="77777777" w:rsidR="00500EA9" w:rsidRPr="00B57B36" w:rsidRDefault="00500EA9" w:rsidP="00E20BA3">
            <w:pPr>
              <w:pStyle w:val="CETEquation"/>
              <w:jc w:val="right"/>
            </w:pPr>
            <w:r w:rsidRPr="00B57B36">
              <w:t>(1)</w:t>
            </w:r>
          </w:p>
        </w:tc>
      </w:tr>
      <w:tr w:rsidR="00500EA9" w:rsidRPr="00B57B36" w14:paraId="18F3526A" w14:textId="77777777" w:rsidTr="00500EA9">
        <w:tc>
          <w:tcPr>
            <w:tcW w:w="7976" w:type="dxa"/>
            <w:shd w:val="clear" w:color="auto" w:fill="auto"/>
            <w:vAlign w:val="center"/>
          </w:tcPr>
          <w:p w14:paraId="696EFCB3" w14:textId="13E0B6FD" w:rsidR="00500EA9" w:rsidRPr="00500EA9" w:rsidRDefault="00500EA9" w:rsidP="00E20BA3">
            <w:pPr>
              <w:pStyle w:val="CETBodytext"/>
            </w:pPr>
            <m:oMathPara>
              <m:oMathParaPr>
                <m:jc m:val="left"/>
              </m:oMathParaPr>
              <m:oMath>
                <m:r>
                  <w:rPr>
                    <w:rFonts w:ascii="Cambria Math" w:hAnsi="Cambria Math" w:cstheme="minorHAnsi"/>
                  </w:rPr>
                  <m:t>H</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k</m:t>
                    </m:r>
                  </m:sub>
                </m:sSub>
                <m:r>
                  <w:rPr>
                    <w:rFonts w:ascii="Cambria Math" w:hAnsi="Cambria Math" w:cstheme="minorHAnsi"/>
                  </w:rPr>
                  <m:t>=π∙</m:t>
                </m:r>
                <m:nary>
                  <m:naryPr>
                    <m:chr m:val="∑"/>
                    <m:limLoc m:val="undOvr"/>
                    <m:ctrlPr>
                      <w:rPr>
                        <w:rFonts w:ascii="Cambria Math" w:hAnsi="Cambria Math" w:cstheme="minorHAnsi"/>
                        <w:i/>
                      </w:rPr>
                    </m:ctrlPr>
                  </m:naryPr>
                  <m:sub>
                    <m:r>
                      <w:rPr>
                        <w:rFonts w:ascii="Cambria Math" w:hAnsi="Cambria Math" w:cstheme="minorHAnsi"/>
                      </w:rPr>
                      <m:t>i=1</m:t>
                    </m:r>
                  </m:sub>
                  <m:sup>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k</m:t>
                        </m:r>
                      </m:sub>
                    </m:sSub>
                  </m:sup>
                  <m:e>
                    <m:sSub>
                      <m:sSubPr>
                        <m:ctrlPr>
                          <w:rPr>
                            <w:rFonts w:ascii="Cambria Math" w:hAnsi="Cambria Math" w:cstheme="minorHAnsi"/>
                            <w:i/>
                          </w:rPr>
                        </m:ctrlPr>
                      </m:sSubPr>
                      <m:e>
                        <m:r>
                          <w:rPr>
                            <w:rFonts w:ascii="Cambria Math" w:hAnsi="Cambria Math" w:cstheme="minorHAnsi"/>
                          </w:rPr>
                          <m:t>cf</m:t>
                        </m:r>
                      </m:e>
                      <m:sub>
                        <m:r>
                          <w:rPr>
                            <w:rFonts w:ascii="Cambria Math" w:hAnsi="Cambria Math" w:cstheme="minorHAnsi"/>
                          </w:rPr>
                          <m:t>i,k</m:t>
                        </m:r>
                      </m:sub>
                    </m:sSub>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func>
                              <m:funcPr>
                                <m:ctrlPr>
                                  <w:rPr>
                                    <w:rFonts w:ascii="Cambria Math" w:hAnsi="Cambria Math" w:cstheme="minorHAnsi"/>
                                    <w:i/>
                                  </w:rPr>
                                </m:ctrlPr>
                              </m:funcPr>
                              <m:fName>
                                <m:limLow>
                                  <m:limLowPr>
                                    <m:ctrlPr>
                                      <w:rPr>
                                        <w:rFonts w:ascii="Cambria Math" w:hAnsi="Cambria Math" w:cstheme="minorHAnsi"/>
                                        <w:i/>
                                      </w:rPr>
                                    </m:ctrlPr>
                                  </m:limLowPr>
                                  <m:e>
                                    <m:r>
                                      <m:rPr>
                                        <m:sty m:val="p"/>
                                      </m:rPr>
                                      <w:rPr>
                                        <w:rFonts w:ascii="Cambria Math" w:hAnsi="Cambria Math" w:cstheme="minorHAnsi"/>
                                      </w:rPr>
                                      <m:t>max</m:t>
                                    </m:r>
                                  </m:e>
                                  <m:lim>
                                    <m:r>
                                      <w:rPr>
                                        <w:rFonts w:ascii="Cambria Math" w:hAnsi="Cambria Math" w:cstheme="minorHAnsi"/>
                                      </w:rPr>
                                      <m:t>j</m:t>
                                    </m:r>
                                  </m:lim>
                                </m:limLow>
                              </m:fName>
                              <m:e>
                                <m:d>
                                  <m:dPr>
                                    <m:ctrlPr>
                                      <w:rPr>
                                        <w:rFonts w:ascii="Cambria Math" w:hAnsi="Cambria Math" w:cstheme="minorHAnsi"/>
                                        <w:i/>
                                      </w:rPr>
                                    </m:ctrlPr>
                                  </m:dPr>
                                  <m:e>
                                    <m:func>
                                      <m:funcPr>
                                        <m:ctrlPr>
                                          <w:rPr>
                                            <w:rFonts w:ascii="Cambria Math" w:hAnsi="Cambria Math" w:cstheme="minorHAnsi"/>
                                          </w:rPr>
                                        </m:ctrlPr>
                                      </m:funcPr>
                                      <m:fName>
                                        <m:r>
                                          <m:rPr>
                                            <m:sty m:val="p"/>
                                          </m:rPr>
                                          <w:rPr>
                                            <w:rFonts w:ascii="Cambria Math" w:hAnsi="Cambria Math" w:cstheme="minorHAnsi"/>
                                          </w:rPr>
                                          <m:t>max</m:t>
                                        </m:r>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i,j,k</m:t>
                                                </m:r>
                                              </m:sub>
                                            </m:sSub>
                                            <m:r>
                                              <w:rPr>
                                                <w:rFonts w:ascii="Cambria Math" w:hAnsi="Cambria Math" w:cstheme="minorHAnsi"/>
                                              </w:rPr>
                                              <m:t>, 5 m</m:t>
                                            </m:r>
                                          </m:e>
                                        </m:d>
                                      </m:e>
                                    </m:func>
                                  </m:e>
                                </m:d>
                              </m:e>
                            </m:func>
                          </m:e>
                        </m:d>
                      </m:e>
                      <m:sup>
                        <m:r>
                          <w:rPr>
                            <w:rFonts w:ascii="Cambria Math" w:hAnsi="Cambria Math" w:cstheme="minorHAnsi"/>
                          </w:rPr>
                          <m:t>2</m:t>
                        </m:r>
                      </m:sup>
                    </m:sSup>
                  </m:e>
                </m:nary>
              </m:oMath>
            </m:oMathPara>
          </w:p>
        </w:tc>
        <w:tc>
          <w:tcPr>
            <w:tcW w:w="801" w:type="dxa"/>
            <w:shd w:val="clear" w:color="auto" w:fill="auto"/>
            <w:vAlign w:val="center"/>
          </w:tcPr>
          <w:p w14:paraId="61E13D23" w14:textId="78D6A53D" w:rsidR="00500EA9" w:rsidRPr="00B57B36" w:rsidRDefault="00500EA9" w:rsidP="00E20BA3">
            <w:pPr>
              <w:pStyle w:val="CETEquation"/>
              <w:jc w:val="right"/>
            </w:pPr>
            <w:r w:rsidRPr="00B57B36">
              <w:t>(</w:t>
            </w:r>
            <w:r>
              <w:t>2</w:t>
            </w:r>
            <w:r w:rsidRPr="00B57B36">
              <w:t>)</w:t>
            </w:r>
          </w:p>
        </w:tc>
      </w:tr>
    </w:tbl>
    <w:p w14:paraId="526B7BEA" w14:textId="4DEC9BDE" w:rsidR="00D121C1" w:rsidRDefault="00AF0983" w:rsidP="008561BA">
      <w:pPr>
        <w:pStyle w:val="CETBodytext"/>
      </w:pPr>
      <w:r>
        <w:t>w</w:t>
      </w:r>
      <w:r w:rsidR="001E7169">
        <w:t>here</w:t>
      </w:r>
      <w:r>
        <w:t xml:space="preserve"> </w:t>
      </w: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k</m:t>
            </m:r>
          </m:sub>
        </m:sSub>
      </m:oMath>
      <w:r>
        <w:t xml:space="preserve"> represent</w:t>
      </w:r>
      <w:r w:rsidR="001E7169">
        <w:t xml:space="preserve">s </w:t>
      </w:r>
      <w:r>
        <w:t xml:space="preserve">the number of critical events considered for the </w:t>
      </w:r>
      <m:oMath>
        <m:sSup>
          <m:sSupPr>
            <m:ctrlPr>
              <w:rPr>
                <w:rFonts w:ascii="Cambria Math" w:hAnsi="Cambria Math"/>
                <w:i/>
              </w:rPr>
            </m:ctrlPr>
          </m:sSupPr>
          <m:e>
            <m:r>
              <w:rPr>
                <w:rFonts w:ascii="Cambria Math" w:hAnsi="Cambria Math"/>
              </w:rPr>
              <m:t>k</m:t>
            </m:r>
          </m:e>
          <m:sup>
            <m:r>
              <w:rPr>
                <w:rFonts w:ascii="Cambria Math" w:hAnsi="Cambria Math"/>
              </w:rPr>
              <m:t>th</m:t>
            </m:r>
          </m:sup>
        </m:sSup>
      </m:oMath>
      <w:r>
        <w:t xml:space="preserve"> equipment item</w:t>
      </w:r>
      <w:r w:rsidR="008561BA">
        <w:t xml:space="preserve">. </w:t>
      </w:r>
      <w:r w:rsidR="008561BA" w:rsidRPr="008561BA">
        <w:t xml:space="preserve">The </w:t>
      </w:r>
      <w:r w:rsidR="008561BA">
        <w:t>aggregated</w:t>
      </w:r>
      <m:oMath>
        <m:r>
          <w:rPr>
            <w:rFonts w:ascii="Cambria Math" w:hAnsi="Cambria Math"/>
          </w:rPr>
          <m:t xml:space="preserve"> PI</m:t>
        </m:r>
      </m:oMath>
      <w:r w:rsidR="008561BA" w:rsidRPr="008561BA">
        <w:t xml:space="preserve">  and </w:t>
      </w:r>
      <m:oMath>
        <m:r>
          <w:rPr>
            <w:rFonts w:ascii="Cambria Math" w:hAnsi="Cambria Math"/>
          </w:rPr>
          <m:t>HI</m:t>
        </m:r>
      </m:oMath>
      <w:r w:rsidR="008561BA" w:rsidRPr="008561BA">
        <w:t xml:space="preserve"> for the</w:t>
      </w:r>
      <w:r w:rsidR="008561BA">
        <w:t xml:space="preserve"> different stages of the CCS value chain</w:t>
      </w:r>
      <w:r w:rsidR="008561BA" w:rsidRPr="008561BA">
        <w:t xml:space="preserve"> are</w:t>
      </w:r>
      <w:r w:rsidR="001E7169">
        <w:t xml:space="preserve"> then obtained</w:t>
      </w:r>
      <w:r w:rsidR="008561BA" w:rsidRPr="008561BA">
        <w:t xml:space="preserve"> by summing </w:t>
      </w:r>
      <w:r w:rsidR="001E7169">
        <w:t>the values calculated for each equipment item within those stages.</w:t>
      </w:r>
    </w:p>
    <w:p w14:paraId="374D27CC" w14:textId="56289FFC" w:rsidR="00A61211" w:rsidRPr="00547470" w:rsidRDefault="00A61211" w:rsidP="00A61211">
      <w:pPr>
        <w:pStyle w:val="CETHeading1"/>
      </w:pPr>
      <w:bookmarkStart w:id="4" w:name="_Ref180672693"/>
      <w:r w:rsidRPr="00547470">
        <w:t>Case study</w:t>
      </w:r>
      <w:bookmarkEnd w:id="4"/>
    </w:p>
    <w:p w14:paraId="6F8E6A33" w14:textId="1530B9E9" w:rsidR="003F2879" w:rsidRPr="003F2879" w:rsidRDefault="003F2879" w:rsidP="003F2879">
      <w:pPr>
        <w:pStyle w:val="CETheadingx"/>
      </w:pPr>
      <w:bookmarkStart w:id="5" w:name="_Ref182218012"/>
      <w:r>
        <w:t>Definition of the CCS system</w:t>
      </w:r>
      <w:bookmarkEnd w:id="5"/>
    </w:p>
    <w:p w14:paraId="3A65C1A2" w14:textId="546F571B" w:rsidR="00054B68" w:rsidRDefault="005C3DBA" w:rsidP="009E7E03">
      <w:r>
        <w:t xml:space="preserve">The case study </w:t>
      </w:r>
      <w:r w:rsidR="00A7556E">
        <w:t>involves</w:t>
      </w:r>
      <w:r>
        <w:t xml:space="preserve"> a CCS system </w:t>
      </w:r>
      <w:r w:rsidR="00A7556E">
        <w:t>consisting of</w:t>
      </w:r>
      <w:r>
        <w:t xml:space="preserve"> three key stages: capture, conditioning, and transport of CO</w:t>
      </w:r>
      <w:r w:rsidRPr="00FB6925">
        <w:rPr>
          <w:vertAlign w:val="subscript"/>
        </w:rPr>
        <w:t>2</w:t>
      </w:r>
      <w:r>
        <w:t xml:space="preserve"> emissions from</w:t>
      </w:r>
      <w:r w:rsidR="00E20BA3">
        <w:t xml:space="preserve"> the stacks of</w:t>
      </w:r>
      <w:r>
        <w:t xml:space="preserve"> a thermoelectric plant to a depleted </w:t>
      </w:r>
      <w:r w:rsidR="00E510D5">
        <w:t>NG</w:t>
      </w:r>
      <w:r>
        <w:t xml:space="preserve"> field for storage. </w:t>
      </w:r>
      <w:r w:rsidR="009E7E03">
        <w:t>Reusing an exhausted gas reservoir</w:t>
      </w:r>
      <w:r w:rsidR="00A7556E">
        <w:t xml:space="preserve"> helps</w:t>
      </w:r>
      <w:r w:rsidR="009E7E03">
        <w:t xml:space="preserve"> keep costs competitive and </w:t>
      </w:r>
      <w:r w:rsidR="00307CED">
        <w:t>leverages</w:t>
      </w:r>
      <w:r w:rsidR="009E7E03">
        <w:t xml:space="preserve"> well-</w:t>
      </w:r>
      <w:r w:rsidR="00307CED" w:rsidRPr="00307CED">
        <w:t>characterized site properties</w:t>
      </w:r>
      <w:r w:rsidR="00307CED">
        <w:t xml:space="preserve"> </w:t>
      </w:r>
      <w:r w:rsidR="009E7E03">
        <w:t xml:space="preserve">(Tamburini et al., 2023a). </w:t>
      </w:r>
      <w:r w:rsidR="00FB6925">
        <w:t xml:space="preserve">The injection and </w:t>
      </w:r>
      <w:r>
        <w:t xml:space="preserve">storage </w:t>
      </w:r>
      <w:r w:rsidR="00FB6925">
        <w:t xml:space="preserve">stage </w:t>
      </w:r>
      <w:r w:rsidR="00307CED">
        <w:t>has been</w:t>
      </w:r>
      <w:r w:rsidR="00FB6925">
        <w:t xml:space="preserve"> excluded from the analysis</w:t>
      </w:r>
      <w:r>
        <w:t xml:space="preserve"> due to </w:t>
      </w:r>
      <w:r w:rsidR="00307CED">
        <w:t>the</w:t>
      </w:r>
      <w:r w:rsidR="00FB6925">
        <w:t xml:space="preserve"> </w:t>
      </w:r>
      <w:r>
        <w:t xml:space="preserve">unproven human risks </w:t>
      </w:r>
      <w:r w:rsidR="00307CED">
        <w:t>associated with</w:t>
      </w:r>
      <w:r>
        <w:t xml:space="preserve"> potential CO</w:t>
      </w:r>
      <w:r w:rsidRPr="00FB6925">
        <w:rPr>
          <w:vertAlign w:val="subscript"/>
        </w:rPr>
        <w:t>2</w:t>
      </w:r>
      <w:r>
        <w:t xml:space="preserve"> leakage</w:t>
      </w:r>
      <w:r w:rsidR="00FB6925">
        <w:t xml:space="preserve"> (IPCC, 2005)</w:t>
      </w:r>
      <w:r w:rsidR="00FB6925" w:rsidRPr="001C07DE">
        <w:t>.</w:t>
      </w:r>
    </w:p>
    <w:p w14:paraId="0DDBDB26" w14:textId="5655BEFC" w:rsidR="009E7E03" w:rsidRDefault="00100B6D" w:rsidP="009E7E03">
      <w:r w:rsidRPr="00100B6D">
        <w:lastRenderedPageBreak/>
        <w:t xml:space="preserve">In the capture stage, an amine scrubbing process using </w:t>
      </w:r>
      <w:proofErr w:type="spellStart"/>
      <w:r w:rsidRPr="00100B6D">
        <w:t>monoethanolamine</w:t>
      </w:r>
      <w:proofErr w:type="spellEnd"/>
      <w:r w:rsidRPr="00100B6D">
        <w:t xml:space="preserve"> (MEA) is applied to separate CO</w:t>
      </w:r>
      <w:r w:rsidRPr="00100B6D">
        <w:rPr>
          <w:rFonts w:ascii="Cambria Math" w:hAnsi="Cambria Math" w:cs="Cambria Math"/>
        </w:rPr>
        <w:t>₂</w:t>
      </w:r>
      <w:r w:rsidRPr="00100B6D">
        <w:t xml:space="preserve"> from exhaust gases emitted by the thermoelectric plant, which has a flow rate of 2820 t/h. This process achieves a capture rate of 89.8</w:t>
      </w:r>
      <w:r w:rsidR="009E7E03">
        <w:t xml:space="preserve"> </w:t>
      </w:r>
      <w:r w:rsidRPr="00100B6D">
        <w:t>%.</w:t>
      </w:r>
      <w:r>
        <w:t xml:space="preserve"> Then, i</w:t>
      </w:r>
      <w:r w:rsidR="005C3DBA">
        <w:t>n the conditioning stage, the captured CO</w:t>
      </w:r>
      <w:r w:rsidR="005C3DBA" w:rsidRPr="00100B6D">
        <w:rPr>
          <w:vertAlign w:val="subscript"/>
        </w:rPr>
        <w:t>2</w:t>
      </w:r>
      <w:r w:rsidR="00063C03" w:rsidRPr="00063C03">
        <w:t xml:space="preserve">—consisting </w:t>
      </w:r>
      <w:r w:rsidR="005C3DBA">
        <w:t>of 0.97</w:t>
      </w:r>
      <w:r w:rsidR="009E7E03">
        <w:t xml:space="preserve"> mol</w:t>
      </w:r>
      <w:r w:rsidR="005C3DBA">
        <w:t>% CO</w:t>
      </w:r>
      <w:r w:rsidR="005C3DBA" w:rsidRPr="00100B6D">
        <w:rPr>
          <w:vertAlign w:val="subscript"/>
        </w:rPr>
        <w:t>2</w:t>
      </w:r>
      <w:r w:rsidR="005C3DBA">
        <w:t xml:space="preserve"> and 0.03</w:t>
      </w:r>
      <w:r w:rsidR="009E7E03">
        <w:t xml:space="preserve"> mol</w:t>
      </w:r>
      <w:r w:rsidR="005C3DBA">
        <w:t>% H</w:t>
      </w:r>
      <w:r w:rsidR="005C3DBA" w:rsidRPr="00100B6D">
        <w:rPr>
          <w:vertAlign w:val="subscript"/>
        </w:rPr>
        <w:t>2</w:t>
      </w:r>
      <w:r w:rsidR="005C3DBA">
        <w:t>O</w:t>
      </w:r>
      <w:r w:rsidR="00920703" w:rsidRPr="00063C03">
        <w:t>—</w:t>
      </w:r>
      <w:r w:rsidR="005C3DBA">
        <w:t>is</w:t>
      </w:r>
      <w:r w:rsidR="00997AA0">
        <w:t xml:space="preserve"> </w:t>
      </w:r>
      <w:r w:rsidR="005C3DBA">
        <w:t>compressed through six stages with centrifugal compressors</w:t>
      </w:r>
      <w:r w:rsidR="00920703">
        <w:t>, cooled to 40</w:t>
      </w:r>
      <w:r w:rsidR="009E7E03">
        <w:t xml:space="preserve"> </w:t>
      </w:r>
      <w:r w:rsidR="005C3DBA">
        <w:t>°C</w:t>
      </w:r>
      <w:r w:rsidR="00DC4FDA">
        <w:t xml:space="preserve"> between stages</w:t>
      </w:r>
      <w:r w:rsidR="00DE33C7">
        <w:t>, and purified</w:t>
      </w:r>
      <w:r w:rsidR="005C3DBA">
        <w:t xml:space="preserve"> to meet pipeline transport</w:t>
      </w:r>
      <w:r>
        <w:t>ation requirements</w:t>
      </w:r>
      <w:r w:rsidR="005C3DBA">
        <w:t>. Aspen Plus</w:t>
      </w:r>
      <w:r w:rsidR="001E5904">
        <w:t xml:space="preserve"> software (</w:t>
      </w:r>
      <w:proofErr w:type="spellStart"/>
      <w:r w:rsidR="001E5904">
        <w:t>AspenTech</w:t>
      </w:r>
      <w:proofErr w:type="spellEnd"/>
      <w:r w:rsidR="001E5904">
        <w:t>, 2024)</w:t>
      </w:r>
      <w:r w:rsidR="005C3DBA">
        <w:t xml:space="preserve"> </w:t>
      </w:r>
      <w:r w:rsidR="00697C32">
        <w:t>has been</w:t>
      </w:r>
      <w:r w:rsidR="005C3DBA">
        <w:t xml:space="preserve"> used for heat and mass balance calculations</w:t>
      </w:r>
      <w:r w:rsidR="001E5904">
        <w:t xml:space="preserve"> </w:t>
      </w:r>
      <w:r w:rsidR="00697C32">
        <w:t>for</w:t>
      </w:r>
      <w:r w:rsidR="001E5904">
        <w:t xml:space="preserve"> the capture and conditioning stage</w:t>
      </w:r>
      <w:r w:rsidR="002D0C53">
        <w:t>s</w:t>
      </w:r>
      <w:r w:rsidR="009E7E03">
        <w:t>.</w:t>
      </w:r>
      <w:r w:rsidR="00697C32">
        <w:t xml:space="preserve"> In</w:t>
      </w:r>
      <w:r w:rsidR="005C3DBA">
        <w:t xml:space="preserve"> the transportation stage, the CO</w:t>
      </w:r>
      <w:r w:rsidR="005C3DBA" w:rsidRPr="009E7E03">
        <w:rPr>
          <w:vertAlign w:val="subscript"/>
        </w:rPr>
        <w:t>2</w:t>
      </w:r>
      <w:r w:rsidR="005C3DBA">
        <w:t xml:space="preserve"> stream, now composed of </w:t>
      </w:r>
      <w:r w:rsidR="00122AD3">
        <w:t xml:space="preserve">over </w:t>
      </w:r>
      <w:r w:rsidR="005C3DBA">
        <w:t>95</w:t>
      </w:r>
      <w:r w:rsidR="009E7E03">
        <w:t xml:space="preserve"> </w:t>
      </w:r>
      <w:r w:rsidR="005C3DBA">
        <w:t>% CO</w:t>
      </w:r>
      <w:r w:rsidR="005C3DBA" w:rsidRPr="009E7E03">
        <w:rPr>
          <w:vertAlign w:val="subscript"/>
        </w:rPr>
        <w:t>2</w:t>
      </w:r>
      <w:r w:rsidR="005C3DBA">
        <w:t>, is transported through a 15 km pipeline</w:t>
      </w:r>
      <w:r w:rsidR="00122AD3">
        <w:t xml:space="preserve"> at a rate of</w:t>
      </w:r>
      <w:r w:rsidR="005C3DBA">
        <w:t xml:space="preserve"> 198 t/h </w:t>
      </w:r>
      <w:r w:rsidR="00122AD3">
        <w:t>in a</w:t>
      </w:r>
      <w:r w:rsidR="005C3DBA">
        <w:t xml:space="preserve"> dense</w:t>
      </w:r>
      <w:r w:rsidR="00122AD3">
        <w:t xml:space="preserve"> phase</w:t>
      </w:r>
      <w:r w:rsidR="005C3DBA">
        <w:t xml:space="preserve">. The pipeline includes an 8 km onshore section and a 7 km offshore section, connecting the plant to a depleted </w:t>
      </w:r>
      <w:r w:rsidR="008F78B0">
        <w:t>NG</w:t>
      </w:r>
      <w:r w:rsidR="005C3DBA">
        <w:t xml:space="preserve"> field</w:t>
      </w:r>
      <w:r w:rsidR="0046113A">
        <w:t xml:space="preserve"> 13 m below sea level</w:t>
      </w:r>
      <w:r w:rsidR="005C3DBA">
        <w:t xml:space="preserve">. The entire transport process </w:t>
      </w:r>
      <w:r w:rsidR="0046113A">
        <w:t xml:space="preserve">has been </w:t>
      </w:r>
      <w:r w:rsidR="005C3DBA">
        <w:t>model</w:t>
      </w:r>
      <w:r w:rsidR="009A3E97">
        <w:t>l</w:t>
      </w:r>
      <w:r w:rsidR="005C3DBA">
        <w:t xml:space="preserve">ed as adiabatic, with OLGA software </w:t>
      </w:r>
      <w:r w:rsidR="009E7E03">
        <w:t>(</w:t>
      </w:r>
      <w:r w:rsidR="009E7E03" w:rsidRPr="00AC224C">
        <w:t>Schlumberger, 202</w:t>
      </w:r>
      <w:r w:rsidR="009E7E03">
        <w:t xml:space="preserve">4) </w:t>
      </w:r>
      <w:r w:rsidR="005C3DBA">
        <w:t>used to simulate transient CO</w:t>
      </w:r>
      <w:r w:rsidR="005C3DBA" w:rsidRPr="009E7E03">
        <w:rPr>
          <w:vertAlign w:val="subscript"/>
        </w:rPr>
        <w:t>2</w:t>
      </w:r>
      <w:r w:rsidR="005C3DBA">
        <w:t xml:space="preserve"> flow along the pipeline.</w:t>
      </w:r>
      <w:r w:rsidR="009E7E03">
        <w:t xml:space="preserve"> More detailed information </w:t>
      </w:r>
      <w:r w:rsidR="00505A5C">
        <w:t>about</w:t>
      </w:r>
      <w:r w:rsidR="009E7E03">
        <w:t xml:space="preserve"> the equipment </w:t>
      </w:r>
      <w:r w:rsidR="00505A5C">
        <w:t>across</w:t>
      </w:r>
      <w:r w:rsidR="009E7E03">
        <w:t xml:space="preserve"> the CCS value chain stages is provided in </w:t>
      </w:r>
      <w:r w:rsidR="009E7E03">
        <w:fldChar w:fldCharType="begin"/>
      </w:r>
      <w:r w:rsidR="009E7E03">
        <w:instrText xml:space="preserve"> REF _Ref180767861 \h </w:instrText>
      </w:r>
      <w:r w:rsidR="009E7E03">
        <w:fldChar w:fldCharType="separate"/>
      </w:r>
      <w:r w:rsidR="00916652">
        <w:t xml:space="preserve">Table </w:t>
      </w:r>
      <w:r w:rsidR="00916652">
        <w:rPr>
          <w:noProof/>
        </w:rPr>
        <w:t>1</w:t>
      </w:r>
      <w:r w:rsidR="009E7E03">
        <w:fldChar w:fldCharType="end"/>
      </w:r>
      <w:r w:rsidR="009E7E03">
        <w:t>.</w:t>
      </w:r>
    </w:p>
    <w:p w14:paraId="09ED4D46" w14:textId="5BD98522" w:rsidR="00BD6563" w:rsidRDefault="00BD6563" w:rsidP="00BD6563">
      <w:pPr>
        <w:pStyle w:val="CETTabletitle"/>
      </w:pPr>
      <w:bookmarkStart w:id="6" w:name="_Ref180767861"/>
      <w:r>
        <w:t xml:space="preserve">Table </w:t>
      </w:r>
      <w:r>
        <w:fldChar w:fldCharType="begin"/>
      </w:r>
      <w:r>
        <w:instrText xml:space="preserve"> SEQ Table \* ARABIC </w:instrText>
      </w:r>
      <w:r>
        <w:fldChar w:fldCharType="separate"/>
      </w:r>
      <w:r w:rsidR="00916652">
        <w:rPr>
          <w:noProof/>
        </w:rPr>
        <w:t>1</w:t>
      </w:r>
      <w:r>
        <w:fldChar w:fldCharType="end"/>
      </w:r>
      <w:bookmarkEnd w:id="6"/>
      <w:r>
        <w:t xml:space="preserve">: </w:t>
      </w:r>
      <w:r w:rsidRPr="00161529">
        <w:t>Details of the equipment items constituting the CCS system.</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085"/>
        <w:gridCol w:w="1889"/>
        <w:gridCol w:w="1527"/>
        <w:gridCol w:w="1172"/>
        <w:gridCol w:w="1655"/>
        <w:gridCol w:w="1459"/>
      </w:tblGrid>
      <w:tr w:rsidR="00BD6563" w:rsidRPr="00E20BA3" w14:paraId="6AF38932" w14:textId="43C010E1" w:rsidTr="009B41CF">
        <w:tc>
          <w:tcPr>
            <w:tcW w:w="617" w:type="pct"/>
            <w:tcBorders>
              <w:top w:val="single" w:sz="12" w:space="0" w:color="008000"/>
              <w:bottom w:val="single" w:sz="6" w:space="0" w:color="008000"/>
            </w:tcBorders>
            <w:shd w:val="clear" w:color="auto" w:fill="FFFFFF"/>
            <w:vAlign w:val="center"/>
          </w:tcPr>
          <w:p w14:paraId="4F466A3A" w14:textId="5EC6C6E5" w:rsidR="00BD6563" w:rsidRPr="009E0DA8" w:rsidRDefault="00BD6563" w:rsidP="009B41CF">
            <w:pPr>
              <w:pStyle w:val="CETBodytext"/>
              <w:jc w:val="left"/>
              <w:rPr>
                <w:rFonts w:cs="Arial"/>
                <w:b/>
                <w:bCs/>
                <w:szCs w:val="18"/>
                <w:lang w:val="en-GB"/>
              </w:rPr>
            </w:pPr>
            <w:r w:rsidRPr="009E0DA8">
              <w:rPr>
                <w:rFonts w:cs="Arial"/>
                <w:b/>
                <w:bCs/>
                <w:szCs w:val="18"/>
                <w:lang w:val="en-GB"/>
              </w:rPr>
              <w:t>CCS stage</w:t>
            </w:r>
          </w:p>
        </w:tc>
        <w:tc>
          <w:tcPr>
            <w:tcW w:w="1075" w:type="pct"/>
            <w:tcBorders>
              <w:top w:val="single" w:sz="12" w:space="0" w:color="008000"/>
              <w:bottom w:val="single" w:sz="6" w:space="0" w:color="008000"/>
            </w:tcBorders>
            <w:shd w:val="clear" w:color="auto" w:fill="FFFFFF"/>
            <w:vAlign w:val="center"/>
          </w:tcPr>
          <w:p w14:paraId="7E24A18B" w14:textId="2724F136" w:rsidR="00BD6563" w:rsidRPr="009E0DA8" w:rsidRDefault="00BD6563" w:rsidP="009B41CF">
            <w:pPr>
              <w:pStyle w:val="CETBodytext"/>
              <w:jc w:val="left"/>
              <w:rPr>
                <w:rFonts w:cs="Arial"/>
                <w:b/>
                <w:bCs/>
                <w:szCs w:val="18"/>
                <w:lang w:val="en-GB"/>
              </w:rPr>
            </w:pPr>
            <w:r w:rsidRPr="009E0DA8">
              <w:rPr>
                <w:rFonts w:cs="Arial"/>
                <w:b/>
                <w:bCs/>
                <w:szCs w:val="18"/>
                <w:lang w:val="en-GB"/>
              </w:rPr>
              <w:t>Equipment item</w:t>
            </w:r>
          </w:p>
        </w:tc>
        <w:tc>
          <w:tcPr>
            <w:tcW w:w="869" w:type="pct"/>
            <w:tcBorders>
              <w:top w:val="single" w:sz="12" w:space="0" w:color="008000"/>
              <w:bottom w:val="single" w:sz="6" w:space="0" w:color="008000"/>
            </w:tcBorders>
            <w:shd w:val="clear" w:color="auto" w:fill="FFFFFF"/>
            <w:vAlign w:val="center"/>
          </w:tcPr>
          <w:p w14:paraId="22D02382" w14:textId="03AE7359" w:rsidR="00BD6563" w:rsidRPr="009E0DA8" w:rsidRDefault="00BD6563" w:rsidP="009B41CF">
            <w:pPr>
              <w:pStyle w:val="CETBodytext"/>
              <w:jc w:val="left"/>
              <w:rPr>
                <w:rFonts w:cs="Arial"/>
                <w:b/>
                <w:bCs/>
                <w:szCs w:val="18"/>
              </w:rPr>
            </w:pPr>
            <w:r w:rsidRPr="009E0DA8">
              <w:rPr>
                <w:rFonts w:cs="Arial"/>
                <w:b/>
                <w:bCs/>
                <w:szCs w:val="18"/>
              </w:rPr>
              <w:t>Number</w:t>
            </w:r>
            <w:r w:rsidR="00CE3ADA" w:rsidRPr="009E0DA8">
              <w:rPr>
                <w:rFonts w:cs="Arial"/>
                <w:b/>
                <w:bCs/>
                <w:szCs w:val="18"/>
              </w:rPr>
              <w:t xml:space="preserve"> of items</w:t>
            </w:r>
          </w:p>
        </w:tc>
        <w:tc>
          <w:tcPr>
            <w:tcW w:w="667" w:type="pct"/>
            <w:tcBorders>
              <w:top w:val="single" w:sz="12" w:space="0" w:color="008000"/>
              <w:bottom w:val="single" w:sz="6" w:space="0" w:color="008000"/>
            </w:tcBorders>
            <w:shd w:val="clear" w:color="auto" w:fill="FFFFFF"/>
            <w:vAlign w:val="center"/>
          </w:tcPr>
          <w:p w14:paraId="32DA0220" w14:textId="3E561D91" w:rsidR="00BD6563" w:rsidRPr="009E0DA8" w:rsidRDefault="00BD6563" w:rsidP="009B41CF">
            <w:pPr>
              <w:pStyle w:val="CETBodytext"/>
              <w:ind w:right="-1"/>
              <w:jc w:val="left"/>
              <w:rPr>
                <w:rFonts w:cs="Arial"/>
                <w:b/>
                <w:bCs/>
                <w:szCs w:val="18"/>
                <w:lang w:val="en-GB"/>
              </w:rPr>
            </w:pPr>
            <w:r w:rsidRPr="009E0DA8">
              <w:rPr>
                <w:rFonts w:cs="Arial"/>
                <w:b/>
                <w:bCs/>
                <w:szCs w:val="18"/>
              </w:rPr>
              <w:t>Material</w:t>
            </w:r>
          </w:p>
        </w:tc>
        <w:tc>
          <w:tcPr>
            <w:tcW w:w="942" w:type="pct"/>
            <w:tcBorders>
              <w:top w:val="single" w:sz="12" w:space="0" w:color="008000"/>
              <w:bottom w:val="single" w:sz="6" w:space="0" w:color="008000"/>
            </w:tcBorders>
            <w:shd w:val="clear" w:color="auto" w:fill="FFFFFF"/>
            <w:vAlign w:val="center"/>
          </w:tcPr>
          <w:p w14:paraId="196D8571" w14:textId="5D680DDF" w:rsidR="00BD6563" w:rsidRPr="009E0DA8" w:rsidRDefault="00BD6563" w:rsidP="009B41CF">
            <w:pPr>
              <w:pStyle w:val="CETBodytext"/>
              <w:ind w:right="-1"/>
              <w:jc w:val="left"/>
              <w:rPr>
                <w:rFonts w:cs="Arial"/>
                <w:b/>
                <w:bCs/>
                <w:szCs w:val="18"/>
              </w:rPr>
            </w:pPr>
            <w:r w:rsidRPr="009E0DA8">
              <w:rPr>
                <w:rFonts w:cs="Arial"/>
                <w:b/>
                <w:bCs/>
                <w:szCs w:val="18"/>
              </w:rPr>
              <w:t>Temperature (°C)</w:t>
            </w:r>
          </w:p>
        </w:tc>
        <w:tc>
          <w:tcPr>
            <w:tcW w:w="831" w:type="pct"/>
            <w:tcBorders>
              <w:top w:val="single" w:sz="12" w:space="0" w:color="008000"/>
              <w:bottom w:val="single" w:sz="6" w:space="0" w:color="008000"/>
            </w:tcBorders>
            <w:shd w:val="clear" w:color="auto" w:fill="FFFFFF"/>
            <w:vAlign w:val="center"/>
          </w:tcPr>
          <w:p w14:paraId="3A547163" w14:textId="51DCA9DE" w:rsidR="00BD6563" w:rsidRPr="009E0DA8" w:rsidRDefault="00BD6563" w:rsidP="009B41CF">
            <w:pPr>
              <w:pStyle w:val="CETBodytext"/>
              <w:ind w:right="-1"/>
              <w:jc w:val="left"/>
              <w:rPr>
                <w:rFonts w:cs="Arial"/>
                <w:b/>
                <w:bCs/>
                <w:szCs w:val="18"/>
              </w:rPr>
            </w:pPr>
            <w:r w:rsidRPr="009E0DA8">
              <w:rPr>
                <w:rFonts w:cs="Arial"/>
                <w:b/>
                <w:bCs/>
                <w:szCs w:val="18"/>
              </w:rPr>
              <w:t>Pressure (bar)</w:t>
            </w:r>
          </w:p>
        </w:tc>
      </w:tr>
      <w:tr w:rsidR="0038538B" w:rsidRPr="00E20BA3" w14:paraId="6735CE6B" w14:textId="4DCE2E7E" w:rsidTr="009B41CF">
        <w:tc>
          <w:tcPr>
            <w:tcW w:w="617" w:type="pct"/>
            <w:vMerge w:val="restart"/>
            <w:shd w:val="clear" w:color="auto" w:fill="FFFFFF"/>
            <w:vAlign w:val="center"/>
          </w:tcPr>
          <w:p w14:paraId="6750EEA7" w14:textId="0280C30B" w:rsidR="0038538B" w:rsidRPr="00E20BA3" w:rsidRDefault="0038538B" w:rsidP="009B41CF">
            <w:pPr>
              <w:pStyle w:val="CETBodytext"/>
              <w:ind w:right="-1"/>
              <w:jc w:val="left"/>
              <w:rPr>
                <w:rFonts w:cs="Arial"/>
                <w:szCs w:val="18"/>
              </w:rPr>
            </w:pPr>
            <w:r>
              <w:rPr>
                <w:rFonts w:cs="Arial"/>
                <w:szCs w:val="18"/>
              </w:rPr>
              <w:t>Capture</w:t>
            </w:r>
          </w:p>
        </w:tc>
        <w:tc>
          <w:tcPr>
            <w:tcW w:w="1075" w:type="pct"/>
            <w:tcBorders>
              <w:top w:val="nil"/>
              <w:bottom w:val="nil"/>
            </w:tcBorders>
            <w:shd w:val="clear" w:color="auto" w:fill="FFFFFF"/>
            <w:vAlign w:val="center"/>
          </w:tcPr>
          <w:p w14:paraId="4A5A115B" w14:textId="359D1C3C" w:rsidR="0038538B" w:rsidRPr="00E20BA3" w:rsidRDefault="0038538B" w:rsidP="009B41CF">
            <w:pPr>
              <w:pStyle w:val="CETBodytext"/>
              <w:ind w:right="-1"/>
              <w:jc w:val="left"/>
              <w:rPr>
                <w:rFonts w:cs="Arial"/>
                <w:szCs w:val="18"/>
              </w:rPr>
            </w:pPr>
            <w:r w:rsidRPr="00E20BA3">
              <w:rPr>
                <w:rFonts w:cs="Arial"/>
                <w:szCs w:val="18"/>
              </w:rPr>
              <w:t>Pump</w:t>
            </w:r>
          </w:p>
        </w:tc>
        <w:tc>
          <w:tcPr>
            <w:tcW w:w="869" w:type="pct"/>
            <w:tcBorders>
              <w:top w:val="nil"/>
              <w:bottom w:val="nil"/>
            </w:tcBorders>
            <w:shd w:val="clear" w:color="auto" w:fill="FFFFFF"/>
            <w:vAlign w:val="center"/>
          </w:tcPr>
          <w:p w14:paraId="298370F8" w14:textId="7F45CC24" w:rsidR="0038538B" w:rsidRPr="00E20BA3" w:rsidRDefault="0038538B" w:rsidP="009B41CF">
            <w:pPr>
              <w:pStyle w:val="CETBodytext"/>
              <w:ind w:right="-1"/>
              <w:jc w:val="left"/>
              <w:rPr>
                <w:rFonts w:cs="Arial"/>
                <w:szCs w:val="18"/>
              </w:rPr>
            </w:pPr>
            <w:r>
              <w:rPr>
                <w:rFonts w:cs="Arial"/>
                <w:szCs w:val="18"/>
              </w:rPr>
              <w:t>2</w:t>
            </w:r>
          </w:p>
        </w:tc>
        <w:tc>
          <w:tcPr>
            <w:tcW w:w="667" w:type="pct"/>
            <w:tcBorders>
              <w:top w:val="nil"/>
              <w:bottom w:val="nil"/>
            </w:tcBorders>
            <w:shd w:val="clear" w:color="auto" w:fill="FFFFFF"/>
            <w:vAlign w:val="center"/>
          </w:tcPr>
          <w:p w14:paraId="21F24B0C" w14:textId="3B6C3229" w:rsidR="0038538B" w:rsidRPr="00E20BA3" w:rsidRDefault="0038538B" w:rsidP="009B41CF">
            <w:pPr>
              <w:pStyle w:val="CETBodytext"/>
              <w:ind w:right="-1"/>
              <w:jc w:val="left"/>
              <w:rPr>
                <w:rFonts w:cs="Arial"/>
                <w:szCs w:val="18"/>
              </w:rPr>
            </w:pPr>
            <w:r w:rsidRPr="00E20BA3">
              <w:rPr>
                <w:rFonts w:cs="Arial"/>
                <w:szCs w:val="18"/>
              </w:rPr>
              <w:t>MEA</w:t>
            </w:r>
          </w:p>
        </w:tc>
        <w:tc>
          <w:tcPr>
            <w:tcW w:w="942" w:type="pct"/>
            <w:tcBorders>
              <w:top w:val="nil"/>
              <w:bottom w:val="nil"/>
            </w:tcBorders>
            <w:shd w:val="clear" w:color="auto" w:fill="FFFFFF"/>
            <w:vAlign w:val="center"/>
          </w:tcPr>
          <w:p w14:paraId="540D7C41" w14:textId="0BD23F95" w:rsidR="0038538B" w:rsidRPr="00E20BA3" w:rsidRDefault="0038538B" w:rsidP="009B41CF">
            <w:pPr>
              <w:pStyle w:val="CETBodytext"/>
              <w:ind w:right="-1"/>
              <w:jc w:val="left"/>
              <w:rPr>
                <w:rFonts w:cs="Arial"/>
                <w:szCs w:val="18"/>
              </w:rPr>
            </w:pPr>
            <w:r w:rsidRPr="00E20BA3">
              <w:rPr>
                <w:rFonts w:cs="Arial"/>
                <w:szCs w:val="18"/>
              </w:rPr>
              <w:t>43</w:t>
            </w:r>
            <w:r w:rsidRPr="00E20BA3">
              <w:rPr>
                <w:rFonts w:cs="Arial"/>
                <w:szCs w:val="18"/>
                <w:lang w:val="en-GB"/>
              </w:rPr>
              <w:t xml:space="preserve"> – </w:t>
            </w:r>
            <w:r w:rsidRPr="00E20BA3">
              <w:rPr>
                <w:rFonts w:cs="Arial"/>
                <w:szCs w:val="18"/>
              </w:rPr>
              <w:t>121</w:t>
            </w:r>
          </w:p>
        </w:tc>
        <w:tc>
          <w:tcPr>
            <w:tcW w:w="831" w:type="pct"/>
            <w:tcBorders>
              <w:top w:val="nil"/>
              <w:bottom w:val="nil"/>
            </w:tcBorders>
            <w:shd w:val="clear" w:color="auto" w:fill="FFFFFF"/>
            <w:vAlign w:val="center"/>
          </w:tcPr>
          <w:p w14:paraId="79DA6745" w14:textId="59F62C47" w:rsidR="0038538B" w:rsidRPr="00E20BA3" w:rsidRDefault="0038538B" w:rsidP="009B41CF">
            <w:pPr>
              <w:pStyle w:val="CETBodytext"/>
              <w:ind w:right="-1"/>
              <w:jc w:val="left"/>
              <w:rPr>
                <w:rFonts w:cs="Arial"/>
                <w:szCs w:val="18"/>
              </w:rPr>
            </w:pPr>
            <w:r w:rsidRPr="00E20BA3">
              <w:rPr>
                <w:rFonts w:cs="Arial"/>
                <w:szCs w:val="18"/>
              </w:rPr>
              <w:t>1.2</w:t>
            </w:r>
            <w:r w:rsidRPr="00E20BA3">
              <w:rPr>
                <w:rFonts w:cs="Arial"/>
                <w:szCs w:val="18"/>
                <w:lang w:val="en-GB"/>
              </w:rPr>
              <w:t xml:space="preserve"> – </w:t>
            </w:r>
            <w:r w:rsidRPr="00E20BA3">
              <w:rPr>
                <w:rFonts w:cs="Arial"/>
                <w:szCs w:val="18"/>
              </w:rPr>
              <w:t>7.0</w:t>
            </w:r>
          </w:p>
        </w:tc>
      </w:tr>
      <w:tr w:rsidR="0038538B" w:rsidRPr="00E20BA3" w14:paraId="4FEB3506" w14:textId="1977DFB0" w:rsidTr="009B41CF">
        <w:tc>
          <w:tcPr>
            <w:tcW w:w="617" w:type="pct"/>
            <w:vMerge/>
            <w:shd w:val="clear" w:color="auto" w:fill="FFFFFF"/>
            <w:vAlign w:val="center"/>
          </w:tcPr>
          <w:p w14:paraId="5FE34C74" w14:textId="77777777" w:rsidR="0038538B" w:rsidRPr="00E20BA3" w:rsidRDefault="0038538B" w:rsidP="009B41CF">
            <w:pPr>
              <w:pStyle w:val="CETBodytext"/>
              <w:ind w:right="-1"/>
              <w:jc w:val="left"/>
              <w:rPr>
                <w:rFonts w:cs="Arial"/>
                <w:szCs w:val="18"/>
              </w:rPr>
            </w:pPr>
          </w:p>
        </w:tc>
        <w:tc>
          <w:tcPr>
            <w:tcW w:w="1075" w:type="pct"/>
            <w:tcBorders>
              <w:top w:val="nil"/>
              <w:bottom w:val="nil"/>
            </w:tcBorders>
            <w:shd w:val="clear" w:color="auto" w:fill="FFFFFF"/>
            <w:vAlign w:val="center"/>
          </w:tcPr>
          <w:p w14:paraId="18F3B60E" w14:textId="2D7AED03" w:rsidR="0038538B" w:rsidRPr="00E20BA3" w:rsidRDefault="0038538B" w:rsidP="009B41CF">
            <w:pPr>
              <w:pStyle w:val="CETBodytext"/>
              <w:ind w:right="-1"/>
              <w:jc w:val="left"/>
              <w:rPr>
                <w:rFonts w:cs="Arial"/>
                <w:szCs w:val="18"/>
              </w:rPr>
            </w:pPr>
            <w:r w:rsidRPr="00E20BA3">
              <w:rPr>
                <w:rFonts w:cs="Arial"/>
                <w:szCs w:val="18"/>
              </w:rPr>
              <w:t>Heat exchanger</w:t>
            </w:r>
          </w:p>
        </w:tc>
        <w:tc>
          <w:tcPr>
            <w:tcW w:w="869" w:type="pct"/>
            <w:tcBorders>
              <w:top w:val="nil"/>
              <w:bottom w:val="nil"/>
            </w:tcBorders>
            <w:shd w:val="clear" w:color="auto" w:fill="FFFFFF"/>
            <w:vAlign w:val="center"/>
          </w:tcPr>
          <w:p w14:paraId="48DB2A3C" w14:textId="4D45DD84" w:rsidR="0038538B" w:rsidRPr="00E20BA3" w:rsidRDefault="0038538B" w:rsidP="009B41CF">
            <w:pPr>
              <w:pStyle w:val="CETBodytext"/>
              <w:ind w:right="-1"/>
              <w:jc w:val="left"/>
              <w:rPr>
                <w:rFonts w:cs="Arial"/>
                <w:szCs w:val="18"/>
              </w:rPr>
            </w:pPr>
            <w:r w:rsidRPr="00E20BA3">
              <w:rPr>
                <w:rFonts w:cs="Arial"/>
                <w:szCs w:val="18"/>
              </w:rPr>
              <w:t>35</w:t>
            </w:r>
          </w:p>
        </w:tc>
        <w:tc>
          <w:tcPr>
            <w:tcW w:w="667" w:type="pct"/>
            <w:tcBorders>
              <w:top w:val="nil"/>
              <w:bottom w:val="nil"/>
            </w:tcBorders>
            <w:shd w:val="clear" w:color="auto" w:fill="FFFFFF"/>
            <w:vAlign w:val="center"/>
          </w:tcPr>
          <w:p w14:paraId="6ED3D6FA" w14:textId="38BC52CD" w:rsidR="0038538B" w:rsidRPr="00E20BA3" w:rsidRDefault="0038538B" w:rsidP="009B41CF">
            <w:pPr>
              <w:pStyle w:val="CETBodytext"/>
              <w:ind w:right="-1"/>
              <w:jc w:val="left"/>
              <w:rPr>
                <w:rFonts w:cs="Arial"/>
                <w:szCs w:val="18"/>
              </w:rPr>
            </w:pPr>
            <w:r w:rsidRPr="00E20BA3">
              <w:rPr>
                <w:rFonts w:cs="Arial"/>
                <w:szCs w:val="18"/>
              </w:rPr>
              <w:t>MEA</w:t>
            </w:r>
          </w:p>
        </w:tc>
        <w:tc>
          <w:tcPr>
            <w:tcW w:w="942" w:type="pct"/>
            <w:tcBorders>
              <w:top w:val="nil"/>
              <w:bottom w:val="nil"/>
            </w:tcBorders>
            <w:shd w:val="clear" w:color="auto" w:fill="FFFFFF"/>
            <w:vAlign w:val="center"/>
          </w:tcPr>
          <w:p w14:paraId="48823BDF" w14:textId="77A6A49A" w:rsidR="0038538B" w:rsidRPr="00E20BA3" w:rsidRDefault="0038538B" w:rsidP="009B41CF">
            <w:pPr>
              <w:pStyle w:val="CETBodytext"/>
              <w:ind w:right="-1"/>
              <w:jc w:val="left"/>
              <w:rPr>
                <w:rFonts w:cs="Arial"/>
                <w:szCs w:val="18"/>
              </w:rPr>
            </w:pPr>
            <w:r w:rsidRPr="00E20BA3">
              <w:rPr>
                <w:rFonts w:cs="Arial"/>
                <w:szCs w:val="18"/>
              </w:rPr>
              <w:t>43</w:t>
            </w:r>
            <w:r w:rsidRPr="00E20BA3">
              <w:rPr>
                <w:rFonts w:cs="Arial"/>
                <w:szCs w:val="18"/>
                <w:lang w:val="en-GB"/>
              </w:rPr>
              <w:t xml:space="preserve"> – </w:t>
            </w:r>
            <w:r w:rsidRPr="00E20BA3">
              <w:rPr>
                <w:rFonts w:cs="Arial"/>
                <w:szCs w:val="18"/>
              </w:rPr>
              <w:t>121</w:t>
            </w:r>
          </w:p>
        </w:tc>
        <w:tc>
          <w:tcPr>
            <w:tcW w:w="831" w:type="pct"/>
            <w:tcBorders>
              <w:top w:val="nil"/>
              <w:bottom w:val="nil"/>
            </w:tcBorders>
            <w:shd w:val="clear" w:color="auto" w:fill="FFFFFF"/>
            <w:vAlign w:val="center"/>
          </w:tcPr>
          <w:p w14:paraId="26CD21F4" w14:textId="4D6C22DC" w:rsidR="0038538B" w:rsidRPr="00E20BA3" w:rsidRDefault="0038538B" w:rsidP="009B41CF">
            <w:pPr>
              <w:pStyle w:val="CETBodytext"/>
              <w:ind w:right="-1"/>
              <w:jc w:val="left"/>
              <w:rPr>
                <w:rFonts w:cs="Arial"/>
                <w:szCs w:val="18"/>
              </w:rPr>
            </w:pPr>
            <w:r w:rsidRPr="00E20BA3">
              <w:rPr>
                <w:rFonts w:cs="Arial"/>
                <w:szCs w:val="18"/>
              </w:rPr>
              <w:t>6.0</w:t>
            </w:r>
            <w:r w:rsidRPr="00E20BA3">
              <w:rPr>
                <w:rFonts w:cs="Arial"/>
                <w:szCs w:val="18"/>
                <w:lang w:val="en-GB"/>
              </w:rPr>
              <w:t xml:space="preserve"> – </w:t>
            </w:r>
            <w:r w:rsidRPr="00E20BA3">
              <w:rPr>
                <w:rFonts w:cs="Arial"/>
                <w:szCs w:val="18"/>
              </w:rPr>
              <w:t>7.0</w:t>
            </w:r>
          </w:p>
        </w:tc>
      </w:tr>
      <w:tr w:rsidR="0038538B" w:rsidRPr="00E20BA3" w14:paraId="4C2911A4" w14:textId="3EF7BAE6" w:rsidTr="009B41CF">
        <w:tc>
          <w:tcPr>
            <w:tcW w:w="617" w:type="pct"/>
            <w:vMerge/>
            <w:shd w:val="clear" w:color="auto" w:fill="FFFFFF"/>
            <w:vAlign w:val="center"/>
          </w:tcPr>
          <w:p w14:paraId="1E1F3E8C" w14:textId="77777777" w:rsidR="0038538B" w:rsidRPr="00E20BA3" w:rsidRDefault="0038538B" w:rsidP="009B41CF">
            <w:pPr>
              <w:pStyle w:val="CETBodytext"/>
              <w:ind w:right="-1"/>
              <w:jc w:val="left"/>
              <w:rPr>
                <w:rFonts w:cs="Arial"/>
                <w:szCs w:val="18"/>
              </w:rPr>
            </w:pPr>
          </w:p>
        </w:tc>
        <w:tc>
          <w:tcPr>
            <w:tcW w:w="1075" w:type="pct"/>
            <w:tcBorders>
              <w:top w:val="nil"/>
              <w:bottom w:val="nil"/>
            </w:tcBorders>
            <w:shd w:val="clear" w:color="auto" w:fill="FFFFFF"/>
            <w:vAlign w:val="center"/>
          </w:tcPr>
          <w:p w14:paraId="5591AE67" w14:textId="270FA44F" w:rsidR="0038538B" w:rsidRPr="00E20BA3" w:rsidRDefault="0038538B" w:rsidP="009B41CF">
            <w:pPr>
              <w:pStyle w:val="CETBodytext"/>
              <w:ind w:right="-1"/>
              <w:jc w:val="left"/>
              <w:rPr>
                <w:rFonts w:cs="Arial"/>
                <w:szCs w:val="18"/>
              </w:rPr>
            </w:pPr>
            <w:r w:rsidRPr="00E20BA3">
              <w:rPr>
                <w:rFonts w:cs="Arial"/>
                <w:szCs w:val="18"/>
              </w:rPr>
              <w:t>Cooler</w:t>
            </w:r>
          </w:p>
        </w:tc>
        <w:tc>
          <w:tcPr>
            <w:tcW w:w="869" w:type="pct"/>
            <w:tcBorders>
              <w:top w:val="nil"/>
              <w:bottom w:val="nil"/>
            </w:tcBorders>
            <w:shd w:val="clear" w:color="auto" w:fill="FFFFFF"/>
            <w:vAlign w:val="center"/>
          </w:tcPr>
          <w:p w14:paraId="737C5F28" w14:textId="0C4FEDF1" w:rsidR="0038538B" w:rsidRPr="00E20BA3" w:rsidRDefault="0038538B" w:rsidP="009B41CF">
            <w:pPr>
              <w:pStyle w:val="CETBodytext"/>
              <w:ind w:right="-1"/>
              <w:jc w:val="left"/>
              <w:rPr>
                <w:rFonts w:cs="Arial"/>
                <w:szCs w:val="18"/>
              </w:rPr>
            </w:pPr>
            <w:r w:rsidRPr="00E20BA3">
              <w:rPr>
                <w:rFonts w:cs="Arial"/>
                <w:szCs w:val="18"/>
              </w:rPr>
              <w:t>3</w:t>
            </w:r>
          </w:p>
        </w:tc>
        <w:tc>
          <w:tcPr>
            <w:tcW w:w="667" w:type="pct"/>
            <w:tcBorders>
              <w:top w:val="nil"/>
              <w:bottom w:val="nil"/>
            </w:tcBorders>
            <w:shd w:val="clear" w:color="auto" w:fill="FFFFFF"/>
            <w:vAlign w:val="center"/>
          </w:tcPr>
          <w:p w14:paraId="0E14B9D0" w14:textId="7712C50D" w:rsidR="0038538B" w:rsidRPr="00E20BA3" w:rsidRDefault="0038538B" w:rsidP="009B41CF">
            <w:pPr>
              <w:pStyle w:val="CETBodytext"/>
              <w:ind w:right="-1"/>
              <w:jc w:val="left"/>
              <w:rPr>
                <w:rFonts w:cs="Arial"/>
                <w:szCs w:val="18"/>
              </w:rPr>
            </w:pPr>
            <w:r w:rsidRPr="00E20BA3">
              <w:rPr>
                <w:rFonts w:cs="Arial"/>
                <w:szCs w:val="18"/>
              </w:rPr>
              <w:t>MEA</w:t>
            </w:r>
          </w:p>
        </w:tc>
        <w:tc>
          <w:tcPr>
            <w:tcW w:w="942" w:type="pct"/>
            <w:tcBorders>
              <w:top w:val="nil"/>
              <w:bottom w:val="nil"/>
            </w:tcBorders>
            <w:shd w:val="clear" w:color="auto" w:fill="FFFFFF"/>
            <w:vAlign w:val="center"/>
          </w:tcPr>
          <w:p w14:paraId="652A5E4E" w14:textId="4F05A0A7" w:rsidR="0038538B" w:rsidRPr="00E20BA3" w:rsidRDefault="0038538B" w:rsidP="009B41CF">
            <w:pPr>
              <w:pStyle w:val="CETBodytext"/>
              <w:ind w:right="-1"/>
              <w:jc w:val="left"/>
              <w:rPr>
                <w:rFonts w:cs="Arial"/>
                <w:szCs w:val="18"/>
              </w:rPr>
            </w:pPr>
            <w:r w:rsidRPr="00E20BA3">
              <w:rPr>
                <w:rFonts w:cs="Arial"/>
                <w:szCs w:val="18"/>
              </w:rPr>
              <w:t>40</w:t>
            </w:r>
            <w:r w:rsidRPr="00E20BA3">
              <w:rPr>
                <w:rFonts w:cs="Arial"/>
                <w:szCs w:val="18"/>
                <w:lang w:val="en-GB"/>
              </w:rPr>
              <w:t xml:space="preserve"> – </w:t>
            </w:r>
            <w:r w:rsidRPr="00E20BA3">
              <w:rPr>
                <w:rFonts w:cs="Arial"/>
                <w:szCs w:val="18"/>
              </w:rPr>
              <w:t>53</w:t>
            </w:r>
          </w:p>
        </w:tc>
        <w:tc>
          <w:tcPr>
            <w:tcW w:w="831" w:type="pct"/>
            <w:tcBorders>
              <w:top w:val="nil"/>
              <w:bottom w:val="nil"/>
            </w:tcBorders>
            <w:shd w:val="clear" w:color="auto" w:fill="FFFFFF"/>
            <w:vAlign w:val="center"/>
          </w:tcPr>
          <w:p w14:paraId="40C9D010" w14:textId="6DB8CA00" w:rsidR="0038538B" w:rsidRPr="00E20BA3" w:rsidRDefault="0038538B" w:rsidP="009B41CF">
            <w:pPr>
              <w:pStyle w:val="CETBodytext"/>
              <w:ind w:right="-1"/>
              <w:jc w:val="left"/>
              <w:rPr>
                <w:rFonts w:cs="Arial"/>
                <w:szCs w:val="18"/>
              </w:rPr>
            </w:pPr>
            <w:r w:rsidRPr="00E20BA3">
              <w:rPr>
                <w:rFonts w:cs="Arial"/>
                <w:szCs w:val="18"/>
              </w:rPr>
              <w:t>6.0</w:t>
            </w:r>
          </w:p>
        </w:tc>
      </w:tr>
      <w:tr w:rsidR="0038538B" w:rsidRPr="00E20BA3" w14:paraId="0245407D" w14:textId="7D406C17" w:rsidTr="009B41CF">
        <w:tc>
          <w:tcPr>
            <w:tcW w:w="617" w:type="pct"/>
            <w:vMerge/>
            <w:shd w:val="clear" w:color="auto" w:fill="FFFFFF"/>
            <w:vAlign w:val="center"/>
          </w:tcPr>
          <w:p w14:paraId="006B7BD9" w14:textId="77777777" w:rsidR="0038538B" w:rsidRPr="00E20BA3" w:rsidRDefault="0038538B" w:rsidP="009B41CF">
            <w:pPr>
              <w:pStyle w:val="CETBodytext"/>
              <w:ind w:right="-1"/>
              <w:jc w:val="left"/>
              <w:rPr>
                <w:rFonts w:cs="Arial"/>
                <w:szCs w:val="18"/>
              </w:rPr>
            </w:pPr>
          </w:p>
        </w:tc>
        <w:tc>
          <w:tcPr>
            <w:tcW w:w="1075" w:type="pct"/>
            <w:tcBorders>
              <w:top w:val="nil"/>
              <w:bottom w:val="nil"/>
            </w:tcBorders>
            <w:shd w:val="clear" w:color="auto" w:fill="FFFFFF"/>
            <w:vAlign w:val="center"/>
          </w:tcPr>
          <w:p w14:paraId="650A392A" w14:textId="483A5213" w:rsidR="0038538B" w:rsidRPr="00E20BA3" w:rsidRDefault="0038538B" w:rsidP="009B41CF">
            <w:pPr>
              <w:pStyle w:val="CETBodytext"/>
              <w:ind w:right="-1"/>
              <w:jc w:val="left"/>
              <w:rPr>
                <w:rFonts w:cs="Arial"/>
                <w:szCs w:val="18"/>
              </w:rPr>
            </w:pPr>
            <w:r w:rsidRPr="00E20BA3">
              <w:rPr>
                <w:rFonts w:cs="Arial"/>
                <w:szCs w:val="18"/>
              </w:rPr>
              <w:t>Reboiler</w:t>
            </w:r>
          </w:p>
        </w:tc>
        <w:tc>
          <w:tcPr>
            <w:tcW w:w="869" w:type="pct"/>
            <w:tcBorders>
              <w:top w:val="nil"/>
              <w:bottom w:val="nil"/>
            </w:tcBorders>
            <w:shd w:val="clear" w:color="auto" w:fill="FFFFFF"/>
            <w:vAlign w:val="center"/>
          </w:tcPr>
          <w:p w14:paraId="54EAE110" w14:textId="17019229" w:rsidR="0038538B" w:rsidRPr="00E20BA3" w:rsidRDefault="0038538B" w:rsidP="009B41CF">
            <w:pPr>
              <w:pStyle w:val="CETBodytext"/>
              <w:ind w:right="-1"/>
              <w:jc w:val="left"/>
              <w:rPr>
                <w:rFonts w:cs="Arial"/>
                <w:szCs w:val="18"/>
              </w:rPr>
            </w:pPr>
            <w:r w:rsidRPr="00E20BA3">
              <w:rPr>
                <w:rFonts w:cs="Arial"/>
                <w:szCs w:val="18"/>
              </w:rPr>
              <w:t>4</w:t>
            </w:r>
          </w:p>
        </w:tc>
        <w:tc>
          <w:tcPr>
            <w:tcW w:w="667" w:type="pct"/>
            <w:tcBorders>
              <w:top w:val="nil"/>
              <w:bottom w:val="nil"/>
            </w:tcBorders>
            <w:shd w:val="clear" w:color="auto" w:fill="FFFFFF"/>
            <w:vAlign w:val="center"/>
          </w:tcPr>
          <w:p w14:paraId="64D96003" w14:textId="7A0FCA9B" w:rsidR="0038538B" w:rsidRPr="00E20BA3" w:rsidRDefault="0038538B" w:rsidP="009B41CF">
            <w:pPr>
              <w:pStyle w:val="CETBodytext"/>
              <w:ind w:right="-1"/>
              <w:jc w:val="left"/>
              <w:rPr>
                <w:rFonts w:cs="Arial"/>
                <w:szCs w:val="18"/>
              </w:rPr>
            </w:pPr>
            <w:r w:rsidRPr="00E20BA3">
              <w:rPr>
                <w:rFonts w:cs="Arial"/>
                <w:szCs w:val="18"/>
              </w:rPr>
              <w:t>MEA</w:t>
            </w:r>
          </w:p>
        </w:tc>
        <w:tc>
          <w:tcPr>
            <w:tcW w:w="942" w:type="pct"/>
            <w:tcBorders>
              <w:top w:val="nil"/>
              <w:bottom w:val="nil"/>
            </w:tcBorders>
            <w:shd w:val="clear" w:color="auto" w:fill="FFFFFF"/>
            <w:vAlign w:val="center"/>
          </w:tcPr>
          <w:p w14:paraId="6135E165" w14:textId="507049F5" w:rsidR="0038538B" w:rsidRPr="00E20BA3" w:rsidRDefault="0038538B" w:rsidP="009B41CF">
            <w:pPr>
              <w:pStyle w:val="CETBodytext"/>
              <w:ind w:right="-1"/>
              <w:jc w:val="left"/>
              <w:rPr>
                <w:rFonts w:cs="Arial"/>
                <w:szCs w:val="18"/>
              </w:rPr>
            </w:pPr>
            <w:r w:rsidRPr="00E20BA3">
              <w:rPr>
                <w:rFonts w:cs="Arial"/>
                <w:szCs w:val="18"/>
              </w:rPr>
              <w:t>120</w:t>
            </w:r>
            <w:r w:rsidRPr="00E20BA3">
              <w:rPr>
                <w:rFonts w:cs="Arial"/>
                <w:szCs w:val="18"/>
                <w:lang w:val="en-GB"/>
              </w:rPr>
              <w:t xml:space="preserve"> – </w:t>
            </w:r>
            <w:r w:rsidRPr="00E20BA3">
              <w:rPr>
                <w:rFonts w:cs="Arial"/>
                <w:szCs w:val="18"/>
              </w:rPr>
              <w:t>121</w:t>
            </w:r>
          </w:p>
        </w:tc>
        <w:tc>
          <w:tcPr>
            <w:tcW w:w="831" w:type="pct"/>
            <w:tcBorders>
              <w:top w:val="nil"/>
              <w:bottom w:val="nil"/>
            </w:tcBorders>
            <w:shd w:val="clear" w:color="auto" w:fill="FFFFFF"/>
            <w:vAlign w:val="center"/>
          </w:tcPr>
          <w:p w14:paraId="2B7FA81E" w14:textId="39CBF9AB" w:rsidR="0038538B" w:rsidRPr="00E20BA3" w:rsidRDefault="0038538B" w:rsidP="009B41CF">
            <w:pPr>
              <w:pStyle w:val="CETBodytext"/>
              <w:ind w:right="-1"/>
              <w:jc w:val="left"/>
              <w:rPr>
                <w:rFonts w:cs="Arial"/>
                <w:szCs w:val="18"/>
              </w:rPr>
            </w:pPr>
            <w:r w:rsidRPr="00E20BA3">
              <w:rPr>
                <w:rFonts w:cs="Arial"/>
                <w:szCs w:val="18"/>
              </w:rPr>
              <w:t>1.8</w:t>
            </w:r>
          </w:p>
        </w:tc>
      </w:tr>
      <w:tr w:rsidR="0038538B" w:rsidRPr="00E20BA3" w14:paraId="618E891B" w14:textId="77777777" w:rsidTr="009B41CF">
        <w:tc>
          <w:tcPr>
            <w:tcW w:w="617" w:type="pct"/>
            <w:vMerge/>
            <w:shd w:val="clear" w:color="auto" w:fill="FFFFFF"/>
            <w:vAlign w:val="center"/>
          </w:tcPr>
          <w:p w14:paraId="52B777B0" w14:textId="77777777" w:rsidR="0038538B" w:rsidRPr="00E20BA3" w:rsidRDefault="0038538B" w:rsidP="009B41CF">
            <w:pPr>
              <w:pStyle w:val="CETBodytext"/>
              <w:ind w:right="-1"/>
              <w:jc w:val="left"/>
              <w:rPr>
                <w:rFonts w:cs="Arial"/>
                <w:szCs w:val="18"/>
              </w:rPr>
            </w:pPr>
          </w:p>
        </w:tc>
        <w:tc>
          <w:tcPr>
            <w:tcW w:w="1075" w:type="pct"/>
            <w:tcBorders>
              <w:top w:val="nil"/>
              <w:bottom w:val="nil"/>
            </w:tcBorders>
            <w:shd w:val="clear" w:color="auto" w:fill="FFFFFF"/>
            <w:vAlign w:val="center"/>
          </w:tcPr>
          <w:p w14:paraId="637770A7" w14:textId="7A9BE597" w:rsidR="0038538B" w:rsidRPr="00E20BA3" w:rsidRDefault="0038538B" w:rsidP="009B41CF">
            <w:pPr>
              <w:pStyle w:val="CETBodytext"/>
              <w:ind w:right="-1"/>
              <w:jc w:val="left"/>
              <w:rPr>
                <w:rFonts w:cs="Arial"/>
                <w:szCs w:val="18"/>
              </w:rPr>
            </w:pPr>
            <w:r w:rsidRPr="00E20BA3">
              <w:rPr>
                <w:rFonts w:cs="Arial"/>
                <w:szCs w:val="18"/>
              </w:rPr>
              <w:t>Absorption column</w:t>
            </w:r>
          </w:p>
        </w:tc>
        <w:tc>
          <w:tcPr>
            <w:tcW w:w="869" w:type="pct"/>
            <w:tcBorders>
              <w:top w:val="nil"/>
              <w:bottom w:val="nil"/>
            </w:tcBorders>
            <w:shd w:val="clear" w:color="auto" w:fill="FFFFFF"/>
            <w:vAlign w:val="center"/>
          </w:tcPr>
          <w:p w14:paraId="7829AF13" w14:textId="49C3DAE6" w:rsidR="0038538B" w:rsidRPr="00E20BA3" w:rsidRDefault="0038538B" w:rsidP="009B41CF">
            <w:pPr>
              <w:pStyle w:val="CETBodytext"/>
              <w:ind w:right="-1"/>
              <w:jc w:val="left"/>
              <w:rPr>
                <w:rFonts w:cs="Arial"/>
                <w:szCs w:val="18"/>
              </w:rPr>
            </w:pPr>
            <w:r w:rsidRPr="00E20BA3">
              <w:rPr>
                <w:rFonts w:cs="Arial"/>
                <w:szCs w:val="18"/>
              </w:rPr>
              <w:t>2</w:t>
            </w:r>
          </w:p>
        </w:tc>
        <w:tc>
          <w:tcPr>
            <w:tcW w:w="667" w:type="pct"/>
            <w:tcBorders>
              <w:top w:val="nil"/>
              <w:bottom w:val="nil"/>
            </w:tcBorders>
            <w:shd w:val="clear" w:color="auto" w:fill="FFFFFF"/>
            <w:vAlign w:val="center"/>
          </w:tcPr>
          <w:p w14:paraId="722E6821" w14:textId="79B18BEF" w:rsidR="0038538B" w:rsidRPr="00E20BA3" w:rsidRDefault="0038538B" w:rsidP="009B41CF">
            <w:pPr>
              <w:pStyle w:val="CETBodytext"/>
              <w:ind w:right="-1"/>
              <w:jc w:val="left"/>
              <w:rPr>
                <w:rFonts w:cs="Arial"/>
                <w:szCs w:val="18"/>
              </w:rPr>
            </w:pPr>
            <w:r w:rsidRPr="00E20BA3">
              <w:rPr>
                <w:rFonts w:cs="Arial"/>
                <w:szCs w:val="18"/>
              </w:rPr>
              <w:t>CO</w:t>
            </w:r>
            <w:r w:rsidRPr="00E20BA3">
              <w:rPr>
                <w:rFonts w:cs="Arial"/>
                <w:szCs w:val="18"/>
                <w:vertAlign w:val="subscript"/>
              </w:rPr>
              <w:t>2</w:t>
            </w:r>
            <w:r w:rsidRPr="00E20BA3">
              <w:rPr>
                <w:rFonts w:cs="Arial"/>
                <w:szCs w:val="18"/>
              </w:rPr>
              <w:t>/MEA</w:t>
            </w:r>
          </w:p>
        </w:tc>
        <w:tc>
          <w:tcPr>
            <w:tcW w:w="942" w:type="pct"/>
            <w:tcBorders>
              <w:top w:val="nil"/>
              <w:bottom w:val="nil"/>
            </w:tcBorders>
            <w:shd w:val="clear" w:color="auto" w:fill="FFFFFF"/>
            <w:vAlign w:val="center"/>
          </w:tcPr>
          <w:p w14:paraId="795DC07B" w14:textId="2B523C9F" w:rsidR="0038538B" w:rsidRPr="00E20BA3" w:rsidRDefault="0038538B" w:rsidP="009B41CF">
            <w:pPr>
              <w:pStyle w:val="CETBodytext"/>
              <w:ind w:right="-1"/>
              <w:jc w:val="left"/>
              <w:rPr>
                <w:rFonts w:cs="Arial"/>
                <w:szCs w:val="18"/>
              </w:rPr>
            </w:pPr>
            <w:r w:rsidRPr="00E20BA3">
              <w:rPr>
                <w:rFonts w:cs="Arial"/>
                <w:szCs w:val="18"/>
              </w:rPr>
              <w:t>40</w:t>
            </w:r>
            <w:r w:rsidRPr="00E20BA3">
              <w:rPr>
                <w:rFonts w:cs="Arial"/>
                <w:szCs w:val="18"/>
                <w:lang w:val="en-GB"/>
              </w:rPr>
              <w:t xml:space="preserve"> – </w:t>
            </w:r>
            <w:r w:rsidRPr="00E20BA3">
              <w:rPr>
                <w:rFonts w:cs="Arial"/>
                <w:szCs w:val="18"/>
              </w:rPr>
              <w:t>56</w:t>
            </w:r>
          </w:p>
        </w:tc>
        <w:tc>
          <w:tcPr>
            <w:tcW w:w="831" w:type="pct"/>
            <w:tcBorders>
              <w:top w:val="nil"/>
              <w:bottom w:val="nil"/>
            </w:tcBorders>
            <w:shd w:val="clear" w:color="auto" w:fill="FFFFFF"/>
            <w:vAlign w:val="center"/>
          </w:tcPr>
          <w:p w14:paraId="1CAE30B0" w14:textId="0CEC6FB7" w:rsidR="0038538B" w:rsidRPr="00E20BA3" w:rsidRDefault="0038538B" w:rsidP="009B41CF">
            <w:pPr>
              <w:pStyle w:val="CETBodytext"/>
              <w:ind w:right="-1"/>
              <w:jc w:val="left"/>
              <w:rPr>
                <w:rFonts w:cs="Arial"/>
                <w:szCs w:val="18"/>
              </w:rPr>
            </w:pPr>
            <w:r w:rsidRPr="00E20BA3">
              <w:rPr>
                <w:rFonts w:cs="Arial"/>
                <w:szCs w:val="18"/>
              </w:rPr>
              <w:t>1.2</w:t>
            </w:r>
          </w:p>
        </w:tc>
      </w:tr>
      <w:tr w:rsidR="0038538B" w:rsidRPr="00E20BA3" w14:paraId="24F461AB" w14:textId="77777777" w:rsidTr="009B41CF">
        <w:tc>
          <w:tcPr>
            <w:tcW w:w="617" w:type="pct"/>
            <w:vMerge/>
            <w:shd w:val="clear" w:color="auto" w:fill="FFFFFF"/>
            <w:vAlign w:val="center"/>
          </w:tcPr>
          <w:p w14:paraId="34EB4A88" w14:textId="77777777" w:rsidR="0038538B" w:rsidRPr="00E20BA3" w:rsidRDefault="0038538B" w:rsidP="009B41CF">
            <w:pPr>
              <w:pStyle w:val="CETBodytext"/>
              <w:ind w:right="-1"/>
              <w:jc w:val="left"/>
              <w:rPr>
                <w:rFonts w:cs="Arial"/>
                <w:szCs w:val="18"/>
              </w:rPr>
            </w:pPr>
          </w:p>
        </w:tc>
        <w:tc>
          <w:tcPr>
            <w:tcW w:w="1075" w:type="pct"/>
            <w:tcBorders>
              <w:top w:val="nil"/>
              <w:bottom w:val="nil"/>
            </w:tcBorders>
            <w:shd w:val="clear" w:color="auto" w:fill="FFFFFF"/>
            <w:vAlign w:val="center"/>
          </w:tcPr>
          <w:p w14:paraId="419701BF" w14:textId="65866BB0" w:rsidR="0038538B" w:rsidRPr="00E20BA3" w:rsidRDefault="0038538B" w:rsidP="009B41CF">
            <w:pPr>
              <w:pStyle w:val="CETBodytext"/>
              <w:ind w:right="-1"/>
              <w:jc w:val="left"/>
              <w:rPr>
                <w:rFonts w:cs="Arial"/>
                <w:szCs w:val="18"/>
              </w:rPr>
            </w:pPr>
            <w:r w:rsidRPr="00E20BA3">
              <w:rPr>
                <w:rFonts w:cs="Arial"/>
                <w:szCs w:val="18"/>
              </w:rPr>
              <w:t>Regeneration column</w:t>
            </w:r>
          </w:p>
        </w:tc>
        <w:tc>
          <w:tcPr>
            <w:tcW w:w="869" w:type="pct"/>
            <w:tcBorders>
              <w:top w:val="nil"/>
              <w:bottom w:val="nil"/>
            </w:tcBorders>
            <w:shd w:val="clear" w:color="auto" w:fill="FFFFFF"/>
            <w:vAlign w:val="center"/>
          </w:tcPr>
          <w:p w14:paraId="592ADB05" w14:textId="70DE1F38" w:rsidR="0038538B" w:rsidRPr="00E20BA3" w:rsidRDefault="0038538B" w:rsidP="009B41CF">
            <w:pPr>
              <w:pStyle w:val="CETBodytext"/>
              <w:ind w:right="-1"/>
              <w:jc w:val="left"/>
              <w:rPr>
                <w:rFonts w:cs="Arial"/>
                <w:szCs w:val="18"/>
              </w:rPr>
            </w:pPr>
            <w:r w:rsidRPr="00E20BA3">
              <w:rPr>
                <w:rFonts w:cs="Arial"/>
                <w:szCs w:val="18"/>
              </w:rPr>
              <w:t>1</w:t>
            </w:r>
          </w:p>
        </w:tc>
        <w:tc>
          <w:tcPr>
            <w:tcW w:w="667" w:type="pct"/>
            <w:tcBorders>
              <w:top w:val="nil"/>
              <w:bottom w:val="nil"/>
            </w:tcBorders>
            <w:shd w:val="clear" w:color="auto" w:fill="FFFFFF"/>
            <w:vAlign w:val="center"/>
          </w:tcPr>
          <w:p w14:paraId="5C213877" w14:textId="146090D9" w:rsidR="0038538B" w:rsidRPr="00E20BA3" w:rsidRDefault="0038538B" w:rsidP="009B41CF">
            <w:pPr>
              <w:pStyle w:val="CETBodytext"/>
              <w:ind w:right="-1"/>
              <w:jc w:val="left"/>
              <w:rPr>
                <w:rFonts w:cs="Arial"/>
                <w:szCs w:val="18"/>
              </w:rPr>
            </w:pPr>
            <w:r w:rsidRPr="00E20BA3">
              <w:rPr>
                <w:rFonts w:cs="Arial"/>
                <w:szCs w:val="18"/>
              </w:rPr>
              <w:t>CO</w:t>
            </w:r>
            <w:r w:rsidRPr="00E20BA3">
              <w:rPr>
                <w:rFonts w:cs="Arial"/>
                <w:szCs w:val="18"/>
                <w:vertAlign w:val="subscript"/>
              </w:rPr>
              <w:t>2</w:t>
            </w:r>
            <w:r w:rsidRPr="00E20BA3">
              <w:rPr>
                <w:rFonts w:cs="Arial"/>
                <w:szCs w:val="18"/>
              </w:rPr>
              <w:t>/MEA</w:t>
            </w:r>
          </w:p>
        </w:tc>
        <w:tc>
          <w:tcPr>
            <w:tcW w:w="942" w:type="pct"/>
            <w:tcBorders>
              <w:top w:val="nil"/>
              <w:bottom w:val="nil"/>
            </w:tcBorders>
            <w:shd w:val="clear" w:color="auto" w:fill="FFFFFF"/>
            <w:vAlign w:val="center"/>
          </w:tcPr>
          <w:p w14:paraId="01800B6B" w14:textId="57A17EB7" w:rsidR="0038538B" w:rsidRPr="00E20BA3" w:rsidRDefault="0038538B" w:rsidP="009B41CF">
            <w:pPr>
              <w:pStyle w:val="CETBodytext"/>
              <w:ind w:right="-1"/>
              <w:jc w:val="left"/>
              <w:rPr>
                <w:rFonts w:cs="Arial"/>
                <w:szCs w:val="18"/>
              </w:rPr>
            </w:pPr>
            <w:r w:rsidRPr="00E20BA3">
              <w:rPr>
                <w:rFonts w:cs="Arial"/>
                <w:szCs w:val="18"/>
              </w:rPr>
              <w:t>104</w:t>
            </w:r>
            <w:r w:rsidRPr="00E20BA3">
              <w:rPr>
                <w:rFonts w:cs="Arial"/>
                <w:szCs w:val="18"/>
                <w:lang w:val="en-GB"/>
              </w:rPr>
              <w:t xml:space="preserve"> – </w:t>
            </w:r>
            <w:r w:rsidRPr="00E20BA3">
              <w:rPr>
                <w:rFonts w:cs="Arial"/>
                <w:szCs w:val="18"/>
              </w:rPr>
              <w:t>120</w:t>
            </w:r>
          </w:p>
        </w:tc>
        <w:tc>
          <w:tcPr>
            <w:tcW w:w="831" w:type="pct"/>
            <w:tcBorders>
              <w:top w:val="nil"/>
              <w:bottom w:val="nil"/>
            </w:tcBorders>
            <w:shd w:val="clear" w:color="auto" w:fill="FFFFFF"/>
            <w:vAlign w:val="center"/>
          </w:tcPr>
          <w:p w14:paraId="2842C7B6" w14:textId="698720EC" w:rsidR="0038538B" w:rsidRPr="00E20BA3" w:rsidRDefault="0038538B" w:rsidP="009B41CF">
            <w:pPr>
              <w:pStyle w:val="CETBodytext"/>
              <w:ind w:right="-1"/>
              <w:jc w:val="left"/>
              <w:rPr>
                <w:rFonts w:cs="Arial"/>
                <w:szCs w:val="18"/>
              </w:rPr>
            </w:pPr>
            <w:r w:rsidRPr="00E20BA3">
              <w:rPr>
                <w:rFonts w:cs="Arial"/>
                <w:szCs w:val="18"/>
              </w:rPr>
              <w:t>1.8</w:t>
            </w:r>
          </w:p>
        </w:tc>
      </w:tr>
      <w:tr w:rsidR="0038538B" w:rsidRPr="00E20BA3" w14:paraId="19915578" w14:textId="77777777" w:rsidTr="009B41CF">
        <w:tc>
          <w:tcPr>
            <w:tcW w:w="617" w:type="pct"/>
            <w:vMerge/>
            <w:shd w:val="clear" w:color="auto" w:fill="FFFFFF"/>
            <w:vAlign w:val="center"/>
          </w:tcPr>
          <w:p w14:paraId="01C6CF95" w14:textId="77777777" w:rsidR="0038538B" w:rsidRPr="00E20BA3" w:rsidRDefault="0038538B" w:rsidP="009B41CF">
            <w:pPr>
              <w:pStyle w:val="CETBodytext"/>
              <w:ind w:right="-1"/>
              <w:jc w:val="left"/>
              <w:rPr>
                <w:rFonts w:cs="Arial"/>
                <w:szCs w:val="18"/>
              </w:rPr>
            </w:pPr>
          </w:p>
        </w:tc>
        <w:tc>
          <w:tcPr>
            <w:tcW w:w="1075" w:type="pct"/>
            <w:tcBorders>
              <w:top w:val="nil"/>
              <w:bottom w:val="nil"/>
            </w:tcBorders>
            <w:shd w:val="clear" w:color="auto" w:fill="FFFFFF"/>
            <w:vAlign w:val="center"/>
          </w:tcPr>
          <w:p w14:paraId="4316453F" w14:textId="49B5F160" w:rsidR="0038538B" w:rsidRPr="00E20BA3" w:rsidRDefault="0038538B" w:rsidP="009B41CF">
            <w:pPr>
              <w:pStyle w:val="CETBodytext"/>
              <w:ind w:right="-1"/>
              <w:jc w:val="left"/>
              <w:rPr>
                <w:rFonts w:cs="Arial"/>
                <w:szCs w:val="18"/>
              </w:rPr>
            </w:pPr>
            <w:r w:rsidRPr="00E20BA3">
              <w:rPr>
                <w:rFonts w:cs="Arial"/>
                <w:szCs w:val="18"/>
              </w:rPr>
              <w:t>Blower</w:t>
            </w:r>
          </w:p>
        </w:tc>
        <w:tc>
          <w:tcPr>
            <w:tcW w:w="869" w:type="pct"/>
            <w:tcBorders>
              <w:top w:val="nil"/>
              <w:bottom w:val="nil"/>
            </w:tcBorders>
            <w:shd w:val="clear" w:color="auto" w:fill="FFFFFF"/>
            <w:vAlign w:val="center"/>
          </w:tcPr>
          <w:p w14:paraId="486B4B9E" w14:textId="63F9D9BF" w:rsidR="0038538B" w:rsidRPr="00E20BA3" w:rsidRDefault="0038538B" w:rsidP="009B41CF">
            <w:pPr>
              <w:pStyle w:val="CETBodytext"/>
              <w:ind w:right="-1"/>
              <w:jc w:val="left"/>
              <w:rPr>
                <w:rFonts w:cs="Arial"/>
                <w:szCs w:val="18"/>
              </w:rPr>
            </w:pPr>
            <w:r w:rsidRPr="00E20BA3">
              <w:rPr>
                <w:rFonts w:cs="Arial"/>
                <w:szCs w:val="18"/>
              </w:rPr>
              <w:t>1</w:t>
            </w:r>
          </w:p>
        </w:tc>
        <w:tc>
          <w:tcPr>
            <w:tcW w:w="667" w:type="pct"/>
            <w:tcBorders>
              <w:top w:val="nil"/>
              <w:bottom w:val="nil"/>
            </w:tcBorders>
            <w:shd w:val="clear" w:color="auto" w:fill="FFFFFF"/>
            <w:vAlign w:val="center"/>
          </w:tcPr>
          <w:p w14:paraId="5740D30D" w14:textId="0323677B" w:rsidR="0038538B" w:rsidRPr="00E20BA3" w:rsidRDefault="0038538B" w:rsidP="009B41CF">
            <w:pPr>
              <w:pStyle w:val="CETBodytext"/>
              <w:ind w:right="-1"/>
              <w:jc w:val="left"/>
              <w:rPr>
                <w:rFonts w:cs="Arial"/>
                <w:szCs w:val="18"/>
              </w:rPr>
            </w:pPr>
            <w:r w:rsidRPr="00E20BA3">
              <w:rPr>
                <w:rFonts w:cs="Arial"/>
                <w:szCs w:val="18"/>
              </w:rPr>
              <w:t>CO</w:t>
            </w:r>
            <w:r w:rsidRPr="00E20BA3">
              <w:rPr>
                <w:rFonts w:cs="Arial"/>
                <w:szCs w:val="18"/>
                <w:vertAlign w:val="subscript"/>
              </w:rPr>
              <w:t>2</w:t>
            </w:r>
          </w:p>
        </w:tc>
        <w:tc>
          <w:tcPr>
            <w:tcW w:w="942" w:type="pct"/>
            <w:tcBorders>
              <w:top w:val="nil"/>
              <w:bottom w:val="nil"/>
            </w:tcBorders>
            <w:shd w:val="clear" w:color="auto" w:fill="FFFFFF"/>
            <w:vAlign w:val="center"/>
          </w:tcPr>
          <w:p w14:paraId="6CED6DB7" w14:textId="00458D2A" w:rsidR="0038538B" w:rsidRPr="00E20BA3" w:rsidRDefault="0038538B" w:rsidP="009B41CF">
            <w:pPr>
              <w:pStyle w:val="CETBodytext"/>
              <w:ind w:right="-1"/>
              <w:jc w:val="left"/>
              <w:rPr>
                <w:rFonts w:cs="Arial"/>
                <w:szCs w:val="18"/>
              </w:rPr>
            </w:pPr>
            <w:r w:rsidRPr="00E20BA3">
              <w:rPr>
                <w:rFonts w:cs="Arial"/>
                <w:szCs w:val="18"/>
              </w:rPr>
              <w:t>100</w:t>
            </w:r>
            <w:r w:rsidRPr="00E20BA3">
              <w:rPr>
                <w:rFonts w:cs="Arial"/>
                <w:szCs w:val="18"/>
                <w:lang w:val="en-GB"/>
              </w:rPr>
              <w:t xml:space="preserve"> – </w:t>
            </w:r>
            <w:r w:rsidRPr="00E20BA3">
              <w:rPr>
                <w:rFonts w:cs="Arial"/>
                <w:szCs w:val="18"/>
              </w:rPr>
              <w:t>123</w:t>
            </w:r>
          </w:p>
        </w:tc>
        <w:tc>
          <w:tcPr>
            <w:tcW w:w="831" w:type="pct"/>
            <w:tcBorders>
              <w:top w:val="nil"/>
              <w:bottom w:val="nil"/>
            </w:tcBorders>
            <w:shd w:val="clear" w:color="auto" w:fill="FFFFFF"/>
            <w:vAlign w:val="center"/>
          </w:tcPr>
          <w:p w14:paraId="6B96F712" w14:textId="07452F93" w:rsidR="0038538B" w:rsidRPr="00E20BA3" w:rsidRDefault="0038538B" w:rsidP="009B41CF">
            <w:pPr>
              <w:pStyle w:val="CETBodytext"/>
              <w:ind w:right="-1"/>
              <w:jc w:val="left"/>
              <w:rPr>
                <w:rFonts w:cs="Arial"/>
                <w:szCs w:val="18"/>
              </w:rPr>
            </w:pPr>
            <w:r w:rsidRPr="00E20BA3">
              <w:rPr>
                <w:rFonts w:cs="Arial"/>
                <w:szCs w:val="18"/>
              </w:rPr>
              <w:t>1.0</w:t>
            </w:r>
            <w:r w:rsidRPr="00E20BA3">
              <w:rPr>
                <w:rFonts w:cs="Arial"/>
                <w:szCs w:val="18"/>
                <w:lang w:val="en-GB"/>
              </w:rPr>
              <w:t xml:space="preserve"> – </w:t>
            </w:r>
            <w:r w:rsidRPr="00E20BA3">
              <w:rPr>
                <w:rFonts w:cs="Arial"/>
                <w:szCs w:val="18"/>
              </w:rPr>
              <w:t>1.2</w:t>
            </w:r>
          </w:p>
        </w:tc>
      </w:tr>
      <w:tr w:rsidR="0038538B" w:rsidRPr="00E20BA3" w14:paraId="6CBFFE87" w14:textId="77777777" w:rsidTr="009B41CF">
        <w:tc>
          <w:tcPr>
            <w:tcW w:w="617" w:type="pct"/>
            <w:vMerge/>
            <w:shd w:val="clear" w:color="auto" w:fill="FFFFFF"/>
            <w:vAlign w:val="center"/>
          </w:tcPr>
          <w:p w14:paraId="293B63CD" w14:textId="77777777" w:rsidR="0038538B" w:rsidRPr="00E20BA3" w:rsidRDefault="0038538B" w:rsidP="009B41CF">
            <w:pPr>
              <w:pStyle w:val="CETBodytext"/>
              <w:ind w:right="-1"/>
              <w:jc w:val="left"/>
              <w:rPr>
                <w:rFonts w:cs="Arial"/>
                <w:szCs w:val="18"/>
              </w:rPr>
            </w:pPr>
          </w:p>
        </w:tc>
        <w:tc>
          <w:tcPr>
            <w:tcW w:w="1075" w:type="pct"/>
            <w:tcBorders>
              <w:top w:val="nil"/>
              <w:bottom w:val="nil"/>
            </w:tcBorders>
            <w:shd w:val="clear" w:color="auto" w:fill="FFFFFF"/>
            <w:vAlign w:val="center"/>
          </w:tcPr>
          <w:p w14:paraId="66707527" w14:textId="043EBE11" w:rsidR="0038538B" w:rsidRPr="00E20BA3" w:rsidRDefault="0038538B" w:rsidP="009B41CF">
            <w:pPr>
              <w:pStyle w:val="CETBodytext"/>
              <w:ind w:right="-1"/>
              <w:jc w:val="left"/>
              <w:rPr>
                <w:rFonts w:cs="Arial"/>
                <w:szCs w:val="18"/>
              </w:rPr>
            </w:pPr>
            <w:r w:rsidRPr="00E20BA3">
              <w:rPr>
                <w:rFonts w:cs="Arial"/>
                <w:szCs w:val="18"/>
              </w:rPr>
              <w:t>Heat exchanger</w:t>
            </w:r>
          </w:p>
        </w:tc>
        <w:tc>
          <w:tcPr>
            <w:tcW w:w="869" w:type="pct"/>
            <w:tcBorders>
              <w:top w:val="nil"/>
              <w:bottom w:val="nil"/>
            </w:tcBorders>
            <w:shd w:val="clear" w:color="auto" w:fill="FFFFFF"/>
            <w:vAlign w:val="center"/>
          </w:tcPr>
          <w:p w14:paraId="034B5687" w14:textId="760E4715" w:rsidR="0038538B" w:rsidRPr="00E20BA3" w:rsidRDefault="0038538B" w:rsidP="009B41CF">
            <w:pPr>
              <w:pStyle w:val="CETBodytext"/>
              <w:ind w:right="-1"/>
              <w:jc w:val="left"/>
              <w:rPr>
                <w:rFonts w:cs="Arial"/>
                <w:szCs w:val="18"/>
              </w:rPr>
            </w:pPr>
            <w:r w:rsidRPr="00E20BA3">
              <w:rPr>
                <w:rFonts w:cs="Arial"/>
                <w:szCs w:val="18"/>
              </w:rPr>
              <w:t>10</w:t>
            </w:r>
          </w:p>
        </w:tc>
        <w:tc>
          <w:tcPr>
            <w:tcW w:w="667" w:type="pct"/>
            <w:tcBorders>
              <w:top w:val="nil"/>
              <w:bottom w:val="nil"/>
            </w:tcBorders>
            <w:shd w:val="clear" w:color="auto" w:fill="FFFFFF"/>
            <w:vAlign w:val="center"/>
          </w:tcPr>
          <w:p w14:paraId="7C432818" w14:textId="1CC9E2DE" w:rsidR="0038538B" w:rsidRPr="00E20BA3" w:rsidRDefault="0038538B" w:rsidP="009B41CF">
            <w:pPr>
              <w:pStyle w:val="CETBodytext"/>
              <w:ind w:right="-1"/>
              <w:jc w:val="left"/>
              <w:rPr>
                <w:rFonts w:cs="Arial"/>
                <w:szCs w:val="18"/>
              </w:rPr>
            </w:pPr>
            <w:r w:rsidRPr="00E20BA3">
              <w:rPr>
                <w:rFonts w:cs="Arial"/>
                <w:szCs w:val="18"/>
              </w:rPr>
              <w:t>CO</w:t>
            </w:r>
            <w:r w:rsidRPr="00E20BA3">
              <w:rPr>
                <w:rFonts w:cs="Arial"/>
                <w:szCs w:val="18"/>
                <w:vertAlign w:val="subscript"/>
              </w:rPr>
              <w:t>2</w:t>
            </w:r>
          </w:p>
        </w:tc>
        <w:tc>
          <w:tcPr>
            <w:tcW w:w="942" w:type="pct"/>
            <w:tcBorders>
              <w:top w:val="nil"/>
              <w:bottom w:val="nil"/>
            </w:tcBorders>
            <w:shd w:val="clear" w:color="auto" w:fill="FFFFFF"/>
            <w:vAlign w:val="center"/>
          </w:tcPr>
          <w:p w14:paraId="3766239F" w14:textId="0811314C" w:rsidR="0038538B" w:rsidRPr="00E20BA3" w:rsidRDefault="0038538B" w:rsidP="009B41CF">
            <w:pPr>
              <w:pStyle w:val="CETBodytext"/>
              <w:ind w:right="-1"/>
              <w:jc w:val="left"/>
              <w:rPr>
                <w:rFonts w:cs="Arial"/>
                <w:szCs w:val="18"/>
              </w:rPr>
            </w:pPr>
            <w:r w:rsidRPr="00E20BA3">
              <w:rPr>
                <w:rFonts w:cs="Arial"/>
                <w:szCs w:val="18"/>
              </w:rPr>
              <w:t>56</w:t>
            </w:r>
            <w:r w:rsidRPr="00E20BA3">
              <w:rPr>
                <w:rFonts w:cs="Arial"/>
                <w:szCs w:val="18"/>
                <w:lang w:val="en-GB"/>
              </w:rPr>
              <w:t xml:space="preserve"> – </w:t>
            </w:r>
            <w:r w:rsidRPr="00E20BA3">
              <w:rPr>
                <w:rFonts w:cs="Arial"/>
                <w:szCs w:val="18"/>
              </w:rPr>
              <w:t>123</w:t>
            </w:r>
          </w:p>
        </w:tc>
        <w:tc>
          <w:tcPr>
            <w:tcW w:w="831" w:type="pct"/>
            <w:tcBorders>
              <w:top w:val="nil"/>
              <w:bottom w:val="nil"/>
            </w:tcBorders>
            <w:shd w:val="clear" w:color="auto" w:fill="FFFFFF"/>
            <w:vAlign w:val="center"/>
          </w:tcPr>
          <w:p w14:paraId="647161C0" w14:textId="169CF180" w:rsidR="0038538B" w:rsidRPr="00E20BA3" w:rsidRDefault="0038538B" w:rsidP="009B41CF">
            <w:pPr>
              <w:pStyle w:val="CETBodytext"/>
              <w:ind w:right="-1"/>
              <w:jc w:val="left"/>
              <w:rPr>
                <w:rFonts w:cs="Arial"/>
                <w:szCs w:val="18"/>
              </w:rPr>
            </w:pPr>
            <w:r w:rsidRPr="00E20BA3">
              <w:rPr>
                <w:rFonts w:cs="Arial"/>
                <w:szCs w:val="18"/>
              </w:rPr>
              <w:t>1.2</w:t>
            </w:r>
          </w:p>
        </w:tc>
      </w:tr>
      <w:tr w:rsidR="0038538B" w:rsidRPr="00E20BA3" w14:paraId="4AEAE0CF" w14:textId="77777777" w:rsidTr="009B41CF">
        <w:tc>
          <w:tcPr>
            <w:tcW w:w="617" w:type="pct"/>
            <w:vMerge/>
            <w:shd w:val="clear" w:color="auto" w:fill="FFFFFF"/>
            <w:vAlign w:val="center"/>
          </w:tcPr>
          <w:p w14:paraId="10631FDE" w14:textId="77777777" w:rsidR="0038538B" w:rsidRPr="00E20BA3" w:rsidRDefault="0038538B" w:rsidP="009B41CF">
            <w:pPr>
              <w:pStyle w:val="CETBodytext"/>
              <w:ind w:right="-1"/>
              <w:jc w:val="left"/>
              <w:rPr>
                <w:rFonts w:cs="Arial"/>
                <w:szCs w:val="18"/>
              </w:rPr>
            </w:pPr>
          </w:p>
        </w:tc>
        <w:tc>
          <w:tcPr>
            <w:tcW w:w="1075" w:type="pct"/>
            <w:tcBorders>
              <w:top w:val="nil"/>
              <w:bottom w:val="nil"/>
            </w:tcBorders>
            <w:shd w:val="clear" w:color="auto" w:fill="FFFFFF"/>
            <w:vAlign w:val="center"/>
          </w:tcPr>
          <w:p w14:paraId="45CA4A1C" w14:textId="1DE97A84" w:rsidR="0038538B" w:rsidRPr="00E20BA3" w:rsidRDefault="0038538B" w:rsidP="009B41CF">
            <w:pPr>
              <w:pStyle w:val="CETBodytext"/>
              <w:ind w:right="-1"/>
              <w:jc w:val="left"/>
              <w:rPr>
                <w:rFonts w:cs="Arial"/>
                <w:szCs w:val="18"/>
              </w:rPr>
            </w:pPr>
            <w:r w:rsidRPr="00E20BA3">
              <w:rPr>
                <w:rFonts w:cs="Arial"/>
                <w:szCs w:val="18"/>
              </w:rPr>
              <w:t>Direct contact cooler</w:t>
            </w:r>
          </w:p>
        </w:tc>
        <w:tc>
          <w:tcPr>
            <w:tcW w:w="869" w:type="pct"/>
            <w:tcBorders>
              <w:top w:val="nil"/>
              <w:bottom w:val="nil"/>
            </w:tcBorders>
            <w:shd w:val="clear" w:color="auto" w:fill="FFFFFF"/>
            <w:vAlign w:val="center"/>
          </w:tcPr>
          <w:p w14:paraId="7C89F26E" w14:textId="210DEA94" w:rsidR="0038538B" w:rsidRPr="00E20BA3" w:rsidRDefault="0038538B" w:rsidP="009B41CF">
            <w:pPr>
              <w:pStyle w:val="CETBodytext"/>
              <w:ind w:right="-1"/>
              <w:jc w:val="left"/>
              <w:rPr>
                <w:rFonts w:cs="Arial"/>
                <w:szCs w:val="18"/>
              </w:rPr>
            </w:pPr>
            <w:r w:rsidRPr="00E20BA3">
              <w:rPr>
                <w:rFonts w:cs="Arial"/>
                <w:szCs w:val="18"/>
              </w:rPr>
              <w:t>2</w:t>
            </w:r>
          </w:p>
        </w:tc>
        <w:tc>
          <w:tcPr>
            <w:tcW w:w="667" w:type="pct"/>
            <w:tcBorders>
              <w:top w:val="nil"/>
              <w:bottom w:val="nil"/>
            </w:tcBorders>
            <w:shd w:val="clear" w:color="auto" w:fill="FFFFFF"/>
            <w:vAlign w:val="center"/>
          </w:tcPr>
          <w:p w14:paraId="53265321" w14:textId="2DECF454" w:rsidR="0038538B" w:rsidRPr="00E20BA3" w:rsidRDefault="0038538B" w:rsidP="009B41CF">
            <w:pPr>
              <w:pStyle w:val="CETBodytext"/>
              <w:ind w:right="-1"/>
              <w:jc w:val="left"/>
              <w:rPr>
                <w:rFonts w:cs="Arial"/>
                <w:szCs w:val="18"/>
              </w:rPr>
            </w:pPr>
            <w:r w:rsidRPr="00E20BA3">
              <w:rPr>
                <w:rFonts w:cs="Arial"/>
                <w:szCs w:val="18"/>
              </w:rPr>
              <w:t>CO</w:t>
            </w:r>
            <w:r w:rsidRPr="00E20BA3">
              <w:rPr>
                <w:rFonts w:cs="Arial"/>
                <w:szCs w:val="18"/>
                <w:vertAlign w:val="subscript"/>
              </w:rPr>
              <w:t>2</w:t>
            </w:r>
          </w:p>
        </w:tc>
        <w:tc>
          <w:tcPr>
            <w:tcW w:w="942" w:type="pct"/>
            <w:tcBorders>
              <w:top w:val="nil"/>
              <w:bottom w:val="nil"/>
            </w:tcBorders>
            <w:shd w:val="clear" w:color="auto" w:fill="FFFFFF"/>
            <w:vAlign w:val="center"/>
          </w:tcPr>
          <w:p w14:paraId="00500BDC" w14:textId="7665F5B5" w:rsidR="0038538B" w:rsidRPr="00E20BA3" w:rsidRDefault="0038538B" w:rsidP="009B41CF">
            <w:pPr>
              <w:pStyle w:val="CETBodytext"/>
              <w:ind w:right="-1"/>
              <w:jc w:val="left"/>
              <w:rPr>
                <w:rFonts w:cs="Arial"/>
                <w:szCs w:val="18"/>
              </w:rPr>
            </w:pPr>
            <w:r w:rsidRPr="00E20BA3">
              <w:rPr>
                <w:rFonts w:cs="Arial"/>
                <w:szCs w:val="18"/>
              </w:rPr>
              <w:t>40</w:t>
            </w:r>
            <w:r w:rsidRPr="00E20BA3">
              <w:rPr>
                <w:rFonts w:cs="Arial"/>
                <w:szCs w:val="18"/>
                <w:lang w:val="en-GB"/>
              </w:rPr>
              <w:t xml:space="preserve"> – </w:t>
            </w:r>
            <w:r w:rsidRPr="00E20BA3">
              <w:rPr>
                <w:rFonts w:cs="Arial"/>
                <w:szCs w:val="18"/>
              </w:rPr>
              <w:t>96</w:t>
            </w:r>
          </w:p>
        </w:tc>
        <w:tc>
          <w:tcPr>
            <w:tcW w:w="831" w:type="pct"/>
            <w:tcBorders>
              <w:top w:val="nil"/>
              <w:bottom w:val="nil"/>
            </w:tcBorders>
            <w:shd w:val="clear" w:color="auto" w:fill="FFFFFF"/>
            <w:vAlign w:val="center"/>
          </w:tcPr>
          <w:p w14:paraId="19E3957F" w14:textId="40900DA0" w:rsidR="0038538B" w:rsidRPr="00E20BA3" w:rsidRDefault="0038538B" w:rsidP="009B41CF">
            <w:pPr>
              <w:pStyle w:val="CETBodytext"/>
              <w:ind w:right="-1"/>
              <w:jc w:val="left"/>
              <w:rPr>
                <w:rFonts w:cs="Arial"/>
                <w:szCs w:val="18"/>
              </w:rPr>
            </w:pPr>
            <w:r w:rsidRPr="00E20BA3">
              <w:rPr>
                <w:rFonts w:cs="Arial"/>
                <w:szCs w:val="18"/>
              </w:rPr>
              <w:t>1.2</w:t>
            </w:r>
          </w:p>
        </w:tc>
      </w:tr>
      <w:tr w:rsidR="0038538B" w:rsidRPr="00E20BA3" w14:paraId="46776B03" w14:textId="77777777" w:rsidTr="009B41CF">
        <w:tc>
          <w:tcPr>
            <w:tcW w:w="617" w:type="pct"/>
            <w:vMerge/>
            <w:tcBorders>
              <w:bottom w:val="nil"/>
            </w:tcBorders>
            <w:shd w:val="clear" w:color="auto" w:fill="FFFFFF"/>
            <w:vAlign w:val="center"/>
          </w:tcPr>
          <w:p w14:paraId="5B1B0B52" w14:textId="77777777" w:rsidR="0038538B" w:rsidRPr="00E20BA3" w:rsidRDefault="0038538B" w:rsidP="009B41CF">
            <w:pPr>
              <w:pStyle w:val="CETBodytext"/>
              <w:ind w:right="-1"/>
              <w:jc w:val="left"/>
              <w:rPr>
                <w:rFonts w:cs="Arial"/>
                <w:szCs w:val="18"/>
              </w:rPr>
            </w:pPr>
          </w:p>
        </w:tc>
        <w:tc>
          <w:tcPr>
            <w:tcW w:w="1075" w:type="pct"/>
            <w:tcBorders>
              <w:top w:val="nil"/>
              <w:bottom w:val="nil"/>
            </w:tcBorders>
            <w:shd w:val="clear" w:color="auto" w:fill="FFFFFF"/>
            <w:vAlign w:val="center"/>
          </w:tcPr>
          <w:p w14:paraId="378E35E3" w14:textId="71678A1D" w:rsidR="0038538B" w:rsidRPr="00E20BA3" w:rsidRDefault="0038538B" w:rsidP="009B41CF">
            <w:pPr>
              <w:pStyle w:val="CETBodytext"/>
              <w:ind w:right="-1"/>
              <w:jc w:val="left"/>
              <w:rPr>
                <w:rFonts w:cs="Arial"/>
                <w:szCs w:val="18"/>
              </w:rPr>
            </w:pPr>
            <w:r w:rsidRPr="00E20BA3">
              <w:rPr>
                <w:rFonts w:cs="Arial"/>
                <w:szCs w:val="18"/>
              </w:rPr>
              <w:t>Condenser</w:t>
            </w:r>
          </w:p>
        </w:tc>
        <w:tc>
          <w:tcPr>
            <w:tcW w:w="869" w:type="pct"/>
            <w:tcBorders>
              <w:top w:val="nil"/>
              <w:bottom w:val="nil"/>
            </w:tcBorders>
            <w:shd w:val="clear" w:color="auto" w:fill="FFFFFF"/>
            <w:vAlign w:val="center"/>
          </w:tcPr>
          <w:p w14:paraId="65B60AEC" w14:textId="2C2A7651" w:rsidR="0038538B" w:rsidRPr="00E20BA3" w:rsidRDefault="0038538B" w:rsidP="009B41CF">
            <w:pPr>
              <w:pStyle w:val="CETBodytext"/>
              <w:ind w:right="-1"/>
              <w:jc w:val="left"/>
              <w:rPr>
                <w:rFonts w:cs="Arial"/>
                <w:szCs w:val="18"/>
              </w:rPr>
            </w:pPr>
            <w:r w:rsidRPr="00E20BA3">
              <w:rPr>
                <w:rFonts w:cs="Arial"/>
                <w:szCs w:val="18"/>
              </w:rPr>
              <w:t>4</w:t>
            </w:r>
          </w:p>
        </w:tc>
        <w:tc>
          <w:tcPr>
            <w:tcW w:w="667" w:type="pct"/>
            <w:tcBorders>
              <w:top w:val="nil"/>
              <w:bottom w:val="nil"/>
            </w:tcBorders>
            <w:shd w:val="clear" w:color="auto" w:fill="FFFFFF"/>
            <w:vAlign w:val="center"/>
          </w:tcPr>
          <w:p w14:paraId="13CDE830" w14:textId="7409DDF6" w:rsidR="0038538B" w:rsidRPr="00E20BA3" w:rsidRDefault="0038538B" w:rsidP="009B41CF">
            <w:pPr>
              <w:pStyle w:val="CETBodytext"/>
              <w:ind w:right="-1"/>
              <w:jc w:val="left"/>
              <w:rPr>
                <w:rFonts w:cs="Arial"/>
                <w:szCs w:val="18"/>
              </w:rPr>
            </w:pPr>
            <w:r w:rsidRPr="00E20BA3">
              <w:rPr>
                <w:rFonts w:cs="Arial"/>
                <w:szCs w:val="18"/>
              </w:rPr>
              <w:t>CO</w:t>
            </w:r>
            <w:r w:rsidRPr="00E20BA3">
              <w:rPr>
                <w:rFonts w:cs="Arial"/>
                <w:szCs w:val="18"/>
                <w:vertAlign w:val="subscript"/>
              </w:rPr>
              <w:t>2</w:t>
            </w:r>
          </w:p>
        </w:tc>
        <w:tc>
          <w:tcPr>
            <w:tcW w:w="942" w:type="pct"/>
            <w:tcBorders>
              <w:top w:val="nil"/>
              <w:bottom w:val="nil"/>
            </w:tcBorders>
            <w:shd w:val="clear" w:color="auto" w:fill="FFFFFF"/>
            <w:vAlign w:val="center"/>
          </w:tcPr>
          <w:p w14:paraId="5D5134DB" w14:textId="39950CB8" w:rsidR="0038538B" w:rsidRPr="00E20BA3" w:rsidRDefault="0038538B" w:rsidP="009B41CF">
            <w:pPr>
              <w:pStyle w:val="CETBodytext"/>
              <w:ind w:right="-1"/>
              <w:jc w:val="left"/>
              <w:rPr>
                <w:rFonts w:cs="Arial"/>
                <w:szCs w:val="18"/>
              </w:rPr>
            </w:pPr>
            <w:r w:rsidRPr="00E20BA3">
              <w:rPr>
                <w:rFonts w:cs="Arial"/>
                <w:szCs w:val="18"/>
              </w:rPr>
              <w:t>50</w:t>
            </w:r>
            <w:r w:rsidRPr="00E20BA3">
              <w:rPr>
                <w:rFonts w:cs="Arial"/>
                <w:szCs w:val="18"/>
                <w:lang w:val="en-GB"/>
              </w:rPr>
              <w:t xml:space="preserve"> – </w:t>
            </w:r>
            <w:r w:rsidRPr="00E20BA3">
              <w:rPr>
                <w:rFonts w:cs="Arial"/>
                <w:szCs w:val="18"/>
              </w:rPr>
              <w:t>105</w:t>
            </w:r>
          </w:p>
        </w:tc>
        <w:tc>
          <w:tcPr>
            <w:tcW w:w="831" w:type="pct"/>
            <w:tcBorders>
              <w:top w:val="nil"/>
              <w:bottom w:val="nil"/>
            </w:tcBorders>
            <w:shd w:val="clear" w:color="auto" w:fill="FFFFFF"/>
            <w:vAlign w:val="center"/>
          </w:tcPr>
          <w:p w14:paraId="0F6590F9" w14:textId="409A7AF9" w:rsidR="00CF444F" w:rsidRPr="00E20BA3" w:rsidRDefault="0038538B" w:rsidP="009B41CF">
            <w:pPr>
              <w:pStyle w:val="CETBodytext"/>
              <w:ind w:right="-1"/>
              <w:jc w:val="left"/>
              <w:rPr>
                <w:rFonts w:cs="Arial"/>
                <w:szCs w:val="18"/>
              </w:rPr>
            </w:pPr>
            <w:r w:rsidRPr="00E20BA3">
              <w:rPr>
                <w:rFonts w:cs="Arial"/>
                <w:szCs w:val="18"/>
              </w:rPr>
              <w:t>1.8</w:t>
            </w:r>
          </w:p>
        </w:tc>
      </w:tr>
      <w:tr w:rsidR="0038538B" w:rsidRPr="00E20BA3" w14:paraId="4ED0CCF0" w14:textId="162D42BE" w:rsidTr="009B41CF">
        <w:tc>
          <w:tcPr>
            <w:tcW w:w="617" w:type="pct"/>
            <w:vMerge w:val="restart"/>
            <w:tcBorders>
              <w:top w:val="single" w:sz="4" w:space="0" w:color="auto"/>
            </w:tcBorders>
            <w:shd w:val="clear" w:color="auto" w:fill="FFFFFF"/>
            <w:vAlign w:val="center"/>
          </w:tcPr>
          <w:p w14:paraId="63B5BF1A" w14:textId="36549105" w:rsidR="0038538B" w:rsidRPr="00E20BA3" w:rsidRDefault="0038538B" w:rsidP="009B41CF">
            <w:pPr>
              <w:pStyle w:val="CETBodytext"/>
              <w:ind w:right="-1"/>
              <w:jc w:val="left"/>
              <w:rPr>
                <w:rFonts w:cs="Arial"/>
                <w:szCs w:val="18"/>
              </w:rPr>
            </w:pPr>
            <w:r>
              <w:rPr>
                <w:rFonts w:cs="Arial"/>
                <w:szCs w:val="18"/>
              </w:rPr>
              <w:t>Conditioning</w:t>
            </w:r>
          </w:p>
        </w:tc>
        <w:tc>
          <w:tcPr>
            <w:tcW w:w="1075" w:type="pct"/>
            <w:tcBorders>
              <w:top w:val="single" w:sz="4" w:space="0" w:color="auto"/>
              <w:bottom w:val="nil"/>
            </w:tcBorders>
            <w:shd w:val="clear" w:color="auto" w:fill="FFFFFF"/>
            <w:vAlign w:val="center"/>
          </w:tcPr>
          <w:p w14:paraId="34CC4966" w14:textId="4CA4A75F" w:rsidR="0038538B" w:rsidRPr="00E20BA3" w:rsidRDefault="0038538B" w:rsidP="009B41CF">
            <w:pPr>
              <w:pStyle w:val="CETBodytext"/>
              <w:ind w:right="-1"/>
              <w:jc w:val="left"/>
              <w:rPr>
                <w:rFonts w:cs="Arial"/>
                <w:i/>
                <w:szCs w:val="18"/>
              </w:rPr>
            </w:pPr>
            <w:r w:rsidRPr="00E20BA3">
              <w:rPr>
                <w:rFonts w:cs="Arial"/>
                <w:szCs w:val="18"/>
              </w:rPr>
              <w:t>Compressor</w:t>
            </w:r>
          </w:p>
        </w:tc>
        <w:tc>
          <w:tcPr>
            <w:tcW w:w="869" w:type="pct"/>
            <w:tcBorders>
              <w:top w:val="single" w:sz="4" w:space="0" w:color="auto"/>
              <w:bottom w:val="nil"/>
            </w:tcBorders>
            <w:shd w:val="clear" w:color="auto" w:fill="FFFFFF"/>
            <w:vAlign w:val="center"/>
          </w:tcPr>
          <w:p w14:paraId="1C28AA98" w14:textId="6DDFE7C0" w:rsidR="0038538B" w:rsidRPr="00E20BA3" w:rsidRDefault="0038538B" w:rsidP="009B41CF">
            <w:pPr>
              <w:pStyle w:val="CETBodytext"/>
              <w:ind w:right="-1"/>
              <w:jc w:val="left"/>
              <w:rPr>
                <w:rFonts w:cs="Arial"/>
                <w:szCs w:val="18"/>
              </w:rPr>
            </w:pPr>
            <w:r>
              <w:rPr>
                <w:rFonts w:cs="Arial"/>
                <w:szCs w:val="18"/>
              </w:rPr>
              <w:t>6</w:t>
            </w:r>
          </w:p>
        </w:tc>
        <w:tc>
          <w:tcPr>
            <w:tcW w:w="667" w:type="pct"/>
            <w:tcBorders>
              <w:top w:val="single" w:sz="4" w:space="0" w:color="auto"/>
              <w:bottom w:val="nil"/>
            </w:tcBorders>
            <w:shd w:val="clear" w:color="auto" w:fill="FFFFFF"/>
            <w:vAlign w:val="center"/>
          </w:tcPr>
          <w:p w14:paraId="3A9DB25F" w14:textId="10AB745F" w:rsidR="0038538B" w:rsidRPr="00E20BA3" w:rsidRDefault="0038538B" w:rsidP="009B41CF">
            <w:pPr>
              <w:pStyle w:val="CETBodytext"/>
              <w:ind w:right="-1"/>
              <w:jc w:val="left"/>
              <w:rPr>
                <w:rFonts w:cs="Arial"/>
                <w:szCs w:val="18"/>
              </w:rPr>
            </w:pPr>
            <w:r w:rsidRPr="00E20BA3">
              <w:rPr>
                <w:rFonts w:cs="Arial"/>
                <w:szCs w:val="18"/>
              </w:rPr>
              <w:t>CO</w:t>
            </w:r>
            <w:r w:rsidRPr="00E20BA3">
              <w:rPr>
                <w:rFonts w:cs="Arial"/>
                <w:szCs w:val="18"/>
                <w:vertAlign w:val="subscript"/>
              </w:rPr>
              <w:t>2</w:t>
            </w:r>
          </w:p>
        </w:tc>
        <w:tc>
          <w:tcPr>
            <w:tcW w:w="942" w:type="pct"/>
            <w:tcBorders>
              <w:top w:val="single" w:sz="4" w:space="0" w:color="auto"/>
              <w:bottom w:val="nil"/>
            </w:tcBorders>
            <w:shd w:val="clear" w:color="auto" w:fill="FFFFFF"/>
            <w:vAlign w:val="center"/>
          </w:tcPr>
          <w:p w14:paraId="7388C1ED" w14:textId="2094C3A5" w:rsidR="0038538B" w:rsidRPr="00E20BA3" w:rsidRDefault="0038538B" w:rsidP="009B41CF">
            <w:pPr>
              <w:pStyle w:val="CETBodytext"/>
              <w:ind w:right="-1"/>
              <w:jc w:val="left"/>
              <w:rPr>
                <w:rFonts w:cs="Arial"/>
                <w:szCs w:val="18"/>
              </w:rPr>
            </w:pPr>
            <w:r>
              <w:rPr>
                <w:rFonts w:cs="Arial"/>
                <w:szCs w:val="18"/>
              </w:rPr>
              <w:t>4</w:t>
            </w:r>
            <w:r w:rsidRPr="00E20BA3">
              <w:rPr>
                <w:rFonts w:cs="Arial"/>
                <w:szCs w:val="18"/>
              </w:rPr>
              <w:t>0</w:t>
            </w:r>
            <w:r w:rsidRPr="00E20BA3">
              <w:rPr>
                <w:rFonts w:cs="Arial"/>
                <w:szCs w:val="18"/>
                <w:lang w:val="en-GB"/>
              </w:rPr>
              <w:t xml:space="preserve"> – </w:t>
            </w:r>
            <w:r w:rsidRPr="00E20BA3">
              <w:rPr>
                <w:rFonts w:cs="Arial"/>
                <w:szCs w:val="18"/>
              </w:rPr>
              <w:t>112</w:t>
            </w:r>
          </w:p>
        </w:tc>
        <w:tc>
          <w:tcPr>
            <w:tcW w:w="831" w:type="pct"/>
            <w:tcBorders>
              <w:top w:val="single" w:sz="4" w:space="0" w:color="auto"/>
              <w:bottom w:val="nil"/>
            </w:tcBorders>
            <w:shd w:val="clear" w:color="auto" w:fill="FFFFFF"/>
            <w:vAlign w:val="center"/>
          </w:tcPr>
          <w:p w14:paraId="61663482" w14:textId="3077807B" w:rsidR="0038538B" w:rsidRPr="00E20BA3" w:rsidRDefault="0038538B" w:rsidP="009B41CF">
            <w:pPr>
              <w:pStyle w:val="CETBodytext"/>
              <w:ind w:right="-1"/>
              <w:jc w:val="left"/>
              <w:rPr>
                <w:rFonts w:cs="Arial"/>
                <w:szCs w:val="18"/>
              </w:rPr>
            </w:pPr>
            <w:r w:rsidRPr="00E20BA3">
              <w:rPr>
                <w:rFonts w:cs="Arial"/>
                <w:szCs w:val="18"/>
              </w:rPr>
              <w:t>1.8</w:t>
            </w:r>
            <w:r w:rsidRPr="00E20BA3">
              <w:rPr>
                <w:rFonts w:cs="Arial"/>
                <w:szCs w:val="18"/>
                <w:lang w:val="en-GB"/>
              </w:rPr>
              <w:t xml:space="preserve"> – </w:t>
            </w:r>
            <w:r>
              <w:rPr>
                <w:rFonts w:cs="Arial"/>
                <w:szCs w:val="18"/>
              </w:rPr>
              <w:t>120</w:t>
            </w:r>
          </w:p>
        </w:tc>
      </w:tr>
      <w:tr w:rsidR="0038538B" w:rsidRPr="00E20BA3" w14:paraId="28D62C34" w14:textId="2F7E9205" w:rsidTr="009B41CF">
        <w:tc>
          <w:tcPr>
            <w:tcW w:w="617" w:type="pct"/>
            <w:vMerge/>
            <w:shd w:val="clear" w:color="auto" w:fill="FFFFFF"/>
            <w:vAlign w:val="center"/>
          </w:tcPr>
          <w:p w14:paraId="29E9221B" w14:textId="4FE175A9" w:rsidR="0038538B" w:rsidRPr="00E20BA3" w:rsidRDefault="0038538B" w:rsidP="009B41CF">
            <w:pPr>
              <w:pStyle w:val="CETBodytext"/>
              <w:ind w:right="-1"/>
              <w:jc w:val="left"/>
              <w:rPr>
                <w:rFonts w:cs="Arial"/>
                <w:szCs w:val="18"/>
              </w:rPr>
            </w:pPr>
          </w:p>
        </w:tc>
        <w:tc>
          <w:tcPr>
            <w:tcW w:w="1075" w:type="pct"/>
            <w:tcBorders>
              <w:top w:val="nil"/>
              <w:bottom w:val="nil"/>
            </w:tcBorders>
            <w:shd w:val="clear" w:color="auto" w:fill="FFFFFF"/>
            <w:vAlign w:val="center"/>
          </w:tcPr>
          <w:p w14:paraId="293BB586" w14:textId="7A04EC46" w:rsidR="0038538B" w:rsidRPr="00E20BA3" w:rsidRDefault="0038538B" w:rsidP="009B41CF">
            <w:pPr>
              <w:pStyle w:val="CETBodytext"/>
              <w:ind w:right="-1"/>
              <w:jc w:val="left"/>
              <w:rPr>
                <w:rFonts w:cs="Arial"/>
                <w:szCs w:val="18"/>
              </w:rPr>
            </w:pPr>
            <w:r w:rsidRPr="00E20BA3">
              <w:rPr>
                <w:rFonts w:cs="Arial"/>
                <w:szCs w:val="18"/>
              </w:rPr>
              <w:t>Cooler</w:t>
            </w:r>
          </w:p>
        </w:tc>
        <w:tc>
          <w:tcPr>
            <w:tcW w:w="869" w:type="pct"/>
            <w:tcBorders>
              <w:top w:val="nil"/>
              <w:bottom w:val="nil"/>
            </w:tcBorders>
            <w:shd w:val="clear" w:color="auto" w:fill="FFFFFF"/>
            <w:vAlign w:val="center"/>
          </w:tcPr>
          <w:p w14:paraId="72AF9178" w14:textId="17D0D3F1" w:rsidR="0038538B" w:rsidRPr="00E20BA3" w:rsidRDefault="0038538B" w:rsidP="009B41CF">
            <w:pPr>
              <w:pStyle w:val="CETBodytext"/>
              <w:ind w:right="-1"/>
              <w:jc w:val="left"/>
              <w:rPr>
                <w:rFonts w:cs="Arial"/>
                <w:szCs w:val="18"/>
              </w:rPr>
            </w:pPr>
            <w:r>
              <w:rPr>
                <w:rFonts w:cs="Arial"/>
                <w:szCs w:val="18"/>
              </w:rPr>
              <w:t>6</w:t>
            </w:r>
          </w:p>
        </w:tc>
        <w:tc>
          <w:tcPr>
            <w:tcW w:w="667" w:type="pct"/>
            <w:tcBorders>
              <w:top w:val="nil"/>
              <w:bottom w:val="nil"/>
            </w:tcBorders>
            <w:shd w:val="clear" w:color="auto" w:fill="FFFFFF"/>
            <w:vAlign w:val="center"/>
          </w:tcPr>
          <w:p w14:paraId="10D3CFC3" w14:textId="1C9C0800" w:rsidR="0038538B" w:rsidRPr="00E20BA3" w:rsidRDefault="0038538B" w:rsidP="009B41CF">
            <w:pPr>
              <w:pStyle w:val="CETBodytext"/>
              <w:ind w:right="-1"/>
              <w:jc w:val="left"/>
              <w:rPr>
                <w:rFonts w:cs="Arial"/>
                <w:szCs w:val="18"/>
              </w:rPr>
            </w:pPr>
            <w:r w:rsidRPr="00E20BA3">
              <w:rPr>
                <w:rFonts w:cs="Arial"/>
                <w:szCs w:val="18"/>
              </w:rPr>
              <w:t>CO</w:t>
            </w:r>
            <w:r w:rsidRPr="00E20BA3">
              <w:rPr>
                <w:rFonts w:cs="Arial"/>
                <w:szCs w:val="18"/>
                <w:vertAlign w:val="subscript"/>
              </w:rPr>
              <w:t>2</w:t>
            </w:r>
          </w:p>
        </w:tc>
        <w:tc>
          <w:tcPr>
            <w:tcW w:w="942" w:type="pct"/>
            <w:tcBorders>
              <w:top w:val="nil"/>
              <w:bottom w:val="nil"/>
            </w:tcBorders>
            <w:shd w:val="clear" w:color="auto" w:fill="FFFFFF"/>
            <w:vAlign w:val="center"/>
          </w:tcPr>
          <w:p w14:paraId="74B0B967" w14:textId="5408877E" w:rsidR="0038538B" w:rsidRPr="00E20BA3" w:rsidRDefault="0038538B" w:rsidP="009B41CF">
            <w:pPr>
              <w:pStyle w:val="CETBodytext"/>
              <w:ind w:right="-1"/>
              <w:jc w:val="left"/>
              <w:rPr>
                <w:rFonts w:cs="Arial"/>
                <w:szCs w:val="18"/>
                <w:lang w:val="en-GB"/>
              </w:rPr>
            </w:pPr>
            <w:r w:rsidRPr="00E20BA3">
              <w:rPr>
                <w:rFonts w:cs="Arial"/>
                <w:szCs w:val="18"/>
                <w:lang w:val="en-GB"/>
              </w:rPr>
              <w:t>40 – 112</w:t>
            </w:r>
          </w:p>
        </w:tc>
        <w:tc>
          <w:tcPr>
            <w:tcW w:w="831" w:type="pct"/>
            <w:tcBorders>
              <w:top w:val="nil"/>
              <w:bottom w:val="nil"/>
            </w:tcBorders>
            <w:shd w:val="clear" w:color="auto" w:fill="FFFFFF"/>
            <w:vAlign w:val="center"/>
          </w:tcPr>
          <w:p w14:paraId="25B48F34" w14:textId="60BE041D" w:rsidR="0038538B" w:rsidRPr="00E20BA3" w:rsidRDefault="0038538B" w:rsidP="009B41CF">
            <w:pPr>
              <w:pStyle w:val="CETBodytext"/>
              <w:ind w:right="-1"/>
              <w:jc w:val="left"/>
              <w:rPr>
                <w:rFonts w:cs="Arial"/>
                <w:szCs w:val="18"/>
              </w:rPr>
            </w:pPr>
            <w:r w:rsidRPr="00E20BA3">
              <w:rPr>
                <w:rFonts w:cs="Arial"/>
                <w:szCs w:val="18"/>
                <w:lang w:val="en-GB"/>
              </w:rPr>
              <w:t xml:space="preserve">3.6 – </w:t>
            </w:r>
            <w:r>
              <w:rPr>
                <w:rFonts w:cs="Arial"/>
                <w:szCs w:val="18"/>
              </w:rPr>
              <w:t>120</w:t>
            </w:r>
          </w:p>
        </w:tc>
      </w:tr>
      <w:tr w:rsidR="0038538B" w:rsidRPr="00E20BA3" w14:paraId="102F42AB" w14:textId="26759189" w:rsidTr="009B41CF">
        <w:tc>
          <w:tcPr>
            <w:tcW w:w="617" w:type="pct"/>
            <w:vMerge/>
            <w:tcBorders>
              <w:bottom w:val="nil"/>
            </w:tcBorders>
            <w:shd w:val="clear" w:color="auto" w:fill="FFFFFF"/>
            <w:vAlign w:val="center"/>
          </w:tcPr>
          <w:p w14:paraId="4530B04B" w14:textId="77777777" w:rsidR="0038538B" w:rsidRPr="00E20BA3" w:rsidRDefault="0038538B" w:rsidP="009B41CF">
            <w:pPr>
              <w:pStyle w:val="CETBodytext"/>
              <w:ind w:right="-1"/>
              <w:jc w:val="left"/>
              <w:rPr>
                <w:rFonts w:cs="Arial"/>
                <w:szCs w:val="18"/>
              </w:rPr>
            </w:pPr>
          </w:p>
        </w:tc>
        <w:tc>
          <w:tcPr>
            <w:tcW w:w="1075" w:type="pct"/>
            <w:tcBorders>
              <w:top w:val="nil"/>
              <w:bottom w:val="nil"/>
            </w:tcBorders>
            <w:shd w:val="clear" w:color="auto" w:fill="FFFFFF"/>
            <w:vAlign w:val="center"/>
          </w:tcPr>
          <w:p w14:paraId="31C7D31E" w14:textId="57F3F5FC" w:rsidR="0038538B" w:rsidRPr="00E20BA3" w:rsidRDefault="0038538B" w:rsidP="009B41CF">
            <w:pPr>
              <w:pStyle w:val="CETBodytext"/>
              <w:ind w:right="-1"/>
              <w:jc w:val="left"/>
              <w:rPr>
                <w:rFonts w:cs="Arial"/>
                <w:szCs w:val="18"/>
              </w:rPr>
            </w:pPr>
            <w:r w:rsidRPr="00E20BA3">
              <w:rPr>
                <w:rFonts w:cs="Arial"/>
                <w:szCs w:val="18"/>
              </w:rPr>
              <w:t>Separator</w:t>
            </w:r>
          </w:p>
        </w:tc>
        <w:tc>
          <w:tcPr>
            <w:tcW w:w="869" w:type="pct"/>
            <w:tcBorders>
              <w:top w:val="nil"/>
              <w:bottom w:val="nil"/>
            </w:tcBorders>
            <w:shd w:val="clear" w:color="auto" w:fill="FFFFFF"/>
            <w:vAlign w:val="center"/>
          </w:tcPr>
          <w:p w14:paraId="59FAEFA0" w14:textId="092FF7D4" w:rsidR="0038538B" w:rsidRPr="00E20BA3" w:rsidRDefault="0038538B" w:rsidP="009B41CF">
            <w:pPr>
              <w:pStyle w:val="CETBodytext"/>
              <w:ind w:right="-1"/>
              <w:jc w:val="left"/>
              <w:rPr>
                <w:rFonts w:cs="Arial"/>
                <w:szCs w:val="18"/>
                <w:lang w:val="en-GB"/>
              </w:rPr>
            </w:pPr>
            <w:r>
              <w:rPr>
                <w:rFonts w:cs="Arial"/>
                <w:szCs w:val="18"/>
              </w:rPr>
              <w:t>4</w:t>
            </w:r>
          </w:p>
        </w:tc>
        <w:tc>
          <w:tcPr>
            <w:tcW w:w="667" w:type="pct"/>
            <w:tcBorders>
              <w:top w:val="nil"/>
              <w:bottom w:val="nil"/>
            </w:tcBorders>
            <w:shd w:val="clear" w:color="auto" w:fill="FFFFFF"/>
            <w:vAlign w:val="center"/>
          </w:tcPr>
          <w:p w14:paraId="0F8F86B3" w14:textId="28EBB747" w:rsidR="0038538B" w:rsidRPr="00E20BA3" w:rsidRDefault="0038538B" w:rsidP="009B41CF">
            <w:pPr>
              <w:pStyle w:val="CETBodytext"/>
              <w:ind w:right="-1"/>
              <w:jc w:val="left"/>
              <w:rPr>
                <w:rFonts w:cs="Arial"/>
                <w:szCs w:val="18"/>
              </w:rPr>
            </w:pPr>
            <w:r w:rsidRPr="00E20BA3">
              <w:rPr>
                <w:rFonts w:cs="Arial"/>
                <w:szCs w:val="18"/>
              </w:rPr>
              <w:t>CO</w:t>
            </w:r>
            <w:r w:rsidRPr="00E20BA3">
              <w:rPr>
                <w:rFonts w:cs="Arial"/>
                <w:szCs w:val="18"/>
                <w:vertAlign w:val="subscript"/>
              </w:rPr>
              <w:t>2</w:t>
            </w:r>
          </w:p>
        </w:tc>
        <w:tc>
          <w:tcPr>
            <w:tcW w:w="942" w:type="pct"/>
            <w:tcBorders>
              <w:top w:val="nil"/>
              <w:bottom w:val="nil"/>
            </w:tcBorders>
            <w:shd w:val="clear" w:color="auto" w:fill="FFFFFF"/>
            <w:vAlign w:val="center"/>
          </w:tcPr>
          <w:p w14:paraId="071272CD" w14:textId="6642C63C" w:rsidR="0038538B" w:rsidRPr="00E20BA3" w:rsidRDefault="0038538B" w:rsidP="009B41CF">
            <w:pPr>
              <w:pStyle w:val="CETBodytext"/>
              <w:ind w:right="-1"/>
              <w:jc w:val="left"/>
              <w:rPr>
                <w:rFonts w:cs="Arial"/>
                <w:szCs w:val="18"/>
                <w:lang w:val="en-GB"/>
              </w:rPr>
            </w:pPr>
            <w:r w:rsidRPr="00E20BA3">
              <w:rPr>
                <w:rFonts w:cs="Arial"/>
                <w:szCs w:val="18"/>
              </w:rPr>
              <w:t>40</w:t>
            </w:r>
          </w:p>
        </w:tc>
        <w:tc>
          <w:tcPr>
            <w:tcW w:w="831" w:type="pct"/>
            <w:tcBorders>
              <w:top w:val="nil"/>
              <w:bottom w:val="nil"/>
            </w:tcBorders>
            <w:shd w:val="clear" w:color="auto" w:fill="FFFFFF"/>
            <w:vAlign w:val="center"/>
          </w:tcPr>
          <w:p w14:paraId="075CFE0E" w14:textId="50BDCC2F" w:rsidR="0038538B" w:rsidRPr="00E20BA3" w:rsidRDefault="0038538B" w:rsidP="009B41CF">
            <w:pPr>
              <w:pStyle w:val="CETBodytext"/>
              <w:ind w:right="-1"/>
              <w:jc w:val="left"/>
              <w:rPr>
                <w:rFonts w:cs="Arial"/>
                <w:szCs w:val="18"/>
              </w:rPr>
            </w:pPr>
            <w:r w:rsidRPr="00E20BA3">
              <w:rPr>
                <w:rFonts w:cs="Arial"/>
                <w:szCs w:val="18"/>
                <w:lang w:val="en-GB"/>
              </w:rPr>
              <w:t xml:space="preserve">3.6 – </w:t>
            </w:r>
            <w:r>
              <w:rPr>
                <w:rFonts w:cs="Arial"/>
                <w:szCs w:val="18"/>
              </w:rPr>
              <w:t>30</w:t>
            </w:r>
          </w:p>
        </w:tc>
      </w:tr>
      <w:tr w:rsidR="0038538B" w:rsidRPr="00E20BA3" w14:paraId="728EB503" w14:textId="63FE181E" w:rsidTr="009B41CF">
        <w:tc>
          <w:tcPr>
            <w:tcW w:w="617" w:type="pct"/>
            <w:tcBorders>
              <w:top w:val="single" w:sz="4" w:space="0" w:color="auto"/>
            </w:tcBorders>
            <w:shd w:val="clear" w:color="auto" w:fill="FFFFFF"/>
            <w:vAlign w:val="center"/>
          </w:tcPr>
          <w:p w14:paraId="4A001E45" w14:textId="17C39EF5" w:rsidR="0038538B" w:rsidRPr="0060133F" w:rsidRDefault="0038538B" w:rsidP="009B41CF">
            <w:pPr>
              <w:pStyle w:val="CETBodytext"/>
              <w:ind w:right="-1"/>
              <w:jc w:val="left"/>
              <w:rPr>
                <w:rFonts w:cs="Arial"/>
                <w:szCs w:val="18"/>
              </w:rPr>
            </w:pPr>
            <w:r>
              <w:rPr>
                <w:rFonts w:cs="Arial"/>
                <w:szCs w:val="18"/>
              </w:rPr>
              <w:t>Transport</w:t>
            </w:r>
          </w:p>
        </w:tc>
        <w:tc>
          <w:tcPr>
            <w:tcW w:w="1075" w:type="pct"/>
            <w:tcBorders>
              <w:top w:val="single" w:sz="4" w:space="0" w:color="auto"/>
            </w:tcBorders>
            <w:shd w:val="clear" w:color="auto" w:fill="FFFFFF"/>
            <w:vAlign w:val="center"/>
          </w:tcPr>
          <w:p w14:paraId="1F32CF1E" w14:textId="047CFCEF" w:rsidR="0038538B" w:rsidRPr="0060133F" w:rsidRDefault="0038538B" w:rsidP="009B41CF">
            <w:pPr>
              <w:pStyle w:val="CETBodytext"/>
              <w:ind w:right="-1"/>
              <w:jc w:val="left"/>
              <w:rPr>
                <w:rFonts w:cs="Arial"/>
                <w:szCs w:val="18"/>
              </w:rPr>
            </w:pPr>
            <w:r w:rsidRPr="0060133F">
              <w:rPr>
                <w:rFonts w:cs="Arial"/>
                <w:szCs w:val="18"/>
              </w:rPr>
              <w:t>Pipeline</w:t>
            </w:r>
          </w:p>
        </w:tc>
        <w:tc>
          <w:tcPr>
            <w:tcW w:w="869" w:type="pct"/>
            <w:tcBorders>
              <w:top w:val="single" w:sz="4" w:space="0" w:color="auto"/>
            </w:tcBorders>
            <w:shd w:val="clear" w:color="auto" w:fill="FFFFFF"/>
            <w:vAlign w:val="center"/>
          </w:tcPr>
          <w:p w14:paraId="7B406BC7" w14:textId="201B495C" w:rsidR="0038538B" w:rsidRPr="00E20BA3" w:rsidRDefault="0038538B" w:rsidP="009B41CF">
            <w:pPr>
              <w:pStyle w:val="CETBodytext"/>
              <w:ind w:right="-1"/>
              <w:jc w:val="left"/>
              <w:rPr>
                <w:rFonts w:cs="Arial"/>
                <w:szCs w:val="18"/>
              </w:rPr>
            </w:pPr>
            <w:r w:rsidRPr="00E20BA3">
              <w:rPr>
                <w:rFonts w:cs="Arial"/>
                <w:szCs w:val="18"/>
              </w:rPr>
              <w:t>1</w:t>
            </w:r>
          </w:p>
        </w:tc>
        <w:tc>
          <w:tcPr>
            <w:tcW w:w="667" w:type="pct"/>
            <w:tcBorders>
              <w:top w:val="single" w:sz="4" w:space="0" w:color="auto"/>
            </w:tcBorders>
            <w:shd w:val="clear" w:color="auto" w:fill="FFFFFF"/>
            <w:vAlign w:val="center"/>
          </w:tcPr>
          <w:p w14:paraId="75C06FD2" w14:textId="2373A3F6" w:rsidR="0038538B" w:rsidRPr="00E20BA3" w:rsidRDefault="0038538B" w:rsidP="009B41CF">
            <w:pPr>
              <w:pStyle w:val="CETBodytext"/>
              <w:ind w:right="-1"/>
              <w:jc w:val="left"/>
              <w:rPr>
                <w:rFonts w:cs="Arial"/>
                <w:szCs w:val="18"/>
              </w:rPr>
            </w:pPr>
            <w:r w:rsidRPr="00E20BA3">
              <w:rPr>
                <w:rFonts w:cs="Arial"/>
                <w:szCs w:val="18"/>
              </w:rPr>
              <w:t>CO</w:t>
            </w:r>
            <w:r w:rsidRPr="00E20BA3">
              <w:rPr>
                <w:rFonts w:cs="Arial"/>
                <w:szCs w:val="18"/>
                <w:vertAlign w:val="subscript"/>
              </w:rPr>
              <w:t>2</w:t>
            </w:r>
          </w:p>
        </w:tc>
        <w:tc>
          <w:tcPr>
            <w:tcW w:w="942" w:type="pct"/>
            <w:tcBorders>
              <w:top w:val="single" w:sz="4" w:space="0" w:color="auto"/>
            </w:tcBorders>
            <w:shd w:val="clear" w:color="auto" w:fill="FFFFFF"/>
            <w:vAlign w:val="center"/>
          </w:tcPr>
          <w:p w14:paraId="7B6C437C" w14:textId="3BE81566" w:rsidR="0038538B" w:rsidRPr="00E20BA3" w:rsidRDefault="0038538B" w:rsidP="009B41CF">
            <w:pPr>
              <w:pStyle w:val="CETBodytext"/>
              <w:ind w:right="-1"/>
              <w:jc w:val="left"/>
              <w:rPr>
                <w:rFonts w:cs="Arial"/>
                <w:szCs w:val="18"/>
              </w:rPr>
            </w:pPr>
            <w:r w:rsidRPr="00E20BA3">
              <w:rPr>
                <w:rFonts w:cs="Arial"/>
                <w:szCs w:val="18"/>
              </w:rPr>
              <w:t>40</w:t>
            </w:r>
          </w:p>
        </w:tc>
        <w:tc>
          <w:tcPr>
            <w:tcW w:w="831" w:type="pct"/>
            <w:tcBorders>
              <w:top w:val="single" w:sz="4" w:space="0" w:color="auto"/>
            </w:tcBorders>
            <w:shd w:val="clear" w:color="auto" w:fill="FFFFFF"/>
            <w:vAlign w:val="center"/>
          </w:tcPr>
          <w:p w14:paraId="25F01FCD" w14:textId="084FE0B5" w:rsidR="0038538B" w:rsidRPr="00E20BA3" w:rsidRDefault="0038538B" w:rsidP="009B41CF">
            <w:pPr>
              <w:pStyle w:val="CETBodytext"/>
              <w:ind w:right="-1"/>
              <w:jc w:val="left"/>
              <w:rPr>
                <w:rFonts w:cs="Arial"/>
                <w:szCs w:val="18"/>
              </w:rPr>
            </w:pPr>
            <w:r w:rsidRPr="00E20BA3">
              <w:rPr>
                <w:rFonts w:cs="Arial"/>
                <w:szCs w:val="18"/>
              </w:rPr>
              <w:t>120</w:t>
            </w:r>
          </w:p>
        </w:tc>
      </w:tr>
    </w:tbl>
    <w:p w14:paraId="0BB4F425" w14:textId="77777777" w:rsidR="00E20BA3" w:rsidRDefault="00E20BA3" w:rsidP="005C3DBA">
      <w:pPr>
        <w:pStyle w:val="CETBodytext"/>
      </w:pPr>
    </w:p>
    <w:p w14:paraId="7F6793BA" w14:textId="11861F7A" w:rsidR="00A61211" w:rsidRDefault="00A61211" w:rsidP="003F2879">
      <w:pPr>
        <w:pStyle w:val="CETheadingx"/>
      </w:pPr>
      <w:bookmarkStart w:id="7" w:name="_Ref180672780"/>
      <w:r>
        <w:t>Results and discussion</w:t>
      </w:r>
      <w:bookmarkEnd w:id="7"/>
    </w:p>
    <w:p w14:paraId="73C018EF" w14:textId="3DC541AD" w:rsidR="00ED0366" w:rsidRDefault="00E20428" w:rsidP="000617AF">
      <w:pPr>
        <w:pStyle w:val="CETBodytext"/>
        <w:rPr>
          <w:rFonts w:cstheme="minorHAnsi"/>
        </w:rPr>
      </w:pPr>
      <w:r w:rsidRPr="00E20428">
        <w:rPr>
          <w:rFonts w:cstheme="minorHAnsi"/>
          <w:lang w:val="en-GB"/>
        </w:rPr>
        <w:t xml:space="preserve">The results from </w:t>
      </w:r>
      <w:r w:rsidR="00547470">
        <w:rPr>
          <w:rFonts w:cstheme="minorHAnsi"/>
          <w:lang w:val="en-GB"/>
        </w:rPr>
        <w:t>the application of</w:t>
      </w:r>
      <w:r w:rsidRPr="00E20428">
        <w:rPr>
          <w:rFonts w:cstheme="minorHAnsi"/>
          <w:lang w:val="en-GB"/>
        </w:rPr>
        <w:t xml:space="preserve"> the methodology described in Section</w:t>
      </w:r>
      <w:r>
        <w:t xml:space="preserve"> </w:t>
      </w:r>
      <w:r w:rsidR="00BE4278">
        <w:fldChar w:fldCharType="begin"/>
      </w:r>
      <w:r w:rsidR="00BE4278">
        <w:instrText xml:space="preserve"> REF _Ref182306820 \r \h </w:instrText>
      </w:r>
      <w:r w:rsidR="00BE4278">
        <w:fldChar w:fldCharType="separate"/>
      </w:r>
      <w:r w:rsidR="00916652">
        <w:t>3</w:t>
      </w:r>
      <w:r w:rsidR="00BE4278">
        <w:fldChar w:fldCharType="end"/>
      </w:r>
      <w:r w:rsidR="00BE4278">
        <w:t xml:space="preserve"> </w:t>
      </w:r>
      <w:r w:rsidR="00986013">
        <w:t>have been</w:t>
      </w:r>
      <w:r w:rsidR="00C37519">
        <w:t xml:space="preserve"> reported and discussed</w:t>
      </w:r>
      <w:r w:rsidR="00831A42">
        <w:t xml:space="preserve"> </w:t>
      </w:r>
      <w:r w:rsidR="00547470">
        <w:t>in the following</w:t>
      </w:r>
      <w:r w:rsidR="00C37519">
        <w:t xml:space="preserve">. </w:t>
      </w:r>
      <w:r w:rsidR="00831A42" w:rsidRPr="00E20428">
        <w:rPr>
          <w:rFonts w:cstheme="minorHAnsi"/>
          <w:lang w:val="en-GB"/>
        </w:rPr>
        <w:t xml:space="preserve">Information about hazardous equipment, substances involved, and operating conditions has already been provided in </w:t>
      </w:r>
      <w:r w:rsidR="00831A42" w:rsidRPr="0058577A">
        <w:rPr>
          <w:rFonts w:cstheme="minorHAnsi"/>
          <w:lang w:val="en-GB"/>
        </w:rPr>
        <w:t>Section</w:t>
      </w:r>
      <w:r w:rsidR="00831A42" w:rsidRPr="0058577A">
        <w:t xml:space="preserve"> </w:t>
      </w:r>
      <w:r w:rsidR="008166E3" w:rsidRPr="0058577A">
        <w:fldChar w:fldCharType="begin"/>
      </w:r>
      <w:r w:rsidR="008166E3" w:rsidRPr="0058577A">
        <w:instrText xml:space="preserve"> REF _Ref182218012 \r \h </w:instrText>
      </w:r>
      <w:r w:rsidR="0058577A">
        <w:instrText xml:space="preserve"> \* MERGEFORMAT </w:instrText>
      </w:r>
      <w:r w:rsidR="008166E3" w:rsidRPr="0058577A">
        <w:fldChar w:fldCharType="separate"/>
      </w:r>
      <w:r w:rsidR="00916652">
        <w:t>4.1</w:t>
      </w:r>
      <w:r w:rsidR="008166E3" w:rsidRPr="0058577A">
        <w:fldChar w:fldCharType="end"/>
      </w:r>
      <w:r w:rsidR="00E4761B" w:rsidRPr="0058577A">
        <w:t xml:space="preserve">. The only </w:t>
      </w:r>
      <w:r w:rsidR="00831A42" w:rsidRPr="0058577A">
        <w:rPr>
          <w:rFonts w:cstheme="minorHAnsi"/>
          <w:lang w:val="en-GB"/>
        </w:rPr>
        <w:t>remaining in</w:t>
      </w:r>
      <w:r w:rsidR="00547470">
        <w:rPr>
          <w:rFonts w:cstheme="minorHAnsi"/>
          <w:lang w:val="en-GB"/>
        </w:rPr>
        <w:t>put</w:t>
      </w:r>
      <w:r w:rsidR="00831A42" w:rsidRPr="0058577A">
        <w:rPr>
          <w:rFonts w:cstheme="minorHAnsi"/>
          <w:lang w:val="en-GB"/>
        </w:rPr>
        <w:t xml:space="preserve"> relates to the hazardous properties of the main substances</w:t>
      </w:r>
      <w:r w:rsidR="00831A42" w:rsidRPr="0058577A">
        <w:t>,</w:t>
      </w:r>
      <w:r w:rsidR="00E4761B" w:rsidRPr="0058577A">
        <w:t xml:space="preserve"> MEA and CO</w:t>
      </w:r>
      <w:r w:rsidR="00E4761B" w:rsidRPr="0058577A">
        <w:rPr>
          <w:vertAlign w:val="subscript"/>
        </w:rPr>
        <w:t>2</w:t>
      </w:r>
      <w:r w:rsidR="00E4761B" w:rsidRPr="0058577A">
        <w:t xml:space="preserve">. MEA </w:t>
      </w:r>
      <w:r w:rsidR="00831A42" w:rsidRPr="0058577A">
        <w:t>i</w:t>
      </w:r>
      <w:r w:rsidR="00E4761B" w:rsidRPr="0058577A">
        <w:t>s both a flammable and toxic, while CO</w:t>
      </w:r>
      <w:r w:rsidR="00E4761B" w:rsidRPr="0058577A">
        <w:rPr>
          <w:vertAlign w:val="subscript"/>
        </w:rPr>
        <w:t>2</w:t>
      </w:r>
      <w:r w:rsidR="00E4761B" w:rsidRPr="0058577A">
        <w:t xml:space="preserve"> is solely mildly toxic (Tamburini et al., 202</w:t>
      </w:r>
      <w:r w:rsidR="00770203" w:rsidRPr="0058577A">
        <w:t>3</w:t>
      </w:r>
      <w:r w:rsidR="00E4761B" w:rsidRPr="0058577A">
        <w:t>a).</w:t>
      </w:r>
      <w:r w:rsidR="002D18F8" w:rsidRPr="0058577A">
        <w:t xml:space="preserve"> </w:t>
      </w:r>
      <w:r w:rsidR="00831A42" w:rsidRPr="0058577A">
        <w:rPr>
          <w:rFonts w:cstheme="minorHAnsi"/>
          <w:lang w:val="en-GB"/>
        </w:rPr>
        <w:t xml:space="preserve">Toxicity threshold values are based on Immediately Dangerous to Life or Health (IDLH) values: 291 ppm for MEA (CDC, 2024) and 92,000 ppm for </w:t>
      </w:r>
      <w:r w:rsidR="002050DC" w:rsidRPr="0058577A">
        <w:t>CO</w:t>
      </w:r>
      <w:r w:rsidR="002050DC" w:rsidRPr="0058577A">
        <w:rPr>
          <w:vertAlign w:val="subscript"/>
        </w:rPr>
        <w:t>2</w:t>
      </w:r>
      <w:r w:rsidR="00831A42" w:rsidRPr="0058577A">
        <w:rPr>
          <w:rFonts w:cstheme="minorHAnsi"/>
          <w:lang w:val="en-GB"/>
        </w:rPr>
        <w:t xml:space="preserve"> (HSE, 2011). </w:t>
      </w:r>
      <w:r w:rsidR="00547470">
        <w:rPr>
          <w:rFonts w:cstheme="minorHAnsi"/>
          <w:lang w:val="en-GB"/>
        </w:rPr>
        <w:t>In the case of</w:t>
      </w:r>
      <w:r w:rsidR="00831A42" w:rsidRPr="0058577A">
        <w:rPr>
          <w:rFonts w:cstheme="minorHAnsi"/>
          <w:lang w:val="en-GB"/>
        </w:rPr>
        <w:t xml:space="preserve"> flammability, MEA's Lower Flammability Limit (LFL) of 55,000 ppm (NOAA, 2024) </w:t>
      </w:r>
      <w:r w:rsidR="002050DC">
        <w:rPr>
          <w:rFonts w:cstheme="minorHAnsi"/>
          <w:lang w:val="en-GB"/>
        </w:rPr>
        <w:t>has been</w:t>
      </w:r>
      <w:r w:rsidR="00831A42" w:rsidRPr="0058577A">
        <w:rPr>
          <w:rFonts w:cstheme="minorHAnsi"/>
          <w:lang w:val="en-GB"/>
        </w:rPr>
        <w:t xml:space="preserve"> used</w:t>
      </w:r>
      <w:r w:rsidR="00E4761B" w:rsidRPr="0058577A">
        <w:t xml:space="preserve">. </w:t>
      </w:r>
      <w:r w:rsidR="00642887">
        <w:rPr>
          <w:rFonts w:cstheme="minorHAnsi"/>
        </w:rPr>
        <w:t xml:space="preserve">With </w:t>
      </w:r>
      <w:r w:rsidR="00011CA6" w:rsidRPr="0058577A">
        <w:rPr>
          <w:rFonts w:cstheme="minorHAnsi"/>
          <w:lang w:val="en-GB"/>
        </w:rPr>
        <w:t>this data</w:t>
      </w:r>
      <w:r w:rsidR="00011CA6" w:rsidRPr="00E20428">
        <w:rPr>
          <w:rFonts w:cstheme="minorHAnsi"/>
          <w:lang w:val="en-GB"/>
        </w:rPr>
        <w:t xml:space="preserve">, the preliminary phase and part of the first step of the methodology </w:t>
      </w:r>
      <w:r w:rsidR="00642887">
        <w:rPr>
          <w:rFonts w:cstheme="minorHAnsi"/>
          <w:lang w:val="en-GB"/>
        </w:rPr>
        <w:t>have been</w:t>
      </w:r>
      <w:r w:rsidR="00011CA6" w:rsidRPr="00E20428">
        <w:rPr>
          <w:rFonts w:cstheme="minorHAnsi"/>
          <w:lang w:val="en-GB"/>
        </w:rPr>
        <w:t xml:space="preserve"> completed. However, the first step still require</w:t>
      </w:r>
      <w:r w:rsidR="00642887">
        <w:rPr>
          <w:rFonts w:cstheme="minorHAnsi"/>
          <w:lang w:val="en-GB"/>
        </w:rPr>
        <w:t>s</w:t>
      </w:r>
      <w:r w:rsidR="00011CA6" w:rsidRPr="00E20428">
        <w:rPr>
          <w:rFonts w:cstheme="minorHAnsi"/>
          <w:lang w:val="en-GB"/>
        </w:rPr>
        <w:t xml:space="preserve"> categorizing hazardous equipment items, which </w:t>
      </w:r>
      <w:r w:rsidR="00642887">
        <w:rPr>
          <w:rFonts w:cstheme="minorHAnsi"/>
          <w:lang w:val="en-GB"/>
        </w:rPr>
        <w:t>has been</w:t>
      </w:r>
      <w:r w:rsidR="00011CA6" w:rsidRPr="00E20428">
        <w:rPr>
          <w:rFonts w:cstheme="minorHAnsi"/>
          <w:lang w:val="en-GB"/>
        </w:rPr>
        <w:t xml:space="preserve"> done following the TNO Purple Book guidelines</w:t>
      </w:r>
      <w:r w:rsidR="00B6107B">
        <w:rPr>
          <w:rFonts w:cstheme="minorHAnsi"/>
          <w:lang w:val="en-GB"/>
        </w:rPr>
        <w:t xml:space="preserve"> </w:t>
      </w:r>
      <w:r w:rsidR="00B6107B">
        <w:rPr>
          <w:szCs w:val="18"/>
        </w:rPr>
        <w:t>(</w:t>
      </w:r>
      <w:proofErr w:type="spellStart"/>
      <w:r w:rsidR="00B6107B" w:rsidRPr="00CE3DA7">
        <w:t>Uijt</w:t>
      </w:r>
      <w:proofErr w:type="spellEnd"/>
      <w:r w:rsidR="00B6107B" w:rsidRPr="00CE3DA7">
        <w:t xml:space="preserve"> de Haag</w:t>
      </w:r>
      <w:r w:rsidR="00B6107B">
        <w:t xml:space="preserve"> and Ale, 1999)</w:t>
      </w:r>
      <w:r w:rsidR="00011CA6" w:rsidRPr="00E20428">
        <w:rPr>
          <w:rFonts w:cstheme="minorHAnsi"/>
          <w:lang w:val="en-GB"/>
        </w:rPr>
        <w:t xml:space="preserve">. For the capture and conditioning stages, four main equipment categories </w:t>
      </w:r>
      <w:r w:rsidR="00B6107B">
        <w:rPr>
          <w:rFonts w:cstheme="minorHAnsi"/>
          <w:lang w:val="en-GB"/>
        </w:rPr>
        <w:t>have been</w:t>
      </w:r>
      <w:r w:rsidR="00011CA6" w:rsidRPr="00E20428">
        <w:rPr>
          <w:rFonts w:cstheme="minorHAnsi"/>
          <w:lang w:val="en-GB"/>
        </w:rPr>
        <w:t xml:space="preserve"> identified: compressors (including blowers), pumps, heat exchangers (covering coolers, condensers, direct-contact coolers, and reboilers), and pressure vessels (columns and separators).</w:t>
      </w:r>
      <w:r w:rsidR="00011CA6">
        <w:rPr>
          <w:rFonts w:cstheme="minorHAnsi"/>
          <w:lang w:val="en-GB"/>
        </w:rPr>
        <w:t xml:space="preserve"> </w:t>
      </w:r>
      <w:r w:rsidR="006B1A81">
        <w:rPr>
          <w:rFonts w:cstheme="minorHAnsi"/>
        </w:rPr>
        <w:t xml:space="preserve">Based on these </w:t>
      </w:r>
      <w:r w:rsidR="005E7684">
        <w:rPr>
          <w:rFonts w:cstheme="minorHAnsi"/>
        </w:rPr>
        <w:t>findings</w:t>
      </w:r>
      <w:r w:rsidR="000316A4">
        <w:rPr>
          <w:rFonts w:cstheme="minorHAnsi"/>
        </w:rPr>
        <w:t xml:space="preserve"> </w:t>
      </w:r>
      <w:r w:rsidR="006B1A81">
        <w:rPr>
          <w:rFonts w:cstheme="minorHAnsi"/>
        </w:rPr>
        <w:t xml:space="preserve">and </w:t>
      </w:r>
      <w:r w:rsidR="00547470">
        <w:rPr>
          <w:rFonts w:cstheme="minorHAnsi"/>
        </w:rPr>
        <w:t xml:space="preserve">on </w:t>
      </w:r>
      <w:r w:rsidR="006B1A81">
        <w:rPr>
          <w:rFonts w:cstheme="minorHAnsi"/>
        </w:rPr>
        <w:t xml:space="preserve">the </w:t>
      </w:r>
      <w:r w:rsidR="000617AF">
        <w:rPr>
          <w:rFonts w:cstheme="minorHAnsi"/>
        </w:rPr>
        <w:t xml:space="preserve">characterization </w:t>
      </w:r>
      <w:r w:rsidR="006508D2">
        <w:rPr>
          <w:rFonts w:cstheme="minorHAnsi"/>
        </w:rPr>
        <w:t>of</w:t>
      </w:r>
      <w:r w:rsidR="009A1395">
        <w:rPr>
          <w:rFonts w:cstheme="minorHAnsi"/>
        </w:rPr>
        <w:t xml:space="preserve"> </w:t>
      </w:r>
      <w:r w:rsidR="006508D2">
        <w:rPr>
          <w:rFonts w:cstheme="minorHAnsi"/>
        </w:rPr>
        <w:t xml:space="preserve">critical events </w:t>
      </w:r>
      <w:r w:rsidR="000617AF">
        <w:rPr>
          <w:rFonts w:cstheme="minorHAnsi"/>
        </w:rPr>
        <w:t>(</w:t>
      </w:r>
      <w:r w:rsidR="000316A4">
        <w:rPr>
          <w:rFonts w:cstheme="minorHAnsi"/>
        </w:rPr>
        <w:t xml:space="preserve">defined </w:t>
      </w:r>
      <w:r w:rsidR="00A87517">
        <w:rPr>
          <w:rFonts w:cstheme="minorHAnsi"/>
        </w:rPr>
        <w:t xml:space="preserve">through release modes) </w:t>
      </w:r>
      <w:r w:rsidR="001B4FDB" w:rsidRPr="00E20428">
        <w:rPr>
          <w:rFonts w:cstheme="minorHAnsi"/>
          <w:lang w:val="en-GB"/>
        </w:rPr>
        <w:t>that could impact the case study equipment</w:t>
      </w:r>
      <w:r w:rsidR="006508D2">
        <w:rPr>
          <w:rFonts w:cstheme="minorHAnsi"/>
          <w:lang w:val="en-GB"/>
        </w:rPr>
        <w:t xml:space="preserve">, as </w:t>
      </w:r>
      <w:r w:rsidR="001B4FDB">
        <w:rPr>
          <w:rFonts w:cstheme="minorHAnsi"/>
        </w:rPr>
        <w:t>outlined</w:t>
      </w:r>
      <w:r w:rsidR="002F7309">
        <w:rPr>
          <w:rFonts w:cstheme="minorHAnsi"/>
        </w:rPr>
        <w:t xml:space="preserve"> in</w:t>
      </w:r>
      <w:r w:rsidR="00C7500D">
        <w:rPr>
          <w:rFonts w:cstheme="minorHAnsi"/>
        </w:rPr>
        <w:t xml:space="preserve"> Section </w:t>
      </w:r>
      <w:r w:rsidR="00C7500D">
        <w:rPr>
          <w:rFonts w:cstheme="minorHAnsi"/>
        </w:rPr>
        <w:fldChar w:fldCharType="begin"/>
      </w:r>
      <w:r w:rsidR="00C7500D">
        <w:rPr>
          <w:rFonts w:cstheme="minorHAnsi"/>
        </w:rPr>
        <w:instrText xml:space="preserve"> REF _Ref182218012 \r \h </w:instrText>
      </w:r>
      <w:r w:rsidR="00C7500D">
        <w:rPr>
          <w:rFonts w:cstheme="minorHAnsi"/>
        </w:rPr>
      </w:r>
      <w:r w:rsidR="00C7500D">
        <w:rPr>
          <w:rFonts w:cstheme="minorHAnsi"/>
        </w:rPr>
        <w:fldChar w:fldCharType="separate"/>
      </w:r>
      <w:r w:rsidR="00916652">
        <w:rPr>
          <w:rFonts w:cstheme="minorHAnsi"/>
        </w:rPr>
        <w:t>4.1</w:t>
      </w:r>
      <w:r w:rsidR="00C7500D">
        <w:rPr>
          <w:rFonts w:cstheme="minorHAnsi"/>
        </w:rPr>
        <w:fldChar w:fldCharType="end"/>
      </w:r>
      <w:r w:rsidR="00C7500D">
        <w:rPr>
          <w:rFonts w:cstheme="minorHAnsi"/>
        </w:rPr>
        <w:t>,</w:t>
      </w:r>
      <w:r w:rsidR="00CE124A">
        <w:rPr>
          <w:rFonts w:cstheme="minorHAnsi"/>
        </w:rPr>
        <w:t xml:space="preserve"> </w:t>
      </w:r>
      <w:r w:rsidR="006508D2">
        <w:rPr>
          <w:rFonts w:cstheme="minorHAnsi"/>
        </w:rPr>
        <w:t xml:space="preserve">relevant </w:t>
      </w:r>
      <w:r w:rsidR="00C7500D">
        <w:rPr>
          <w:rFonts w:cstheme="minorHAnsi"/>
        </w:rPr>
        <w:t xml:space="preserve">credit factors </w:t>
      </w:r>
      <w:r w:rsidR="009A1395">
        <w:rPr>
          <w:rFonts w:cstheme="minorHAnsi"/>
        </w:rPr>
        <w:t>have been</w:t>
      </w:r>
      <w:r w:rsidR="00C7500D">
        <w:rPr>
          <w:rFonts w:cstheme="minorHAnsi"/>
        </w:rPr>
        <w:t xml:space="preserve"> retrieved and</w:t>
      </w:r>
      <w:r w:rsidR="006508D2">
        <w:rPr>
          <w:rFonts w:cstheme="minorHAnsi"/>
        </w:rPr>
        <w:t xml:space="preserve"> are</w:t>
      </w:r>
      <w:r w:rsidR="002F7309">
        <w:rPr>
          <w:rFonts w:cstheme="minorHAnsi"/>
        </w:rPr>
        <w:t xml:space="preserve"> </w:t>
      </w:r>
      <w:r w:rsidR="006B1A81">
        <w:rPr>
          <w:rFonts w:cstheme="minorHAnsi"/>
        </w:rPr>
        <w:t xml:space="preserve">collected in </w:t>
      </w:r>
      <w:r w:rsidR="00C7500D">
        <w:rPr>
          <w:rFonts w:cstheme="minorHAnsi"/>
        </w:rPr>
        <w:fldChar w:fldCharType="begin"/>
      </w:r>
      <w:r w:rsidR="00C7500D">
        <w:rPr>
          <w:rFonts w:cstheme="minorHAnsi"/>
        </w:rPr>
        <w:instrText xml:space="preserve"> REF _Ref182220236 \h </w:instrText>
      </w:r>
      <w:r w:rsidR="00C7500D">
        <w:rPr>
          <w:rFonts w:cstheme="minorHAnsi"/>
        </w:rPr>
      </w:r>
      <w:r w:rsidR="00C7500D">
        <w:rPr>
          <w:rFonts w:cstheme="minorHAnsi"/>
        </w:rPr>
        <w:fldChar w:fldCharType="separate"/>
      </w:r>
      <w:r w:rsidR="00916652" w:rsidRPr="00023BBC">
        <w:t xml:space="preserve">Table </w:t>
      </w:r>
      <w:r w:rsidR="00916652">
        <w:rPr>
          <w:noProof/>
        </w:rPr>
        <w:t>2</w:t>
      </w:r>
      <w:r w:rsidR="00C7500D">
        <w:rPr>
          <w:rFonts w:cstheme="minorHAnsi"/>
        </w:rPr>
        <w:fldChar w:fldCharType="end"/>
      </w:r>
      <w:r w:rsidR="00C7500D">
        <w:rPr>
          <w:rFonts w:cstheme="minorHAnsi"/>
        </w:rPr>
        <w:t>.</w:t>
      </w:r>
    </w:p>
    <w:p w14:paraId="5DB4DED3" w14:textId="2270E708" w:rsidR="006B1A81" w:rsidRDefault="00E56AAC" w:rsidP="000617AF">
      <w:pPr>
        <w:pStyle w:val="CETBodytext"/>
        <w:rPr>
          <w:rFonts w:cstheme="minorHAnsi"/>
        </w:rPr>
      </w:pPr>
      <w:r w:rsidRPr="00E56AAC">
        <w:rPr>
          <w:lang w:val="en-GB"/>
        </w:rPr>
        <w:t xml:space="preserve">There is no specific data available in the literature for critical scenarios or failure frequencies in </w:t>
      </w:r>
      <w:r w:rsidR="00ED0366" w:rsidRPr="00967507">
        <w:t>CO</w:t>
      </w:r>
      <w:r w:rsidR="00ED0366" w:rsidRPr="00DF526A">
        <w:rPr>
          <w:vertAlign w:val="subscript"/>
        </w:rPr>
        <w:t>2</w:t>
      </w:r>
      <w:r w:rsidR="00ED0366" w:rsidRPr="00967507">
        <w:t xml:space="preserve"> capture and conditioning </w:t>
      </w:r>
      <w:r w:rsidR="0005152C">
        <w:t>equipment</w:t>
      </w:r>
      <w:r w:rsidR="00ED0366" w:rsidRPr="00967507">
        <w:t>. Therefore, the baseline failure frequency datasets</w:t>
      </w:r>
      <w:r w:rsidR="00ED0366">
        <w:t xml:space="preserve"> identified from the gap analysis (see Section </w:t>
      </w:r>
      <w:r w:rsidR="00ED0366">
        <w:fldChar w:fldCharType="begin"/>
      </w:r>
      <w:r w:rsidR="00ED0366">
        <w:instrText xml:space="preserve"> REF _Ref180672619 \r \h </w:instrText>
      </w:r>
      <w:r w:rsidR="00ED0366">
        <w:fldChar w:fldCharType="separate"/>
      </w:r>
      <w:r w:rsidR="00916652">
        <w:t>2</w:t>
      </w:r>
      <w:r w:rsidR="00ED0366">
        <w:fldChar w:fldCharType="end"/>
      </w:r>
      <w:r w:rsidR="00ED0366">
        <w:t xml:space="preserve">) </w:t>
      </w:r>
      <w:r w:rsidR="0005152C">
        <w:t>have been used</w:t>
      </w:r>
      <w:r w:rsidR="00ED0366" w:rsidRPr="00967507">
        <w:t xml:space="preserve">. </w:t>
      </w:r>
      <w:r w:rsidR="00BB5302">
        <w:t>For ons</w:t>
      </w:r>
      <w:r w:rsidR="00ED0366">
        <w:t>hore pipelines</w:t>
      </w:r>
      <w:r w:rsidR="00BB5302">
        <w:t>, however,</w:t>
      </w:r>
      <w:r w:rsidR="00ED0366" w:rsidRPr="00967507">
        <w:t xml:space="preserve"> </w:t>
      </w:r>
      <w:r w:rsidR="00BB5302">
        <w:t>h</w:t>
      </w:r>
      <w:r w:rsidR="00ED0366" w:rsidRPr="00967507">
        <w:t>istorical data</w:t>
      </w:r>
      <w:r w:rsidR="00BB5302">
        <w:t xml:space="preserve"> is</w:t>
      </w:r>
      <w:r w:rsidR="00ED0366" w:rsidRPr="00967507">
        <w:t xml:space="preserve"> </w:t>
      </w:r>
      <w:r w:rsidR="00ED0366">
        <w:t>a</w:t>
      </w:r>
      <w:r w:rsidR="00ED0366" w:rsidRPr="00967507">
        <w:t>vailable</w:t>
      </w:r>
      <w:r w:rsidR="00ED0366">
        <w:t xml:space="preserve"> (Duncan and Wang, 2014a)</w:t>
      </w:r>
      <w:r w:rsidR="00ED0366" w:rsidRPr="00967507">
        <w:t>. Although failure data for CO</w:t>
      </w:r>
      <w:r w:rsidR="00ED0366" w:rsidRPr="00472747">
        <w:rPr>
          <w:vertAlign w:val="subscript"/>
        </w:rPr>
        <w:t>2</w:t>
      </w:r>
      <w:r w:rsidR="00ED0366" w:rsidRPr="00967507">
        <w:t xml:space="preserve"> </w:t>
      </w:r>
      <w:r w:rsidR="00ED0366">
        <w:t>sealines</w:t>
      </w:r>
      <w:r w:rsidR="00D4350D">
        <w:t xml:space="preserve"> is limited</w:t>
      </w:r>
      <w:r w:rsidR="00ED0366" w:rsidRPr="00967507">
        <w:t xml:space="preserve"> in the public domain, </w:t>
      </w:r>
      <w:r w:rsidR="00D4350D">
        <w:t>several</w:t>
      </w:r>
      <w:r w:rsidR="00ED0366" w:rsidRPr="00967507">
        <w:t xml:space="preserve"> studies </w:t>
      </w:r>
      <w:r w:rsidR="00D4350D">
        <w:t>suggest</w:t>
      </w:r>
      <w:r w:rsidR="00ED0366" w:rsidRPr="00967507">
        <w:t xml:space="preserve"> that CO</w:t>
      </w:r>
      <w:r w:rsidR="00ED0366" w:rsidRPr="00472747">
        <w:rPr>
          <w:vertAlign w:val="subscript"/>
        </w:rPr>
        <w:t>2</w:t>
      </w:r>
      <w:r w:rsidR="00ED0366" w:rsidRPr="00967507">
        <w:t xml:space="preserve"> and NG sealines are comparable in terms of operating pressure and design characteristics, making </w:t>
      </w:r>
      <w:r w:rsidR="00C45D07">
        <w:t>NG data</w:t>
      </w:r>
      <w:r w:rsidR="00ED0366" w:rsidRPr="00967507">
        <w:t xml:space="preserve"> suitable for identifying critical scenarios and estimating </w:t>
      </w:r>
      <w:r w:rsidR="00C45D07">
        <w:t xml:space="preserve">leak </w:t>
      </w:r>
      <w:r w:rsidR="00ED0366" w:rsidRPr="00967507">
        <w:t>frequenc</w:t>
      </w:r>
      <w:r w:rsidR="00C45D07">
        <w:t>ies</w:t>
      </w:r>
      <w:r w:rsidR="00ED0366">
        <w:t xml:space="preserve"> (Duncan and Wang, 2014a; IOGP</w:t>
      </w:r>
      <w:r w:rsidR="00ED0366" w:rsidRPr="00190F65">
        <w:t>, 2010</w:t>
      </w:r>
      <w:r w:rsidR="00ED0366">
        <w:t>)</w:t>
      </w:r>
      <w:r w:rsidR="00ED0366" w:rsidRPr="00967507">
        <w:t>.</w:t>
      </w:r>
      <w:r w:rsidR="00ED0366">
        <w:t xml:space="preserve"> After that, event trees available in the technical literature (i.e., MIRAS procedure </w:t>
      </w:r>
      <w:r w:rsidR="00ED0366">
        <w:rPr>
          <w:szCs w:val="18"/>
        </w:rPr>
        <w:t>(</w:t>
      </w:r>
      <w:proofErr w:type="spellStart"/>
      <w:r w:rsidR="00ED0366">
        <w:rPr>
          <w:szCs w:val="18"/>
        </w:rPr>
        <w:t>Delvosalle</w:t>
      </w:r>
      <w:proofErr w:type="spellEnd"/>
      <w:r w:rsidR="00ED0366">
        <w:rPr>
          <w:szCs w:val="18"/>
        </w:rPr>
        <w:t xml:space="preserve"> et al., 2004) </w:t>
      </w:r>
      <w:r w:rsidR="00ED0366">
        <w:t xml:space="preserve">and TNO Purple Book </w:t>
      </w:r>
      <w:r w:rsidR="00ED0366">
        <w:rPr>
          <w:szCs w:val="18"/>
        </w:rPr>
        <w:t>(</w:t>
      </w:r>
      <w:proofErr w:type="spellStart"/>
      <w:r w:rsidR="00ED0366" w:rsidRPr="00CE3DA7">
        <w:t>Uijt</w:t>
      </w:r>
      <w:proofErr w:type="spellEnd"/>
      <w:r w:rsidR="00ED0366" w:rsidRPr="00CE3DA7">
        <w:t xml:space="preserve"> de Haag</w:t>
      </w:r>
      <w:r w:rsidR="00ED0366">
        <w:t xml:space="preserve"> and Ale, 1999)) </w:t>
      </w:r>
      <w:r w:rsidR="006D17ED">
        <w:t xml:space="preserve">indicate </w:t>
      </w:r>
      <w:r w:rsidR="00ED0366">
        <w:t>vapor cloud explosions, flash fires, pool fires, and toxic clouds as potential accident scenarios</w:t>
      </w:r>
      <w:r w:rsidR="006D17ED">
        <w:t xml:space="preserve"> in the capture stage, where</w:t>
      </w:r>
      <w:r w:rsidR="00ED0366">
        <w:t xml:space="preserve"> both MEA and CO</w:t>
      </w:r>
      <w:r w:rsidR="00ED0366" w:rsidRPr="00736075">
        <w:rPr>
          <w:vertAlign w:val="subscript"/>
        </w:rPr>
        <w:t>2</w:t>
      </w:r>
      <w:r w:rsidR="00ED0366">
        <w:t xml:space="preserve"> are involved. </w:t>
      </w:r>
      <w:r w:rsidR="006D17ED">
        <w:t>In contrast</w:t>
      </w:r>
      <w:r w:rsidR="00ED0366">
        <w:t>, for conditioning and transport stages</w:t>
      </w:r>
      <w:r w:rsidR="006F69A0">
        <w:t>,</w:t>
      </w:r>
      <w:r w:rsidR="00ED0366">
        <w:t xml:space="preserve"> where CO</w:t>
      </w:r>
      <w:r w:rsidR="00ED0366" w:rsidRPr="00736075">
        <w:rPr>
          <w:vertAlign w:val="subscript"/>
        </w:rPr>
        <w:t>2</w:t>
      </w:r>
      <w:r w:rsidR="00ED0366">
        <w:t xml:space="preserve"> is the only hazardous substance, toxic cloud </w:t>
      </w:r>
      <w:r w:rsidR="006F69A0">
        <w:t>formation is</w:t>
      </w:r>
      <w:r w:rsidR="00ED0366">
        <w:t xml:space="preserve"> the </w:t>
      </w:r>
      <w:r w:rsidR="006F69A0">
        <w:t>primary</w:t>
      </w:r>
      <w:r w:rsidR="00ED0366">
        <w:t xml:space="preserve"> accident scenario.</w:t>
      </w:r>
    </w:p>
    <w:p w14:paraId="61B2C1F8" w14:textId="1183A64F" w:rsidR="00023BBC" w:rsidRPr="00023BBC" w:rsidRDefault="00023BBC" w:rsidP="00023BBC">
      <w:pPr>
        <w:pStyle w:val="CETTabletitle"/>
      </w:pPr>
      <w:bookmarkStart w:id="8" w:name="_Ref182220236"/>
      <w:r w:rsidRPr="00023BBC">
        <w:lastRenderedPageBreak/>
        <w:t xml:space="preserve">Table </w:t>
      </w:r>
      <w:r w:rsidRPr="00023BBC">
        <w:fldChar w:fldCharType="begin"/>
      </w:r>
      <w:r w:rsidRPr="00023BBC">
        <w:instrText xml:space="preserve"> SEQ Table \* ARABIC </w:instrText>
      </w:r>
      <w:r w:rsidRPr="00023BBC">
        <w:fldChar w:fldCharType="separate"/>
      </w:r>
      <w:r w:rsidR="00916652">
        <w:rPr>
          <w:noProof/>
        </w:rPr>
        <w:t>2</w:t>
      </w:r>
      <w:r w:rsidRPr="00023BBC">
        <w:fldChar w:fldCharType="end"/>
      </w:r>
      <w:bookmarkEnd w:id="8"/>
      <w:r w:rsidRPr="00023BBC">
        <w:t xml:space="preserve">. Credit factors related to the release modes (Rs) </w:t>
      </w:r>
      <w:r w:rsidR="0023350A">
        <w:t>considered in t</w:t>
      </w:r>
      <w:r w:rsidRPr="00023BBC">
        <w:t>he case study for process equipment (y</w:t>
      </w:r>
      <w:r w:rsidRPr="0023350A">
        <w:rPr>
          <w:vertAlign w:val="superscript"/>
        </w:rPr>
        <w:t>-1</w:t>
      </w:r>
      <w:r w:rsidRPr="00023BBC">
        <w:t>) and pipelines (km</w:t>
      </w:r>
      <w:r w:rsidRPr="0023350A">
        <w:rPr>
          <w:vertAlign w:val="superscript"/>
        </w:rPr>
        <w:t>-1</w:t>
      </w:r>
      <w:r w:rsidRPr="00023BBC">
        <w:t>y</w:t>
      </w:r>
      <w:r w:rsidRPr="0023350A">
        <w:rPr>
          <w:vertAlign w:val="superscript"/>
        </w:rPr>
        <w:t>-1</w:t>
      </w:r>
      <w:r w:rsidRPr="00023BBC">
        <w:t>) (</w:t>
      </w:r>
      <w:proofErr w:type="spellStart"/>
      <w:r w:rsidRPr="00023BBC">
        <w:t>n.a.</w:t>
      </w:r>
      <w:proofErr w:type="spellEnd"/>
      <w:r w:rsidRPr="00023BBC">
        <w:t xml:space="preserve">, not applicable; </w:t>
      </w:r>
      <w:proofErr w:type="spellStart"/>
      <w:r w:rsidRPr="00023BBC">
        <w:t>n.c.</w:t>
      </w:r>
      <w:proofErr w:type="spellEnd"/>
      <w:r w:rsidRPr="00023BBC">
        <w:t>, not considered).</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54"/>
        <w:gridCol w:w="1254"/>
        <w:gridCol w:w="1255"/>
        <w:gridCol w:w="1257"/>
        <w:gridCol w:w="1255"/>
        <w:gridCol w:w="1255"/>
        <w:gridCol w:w="1257"/>
      </w:tblGrid>
      <w:tr w:rsidR="002A2ED5" w:rsidRPr="00C07897" w14:paraId="5B67069A" w14:textId="59D578C4" w:rsidTr="006D7676">
        <w:tc>
          <w:tcPr>
            <w:tcW w:w="714" w:type="pct"/>
            <w:tcBorders>
              <w:bottom w:val="single" w:sz="6" w:space="0" w:color="008000"/>
            </w:tcBorders>
            <w:shd w:val="clear" w:color="auto" w:fill="FFFFFF"/>
            <w:vAlign w:val="center"/>
          </w:tcPr>
          <w:p w14:paraId="7EE8F39E" w14:textId="77777777" w:rsidR="006D7676" w:rsidRDefault="006D7676" w:rsidP="009B41CF">
            <w:pPr>
              <w:pStyle w:val="CETBodytext"/>
              <w:jc w:val="left"/>
              <w:rPr>
                <w:rFonts w:cs="Arial"/>
                <w:b/>
                <w:bCs/>
                <w:szCs w:val="18"/>
                <w:lang w:val="en-GB"/>
              </w:rPr>
            </w:pPr>
            <w:r>
              <w:rPr>
                <w:rFonts w:cs="Arial"/>
                <w:b/>
                <w:bCs/>
                <w:szCs w:val="18"/>
                <w:lang w:val="en-GB"/>
              </w:rPr>
              <w:t>Release</w:t>
            </w:r>
          </w:p>
          <w:p w14:paraId="1A3247A1" w14:textId="471EAD3E" w:rsidR="002A2ED5" w:rsidRPr="006E5860" w:rsidRDefault="006D7676" w:rsidP="009B41CF">
            <w:pPr>
              <w:pStyle w:val="CETBodytext"/>
              <w:jc w:val="left"/>
              <w:rPr>
                <w:rFonts w:cs="Arial"/>
                <w:b/>
                <w:bCs/>
                <w:szCs w:val="18"/>
                <w:lang w:val="en-GB"/>
              </w:rPr>
            </w:pPr>
            <w:r>
              <w:rPr>
                <w:rFonts w:cs="Arial"/>
                <w:b/>
                <w:bCs/>
                <w:szCs w:val="18"/>
                <w:lang w:val="en-GB"/>
              </w:rPr>
              <w:t>mode</w:t>
            </w:r>
          </w:p>
        </w:tc>
        <w:tc>
          <w:tcPr>
            <w:tcW w:w="714" w:type="pct"/>
            <w:tcBorders>
              <w:top w:val="single" w:sz="12" w:space="0" w:color="008000"/>
              <w:bottom w:val="single" w:sz="6" w:space="0" w:color="008000"/>
            </w:tcBorders>
            <w:shd w:val="clear" w:color="auto" w:fill="FFFFFF"/>
            <w:vAlign w:val="center"/>
          </w:tcPr>
          <w:p w14:paraId="7060E9A3" w14:textId="77777777" w:rsidR="002A2ED5" w:rsidRPr="006D7676" w:rsidRDefault="002A2ED5" w:rsidP="009B41CF">
            <w:pPr>
              <w:pStyle w:val="CETBodytext"/>
              <w:jc w:val="left"/>
              <w:rPr>
                <w:rFonts w:cs="Arial"/>
                <w:b/>
                <w:bCs/>
                <w:szCs w:val="18"/>
                <w:lang w:val="en-GB"/>
              </w:rPr>
            </w:pPr>
            <w:r w:rsidRPr="006D7676">
              <w:rPr>
                <w:rFonts w:cs="Arial"/>
                <w:b/>
                <w:bCs/>
                <w:szCs w:val="18"/>
                <w:lang w:val="en-GB"/>
              </w:rPr>
              <w:t>Pressure</w:t>
            </w:r>
          </w:p>
          <w:p w14:paraId="701F4F40" w14:textId="2D4FFB1A" w:rsidR="002A2ED5" w:rsidRPr="006D7676" w:rsidRDefault="002A2ED5" w:rsidP="009B41CF">
            <w:pPr>
              <w:pStyle w:val="CETBodytext"/>
              <w:jc w:val="left"/>
              <w:rPr>
                <w:rFonts w:cs="Arial"/>
                <w:b/>
                <w:bCs/>
                <w:szCs w:val="18"/>
                <w:lang w:val="en-GB"/>
              </w:rPr>
            </w:pPr>
            <w:r w:rsidRPr="006D7676">
              <w:rPr>
                <w:rFonts w:cs="Arial"/>
                <w:b/>
                <w:bCs/>
                <w:szCs w:val="18"/>
                <w:lang w:val="en-GB"/>
              </w:rPr>
              <w:t>vessel</w:t>
            </w:r>
          </w:p>
        </w:tc>
        <w:tc>
          <w:tcPr>
            <w:tcW w:w="714" w:type="pct"/>
            <w:tcBorders>
              <w:top w:val="single" w:sz="12" w:space="0" w:color="008000"/>
              <w:bottom w:val="single" w:sz="6" w:space="0" w:color="008000"/>
            </w:tcBorders>
            <w:shd w:val="clear" w:color="auto" w:fill="FFFFFF"/>
            <w:vAlign w:val="center"/>
          </w:tcPr>
          <w:p w14:paraId="47EA7E74" w14:textId="77777777" w:rsidR="002A2ED5" w:rsidRPr="006D7676" w:rsidRDefault="002A2ED5" w:rsidP="009B41CF">
            <w:pPr>
              <w:pStyle w:val="CETBodytext"/>
              <w:jc w:val="left"/>
              <w:rPr>
                <w:rFonts w:cs="Arial"/>
                <w:b/>
                <w:bCs/>
                <w:szCs w:val="18"/>
              </w:rPr>
            </w:pPr>
            <w:r w:rsidRPr="006D7676">
              <w:rPr>
                <w:rFonts w:cs="Arial"/>
                <w:b/>
                <w:bCs/>
                <w:szCs w:val="18"/>
              </w:rPr>
              <w:t>Heat</w:t>
            </w:r>
          </w:p>
          <w:p w14:paraId="7C30365E" w14:textId="2244E3F9" w:rsidR="002A2ED5" w:rsidRPr="006D7676" w:rsidRDefault="002A2ED5" w:rsidP="009B41CF">
            <w:pPr>
              <w:pStyle w:val="CETBodytext"/>
              <w:jc w:val="left"/>
              <w:rPr>
                <w:rFonts w:cs="Arial"/>
                <w:b/>
                <w:bCs/>
                <w:szCs w:val="18"/>
              </w:rPr>
            </w:pPr>
            <w:r w:rsidRPr="006D7676">
              <w:rPr>
                <w:rFonts w:cs="Arial"/>
                <w:b/>
                <w:bCs/>
                <w:szCs w:val="18"/>
              </w:rPr>
              <w:t>exchange</w:t>
            </w:r>
          </w:p>
        </w:tc>
        <w:tc>
          <w:tcPr>
            <w:tcW w:w="715" w:type="pct"/>
            <w:tcBorders>
              <w:top w:val="single" w:sz="12" w:space="0" w:color="008000"/>
              <w:bottom w:val="single" w:sz="6" w:space="0" w:color="008000"/>
            </w:tcBorders>
            <w:shd w:val="clear" w:color="auto" w:fill="FFFFFF"/>
            <w:vAlign w:val="center"/>
          </w:tcPr>
          <w:p w14:paraId="60A2B88C" w14:textId="06E8A5D8" w:rsidR="002A2ED5" w:rsidRPr="006D7676" w:rsidRDefault="002A2ED5" w:rsidP="009B41CF">
            <w:pPr>
              <w:pStyle w:val="CETBodytext"/>
              <w:ind w:right="-1"/>
              <w:jc w:val="left"/>
              <w:rPr>
                <w:rFonts w:cs="Arial"/>
                <w:b/>
                <w:bCs/>
                <w:szCs w:val="18"/>
                <w:lang w:val="en-GB"/>
              </w:rPr>
            </w:pPr>
            <w:r w:rsidRPr="006D7676">
              <w:rPr>
                <w:rFonts w:cs="Arial"/>
                <w:b/>
                <w:bCs/>
                <w:szCs w:val="18"/>
              </w:rPr>
              <w:t>Pump</w:t>
            </w:r>
          </w:p>
        </w:tc>
        <w:tc>
          <w:tcPr>
            <w:tcW w:w="714" w:type="pct"/>
            <w:tcBorders>
              <w:top w:val="single" w:sz="12" w:space="0" w:color="008000"/>
              <w:bottom w:val="single" w:sz="6" w:space="0" w:color="008000"/>
            </w:tcBorders>
            <w:shd w:val="clear" w:color="auto" w:fill="FFFFFF"/>
            <w:vAlign w:val="center"/>
          </w:tcPr>
          <w:p w14:paraId="5D8EAB33" w14:textId="2B182E6E" w:rsidR="002A2ED5" w:rsidRPr="006D7676" w:rsidRDefault="002A2ED5" w:rsidP="009B41CF">
            <w:pPr>
              <w:pStyle w:val="CETBodytext"/>
              <w:ind w:right="-1"/>
              <w:jc w:val="left"/>
              <w:rPr>
                <w:rFonts w:cs="Arial"/>
                <w:b/>
                <w:bCs/>
                <w:szCs w:val="18"/>
              </w:rPr>
            </w:pPr>
            <w:r w:rsidRPr="006D7676">
              <w:rPr>
                <w:rFonts w:cs="Arial"/>
                <w:b/>
                <w:bCs/>
                <w:szCs w:val="18"/>
              </w:rPr>
              <w:t>Compressor</w:t>
            </w:r>
          </w:p>
        </w:tc>
        <w:tc>
          <w:tcPr>
            <w:tcW w:w="714" w:type="pct"/>
            <w:tcBorders>
              <w:top w:val="single" w:sz="12" w:space="0" w:color="008000"/>
              <w:bottom w:val="single" w:sz="6" w:space="0" w:color="008000"/>
            </w:tcBorders>
            <w:shd w:val="clear" w:color="auto" w:fill="FFFFFF"/>
            <w:vAlign w:val="center"/>
          </w:tcPr>
          <w:p w14:paraId="454AA349" w14:textId="0EDCD892" w:rsidR="002A2ED5" w:rsidRPr="006D7676" w:rsidRDefault="002A2ED5" w:rsidP="009B41CF">
            <w:pPr>
              <w:pStyle w:val="CETBodytext"/>
              <w:ind w:right="-1"/>
              <w:jc w:val="left"/>
              <w:rPr>
                <w:rFonts w:cs="Arial"/>
                <w:b/>
                <w:bCs/>
                <w:szCs w:val="18"/>
              </w:rPr>
            </w:pPr>
            <w:r w:rsidRPr="006D7676">
              <w:rPr>
                <w:rFonts w:cs="Arial"/>
                <w:b/>
                <w:bCs/>
                <w:szCs w:val="18"/>
              </w:rPr>
              <w:t>Onshore pipeline</w:t>
            </w:r>
          </w:p>
        </w:tc>
        <w:tc>
          <w:tcPr>
            <w:tcW w:w="715" w:type="pct"/>
            <w:tcBorders>
              <w:top w:val="single" w:sz="12" w:space="0" w:color="008000"/>
              <w:bottom w:val="single" w:sz="6" w:space="0" w:color="008000"/>
            </w:tcBorders>
            <w:shd w:val="clear" w:color="auto" w:fill="FFFFFF"/>
            <w:vAlign w:val="center"/>
          </w:tcPr>
          <w:p w14:paraId="6D86E1AC" w14:textId="17D7A944" w:rsidR="002A2ED5" w:rsidRPr="006D7676" w:rsidRDefault="002A2ED5" w:rsidP="009B41CF">
            <w:pPr>
              <w:pStyle w:val="CETBodytext"/>
              <w:ind w:right="-1"/>
              <w:jc w:val="left"/>
              <w:rPr>
                <w:rFonts w:cs="Arial"/>
                <w:b/>
                <w:bCs/>
                <w:szCs w:val="18"/>
              </w:rPr>
            </w:pPr>
            <w:r w:rsidRPr="006D7676">
              <w:rPr>
                <w:rFonts w:cs="Arial"/>
                <w:b/>
                <w:bCs/>
                <w:szCs w:val="18"/>
              </w:rPr>
              <w:t>Sealine</w:t>
            </w:r>
          </w:p>
        </w:tc>
      </w:tr>
      <w:tr w:rsidR="00134ED1" w:rsidRPr="00C07897" w14:paraId="01614056" w14:textId="795E75D3" w:rsidTr="006D7676">
        <w:tc>
          <w:tcPr>
            <w:tcW w:w="714" w:type="pct"/>
            <w:tcBorders>
              <w:top w:val="nil"/>
              <w:bottom w:val="nil"/>
            </w:tcBorders>
            <w:shd w:val="clear" w:color="auto" w:fill="FFFFFF"/>
            <w:vAlign w:val="center"/>
          </w:tcPr>
          <w:p w14:paraId="6180CCE0" w14:textId="6CC757EB" w:rsidR="00134ED1" w:rsidRPr="006E5860" w:rsidRDefault="00134ED1" w:rsidP="00134ED1">
            <w:pPr>
              <w:pStyle w:val="CETBodytext"/>
              <w:ind w:right="-1"/>
              <w:jc w:val="left"/>
              <w:rPr>
                <w:rFonts w:cs="Arial"/>
                <w:szCs w:val="18"/>
              </w:rPr>
            </w:pPr>
            <w:r w:rsidRPr="006E5860">
              <w:rPr>
                <w:rFonts w:cs="Arial"/>
                <w:szCs w:val="18"/>
              </w:rPr>
              <w:t>R1</w:t>
            </w:r>
          </w:p>
        </w:tc>
        <w:tc>
          <w:tcPr>
            <w:tcW w:w="714" w:type="pct"/>
            <w:tcBorders>
              <w:top w:val="nil"/>
              <w:bottom w:val="nil"/>
            </w:tcBorders>
            <w:shd w:val="clear" w:color="auto" w:fill="FFFFFF"/>
            <w:vAlign w:val="center"/>
          </w:tcPr>
          <w:p w14:paraId="1C9A7E75" w14:textId="5726E48B" w:rsidR="00134ED1" w:rsidRPr="009E0081" w:rsidRDefault="00134ED1" w:rsidP="00134ED1">
            <w:pPr>
              <w:pStyle w:val="CETBodytext"/>
              <w:ind w:right="-1"/>
              <w:jc w:val="left"/>
              <w:rPr>
                <w:rFonts w:cs="Arial"/>
                <w:szCs w:val="18"/>
              </w:rPr>
            </w:pPr>
            <w:r w:rsidRPr="009E0081">
              <w:rPr>
                <w:rFonts w:cs="Arial"/>
                <w:color w:val="000000"/>
                <w:szCs w:val="18"/>
              </w:rPr>
              <w:t>1.8 × 10</w:t>
            </w:r>
            <w:r w:rsidRPr="009E0081">
              <w:rPr>
                <w:rFonts w:cs="Arial"/>
                <w:color w:val="000000"/>
                <w:szCs w:val="18"/>
                <w:vertAlign w:val="superscript"/>
              </w:rPr>
              <w:t>-6</w:t>
            </w:r>
          </w:p>
        </w:tc>
        <w:tc>
          <w:tcPr>
            <w:tcW w:w="714" w:type="pct"/>
            <w:tcBorders>
              <w:top w:val="nil"/>
              <w:bottom w:val="nil"/>
            </w:tcBorders>
            <w:shd w:val="clear" w:color="auto" w:fill="FFFFFF"/>
            <w:vAlign w:val="center"/>
          </w:tcPr>
          <w:p w14:paraId="6DF21097" w14:textId="3A25D74B" w:rsidR="00134ED1" w:rsidRPr="009E0081" w:rsidRDefault="00134ED1" w:rsidP="00134ED1">
            <w:pPr>
              <w:pStyle w:val="CETBodytext"/>
              <w:ind w:right="-1"/>
              <w:jc w:val="left"/>
              <w:rPr>
                <w:rFonts w:cs="Arial"/>
                <w:szCs w:val="18"/>
              </w:rPr>
            </w:pPr>
            <w:r w:rsidRPr="009E0081">
              <w:rPr>
                <w:rFonts w:cs="Arial"/>
                <w:color w:val="000000"/>
                <w:szCs w:val="18"/>
              </w:rPr>
              <w:t>1.8 × 10</w:t>
            </w:r>
            <w:r w:rsidRPr="009E0081">
              <w:rPr>
                <w:rFonts w:cs="Arial"/>
                <w:color w:val="000000"/>
                <w:szCs w:val="18"/>
                <w:vertAlign w:val="superscript"/>
              </w:rPr>
              <w:t>-6</w:t>
            </w:r>
          </w:p>
        </w:tc>
        <w:tc>
          <w:tcPr>
            <w:tcW w:w="715" w:type="pct"/>
            <w:tcBorders>
              <w:top w:val="nil"/>
              <w:bottom w:val="nil"/>
            </w:tcBorders>
            <w:shd w:val="clear" w:color="auto" w:fill="FFFFFF"/>
            <w:vAlign w:val="center"/>
          </w:tcPr>
          <w:p w14:paraId="7A7352A2" w14:textId="7BCB8D5A" w:rsidR="00134ED1" w:rsidRPr="009E0081" w:rsidRDefault="00134ED1" w:rsidP="00134ED1">
            <w:pPr>
              <w:pStyle w:val="CETBodytext"/>
              <w:ind w:right="-1"/>
              <w:jc w:val="left"/>
              <w:rPr>
                <w:rFonts w:cs="Arial"/>
                <w:szCs w:val="18"/>
              </w:rPr>
            </w:pPr>
            <w:r w:rsidRPr="009E0081">
              <w:rPr>
                <w:rFonts w:cs="Arial"/>
                <w:color w:val="000000"/>
                <w:szCs w:val="18"/>
              </w:rPr>
              <w:t>5.0 × 10</w:t>
            </w:r>
            <w:r w:rsidRPr="009E0081">
              <w:rPr>
                <w:rFonts w:cs="Arial"/>
                <w:color w:val="000000"/>
                <w:szCs w:val="18"/>
                <w:vertAlign w:val="superscript"/>
              </w:rPr>
              <w:t>-4</w:t>
            </w:r>
          </w:p>
        </w:tc>
        <w:tc>
          <w:tcPr>
            <w:tcW w:w="714" w:type="pct"/>
            <w:tcBorders>
              <w:top w:val="nil"/>
              <w:bottom w:val="nil"/>
            </w:tcBorders>
            <w:shd w:val="clear" w:color="auto" w:fill="FFFFFF"/>
            <w:vAlign w:val="center"/>
          </w:tcPr>
          <w:p w14:paraId="353612B4" w14:textId="4858996F" w:rsidR="00134ED1" w:rsidRPr="009E0081" w:rsidRDefault="00134ED1" w:rsidP="00134ED1">
            <w:pPr>
              <w:pStyle w:val="CETBodytext"/>
              <w:ind w:right="-1"/>
              <w:jc w:val="left"/>
              <w:rPr>
                <w:rFonts w:cs="Arial"/>
                <w:szCs w:val="18"/>
              </w:rPr>
            </w:pPr>
            <w:r w:rsidRPr="009E0081">
              <w:rPr>
                <w:rFonts w:cs="Arial"/>
                <w:color w:val="000000"/>
                <w:szCs w:val="18"/>
              </w:rPr>
              <w:t>1.0 × 10</w:t>
            </w:r>
            <w:r w:rsidRPr="009E0081">
              <w:rPr>
                <w:rFonts w:cs="Arial"/>
                <w:color w:val="000000"/>
                <w:szCs w:val="18"/>
                <w:vertAlign w:val="superscript"/>
              </w:rPr>
              <w:t>-3</w:t>
            </w:r>
          </w:p>
        </w:tc>
        <w:tc>
          <w:tcPr>
            <w:tcW w:w="714" w:type="pct"/>
            <w:tcBorders>
              <w:top w:val="nil"/>
              <w:bottom w:val="nil"/>
            </w:tcBorders>
            <w:shd w:val="clear" w:color="auto" w:fill="FFFFFF"/>
            <w:vAlign w:val="center"/>
          </w:tcPr>
          <w:p w14:paraId="767854FC" w14:textId="1448F6E0" w:rsidR="00134ED1" w:rsidRPr="009E0081" w:rsidRDefault="00134ED1" w:rsidP="00134ED1">
            <w:pPr>
              <w:pStyle w:val="CETBodytext"/>
              <w:ind w:right="-1"/>
              <w:jc w:val="left"/>
              <w:rPr>
                <w:rFonts w:cs="Arial"/>
                <w:szCs w:val="18"/>
              </w:rPr>
            </w:pPr>
            <w:proofErr w:type="spellStart"/>
            <w:r w:rsidRPr="009E0081">
              <w:rPr>
                <w:rFonts w:cs="Arial"/>
                <w:szCs w:val="18"/>
              </w:rPr>
              <w:t>n.a.</w:t>
            </w:r>
            <w:proofErr w:type="spellEnd"/>
          </w:p>
        </w:tc>
        <w:tc>
          <w:tcPr>
            <w:tcW w:w="715" w:type="pct"/>
            <w:tcBorders>
              <w:top w:val="nil"/>
              <w:bottom w:val="nil"/>
            </w:tcBorders>
            <w:shd w:val="clear" w:color="auto" w:fill="FFFFFF"/>
            <w:vAlign w:val="center"/>
          </w:tcPr>
          <w:p w14:paraId="37DB2999" w14:textId="4E33B74F" w:rsidR="00134ED1" w:rsidRPr="009E0081" w:rsidRDefault="00134ED1" w:rsidP="00134ED1">
            <w:pPr>
              <w:pStyle w:val="CETBodytext"/>
              <w:ind w:right="-1"/>
              <w:jc w:val="left"/>
              <w:rPr>
                <w:rFonts w:cs="Arial"/>
                <w:szCs w:val="18"/>
              </w:rPr>
            </w:pPr>
            <w:proofErr w:type="spellStart"/>
            <w:r w:rsidRPr="009E0081">
              <w:rPr>
                <w:rFonts w:cs="Arial"/>
                <w:szCs w:val="18"/>
              </w:rPr>
              <w:t>n.a.</w:t>
            </w:r>
            <w:proofErr w:type="spellEnd"/>
          </w:p>
        </w:tc>
      </w:tr>
      <w:tr w:rsidR="00134ED1" w:rsidRPr="00C07897" w14:paraId="5016BC03" w14:textId="3EE01721" w:rsidTr="006D7676">
        <w:tc>
          <w:tcPr>
            <w:tcW w:w="714" w:type="pct"/>
            <w:tcBorders>
              <w:top w:val="nil"/>
              <w:bottom w:val="nil"/>
            </w:tcBorders>
            <w:shd w:val="clear" w:color="auto" w:fill="FFFFFF"/>
            <w:vAlign w:val="center"/>
          </w:tcPr>
          <w:p w14:paraId="5F417CFB" w14:textId="5E2FD9E7" w:rsidR="00134ED1" w:rsidRPr="006E5860" w:rsidRDefault="00134ED1" w:rsidP="00134ED1">
            <w:pPr>
              <w:pStyle w:val="CETBodytext"/>
              <w:ind w:right="-1"/>
              <w:jc w:val="left"/>
              <w:rPr>
                <w:rFonts w:cs="Arial"/>
                <w:szCs w:val="18"/>
              </w:rPr>
            </w:pPr>
            <w:r w:rsidRPr="006E5860">
              <w:rPr>
                <w:rFonts w:cs="Arial"/>
                <w:szCs w:val="18"/>
              </w:rPr>
              <w:t>R2</w:t>
            </w:r>
          </w:p>
        </w:tc>
        <w:tc>
          <w:tcPr>
            <w:tcW w:w="714" w:type="pct"/>
            <w:tcBorders>
              <w:top w:val="nil"/>
              <w:bottom w:val="nil"/>
            </w:tcBorders>
            <w:shd w:val="clear" w:color="auto" w:fill="FFFFFF"/>
            <w:vAlign w:val="center"/>
          </w:tcPr>
          <w:p w14:paraId="6033AF73" w14:textId="360F8E87" w:rsidR="00134ED1" w:rsidRPr="009E0081" w:rsidRDefault="00134ED1" w:rsidP="00134ED1">
            <w:pPr>
              <w:pStyle w:val="CETBodytext"/>
              <w:ind w:right="-1"/>
              <w:jc w:val="left"/>
              <w:rPr>
                <w:rFonts w:cs="Arial"/>
                <w:szCs w:val="18"/>
              </w:rPr>
            </w:pPr>
            <w:r w:rsidRPr="009E0081">
              <w:rPr>
                <w:rFonts w:cs="Arial"/>
                <w:color w:val="000000"/>
                <w:szCs w:val="18"/>
              </w:rPr>
              <w:t>6.5 × 10</w:t>
            </w:r>
            <w:r w:rsidRPr="009E0081">
              <w:rPr>
                <w:rFonts w:cs="Arial"/>
                <w:color w:val="000000"/>
                <w:szCs w:val="18"/>
                <w:vertAlign w:val="superscript"/>
              </w:rPr>
              <w:t>-7</w:t>
            </w:r>
          </w:p>
        </w:tc>
        <w:tc>
          <w:tcPr>
            <w:tcW w:w="714" w:type="pct"/>
            <w:tcBorders>
              <w:top w:val="nil"/>
              <w:bottom w:val="nil"/>
            </w:tcBorders>
            <w:shd w:val="clear" w:color="auto" w:fill="FFFFFF"/>
            <w:vAlign w:val="center"/>
          </w:tcPr>
          <w:p w14:paraId="39DEA9C7" w14:textId="05D0D17F" w:rsidR="00134ED1" w:rsidRPr="009E0081" w:rsidRDefault="00134ED1" w:rsidP="00134ED1">
            <w:pPr>
              <w:pStyle w:val="CETBodytext"/>
              <w:ind w:right="-1"/>
              <w:jc w:val="left"/>
              <w:rPr>
                <w:rFonts w:cs="Arial"/>
                <w:szCs w:val="18"/>
              </w:rPr>
            </w:pPr>
            <w:r w:rsidRPr="009E0081">
              <w:rPr>
                <w:rFonts w:cs="Arial"/>
                <w:color w:val="000000"/>
                <w:szCs w:val="18"/>
              </w:rPr>
              <w:t>6.5 × 10</w:t>
            </w:r>
            <w:r w:rsidRPr="009E0081">
              <w:rPr>
                <w:rFonts w:cs="Arial"/>
                <w:color w:val="000000"/>
                <w:szCs w:val="18"/>
                <w:vertAlign w:val="superscript"/>
              </w:rPr>
              <w:t>-7</w:t>
            </w:r>
          </w:p>
        </w:tc>
        <w:tc>
          <w:tcPr>
            <w:tcW w:w="715" w:type="pct"/>
            <w:tcBorders>
              <w:top w:val="nil"/>
              <w:bottom w:val="nil"/>
            </w:tcBorders>
            <w:shd w:val="clear" w:color="auto" w:fill="FFFFFF"/>
            <w:vAlign w:val="center"/>
          </w:tcPr>
          <w:p w14:paraId="2E24151B" w14:textId="100F9FA5" w:rsidR="00134ED1" w:rsidRPr="009E0081" w:rsidRDefault="00134ED1" w:rsidP="00134ED1">
            <w:pPr>
              <w:pStyle w:val="CETBodytext"/>
              <w:ind w:right="-1"/>
              <w:jc w:val="left"/>
              <w:rPr>
                <w:rFonts w:cs="Arial"/>
                <w:szCs w:val="18"/>
              </w:rPr>
            </w:pPr>
            <w:r w:rsidRPr="009E0081">
              <w:rPr>
                <w:rFonts w:cs="Arial"/>
                <w:color w:val="000000"/>
                <w:szCs w:val="18"/>
              </w:rPr>
              <w:t>4.5 × 10</w:t>
            </w:r>
            <w:r w:rsidRPr="009E0081">
              <w:rPr>
                <w:rFonts w:cs="Arial"/>
                <w:color w:val="000000"/>
                <w:szCs w:val="18"/>
                <w:vertAlign w:val="superscript"/>
              </w:rPr>
              <w:t>-4</w:t>
            </w:r>
          </w:p>
        </w:tc>
        <w:tc>
          <w:tcPr>
            <w:tcW w:w="714" w:type="pct"/>
            <w:tcBorders>
              <w:top w:val="nil"/>
              <w:bottom w:val="nil"/>
            </w:tcBorders>
            <w:shd w:val="clear" w:color="auto" w:fill="FFFFFF"/>
            <w:vAlign w:val="center"/>
          </w:tcPr>
          <w:p w14:paraId="394A702B" w14:textId="345FB6CA" w:rsidR="00134ED1" w:rsidRPr="009E0081" w:rsidRDefault="00134ED1" w:rsidP="00134ED1">
            <w:pPr>
              <w:pStyle w:val="CETBodytext"/>
              <w:ind w:right="-1"/>
              <w:jc w:val="left"/>
              <w:rPr>
                <w:rFonts w:cs="Arial"/>
                <w:szCs w:val="18"/>
              </w:rPr>
            </w:pPr>
            <w:r w:rsidRPr="009E0081">
              <w:rPr>
                <w:rFonts w:cs="Arial"/>
                <w:color w:val="000000"/>
                <w:szCs w:val="18"/>
              </w:rPr>
              <w:t>8.8 × 10</w:t>
            </w:r>
            <w:r w:rsidRPr="009E0081">
              <w:rPr>
                <w:rFonts w:cs="Arial"/>
                <w:color w:val="000000"/>
                <w:szCs w:val="18"/>
                <w:vertAlign w:val="superscript"/>
              </w:rPr>
              <w:t>-4</w:t>
            </w:r>
          </w:p>
        </w:tc>
        <w:tc>
          <w:tcPr>
            <w:tcW w:w="714" w:type="pct"/>
            <w:tcBorders>
              <w:top w:val="nil"/>
              <w:bottom w:val="nil"/>
            </w:tcBorders>
            <w:shd w:val="clear" w:color="auto" w:fill="FFFFFF"/>
            <w:vAlign w:val="center"/>
          </w:tcPr>
          <w:p w14:paraId="77BE06C5" w14:textId="45C78F57" w:rsidR="00134ED1" w:rsidRPr="009E0081" w:rsidRDefault="00134ED1" w:rsidP="00134ED1">
            <w:pPr>
              <w:pStyle w:val="CETBodytext"/>
              <w:ind w:right="-1"/>
              <w:jc w:val="left"/>
              <w:rPr>
                <w:rFonts w:cs="Arial"/>
                <w:szCs w:val="18"/>
              </w:rPr>
            </w:pPr>
            <w:proofErr w:type="spellStart"/>
            <w:r w:rsidRPr="009E0081">
              <w:rPr>
                <w:rFonts w:cs="Arial"/>
                <w:szCs w:val="18"/>
              </w:rPr>
              <w:t>n.a.</w:t>
            </w:r>
            <w:proofErr w:type="spellEnd"/>
          </w:p>
        </w:tc>
        <w:tc>
          <w:tcPr>
            <w:tcW w:w="715" w:type="pct"/>
            <w:tcBorders>
              <w:top w:val="nil"/>
              <w:bottom w:val="nil"/>
            </w:tcBorders>
            <w:shd w:val="clear" w:color="auto" w:fill="FFFFFF"/>
            <w:vAlign w:val="center"/>
          </w:tcPr>
          <w:p w14:paraId="35E41BAB" w14:textId="13D2CCDB" w:rsidR="00134ED1" w:rsidRPr="009E0081" w:rsidRDefault="00134ED1" w:rsidP="00134ED1">
            <w:pPr>
              <w:pStyle w:val="CETBodytext"/>
              <w:ind w:right="-1"/>
              <w:jc w:val="left"/>
              <w:rPr>
                <w:rFonts w:cs="Arial"/>
                <w:szCs w:val="18"/>
              </w:rPr>
            </w:pPr>
            <w:proofErr w:type="spellStart"/>
            <w:r w:rsidRPr="009E0081">
              <w:rPr>
                <w:rFonts w:cs="Arial"/>
                <w:szCs w:val="18"/>
              </w:rPr>
              <w:t>n.a.</w:t>
            </w:r>
            <w:proofErr w:type="spellEnd"/>
          </w:p>
        </w:tc>
      </w:tr>
      <w:tr w:rsidR="00134ED1" w:rsidRPr="00C07897" w14:paraId="1897C544" w14:textId="65B9EBF6" w:rsidTr="006D7676">
        <w:tc>
          <w:tcPr>
            <w:tcW w:w="714" w:type="pct"/>
            <w:tcBorders>
              <w:top w:val="nil"/>
              <w:bottom w:val="nil"/>
            </w:tcBorders>
            <w:shd w:val="clear" w:color="auto" w:fill="FFFFFF"/>
            <w:vAlign w:val="center"/>
          </w:tcPr>
          <w:p w14:paraId="2FBF4783" w14:textId="25E1B029" w:rsidR="00134ED1" w:rsidRPr="006E5860" w:rsidRDefault="00134ED1" w:rsidP="00134ED1">
            <w:pPr>
              <w:pStyle w:val="CETBodytext"/>
              <w:ind w:right="-1"/>
              <w:jc w:val="left"/>
              <w:rPr>
                <w:rFonts w:cs="Arial"/>
                <w:szCs w:val="18"/>
              </w:rPr>
            </w:pPr>
            <w:r w:rsidRPr="006E5860">
              <w:rPr>
                <w:rFonts w:cs="Arial"/>
                <w:szCs w:val="18"/>
              </w:rPr>
              <w:t>R3</w:t>
            </w:r>
          </w:p>
        </w:tc>
        <w:tc>
          <w:tcPr>
            <w:tcW w:w="714" w:type="pct"/>
            <w:tcBorders>
              <w:top w:val="nil"/>
              <w:bottom w:val="nil"/>
            </w:tcBorders>
            <w:shd w:val="clear" w:color="auto" w:fill="FFFFFF"/>
            <w:vAlign w:val="center"/>
          </w:tcPr>
          <w:p w14:paraId="559F8364" w14:textId="3D4BE7E3" w:rsidR="00134ED1" w:rsidRPr="009E0081" w:rsidRDefault="00134ED1" w:rsidP="00134ED1">
            <w:pPr>
              <w:pStyle w:val="CETBodytext"/>
              <w:ind w:right="-1"/>
              <w:jc w:val="left"/>
              <w:rPr>
                <w:rFonts w:cs="Arial"/>
                <w:szCs w:val="18"/>
              </w:rPr>
            </w:pPr>
            <w:r w:rsidRPr="009E0081">
              <w:rPr>
                <w:rFonts w:cs="Arial"/>
                <w:color w:val="000000"/>
                <w:szCs w:val="18"/>
              </w:rPr>
              <w:t>1.2 × 10</w:t>
            </w:r>
            <w:r w:rsidRPr="009E0081">
              <w:rPr>
                <w:rFonts w:cs="Arial"/>
                <w:color w:val="000000"/>
                <w:szCs w:val="18"/>
                <w:vertAlign w:val="superscript"/>
              </w:rPr>
              <w:t>-7</w:t>
            </w:r>
          </w:p>
        </w:tc>
        <w:tc>
          <w:tcPr>
            <w:tcW w:w="714" w:type="pct"/>
            <w:tcBorders>
              <w:top w:val="nil"/>
              <w:bottom w:val="nil"/>
            </w:tcBorders>
            <w:shd w:val="clear" w:color="auto" w:fill="FFFFFF"/>
            <w:vAlign w:val="center"/>
          </w:tcPr>
          <w:p w14:paraId="638086A4" w14:textId="568E969E" w:rsidR="00134ED1" w:rsidRPr="009E0081" w:rsidRDefault="00134ED1" w:rsidP="00134ED1">
            <w:pPr>
              <w:pStyle w:val="CETBodytext"/>
              <w:ind w:right="-1"/>
              <w:jc w:val="left"/>
              <w:rPr>
                <w:rFonts w:cs="Arial"/>
                <w:szCs w:val="18"/>
              </w:rPr>
            </w:pPr>
            <w:r w:rsidRPr="009E0081">
              <w:rPr>
                <w:rFonts w:cs="Arial"/>
                <w:color w:val="000000"/>
                <w:szCs w:val="18"/>
              </w:rPr>
              <w:t>1.2 × 10</w:t>
            </w:r>
            <w:r w:rsidRPr="009E0081">
              <w:rPr>
                <w:rFonts w:cs="Arial"/>
                <w:color w:val="000000"/>
                <w:szCs w:val="18"/>
                <w:vertAlign w:val="superscript"/>
              </w:rPr>
              <w:t>-7</w:t>
            </w:r>
          </w:p>
        </w:tc>
        <w:tc>
          <w:tcPr>
            <w:tcW w:w="715" w:type="pct"/>
            <w:tcBorders>
              <w:top w:val="nil"/>
              <w:bottom w:val="nil"/>
            </w:tcBorders>
            <w:shd w:val="clear" w:color="auto" w:fill="FFFFFF"/>
            <w:vAlign w:val="center"/>
          </w:tcPr>
          <w:p w14:paraId="54BA3052" w14:textId="4E0B4DB4" w:rsidR="00134ED1" w:rsidRPr="009E0081" w:rsidRDefault="00134ED1" w:rsidP="00134ED1">
            <w:pPr>
              <w:pStyle w:val="CETBodytext"/>
              <w:ind w:right="-1"/>
              <w:jc w:val="left"/>
              <w:rPr>
                <w:rFonts w:cs="Arial"/>
                <w:szCs w:val="18"/>
              </w:rPr>
            </w:pPr>
            <w:r w:rsidRPr="009E0081">
              <w:rPr>
                <w:rFonts w:cs="Arial"/>
                <w:color w:val="000000"/>
                <w:szCs w:val="18"/>
              </w:rPr>
              <w:t>1.0 × 10</w:t>
            </w:r>
            <w:r w:rsidRPr="009E0081">
              <w:rPr>
                <w:rFonts w:cs="Arial"/>
                <w:color w:val="000000"/>
                <w:szCs w:val="18"/>
                <w:vertAlign w:val="superscript"/>
              </w:rPr>
              <w:t>-4</w:t>
            </w:r>
          </w:p>
        </w:tc>
        <w:tc>
          <w:tcPr>
            <w:tcW w:w="714" w:type="pct"/>
            <w:tcBorders>
              <w:top w:val="nil"/>
              <w:bottom w:val="nil"/>
            </w:tcBorders>
            <w:shd w:val="clear" w:color="auto" w:fill="FFFFFF"/>
            <w:vAlign w:val="center"/>
          </w:tcPr>
          <w:p w14:paraId="05DCA577" w14:textId="7361BF6D" w:rsidR="00134ED1" w:rsidRPr="009E0081" w:rsidRDefault="00134ED1" w:rsidP="00134ED1">
            <w:pPr>
              <w:pStyle w:val="CETBodytext"/>
              <w:ind w:right="-1"/>
              <w:jc w:val="left"/>
              <w:rPr>
                <w:rFonts w:cs="Arial"/>
                <w:szCs w:val="18"/>
              </w:rPr>
            </w:pPr>
            <w:r w:rsidRPr="009E0081">
              <w:rPr>
                <w:rFonts w:cs="Arial"/>
                <w:color w:val="000000"/>
                <w:szCs w:val="18"/>
              </w:rPr>
              <w:t>1.0 × 10</w:t>
            </w:r>
            <w:r w:rsidRPr="009E0081">
              <w:rPr>
                <w:rFonts w:cs="Arial"/>
                <w:color w:val="000000"/>
                <w:szCs w:val="18"/>
                <w:vertAlign w:val="superscript"/>
              </w:rPr>
              <w:t>-4</w:t>
            </w:r>
          </w:p>
        </w:tc>
        <w:tc>
          <w:tcPr>
            <w:tcW w:w="714" w:type="pct"/>
            <w:tcBorders>
              <w:top w:val="nil"/>
              <w:bottom w:val="nil"/>
            </w:tcBorders>
            <w:shd w:val="clear" w:color="auto" w:fill="FFFFFF"/>
            <w:vAlign w:val="center"/>
          </w:tcPr>
          <w:p w14:paraId="7CC47A61" w14:textId="0D62C086" w:rsidR="00134ED1" w:rsidRPr="009E0081" w:rsidRDefault="00134ED1" w:rsidP="00134ED1">
            <w:pPr>
              <w:pStyle w:val="CETBodytext"/>
              <w:ind w:right="-1"/>
              <w:jc w:val="left"/>
              <w:rPr>
                <w:rFonts w:cs="Arial"/>
                <w:szCs w:val="18"/>
              </w:rPr>
            </w:pPr>
            <w:proofErr w:type="spellStart"/>
            <w:r w:rsidRPr="009E0081">
              <w:rPr>
                <w:rFonts w:cs="Arial"/>
                <w:szCs w:val="18"/>
              </w:rPr>
              <w:t>n.a.</w:t>
            </w:r>
            <w:proofErr w:type="spellEnd"/>
          </w:p>
        </w:tc>
        <w:tc>
          <w:tcPr>
            <w:tcW w:w="715" w:type="pct"/>
            <w:tcBorders>
              <w:top w:val="nil"/>
              <w:bottom w:val="nil"/>
            </w:tcBorders>
            <w:shd w:val="clear" w:color="auto" w:fill="FFFFFF"/>
            <w:vAlign w:val="center"/>
          </w:tcPr>
          <w:p w14:paraId="289E220C" w14:textId="2080859C" w:rsidR="00134ED1" w:rsidRPr="009E0081" w:rsidRDefault="00134ED1" w:rsidP="00134ED1">
            <w:pPr>
              <w:pStyle w:val="CETBodytext"/>
              <w:ind w:right="-1"/>
              <w:jc w:val="left"/>
              <w:rPr>
                <w:rFonts w:cs="Arial"/>
                <w:szCs w:val="18"/>
              </w:rPr>
            </w:pPr>
            <w:proofErr w:type="spellStart"/>
            <w:r w:rsidRPr="009E0081">
              <w:rPr>
                <w:rFonts w:cs="Arial"/>
                <w:szCs w:val="18"/>
              </w:rPr>
              <w:t>n.a.</w:t>
            </w:r>
            <w:proofErr w:type="spellEnd"/>
          </w:p>
        </w:tc>
      </w:tr>
      <w:tr w:rsidR="00134ED1" w:rsidRPr="00C07897" w14:paraId="3D91DB97" w14:textId="756592AB" w:rsidTr="006D7676">
        <w:tc>
          <w:tcPr>
            <w:tcW w:w="714" w:type="pct"/>
            <w:tcBorders>
              <w:top w:val="nil"/>
              <w:bottom w:val="nil"/>
            </w:tcBorders>
            <w:shd w:val="clear" w:color="auto" w:fill="FFFFFF"/>
            <w:vAlign w:val="center"/>
          </w:tcPr>
          <w:p w14:paraId="61AEFB90" w14:textId="5817D8B6" w:rsidR="00134ED1" w:rsidRPr="006E5860" w:rsidRDefault="00134ED1" w:rsidP="00134ED1">
            <w:pPr>
              <w:pStyle w:val="CETBodytext"/>
              <w:ind w:right="-1"/>
              <w:jc w:val="left"/>
              <w:rPr>
                <w:rFonts w:cs="Arial"/>
                <w:szCs w:val="18"/>
              </w:rPr>
            </w:pPr>
            <w:r w:rsidRPr="006E5860">
              <w:rPr>
                <w:rFonts w:cs="Arial"/>
                <w:szCs w:val="18"/>
              </w:rPr>
              <w:t>R4</w:t>
            </w:r>
          </w:p>
        </w:tc>
        <w:tc>
          <w:tcPr>
            <w:tcW w:w="714" w:type="pct"/>
            <w:tcBorders>
              <w:top w:val="nil"/>
              <w:bottom w:val="nil"/>
            </w:tcBorders>
            <w:shd w:val="clear" w:color="auto" w:fill="FFFFFF"/>
            <w:vAlign w:val="center"/>
          </w:tcPr>
          <w:p w14:paraId="2EF9B5D5" w14:textId="75448F57" w:rsidR="00134ED1" w:rsidRPr="009E0081" w:rsidRDefault="00134ED1" w:rsidP="00134ED1">
            <w:pPr>
              <w:pStyle w:val="CETBodytext"/>
              <w:ind w:right="-1"/>
              <w:jc w:val="left"/>
              <w:rPr>
                <w:rFonts w:cs="Arial"/>
                <w:szCs w:val="18"/>
              </w:rPr>
            </w:pPr>
            <w:r w:rsidRPr="009E0081">
              <w:rPr>
                <w:rFonts w:cs="Arial"/>
                <w:color w:val="000000"/>
                <w:szCs w:val="18"/>
              </w:rPr>
              <w:t>5.0 × 10</w:t>
            </w:r>
            <w:r w:rsidRPr="009E0081">
              <w:rPr>
                <w:rFonts w:cs="Arial"/>
                <w:color w:val="000000"/>
                <w:szCs w:val="18"/>
                <w:vertAlign w:val="superscript"/>
              </w:rPr>
              <w:t>-4</w:t>
            </w:r>
          </w:p>
        </w:tc>
        <w:tc>
          <w:tcPr>
            <w:tcW w:w="714" w:type="pct"/>
            <w:tcBorders>
              <w:top w:val="nil"/>
              <w:bottom w:val="nil"/>
            </w:tcBorders>
            <w:shd w:val="clear" w:color="auto" w:fill="FFFFFF"/>
          </w:tcPr>
          <w:p w14:paraId="3CC17AAE" w14:textId="0B979E7C" w:rsidR="00134ED1" w:rsidRPr="009E0081" w:rsidRDefault="00134ED1" w:rsidP="00134ED1">
            <w:pPr>
              <w:pStyle w:val="CETBodytext"/>
              <w:ind w:right="-1"/>
              <w:jc w:val="left"/>
              <w:rPr>
                <w:rFonts w:cs="Arial"/>
                <w:szCs w:val="18"/>
              </w:rPr>
            </w:pPr>
            <w:proofErr w:type="spellStart"/>
            <w:r w:rsidRPr="009E0081">
              <w:rPr>
                <w:rFonts w:cs="Arial"/>
                <w:szCs w:val="18"/>
              </w:rPr>
              <w:t>n.c.</w:t>
            </w:r>
            <w:proofErr w:type="spellEnd"/>
          </w:p>
        </w:tc>
        <w:tc>
          <w:tcPr>
            <w:tcW w:w="715" w:type="pct"/>
            <w:tcBorders>
              <w:top w:val="nil"/>
              <w:bottom w:val="nil"/>
            </w:tcBorders>
            <w:shd w:val="clear" w:color="auto" w:fill="FFFFFF"/>
          </w:tcPr>
          <w:p w14:paraId="658C37EE" w14:textId="73C8A2E7" w:rsidR="00134ED1" w:rsidRPr="009E0081" w:rsidRDefault="00134ED1" w:rsidP="00134ED1">
            <w:pPr>
              <w:pStyle w:val="CETBodytext"/>
              <w:ind w:right="-1"/>
              <w:jc w:val="left"/>
              <w:rPr>
                <w:rFonts w:cs="Arial"/>
                <w:szCs w:val="18"/>
              </w:rPr>
            </w:pPr>
            <w:proofErr w:type="spellStart"/>
            <w:r w:rsidRPr="009E0081">
              <w:rPr>
                <w:rFonts w:cs="Arial"/>
                <w:szCs w:val="18"/>
              </w:rPr>
              <w:t>n.a.</w:t>
            </w:r>
            <w:proofErr w:type="spellEnd"/>
          </w:p>
        </w:tc>
        <w:tc>
          <w:tcPr>
            <w:tcW w:w="714" w:type="pct"/>
            <w:tcBorders>
              <w:top w:val="nil"/>
              <w:bottom w:val="nil"/>
            </w:tcBorders>
            <w:shd w:val="clear" w:color="auto" w:fill="FFFFFF"/>
          </w:tcPr>
          <w:p w14:paraId="4F4A93AE" w14:textId="12785F1E" w:rsidR="00134ED1" w:rsidRPr="009E0081" w:rsidRDefault="00134ED1" w:rsidP="00134ED1">
            <w:pPr>
              <w:pStyle w:val="CETBodytext"/>
              <w:ind w:right="-1"/>
              <w:jc w:val="left"/>
              <w:rPr>
                <w:rFonts w:cs="Arial"/>
                <w:szCs w:val="18"/>
              </w:rPr>
            </w:pPr>
            <w:proofErr w:type="spellStart"/>
            <w:r w:rsidRPr="009E0081">
              <w:rPr>
                <w:rFonts w:cs="Arial"/>
                <w:szCs w:val="18"/>
              </w:rPr>
              <w:t>n.c.</w:t>
            </w:r>
            <w:proofErr w:type="spellEnd"/>
          </w:p>
        </w:tc>
        <w:tc>
          <w:tcPr>
            <w:tcW w:w="714" w:type="pct"/>
            <w:tcBorders>
              <w:top w:val="nil"/>
              <w:bottom w:val="nil"/>
            </w:tcBorders>
            <w:shd w:val="clear" w:color="auto" w:fill="FFFFFF"/>
            <w:vAlign w:val="center"/>
          </w:tcPr>
          <w:p w14:paraId="7B105B77" w14:textId="5C3BC8FA" w:rsidR="00134ED1" w:rsidRPr="009E0081" w:rsidRDefault="00134ED1" w:rsidP="00134ED1">
            <w:pPr>
              <w:pStyle w:val="CETBodytext"/>
              <w:ind w:right="-1"/>
              <w:jc w:val="left"/>
              <w:rPr>
                <w:rFonts w:cs="Arial"/>
                <w:szCs w:val="18"/>
              </w:rPr>
            </w:pPr>
            <w:proofErr w:type="spellStart"/>
            <w:r w:rsidRPr="009E0081">
              <w:rPr>
                <w:rFonts w:cs="Arial"/>
                <w:szCs w:val="18"/>
              </w:rPr>
              <w:t>n.a.</w:t>
            </w:r>
            <w:proofErr w:type="spellEnd"/>
          </w:p>
        </w:tc>
        <w:tc>
          <w:tcPr>
            <w:tcW w:w="715" w:type="pct"/>
            <w:tcBorders>
              <w:top w:val="nil"/>
              <w:bottom w:val="nil"/>
            </w:tcBorders>
            <w:shd w:val="clear" w:color="auto" w:fill="FFFFFF"/>
            <w:vAlign w:val="center"/>
          </w:tcPr>
          <w:p w14:paraId="54B8AF45" w14:textId="7C9A08FE" w:rsidR="00134ED1" w:rsidRPr="009E0081" w:rsidRDefault="00134ED1" w:rsidP="00134ED1">
            <w:pPr>
              <w:pStyle w:val="CETBodytext"/>
              <w:ind w:right="-1"/>
              <w:jc w:val="left"/>
              <w:rPr>
                <w:rFonts w:cs="Arial"/>
                <w:szCs w:val="18"/>
              </w:rPr>
            </w:pPr>
            <w:proofErr w:type="spellStart"/>
            <w:r w:rsidRPr="009E0081">
              <w:rPr>
                <w:rFonts w:cs="Arial"/>
                <w:szCs w:val="18"/>
              </w:rPr>
              <w:t>n.a.</w:t>
            </w:r>
            <w:proofErr w:type="spellEnd"/>
          </w:p>
        </w:tc>
      </w:tr>
      <w:tr w:rsidR="00134ED1" w:rsidRPr="00C07897" w14:paraId="4CC136BD" w14:textId="51357E7E" w:rsidTr="006D7676">
        <w:tc>
          <w:tcPr>
            <w:tcW w:w="714" w:type="pct"/>
            <w:tcBorders>
              <w:top w:val="nil"/>
              <w:bottom w:val="nil"/>
            </w:tcBorders>
            <w:shd w:val="clear" w:color="auto" w:fill="FFFFFF"/>
            <w:vAlign w:val="center"/>
          </w:tcPr>
          <w:p w14:paraId="46F2FA19" w14:textId="0F5201B3" w:rsidR="00134ED1" w:rsidRPr="006E5860" w:rsidRDefault="00134ED1" w:rsidP="00134ED1">
            <w:pPr>
              <w:pStyle w:val="CETBodytext"/>
              <w:ind w:right="-1"/>
              <w:jc w:val="left"/>
              <w:rPr>
                <w:rFonts w:cs="Arial"/>
                <w:szCs w:val="18"/>
              </w:rPr>
            </w:pPr>
            <w:r w:rsidRPr="006E5860">
              <w:rPr>
                <w:rFonts w:cs="Arial"/>
                <w:szCs w:val="18"/>
              </w:rPr>
              <w:t>R5</w:t>
            </w:r>
          </w:p>
        </w:tc>
        <w:tc>
          <w:tcPr>
            <w:tcW w:w="714" w:type="pct"/>
            <w:tcBorders>
              <w:top w:val="nil"/>
              <w:bottom w:val="nil"/>
            </w:tcBorders>
            <w:shd w:val="clear" w:color="auto" w:fill="FFFFFF"/>
            <w:vAlign w:val="center"/>
          </w:tcPr>
          <w:p w14:paraId="2865EBCD" w14:textId="2E846F3B" w:rsidR="00134ED1" w:rsidRPr="009E0081" w:rsidRDefault="00134ED1" w:rsidP="00134ED1">
            <w:pPr>
              <w:pStyle w:val="CETBodytext"/>
              <w:ind w:right="-1"/>
              <w:jc w:val="left"/>
              <w:rPr>
                <w:rFonts w:cs="Arial"/>
                <w:szCs w:val="18"/>
              </w:rPr>
            </w:pPr>
            <w:r w:rsidRPr="009E0081">
              <w:rPr>
                <w:rFonts w:cs="Arial"/>
                <w:color w:val="000000"/>
                <w:szCs w:val="18"/>
              </w:rPr>
              <w:t>5.0 × 10</w:t>
            </w:r>
            <w:r w:rsidRPr="009E0081">
              <w:rPr>
                <w:rFonts w:cs="Arial"/>
                <w:color w:val="000000"/>
                <w:szCs w:val="18"/>
                <w:vertAlign w:val="superscript"/>
              </w:rPr>
              <w:t>-5</w:t>
            </w:r>
          </w:p>
        </w:tc>
        <w:tc>
          <w:tcPr>
            <w:tcW w:w="714" w:type="pct"/>
            <w:tcBorders>
              <w:top w:val="nil"/>
              <w:bottom w:val="nil"/>
            </w:tcBorders>
            <w:shd w:val="clear" w:color="auto" w:fill="FFFFFF"/>
          </w:tcPr>
          <w:p w14:paraId="6913DBBB" w14:textId="0896BD0F" w:rsidR="00134ED1" w:rsidRPr="009E0081" w:rsidRDefault="00134ED1" w:rsidP="00134ED1">
            <w:pPr>
              <w:pStyle w:val="CETBodytext"/>
              <w:ind w:right="-1"/>
              <w:jc w:val="left"/>
              <w:rPr>
                <w:rFonts w:cs="Arial"/>
                <w:szCs w:val="18"/>
              </w:rPr>
            </w:pPr>
            <w:proofErr w:type="spellStart"/>
            <w:r w:rsidRPr="009E0081">
              <w:rPr>
                <w:rFonts w:cs="Arial"/>
                <w:szCs w:val="18"/>
              </w:rPr>
              <w:t>n.c.</w:t>
            </w:r>
            <w:proofErr w:type="spellEnd"/>
          </w:p>
        </w:tc>
        <w:tc>
          <w:tcPr>
            <w:tcW w:w="715" w:type="pct"/>
            <w:tcBorders>
              <w:top w:val="nil"/>
              <w:bottom w:val="nil"/>
            </w:tcBorders>
            <w:shd w:val="clear" w:color="auto" w:fill="FFFFFF"/>
          </w:tcPr>
          <w:p w14:paraId="39E180FB" w14:textId="73E1A459" w:rsidR="00134ED1" w:rsidRPr="009E0081" w:rsidRDefault="00134ED1" w:rsidP="00134ED1">
            <w:pPr>
              <w:pStyle w:val="CETBodytext"/>
              <w:ind w:right="-1"/>
              <w:jc w:val="left"/>
              <w:rPr>
                <w:rFonts w:cs="Arial"/>
                <w:szCs w:val="18"/>
              </w:rPr>
            </w:pPr>
            <w:proofErr w:type="spellStart"/>
            <w:r w:rsidRPr="009E0081">
              <w:rPr>
                <w:rFonts w:cs="Arial"/>
                <w:szCs w:val="18"/>
              </w:rPr>
              <w:t>n.a.</w:t>
            </w:r>
            <w:proofErr w:type="spellEnd"/>
          </w:p>
        </w:tc>
        <w:tc>
          <w:tcPr>
            <w:tcW w:w="714" w:type="pct"/>
            <w:tcBorders>
              <w:top w:val="nil"/>
              <w:bottom w:val="nil"/>
            </w:tcBorders>
            <w:shd w:val="clear" w:color="auto" w:fill="FFFFFF"/>
          </w:tcPr>
          <w:p w14:paraId="1B1DF42E" w14:textId="40D2EE5D" w:rsidR="00134ED1" w:rsidRPr="009E0081" w:rsidRDefault="00134ED1" w:rsidP="00134ED1">
            <w:pPr>
              <w:pStyle w:val="CETBodytext"/>
              <w:ind w:right="-1"/>
              <w:jc w:val="left"/>
              <w:rPr>
                <w:rFonts w:cs="Arial"/>
                <w:szCs w:val="18"/>
              </w:rPr>
            </w:pPr>
            <w:proofErr w:type="spellStart"/>
            <w:r w:rsidRPr="009E0081">
              <w:rPr>
                <w:rFonts w:cs="Arial"/>
                <w:szCs w:val="18"/>
              </w:rPr>
              <w:t>n.c.</w:t>
            </w:r>
            <w:proofErr w:type="spellEnd"/>
          </w:p>
        </w:tc>
        <w:tc>
          <w:tcPr>
            <w:tcW w:w="714" w:type="pct"/>
            <w:tcBorders>
              <w:top w:val="nil"/>
              <w:bottom w:val="nil"/>
            </w:tcBorders>
            <w:shd w:val="clear" w:color="auto" w:fill="FFFFFF"/>
            <w:vAlign w:val="center"/>
          </w:tcPr>
          <w:p w14:paraId="672D37C4" w14:textId="5D763F10" w:rsidR="00134ED1" w:rsidRPr="009E0081" w:rsidRDefault="00134ED1" w:rsidP="00134ED1">
            <w:pPr>
              <w:pStyle w:val="CETBodytext"/>
              <w:ind w:right="-1"/>
              <w:jc w:val="left"/>
              <w:rPr>
                <w:rFonts w:cs="Arial"/>
                <w:szCs w:val="18"/>
              </w:rPr>
            </w:pPr>
            <w:proofErr w:type="spellStart"/>
            <w:r w:rsidRPr="009E0081">
              <w:rPr>
                <w:rFonts w:cs="Arial"/>
                <w:szCs w:val="18"/>
              </w:rPr>
              <w:t>n.a.</w:t>
            </w:r>
            <w:proofErr w:type="spellEnd"/>
          </w:p>
        </w:tc>
        <w:tc>
          <w:tcPr>
            <w:tcW w:w="715" w:type="pct"/>
            <w:tcBorders>
              <w:top w:val="nil"/>
              <w:bottom w:val="nil"/>
            </w:tcBorders>
            <w:shd w:val="clear" w:color="auto" w:fill="FFFFFF"/>
            <w:vAlign w:val="center"/>
          </w:tcPr>
          <w:p w14:paraId="0C429805" w14:textId="1C5E426C" w:rsidR="00134ED1" w:rsidRPr="009E0081" w:rsidRDefault="00134ED1" w:rsidP="00134ED1">
            <w:pPr>
              <w:pStyle w:val="CETBodytext"/>
              <w:ind w:right="-1"/>
              <w:jc w:val="left"/>
              <w:rPr>
                <w:rFonts w:cs="Arial"/>
                <w:szCs w:val="18"/>
              </w:rPr>
            </w:pPr>
            <w:proofErr w:type="spellStart"/>
            <w:r w:rsidRPr="009E0081">
              <w:rPr>
                <w:rFonts w:cs="Arial"/>
                <w:szCs w:val="18"/>
              </w:rPr>
              <w:t>n.a.</w:t>
            </w:r>
            <w:proofErr w:type="spellEnd"/>
          </w:p>
        </w:tc>
      </w:tr>
      <w:tr w:rsidR="00134ED1" w:rsidRPr="00C07897" w14:paraId="1B8D288B" w14:textId="1345184C" w:rsidTr="006D7676">
        <w:tc>
          <w:tcPr>
            <w:tcW w:w="714" w:type="pct"/>
            <w:tcBorders>
              <w:top w:val="nil"/>
              <w:bottom w:val="nil"/>
            </w:tcBorders>
            <w:shd w:val="clear" w:color="auto" w:fill="FFFFFF"/>
            <w:vAlign w:val="center"/>
          </w:tcPr>
          <w:p w14:paraId="41D9F768" w14:textId="6D02610C" w:rsidR="00134ED1" w:rsidRPr="006E5860" w:rsidRDefault="00134ED1" w:rsidP="00134ED1">
            <w:pPr>
              <w:pStyle w:val="CETBodytext"/>
              <w:ind w:right="-1"/>
              <w:jc w:val="left"/>
              <w:rPr>
                <w:rFonts w:cs="Arial"/>
                <w:szCs w:val="18"/>
              </w:rPr>
            </w:pPr>
            <w:r w:rsidRPr="006E5860">
              <w:rPr>
                <w:rFonts w:cs="Arial"/>
                <w:szCs w:val="18"/>
              </w:rPr>
              <w:t>R6</w:t>
            </w:r>
          </w:p>
        </w:tc>
        <w:tc>
          <w:tcPr>
            <w:tcW w:w="714" w:type="pct"/>
            <w:tcBorders>
              <w:top w:val="nil"/>
              <w:bottom w:val="nil"/>
            </w:tcBorders>
            <w:shd w:val="clear" w:color="auto" w:fill="FFFFFF"/>
          </w:tcPr>
          <w:p w14:paraId="4A0E6C93" w14:textId="46386E18" w:rsidR="00134ED1" w:rsidRPr="009E0081" w:rsidRDefault="00134ED1" w:rsidP="00134ED1">
            <w:pPr>
              <w:pStyle w:val="CETBodytext"/>
              <w:ind w:right="-1"/>
              <w:jc w:val="left"/>
              <w:rPr>
                <w:rFonts w:cs="Arial"/>
                <w:szCs w:val="18"/>
              </w:rPr>
            </w:pPr>
            <w:r w:rsidRPr="009E0081">
              <w:rPr>
                <w:rFonts w:cs="Arial"/>
                <w:color w:val="000000"/>
                <w:szCs w:val="18"/>
              </w:rPr>
              <w:t>5.0 × 10</w:t>
            </w:r>
            <w:r w:rsidRPr="009E0081">
              <w:rPr>
                <w:rFonts w:cs="Arial"/>
                <w:color w:val="000000"/>
                <w:szCs w:val="18"/>
                <w:vertAlign w:val="superscript"/>
              </w:rPr>
              <w:t>-6</w:t>
            </w:r>
          </w:p>
        </w:tc>
        <w:tc>
          <w:tcPr>
            <w:tcW w:w="714" w:type="pct"/>
            <w:tcBorders>
              <w:top w:val="nil"/>
              <w:bottom w:val="nil"/>
            </w:tcBorders>
            <w:shd w:val="clear" w:color="auto" w:fill="FFFFFF"/>
          </w:tcPr>
          <w:p w14:paraId="26681F1E" w14:textId="3262254A" w:rsidR="00134ED1" w:rsidRPr="009E0081" w:rsidRDefault="00134ED1" w:rsidP="00134ED1">
            <w:pPr>
              <w:pStyle w:val="CETBodytext"/>
              <w:ind w:right="-1"/>
              <w:jc w:val="left"/>
              <w:rPr>
                <w:rFonts w:cs="Arial"/>
                <w:szCs w:val="18"/>
              </w:rPr>
            </w:pPr>
            <w:proofErr w:type="spellStart"/>
            <w:r w:rsidRPr="009E0081">
              <w:rPr>
                <w:rFonts w:cs="Arial"/>
                <w:szCs w:val="18"/>
              </w:rPr>
              <w:t>n.c.</w:t>
            </w:r>
            <w:proofErr w:type="spellEnd"/>
          </w:p>
        </w:tc>
        <w:tc>
          <w:tcPr>
            <w:tcW w:w="715" w:type="pct"/>
            <w:tcBorders>
              <w:top w:val="nil"/>
              <w:bottom w:val="nil"/>
            </w:tcBorders>
            <w:shd w:val="clear" w:color="auto" w:fill="FFFFFF"/>
          </w:tcPr>
          <w:p w14:paraId="037E81F7" w14:textId="477880C3" w:rsidR="00134ED1" w:rsidRPr="009E0081" w:rsidRDefault="00134ED1" w:rsidP="00134ED1">
            <w:pPr>
              <w:pStyle w:val="CETBodytext"/>
              <w:ind w:right="-1"/>
              <w:jc w:val="left"/>
              <w:rPr>
                <w:rFonts w:cs="Arial"/>
                <w:szCs w:val="18"/>
              </w:rPr>
            </w:pPr>
            <w:proofErr w:type="spellStart"/>
            <w:r w:rsidRPr="009E0081">
              <w:rPr>
                <w:rFonts w:cs="Arial"/>
                <w:szCs w:val="18"/>
              </w:rPr>
              <w:t>n.a.</w:t>
            </w:r>
            <w:proofErr w:type="spellEnd"/>
          </w:p>
        </w:tc>
        <w:tc>
          <w:tcPr>
            <w:tcW w:w="714" w:type="pct"/>
            <w:tcBorders>
              <w:top w:val="nil"/>
              <w:bottom w:val="nil"/>
            </w:tcBorders>
            <w:shd w:val="clear" w:color="auto" w:fill="FFFFFF"/>
          </w:tcPr>
          <w:p w14:paraId="274C9FD2" w14:textId="1BCFB3EA" w:rsidR="00134ED1" w:rsidRPr="009E0081" w:rsidRDefault="00134ED1" w:rsidP="00134ED1">
            <w:pPr>
              <w:pStyle w:val="CETBodytext"/>
              <w:ind w:right="-1"/>
              <w:jc w:val="left"/>
              <w:rPr>
                <w:rFonts w:cs="Arial"/>
                <w:szCs w:val="18"/>
              </w:rPr>
            </w:pPr>
            <w:proofErr w:type="spellStart"/>
            <w:r w:rsidRPr="009E0081">
              <w:rPr>
                <w:rFonts w:cs="Arial"/>
                <w:szCs w:val="18"/>
              </w:rPr>
              <w:t>n.c.</w:t>
            </w:r>
            <w:proofErr w:type="spellEnd"/>
          </w:p>
        </w:tc>
        <w:tc>
          <w:tcPr>
            <w:tcW w:w="714" w:type="pct"/>
            <w:tcBorders>
              <w:top w:val="nil"/>
              <w:bottom w:val="nil"/>
            </w:tcBorders>
            <w:shd w:val="clear" w:color="auto" w:fill="FFFFFF"/>
            <w:vAlign w:val="center"/>
          </w:tcPr>
          <w:p w14:paraId="419C12E1" w14:textId="1FD57DF1" w:rsidR="00134ED1" w:rsidRPr="009E0081" w:rsidRDefault="00134ED1" w:rsidP="00134ED1">
            <w:pPr>
              <w:pStyle w:val="CETBodytext"/>
              <w:ind w:right="-1"/>
              <w:jc w:val="left"/>
              <w:rPr>
                <w:rFonts w:cs="Arial"/>
                <w:szCs w:val="18"/>
              </w:rPr>
            </w:pPr>
            <w:proofErr w:type="spellStart"/>
            <w:r w:rsidRPr="009E0081">
              <w:rPr>
                <w:rFonts w:cs="Arial"/>
                <w:szCs w:val="18"/>
              </w:rPr>
              <w:t>n.a.</w:t>
            </w:r>
            <w:proofErr w:type="spellEnd"/>
          </w:p>
        </w:tc>
        <w:tc>
          <w:tcPr>
            <w:tcW w:w="715" w:type="pct"/>
            <w:tcBorders>
              <w:top w:val="nil"/>
              <w:bottom w:val="nil"/>
            </w:tcBorders>
            <w:shd w:val="clear" w:color="auto" w:fill="FFFFFF"/>
            <w:vAlign w:val="center"/>
          </w:tcPr>
          <w:p w14:paraId="5CC1D634" w14:textId="5C4D5C31" w:rsidR="00134ED1" w:rsidRPr="009E0081" w:rsidRDefault="00134ED1" w:rsidP="00134ED1">
            <w:pPr>
              <w:pStyle w:val="CETBodytext"/>
              <w:ind w:right="-1"/>
              <w:jc w:val="left"/>
              <w:rPr>
                <w:rFonts w:cs="Arial"/>
                <w:szCs w:val="18"/>
              </w:rPr>
            </w:pPr>
            <w:proofErr w:type="spellStart"/>
            <w:r w:rsidRPr="009E0081">
              <w:rPr>
                <w:rFonts w:cs="Arial"/>
                <w:szCs w:val="18"/>
              </w:rPr>
              <w:t>n.a.</w:t>
            </w:r>
            <w:proofErr w:type="spellEnd"/>
          </w:p>
        </w:tc>
      </w:tr>
      <w:tr w:rsidR="00134ED1" w:rsidRPr="00C07897" w14:paraId="6310708A" w14:textId="00333A4C" w:rsidTr="006D7676">
        <w:tc>
          <w:tcPr>
            <w:tcW w:w="714" w:type="pct"/>
            <w:tcBorders>
              <w:top w:val="nil"/>
              <w:bottom w:val="nil"/>
            </w:tcBorders>
            <w:shd w:val="clear" w:color="auto" w:fill="FFFFFF"/>
            <w:vAlign w:val="center"/>
          </w:tcPr>
          <w:p w14:paraId="64BDB072" w14:textId="4AD1C86A" w:rsidR="00134ED1" w:rsidRPr="006E5860" w:rsidRDefault="00134ED1" w:rsidP="00134ED1">
            <w:pPr>
              <w:pStyle w:val="CETBodytext"/>
              <w:ind w:right="-1"/>
              <w:jc w:val="left"/>
              <w:rPr>
                <w:rFonts w:cs="Arial"/>
                <w:szCs w:val="18"/>
              </w:rPr>
            </w:pPr>
            <w:r w:rsidRPr="006E5860">
              <w:rPr>
                <w:rFonts w:cs="Arial"/>
                <w:szCs w:val="18"/>
              </w:rPr>
              <w:t>R7</w:t>
            </w:r>
          </w:p>
        </w:tc>
        <w:tc>
          <w:tcPr>
            <w:tcW w:w="714" w:type="pct"/>
            <w:tcBorders>
              <w:top w:val="nil"/>
              <w:bottom w:val="nil"/>
            </w:tcBorders>
            <w:shd w:val="clear" w:color="auto" w:fill="FFFFFF"/>
          </w:tcPr>
          <w:p w14:paraId="21FD072A" w14:textId="3F3B5FBC" w:rsidR="00134ED1" w:rsidRPr="009E0081" w:rsidRDefault="00134ED1" w:rsidP="00134ED1">
            <w:pPr>
              <w:pStyle w:val="CETBodytext"/>
              <w:ind w:right="-1"/>
              <w:jc w:val="left"/>
              <w:rPr>
                <w:rFonts w:cs="Arial"/>
                <w:szCs w:val="18"/>
              </w:rPr>
            </w:pPr>
            <w:r w:rsidRPr="009E0081">
              <w:rPr>
                <w:rFonts w:cs="Arial"/>
                <w:color w:val="000000"/>
                <w:szCs w:val="18"/>
              </w:rPr>
              <w:t>5.0 × 10</w:t>
            </w:r>
            <w:r w:rsidRPr="009E0081">
              <w:rPr>
                <w:rFonts w:cs="Arial"/>
                <w:color w:val="000000"/>
                <w:szCs w:val="18"/>
                <w:vertAlign w:val="superscript"/>
              </w:rPr>
              <w:t>-6</w:t>
            </w:r>
          </w:p>
        </w:tc>
        <w:tc>
          <w:tcPr>
            <w:tcW w:w="714" w:type="pct"/>
            <w:tcBorders>
              <w:top w:val="nil"/>
              <w:bottom w:val="nil"/>
            </w:tcBorders>
            <w:shd w:val="clear" w:color="auto" w:fill="FFFFFF"/>
          </w:tcPr>
          <w:p w14:paraId="03089893" w14:textId="1C822E6C" w:rsidR="00134ED1" w:rsidRPr="009E0081" w:rsidRDefault="00134ED1" w:rsidP="00134ED1">
            <w:pPr>
              <w:pStyle w:val="CETBodytext"/>
              <w:ind w:right="-1"/>
              <w:jc w:val="left"/>
              <w:rPr>
                <w:rFonts w:cs="Arial"/>
                <w:szCs w:val="18"/>
              </w:rPr>
            </w:pPr>
            <w:proofErr w:type="spellStart"/>
            <w:r w:rsidRPr="009E0081">
              <w:rPr>
                <w:rFonts w:cs="Arial"/>
                <w:szCs w:val="18"/>
              </w:rPr>
              <w:t>n.c.</w:t>
            </w:r>
            <w:proofErr w:type="spellEnd"/>
          </w:p>
        </w:tc>
        <w:tc>
          <w:tcPr>
            <w:tcW w:w="715" w:type="pct"/>
            <w:tcBorders>
              <w:top w:val="nil"/>
              <w:bottom w:val="nil"/>
            </w:tcBorders>
            <w:shd w:val="clear" w:color="auto" w:fill="FFFFFF"/>
          </w:tcPr>
          <w:p w14:paraId="7BD1E95C" w14:textId="4CD607C5" w:rsidR="00134ED1" w:rsidRPr="009E0081" w:rsidRDefault="00134ED1" w:rsidP="00134ED1">
            <w:pPr>
              <w:pStyle w:val="CETBodytext"/>
              <w:ind w:right="-1"/>
              <w:jc w:val="left"/>
              <w:rPr>
                <w:rFonts w:cs="Arial"/>
                <w:szCs w:val="18"/>
              </w:rPr>
            </w:pPr>
            <w:proofErr w:type="spellStart"/>
            <w:r w:rsidRPr="009E0081">
              <w:rPr>
                <w:rFonts w:cs="Arial"/>
                <w:szCs w:val="18"/>
              </w:rPr>
              <w:t>n.a.</w:t>
            </w:r>
            <w:proofErr w:type="spellEnd"/>
          </w:p>
        </w:tc>
        <w:tc>
          <w:tcPr>
            <w:tcW w:w="714" w:type="pct"/>
            <w:tcBorders>
              <w:top w:val="nil"/>
              <w:bottom w:val="nil"/>
            </w:tcBorders>
            <w:shd w:val="clear" w:color="auto" w:fill="FFFFFF"/>
          </w:tcPr>
          <w:p w14:paraId="3EF263D6" w14:textId="51836F67" w:rsidR="00134ED1" w:rsidRPr="009E0081" w:rsidRDefault="00134ED1" w:rsidP="00134ED1">
            <w:pPr>
              <w:pStyle w:val="CETBodytext"/>
              <w:ind w:right="-1"/>
              <w:jc w:val="left"/>
              <w:rPr>
                <w:rFonts w:cs="Arial"/>
                <w:szCs w:val="18"/>
              </w:rPr>
            </w:pPr>
            <w:proofErr w:type="spellStart"/>
            <w:r w:rsidRPr="009E0081">
              <w:rPr>
                <w:rFonts w:cs="Arial"/>
                <w:szCs w:val="18"/>
              </w:rPr>
              <w:t>n.c.</w:t>
            </w:r>
            <w:proofErr w:type="spellEnd"/>
          </w:p>
        </w:tc>
        <w:tc>
          <w:tcPr>
            <w:tcW w:w="714" w:type="pct"/>
            <w:tcBorders>
              <w:top w:val="nil"/>
              <w:bottom w:val="nil"/>
            </w:tcBorders>
            <w:shd w:val="clear" w:color="auto" w:fill="FFFFFF"/>
            <w:vAlign w:val="center"/>
          </w:tcPr>
          <w:p w14:paraId="73ECEB6B" w14:textId="3560FED3" w:rsidR="00134ED1" w:rsidRPr="009E0081" w:rsidRDefault="00134ED1" w:rsidP="00134ED1">
            <w:pPr>
              <w:pStyle w:val="CETBodytext"/>
              <w:ind w:right="-1"/>
              <w:jc w:val="left"/>
              <w:rPr>
                <w:rFonts w:cs="Arial"/>
                <w:szCs w:val="18"/>
              </w:rPr>
            </w:pPr>
            <w:proofErr w:type="spellStart"/>
            <w:r w:rsidRPr="009E0081">
              <w:rPr>
                <w:rFonts w:cs="Arial"/>
                <w:szCs w:val="18"/>
              </w:rPr>
              <w:t>n.a.</w:t>
            </w:r>
            <w:proofErr w:type="spellEnd"/>
          </w:p>
        </w:tc>
        <w:tc>
          <w:tcPr>
            <w:tcW w:w="715" w:type="pct"/>
            <w:tcBorders>
              <w:top w:val="nil"/>
              <w:bottom w:val="nil"/>
            </w:tcBorders>
            <w:shd w:val="clear" w:color="auto" w:fill="FFFFFF"/>
            <w:vAlign w:val="center"/>
          </w:tcPr>
          <w:p w14:paraId="485025B7" w14:textId="651CB4D3" w:rsidR="00134ED1" w:rsidRPr="009E0081" w:rsidRDefault="00134ED1" w:rsidP="00134ED1">
            <w:pPr>
              <w:pStyle w:val="CETBodytext"/>
              <w:ind w:right="-1"/>
              <w:jc w:val="left"/>
              <w:rPr>
                <w:rFonts w:cs="Arial"/>
                <w:szCs w:val="18"/>
              </w:rPr>
            </w:pPr>
            <w:proofErr w:type="spellStart"/>
            <w:r w:rsidRPr="009E0081">
              <w:rPr>
                <w:rFonts w:cs="Arial"/>
                <w:szCs w:val="18"/>
              </w:rPr>
              <w:t>n.a.</w:t>
            </w:r>
            <w:proofErr w:type="spellEnd"/>
          </w:p>
        </w:tc>
      </w:tr>
      <w:tr w:rsidR="00134ED1" w:rsidRPr="00C07897" w14:paraId="441E387A" w14:textId="32B70713" w:rsidTr="006D7676">
        <w:tc>
          <w:tcPr>
            <w:tcW w:w="714" w:type="pct"/>
            <w:tcBorders>
              <w:top w:val="nil"/>
              <w:bottom w:val="nil"/>
            </w:tcBorders>
            <w:shd w:val="clear" w:color="auto" w:fill="FFFFFF"/>
            <w:vAlign w:val="center"/>
          </w:tcPr>
          <w:p w14:paraId="49B42260" w14:textId="7F46665C" w:rsidR="00134ED1" w:rsidRPr="006E5860" w:rsidRDefault="00134ED1" w:rsidP="00134ED1">
            <w:pPr>
              <w:pStyle w:val="CETBodytext"/>
              <w:ind w:right="-1"/>
              <w:jc w:val="left"/>
              <w:rPr>
                <w:rFonts w:cs="Arial"/>
                <w:szCs w:val="18"/>
              </w:rPr>
            </w:pPr>
            <w:r w:rsidRPr="006E5860">
              <w:rPr>
                <w:rFonts w:cs="Arial"/>
                <w:szCs w:val="18"/>
              </w:rPr>
              <w:t>R8</w:t>
            </w:r>
          </w:p>
        </w:tc>
        <w:tc>
          <w:tcPr>
            <w:tcW w:w="714" w:type="pct"/>
            <w:tcBorders>
              <w:top w:val="nil"/>
              <w:bottom w:val="nil"/>
            </w:tcBorders>
            <w:shd w:val="clear" w:color="auto" w:fill="FFFFFF"/>
            <w:vAlign w:val="center"/>
          </w:tcPr>
          <w:p w14:paraId="6CCE086F" w14:textId="6861FAA1" w:rsidR="00134ED1" w:rsidRPr="009E0081" w:rsidRDefault="00134ED1" w:rsidP="00134ED1">
            <w:pPr>
              <w:pStyle w:val="CETBodytext"/>
              <w:ind w:right="-1"/>
              <w:jc w:val="left"/>
              <w:rPr>
                <w:rFonts w:cs="Arial"/>
                <w:szCs w:val="18"/>
              </w:rPr>
            </w:pPr>
            <w:r w:rsidRPr="009E0081">
              <w:rPr>
                <w:rFonts w:cs="Arial"/>
                <w:color w:val="000000"/>
                <w:szCs w:val="18"/>
              </w:rPr>
              <w:t>5.0 × 10</w:t>
            </w:r>
            <w:r w:rsidRPr="009E0081">
              <w:rPr>
                <w:rFonts w:cs="Arial"/>
                <w:color w:val="000000"/>
                <w:szCs w:val="18"/>
                <w:vertAlign w:val="superscript"/>
              </w:rPr>
              <w:t>-6</w:t>
            </w:r>
          </w:p>
        </w:tc>
        <w:tc>
          <w:tcPr>
            <w:tcW w:w="714" w:type="pct"/>
            <w:tcBorders>
              <w:top w:val="nil"/>
              <w:bottom w:val="nil"/>
            </w:tcBorders>
            <w:shd w:val="clear" w:color="auto" w:fill="FFFFFF"/>
          </w:tcPr>
          <w:p w14:paraId="372682E2" w14:textId="0E5E4FCB" w:rsidR="00134ED1" w:rsidRPr="009E0081" w:rsidRDefault="00134ED1" w:rsidP="00134ED1">
            <w:pPr>
              <w:pStyle w:val="CETBodytext"/>
              <w:ind w:right="-1"/>
              <w:jc w:val="left"/>
              <w:rPr>
                <w:rFonts w:cs="Arial"/>
                <w:szCs w:val="18"/>
              </w:rPr>
            </w:pPr>
            <w:r w:rsidRPr="009E0081">
              <w:rPr>
                <w:rFonts w:cs="Arial"/>
                <w:color w:val="000000"/>
                <w:szCs w:val="18"/>
              </w:rPr>
              <w:t>5.0 × 10</w:t>
            </w:r>
            <w:r w:rsidRPr="009E0081">
              <w:rPr>
                <w:rFonts w:cs="Arial"/>
                <w:color w:val="000000"/>
                <w:szCs w:val="18"/>
                <w:vertAlign w:val="superscript"/>
              </w:rPr>
              <w:t>-6</w:t>
            </w:r>
          </w:p>
        </w:tc>
        <w:tc>
          <w:tcPr>
            <w:tcW w:w="715" w:type="pct"/>
            <w:tcBorders>
              <w:top w:val="nil"/>
              <w:bottom w:val="nil"/>
            </w:tcBorders>
            <w:shd w:val="clear" w:color="auto" w:fill="FFFFFF"/>
          </w:tcPr>
          <w:p w14:paraId="5B77FBFB" w14:textId="544A2405" w:rsidR="00134ED1" w:rsidRPr="009E0081" w:rsidRDefault="00134ED1" w:rsidP="00134ED1">
            <w:pPr>
              <w:pStyle w:val="CETBodytext"/>
              <w:ind w:right="-1"/>
              <w:jc w:val="left"/>
              <w:rPr>
                <w:rFonts w:cs="Arial"/>
                <w:szCs w:val="18"/>
              </w:rPr>
            </w:pPr>
            <w:proofErr w:type="spellStart"/>
            <w:r w:rsidRPr="009E0081">
              <w:rPr>
                <w:rFonts w:cs="Arial"/>
                <w:szCs w:val="18"/>
              </w:rPr>
              <w:t>n.c.</w:t>
            </w:r>
            <w:proofErr w:type="spellEnd"/>
          </w:p>
        </w:tc>
        <w:tc>
          <w:tcPr>
            <w:tcW w:w="714" w:type="pct"/>
            <w:tcBorders>
              <w:top w:val="nil"/>
              <w:bottom w:val="nil"/>
            </w:tcBorders>
            <w:shd w:val="clear" w:color="auto" w:fill="FFFFFF"/>
            <w:vAlign w:val="center"/>
          </w:tcPr>
          <w:p w14:paraId="250AAAE5" w14:textId="009AAA30" w:rsidR="00134ED1" w:rsidRPr="009E0081" w:rsidRDefault="00134ED1" w:rsidP="00134ED1">
            <w:pPr>
              <w:pStyle w:val="CETBodytext"/>
              <w:ind w:right="-1"/>
              <w:jc w:val="left"/>
              <w:rPr>
                <w:rFonts w:cs="Arial"/>
                <w:szCs w:val="18"/>
              </w:rPr>
            </w:pPr>
            <w:r w:rsidRPr="009E0081">
              <w:rPr>
                <w:rFonts w:cs="Arial"/>
                <w:color w:val="000000"/>
                <w:szCs w:val="18"/>
              </w:rPr>
              <w:t>5.0 × 10</w:t>
            </w:r>
            <w:r w:rsidRPr="009E0081">
              <w:rPr>
                <w:rFonts w:cs="Arial"/>
                <w:color w:val="000000"/>
                <w:szCs w:val="18"/>
                <w:vertAlign w:val="superscript"/>
              </w:rPr>
              <w:t>-6</w:t>
            </w:r>
          </w:p>
        </w:tc>
        <w:tc>
          <w:tcPr>
            <w:tcW w:w="714" w:type="pct"/>
            <w:tcBorders>
              <w:top w:val="nil"/>
              <w:bottom w:val="nil"/>
            </w:tcBorders>
            <w:shd w:val="clear" w:color="auto" w:fill="FFFFFF"/>
            <w:vAlign w:val="center"/>
          </w:tcPr>
          <w:p w14:paraId="254ADD73" w14:textId="10FC0099" w:rsidR="00134ED1" w:rsidRPr="009E0081" w:rsidRDefault="00134ED1" w:rsidP="00134ED1">
            <w:pPr>
              <w:pStyle w:val="CETBodytext"/>
              <w:ind w:right="-1"/>
              <w:jc w:val="left"/>
              <w:rPr>
                <w:rFonts w:cs="Arial"/>
                <w:szCs w:val="18"/>
              </w:rPr>
            </w:pPr>
            <w:proofErr w:type="spellStart"/>
            <w:r w:rsidRPr="009E0081">
              <w:rPr>
                <w:rFonts w:cs="Arial"/>
                <w:szCs w:val="18"/>
              </w:rPr>
              <w:t>n.a.</w:t>
            </w:r>
            <w:proofErr w:type="spellEnd"/>
          </w:p>
        </w:tc>
        <w:tc>
          <w:tcPr>
            <w:tcW w:w="715" w:type="pct"/>
            <w:tcBorders>
              <w:top w:val="nil"/>
              <w:bottom w:val="nil"/>
            </w:tcBorders>
            <w:shd w:val="clear" w:color="auto" w:fill="FFFFFF"/>
            <w:vAlign w:val="center"/>
          </w:tcPr>
          <w:p w14:paraId="32974323" w14:textId="2EAF9884" w:rsidR="00134ED1" w:rsidRPr="009E0081" w:rsidRDefault="00134ED1" w:rsidP="00134ED1">
            <w:pPr>
              <w:pStyle w:val="CETBodytext"/>
              <w:ind w:right="-1"/>
              <w:jc w:val="left"/>
              <w:rPr>
                <w:rFonts w:cs="Arial"/>
                <w:szCs w:val="18"/>
              </w:rPr>
            </w:pPr>
            <w:proofErr w:type="spellStart"/>
            <w:r w:rsidRPr="009E0081">
              <w:rPr>
                <w:rFonts w:cs="Arial"/>
                <w:szCs w:val="18"/>
              </w:rPr>
              <w:t>n.a.</w:t>
            </w:r>
            <w:proofErr w:type="spellEnd"/>
          </w:p>
        </w:tc>
      </w:tr>
      <w:tr w:rsidR="00134ED1" w:rsidRPr="00C07897" w14:paraId="2E75E082" w14:textId="346E6EFC" w:rsidTr="006D7676">
        <w:tc>
          <w:tcPr>
            <w:tcW w:w="714" w:type="pct"/>
            <w:tcBorders>
              <w:top w:val="nil"/>
              <w:bottom w:val="nil"/>
            </w:tcBorders>
            <w:shd w:val="clear" w:color="auto" w:fill="FFFFFF"/>
            <w:vAlign w:val="center"/>
          </w:tcPr>
          <w:p w14:paraId="1D9B1B85" w14:textId="23C2B27F" w:rsidR="00134ED1" w:rsidRPr="006E5860" w:rsidRDefault="00134ED1" w:rsidP="00134ED1">
            <w:pPr>
              <w:pStyle w:val="CETBodytext"/>
              <w:ind w:right="-1"/>
              <w:jc w:val="left"/>
              <w:rPr>
                <w:rFonts w:cs="Arial"/>
                <w:szCs w:val="18"/>
              </w:rPr>
            </w:pPr>
            <w:r w:rsidRPr="006E5860">
              <w:rPr>
                <w:rFonts w:cs="Arial"/>
                <w:szCs w:val="18"/>
              </w:rPr>
              <w:t>R9</w:t>
            </w:r>
          </w:p>
        </w:tc>
        <w:tc>
          <w:tcPr>
            <w:tcW w:w="714" w:type="pct"/>
            <w:tcBorders>
              <w:top w:val="nil"/>
              <w:bottom w:val="nil"/>
            </w:tcBorders>
            <w:shd w:val="clear" w:color="auto" w:fill="FFFFFF"/>
          </w:tcPr>
          <w:p w14:paraId="2968F295" w14:textId="4A7606E3" w:rsidR="00134ED1" w:rsidRPr="009E0081" w:rsidRDefault="00134ED1" w:rsidP="00134ED1">
            <w:pPr>
              <w:pStyle w:val="CETBodytext"/>
              <w:ind w:right="-1"/>
              <w:jc w:val="left"/>
              <w:rPr>
                <w:rFonts w:cs="Arial"/>
                <w:szCs w:val="18"/>
              </w:rPr>
            </w:pPr>
            <w:proofErr w:type="spellStart"/>
            <w:r w:rsidRPr="009E0081">
              <w:rPr>
                <w:rFonts w:cs="Arial"/>
                <w:szCs w:val="18"/>
              </w:rPr>
              <w:t>n.a.</w:t>
            </w:r>
            <w:proofErr w:type="spellEnd"/>
          </w:p>
        </w:tc>
        <w:tc>
          <w:tcPr>
            <w:tcW w:w="714" w:type="pct"/>
            <w:tcBorders>
              <w:top w:val="nil"/>
              <w:bottom w:val="nil"/>
            </w:tcBorders>
            <w:shd w:val="clear" w:color="auto" w:fill="FFFFFF"/>
          </w:tcPr>
          <w:p w14:paraId="3A2F0D7B" w14:textId="39A76728" w:rsidR="00134ED1" w:rsidRPr="009E0081" w:rsidRDefault="00134ED1" w:rsidP="00134ED1">
            <w:pPr>
              <w:pStyle w:val="CETBodytext"/>
              <w:ind w:right="-1"/>
              <w:jc w:val="left"/>
              <w:rPr>
                <w:rFonts w:cs="Arial"/>
                <w:szCs w:val="18"/>
              </w:rPr>
            </w:pPr>
            <w:proofErr w:type="spellStart"/>
            <w:r w:rsidRPr="009E0081">
              <w:rPr>
                <w:rFonts w:cs="Arial"/>
                <w:szCs w:val="18"/>
              </w:rPr>
              <w:t>n.a.</w:t>
            </w:r>
            <w:proofErr w:type="spellEnd"/>
          </w:p>
        </w:tc>
        <w:tc>
          <w:tcPr>
            <w:tcW w:w="715" w:type="pct"/>
            <w:tcBorders>
              <w:top w:val="nil"/>
              <w:bottom w:val="nil"/>
            </w:tcBorders>
            <w:shd w:val="clear" w:color="auto" w:fill="FFFFFF"/>
          </w:tcPr>
          <w:p w14:paraId="3A24E8DF" w14:textId="3D543826" w:rsidR="00134ED1" w:rsidRPr="009E0081" w:rsidRDefault="00134ED1" w:rsidP="00134ED1">
            <w:pPr>
              <w:pStyle w:val="CETBodytext"/>
              <w:ind w:right="-1"/>
              <w:jc w:val="left"/>
              <w:rPr>
                <w:rFonts w:cs="Arial"/>
                <w:szCs w:val="18"/>
              </w:rPr>
            </w:pPr>
            <w:proofErr w:type="spellStart"/>
            <w:r w:rsidRPr="009E0081">
              <w:rPr>
                <w:rFonts w:cs="Arial"/>
                <w:szCs w:val="18"/>
              </w:rPr>
              <w:t>n.a.</w:t>
            </w:r>
            <w:proofErr w:type="spellEnd"/>
          </w:p>
        </w:tc>
        <w:tc>
          <w:tcPr>
            <w:tcW w:w="714" w:type="pct"/>
            <w:tcBorders>
              <w:top w:val="nil"/>
              <w:bottom w:val="nil"/>
            </w:tcBorders>
            <w:shd w:val="clear" w:color="auto" w:fill="FFFFFF"/>
          </w:tcPr>
          <w:p w14:paraId="35068DE7" w14:textId="64A62B82" w:rsidR="00134ED1" w:rsidRPr="009E0081" w:rsidRDefault="00134ED1" w:rsidP="00134ED1">
            <w:pPr>
              <w:pStyle w:val="CETBodytext"/>
              <w:ind w:right="-1"/>
              <w:jc w:val="left"/>
              <w:rPr>
                <w:rFonts w:cs="Arial"/>
                <w:szCs w:val="18"/>
              </w:rPr>
            </w:pPr>
            <w:proofErr w:type="spellStart"/>
            <w:r w:rsidRPr="009E0081">
              <w:rPr>
                <w:rFonts w:cs="Arial"/>
                <w:szCs w:val="18"/>
              </w:rPr>
              <w:t>n.a.</w:t>
            </w:r>
            <w:proofErr w:type="spellEnd"/>
          </w:p>
        </w:tc>
        <w:tc>
          <w:tcPr>
            <w:tcW w:w="714" w:type="pct"/>
            <w:tcBorders>
              <w:top w:val="nil"/>
              <w:bottom w:val="nil"/>
            </w:tcBorders>
            <w:shd w:val="clear" w:color="auto" w:fill="FFFFFF"/>
            <w:vAlign w:val="center"/>
          </w:tcPr>
          <w:p w14:paraId="577E970E" w14:textId="19E3542C" w:rsidR="00134ED1" w:rsidRPr="009E0081" w:rsidRDefault="00134ED1" w:rsidP="00134ED1">
            <w:pPr>
              <w:pStyle w:val="CETBodytext"/>
              <w:ind w:right="-1"/>
              <w:jc w:val="left"/>
              <w:rPr>
                <w:rFonts w:cs="Arial"/>
                <w:szCs w:val="18"/>
              </w:rPr>
            </w:pPr>
            <w:r w:rsidRPr="009E0081">
              <w:rPr>
                <w:rFonts w:cs="Arial"/>
                <w:color w:val="000000"/>
                <w:szCs w:val="18"/>
              </w:rPr>
              <w:t>2.8 × 10</w:t>
            </w:r>
            <w:r w:rsidRPr="009E0081">
              <w:rPr>
                <w:rFonts w:cs="Arial"/>
                <w:color w:val="000000"/>
                <w:szCs w:val="18"/>
                <w:vertAlign w:val="superscript"/>
              </w:rPr>
              <w:t>-4</w:t>
            </w:r>
          </w:p>
        </w:tc>
        <w:tc>
          <w:tcPr>
            <w:tcW w:w="715" w:type="pct"/>
            <w:tcBorders>
              <w:top w:val="nil"/>
              <w:bottom w:val="nil"/>
            </w:tcBorders>
            <w:shd w:val="clear" w:color="auto" w:fill="FFFFFF"/>
            <w:vAlign w:val="center"/>
          </w:tcPr>
          <w:p w14:paraId="0BA49B42" w14:textId="4120ED0F" w:rsidR="00134ED1" w:rsidRPr="009E0081" w:rsidRDefault="00134ED1" w:rsidP="00134ED1">
            <w:pPr>
              <w:pStyle w:val="CETBodytext"/>
              <w:ind w:right="-1"/>
              <w:jc w:val="left"/>
              <w:rPr>
                <w:rFonts w:cs="Arial"/>
                <w:szCs w:val="18"/>
              </w:rPr>
            </w:pPr>
            <w:r w:rsidRPr="009E0081">
              <w:rPr>
                <w:rFonts w:cs="Arial"/>
                <w:color w:val="000000"/>
                <w:szCs w:val="18"/>
              </w:rPr>
              <w:t>7.2 × 10</w:t>
            </w:r>
            <w:r w:rsidRPr="009E0081">
              <w:rPr>
                <w:rFonts w:cs="Arial"/>
                <w:color w:val="000000"/>
                <w:szCs w:val="18"/>
                <w:vertAlign w:val="superscript"/>
              </w:rPr>
              <w:t>-3</w:t>
            </w:r>
          </w:p>
        </w:tc>
      </w:tr>
      <w:tr w:rsidR="00134ED1" w:rsidRPr="00C07897" w14:paraId="2D769126" w14:textId="5AE05642" w:rsidTr="006D7676">
        <w:tc>
          <w:tcPr>
            <w:tcW w:w="714" w:type="pct"/>
            <w:tcBorders>
              <w:top w:val="nil"/>
              <w:bottom w:val="nil"/>
            </w:tcBorders>
            <w:shd w:val="clear" w:color="auto" w:fill="FFFFFF"/>
            <w:vAlign w:val="center"/>
          </w:tcPr>
          <w:p w14:paraId="62CB0ACF" w14:textId="3A5681EA" w:rsidR="00134ED1" w:rsidRPr="006E5860" w:rsidRDefault="00134ED1" w:rsidP="00134ED1">
            <w:pPr>
              <w:pStyle w:val="CETBodytext"/>
              <w:ind w:right="-1"/>
              <w:jc w:val="left"/>
              <w:rPr>
                <w:rFonts w:cs="Arial"/>
                <w:szCs w:val="18"/>
              </w:rPr>
            </w:pPr>
            <w:r w:rsidRPr="006E5860">
              <w:rPr>
                <w:rFonts w:cs="Arial"/>
                <w:szCs w:val="18"/>
              </w:rPr>
              <w:t>R10</w:t>
            </w:r>
          </w:p>
        </w:tc>
        <w:tc>
          <w:tcPr>
            <w:tcW w:w="714" w:type="pct"/>
            <w:tcBorders>
              <w:top w:val="nil"/>
              <w:bottom w:val="nil"/>
            </w:tcBorders>
            <w:shd w:val="clear" w:color="auto" w:fill="FFFFFF"/>
          </w:tcPr>
          <w:p w14:paraId="6264C9D7" w14:textId="0393595B" w:rsidR="00134ED1" w:rsidRPr="009E0081" w:rsidRDefault="00134ED1" w:rsidP="00134ED1">
            <w:pPr>
              <w:pStyle w:val="CETBodytext"/>
              <w:ind w:right="-1"/>
              <w:jc w:val="left"/>
              <w:rPr>
                <w:rFonts w:cs="Arial"/>
                <w:szCs w:val="18"/>
              </w:rPr>
            </w:pPr>
            <w:proofErr w:type="spellStart"/>
            <w:r w:rsidRPr="009E0081">
              <w:rPr>
                <w:rFonts w:cs="Arial"/>
                <w:szCs w:val="18"/>
              </w:rPr>
              <w:t>n.a.</w:t>
            </w:r>
            <w:proofErr w:type="spellEnd"/>
          </w:p>
        </w:tc>
        <w:tc>
          <w:tcPr>
            <w:tcW w:w="714" w:type="pct"/>
            <w:tcBorders>
              <w:top w:val="nil"/>
              <w:bottom w:val="nil"/>
            </w:tcBorders>
            <w:shd w:val="clear" w:color="auto" w:fill="FFFFFF"/>
          </w:tcPr>
          <w:p w14:paraId="4FA01B97" w14:textId="6F61FD7F" w:rsidR="00134ED1" w:rsidRPr="009E0081" w:rsidRDefault="00134ED1" w:rsidP="00134ED1">
            <w:pPr>
              <w:pStyle w:val="CETBodytext"/>
              <w:ind w:right="-1"/>
              <w:jc w:val="left"/>
              <w:rPr>
                <w:rFonts w:cs="Arial"/>
                <w:szCs w:val="18"/>
              </w:rPr>
            </w:pPr>
            <w:proofErr w:type="spellStart"/>
            <w:r w:rsidRPr="009E0081">
              <w:rPr>
                <w:rFonts w:cs="Arial"/>
                <w:szCs w:val="18"/>
              </w:rPr>
              <w:t>n.a.</w:t>
            </w:r>
            <w:proofErr w:type="spellEnd"/>
          </w:p>
        </w:tc>
        <w:tc>
          <w:tcPr>
            <w:tcW w:w="715" w:type="pct"/>
            <w:tcBorders>
              <w:top w:val="nil"/>
              <w:bottom w:val="nil"/>
            </w:tcBorders>
            <w:shd w:val="clear" w:color="auto" w:fill="FFFFFF"/>
          </w:tcPr>
          <w:p w14:paraId="4C4F4B91" w14:textId="4CB4515B" w:rsidR="00134ED1" w:rsidRPr="009E0081" w:rsidRDefault="00134ED1" w:rsidP="00134ED1">
            <w:pPr>
              <w:pStyle w:val="CETBodytext"/>
              <w:ind w:right="-1"/>
              <w:jc w:val="left"/>
              <w:rPr>
                <w:rFonts w:cs="Arial"/>
                <w:szCs w:val="18"/>
              </w:rPr>
            </w:pPr>
            <w:proofErr w:type="spellStart"/>
            <w:r w:rsidRPr="009E0081">
              <w:rPr>
                <w:rFonts w:cs="Arial"/>
                <w:szCs w:val="18"/>
              </w:rPr>
              <w:t>n.a.</w:t>
            </w:r>
            <w:proofErr w:type="spellEnd"/>
          </w:p>
        </w:tc>
        <w:tc>
          <w:tcPr>
            <w:tcW w:w="714" w:type="pct"/>
            <w:tcBorders>
              <w:top w:val="nil"/>
              <w:bottom w:val="nil"/>
            </w:tcBorders>
            <w:shd w:val="clear" w:color="auto" w:fill="FFFFFF"/>
          </w:tcPr>
          <w:p w14:paraId="1912E01B" w14:textId="0B94A27F" w:rsidR="00134ED1" w:rsidRPr="009E0081" w:rsidRDefault="00134ED1" w:rsidP="00134ED1">
            <w:pPr>
              <w:pStyle w:val="CETBodytext"/>
              <w:ind w:right="-1"/>
              <w:jc w:val="left"/>
              <w:rPr>
                <w:rFonts w:cs="Arial"/>
                <w:szCs w:val="18"/>
              </w:rPr>
            </w:pPr>
            <w:proofErr w:type="spellStart"/>
            <w:r w:rsidRPr="009E0081">
              <w:rPr>
                <w:rFonts w:cs="Arial"/>
                <w:szCs w:val="18"/>
              </w:rPr>
              <w:t>n.a.</w:t>
            </w:r>
            <w:proofErr w:type="spellEnd"/>
          </w:p>
        </w:tc>
        <w:tc>
          <w:tcPr>
            <w:tcW w:w="714" w:type="pct"/>
            <w:tcBorders>
              <w:top w:val="nil"/>
              <w:bottom w:val="nil"/>
            </w:tcBorders>
            <w:shd w:val="clear" w:color="auto" w:fill="FFFFFF"/>
            <w:vAlign w:val="center"/>
          </w:tcPr>
          <w:p w14:paraId="042C2AE7" w14:textId="6F16C929" w:rsidR="00134ED1" w:rsidRPr="009E0081" w:rsidRDefault="00134ED1" w:rsidP="00134ED1">
            <w:pPr>
              <w:pStyle w:val="CETBodytext"/>
              <w:ind w:right="-1"/>
              <w:jc w:val="left"/>
              <w:rPr>
                <w:rFonts w:cs="Arial"/>
                <w:szCs w:val="18"/>
              </w:rPr>
            </w:pPr>
            <w:r w:rsidRPr="009E0081">
              <w:rPr>
                <w:rFonts w:cs="Arial"/>
                <w:color w:val="000000"/>
                <w:szCs w:val="18"/>
              </w:rPr>
              <w:t>4.0 × 10</w:t>
            </w:r>
            <w:r w:rsidRPr="009E0081">
              <w:rPr>
                <w:rFonts w:cs="Arial"/>
                <w:color w:val="000000"/>
                <w:szCs w:val="18"/>
                <w:vertAlign w:val="superscript"/>
              </w:rPr>
              <w:t>-5</w:t>
            </w:r>
          </w:p>
        </w:tc>
        <w:tc>
          <w:tcPr>
            <w:tcW w:w="715" w:type="pct"/>
            <w:tcBorders>
              <w:top w:val="nil"/>
              <w:bottom w:val="nil"/>
            </w:tcBorders>
            <w:shd w:val="clear" w:color="auto" w:fill="FFFFFF"/>
            <w:vAlign w:val="center"/>
          </w:tcPr>
          <w:p w14:paraId="6B59FB83" w14:textId="583011D2" w:rsidR="00134ED1" w:rsidRPr="009E0081" w:rsidRDefault="00134ED1" w:rsidP="00134ED1">
            <w:pPr>
              <w:pStyle w:val="CETBodytext"/>
              <w:ind w:right="-1"/>
              <w:jc w:val="left"/>
              <w:rPr>
                <w:rFonts w:cs="Arial"/>
                <w:szCs w:val="18"/>
              </w:rPr>
            </w:pPr>
            <w:r w:rsidRPr="009E0081">
              <w:rPr>
                <w:rFonts w:cs="Arial"/>
                <w:color w:val="000000"/>
                <w:szCs w:val="18"/>
              </w:rPr>
              <w:t>8.5 × 10</w:t>
            </w:r>
            <w:r w:rsidRPr="009E0081">
              <w:rPr>
                <w:rFonts w:cs="Arial"/>
                <w:color w:val="000000"/>
                <w:szCs w:val="18"/>
                <w:vertAlign w:val="superscript"/>
              </w:rPr>
              <w:t>-4</w:t>
            </w:r>
          </w:p>
        </w:tc>
      </w:tr>
      <w:tr w:rsidR="00134ED1" w:rsidRPr="00C07897" w14:paraId="36F4BAD5" w14:textId="77777777" w:rsidTr="006D7676">
        <w:tc>
          <w:tcPr>
            <w:tcW w:w="714" w:type="pct"/>
            <w:tcBorders>
              <w:top w:val="nil"/>
              <w:bottom w:val="nil"/>
            </w:tcBorders>
            <w:shd w:val="clear" w:color="auto" w:fill="FFFFFF"/>
            <w:vAlign w:val="center"/>
          </w:tcPr>
          <w:p w14:paraId="2D0834E5" w14:textId="3E1E9699" w:rsidR="00134ED1" w:rsidRPr="006E5860" w:rsidRDefault="00134ED1" w:rsidP="00134ED1">
            <w:pPr>
              <w:pStyle w:val="CETBodytext"/>
              <w:ind w:right="-1"/>
              <w:jc w:val="left"/>
              <w:rPr>
                <w:rFonts w:cs="Arial"/>
                <w:szCs w:val="18"/>
              </w:rPr>
            </w:pPr>
            <w:r w:rsidRPr="006E5860">
              <w:rPr>
                <w:rFonts w:cs="Arial"/>
                <w:szCs w:val="18"/>
              </w:rPr>
              <w:t>R11</w:t>
            </w:r>
          </w:p>
        </w:tc>
        <w:tc>
          <w:tcPr>
            <w:tcW w:w="714" w:type="pct"/>
            <w:tcBorders>
              <w:top w:val="nil"/>
              <w:bottom w:val="nil"/>
            </w:tcBorders>
            <w:shd w:val="clear" w:color="auto" w:fill="FFFFFF"/>
          </w:tcPr>
          <w:p w14:paraId="2EE1ED77" w14:textId="5B8EB06C" w:rsidR="00134ED1" w:rsidRPr="009E0081" w:rsidRDefault="00134ED1" w:rsidP="00134ED1">
            <w:pPr>
              <w:pStyle w:val="CETBodytext"/>
              <w:ind w:right="-1"/>
              <w:jc w:val="left"/>
              <w:rPr>
                <w:rFonts w:cs="Arial"/>
                <w:szCs w:val="18"/>
              </w:rPr>
            </w:pPr>
            <w:proofErr w:type="spellStart"/>
            <w:r w:rsidRPr="009E0081">
              <w:rPr>
                <w:rFonts w:cs="Arial"/>
                <w:szCs w:val="18"/>
              </w:rPr>
              <w:t>n.a.</w:t>
            </w:r>
            <w:proofErr w:type="spellEnd"/>
          </w:p>
        </w:tc>
        <w:tc>
          <w:tcPr>
            <w:tcW w:w="714" w:type="pct"/>
            <w:tcBorders>
              <w:top w:val="nil"/>
              <w:bottom w:val="nil"/>
            </w:tcBorders>
            <w:shd w:val="clear" w:color="auto" w:fill="FFFFFF"/>
          </w:tcPr>
          <w:p w14:paraId="2C5FB185" w14:textId="40F3DE69" w:rsidR="00134ED1" w:rsidRPr="009E0081" w:rsidRDefault="00134ED1" w:rsidP="00134ED1">
            <w:pPr>
              <w:pStyle w:val="CETBodytext"/>
              <w:ind w:right="-1"/>
              <w:jc w:val="left"/>
              <w:rPr>
                <w:rFonts w:cs="Arial"/>
                <w:szCs w:val="18"/>
              </w:rPr>
            </w:pPr>
            <w:proofErr w:type="spellStart"/>
            <w:r w:rsidRPr="009E0081">
              <w:rPr>
                <w:rFonts w:cs="Arial"/>
                <w:szCs w:val="18"/>
              </w:rPr>
              <w:t>n.a.</w:t>
            </w:r>
            <w:proofErr w:type="spellEnd"/>
          </w:p>
        </w:tc>
        <w:tc>
          <w:tcPr>
            <w:tcW w:w="715" w:type="pct"/>
            <w:tcBorders>
              <w:top w:val="nil"/>
              <w:bottom w:val="nil"/>
            </w:tcBorders>
            <w:shd w:val="clear" w:color="auto" w:fill="FFFFFF"/>
          </w:tcPr>
          <w:p w14:paraId="6E29F323" w14:textId="2BEFDEB5" w:rsidR="00134ED1" w:rsidRPr="009E0081" w:rsidRDefault="00134ED1" w:rsidP="00134ED1">
            <w:pPr>
              <w:pStyle w:val="CETBodytext"/>
              <w:ind w:right="-1"/>
              <w:jc w:val="left"/>
              <w:rPr>
                <w:rFonts w:cs="Arial"/>
                <w:szCs w:val="18"/>
              </w:rPr>
            </w:pPr>
            <w:proofErr w:type="spellStart"/>
            <w:r w:rsidRPr="009E0081">
              <w:rPr>
                <w:rFonts w:cs="Arial"/>
                <w:szCs w:val="18"/>
              </w:rPr>
              <w:t>n.a.</w:t>
            </w:r>
            <w:proofErr w:type="spellEnd"/>
          </w:p>
        </w:tc>
        <w:tc>
          <w:tcPr>
            <w:tcW w:w="714" w:type="pct"/>
            <w:tcBorders>
              <w:top w:val="nil"/>
              <w:bottom w:val="nil"/>
            </w:tcBorders>
            <w:shd w:val="clear" w:color="auto" w:fill="FFFFFF"/>
          </w:tcPr>
          <w:p w14:paraId="5A616BEA" w14:textId="5FBFB6EB" w:rsidR="00134ED1" w:rsidRPr="009E0081" w:rsidRDefault="00134ED1" w:rsidP="00134ED1">
            <w:pPr>
              <w:pStyle w:val="CETBodytext"/>
              <w:ind w:right="-1"/>
              <w:jc w:val="left"/>
              <w:rPr>
                <w:rFonts w:cs="Arial"/>
                <w:szCs w:val="18"/>
              </w:rPr>
            </w:pPr>
            <w:proofErr w:type="spellStart"/>
            <w:r w:rsidRPr="009E0081">
              <w:rPr>
                <w:rFonts w:cs="Arial"/>
                <w:szCs w:val="18"/>
              </w:rPr>
              <w:t>n.a.</w:t>
            </w:r>
            <w:proofErr w:type="spellEnd"/>
          </w:p>
        </w:tc>
        <w:tc>
          <w:tcPr>
            <w:tcW w:w="714" w:type="pct"/>
            <w:tcBorders>
              <w:top w:val="nil"/>
              <w:bottom w:val="nil"/>
            </w:tcBorders>
            <w:shd w:val="clear" w:color="auto" w:fill="FFFFFF"/>
            <w:vAlign w:val="center"/>
          </w:tcPr>
          <w:p w14:paraId="6675E6EB" w14:textId="3C1253B4" w:rsidR="00134ED1" w:rsidRPr="009E0081" w:rsidRDefault="00134ED1" w:rsidP="00134ED1">
            <w:pPr>
              <w:pStyle w:val="CETBodytext"/>
              <w:ind w:right="-1"/>
              <w:jc w:val="left"/>
              <w:rPr>
                <w:rFonts w:cs="Arial"/>
                <w:szCs w:val="18"/>
              </w:rPr>
            </w:pPr>
            <w:r w:rsidRPr="009E0081">
              <w:rPr>
                <w:rFonts w:cs="Arial"/>
                <w:color w:val="000000"/>
                <w:szCs w:val="18"/>
              </w:rPr>
              <w:t>1.4 × 10</w:t>
            </w:r>
            <w:r w:rsidRPr="009E0081">
              <w:rPr>
                <w:rFonts w:cs="Arial"/>
                <w:color w:val="000000"/>
                <w:szCs w:val="18"/>
                <w:vertAlign w:val="superscript"/>
              </w:rPr>
              <w:t>-5</w:t>
            </w:r>
          </w:p>
        </w:tc>
        <w:tc>
          <w:tcPr>
            <w:tcW w:w="715" w:type="pct"/>
            <w:tcBorders>
              <w:top w:val="nil"/>
              <w:bottom w:val="nil"/>
            </w:tcBorders>
            <w:shd w:val="clear" w:color="auto" w:fill="FFFFFF"/>
            <w:vAlign w:val="center"/>
          </w:tcPr>
          <w:p w14:paraId="5428A953" w14:textId="2621EF71" w:rsidR="00134ED1" w:rsidRPr="009E0081" w:rsidRDefault="00134ED1" w:rsidP="00134ED1">
            <w:pPr>
              <w:pStyle w:val="CETBodytext"/>
              <w:ind w:right="-1"/>
              <w:jc w:val="left"/>
              <w:rPr>
                <w:rFonts w:cs="Arial"/>
                <w:szCs w:val="18"/>
              </w:rPr>
            </w:pPr>
            <w:r w:rsidRPr="009E0081">
              <w:rPr>
                <w:rFonts w:cs="Arial"/>
                <w:color w:val="000000"/>
                <w:szCs w:val="18"/>
              </w:rPr>
              <w:t>1.7 × 10</w:t>
            </w:r>
            <w:r w:rsidRPr="009E0081">
              <w:rPr>
                <w:rFonts w:cs="Arial"/>
                <w:color w:val="000000"/>
                <w:szCs w:val="18"/>
                <w:vertAlign w:val="superscript"/>
              </w:rPr>
              <w:t>-4</w:t>
            </w:r>
          </w:p>
        </w:tc>
      </w:tr>
      <w:tr w:rsidR="00134ED1" w:rsidRPr="00C07897" w14:paraId="5A369AA4" w14:textId="4C0E78B8" w:rsidTr="006D7676">
        <w:tc>
          <w:tcPr>
            <w:tcW w:w="714" w:type="pct"/>
            <w:tcBorders>
              <w:top w:val="nil"/>
              <w:bottom w:val="single" w:sz="12" w:space="0" w:color="008000"/>
            </w:tcBorders>
            <w:shd w:val="clear" w:color="auto" w:fill="FFFFFF"/>
            <w:vAlign w:val="center"/>
          </w:tcPr>
          <w:p w14:paraId="34AA94D5" w14:textId="77E89DBB" w:rsidR="00134ED1" w:rsidRPr="006E5860" w:rsidRDefault="00134ED1" w:rsidP="00134ED1">
            <w:pPr>
              <w:pStyle w:val="CETBodytext"/>
              <w:ind w:right="-1"/>
              <w:jc w:val="left"/>
              <w:rPr>
                <w:rFonts w:cs="Arial"/>
                <w:szCs w:val="18"/>
              </w:rPr>
            </w:pPr>
            <w:r w:rsidRPr="006E5860">
              <w:rPr>
                <w:rFonts w:cs="Arial"/>
                <w:szCs w:val="18"/>
              </w:rPr>
              <w:t>R12</w:t>
            </w:r>
          </w:p>
        </w:tc>
        <w:tc>
          <w:tcPr>
            <w:tcW w:w="714" w:type="pct"/>
            <w:tcBorders>
              <w:top w:val="nil"/>
              <w:bottom w:val="single" w:sz="12" w:space="0" w:color="008000"/>
            </w:tcBorders>
            <w:shd w:val="clear" w:color="auto" w:fill="FFFFFF"/>
          </w:tcPr>
          <w:p w14:paraId="101A08EE" w14:textId="50CD09D9" w:rsidR="00134ED1" w:rsidRPr="009E0081" w:rsidRDefault="00134ED1" w:rsidP="00134ED1">
            <w:pPr>
              <w:pStyle w:val="CETBodytext"/>
              <w:ind w:right="-1"/>
              <w:jc w:val="left"/>
              <w:rPr>
                <w:rFonts w:cs="Arial"/>
                <w:szCs w:val="18"/>
              </w:rPr>
            </w:pPr>
            <w:proofErr w:type="spellStart"/>
            <w:r w:rsidRPr="009E0081">
              <w:rPr>
                <w:rFonts w:cs="Arial"/>
                <w:szCs w:val="18"/>
              </w:rPr>
              <w:t>n.a.</w:t>
            </w:r>
            <w:proofErr w:type="spellEnd"/>
          </w:p>
        </w:tc>
        <w:tc>
          <w:tcPr>
            <w:tcW w:w="714" w:type="pct"/>
            <w:tcBorders>
              <w:top w:val="nil"/>
              <w:bottom w:val="single" w:sz="12" w:space="0" w:color="008000"/>
            </w:tcBorders>
            <w:shd w:val="clear" w:color="auto" w:fill="FFFFFF"/>
          </w:tcPr>
          <w:p w14:paraId="51D55CCA" w14:textId="5F7C5F6F" w:rsidR="00134ED1" w:rsidRPr="009E0081" w:rsidRDefault="00134ED1" w:rsidP="00134ED1">
            <w:pPr>
              <w:pStyle w:val="CETBodytext"/>
              <w:ind w:right="-1"/>
              <w:jc w:val="left"/>
              <w:rPr>
                <w:rFonts w:cs="Arial"/>
                <w:szCs w:val="18"/>
              </w:rPr>
            </w:pPr>
            <w:proofErr w:type="spellStart"/>
            <w:r w:rsidRPr="009E0081">
              <w:rPr>
                <w:rFonts w:cs="Arial"/>
                <w:szCs w:val="18"/>
              </w:rPr>
              <w:t>n.a.</w:t>
            </w:r>
            <w:proofErr w:type="spellEnd"/>
          </w:p>
        </w:tc>
        <w:tc>
          <w:tcPr>
            <w:tcW w:w="715" w:type="pct"/>
            <w:tcBorders>
              <w:top w:val="nil"/>
              <w:bottom w:val="single" w:sz="12" w:space="0" w:color="008000"/>
            </w:tcBorders>
            <w:shd w:val="clear" w:color="auto" w:fill="FFFFFF"/>
          </w:tcPr>
          <w:p w14:paraId="0155926B" w14:textId="206A156D" w:rsidR="00134ED1" w:rsidRPr="009E0081" w:rsidRDefault="00134ED1" w:rsidP="00134ED1">
            <w:pPr>
              <w:pStyle w:val="CETBodytext"/>
              <w:ind w:right="-1"/>
              <w:jc w:val="left"/>
              <w:rPr>
                <w:rFonts w:cs="Arial"/>
                <w:szCs w:val="18"/>
              </w:rPr>
            </w:pPr>
            <w:proofErr w:type="spellStart"/>
            <w:r w:rsidRPr="009E0081">
              <w:rPr>
                <w:rFonts w:cs="Arial"/>
                <w:szCs w:val="18"/>
              </w:rPr>
              <w:t>n.a.</w:t>
            </w:r>
            <w:proofErr w:type="spellEnd"/>
          </w:p>
        </w:tc>
        <w:tc>
          <w:tcPr>
            <w:tcW w:w="714" w:type="pct"/>
            <w:tcBorders>
              <w:top w:val="nil"/>
              <w:bottom w:val="single" w:sz="12" w:space="0" w:color="008000"/>
            </w:tcBorders>
            <w:shd w:val="clear" w:color="auto" w:fill="FFFFFF"/>
          </w:tcPr>
          <w:p w14:paraId="4ADECEF7" w14:textId="1F7C1637" w:rsidR="00134ED1" w:rsidRPr="009E0081" w:rsidRDefault="00134ED1" w:rsidP="00134ED1">
            <w:pPr>
              <w:pStyle w:val="CETBodytext"/>
              <w:ind w:right="-1"/>
              <w:jc w:val="left"/>
              <w:rPr>
                <w:rFonts w:cs="Arial"/>
                <w:szCs w:val="18"/>
              </w:rPr>
            </w:pPr>
            <w:proofErr w:type="spellStart"/>
            <w:r w:rsidRPr="009E0081">
              <w:rPr>
                <w:rFonts w:cs="Arial"/>
                <w:szCs w:val="18"/>
              </w:rPr>
              <w:t>n.a.</w:t>
            </w:r>
            <w:proofErr w:type="spellEnd"/>
          </w:p>
        </w:tc>
        <w:tc>
          <w:tcPr>
            <w:tcW w:w="714" w:type="pct"/>
            <w:tcBorders>
              <w:top w:val="nil"/>
              <w:bottom w:val="single" w:sz="12" w:space="0" w:color="008000"/>
            </w:tcBorders>
            <w:shd w:val="clear" w:color="auto" w:fill="FFFFFF"/>
            <w:vAlign w:val="center"/>
          </w:tcPr>
          <w:p w14:paraId="60B6A722" w14:textId="626EB8FD" w:rsidR="00134ED1" w:rsidRPr="009E0081" w:rsidRDefault="00134ED1" w:rsidP="00134ED1">
            <w:pPr>
              <w:pStyle w:val="CETBodytext"/>
              <w:ind w:right="-1"/>
              <w:jc w:val="left"/>
              <w:rPr>
                <w:rFonts w:cs="Arial"/>
                <w:szCs w:val="18"/>
              </w:rPr>
            </w:pPr>
            <w:r w:rsidRPr="009E0081">
              <w:rPr>
                <w:rFonts w:cs="Arial"/>
                <w:color w:val="000000"/>
                <w:szCs w:val="18"/>
              </w:rPr>
              <w:t>2.6 × 10</w:t>
            </w:r>
            <w:r w:rsidRPr="009E0081">
              <w:rPr>
                <w:rFonts w:cs="Arial"/>
                <w:color w:val="000000"/>
                <w:szCs w:val="18"/>
                <w:vertAlign w:val="superscript"/>
              </w:rPr>
              <w:t>-5</w:t>
            </w:r>
          </w:p>
        </w:tc>
        <w:tc>
          <w:tcPr>
            <w:tcW w:w="715" w:type="pct"/>
            <w:tcBorders>
              <w:top w:val="nil"/>
              <w:bottom w:val="single" w:sz="12" w:space="0" w:color="008000"/>
            </w:tcBorders>
            <w:shd w:val="clear" w:color="auto" w:fill="FFFFFF"/>
            <w:vAlign w:val="center"/>
          </w:tcPr>
          <w:p w14:paraId="623A0581" w14:textId="4CBBA1F8" w:rsidR="00134ED1" w:rsidRPr="009E0081" w:rsidRDefault="00134ED1" w:rsidP="00134ED1">
            <w:pPr>
              <w:pStyle w:val="CETBodytext"/>
              <w:ind w:right="-1"/>
              <w:jc w:val="left"/>
              <w:rPr>
                <w:rFonts w:cs="Arial"/>
                <w:szCs w:val="18"/>
              </w:rPr>
            </w:pPr>
            <w:r w:rsidRPr="009E0081">
              <w:rPr>
                <w:rFonts w:cs="Arial"/>
                <w:color w:val="000000"/>
                <w:szCs w:val="18"/>
              </w:rPr>
              <w:t>2.6 × 10</w:t>
            </w:r>
            <w:r w:rsidRPr="009E0081">
              <w:rPr>
                <w:rFonts w:cs="Arial"/>
                <w:color w:val="000000"/>
                <w:szCs w:val="18"/>
                <w:vertAlign w:val="superscript"/>
              </w:rPr>
              <w:t>-4</w:t>
            </w:r>
          </w:p>
        </w:tc>
      </w:tr>
    </w:tbl>
    <w:p w14:paraId="396FDAA8" w14:textId="77777777" w:rsidR="001E4F8A" w:rsidRDefault="001E4F8A" w:rsidP="0052049E">
      <w:pPr>
        <w:pStyle w:val="CETBodytext"/>
      </w:pPr>
    </w:p>
    <w:p w14:paraId="32AE9D2F" w14:textId="33F7BF7E" w:rsidR="00204F67" w:rsidRDefault="00AC00AD" w:rsidP="002B79D2">
      <w:pPr>
        <w:pStyle w:val="CETBodytext"/>
      </w:pPr>
      <w:r w:rsidRPr="00AC00AD">
        <w:t>To</w:t>
      </w:r>
      <w:r w:rsidR="006D4C98" w:rsidRPr="00AC00AD">
        <w:t xml:space="preserve"> evaluate</w:t>
      </w:r>
      <w:r w:rsidR="006D4C98">
        <w:t xml:space="preserve"> hazard indexes, damage distances</w:t>
      </w:r>
      <w:r w:rsidR="00587E03">
        <w:t>, using</w:t>
      </w:r>
      <w:r w:rsidR="006D4C98">
        <w:t xml:space="preserve"> </w:t>
      </w:r>
      <w:r w:rsidR="006D4C98" w:rsidRPr="00720985">
        <w:t xml:space="preserve">the aforementioned </w:t>
      </w:r>
      <w:r w:rsidR="00C37DD2" w:rsidRPr="00720985">
        <w:t>threshold</w:t>
      </w:r>
      <w:r w:rsidR="006D4C98" w:rsidRPr="00720985">
        <w:t xml:space="preserve"> values</w:t>
      </w:r>
      <w:r w:rsidR="00587E03">
        <w:t>, have been</w:t>
      </w:r>
      <w:r w:rsidR="006D4C98" w:rsidRPr="00720985">
        <w:t xml:space="preserve"> estimated through </w:t>
      </w:r>
      <w:r w:rsidR="00587E03">
        <w:t>various</w:t>
      </w:r>
      <w:r w:rsidR="006D4C98" w:rsidRPr="00720985">
        <w:t xml:space="preserve"> software tools: </w:t>
      </w:r>
      <w:r w:rsidR="00C37DD2" w:rsidRPr="00720985">
        <w:t xml:space="preserve">PHAST </w:t>
      </w:r>
      <w:r w:rsidR="00901CF1">
        <w:t xml:space="preserve">(DNV, 2024) </w:t>
      </w:r>
      <w:r w:rsidR="00C37DD2" w:rsidRPr="00720985">
        <w:t>for on</w:t>
      </w:r>
      <w:r w:rsidR="00C37DD2">
        <w:t xml:space="preserve">shore releases, while </w:t>
      </w:r>
      <w:r w:rsidR="00B57159" w:rsidRPr="00E27194">
        <w:t>OLGA</w:t>
      </w:r>
      <w:r w:rsidR="00B57159">
        <w:t xml:space="preserve"> (</w:t>
      </w:r>
      <w:r w:rsidR="00B57159" w:rsidRPr="00AC224C">
        <w:t>Schlumberger, 202</w:t>
      </w:r>
      <w:r w:rsidR="00B57159">
        <w:t xml:space="preserve">4) </w:t>
      </w:r>
      <w:r w:rsidR="00B57159" w:rsidRPr="00E27194">
        <w:t>a</w:t>
      </w:r>
      <w:r w:rsidR="005E6D83">
        <w:t>long with</w:t>
      </w:r>
      <w:r w:rsidR="00B57159" w:rsidRPr="00E27194">
        <w:t xml:space="preserve"> TAMOC</w:t>
      </w:r>
      <w:r w:rsidR="00B57159">
        <w:t xml:space="preserve"> (</w:t>
      </w:r>
      <w:proofErr w:type="spellStart"/>
      <w:r w:rsidR="00B57159" w:rsidRPr="00AC224C">
        <w:t>Socolofsky</w:t>
      </w:r>
      <w:proofErr w:type="spellEnd"/>
      <w:r w:rsidR="00B57159">
        <w:t xml:space="preserve"> et al.</w:t>
      </w:r>
      <w:r w:rsidR="00B57159" w:rsidRPr="00AC224C">
        <w:t>,</w:t>
      </w:r>
      <w:r w:rsidR="00B57159">
        <w:t xml:space="preserve"> 2015) </w:t>
      </w:r>
      <w:r w:rsidR="00C37DD2">
        <w:t xml:space="preserve">for subsea </w:t>
      </w:r>
      <w:r w:rsidR="005E6D83">
        <w:t>releases</w:t>
      </w:r>
      <w:r w:rsidR="00C37DD2">
        <w:t>.</w:t>
      </w:r>
      <w:r w:rsidR="00A8476D">
        <w:t xml:space="preserve"> </w:t>
      </w:r>
      <w:r w:rsidR="0053685E">
        <w:t>Based on this</w:t>
      </w:r>
      <w:r>
        <w:t>,</w:t>
      </w:r>
      <w:r w:rsidR="003E2846">
        <w:t xml:space="preserve"> </w:t>
      </w:r>
      <w:r w:rsidR="00166752">
        <w:t xml:space="preserve">hazard indexes </w:t>
      </w:r>
      <w:r w:rsidR="005E6D83">
        <w:t>have been</w:t>
      </w:r>
      <w:r w:rsidR="00166752">
        <w:t xml:space="preserve"> evaluated for the different CCS value chain</w:t>
      </w:r>
      <w:r w:rsidR="0053685E">
        <w:t xml:space="preserve"> s</w:t>
      </w:r>
      <w:r w:rsidR="000930D3">
        <w:t>tages</w:t>
      </w:r>
      <w:r w:rsidR="000B4273">
        <w:t>, as shown</w:t>
      </w:r>
      <w:r w:rsidR="001A4084">
        <w:t xml:space="preserve"> in </w:t>
      </w:r>
      <w:r w:rsidR="001A4084">
        <w:fldChar w:fldCharType="begin"/>
      </w:r>
      <w:r w:rsidR="001A4084">
        <w:instrText xml:space="preserve"> REF _Ref182320617 \h </w:instrText>
      </w:r>
      <w:r w:rsidR="001A4084">
        <w:fldChar w:fldCharType="separate"/>
      </w:r>
      <w:r w:rsidR="00916652">
        <w:t xml:space="preserve">Figure </w:t>
      </w:r>
      <w:r w:rsidR="00916652">
        <w:rPr>
          <w:noProof/>
        </w:rPr>
        <w:t>3</w:t>
      </w:r>
      <w:r w:rsidR="001A4084">
        <w:fldChar w:fldCharType="end"/>
      </w:r>
      <w:r w:rsidR="00356632">
        <w:t>.</w:t>
      </w:r>
      <w:r w:rsidR="00C67F17">
        <w:t xml:space="preserve"> </w:t>
      </w:r>
      <w:r w:rsidR="00166752">
        <w:t xml:space="preserve"> </w:t>
      </w:r>
    </w:p>
    <w:p w14:paraId="7C3A0FBD" w14:textId="77777777" w:rsidR="00227D64" w:rsidRDefault="00227D64" w:rsidP="002B79D2">
      <w:pPr>
        <w:pStyle w:val="CETBodytext"/>
      </w:pPr>
    </w:p>
    <w:p w14:paraId="42DC160A" w14:textId="77777777" w:rsidR="00926990" w:rsidRDefault="0094462C" w:rsidP="00926990">
      <w:pPr>
        <w:pStyle w:val="CETBodytext"/>
        <w:keepNext/>
      </w:pPr>
      <w:r w:rsidRPr="0094462C">
        <w:rPr>
          <w:noProof/>
        </w:rPr>
        <w:drawing>
          <wp:inline distT="0" distB="0" distL="0" distR="0" wp14:anchorId="173F6C3C" wp14:editId="555E6067">
            <wp:extent cx="5579745" cy="1993900"/>
            <wp:effectExtent l="0" t="0" r="190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b="8589"/>
                    <a:stretch/>
                  </pic:blipFill>
                  <pic:spPr bwMode="auto">
                    <a:xfrm>
                      <a:off x="0" y="0"/>
                      <a:ext cx="5579745" cy="1993900"/>
                    </a:xfrm>
                    <a:prstGeom prst="rect">
                      <a:avLst/>
                    </a:prstGeom>
                    <a:noFill/>
                    <a:ln>
                      <a:noFill/>
                    </a:ln>
                    <a:extLst>
                      <a:ext uri="{53640926-AAD7-44D8-BBD7-CCE9431645EC}">
                        <a14:shadowObscured xmlns:a14="http://schemas.microsoft.com/office/drawing/2010/main"/>
                      </a:ext>
                    </a:extLst>
                  </pic:spPr>
                </pic:pic>
              </a:graphicData>
            </a:graphic>
          </wp:inline>
        </w:drawing>
      </w:r>
    </w:p>
    <w:p w14:paraId="1A2011FF" w14:textId="422D6DFE" w:rsidR="0094462C" w:rsidRDefault="00926990" w:rsidP="00926990">
      <w:pPr>
        <w:pStyle w:val="CETCaption"/>
      </w:pPr>
      <w:bookmarkStart w:id="9" w:name="_Ref182320617"/>
      <w:r>
        <w:t xml:space="preserve">Figure </w:t>
      </w:r>
      <w:r>
        <w:fldChar w:fldCharType="begin"/>
      </w:r>
      <w:r>
        <w:instrText xml:space="preserve"> SEQ Figure \* ARABIC </w:instrText>
      </w:r>
      <w:r>
        <w:fldChar w:fldCharType="separate"/>
      </w:r>
      <w:r w:rsidR="00916652">
        <w:rPr>
          <w:noProof/>
        </w:rPr>
        <w:t>3</w:t>
      </w:r>
      <w:r>
        <w:fldChar w:fldCharType="end"/>
      </w:r>
      <w:bookmarkEnd w:id="9"/>
      <w:r>
        <w:t xml:space="preserve">. </w:t>
      </w:r>
      <w:r w:rsidR="00EB1812">
        <w:t>a) Potential (PI) and i</w:t>
      </w:r>
      <w:r w:rsidRPr="00D3350B">
        <w:t xml:space="preserve">nherent </w:t>
      </w:r>
      <w:r w:rsidR="000F615A">
        <w:t>(HI) hazard</w:t>
      </w:r>
      <w:r w:rsidRPr="00D3350B">
        <w:t xml:space="preserve"> ind</w:t>
      </w:r>
      <w:r w:rsidR="00AD3B49">
        <w:t>exes</w:t>
      </w:r>
      <w:r w:rsidRPr="00D3350B">
        <w:t xml:space="preserve"> </w:t>
      </w:r>
      <w:r w:rsidR="00C57922">
        <w:t>per</w:t>
      </w:r>
      <w:r w:rsidR="00872161">
        <w:t xml:space="preserve"> stage of the CCS value chain; b) normalized</w:t>
      </w:r>
      <w:r w:rsidR="00E77CD3">
        <w:t xml:space="preserve"> inherent</w:t>
      </w:r>
      <w:r w:rsidR="00872161">
        <w:t xml:space="preserve"> hazard indexes</w:t>
      </w:r>
      <w:r w:rsidR="00E77CD3">
        <w:t xml:space="preserve"> per stage</w:t>
      </w:r>
      <w:r w:rsidR="00AE121E">
        <w:t xml:space="preserve"> of the CCS value chain,</w:t>
      </w:r>
      <w:r w:rsidR="00E77CD3">
        <w:t xml:space="preserve"> </w:t>
      </w:r>
      <w:r w:rsidR="00AE121E" w:rsidRPr="00AE121E">
        <w:t>with a focus on their toxic</w:t>
      </w:r>
      <w:r w:rsidR="00AE121E">
        <w:t xml:space="preserve"> (THI) </w:t>
      </w:r>
      <w:r w:rsidR="00AE121E" w:rsidRPr="00AE121E">
        <w:t>and flammable</w:t>
      </w:r>
      <w:r w:rsidR="00AE121E">
        <w:t xml:space="preserve"> (FHI) </w:t>
      </w:r>
      <w:r w:rsidR="00AE121E" w:rsidRPr="00AE121E">
        <w:t>contributions</w:t>
      </w:r>
      <w:r w:rsidR="00AE121E">
        <w:t>.</w:t>
      </w:r>
    </w:p>
    <w:p w14:paraId="60D1D093" w14:textId="679EE99F" w:rsidR="001A4084" w:rsidRPr="000B4C2C" w:rsidRDefault="001A4084" w:rsidP="000B4C2C">
      <w:pPr>
        <w:pStyle w:val="CETBodytext"/>
      </w:pPr>
      <w:r w:rsidRPr="000B4C2C">
        <w:t xml:space="preserve">Specifically, </w:t>
      </w:r>
      <w:r w:rsidRPr="000B4C2C">
        <w:fldChar w:fldCharType="begin"/>
      </w:r>
      <w:r w:rsidRPr="000B4C2C">
        <w:instrText xml:space="preserve"> REF _Ref182320617 \h </w:instrText>
      </w:r>
      <w:r w:rsidR="004D1CC4" w:rsidRPr="000B4C2C">
        <w:instrText xml:space="preserve"> \* MERGEFORMAT </w:instrText>
      </w:r>
      <w:r w:rsidRPr="000B4C2C">
        <w:fldChar w:fldCharType="separate"/>
      </w:r>
      <w:r w:rsidR="00916652">
        <w:t>Figure 3</w:t>
      </w:r>
      <w:r w:rsidRPr="000B4C2C">
        <w:fldChar w:fldCharType="end"/>
      </w:r>
      <w:r w:rsidRPr="000B4C2C">
        <w:t xml:space="preserve">-a) </w:t>
      </w:r>
      <w:r w:rsidR="000E3DCB" w:rsidRPr="000B4C2C">
        <w:t>displays</w:t>
      </w:r>
      <w:r w:rsidRPr="000B4C2C">
        <w:t xml:space="preserve"> </w:t>
      </w:r>
      <w:r w:rsidR="008A77C8" w:rsidRPr="000B4C2C">
        <w:t>both</w:t>
      </w:r>
      <w:r w:rsidR="000B4273">
        <w:t xml:space="preserve"> the</w:t>
      </w:r>
      <w:r w:rsidR="008A77C8" w:rsidRPr="000B4C2C">
        <w:t xml:space="preserve"> potential and inherent hazard indexes for the three stages</w:t>
      </w:r>
      <w:r w:rsidR="00032163">
        <w:t xml:space="preserve"> </w:t>
      </w:r>
      <w:r w:rsidR="008A77C8" w:rsidRPr="000B4C2C">
        <w:t>investigated.</w:t>
      </w:r>
      <w:r w:rsidR="009E1CA7" w:rsidRPr="000B4C2C">
        <w:t xml:space="preserve"> </w:t>
      </w:r>
      <w:r w:rsidR="00B14C96" w:rsidRPr="00B14C96">
        <w:t>Notably, HI values, which account for the frequency of accident scenarios, are lower than PI values; however, the trend among the three stages remains the same, with transport showing the highest hazard indices, followed by capture and conditioning. It is worth noting that the HI value of the transport stage is also influenced by the pipeline length, as a longer pipeline increases the frequency of accident scenarios, thereby raising the HI value.</w:t>
      </w:r>
      <w:r w:rsidR="00565CE1">
        <w:t xml:space="preserve"> </w:t>
      </w:r>
      <w:r w:rsidR="00565CE1" w:rsidRPr="000B4C2C">
        <w:fldChar w:fldCharType="begin"/>
      </w:r>
      <w:r w:rsidR="00565CE1" w:rsidRPr="000B4C2C">
        <w:instrText xml:space="preserve"> REF _Ref182320617 \h  \* MERGEFORMAT </w:instrText>
      </w:r>
      <w:r w:rsidR="00565CE1" w:rsidRPr="000B4C2C">
        <w:fldChar w:fldCharType="separate"/>
      </w:r>
      <w:r w:rsidR="00916652">
        <w:t>Figure 3</w:t>
      </w:r>
      <w:r w:rsidR="00565CE1" w:rsidRPr="000B4C2C">
        <w:fldChar w:fldCharType="end"/>
      </w:r>
      <w:r w:rsidR="00565CE1" w:rsidRPr="000B4C2C">
        <w:t>-</w:t>
      </w:r>
      <w:r w:rsidR="00565CE1">
        <w:t>b</w:t>
      </w:r>
      <w:r w:rsidR="00565CE1" w:rsidRPr="000B4C2C">
        <w:t>)</w:t>
      </w:r>
      <w:r w:rsidR="00565CE1">
        <w:t xml:space="preserve"> illustrates the normalized </w:t>
      </w:r>
      <w:r w:rsidR="00BE2612">
        <w:t xml:space="preserve">hazard indexes for the capture, conditioning, and transport stages, </w:t>
      </w:r>
      <w:r w:rsidR="00B14C96">
        <w:t>relative</w:t>
      </w:r>
      <w:r w:rsidR="00AA79AF">
        <w:t xml:space="preserve"> to the highest HI value. In the radar plot, </w:t>
      </w:r>
      <w:r w:rsidR="00517ADE" w:rsidRPr="00517ADE">
        <w:t>both toxic and flammable contributions to the HI values are identified. The flammable contribution appears only in the capture stage, where MEA is involved, while toxicity impacts all three stages</w:t>
      </w:r>
      <w:r w:rsidR="00517ADE">
        <w:t xml:space="preserve">, </w:t>
      </w:r>
      <w:r w:rsidR="00967295">
        <w:t xml:space="preserve">following the trend discussed for </w:t>
      </w:r>
      <w:r w:rsidR="00967295" w:rsidRPr="000B4C2C">
        <w:fldChar w:fldCharType="begin"/>
      </w:r>
      <w:r w:rsidR="00967295" w:rsidRPr="000B4C2C">
        <w:instrText xml:space="preserve"> REF _Ref182320617 \h  \* MERGEFORMAT </w:instrText>
      </w:r>
      <w:r w:rsidR="00967295" w:rsidRPr="000B4C2C">
        <w:fldChar w:fldCharType="separate"/>
      </w:r>
      <w:r w:rsidR="00916652">
        <w:t>Figure 3</w:t>
      </w:r>
      <w:r w:rsidR="00967295" w:rsidRPr="000B4C2C">
        <w:fldChar w:fldCharType="end"/>
      </w:r>
      <w:r w:rsidR="00967295" w:rsidRPr="000B4C2C">
        <w:t>-a)</w:t>
      </w:r>
      <w:r w:rsidR="00967295">
        <w:t>.</w:t>
      </w:r>
      <w:r w:rsidR="00252965">
        <w:t xml:space="preserve"> </w:t>
      </w:r>
    </w:p>
    <w:p w14:paraId="5B9A6436" w14:textId="43E22AC0" w:rsidR="00544A08" w:rsidRPr="005D6A35" w:rsidRDefault="00600535" w:rsidP="00BE2030">
      <w:pPr>
        <w:pStyle w:val="CETHeading1"/>
        <w:rPr>
          <w:lang w:val="en-GB"/>
        </w:rPr>
      </w:pPr>
      <w:bookmarkStart w:id="10" w:name="_Ref180672840"/>
      <w:r w:rsidRPr="00B57B36">
        <w:rPr>
          <w:lang w:val="en-GB"/>
        </w:rPr>
        <w:t>Conclusions</w:t>
      </w:r>
      <w:bookmarkEnd w:id="10"/>
    </w:p>
    <w:p w14:paraId="674DCE5F" w14:textId="273CBC59" w:rsidR="00544A08" w:rsidRPr="00544A08" w:rsidRDefault="00544A08" w:rsidP="00BE2030">
      <w:pPr>
        <w:pStyle w:val="CETBodytext"/>
      </w:pPr>
      <w:r w:rsidRPr="00544A08">
        <w:t>In conclusion, this paper emphasizes the importance of addressing safety challenges in CCS technology to strengthen its role in reducing C</w:t>
      </w:r>
      <w:r w:rsidR="00A84CEA">
        <w:t>O</w:t>
      </w:r>
      <w:r w:rsidR="00A84CEA" w:rsidRPr="00A84CEA">
        <w:rPr>
          <w:vertAlign w:val="subscript"/>
        </w:rPr>
        <w:t>2</w:t>
      </w:r>
      <w:r w:rsidRPr="00544A08">
        <w:t xml:space="preserve"> emissions as part of the global energy transition. By identifying key gaps in risk assessment, the study underscores the necessity for comprehensive data collection and validated models to improve risk assessment practices. The dual approach</w:t>
      </w:r>
      <w:r w:rsidRPr="00544A08">
        <w:rPr>
          <w:rFonts w:cs="Arial"/>
        </w:rPr>
        <w:t>—</w:t>
      </w:r>
      <w:r w:rsidRPr="00544A08">
        <w:t>establishing baseline reference data and applying inherent safety principles in a practical case study</w:t>
      </w:r>
      <w:r w:rsidRPr="00544A08">
        <w:rPr>
          <w:rFonts w:cs="Arial"/>
        </w:rPr>
        <w:t>—</w:t>
      </w:r>
      <w:r w:rsidRPr="00544A08">
        <w:t xml:space="preserve">provides a framework that not only enhances the </w:t>
      </w:r>
      <w:r w:rsidRPr="00544A08">
        <w:lastRenderedPageBreak/>
        <w:t xml:space="preserve">understanding of potential hazards but also improves safety protocols for CCS applications. </w:t>
      </w:r>
      <w:r w:rsidR="006A0C38" w:rsidRPr="00544A08">
        <w:t>Remarkably</w:t>
      </w:r>
      <w:r w:rsidRPr="00544A08">
        <w:t>, the results of the inherent safety analysis identify the transport stage as the riskiest phase, highlighting the need for targeted safety measures in this area. These findings stress that integrating safety considerations from the design phase onward is crucial for achieving effective emission reductions and gaining public acceptance of CCS technology. To advance these goals, the study calls for coordinated efforts among stakeholders to standardize methodologies, improve scenario identification, and enhance consequence analysis, ultimately supporting a safer and more widely accepted path toward a low-carbon future.</w:t>
      </w:r>
    </w:p>
    <w:p w14:paraId="459D05E6" w14:textId="77777777" w:rsidR="00600535" w:rsidRPr="00B57B36" w:rsidRDefault="00600535" w:rsidP="00600535">
      <w:pPr>
        <w:pStyle w:val="CETAcknowledgementstitle"/>
      </w:pPr>
      <w:r w:rsidRPr="00B57B36">
        <w:t>Acknowledgments</w:t>
      </w:r>
    </w:p>
    <w:p w14:paraId="49D7CBD0" w14:textId="77777777" w:rsidR="002E4B67" w:rsidRDefault="002E4B67" w:rsidP="004239FF">
      <w:pPr>
        <w:pStyle w:val="CETBodytext"/>
        <w:rPr>
          <w:b/>
        </w:rPr>
      </w:pPr>
      <w:r w:rsidRPr="002E4B67">
        <w:t>This study was developed within the research project “</w:t>
      </w:r>
      <w:proofErr w:type="spellStart"/>
      <w:r w:rsidRPr="002E4B67">
        <w:t>COREu</w:t>
      </w:r>
      <w:proofErr w:type="spellEnd"/>
      <w:r w:rsidRPr="002E4B67">
        <w:t xml:space="preserve"> - CO</w:t>
      </w:r>
      <w:r w:rsidRPr="00C70B0A">
        <w:rPr>
          <w:vertAlign w:val="subscript"/>
        </w:rPr>
        <w:t>2</w:t>
      </w:r>
      <w:r w:rsidRPr="002E4B67">
        <w:t xml:space="preserve"> Routes Across Europe” funded by the European Commission (grant 101136217).</w:t>
      </w:r>
    </w:p>
    <w:p w14:paraId="4F1327F8" w14:textId="38D0C055" w:rsidR="00600535" w:rsidRDefault="00600535" w:rsidP="00600535">
      <w:pPr>
        <w:pStyle w:val="CETReference"/>
      </w:pPr>
      <w:r w:rsidRPr="00B57B36">
        <w:t>References</w:t>
      </w:r>
    </w:p>
    <w:p w14:paraId="1AA4D5F7" w14:textId="77777777" w:rsidR="00D174BC" w:rsidRDefault="00D174BC" w:rsidP="00CE3DA7">
      <w:pPr>
        <w:pStyle w:val="CETReferencetext"/>
        <w:rPr>
          <w:lang w:val="en-US"/>
        </w:rPr>
      </w:pPr>
      <w:proofErr w:type="spellStart"/>
      <w:r>
        <w:rPr>
          <w:lang w:val="en-US"/>
        </w:rPr>
        <w:t>AspenTech</w:t>
      </w:r>
      <w:proofErr w:type="spellEnd"/>
      <w:r>
        <w:rPr>
          <w:lang w:val="en-US"/>
        </w:rPr>
        <w:t>, 2024, Aspen Plus software.</w:t>
      </w:r>
    </w:p>
    <w:p w14:paraId="40B112E3" w14:textId="77777777" w:rsidR="00D174BC" w:rsidRDefault="00D174BC" w:rsidP="00CE3DA7">
      <w:pPr>
        <w:pStyle w:val="CETReferencetext"/>
        <w:rPr>
          <w:lang w:val="en-US"/>
        </w:rPr>
      </w:pPr>
      <w:r w:rsidRPr="00BF6D80">
        <w:rPr>
          <w:lang w:val="en-US"/>
        </w:rPr>
        <w:t>CCPS, 2000</w:t>
      </w:r>
      <w:r>
        <w:rPr>
          <w:lang w:val="en-US"/>
        </w:rPr>
        <w:t>,</w:t>
      </w:r>
      <w:r w:rsidRPr="00BF6D80">
        <w:rPr>
          <w:lang w:val="en-US"/>
        </w:rPr>
        <w:t xml:space="preserve"> Guidelines for Chemical Process Quantitative Risk Analysis</w:t>
      </w:r>
      <w:r>
        <w:rPr>
          <w:lang w:val="en-US"/>
        </w:rPr>
        <w:t>,</w:t>
      </w:r>
      <w:r w:rsidRPr="00BF6D80">
        <w:rPr>
          <w:lang w:val="en-US"/>
        </w:rPr>
        <w:t xml:space="preserve"> American Institute of Chemical Engineers - Center of Chemical Process Safety, New York, NY</w:t>
      </w:r>
      <w:r>
        <w:rPr>
          <w:lang w:val="en-US"/>
        </w:rPr>
        <w:t>, USA.</w:t>
      </w:r>
    </w:p>
    <w:p w14:paraId="642E641B" w14:textId="77777777" w:rsidR="00D174BC" w:rsidRDefault="00D174BC" w:rsidP="00FC1EA4">
      <w:pPr>
        <w:pStyle w:val="CETReferencetext"/>
      </w:pPr>
      <w:r w:rsidRPr="00DD291A">
        <w:t>CDC, 2024. NIOSH [WWW Document]</w:t>
      </w:r>
      <w:r>
        <w:t xml:space="preserve"> </w:t>
      </w:r>
      <w:r w:rsidRPr="00DD291A">
        <w:t xml:space="preserve">(accessed </w:t>
      </w:r>
      <w:r>
        <w:t>11</w:t>
      </w:r>
      <w:r w:rsidRPr="00E57BD6">
        <w:t>.1</w:t>
      </w:r>
      <w:r>
        <w:t>2</w:t>
      </w:r>
      <w:r w:rsidRPr="00E57BD6">
        <w:t>.24</w:t>
      </w:r>
      <w:r w:rsidRPr="00DD291A">
        <w:t>).</w:t>
      </w:r>
    </w:p>
    <w:p w14:paraId="62C35140" w14:textId="77777777" w:rsidR="00D174BC" w:rsidRPr="009E0C47" w:rsidRDefault="00D174BC" w:rsidP="009E0C47">
      <w:pPr>
        <w:pStyle w:val="CETReferencetext"/>
        <w:rPr>
          <w:lang w:val="en-US"/>
        </w:rPr>
      </w:pPr>
      <w:proofErr w:type="spellStart"/>
      <w:r w:rsidRPr="00917B7C">
        <w:rPr>
          <w:lang w:val="en-US"/>
        </w:rPr>
        <w:t>Crivellari</w:t>
      </w:r>
      <w:proofErr w:type="spellEnd"/>
      <w:r w:rsidRPr="00917B7C">
        <w:rPr>
          <w:lang w:val="en-US"/>
        </w:rPr>
        <w:t xml:space="preserve"> A., Tugnoli A., Cozzani V., Macini P., 2018, Systematic Methodology for Inherent Safety Indicators Assessment of Early Design Stages of Offshore Oil &amp; Gas Projects, Chemical Engineering Transactions, 67, 691-696</w:t>
      </w:r>
      <w:r>
        <w:rPr>
          <w:lang w:val="en-US"/>
        </w:rPr>
        <w:t>.</w:t>
      </w:r>
    </w:p>
    <w:p w14:paraId="7A10DE3C" w14:textId="77777777" w:rsidR="00D174BC" w:rsidRPr="00BF6D80" w:rsidRDefault="00D174BC" w:rsidP="00CE3DA7">
      <w:pPr>
        <w:pStyle w:val="CETReferencetext"/>
        <w:rPr>
          <w:lang w:val="en-US"/>
        </w:rPr>
      </w:pPr>
      <w:proofErr w:type="spellStart"/>
      <w:r w:rsidRPr="0058408F">
        <w:rPr>
          <w:lang w:val="it-IT"/>
        </w:rPr>
        <w:t>Delvosalle</w:t>
      </w:r>
      <w:proofErr w:type="spellEnd"/>
      <w:r w:rsidRPr="0058408F">
        <w:rPr>
          <w:lang w:val="it-IT"/>
        </w:rPr>
        <w:t xml:space="preserve"> C., </w:t>
      </w:r>
      <w:proofErr w:type="spellStart"/>
      <w:r w:rsidRPr="0058408F">
        <w:rPr>
          <w:lang w:val="it-IT"/>
        </w:rPr>
        <w:t>Fievez</w:t>
      </w:r>
      <w:proofErr w:type="spellEnd"/>
      <w:r w:rsidRPr="0058408F">
        <w:rPr>
          <w:lang w:val="it-IT"/>
        </w:rPr>
        <w:t xml:space="preserve"> C., </w:t>
      </w:r>
      <w:proofErr w:type="spellStart"/>
      <w:r w:rsidRPr="0058408F">
        <w:rPr>
          <w:lang w:val="it-IT"/>
        </w:rPr>
        <w:t>Pipart</w:t>
      </w:r>
      <w:proofErr w:type="spellEnd"/>
      <w:r w:rsidRPr="0058408F">
        <w:rPr>
          <w:lang w:val="it-IT"/>
        </w:rPr>
        <w:t xml:space="preserve"> A., 2004. </w:t>
      </w:r>
      <w:r w:rsidRPr="00031D6E">
        <w:rPr>
          <w:lang w:val="en-US"/>
        </w:rPr>
        <w:t>APPENDIX 10. Generic frequencies data for the critical events, Aramis Final Used Guide.</w:t>
      </w:r>
    </w:p>
    <w:p w14:paraId="742AA9C4" w14:textId="77777777" w:rsidR="00D174BC" w:rsidRDefault="00D174BC" w:rsidP="00E9005B">
      <w:pPr>
        <w:pStyle w:val="CETReferencetext"/>
      </w:pPr>
      <w:proofErr w:type="spellStart"/>
      <w:r w:rsidRPr="00190F65">
        <w:t>Delvosalle</w:t>
      </w:r>
      <w:proofErr w:type="spellEnd"/>
      <w:r w:rsidRPr="00190F65">
        <w:t xml:space="preserve"> C</w:t>
      </w:r>
      <w:r>
        <w:t>.</w:t>
      </w:r>
      <w:r w:rsidRPr="00190F65">
        <w:t xml:space="preserve">, </w:t>
      </w:r>
      <w:proofErr w:type="spellStart"/>
      <w:r w:rsidRPr="00190F65">
        <w:t>Fievez</w:t>
      </w:r>
      <w:proofErr w:type="spellEnd"/>
      <w:r w:rsidRPr="00190F65">
        <w:t xml:space="preserve"> C</w:t>
      </w:r>
      <w:r>
        <w:t>.</w:t>
      </w:r>
      <w:r w:rsidRPr="00190F65">
        <w:t xml:space="preserve">, </w:t>
      </w:r>
      <w:proofErr w:type="spellStart"/>
      <w:r w:rsidRPr="00190F65">
        <w:t>Pipart</w:t>
      </w:r>
      <w:proofErr w:type="spellEnd"/>
      <w:r w:rsidRPr="00190F65">
        <w:t xml:space="preserve"> A</w:t>
      </w:r>
      <w:r>
        <w:t>.</w:t>
      </w:r>
      <w:r w:rsidRPr="00190F65">
        <w:t xml:space="preserve">, </w:t>
      </w:r>
      <w:proofErr w:type="spellStart"/>
      <w:r w:rsidRPr="00190F65">
        <w:t>Debray</w:t>
      </w:r>
      <w:proofErr w:type="spellEnd"/>
      <w:r w:rsidRPr="00190F65">
        <w:t xml:space="preserve"> B.</w:t>
      </w:r>
      <w:r>
        <w:t>, 2006,</w:t>
      </w:r>
      <w:r w:rsidRPr="00190F65">
        <w:t xml:space="preserve"> ARAMIS project: a comprehensive methodology for the identification of reference accident scenarios in process industries</w:t>
      </w:r>
      <w:r>
        <w:t xml:space="preserve">, </w:t>
      </w:r>
      <w:r w:rsidRPr="00190F65">
        <w:rPr>
          <w:rFonts w:eastAsiaTheme="minorHAnsi" w:cs="Arial"/>
          <w:szCs w:val="18"/>
          <w:lang w:val="en-US"/>
        </w:rPr>
        <w:t>Journal of Hazardous Materials,</w:t>
      </w:r>
      <w:r>
        <w:rPr>
          <w:rFonts w:eastAsiaTheme="minorHAnsi" w:cs="Arial"/>
          <w:szCs w:val="18"/>
          <w:lang w:val="en-US"/>
        </w:rPr>
        <w:t xml:space="preserve"> 1</w:t>
      </w:r>
      <w:r w:rsidRPr="00190F65">
        <w:t>30</w:t>
      </w:r>
      <w:r>
        <w:t xml:space="preserve">, </w:t>
      </w:r>
      <w:r w:rsidRPr="00190F65">
        <w:t>200-19</w:t>
      </w:r>
      <w:r>
        <w:t>.</w:t>
      </w:r>
    </w:p>
    <w:p w14:paraId="23BFBBB7" w14:textId="77777777" w:rsidR="00D174BC" w:rsidRDefault="00D174BC" w:rsidP="00FC1EA4">
      <w:pPr>
        <w:pStyle w:val="CETReferencetext"/>
      </w:pPr>
      <w:r>
        <w:t>DNV, 2024. PHAST software.</w:t>
      </w:r>
    </w:p>
    <w:p w14:paraId="0D912A89" w14:textId="77777777" w:rsidR="00D174BC" w:rsidRDefault="00D174BC" w:rsidP="00E40DD2">
      <w:pPr>
        <w:pStyle w:val="CETReferencetext"/>
      </w:pPr>
      <w:r>
        <w:t>Duncan I., Wang H., 2014a, Estimating the likelihood of pipeline failure in CO</w:t>
      </w:r>
      <w:r w:rsidRPr="0041767C">
        <w:rPr>
          <w:vertAlign w:val="subscript"/>
        </w:rPr>
        <w:t>2</w:t>
      </w:r>
      <w:r>
        <w:t xml:space="preserve"> transmission pipelines: New insights on risks of carbon capture and storage. </w:t>
      </w:r>
      <w:r w:rsidRPr="00711497">
        <w:t>International Journal of Greenhouse Gas Contro</w:t>
      </w:r>
      <w:r>
        <w:t>l, 21, 49–60.</w:t>
      </w:r>
    </w:p>
    <w:p w14:paraId="15196F16" w14:textId="77777777" w:rsidR="00D174BC" w:rsidRDefault="00D174BC" w:rsidP="00E40DD2">
      <w:pPr>
        <w:pStyle w:val="CETReferencetext"/>
      </w:pPr>
      <w:r>
        <w:t>Duncan I., Wang H., 2014b, Evaluating the likelihood of pipeline failures for future offshore CO</w:t>
      </w:r>
      <w:r w:rsidRPr="0041767C">
        <w:rPr>
          <w:vertAlign w:val="subscript"/>
        </w:rPr>
        <w:t>2</w:t>
      </w:r>
      <w:r>
        <w:t xml:space="preserve"> sequestration projects. </w:t>
      </w:r>
      <w:r w:rsidRPr="00711497">
        <w:t>International Journal of Greenhouse Gas Contro</w:t>
      </w:r>
      <w:r>
        <w:t>l, 24, 124–138.</w:t>
      </w:r>
    </w:p>
    <w:p w14:paraId="0BC76401" w14:textId="77777777" w:rsidR="00D174BC" w:rsidRDefault="00D174BC" w:rsidP="00FC1EA4">
      <w:pPr>
        <w:pStyle w:val="CETReferencetext"/>
      </w:pPr>
      <w:r w:rsidRPr="00BC0A74">
        <w:t>HSE, 2011</w:t>
      </w:r>
      <w:r>
        <w:t>,</w:t>
      </w:r>
      <w:r w:rsidRPr="00BC0A74">
        <w:t xml:space="preserve"> Assessment of the major hazard potential of carbon dioxide (CO</w:t>
      </w:r>
      <w:r w:rsidRPr="00BC0A74">
        <w:rPr>
          <w:vertAlign w:val="subscript"/>
        </w:rPr>
        <w:t>2</w:t>
      </w:r>
      <w:r w:rsidRPr="00BC0A74">
        <w:t>), Health and Safety Executive.</w:t>
      </w:r>
    </w:p>
    <w:p w14:paraId="7B543900" w14:textId="77777777" w:rsidR="00D174BC" w:rsidRDefault="00D174BC" w:rsidP="00190F65">
      <w:pPr>
        <w:pStyle w:val="CETReferencetext"/>
      </w:pPr>
      <w:r>
        <w:t>IOGP</w:t>
      </w:r>
      <w:r w:rsidRPr="00190F65">
        <w:t>, 2010</w:t>
      </w:r>
      <w:r>
        <w:t>,</w:t>
      </w:r>
      <w:r w:rsidRPr="00190F65">
        <w:t xml:space="preserve"> Riser &amp; pipeline release frequencies.</w:t>
      </w:r>
    </w:p>
    <w:p w14:paraId="691BAF81" w14:textId="77777777" w:rsidR="00D174BC" w:rsidRDefault="00D174BC" w:rsidP="00FC1EA4">
      <w:pPr>
        <w:pStyle w:val="CETReferencetext"/>
      </w:pPr>
      <w:r>
        <w:t xml:space="preserve">IPCC [Metz, B., O. Davidson, H. C. de </w:t>
      </w:r>
      <w:proofErr w:type="spellStart"/>
      <w:r>
        <w:t>Coninck</w:t>
      </w:r>
      <w:proofErr w:type="spellEnd"/>
      <w:r>
        <w:t>, M. Loos, and L. Meyer (eds.)], 2005, Special Report on Carbon Dioxide Capture and Storage, Cambridge University Press, Cambridge, UK and New York, NY, USA.</w:t>
      </w:r>
    </w:p>
    <w:p w14:paraId="6628E777" w14:textId="77777777" w:rsidR="00D174BC" w:rsidRDefault="00D174BC" w:rsidP="00190F65">
      <w:pPr>
        <w:pStyle w:val="CETReferencetext"/>
      </w:pPr>
      <w:r w:rsidRPr="00BF6D80">
        <w:t>Mannan S., 2012</w:t>
      </w:r>
      <w:r>
        <w:t>,</w:t>
      </w:r>
      <w:r w:rsidRPr="00BF6D80">
        <w:t xml:space="preserve"> Lees’ Loss prevention in the process industries, Third. ed. Elsevier.</w:t>
      </w:r>
    </w:p>
    <w:p w14:paraId="4A44A6E2" w14:textId="77777777" w:rsidR="00D174BC" w:rsidRDefault="00D174BC" w:rsidP="00FC1EA4">
      <w:pPr>
        <w:pStyle w:val="CETReferencetext"/>
      </w:pPr>
      <w:r w:rsidRPr="00E57BD6">
        <w:t>NOAA, 2024</w:t>
      </w:r>
      <w:r>
        <w:t>,</w:t>
      </w:r>
      <w:r w:rsidRPr="00E57BD6">
        <w:t xml:space="preserve"> Ethanolamine [WWW Document]</w:t>
      </w:r>
      <w:r>
        <w:t xml:space="preserve"> </w:t>
      </w:r>
      <w:r w:rsidRPr="00E57BD6">
        <w:t xml:space="preserve">(accessed </w:t>
      </w:r>
      <w:r>
        <w:t>11</w:t>
      </w:r>
      <w:r w:rsidRPr="00E57BD6">
        <w:t>.1</w:t>
      </w:r>
      <w:r>
        <w:t>2</w:t>
      </w:r>
      <w:r w:rsidRPr="00E57BD6">
        <w:t>.24).</w:t>
      </w:r>
    </w:p>
    <w:p w14:paraId="46C30019" w14:textId="77777777" w:rsidR="00D174BC" w:rsidRPr="00B451D8" w:rsidRDefault="00D174BC" w:rsidP="00C11BDC">
      <w:pPr>
        <w:pStyle w:val="CETReferencetext"/>
        <w:rPr>
          <w:rFonts w:cs="Arial"/>
        </w:rPr>
      </w:pPr>
      <w:r w:rsidRPr="0058408F">
        <w:rPr>
          <w:rFonts w:cs="Arial"/>
          <w:noProof/>
        </w:rPr>
        <w:t xml:space="preserve">Noussan M., Raimondi P.P., Scita R., Hafner M., 2021, </w:t>
      </w:r>
      <w:r w:rsidRPr="00B451D8">
        <w:rPr>
          <w:rFonts w:cs="Arial"/>
          <w:noProof/>
        </w:rPr>
        <w:t>The role of green and blue hydrogen in the energy transition—a technological and geopolitical perspective</w:t>
      </w:r>
      <w:r>
        <w:rPr>
          <w:rFonts w:cs="Arial"/>
          <w:noProof/>
        </w:rPr>
        <w:t>,</w:t>
      </w:r>
      <w:r w:rsidRPr="00B451D8">
        <w:rPr>
          <w:rFonts w:cs="Arial"/>
          <w:noProof/>
        </w:rPr>
        <w:t xml:space="preserve"> Sustain</w:t>
      </w:r>
      <w:r>
        <w:rPr>
          <w:rFonts w:cs="Arial"/>
          <w:noProof/>
        </w:rPr>
        <w:t>ability,</w:t>
      </w:r>
      <w:r w:rsidRPr="00B451D8">
        <w:rPr>
          <w:rFonts w:cs="Arial"/>
          <w:noProof/>
        </w:rPr>
        <w:t xml:space="preserve"> 13, 1–26.</w:t>
      </w:r>
    </w:p>
    <w:p w14:paraId="41E78A4F" w14:textId="77777777" w:rsidR="00D174BC" w:rsidRDefault="00D174BC" w:rsidP="00190F65">
      <w:pPr>
        <w:pStyle w:val="CETReferencetext"/>
      </w:pPr>
      <w:r w:rsidRPr="00BF6D80">
        <w:t>OREDA, 2015</w:t>
      </w:r>
      <w:r>
        <w:t>,</w:t>
      </w:r>
      <w:r w:rsidRPr="00BF6D80">
        <w:t xml:space="preserve"> Offshore and Onshore Reliability Data - Vol. 1 Topside Equipment, 6th ed. Det Norske Veritas AS, </w:t>
      </w:r>
      <w:proofErr w:type="spellStart"/>
      <w:r w:rsidRPr="00BF6D80">
        <w:t>Høvik</w:t>
      </w:r>
      <w:proofErr w:type="spellEnd"/>
      <w:r w:rsidRPr="00BF6D80">
        <w:t>, Norway.</w:t>
      </w:r>
    </w:p>
    <w:p w14:paraId="6AB1E09F" w14:textId="77777777" w:rsidR="00D174BC" w:rsidRDefault="00D174BC" w:rsidP="00E9005B">
      <w:pPr>
        <w:pStyle w:val="CETReferencetext"/>
      </w:pPr>
      <w:proofErr w:type="spellStart"/>
      <w:r>
        <w:t>Saccomanno</w:t>
      </w:r>
      <w:proofErr w:type="spellEnd"/>
      <w:r>
        <w:t xml:space="preserve"> F.F., Yu M., </w:t>
      </w:r>
      <w:proofErr w:type="spellStart"/>
      <w:r>
        <w:t>Shortreed</w:t>
      </w:r>
      <w:proofErr w:type="spellEnd"/>
      <w:r>
        <w:t xml:space="preserve"> J.H., 1993, Risk uncertainty in the transport of hazardous materials. Transp. Res. Rec. 1383, 58–66.</w:t>
      </w:r>
    </w:p>
    <w:p w14:paraId="4503317E" w14:textId="77777777" w:rsidR="00D174BC" w:rsidRDefault="00D174BC" w:rsidP="00AC224C">
      <w:pPr>
        <w:pStyle w:val="CETReferencetext"/>
      </w:pPr>
      <w:r w:rsidRPr="00AC224C">
        <w:t>Schlumberger, 202</w:t>
      </w:r>
      <w:r>
        <w:t>4</w:t>
      </w:r>
      <w:r w:rsidRPr="00AC224C">
        <w:t>. OLGA software.</w:t>
      </w:r>
    </w:p>
    <w:p w14:paraId="268E80AC" w14:textId="77777777" w:rsidR="00D174BC" w:rsidRDefault="00D174BC" w:rsidP="00FC1EA4">
      <w:pPr>
        <w:pStyle w:val="CETReferencetext"/>
      </w:pPr>
      <w:r w:rsidRPr="00BA0C18">
        <w:t>Sherpa Consulting, 2015</w:t>
      </w:r>
      <w:r>
        <w:t>,</w:t>
      </w:r>
      <w:r w:rsidRPr="00BA0C18">
        <w:t xml:space="preserve"> Dispersion Modelling Techniques for Carbon Dioxide Pipelines in Australia</w:t>
      </w:r>
      <w:r>
        <w:t>,</w:t>
      </w:r>
      <w:r w:rsidRPr="00BA0C18">
        <w:t xml:space="preserve"> 1–193.</w:t>
      </w:r>
    </w:p>
    <w:p w14:paraId="43EB0E6A" w14:textId="77777777" w:rsidR="00D174BC" w:rsidRDefault="00D174BC" w:rsidP="00AC224C">
      <w:pPr>
        <w:pStyle w:val="CETReferencetext"/>
      </w:pPr>
      <w:proofErr w:type="spellStart"/>
      <w:r w:rsidRPr="00AC224C">
        <w:t>Socolofsky</w:t>
      </w:r>
      <w:proofErr w:type="spellEnd"/>
      <w:r w:rsidRPr="00AC224C">
        <w:t xml:space="preserve"> S.A., Dissanayake A.L., Jun I., Gros J., </w:t>
      </w:r>
      <w:proofErr w:type="spellStart"/>
      <w:r w:rsidRPr="00AC224C">
        <w:t>Arey</w:t>
      </w:r>
      <w:proofErr w:type="spellEnd"/>
      <w:r w:rsidRPr="00AC224C">
        <w:t xml:space="preserve"> J.S., Reddy C.M., 2015</w:t>
      </w:r>
      <w:r>
        <w:t>,</w:t>
      </w:r>
      <w:r w:rsidRPr="00AC224C">
        <w:t xml:space="preserve"> Texas A&amp;M </w:t>
      </w:r>
      <w:proofErr w:type="spellStart"/>
      <w:r w:rsidRPr="00AC224C">
        <w:t>Oilspill</w:t>
      </w:r>
      <w:proofErr w:type="spellEnd"/>
      <w:r w:rsidRPr="00AC224C">
        <w:t xml:space="preserve"> Calculator (TAMOC): </w:t>
      </w:r>
      <w:proofErr w:type="spellStart"/>
      <w:r w:rsidRPr="00AC224C">
        <w:t>Modeling</w:t>
      </w:r>
      <w:proofErr w:type="spellEnd"/>
      <w:r w:rsidRPr="00AC224C">
        <w:t xml:space="preserve"> Suite for Subsea Spills.</w:t>
      </w:r>
    </w:p>
    <w:p w14:paraId="2B94E0BC" w14:textId="77777777" w:rsidR="00D174BC" w:rsidRDefault="00D174BC" w:rsidP="00FC1EA4">
      <w:pPr>
        <w:pStyle w:val="CETReferencetext"/>
      </w:pPr>
      <w:r w:rsidRPr="005146D7">
        <w:rPr>
          <w:lang w:val="en-US"/>
        </w:rPr>
        <w:t xml:space="preserve">Tamburini F., Bonvicini S., Cozzani V., 2023, </w:t>
      </w:r>
      <w:r w:rsidRPr="005146D7">
        <w:t>Risk of Subsea Blowouts in Marine CCS</w:t>
      </w:r>
      <w:r>
        <w:t>,</w:t>
      </w:r>
      <w:r w:rsidRPr="005146D7">
        <w:t xml:space="preserve"> Chem</w:t>
      </w:r>
      <w:r>
        <w:t>ical</w:t>
      </w:r>
      <w:r w:rsidRPr="005146D7">
        <w:t xml:space="preserve"> Eng</w:t>
      </w:r>
      <w:r>
        <w:t>ineering</w:t>
      </w:r>
      <w:r w:rsidRPr="005146D7">
        <w:t xml:space="preserve"> Trans</w:t>
      </w:r>
      <w:r>
        <w:t>actions,</w:t>
      </w:r>
      <w:r w:rsidRPr="005146D7">
        <w:t xml:space="preserve"> 99, 265–270.</w:t>
      </w:r>
    </w:p>
    <w:p w14:paraId="097E592D" w14:textId="77777777" w:rsidR="00D174BC" w:rsidRDefault="00D174BC" w:rsidP="00010054">
      <w:pPr>
        <w:pStyle w:val="CETReferencetext"/>
      </w:pPr>
      <w:r w:rsidRPr="00031D6E">
        <w:rPr>
          <w:lang w:val="en-US"/>
        </w:rPr>
        <w:t xml:space="preserve">Tamburini F., </w:t>
      </w:r>
      <w:r>
        <w:rPr>
          <w:lang w:val="en-US"/>
        </w:rPr>
        <w:t xml:space="preserve">Kluge M., Habib A.K., </w:t>
      </w:r>
      <w:r w:rsidRPr="00031D6E">
        <w:rPr>
          <w:lang w:val="en-US"/>
        </w:rPr>
        <w:t>Ustolin F., Cozzani V., Paltrinieri N., 202</w:t>
      </w:r>
      <w:r>
        <w:rPr>
          <w:lang w:val="en-US"/>
        </w:rPr>
        <w:t>4a</w:t>
      </w:r>
      <w:r w:rsidRPr="00031D6E">
        <w:rPr>
          <w:lang w:val="en-US"/>
        </w:rPr>
        <w:t xml:space="preserve">, </w:t>
      </w:r>
      <w:proofErr w:type="gramStart"/>
      <w:r>
        <w:t>Exploring</w:t>
      </w:r>
      <w:proofErr w:type="gramEnd"/>
      <w:r w:rsidRPr="008D7C12">
        <w:t xml:space="preserve"> </w:t>
      </w:r>
      <w:r>
        <w:t>e</w:t>
      </w:r>
      <w:r w:rsidRPr="008D7C12">
        <w:t xml:space="preserve">xperimental </w:t>
      </w:r>
      <w:r>
        <w:t>t</w:t>
      </w:r>
      <w:r w:rsidRPr="008D7C12">
        <w:t xml:space="preserve">ests concerning </w:t>
      </w:r>
      <w:r>
        <w:t>l</w:t>
      </w:r>
      <w:r w:rsidRPr="008D7C12">
        <w:t xml:space="preserve">iquid </w:t>
      </w:r>
      <w:r>
        <w:t>h</w:t>
      </w:r>
      <w:r w:rsidRPr="008D7C12">
        <w:t xml:space="preserve">ydrogen </w:t>
      </w:r>
      <w:r>
        <w:t>r</w:t>
      </w:r>
      <w:r w:rsidRPr="008D7C12">
        <w:t xml:space="preserve">eleases, </w:t>
      </w:r>
      <w:r>
        <w:t>Process Safety and Environmental Protection, 192, 1330</w:t>
      </w:r>
      <w:r w:rsidRPr="005146D7">
        <w:t>–</w:t>
      </w:r>
      <w:r>
        <w:t>1343.</w:t>
      </w:r>
    </w:p>
    <w:p w14:paraId="4F2FD4C2" w14:textId="77777777" w:rsidR="00D174BC" w:rsidRDefault="00D174BC" w:rsidP="00FC1EA4">
      <w:pPr>
        <w:pStyle w:val="CETReferencetext"/>
      </w:pPr>
      <w:r w:rsidRPr="00031D6E">
        <w:rPr>
          <w:lang w:val="en-US"/>
        </w:rPr>
        <w:t>Tamburini F., Ricci F., Tzioutzios D., Paltrinieri N., 2024</w:t>
      </w:r>
      <w:r>
        <w:rPr>
          <w:lang w:val="en-US"/>
        </w:rPr>
        <w:t>b</w:t>
      </w:r>
      <w:r w:rsidRPr="00031D6E">
        <w:rPr>
          <w:lang w:val="en-US"/>
        </w:rPr>
        <w:t xml:space="preserve">, </w:t>
      </w:r>
      <w:r w:rsidRPr="005146D7">
        <w:t>Understanding Natech Accident Scenarios at Carbon Capture and Storage (CCS) Plants</w:t>
      </w:r>
      <w:r>
        <w:t xml:space="preserve">, </w:t>
      </w:r>
      <w:r w:rsidRPr="005146D7">
        <w:t>Chem</w:t>
      </w:r>
      <w:r>
        <w:t>ical</w:t>
      </w:r>
      <w:r w:rsidRPr="005146D7">
        <w:t xml:space="preserve"> Eng</w:t>
      </w:r>
      <w:r>
        <w:t>ineering</w:t>
      </w:r>
      <w:r w:rsidRPr="005146D7">
        <w:t xml:space="preserve"> Trans</w:t>
      </w:r>
      <w:r>
        <w:t>actions,</w:t>
      </w:r>
      <w:r w:rsidRPr="005146D7">
        <w:t xml:space="preserve"> 111, 391–396.</w:t>
      </w:r>
    </w:p>
    <w:p w14:paraId="79020644" w14:textId="77777777" w:rsidR="00D174BC" w:rsidRDefault="00D174BC" w:rsidP="00EB0C83">
      <w:pPr>
        <w:pStyle w:val="CETReferencetext"/>
      </w:pPr>
      <w:proofErr w:type="spellStart"/>
      <w:r w:rsidRPr="00EB0C83">
        <w:rPr>
          <w:lang w:val="en-US"/>
        </w:rPr>
        <w:t>Tugnoli</w:t>
      </w:r>
      <w:proofErr w:type="spellEnd"/>
      <w:r w:rsidRPr="00EB0C83">
        <w:rPr>
          <w:lang w:val="en-US"/>
        </w:rPr>
        <w:t xml:space="preserve"> A, </w:t>
      </w:r>
      <w:proofErr w:type="spellStart"/>
      <w:r w:rsidRPr="00EB0C83">
        <w:rPr>
          <w:lang w:val="en-US"/>
        </w:rPr>
        <w:t>Cozzani</w:t>
      </w:r>
      <w:proofErr w:type="spellEnd"/>
      <w:r w:rsidRPr="00EB0C83">
        <w:rPr>
          <w:lang w:val="en-US"/>
        </w:rPr>
        <w:t xml:space="preserve"> V, </w:t>
      </w:r>
      <w:proofErr w:type="spellStart"/>
      <w:r w:rsidRPr="00EB0C83">
        <w:rPr>
          <w:lang w:val="en-US"/>
        </w:rPr>
        <w:t>Landucci</w:t>
      </w:r>
      <w:proofErr w:type="spellEnd"/>
      <w:r w:rsidRPr="00EB0C83">
        <w:rPr>
          <w:lang w:val="en-US"/>
        </w:rPr>
        <w:t xml:space="preserve"> G.</w:t>
      </w:r>
      <w:r>
        <w:rPr>
          <w:lang w:val="en-US"/>
        </w:rPr>
        <w:t>, 2007,</w:t>
      </w:r>
      <w:r w:rsidRPr="00EB0C83">
        <w:rPr>
          <w:lang w:val="en-US"/>
        </w:rPr>
        <w:t xml:space="preserve"> A </w:t>
      </w:r>
      <w:proofErr w:type="gramStart"/>
      <w:r w:rsidRPr="00EB0C83">
        <w:rPr>
          <w:lang w:val="en-US"/>
        </w:rPr>
        <w:t>consequence based</w:t>
      </w:r>
      <w:proofErr w:type="gramEnd"/>
      <w:r w:rsidRPr="00EB0C83">
        <w:rPr>
          <w:lang w:val="en-US"/>
        </w:rPr>
        <w:t xml:space="preserve"> </w:t>
      </w:r>
      <w:r>
        <w:t>approach to the quantitative assessment of inherent safety. AIChE Journal, 53, 3171–82.</w:t>
      </w:r>
    </w:p>
    <w:p w14:paraId="5DB75F34" w14:textId="77777777" w:rsidR="00D174BC" w:rsidRDefault="00D174BC" w:rsidP="00C11BDC">
      <w:pPr>
        <w:pStyle w:val="CETReferencetext"/>
      </w:pPr>
      <w:proofErr w:type="spellStart"/>
      <w:r w:rsidRPr="00CE3DA7">
        <w:t>Uijt</w:t>
      </w:r>
      <w:proofErr w:type="spellEnd"/>
      <w:r w:rsidRPr="00CE3DA7">
        <w:t xml:space="preserve"> de Haag P.A.M., Ale B.J.M., 1999, Guidelines for Quantitative Risk Assessment (Purple Book), Committee</w:t>
      </w:r>
      <w:r w:rsidRPr="00190F65">
        <w:t xml:space="preserve"> </w:t>
      </w:r>
      <w:r w:rsidRPr="00CE3DA7">
        <w:t>for the Prevention of Disasters, The Hague, The Netherlands.</w:t>
      </w:r>
    </w:p>
    <w:sectPr w:rsidR="00D174BC"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B688F" w14:textId="77777777" w:rsidR="00C109E4" w:rsidRDefault="00C109E4" w:rsidP="004F5E36">
      <w:r>
        <w:separator/>
      </w:r>
    </w:p>
  </w:endnote>
  <w:endnote w:type="continuationSeparator" w:id="0">
    <w:p w14:paraId="0E09E978" w14:textId="77777777" w:rsidR="00C109E4" w:rsidRDefault="00C109E4"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haris SIL">
    <w:altName w:val="Calibri"/>
    <w:panose1 w:val="00000000000000000000"/>
    <w:charset w:val="00"/>
    <w:family w:val="swiss"/>
    <w:notTrueType/>
    <w:pitch w:val="default"/>
    <w:sig w:usb0="00000003" w:usb1="00000000" w:usb2="00000000" w:usb3="00000000" w:csb0="00000001" w:csb1="00000000"/>
  </w:font>
  <w:font w:name="AdvP6960">
    <w:altName w:val="Cambria"/>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B6240" w14:textId="77777777" w:rsidR="00C109E4" w:rsidRDefault="00C109E4" w:rsidP="004F5E36">
      <w:r>
        <w:separator/>
      </w:r>
    </w:p>
  </w:footnote>
  <w:footnote w:type="continuationSeparator" w:id="0">
    <w:p w14:paraId="0D6B833C" w14:textId="77777777" w:rsidR="00C109E4" w:rsidRDefault="00C109E4"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91756F"/>
    <w:multiLevelType w:val="hybridMultilevel"/>
    <w:tmpl w:val="E3CEF198"/>
    <w:lvl w:ilvl="0" w:tplc="8FD68DA8">
      <w:start w:val="1"/>
      <w:numFmt w:val="upp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438217E"/>
    <w:multiLevelType w:val="multilevel"/>
    <w:tmpl w:val="20BE65F0"/>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88195359">
    <w:abstractNumId w:val="12"/>
  </w:num>
  <w:num w:numId="2" w16cid:durableId="1683582325">
    <w:abstractNumId w:val="8"/>
  </w:num>
  <w:num w:numId="3" w16cid:durableId="1845121469">
    <w:abstractNumId w:val="3"/>
  </w:num>
  <w:num w:numId="4" w16cid:durableId="716441577">
    <w:abstractNumId w:val="2"/>
  </w:num>
  <w:num w:numId="5" w16cid:durableId="1432041962">
    <w:abstractNumId w:val="1"/>
  </w:num>
  <w:num w:numId="6" w16cid:durableId="219293361">
    <w:abstractNumId w:val="0"/>
  </w:num>
  <w:num w:numId="7" w16cid:durableId="314065782">
    <w:abstractNumId w:val="9"/>
  </w:num>
  <w:num w:numId="8" w16cid:durableId="492138288">
    <w:abstractNumId w:val="7"/>
  </w:num>
  <w:num w:numId="9" w16cid:durableId="487677670">
    <w:abstractNumId w:val="6"/>
  </w:num>
  <w:num w:numId="10" w16cid:durableId="641346637">
    <w:abstractNumId w:val="5"/>
  </w:num>
  <w:num w:numId="11" w16cid:durableId="1579904816">
    <w:abstractNumId w:val="4"/>
  </w:num>
  <w:num w:numId="12" w16cid:durableId="276570058">
    <w:abstractNumId w:val="19"/>
  </w:num>
  <w:num w:numId="13" w16cid:durableId="1437940755">
    <w:abstractNumId w:val="14"/>
  </w:num>
  <w:num w:numId="14" w16cid:durableId="1783183354">
    <w:abstractNumId w:val="20"/>
  </w:num>
  <w:num w:numId="15" w16cid:durableId="1819105651">
    <w:abstractNumId w:val="22"/>
  </w:num>
  <w:num w:numId="16" w16cid:durableId="457915689">
    <w:abstractNumId w:val="21"/>
  </w:num>
  <w:num w:numId="17" w16cid:durableId="969365247">
    <w:abstractNumId w:val="13"/>
  </w:num>
  <w:num w:numId="18" w16cid:durableId="641547797">
    <w:abstractNumId w:val="14"/>
    <w:lvlOverride w:ilvl="0">
      <w:startOverride w:val="1"/>
    </w:lvlOverride>
  </w:num>
  <w:num w:numId="19" w16cid:durableId="588275487">
    <w:abstractNumId w:val="18"/>
  </w:num>
  <w:num w:numId="20" w16cid:durableId="1579168137">
    <w:abstractNumId w:val="17"/>
  </w:num>
  <w:num w:numId="21" w16cid:durableId="1399749613">
    <w:abstractNumId w:val="16"/>
  </w:num>
  <w:num w:numId="22" w16cid:durableId="468330461">
    <w:abstractNumId w:val="15"/>
  </w:num>
  <w:num w:numId="23" w16cid:durableId="691957148">
    <w:abstractNumId w:val="11"/>
  </w:num>
  <w:num w:numId="24" w16cid:durableId="148146446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0054"/>
    <w:rsid w:val="000117CB"/>
    <w:rsid w:val="00011CA6"/>
    <w:rsid w:val="00020438"/>
    <w:rsid w:val="00022F5E"/>
    <w:rsid w:val="00023BBC"/>
    <w:rsid w:val="0003148D"/>
    <w:rsid w:val="000316A4"/>
    <w:rsid w:val="00031D6E"/>
    <w:rsid w:val="00031EEC"/>
    <w:rsid w:val="00032163"/>
    <w:rsid w:val="000425B9"/>
    <w:rsid w:val="00051307"/>
    <w:rsid w:val="0005152C"/>
    <w:rsid w:val="00051566"/>
    <w:rsid w:val="00054836"/>
    <w:rsid w:val="00054B68"/>
    <w:rsid w:val="000562A9"/>
    <w:rsid w:val="000617AF"/>
    <w:rsid w:val="00062A9A"/>
    <w:rsid w:val="00062E51"/>
    <w:rsid w:val="000634E9"/>
    <w:rsid w:val="00063C03"/>
    <w:rsid w:val="00065058"/>
    <w:rsid w:val="000669C6"/>
    <w:rsid w:val="00067493"/>
    <w:rsid w:val="00086C39"/>
    <w:rsid w:val="0009190E"/>
    <w:rsid w:val="000930D3"/>
    <w:rsid w:val="000A03B2"/>
    <w:rsid w:val="000A1865"/>
    <w:rsid w:val="000A799A"/>
    <w:rsid w:val="000B2CAC"/>
    <w:rsid w:val="000B4273"/>
    <w:rsid w:val="000B43C9"/>
    <w:rsid w:val="000B4AFC"/>
    <w:rsid w:val="000B4C2C"/>
    <w:rsid w:val="000B6D26"/>
    <w:rsid w:val="000C6926"/>
    <w:rsid w:val="000C7D70"/>
    <w:rsid w:val="000D0268"/>
    <w:rsid w:val="000D34BE"/>
    <w:rsid w:val="000E0B3C"/>
    <w:rsid w:val="000E102F"/>
    <w:rsid w:val="000E36F1"/>
    <w:rsid w:val="000E3A73"/>
    <w:rsid w:val="000E3C10"/>
    <w:rsid w:val="000E3DCB"/>
    <w:rsid w:val="000E414A"/>
    <w:rsid w:val="000E75FD"/>
    <w:rsid w:val="000F093C"/>
    <w:rsid w:val="000F615A"/>
    <w:rsid w:val="000F787B"/>
    <w:rsid w:val="00100B6D"/>
    <w:rsid w:val="001107C9"/>
    <w:rsid w:val="0011691E"/>
    <w:rsid w:val="001170BB"/>
    <w:rsid w:val="0012091F"/>
    <w:rsid w:val="00122AD3"/>
    <w:rsid w:val="00124D92"/>
    <w:rsid w:val="0012696C"/>
    <w:rsid w:val="00126BC2"/>
    <w:rsid w:val="001308B6"/>
    <w:rsid w:val="0013121F"/>
    <w:rsid w:val="00131FE6"/>
    <w:rsid w:val="0013263F"/>
    <w:rsid w:val="001331DF"/>
    <w:rsid w:val="00134DE4"/>
    <w:rsid w:val="00134ED1"/>
    <w:rsid w:val="0014034D"/>
    <w:rsid w:val="00140FE3"/>
    <w:rsid w:val="00144D16"/>
    <w:rsid w:val="00150E59"/>
    <w:rsid w:val="00152CD5"/>
    <w:rsid w:val="00152DE3"/>
    <w:rsid w:val="00157D83"/>
    <w:rsid w:val="00164CF9"/>
    <w:rsid w:val="00166752"/>
    <w:rsid w:val="001667A6"/>
    <w:rsid w:val="0017106E"/>
    <w:rsid w:val="00171B95"/>
    <w:rsid w:val="00175ABB"/>
    <w:rsid w:val="0018171E"/>
    <w:rsid w:val="00184AD6"/>
    <w:rsid w:val="00190F65"/>
    <w:rsid w:val="001A4084"/>
    <w:rsid w:val="001A4AF7"/>
    <w:rsid w:val="001A6E7E"/>
    <w:rsid w:val="001A7E14"/>
    <w:rsid w:val="001B0349"/>
    <w:rsid w:val="001B1E93"/>
    <w:rsid w:val="001B4FDB"/>
    <w:rsid w:val="001B65C1"/>
    <w:rsid w:val="001C07DE"/>
    <w:rsid w:val="001C0E66"/>
    <w:rsid w:val="001C260F"/>
    <w:rsid w:val="001C5C3A"/>
    <w:rsid w:val="001C684B"/>
    <w:rsid w:val="001D0CFB"/>
    <w:rsid w:val="001D21AF"/>
    <w:rsid w:val="001D53FC"/>
    <w:rsid w:val="001D5EBF"/>
    <w:rsid w:val="001E3CF9"/>
    <w:rsid w:val="001E4F8A"/>
    <w:rsid w:val="001E5904"/>
    <w:rsid w:val="001E7169"/>
    <w:rsid w:val="001F20B4"/>
    <w:rsid w:val="001F42A5"/>
    <w:rsid w:val="001F7B9D"/>
    <w:rsid w:val="002003C8"/>
    <w:rsid w:val="00201C93"/>
    <w:rsid w:val="00204F67"/>
    <w:rsid w:val="002050DC"/>
    <w:rsid w:val="00215F15"/>
    <w:rsid w:val="00217EC0"/>
    <w:rsid w:val="002224B4"/>
    <w:rsid w:val="002235C2"/>
    <w:rsid w:val="00227D64"/>
    <w:rsid w:val="0023350A"/>
    <w:rsid w:val="00233CFC"/>
    <w:rsid w:val="00236E78"/>
    <w:rsid w:val="002447EF"/>
    <w:rsid w:val="00251550"/>
    <w:rsid w:val="00251869"/>
    <w:rsid w:val="002523E6"/>
    <w:rsid w:val="00252965"/>
    <w:rsid w:val="00254060"/>
    <w:rsid w:val="0025572E"/>
    <w:rsid w:val="0025668B"/>
    <w:rsid w:val="00256DEE"/>
    <w:rsid w:val="00262DC2"/>
    <w:rsid w:val="00263B05"/>
    <w:rsid w:val="00265F97"/>
    <w:rsid w:val="0027221A"/>
    <w:rsid w:val="00275B61"/>
    <w:rsid w:val="00277E95"/>
    <w:rsid w:val="00280FAF"/>
    <w:rsid w:val="00282656"/>
    <w:rsid w:val="002847B9"/>
    <w:rsid w:val="00284F35"/>
    <w:rsid w:val="00287E80"/>
    <w:rsid w:val="00296B83"/>
    <w:rsid w:val="00297D92"/>
    <w:rsid w:val="002A0E5A"/>
    <w:rsid w:val="002A2ED5"/>
    <w:rsid w:val="002B33A5"/>
    <w:rsid w:val="002B4015"/>
    <w:rsid w:val="002B6A6E"/>
    <w:rsid w:val="002B72DE"/>
    <w:rsid w:val="002B78CE"/>
    <w:rsid w:val="002B79D2"/>
    <w:rsid w:val="002C2FB6"/>
    <w:rsid w:val="002C4D82"/>
    <w:rsid w:val="002D0AD7"/>
    <w:rsid w:val="002D0C53"/>
    <w:rsid w:val="002D17A5"/>
    <w:rsid w:val="002D18F8"/>
    <w:rsid w:val="002D1CC4"/>
    <w:rsid w:val="002D705F"/>
    <w:rsid w:val="002E4B67"/>
    <w:rsid w:val="002E5FA7"/>
    <w:rsid w:val="002F3309"/>
    <w:rsid w:val="002F7309"/>
    <w:rsid w:val="002F7B8F"/>
    <w:rsid w:val="003008CE"/>
    <w:rsid w:val="003009B7"/>
    <w:rsid w:val="00300E56"/>
    <w:rsid w:val="0030152C"/>
    <w:rsid w:val="0030469C"/>
    <w:rsid w:val="00307CED"/>
    <w:rsid w:val="00315135"/>
    <w:rsid w:val="0032156A"/>
    <w:rsid w:val="00321CA6"/>
    <w:rsid w:val="00323763"/>
    <w:rsid w:val="00323990"/>
    <w:rsid w:val="00323C5F"/>
    <w:rsid w:val="00334C09"/>
    <w:rsid w:val="00344234"/>
    <w:rsid w:val="003514EE"/>
    <w:rsid w:val="00351811"/>
    <w:rsid w:val="00353CAE"/>
    <w:rsid w:val="00353FC2"/>
    <w:rsid w:val="00355031"/>
    <w:rsid w:val="00356632"/>
    <w:rsid w:val="003723D4"/>
    <w:rsid w:val="00381905"/>
    <w:rsid w:val="00384CC8"/>
    <w:rsid w:val="0038538B"/>
    <w:rsid w:val="003855EB"/>
    <w:rsid w:val="003871FD"/>
    <w:rsid w:val="003876BA"/>
    <w:rsid w:val="00390BC9"/>
    <w:rsid w:val="00390E12"/>
    <w:rsid w:val="00391B93"/>
    <w:rsid w:val="003A1E30"/>
    <w:rsid w:val="003A2829"/>
    <w:rsid w:val="003A2FE0"/>
    <w:rsid w:val="003A7D1C"/>
    <w:rsid w:val="003B2A59"/>
    <w:rsid w:val="003B304B"/>
    <w:rsid w:val="003B3146"/>
    <w:rsid w:val="003B49CD"/>
    <w:rsid w:val="003B628C"/>
    <w:rsid w:val="003D1E02"/>
    <w:rsid w:val="003D3CBB"/>
    <w:rsid w:val="003E2846"/>
    <w:rsid w:val="003E51B1"/>
    <w:rsid w:val="003F015E"/>
    <w:rsid w:val="003F2467"/>
    <w:rsid w:val="003F2879"/>
    <w:rsid w:val="003F4B91"/>
    <w:rsid w:val="003F5D55"/>
    <w:rsid w:val="00400414"/>
    <w:rsid w:val="0041446B"/>
    <w:rsid w:val="00415FC7"/>
    <w:rsid w:val="0041767C"/>
    <w:rsid w:val="004239FF"/>
    <w:rsid w:val="00426B56"/>
    <w:rsid w:val="0044071E"/>
    <w:rsid w:val="0044329C"/>
    <w:rsid w:val="00453E24"/>
    <w:rsid w:val="00457456"/>
    <w:rsid w:val="004577FE"/>
    <w:rsid w:val="00457B9C"/>
    <w:rsid w:val="0046113A"/>
    <w:rsid w:val="0046164A"/>
    <w:rsid w:val="004628D2"/>
    <w:rsid w:val="00462DCD"/>
    <w:rsid w:val="004648AD"/>
    <w:rsid w:val="004703A9"/>
    <w:rsid w:val="00472256"/>
    <w:rsid w:val="00472747"/>
    <w:rsid w:val="004760DE"/>
    <w:rsid w:val="004763D7"/>
    <w:rsid w:val="004810A4"/>
    <w:rsid w:val="00486DA4"/>
    <w:rsid w:val="00487C2C"/>
    <w:rsid w:val="00496216"/>
    <w:rsid w:val="004A004E"/>
    <w:rsid w:val="004A24CF"/>
    <w:rsid w:val="004A28B0"/>
    <w:rsid w:val="004A3A68"/>
    <w:rsid w:val="004C3D1D"/>
    <w:rsid w:val="004C3D84"/>
    <w:rsid w:val="004C4C74"/>
    <w:rsid w:val="004C5209"/>
    <w:rsid w:val="004C7913"/>
    <w:rsid w:val="004D1CC4"/>
    <w:rsid w:val="004D7E7A"/>
    <w:rsid w:val="004E4DD6"/>
    <w:rsid w:val="004E5CC4"/>
    <w:rsid w:val="004F11F9"/>
    <w:rsid w:val="004F5E36"/>
    <w:rsid w:val="00500EA9"/>
    <w:rsid w:val="00505A5C"/>
    <w:rsid w:val="00507B47"/>
    <w:rsid w:val="00507BEF"/>
    <w:rsid w:val="00507CC9"/>
    <w:rsid w:val="005119A5"/>
    <w:rsid w:val="005146D7"/>
    <w:rsid w:val="00515A0F"/>
    <w:rsid w:val="00517ADE"/>
    <w:rsid w:val="0052049E"/>
    <w:rsid w:val="00520F18"/>
    <w:rsid w:val="005278B7"/>
    <w:rsid w:val="00532016"/>
    <w:rsid w:val="005346C8"/>
    <w:rsid w:val="0053685E"/>
    <w:rsid w:val="00540EE4"/>
    <w:rsid w:val="005424FC"/>
    <w:rsid w:val="00543E7D"/>
    <w:rsid w:val="00544A08"/>
    <w:rsid w:val="00545519"/>
    <w:rsid w:val="00547470"/>
    <w:rsid w:val="00547A68"/>
    <w:rsid w:val="005517FD"/>
    <w:rsid w:val="00551EB1"/>
    <w:rsid w:val="00552823"/>
    <w:rsid w:val="005531C9"/>
    <w:rsid w:val="00553B82"/>
    <w:rsid w:val="00554879"/>
    <w:rsid w:val="00565CE1"/>
    <w:rsid w:val="00565F63"/>
    <w:rsid w:val="00570C43"/>
    <w:rsid w:val="0058408F"/>
    <w:rsid w:val="0058577A"/>
    <w:rsid w:val="00587DC4"/>
    <w:rsid w:val="00587E03"/>
    <w:rsid w:val="00592274"/>
    <w:rsid w:val="005951EB"/>
    <w:rsid w:val="005A0BCC"/>
    <w:rsid w:val="005B19A6"/>
    <w:rsid w:val="005B2110"/>
    <w:rsid w:val="005B350B"/>
    <w:rsid w:val="005B4CB7"/>
    <w:rsid w:val="005B61E6"/>
    <w:rsid w:val="005C3DBA"/>
    <w:rsid w:val="005C77E1"/>
    <w:rsid w:val="005D1E12"/>
    <w:rsid w:val="005D668A"/>
    <w:rsid w:val="005D6A2F"/>
    <w:rsid w:val="005D6A35"/>
    <w:rsid w:val="005D6E9B"/>
    <w:rsid w:val="005E0592"/>
    <w:rsid w:val="005E1A82"/>
    <w:rsid w:val="005E6D83"/>
    <w:rsid w:val="005E7684"/>
    <w:rsid w:val="005E794C"/>
    <w:rsid w:val="005F0A28"/>
    <w:rsid w:val="005F0E04"/>
    <w:rsid w:val="005F0E5E"/>
    <w:rsid w:val="005F3207"/>
    <w:rsid w:val="00600535"/>
    <w:rsid w:val="0060133F"/>
    <w:rsid w:val="00610CD6"/>
    <w:rsid w:val="006139C1"/>
    <w:rsid w:val="006148E4"/>
    <w:rsid w:val="00620DEE"/>
    <w:rsid w:val="00621F92"/>
    <w:rsid w:val="0062280A"/>
    <w:rsid w:val="006231E1"/>
    <w:rsid w:val="00625639"/>
    <w:rsid w:val="00631B33"/>
    <w:rsid w:val="0064184D"/>
    <w:rsid w:val="006422CC"/>
    <w:rsid w:val="00642887"/>
    <w:rsid w:val="006471F2"/>
    <w:rsid w:val="00647D28"/>
    <w:rsid w:val="006508D2"/>
    <w:rsid w:val="00651D18"/>
    <w:rsid w:val="00655FE4"/>
    <w:rsid w:val="00660E3E"/>
    <w:rsid w:val="00662E74"/>
    <w:rsid w:val="00663AE2"/>
    <w:rsid w:val="006651D8"/>
    <w:rsid w:val="00680C23"/>
    <w:rsid w:val="00683E23"/>
    <w:rsid w:val="00693766"/>
    <w:rsid w:val="00697C32"/>
    <w:rsid w:val="006A0C38"/>
    <w:rsid w:val="006A2148"/>
    <w:rsid w:val="006A3281"/>
    <w:rsid w:val="006A6DE5"/>
    <w:rsid w:val="006B1A81"/>
    <w:rsid w:val="006B4888"/>
    <w:rsid w:val="006C2E45"/>
    <w:rsid w:val="006C359C"/>
    <w:rsid w:val="006C5579"/>
    <w:rsid w:val="006C5C36"/>
    <w:rsid w:val="006D17ED"/>
    <w:rsid w:val="006D4C98"/>
    <w:rsid w:val="006D6E8B"/>
    <w:rsid w:val="006D7209"/>
    <w:rsid w:val="006D7676"/>
    <w:rsid w:val="006E05E4"/>
    <w:rsid w:val="006E5860"/>
    <w:rsid w:val="006E737D"/>
    <w:rsid w:val="006F3D70"/>
    <w:rsid w:val="006F6520"/>
    <w:rsid w:val="006F69A0"/>
    <w:rsid w:val="006F6B7F"/>
    <w:rsid w:val="00704DE6"/>
    <w:rsid w:val="00707DD1"/>
    <w:rsid w:val="007100A7"/>
    <w:rsid w:val="00711497"/>
    <w:rsid w:val="00713973"/>
    <w:rsid w:val="00720985"/>
    <w:rsid w:val="00720A24"/>
    <w:rsid w:val="007228B9"/>
    <w:rsid w:val="00732386"/>
    <w:rsid w:val="00733368"/>
    <w:rsid w:val="007346C3"/>
    <w:rsid w:val="0073514D"/>
    <w:rsid w:val="007357A3"/>
    <w:rsid w:val="00742CF1"/>
    <w:rsid w:val="007447F3"/>
    <w:rsid w:val="00746F0C"/>
    <w:rsid w:val="00750441"/>
    <w:rsid w:val="007525D7"/>
    <w:rsid w:val="007534E5"/>
    <w:rsid w:val="0075499F"/>
    <w:rsid w:val="00756944"/>
    <w:rsid w:val="007637F7"/>
    <w:rsid w:val="007661C8"/>
    <w:rsid w:val="00770203"/>
    <w:rsid w:val="007703F6"/>
    <w:rsid w:val="0077098D"/>
    <w:rsid w:val="00773274"/>
    <w:rsid w:val="00774266"/>
    <w:rsid w:val="00784675"/>
    <w:rsid w:val="00785BF9"/>
    <w:rsid w:val="007931FA"/>
    <w:rsid w:val="00794A52"/>
    <w:rsid w:val="007952DA"/>
    <w:rsid w:val="007A4861"/>
    <w:rsid w:val="007A4C7F"/>
    <w:rsid w:val="007A5CD5"/>
    <w:rsid w:val="007A7BBA"/>
    <w:rsid w:val="007B0C50"/>
    <w:rsid w:val="007B3F43"/>
    <w:rsid w:val="007B48F9"/>
    <w:rsid w:val="007C1A43"/>
    <w:rsid w:val="007C23E1"/>
    <w:rsid w:val="007D0951"/>
    <w:rsid w:val="007D610D"/>
    <w:rsid w:val="007F0D38"/>
    <w:rsid w:val="007F2CEB"/>
    <w:rsid w:val="007F3C57"/>
    <w:rsid w:val="007F438B"/>
    <w:rsid w:val="0080013E"/>
    <w:rsid w:val="00801759"/>
    <w:rsid w:val="00807BA8"/>
    <w:rsid w:val="00813288"/>
    <w:rsid w:val="008166E3"/>
    <w:rsid w:val="008168FC"/>
    <w:rsid w:val="008244E0"/>
    <w:rsid w:val="00830996"/>
    <w:rsid w:val="00831A42"/>
    <w:rsid w:val="008345F1"/>
    <w:rsid w:val="0083707C"/>
    <w:rsid w:val="00853FC6"/>
    <w:rsid w:val="008561BA"/>
    <w:rsid w:val="00862B92"/>
    <w:rsid w:val="00863292"/>
    <w:rsid w:val="00865B07"/>
    <w:rsid w:val="008667EA"/>
    <w:rsid w:val="00872161"/>
    <w:rsid w:val="0087637F"/>
    <w:rsid w:val="00880201"/>
    <w:rsid w:val="00892AD5"/>
    <w:rsid w:val="008A1512"/>
    <w:rsid w:val="008A7303"/>
    <w:rsid w:val="008A77C8"/>
    <w:rsid w:val="008B0537"/>
    <w:rsid w:val="008B209A"/>
    <w:rsid w:val="008B3169"/>
    <w:rsid w:val="008D32B9"/>
    <w:rsid w:val="008D433B"/>
    <w:rsid w:val="008D4A16"/>
    <w:rsid w:val="008D7C12"/>
    <w:rsid w:val="008E5401"/>
    <w:rsid w:val="008E566E"/>
    <w:rsid w:val="008E5E8C"/>
    <w:rsid w:val="008E7E8F"/>
    <w:rsid w:val="008F22BF"/>
    <w:rsid w:val="008F78B0"/>
    <w:rsid w:val="0090161A"/>
    <w:rsid w:val="00901CF1"/>
    <w:rsid w:val="00901EB6"/>
    <w:rsid w:val="009041F8"/>
    <w:rsid w:val="00904C62"/>
    <w:rsid w:val="0090510C"/>
    <w:rsid w:val="00906023"/>
    <w:rsid w:val="00912284"/>
    <w:rsid w:val="009123BE"/>
    <w:rsid w:val="00916652"/>
    <w:rsid w:val="00917B7C"/>
    <w:rsid w:val="00920703"/>
    <w:rsid w:val="00922BA8"/>
    <w:rsid w:val="00924460"/>
    <w:rsid w:val="00924DAC"/>
    <w:rsid w:val="00926990"/>
    <w:rsid w:val="00927058"/>
    <w:rsid w:val="009329A6"/>
    <w:rsid w:val="00941E12"/>
    <w:rsid w:val="00942750"/>
    <w:rsid w:val="00944060"/>
    <w:rsid w:val="0094462C"/>
    <w:rsid w:val="009450CE"/>
    <w:rsid w:val="009459BB"/>
    <w:rsid w:val="00947179"/>
    <w:rsid w:val="009474AA"/>
    <w:rsid w:val="00947E84"/>
    <w:rsid w:val="0095164B"/>
    <w:rsid w:val="00954090"/>
    <w:rsid w:val="009573E7"/>
    <w:rsid w:val="00963E05"/>
    <w:rsid w:val="00964A45"/>
    <w:rsid w:val="00967295"/>
    <w:rsid w:val="00967507"/>
    <w:rsid w:val="00967843"/>
    <w:rsid w:val="00967D54"/>
    <w:rsid w:val="00967FEC"/>
    <w:rsid w:val="00971028"/>
    <w:rsid w:val="00974A9E"/>
    <w:rsid w:val="00981A98"/>
    <w:rsid w:val="00986013"/>
    <w:rsid w:val="00993B84"/>
    <w:rsid w:val="009945B4"/>
    <w:rsid w:val="00994C6A"/>
    <w:rsid w:val="00996483"/>
    <w:rsid w:val="00996F5A"/>
    <w:rsid w:val="00997AA0"/>
    <w:rsid w:val="009A1395"/>
    <w:rsid w:val="009A3E97"/>
    <w:rsid w:val="009B041A"/>
    <w:rsid w:val="009B28F0"/>
    <w:rsid w:val="009B41CF"/>
    <w:rsid w:val="009C27CD"/>
    <w:rsid w:val="009C37C3"/>
    <w:rsid w:val="009C5024"/>
    <w:rsid w:val="009C7C86"/>
    <w:rsid w:val="009D27B1"/>
    <w:rsid w:val="009D2FF7"/>
    <w:rsid w:val="009E0081"/>
    <w:rsid w:val="009E0C47"/>
    <w:rsid w:val="009E0DA8"/>
    <w:rsid w:val="009E1CA7"/>
    <w:rsid w:val="009E4A58"/>
    <w:rsid w:val="009E7884"/>
    <w:rsid w:val="009E788A"/>
    <w:rsid w:val="009E7E03"/>
    <w:rsid w:val="009F0E08"/>
    <w:rsid w:val="009F5012"/>
    <w:rsid w:val="009F5397"/>
    <w:rsid w:val="00A042A3"/>
    <w:rsid w:val="00A079AE"/>
    <w:rsid w:val="00A1270D"/>
    <w:rsid w:val="00A1713E"/>
    <w:rsid w:val="00A1763D"/>
    <w:rsid w:val="00A17CEC"/>
    <w:rsid w:val="00A21696"/>
    <w:rsid w:val="00A231D8"/>
    <w:rsid w:val="00A27EF0"/>
    <w:rsid w:val="00A3100E"/>
    <w:rsid w:val="00A32F55"/>
    <w:rsid w:val="00A336DF"/>
    <w:rsid w:val="00A42361"/>
    <w:rsid w:val="00A44824"/>
    <w:rsid w:val="00A47AD2"/>
    <w:rsid w:val="00A50B20"/>
    <w:rsid w:val="00A51390"/>
    <w:rsid w:val="00A51443"/>
    <w:rsid w:val="00A528D1"/>
    <w:rsid w:val="00A52D1F"/>
    <w:rsid w:val="00A60D13"/>
    <w:rsid w:val="00A61211"/>
    <w:rsid w:val="00A7223D"/>
    <w:rsid w:val="00A72745"/>
    <w:rsid w:val="00A7556E"/>
    <w:rsid w:val="00A76EFC"/>
    <w:rsid w:val="00A81121"/>
    <w:rsid w:val="00A8476D"/>
    <w:rsid w:val="00A84CEA"/>
    <w:rsid w:val="00A87517"/>
    <w:rsid w:val="00A87AAB"/>
    <w:rsid w:val="00A87C8F"/>
    <w:rsid w:val="00A87D50"/>
    <w:rsid w:val="00A91010"/>
    <w:rsid w:val="00A97F29"/>
    <w:rsid w:val="00AA702E"/>
    <w:rsid w:val="00AA79AF"/>
    <w:rsid w:val="00AA7D26"/>
    <w:rsid w:val="00AB0964"/>
    <w:rsid w:val="00AB1055"/>
    <w:rsid w:val="00AB3F7E"/>
    <w:rsid w:val="00AB5011"/>
    <w:rsid w:val="00AB5AE7"/>
    <w:rsid w:val="00AC00AD"/>
    <w:rsid w:val="00AC1387"/>
    <w:rsid w:val="00AC13F1"/>
    <w:rsid w:val="00AC224C"/>
    <w:rsid w:val="00AC37FD"/>
    <w:rsid w:val="00AC7368"/>
    <w:rsid w:val="00AC7C8B"/>
    <w:rsid w:val="00AD16B9"/>
    <w:rsid w:val="00AD3B49"/>
    <w:rsid w:val="00AE121E"/>
    <w:rsid w:val="00AE233C"/>
    <w:rsid w:val="00AE377D"/>
    <w:rsid w:val="00AE47DC"/>
    <w:rsid w:val="00AF0983"/>
    <w:rsid w:val="00AF0EBA"/>
    <w:rsid w:val="00AF2463"/>
    <w:rsid w:val="00B017CF"/>
    <w:rsid w:val="00B02C8A"/>
    <w:rsid w:val="00B14C96"/>
    <w:rsid w:val="00B17FBD"/>
    <w:rsid w:val="00B25167"/>
    <w:rsid w:val="00B315A6"/>
    <w:rsid w:val="00B31813"/>
    <w:rsid w:val="00B33365"/>
    <w:rsid w:val="00B419CB"/>
    <w:rsid w:val="00B442C7"/>
    <w:rsid w:val="00B451D8"/>
    <w:rsid w:val="00B531DD"/>
    <w:rsid w:val="00B57159"/>
    <w:rsid w:val="00B57B36"/>
    <w:rsid w:val="00B57E6F"/>
    <w:rsid w:val="00B60B39"/>
    <w:rsid w:val="00B6107B"/>
    <w:rsid w:val="00B67279"/>
    <w:rsid w:val="00B8686D"/>
    <w:rsid w:val="00B93F69"/>
    <w:rsid w:val="00BA0262"/>
    <w:rsid w:val="00BA0C18"/>
    <w:rsid w:val="00BA475D"/>
    <w:rsid w:val="00BB1DDC"/>
    <w:rsid w:val="00BB3B56"/>
    <w:rsid w:val="00BB5302"/>
    <w:rsid w:val="00BB5555"/>
    <w:rsid w:val="00BC0A74"/>
    <w:rsid w:val="00BC30C9"/>
    <w:rsid w:val="00BC7E94"/>
    <w:rsid w:val="00BD077D"/>
    <w:rsid w:val="00BD6563"/>
    <w:rsid w:val="00BD686C"/>
    <w:rsid w:val="00BD7C3B"/>
    <w:rsid w:val="00BE2030"/>
    <w:rsid w:val="00BE2612"/>
    <w:rsid w:val="00BE3E58"/>
    <w:rsid w:val="00BE4278"/>
    <w:rsid w:val="00BE4565"/>
    <w:rsid w:val="00BF13CE"/>
    <w:rsid w:val="00BF6D80"/>
    <w:rsid w:val="00C0113F"/>
    <w:rsid w:val="00C01405"/>
    <w:rsid w:val="00C01616"/>
    <w:rsid w:val="00C0162B"/>
    <w:rsid w:val="00C068ED"/>
    <w:rsid w:val="00C06FE1"/>
    <w:rsid w:val="00C073E4"/>
    <w:rsid w:val="00C07897"/>
    <w:rsid w:val="00C109E4"/>
    <w:rsid w:val="00C11BDC"/>
    <w:rsid w:val="00C14484"/>
    <w:rsid w:val="00C15A7D"/>
    <w:rsid w:val="00C15DAB"/>
    <w:rsid w:val="00C2244B"/>
    <w:rsid w:val="00C22E0C"/>
    <w:rsid w:val="00C24F4D"/>
    <w:rsid w:val="00C345B1"/>
    <w:rsid w:val="00C37519"/>
    <w:rsid w:val="00C37DD2"/>
    <w:rsid w:val="00C40142"/>
    <w:rsid w:val="00C45D07"/>
    <w:rsid w:val="00C52C3C"/>
    <w:rsid w:val="00C57182"/>
    <w:rsid w:val="00C57863"/>
    <w:rsid w:val="00C57922"/>
    <w:rsid w:val="00C629F5"/>
    <w:rsid w:val="00C62DC7"/>
    <w:rsid w:val="00C640AF"/>
    <w:rsid w:val="00C64B63"/>
    <w:rsid w:val="00C655FD"/>
    <w:rsid w:val="00C67E19"/>
    <w:rsid w:val="00C67F17"/>
    <w:rsid w:val="00C70B0A"/>
    <w:rsid w:val="00C74D96"/>
    <w:rsid w:val="00C7500D"/>
    <w:rsid w:val="00C75407"/>
    <w:rsid w:val="00C80274"/>
    <w:rsid w:val="00C80BD5"/>
    <w:rsid w:val="00C825CD"/>
    <w:rsid w:val="00C841C6"/>
    <w:rsid w:val="00C850C9"/>
    <w:rsid w:val="00C870A8"/>
    <w:rsid w:val="00C94434"/>
    <w:rsid w:val="00C96549"/>
    <w:rsid w:val="00CA0778"/>
    <w:rsid w:val="00CA0D75"/>
    <w:rsid w:val="00CA1C95"/>
    <w:rsid w:val="00CA2CD4"/>
    <w:rsid w:val="00CA5A9C"/>
    <w:rsid w:val="00CB23A8"/>
    <w:rsid w:val="00CB3947"/>
    <w:rsid w:val="00CB6EC3"/>
    <w:rsid w:val="00CC3FDA"/>
    <w:rsid w:val="00CC4C20"/>
    <w:rsid w:val="00CD3517"/>
    <w:rsid w:val="00CD414F"/>
    <w:rsid w:val="00CD5FE2"/>
    <w:rsid w:val="00CE124A"/>
    <w:rsid w:val="00CE3ADA"/>
    <w:rsid w:val="00CE3DA7"/>
    <w:rsid w:val="00CE5D86"/>
    <w:rsid w:val="00CE7C68"/>
    <w:rsid w:val="00CF444F"/>
    <w:rsid w:val="00CF506E"/>
    <w:rsid w:val="00D02B4C"/>
    <w:rsid w:val="00D03339"/>
    <w:rsid w:val="00D040C4"/>
    <w:rsid w:val="00D054C1"/>
    <w:rsid w:val="00D121C1"/>
    <w:rsid w:val="00D150FE"/>
    <w:rsid w:val="00D16B03"/>
    <w:rsid w:val="00D174BC"/>
    <w:rsid w:val="00D20AD1"/>
    <w:rsid w:val="00D22612"/>
    <w:rsid w:val="00D2582C"/>
    <w:rsid w:val="00D25F88"/>
    <w:rsid w:val="00D262B6"/>
    <w:rsid w:val="00D4350D"/>
    <w:rsid w:val="00D46B7E"/>
    <w:rsid w:val="00D57C84"/>
    <w:rsid w:val="00D6057D"/>
    <w:rsid w:val="00D62258"/>
    <w:rsid w:val="00D71640"/>
    <w:rsid w:val="00D836C5"/>
    <w:rsid w:val="00D84576"/>
    <w:rsid w:val="00D873AE"/>
    <w:rsid w:val="00DA1399"/>
    <w:rsid w:val="00DA24C6"/>
    <w:rsid w:val="00DA283D"/>
    <w:rsid w:val="00DA4D7B"/>
    <w:rsid w:val="00DB0B02"/>
    <w:rsid w:val="00DB2EE2"/>
    <w:rsid w:val="00DB398B"/>
    <w:rsid w:val="00DC1007"/>
    <w:rsid w:val="00DC2840"/>
    <w:rsid w:val="00DC2FD6"/>
    <w:rsid w:val="00DC4FDA"/>
    <w:rsid w:val="00DC55C4"/>
    <w:rsid w:val="00DC73EE"/>
    <w:rsid w:val="00DD271C"/>
    <w:rsid w:val="00DD291A"/>
    <w:rsid w:val="00DE264A"/>
    <w:rsid w:val="00DE33C7"/>
    <w:rsid w:val="00DF5072"/>
    <w:rsid w:val="00DF526A"/>
    <w:rsid w:val="00E02D18"/>
    <w:rsid w:val="00E041E7"/>
    <w:rsid w:val="00E15AF9"/>
    <w:rsid w:val="00E20428"/>
    <w:rsid w:val="00E20BA3"/>
    <w:rsid w:val="00E20DDF"/>
    <w:rsid w:val="00E2200B"/>
    <w:rsid w:val="00E23B84"/>
    <w:rsid w:val="00E23CA1"/>
    <w:rsid w:val="00E2461A"/>
    <w:rsid w:val="00E27194"/>
    <w:rsid w:val="00E27C03"/>
    <w:rsid w:val="00E332EC"/>
    <w:rsid w:val="00E409A8"/>
    <w:rsid w:val="00E40DD2"/>
    <w:rsid w:val="00E4761B"/>
    <w:rsid w:val="00E50C12"/>
    <w:rsid w:val="00E510D5"/>
    <w:rsid w:val="00E56AAC"/>
    <w:rsid w:val="00E57BD6"/>
    <w:rsid w:val="00E63D4C"/>
    <w:rsid w:val="00E642AE"/>
    <w:rsid w:val="00E65B91"/>
    <w:rsid w:val="00E67AC8"/>
    <w:rsid w:val="00E7209D"/>
    <w:rsid w:val="00E72EAD"/>
    <w:rsid w:val="00E77223"/>
    <w:rsid w:val="00E77CD3"/>
    <w:rsid w:val="00E8528B"/>
    <w:rsid w:val="00E85B94"/>
    <w:rsid w:val="00E9005B"/>
    <w:rsid w:val="00E938E4"/>
    <w:rsid w:val="00E978D0"/>
    <w:rsid w:val="00EA4613"/>
    <w:rsid w:val="00EA5FB7"/>
    <w:rsid w:val="00EA7F91"/>
    <w:rsid w:val="00EB0C83"/>
    <w:rsid w:val="00EB1523"/>
    <w:rsid w:val="00EB1812"/>
    <w:rsid w:val="00EB6092"/>
    <w:rsid w:val="00EC0E49"/>
    <w:rsid w:val="00EC101F"/>
    <w:rsid w:val="00EC1D9F"/>
    <w:rsid w:val="00ED0366"/>
    <w:rsid w:val="00EE0131"/>
    <w:rsid w:val="00EE17B0"/>
    <w:rsid w:val="00EE2352"/>
    <w:rsid w:val="00EF06D9"/>
    <w:rsid w:val="00EF0D2F"/>
    <w:rsid w:val="00EF18EC"/>
    <w:rsid w:val="00F24176"/>
    <w:rsid w:val="00F27EE4"/>
    <w:rsid w:val="00F3049E"/>
    <w:rsid w:val="00F30C64"/>
    <w:rsid w:val="00F32BA2"/>
    <w:rsid w:val="00F32CDB"/>
    <w:rsid w:val="00F379B2"/>
    <w:rsid w:val="00F41EE4"/>
    <w:rsid w:val="00F565FE"/>
    <w:rsid w:val="00F62133"/>
    <w:rsid w:val="00F63A70"/>
    <w:rsid w:val="00F63D8C"/>
    <w:rsid w:val="00F65D36"/>
    <w:rsid w:val="00F66FEE"/>
    <w:rsid w:val="00F7534E"/>
    <w:rsid w:val="00F81968"/>
    <w:rsid w:val="00F83E6F"/>
    <w:rsid w:val="00F93EDF"/>
    <w:rsid w:val="00F95415"/>
    <w:rsid w:val="00F95D83"/>
    <w:rsid w:val="00FA1802"/>
    <w:rsid w:val="00FA21D0"/>
    <w:rsid w:val="00FA2791"/>
    <w:rsid w:val="00FA4B58"/>
    <w:rsid w:val="00FA5F5F"/>
    <w:rsid w:val="00FB6925"/>
    <w:rsid w:val="00FB730C"/>
    <w:rsid w:val="00FC1EA4"/>
    <w:rsid w:val="00FC23F6"/>
    <w:rsid w:val="00FC2695"/>
    <w:rsid w:val="00FC3E03"/>
    <w:rsid w:val="00FC3FC1"/>
    <w:rsid w:val="00FD18B8"/>
    <w:rsid w:val="00FE7E0A"/>
    <w:rsid w:val="00FF2C7A"/>
    <w:rsid w:val="00FF39E4"/>
    <w:rsid w:val="00FF61D3"/>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paragraph" w:customStyle="1" w:styleId="Default">
    <w:name w:val="Default"/>
    <w:rsid w:val="00E9005B"/>
    <w:pPr>
      <w:autoSpaceDE w:val="0"/>
      <w:autoSpaceDN w:val="0"/>
      <w:adjustRightInd w:val="0"/>
      <w:spacing w:after="0" w:line="240" w:lineRule="auto"/>
    </w:pPr>
    <w:rPr>
      <w:rFonts w:ascii="Charis SIL" w:hAnsi="Charis SIL" w:cs="Charis SIL"/>
      <w:color w:val="000000"/>
      <w:sz w:val="24"/>
      <w:szCs w:val="24"/>
    </w:rPr>
  </w:style>
  <w:style w:type="character" w:styleId="PlaceholderText">
    <w:name w:val="Placeholder Text"/>
    <w:basedOn w:val="DefaultParagraphFont"/>
    <w:uiPriority w:val="99"/>
    <w:semiHidden/>
    <w:rsid w:val="00D121C1"/>
    <w:rPr>
      <w:color w:val="808080"/>
    </w:rPr>
  </w:style>
  <w:style w:type="character" w:customStyle="1" w:styleId="normaltextrun">
    <w:name w:val="normaltextrun"/>
    <w:basedOn w:val="DefaultParagraphFont"/>
    <w:rsid w:val="00A448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80162">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763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44844">
      <w:bodyDiv w:val="1"/>
      <w:marLeft w:val="0"/>
      <w:marRight w:val="0"/>
      <w:marTop w:val="0"/>
      <w:marBottom w:val="0"/>
      <w:divBdr>
        <w:top w:val="none" w:sz="0" w:space="0" w:color="auto"/>
        <w:left w:val="none" w:sz="0" w:space="0" w:color="auto"/>
        <w:bottom w:val="none" w:sz="0" w:space="0" w:color="auto"/>
        <w:right w:val="none" w:sz="0" w:space="0" w:color="auto"/>
      </w:divBdr>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775905162">
      <w:bodyDiv w:val="1"/>
      <w:marLeft w:val="0"/>
      <w:marRight w:val="0"/>
      <w:marTop w:val="0"/>
      <w:marBottom w:val="0"/>
      <w:divBdr>
        <w:top w:val="none" w:sz="0" w:space="0" w:color="auto"/>
        <w:left w:val="none" w:sz="0" w:space="0" w:color="auto"/>
        <w:bottom w:val="none" w:sz="0" w:space="0" w:color="auto"/>
        <w:right w:val="none" w:sz="0" w:space="0" w:color="auto"/>
      </w:divBdr>
      <w:divsChild>
        <w:div w:id="522133243">
          <w:marLeft w:val="0"/>
          <w:marRight w:val="0"/>
          <w:marTop w:val="0"/>
          <w:marBottom w:val="0"/>
          <w:divBdr>
            <w:top w:val="none" w:sz="0" w:space="0" w:color="auto"/>
            <w:left w:val="none" w:sz="0" w:space="0" w:color="auto"/>
            <w:bottom w:val="none" w:sz="0" w:space="0" w:color="auto"/>
            <w:right w:val="none" w:sz="0" w:space="0" w:color="auto"/>
          </w:divBdr>
          <w:divsChild>
            <w:div w:id="1864318814">
              <w:marLeft w:val="0"/>
              <w:marRight w:val="0"/>
              <w:marTop w:val="0"/>
              <w:marBottom w:val="0"/>
              <w:divBdr>
                <w:top w:val="none" w:sz="0" w:space="0" w:color="auto"/>
                <w:left w:val="none" w:sz="0" w:space="0" w:color="auto"/>
                <w:bottom w:val="none" w:sz="0" w:space="0" w:color="auto"/>
                <w:right w:val="none" w:sz="0" w:space="0" w:color="auto"/>
              </w:divBdr>
              <w:divsChild>
                <w:div w:id="2139835016">
                  <w:marLeft w:val="0"/>
                  <w:marRight w:val="0"/>
                  <w:marTop w:val="0"/>
                  <w:marBottom w:val="0"/>
                  <w:divBdr>
                    <w:top w:val="none" w:sz="0" w:space="0" w:color="auto"/>
                    <w:left w:val="none" w:sz="0" w:space="0" w:color="auto"/>
                    <w:bottom w:val="none" w:sz="0" w:space="0" w:color="auto"/>
                    <w:right w:val="none" w:sz="0" w:space="0" w:color="auto"/>
                  </w:divBdr>
                  <w:divsChild>
                    <w:div w:id="1375158994">
                      <w:marLeft w:val="0"/>
                      <w:marRight w:val="0"/>
                      <w:marTop w:val="0"/>
                      <w:marBottom w:val="0"/>
                      <w:divBdr>
                        <w:top w:val="none" w:sz="0" w:space="0" w:color="auto"/>
                        <w:left w:val="none" w:sz="0" w:space="0" w:color="auto"/>
                        <w:bottom w:val="none" w:sz="0" w:space="0" w:color="auto"/>
                        <w:right w:val="none" w:sz="0" w:space="0" w:color="auto"/>
                      </w:divBdr>
                      <w:divsChild>
                        <w:div w:id="1302540830">
                          <w:marLeft w:val="0"/>
                          <w:marRight w:val="0"/>
                          <w:marTop w:val="0"/>
                          <w:marBottom w:val="0"/>
                          <w:divBdr>
                            <w:top w:val="none" w:sz="0" w:space="0" w:color="auto"/>
                            <w:left w:val="none" w:sz="0" w:space="0" w:color="auto"/>
                            <w:bottom w:val="none" w:sz="0" w:space="0" w:color="auto"/>
                            <w:right w:val="none" w:sz="0" w:space="0" w:color="auto"/>
                          </w:divBdr>
                          <w:divsChild>
                            <w:div w:id="841239729">
                              <w:marLeft w:val="0"/>
                              <w:marRight w:val="0"/>
                              <w:marTop w:val="0"/>
                              <w:marBottom w:val="0"/>
                              <w:divBdr>
                                <w:top w:val="none" w:sz="0" w:space="0" w:color="auto"/>
                                <w:left w:val="none" w:sz="0" w:space="0" w:color="auto"/>
                                <w:bottom w:val="none" w:sz="0" w:space="0" w:color="auto"/>
                                <w:right w:val="none" w:sz="0" w:space="0" w:color="auto"/>
                              </w:divBdr>
                              <w:divsChild>
                                <w:div w:id="1310553725">
                                  <w:marLeft w:val="0"/>
                                  <w:marRight w:val="0"/>
                                  <w:marTop w:val="0"/>
                                  <w:marBottom w:val="0"/>
                                  <w:divBdr>
                                    <w:top w:val="none" w:sz="0" w:space="0" w:color="auto"/>
                                    <w:left w:val="none" w:sz="0" w:space="0" w:color="auto"/>
                                    <w:bottom w:val="none" w:sz="0" w:space="0" w:color="auto"/>
                                    <w:right w:val="none" w:sz="0" w:space="0" w:color="auto"/>
                                  </w:divBdr>
                                  <w:divsChild>
                                    <w:div w:id="145559368">
                                      <w:marLeft w:val="0"/>
                                      <w:marRight w:val="0"/>
                                      <w:marTop w:val="0"/>
                                      <w:marBottom w:val="0"/>
                                      <w:divBdr>
                                        <w:top w:val="none" w:sz="0" w:space="0" w:color="auto"/>
                                        <w:left w:val="none" w:sz="0" w:space="0" w:color="auto"/>
                                        <w:bottom w:val="none" w:sz="0" w:space="0" w:color="auto"/>
                                        <w:right w:val="none" w:sz="0" w:space="0" w:color="auto"/>
                                      </w:divBdr>
                                      <w:divsChild>
                                        <w:div w:id="175315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1367748">
          <w:marLeft w:val="0"/>
          <w:marRight w:val="0"/>
          <w:marTop w:val="0"/>
          <w:marBottom w:val="0"/>
          <w:divBdr>
            <w:top w:val="none" w:sz="0" w:space="0" w:color="auto"/>
            <w:left w:val="none" w:sz="0" w:space="0" w:color="auto"/>
            <w:bottom w:val="none" w:sz="0" w:space="0" w:color="auto"/>
            <w:right w:val="none" w:sz="0" w:space="0" w:color="auto"/>
          </w:divBdr>
          <w:divsChild>
            <w:div w:id="658312138">
              <w:marLeft w:val="0"/>
              <w:marRight w:val="0"/>
              <w:marTop w:val="0"/>
              <w:marBottom w:val="0"/>
              <w:divBdr>
                <w:top w:val="none" w:sz="0" w:space="0" w:color="auto"/>
                <w:left w:val="none" w:sz="0" w:space="0" w:color="auto"/>
                <w:bottom w:val="none" w:sz="0" w:space="0" w:color="auto"/>
                <w:right w:val="none" w:sz="0" w:space="0" w:color="auto"/>
              </w:divBdr>
              <w:divsChild>
                <w:div w:id="84614255">
                  <w:marLeft w:val="0"/>
                  <w:marRight w:val="0"/>
                  <w:marTop w:val="0"/>
                  <w:marBottom w:val="0"/>
                  <w:divBdr>
                    <w:top w:val="none" w:sz="0" w:space="0" w:color="auto"/>
                    <w:left w:val="none" w:sz="0" w:space="0" w:color="auto"/>
                    <w:bottom w:val="none" w:sz="0" w:space="0" w:color="auto"/>
                    <w:right w:val="none" w:sz="0" w:space="0" w:color="auto"/>
                  </w:divBdr>
                  <w:divsChild>
                    <w:div w:id="1352993102">
                      <w:marLeft w:val="0"/>
                      <w:marRight w:val="0"/>
                      <w:marTop w:val="0"/>
                      <w:marBottom w:val="0"/>
                      <w:divBdr>
                        <w:top w:val="none" w:sz="0" w:space="0" w:color="auto"/>
                        <w:left w:val="none" w:sz="0" w:space="0" w:color="auto"/>
                        <w:bottom w:val="none" w:sz="0" w:space="0" w:color="auto"/>
                        <w:right w:val="none" w:sz="0" w:space="0" w:color="auto"/>
                      </w:divBdr>
                      <w:divsChild>
                        <w:div w:id="510293289">
                          <w:marLeft w:val="0"/>
                          <w:marRight w:val="0"/>
                          <w:marTop w:val="0"/>
                          <w:marBottom w:val="0"/>
                          <w:divBdr>
                            <w:top w:val="none" w:sz="0" w:space="0" w:color="auto"/>
                            <w:left w:val="none" w:sz="0" w:space="0" w:color="auto"/>
                            <w:bottom w:val="none" w:sz="0" w:space="0" w:color="auto"/>
                            <w:right w:val="none" w:sz="0" w:space="0" w:color="auto"/>
                          </w:divBdr>
                          <w:divsChild>
                            <w:div w:id="1682121584">
                              <w:marLeft w:val="0"/>
                              <w:marRight w:val="0"/>
                              <w:marTop w:val="0"/>
                              <w:marBottom w:val="0"/>
                              <w:divBdr>
                                <w:top w:val="none" w:sz="0" w:space="0" w:color="auto"/>
                                <w:left w:val="none" w:sz="0" w:space="0" w:color="auto"/>
                                <w:bottom w:val="none" w:sz="0" w:space="0" w:color="auto"/>
                                <w:right w:val="none" w:sz="0" w:space="0" w:color="auto"/>
                              </w:divBdr>
                              <w:divsChild>
                                <w:div w:id="49769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293116">
                  <w:marLeft w:val="0"/>
                  <w:marRight w:val="0"/>
                  <w:marTop w:val="0"/>
                  <w:marBottom w:val="0"/>
                  <w:divBdr>
                    <w:top w:val="none" w:sz="0" w:space="0" w:color="auto"/>
                    <w:left w:val="none" w:sz="0" w:space="0" w:color="auto"/>
                    <w:bottom w:val="none" w:sz="0" w:space="0" w:color="auto"/>
                    <w:right w:val="none" w:sz="0" w:space="0" w:color="auto"/>
                  </w:divBdr>
                  <w:divsChild>
                    <w:div w:id="1967587342">
                      <w:marLeft w:val="0"/>
                      <w:marRight w:val="0"/>
                      <w:marTop w:val="0"/>
                      <w:marBottom w:val="0"/>
                      <w:divBdr>
                        <w:top w:val="none" w:sz="0" w:space="0" w:color="auto"/>
                        <w:left w:val="none" w:sz="0" w:space="0" w:color="auto"/>
                        <w:bottom w:val="none" w:sz="0" w:space="0" w:color="auto"/>
                        <w:right w:val="none" w:sz="0" w:space="0" w:color="auto"/>
                      </w:divBdr>
                      <w:divsChild>
                        <w:div w:id="1210922111">
                          <w:marLeft w:val="0"/>
                          <w:marRight w:val="0"/>
                          <w:marTop w:val="0"/>
                          <w:marBottom w:val="0"/>
                          <w:divBdr>
                            <w:top w:val="none" w:sz="0" w:space="0" w:color="auto"/>
                            <w:left w:val="none" w:sz="0" w:space="0" w:color="auto"/>
                            <w:bottom w:val="none" w:sz="0" w:space="0" w:color="auto"/>
                            <w:right w:val="none" w:sz="0" w:space="0" w:color="auto"/>
                          </w:divBdr>
                          <w:divsChild>
                            <w:div w:id="978612824">
                              <w:marLeft w:val="0"/>
                              <w:marRight w:val="0"/>
                              <w:marTop w:val="0"/>
                              <w:marBottom w:val="0"/>
                              <w:divBdr>
                                <w:top w:val="none" w:sz="0" w:space="0" w:color="auto"/>
                                <w:left w:val="none" w:sz="0" w:space="0" w:color="auto"/>
                                <w:bottom w:val="none" w:sz="0" w:space="0" w:color="auto"/>
                                <w:right w:val="none" w:sz="0" w:space="0" w:color="auto"/>
                              </w:divBdr>
                              <w:divsChild>
                                <w:div w:id="1424377742">
                                  <w:marLeft w:val="0"/>
                                  <w:marRight w:val="0"/>
                                  <w:marTop w:val="0"/>
                                  <w:marBottom w:val="0"/>
                                  <w:divBdr>
                                    <w:top w:val="none" w:sz="0" w:space="0" w:color="auto"/>
                                    <w:left w:val="none" w:sz="0" w:space="0" w:color="auto"/>
                                    <w:bottom w:val="none" w:sz="0" w:space="0" w:color="auto"/>
                                    <w:right w:val="none" w:sz="0" w:space="0" w:color="auto"/>
                                  </w:divBdr>
                                  <w:divsChild>
                                    <w:div w:id="180704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510016">
      <w:bodyDiv w:val="1"/>
      <w:marLeft w:val="0"/>
      <w:marRight w:val="0"/>
      <w:marTop w:val="0"/>
      <w:marBottom w:val="0"/>
      <w:divBdr>
        <w:top w:val="none" w:sz="0" w:space="0" w:color="auto"/>
        <w:left w:val="none" w:sz="0" w:space="0" w:color="auto"/>
        <w:bottom w:val="none" w:sz="0" w:space="0" w:color="auto"/>
        <w:right w:val="none" w:sz="0" w:space="0" w:color="auto"/>
      </w:divBdr>
      <w:divsChild>
        <w:div w:id="1627929589">
          <w:marLeft w:val="0"/>
          <w:marRight w:val="0"/>
          <w:marTop w:val="0"/>
          <w:marBottom w:val="0"/>
          <w:divBdr>
            <w:top w:val="none" w:sz="0" w:space="0" w:color="auto"/>
            <w:left w:val="none" w:sz="0" w:space="0" w:color="auto"/>
            <w:bottom w:val="none" w:sz="0" w:space="0" w:color="auto"/>
            <w:right w:val="none" w:sz="0" w:space="0" w:color="auto"/>
          </w:divBdr>
          <w:divsChild>
            <w:div w:id="1682462932">
              <w:marLeft w:val="0"/>
              <w:marRight w:val="0"/>
              <w:marTop w:val="0"/>
              <w:marBottom w:val="0"/>
              <w:divBdr>
                <w:top w:val="none" w:sz="0" w:space="0" w:color="auto"/>
                <w:left w:val="none" w:sz="0" w:space="0" w:color="auto"/>
                <w:bottom w:val="none" w:sz="0" w:space="0" w:color="auto"/>
                <w:right w:val="none" w:sz="0" w:space="0" w:color="auto"/>
              </w:divBdr>
              <w:divsChild>
                <w:div w:id="331642447">
                  <w:marLeft w:val="0"/>
                  <w:marRight w:val="0"/>
                  <w:marTop w:val="0"/>
                  <w:marBottom w:val="0"/>
                  <w:divBdr>
                    <w:top w:val="none" w:sz="0" w:space="0" w:color="auto"/>
                    <w:left w:val="none" w:sz="0" w:space="0" w:color="auto"/>
                    <w:bottom w:val="none" w:sz="0" w:space="0" w:color="auto"/>
                    <w:right w:val="none" w:sz="0" w:space="0" w:color="auto"/>
                  </w:divBdr>
                  <w:divsChild>
                    <w:div w:id="123621769">
                      <w:marLeft w:val="0"/>
                      <w:marRight w:val="0"/>
                      <w:marTop w:val="0"/>
                      <w:marBottom w:val="0"/>
                      <w:divBdr>
                        <w:top w:val="none" w:sz="0" w:space="0" w:color="auto"/>
                        <w:left w:val="none" w:sz="0" w:space="0" w:color="auto"/>
                        <w:bottom w:val="none" w:sz="0" w:space="0" w:color="auto"/>
                        <w:right w:val="none" w:sz="0" w:space="0" w:color="auto"/>
                      </w:divBdr>
                      <w:divsChild>
                        <w:div w:id="581374961">
                          <w:marLeft w:val="0"/>
                          <w:marRight w:val="0"/>
                          <w:marTop w:val="0"/>
                          <w:marBottom w:val="0"/>
                          <w:divBdr>
                            <w:top w:val="none" w:sz="0" w:space="0" w:color="auto"/>
                            <w:left w:val="none" w:sz="0" w:space="0" w:color="auto"/>
                            <w:bottom w:val="none" w:sz="0" w:space="0" w:color="auto"/>
                            <w:right w:val="none" w:sz="0" w:space="0" w:color="auto"/>
                          </w:divBdr>
                          <w:divsChild>
                            <w:div w:id="1669361950">
                              <w:marLeft w:val="0"/>
                              <w:marRight w:val="0"/>
                              <w:marTop w:val="0"/>
                              <w:marBottom w:val="0"/>
                              <w:divBdr>
                                <w:top w:val="none" w:sz="0" w:space="0" w:color="auto"/>
                                <w:left w:val="none" w:sz="0" w:space="0" w:color="auto"/>
                                <w:bottom w:val="none" w:sz="0" w:space="0" w:color="auto"/>
                                <w:right w:val="none" w:sz="0" w:space="0" w:color="auto"/>
                              </w:divBdr>
                              <w:divsChild>
                                <w:div w:id="581767212">
                                  <w:marLeft w:val="0"/>
                                  <w:marRight w:val="0"/>
                                  <w:marTop w:val="0"/>
                                  <w:marBottom w:val="0"/>
                                  <w:divBdr>
                                    <w:top w:val="none" w:sz="0" w:space="0" w:color="auto"/>
                                    <w:left w:val="none" w:sz="0" w:space="0" w:color="auto"/>
                                    <w:bottom w:val="none" w:sz="0" w:space="0" w:color="auto"/>
                                    <w:right w:val="none" w:sz="0" w:space="0" w:color="auto"/>
                                  </w:divBdr>
                                  <w:divsChild>
                                    <w:div w:id="352726600">
                                      <w:marLeft w:val="0"/>
                                      <w:marRight w:val="0"/>
                                      <w:marTop w:val="0"/>
                                      <w:marBottom w:val="0"/>
                                      <w:divBdr>
                                        <w:top w:val="none" w:sz="0" w:space="0" w:color="auto"/>
                                        <w:left w:val="none" w:sz="0" w:space="0" w:color="auto"/>
                                        <w:bottom w:val="none" w:sz="0" w:space="0" w:color="auto"/>
                                        <w:right w:val="none" w:sz="0" w:space="0" w:color="auto"/>
                                      </w:divBdr>
                                      <w:divsChild>
                                        <w:div w:id="197421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4566335">
          <w:marLeft w:val="0"/>
          <w:marRight w:val="0"/>
          <w:marTop w:val="0"/>
          <w:marBottom w:val="0"/>
          <w:divBdr>
            <w:top w:val="none" w:sz="0" w:space="0" w:color="auto"/>
            <w:left w:val="none" w:sz="0" w:space="0" w:color="auto"/>
            <w:bottom w:val="none" w:sz="0" w:space="0" w:color="auto"/>
            <w:right w:val="none" w:sz="0" w:space="0" w:color="auto"/>
          </w:divBdr>
          <w:divsChild>
            <w:div w:id="1634168427">
              <w:marLeft w:val="0"/>
              <w:marRight w:val="0"/>
              <w:marTop w:val="0"/>
              <w:marBottom w:val="0"/>
              <w:divBdr>
                <w:top w:val="none" w:sz="0" w:space="0" w:color="auto"/>
                <w:left w:val="none" w:sz="0" w:space="0" w:color="auto"/>
                <w:bottom w:val="none" w:sz="0" w:space="0" w:color="auto"/>
                <w:right w:val="none" w:sz="0" w:space="0" w:color="auto"/>
              </w:divBdr>
              <w:divsChild>
                <w:div w:id="172115463">
                  <w:marLeft w:val="0"/>
                  <w:marRight w:val="0"/>
                  <w:marTop w:val="0"/>
                  <w:marBottom w:val="0"/>
                  <w:divBdr>
                    <w:top w:val="none" w:sz="0" w:space="0" w:color="auto"/>
                    <w:left w:val="none" w:sz="0" w:space="0" w:color="auto"/>
                    <w:bottom w:val="none" w:sz="0" w:space="0" w:color="auto"/>
                    <w:right w:val="none" w:sz="0" w:space="0" w:color="auto"/>
                  </w:divBdr>
                  <w:divsChild>
                    <w:div w:id="951281037">
                      <w:marLeft w:val="0"/>
                      <w:marRight w:val="0"/>
                      <w:marTop w:val="0"/>
                      <w:marBottom w:val="0"/>
                      <w:divBdr>
                        <w:top w:val="none" w:sz="0" w:space="0" w:color="auto"/>
                        <w:left w:val="none" w:sz="0" w:space="0" w:color="auto"/>
                        <w:bottom w:val="none" w:sz="0" w:space="0" w:color="auto"/>
                        <w:right w:val="none" w:sz="0" w:space="0" w:color="auto"/>
                      </w:divBdr>
                      <w:divsChild>
                        <w:div w:id="459349319">
                          <w:marLeft w:val="0"/>
                          <w:marRight w:val="0"/>
                          <w:marTop w:val="0"/>
                          <w:marBottom w:val="0"/>
                          <w:divBdr>
                            <w:top w:val="none" w:sz="0" w:space="0" w:color="auto"/>
                            <w:left w:val="none" w:sz="0" w:space="0" w:color="auto"/>
                            <w:bottom w:val="none" w:sz="0" w:space="0" w:color="auto"/>
                            <w:right w:val="none" w:sz="0" w:space="0" w:color="auto"/>
                          </w:divBdr>
                          <w:divsChild>
                            <w:div w:id="2046132013">
                              <w:marLeft w:val="0"/>
                              <w:marRight w:val="0"/>
                              <w:marTop w:val="0"/>
                              <w:marBottom w:val="0"/>
                              <w:divBdr>
                                <w:top w:val="none" w:sz="0" w:space="0" w:color="auto"/>
                                <w:left w:val="none" w:sz="0" w:space="0" w:color="auto"/>
                                <w:bottom w:val="none" w:sz="0" w:space="0" w:color="auto"/>
                                <w:right w:val="none" w:sz="0" w:space="0" w:color="auto"/>
                              </w:divBdr>
                              <w:divsChild>
                                <w:div w:id="10103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332625">
                  <w:marLeft w:val="0"/>
                  <w:marRight w:val="0"/>
                  <w:marTop w:val="0"/>
                  <w:marBottom w:val="0"/>
                  <w:divBdr>
                    <w:top w:val="none" w:sz="0" w:space="0" w:color="auto"/>
                    <w:left w:val="none" w:sz="0" w:space="0" w:color="auto"/>
                    <w:bottom w:val="none" w:sz="0" w:space="0" w:color="auto"/>
                    <w:right w:val="none" w:sz="0" w:space="0" w:color="auto"/>
                  </w:divBdr>
                  <w:divsChild>
                    <w:div w:id="1345473754">
                      <w:marLeft w:val="0"/>
                      <w:marRight w:val="0"/>
                      <w:marTop w:val="0"/>
                      <w:marBottom w:val="0"/>
                      <w:divBdr>
                        <w:top w:val="none" w:sz="0" w:space="0" w:color="auto"/>
                        <w:left w:val="none" w:sz="0" w:space="0" w:color="auto"/>
                        <w:bottom w:val="none" w:sz="0" w:space="0" w:color="auto"/>
                        <w:right w:val="none" w:sz="0" w:space="0" w:color="auto"/>
                      </w:divBdr>
                      <w:divsChild>
                        <w:div w:id="1991787770">
                          <w:marLeft w:val="0"/>
                          <w:marRight w:val="0"/>
                          <w:marTop w:val="0"/>
                          <w:marBottom w:val="0"/>
                          <w:divBdr>
                            <w:top w:val="none" w:sz="0" w:space="0" w:color="auto"/>
                            <w:left w:val="none" w:sz="0" w:space="0" w:color="auto"/>
                            <w:bottom w:val="none" w:sz="0" w:space="0" w:color="auto"/>
                            <w:right w:val="none" w:sz="0" w:space="0" w:color="auto"/>
                          </w:divBdr>
                          <w:divsChild>
                            <w:div w:id="1241406277">
                              <w:marLeft w:val="0"/>
                              <w:marRight w:val="0"/>
                              <w:marTop w:val="0"/>
                              <w:marBottom w:val="0"/>
                              <w:divBdr>
                                <w:top w:val="none" w:sz="0" w:space="0" w:color="auto"/>
                                <w:left w:val="none" w:sz="0" w:space="0" w:color="auto"/>
                                <w:bottom w:val="none" w:sz="0" w:space="0" w:color="auto"/>
                                <w:right w:val="none" w:sz="0" w:space="0" w:color="auto"/>
                              </w:divBdr>
                              <w:divsChild>
                                <w:div w:id="1519277507">
                                  <w:marLeft w:val="0"/>
                                  <w:marRight w:val="0"/>
                                  <w:marTop w:val="0"/>
                                  <w:marBottom w:val="0"/>
                                  <w:divBdr>
                                    <w:top w:val="none" w:sz="0" w:space="0" w:color="auto"/>
                                    <w:left w:val="none" w:sz="0" w:space="0" w:color="auto"/>
                                    <w:bottom w:val="none" w:sz="0" w:space="0" w:color="auto"/>
                                    <w:right w:val="none" w:sz="0" w:space="0" w:color="auto"/>
                                  </w:divBdr>
                                  <w:divsChild>
                                    <w:div w:id="1615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4C6A64E1D8D64DB72BF6FAECF33E35" ma:contentTypeVersion="18" ma:contentTypeDescription="Create a new document." ma:contentTypeScope="" ma:versionID="c990315eb5aa8087f78ab88dc447aae4">
  <xsd:schema xmlns:xsd="http://www.w3.org/2001/XMLSchema" xmlns:xs="http://www.w3.org/2001/XMLSchema" xmlns:p="http://schemas.microsoft.com/office/2006/metadata/properties" xmlns:ns3="41924ef3-be3b-4f5f-b8f6-08e33d84337f" xmlns:ns4="38ba9029-60e4-49e0-8001-760c76b081d1" targetNamespace="http://schemas.microsoft.com/office/2006/metadata/properties" ma:root="true" ma:fieldsID="a6f7e3ce187bd8988660530445a687d5" ns3:_="" ns4:_="">
    <xsd:import namespace="41924ef3-be3b-4f5f-b8f6-08e33d84337f"/>
    <xsd:import namespace="38ba9029-60e4-49e0-8001-760c76b081d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Location"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924ef3-be3b-4f5f-b8f6-08e33d84337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ba9029-60e4-49e0-8001-760c76b081d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38ba9029-60e4-49e0-8001-760c76b081d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62835B-62C0-499A-B6A8-48B90FC1FC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924ef3-be3b-4f5f-b8f6-08e33d84337f"/>
    <ds:schemaRef ds:uri="38ba9029-60e4-49e0-8001-760c76b081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7A3DB7-18A2-4392-BA3A-71928BD4E1CE}">
  <ds:schemaRefs>
    <ds:schemaRef ds:uri="http://schemas.microsoft.com/office/2006/metadata/properties"/>
    <ds:schemaRef ds:uri="http://schemas.microsoft.com/office/infopath/2007/PartnerControls"/>
    <ds:schemaRef ds:uri="38ba9029-60e4-49e0-8001-760c76b081d1"/>
  </ds:schemaRefs>
</ds:datastoreItem>
</file>

<file path=customXml/itemProps3.xml><?xml version="1.0" encoding="utf-8"?>
<ds:datastoreItem xmlns:ds="http://schemas.openxmlformats.org/officeDocument/2006/customXml" ds:itemID="{564753C1-6327-4348-93A6-1E10B3E256B7}">
  <ds:schemaRefs>
    <ds:schemaRef ds:uri="http://schemas.openxmlformats.org/officeDocument/2006/bibliography"/>
  </ds:schemaRefs>
</ds:datastoreItem>
</file>

<file path=customXml/itemProps4.xml><?xml version="1.0" encoding="utf-8"?>
<ds:datastoreItem xmlns:ds="http://schemas.openxmlformats.org/officeDocument/2006/customXml" ds:itemID="{19DB3925-1364-40C4-BC4D-3B10CE549D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Pages>
  <Words>3578</Words>
  <Characters>20400</Characters>
  <Application>Microsoft Office Word</Application>
  <DocSecurity>0</DocSecurity>
  <Lines>170</Lines>
  <Paragraphs>47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Federica Tamburini</cp:lastModifiedBy>
  <cp:revision>6</cp:revision>
  <cp:lastPrinted>2015-05-12T18:31:00Z</cp:lastPrinted>
  <dcterms:created xsi:type="dcterms:W3CDTF">2024-12-17T13:59:00Z</dcterms:created>
  <dcterms:modified xsi:type="dcterms:W3CDTF">2024-12-17T15:31:00Z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ContentTypeId">
    <vt:lpwstr>0x0101001C4C6A64E1D8D64DB72BF6FAECF33E35</vt:lpwstr>
  </property>
</Properties>
</file>